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A081E" w14:textId="79E62D23" w:rsidR="00A30328" w:rsidRPr="00CC5F28" w:rsidRDefault="00DC631F" w:rsidP="00D84668">
      <w:pPr>
        <w:tabs>
          <w:tab w:val="left" w:pos="360"/>
          <w:tab w:val="left" w:pos="6660"/>
        </w:tabs>
        <w:spacing w:after="0"/>
        <w:jc w:val="center"/>
      </w:pPr>
      <w:r w:rsidRPr="00CC5F28">
        <w:rPr>
          <w:noProof/>
        </w:rPr>
        <w:drawing>
          <wp:inline distT="0" distB="0" distL="0" distR="0" wp14:anchorId="0E5E84F7" wp14:editId="148B4B02">
            <wp:extent cx="6492240" cy="1136015"/>
            <wp:effectExtent l="0" t="0" r="3810" b="6985"/>
            <wp:docPr id="1" name="Picture 1" descr="4th Quarter banner for MN Export Statistics, DEED&#10;Data on Minnesota Exports for Fourth Quarter 2023 – Published May 2024&#10;For More Information: Mary Haugen (mary.haugen@state.mn.u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4th Quarter banner for MN Export Statistics, DEED&#10;Data on Minnesota Exports for Fourth Quarter 2023 – Published May 2024&#10;For More Information: Mary Haugen (mary.haugen@state.mn.us)&#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92240" cy="1136015"/>
                    </a:xfrm>
                    <a:prstGeom prst="rect">
                      <a:avLst/>
                    </a:prstGeom>
                  </pic:spPr>
                </pic:pic>
              </a:graphicData>
            </a:graphic>
          </wp:inline>
        </w:drawing>
      </w:r>
    </w:p>
    <w:p w14:paraId="280C54B8" w14:textId="45609DE4" w:rsidR="00D84668" w:rsidRPr="00CC5F28" w:rsidRDefault="00D84668" w:rsidP="00D84668">
      <w:pPr>
        <w:pStyle w:val="NoSpacing"/>
        <w:jc w:val="center"/>
        <w:rPr>
          <w:rStyle w:val="Emphasis"/>
          <w:b/>
        </w:rPr>
      </w:pPr>
      <w:r w:rsidRPr="00CC5F28">
        <w:rPr>
          <w:rStyle w:val="Emphasis"/>
          <w:b/>
        </w:rPr>
        <w:t xml:space="preserve">Data on Minnesota Exports for </w:t>
      </w:r>
      <w:r w:rsidR="00DC631F" w:rsidRPr="00CC5F28">
        <w:rPr>
          <w:rStyle w:val="Emphasis"/>
          <w:b/>
        </w:rPr>
        <w:t>Fourth</w:t>
      </w:r>
      <w:r w:rsidRPr="00CC5F28">
        <w:rPr>
          <w:rStyle w:val="Emphasis"/>
          <w:b/>
        </w:rPr>
        <w:t xml:space="preserve"> Quarter 2023 – Published </w:t>
      </w:r>
      <w:r w:rsidR="00DC631F" w:rsidRPr="00CC5F28">
        <w:rPr>
          <w:rStyle w:val="Emphasis"/>
          <w:b/>
        </w:rPr>
        <w:t>May</w:t>
      </w:r>
      <w:r w:rsidRPr="00CC5F28">
        <w:rPr>
          <w:rStyle w:val="Emphasis"/>
          <w:b/>
        </w:rPr>
        <w:t xml:space="preserve"> 202</w:t>
      </w:r>
      <w:r w:rsidR="00DC631F" w:rsidRPr="00CC5F28">
        <w:rPr>
          <w:rStyle w:val="Emphasis"/>
          <w:b/>
        </w:rPr>
        <w:t>4</w:t>
      </w:r>
    </w:p>
    <w:p w14:paraId="7C1ADAF3" w14:textId="77777777" w:rsidR="00D84668" w:rsidRPr="00CC5F28" w:rsidRDefault="00D84668" w:rsidP="00D84668">
      <w:pPr>
        <w:pStyle w:val="NoSpacing"/>
        <w:jc w:val="center"/>
        <w:rPr>
          <w:rStyle w:val="Emphasis"/>
          <w:b/>
          <w:bCs/>
        </w:rPr>
      </w:pPr>
      <w:r w:rsidRPr="00CC5F28">
        <w:rPr>
          <w:rStyle w:val="Emphasis"/>
          <w:b/>
        </w:rPr>
        <w:t>For More Information</w:t>
      </w:r>
      <w:r w:rsidRPr="00CC5F28">
        <w:rPr>
          <w:rStyle w:val="Emphasis"/>
        </w:rPr>
        <w:t xml:space="preserve">: </w:t>
      </w:r>
      <w:r w:rsidRPr="00CC5F28">
        <w:rPr>
          <w:b/>
          <w:bCs/>
          <w:i/>
          <w:iCs/>
        </w:rPr>
        <w:t>Mary Haugen (mary.haugen@state.mn.us)</w:t>
      </w:r>
    </w:p>
    <w:p w14:paraId="18DCA261" w14:textId="56D3F39B" w:rsidR="00641D3B" w:rsidRPr="00CC5F28" w:rsidRDefault="00CC5F28" w:rsidP="00D84668">
      <w:pPr>
        <w:pStyle w:val="Heading1"/>
        <w:spacing w:before="120"/>
        <w:rPr>
          <w:rFonts w:asciiTheme="minorHAnsi" w:hAnsiTheme="minorHAnsi"/>
          <w:color w:val="auto"/>
          <w:sz w:val="36"/>
          <w:szCs w:val="30"/>
        </w:rPr>
        <w:sectPr w:rsidR="00641D3B" w:rsidRPr="00CC5F28" w:rsidSect="00FE15EB">
          <w:headerReference w:type="even" r:id="rId9"/>
          <w:headerReference w:type="default" r:id="rId10"/>
          <w:footerReference w:type="even" r:id="rId11"/>
          <w:footnotePr>
            <w:numRestart w:val="eachSect"/>
          </w:footnotePr>
          <w:endnotePr>
            <w:numFmt w:val="decimal"/>
          </w:endnotePr>
          <w:type w:val="continuous"/>
          <w:pgSz w:w="12240" w:h="15840" w:code="1"/>
          <w:pgMar w:top="864" w:right="1008" w:bottom="864" w:left="1008" w:header="720" w:footer="720" w:gutter="0"/>
          <w:cols w:space="720"/>
          <w:titlePg/>
          <w:docGrid w:linePitch="272"/>
        </w:sectPr>
      </w:pPr>
      <w:r w:rsidRPr="00CC5F28">
        <w:rPr>
          <w:rFonts w:asciiTheme="minorHAnsi" w:hAnsiTheme="minorHAnsi"/>
          <w:color w:val="auto"/>
          <w:sz w:val="36"/>
          <w:szCs w:val="30"/>
        </w:rPr>
        <w:t xml:space="preserve">Minnesota </w:t>
      </w:r>
      <w:r w:rsidR="00FA433D" w:rsidRPr="00CC5F28">
        <w:rPr>
          <w:rFonts w:asciiTheme="minorHAnsi" w:hAnsiTheme="minorHAnsi"/>
          <w:color w:val="auto"/>
          <w:sz w:val="36"/>
          <w:szCs w:val="30"/>
        </w:rPr>
        <w:t xml:space="preserve">Exports </w:t>
      </w:r>
      <w:r w:rsidRPr="00CC5F28">
        <w:rPr>
          <w:rFonts w:asciiTheme="minorHAnsi" w:hAnsiTheme="minorHAnsi"/>
          <w:color w:val="auto"/>
          <w:sz w:val="36"/>
          <w:szCs w:val="30"/>
        </w:rPr>
        <w:t>Fall 14% in Fourth Quarter</w:t>
      </w:r>
    </w:p>
    <w:p w14:paraId="2DB69746" w14:textId="30C56C10" w:rsidR="00F20245" w:rsidRPr="00CC5F28" w:rsidRDefault="007F1C4A" w:rsidP="00044ED9">
      <w:pPr>
        <w:pStyle w:val="ListParagraph"/>
        <w:numPr>
          <w:ilvl w:val="0"/>
          <w:numId w:val="9"/>
        </w:numPr>
        <w:spacing w:before="60" w:after="0"/>
      </w:pPr>
      <w:r w:rsidRPr="00CC5F28">
        <w:t>Minnesota exports</w:t>
      </w:r>
      <w:r w:rsidR="00F20245" w:rsidRPr="00CC5F28">
        <w:t xml:space="preserve"> of goods</w:t>
      </w:r>
      <w:r w:rsidRPr="00CC5F28">
        <w:t xml:space="preserve"> (incl</w:t>
      </w:r>
      <w:r w:rsidR="004C6288" w:rsidRPr="00CC5F28">
        <w:t>uding</w:t>
      </w:r>
      <w:r w:rsidRPr="00CC5F28">
        <w:t xml:space="preserve"> agricultural, </w:t>
      </w:r>
      <w:proofErr w:type="gramStart"/>
      <w:r w:rsidRPr="00CC5F28">
        <w:t>mining</w:t>
      </w:r>
      <w:proofErr w:type="gramEnd"/>
      <w:r w:rsidRPr="00CC5F28">
        <w:t xml:space="preserve"> and manufact</w:t>
      </w:r>
      <w:r w:rsidR="00A02A94" w:rsidRPr="00CC5F28">
        <w:t>ured products) wer</w:t>
      </w:r>
      <w:r w:rsidR="00E92FA6" w:rsidRPr="00CC5F28">
        <w:t>e</w:t>
      </w:r>
      <w:r w:rsidR="00F20245" w:rsidRPr="00CC5F28">
        <w:t xml:space="preserve"> valued at</w:t>
      </w:r>
      <w:r w:rsidR="00E92FA6" w:rsidRPr="00CC5F28">
        <w:t xml:space="preserve"> $</w:t>
      </w:r>
      <w:r w:rsidR="00D4733E" w:rsidRPr="00CC5F28">
        <w:t>6.</w:t>
      </w:r>
      <w:r w:rsidR="00CE08AA" w:rsidRPr="00CC5F28">
        <w:t>2</w:t>
      </w:r>
      <w:r w:rsidR="00C23DAA" w:rsidRPr="00CC5F28">
        <w:t xml:space="preserve"> billion</w:t>
      </w:r>
      <w:r w:rsidR="00DB304D" w:rsidRPr="00CC5F28">
        <w:t xml:space="preserve"> in the </w:t>
      </w:r>
      <w:r w:rsidR="00CE08AA" w:rsidRPr="00CC5F28">
        <w:t>fourth</w:t>
      </w:r>
      <w:r w:rsidR="00375ACF" w:rsidRPr="00CC5F28">
        <w:t xml:space="preserve"> quarter</w:t>
      </w:r>
      <w:r w:rsidR="00DB304D" w:rsidRPr="00CC5F28">
        <w:t xml:space="preserve"> of </w:t>
      </w:r>
      <w:r w:rsidR="00D4733E" w:rsidRPr="00CC5F28">
        <w:t>202</w:t>
      </w:r>
      <w:r w:rsidR="004C6288" w:rsidRPr="00CC5F28">
        <w:t>3</w:t>
      </w:r>
      <w:r w:rsidR="00DB304D" w:rsidRPr="00CC5F28">
        <w:t xml:space="preserve">, </w:t>
      </w:r>
      <w:r w:rsidR="00F75C80" w:rsidRPr="00CC5F28">
        <w:t xml:space="preserve">representing a </w:t>
      </w:r>
      <w:r w:rsidR="002D1E09" w:rsidRPr="00CC5F28">
        <w:t>d</w:t>
      </w:r>
      <w:r w:rsidR="00F81BA9" w:rsidRPr="00CC5F28">
        <w:t>ecrease</w:t>
      </w:r>
      <w:r w:rsidR="00D4733E" w:rsidRPr="00CC5F28">
        <w:t xml:space="preserve"> </w:t>
      </w:r>
      <w:r w:rsidR="00F75C80" w:rsidRPr="00CC5F28">
        <w:t>of</w:t>
      </w:r>
      <w:r w:rsidR="004C6288" w:rsidRPr="00CC5F28">
        <w:t xml:space="preserve"> </w:t>
      </w:r>
      <w:r w:rsidR="00375ACF" w:rsidRPr="00CC5F28">
        <w:t>1</w:t>
      </w:r>
      <w:r w:rsidR="00CE08AA" w:rsidRPr="00CC5F28">
        <w:t>4</w:t>
      </w:r>
      <w:r w:rsidR="007818E5" w:rsidRPr="00CC5F28">
        <w:t>%</w:t>
      </w:r>
      <w:r w:rsidR="00B5144B" w:rsidRPr="00CC5F28">
        <w:t xml:space="preserve"> (or</w:t>
      </w:r>
      <w:r w:rsidR="0087384F" w:rsidRPr="00CC5F28">
        <w:t xml:space="preserve"> </w:t>
      </w:r>
      <w:r w:rsidR="002D1E09" w:rsidRPr="00CC5F28">
        <w:t>down</w:t>
      </w:r>
      <w:r w:rsidR="00B5144B" w:rsidRPr="00CC5F28">
        <w:t xml:space="preserve"> $</w:t>
      </w:r>
      <w:r w:rsidR="00CE08AA" w:rsidRPr="00CC5F28">
        <w:t>97</w:t>
      </w:r>
      <w:r w:rsidR="00F81BA9" w:rsidRPr="00CC5F28">
        <w:t>4</w:t>
      </w:r>
      <w:r w:rsidR="00C23DAA" w:rsidRPr="00CC5F28">
        <w:t xml:space="preserve"> </w:t>
      </w:r>
      <w:r w:rsidR="00CE08AA" w:rsidRPr="00CC5F28">
        <w:t>m</w:t>
      </w:r>
      <w:r w:rsidR="00C23DAA" w:rsidRPr="00CC5F28">
        <w:t>illion</w:t>
      </w:r>
      <w:r w:rsidRPr="00CC5F28">
        <w:t xml:space="preserve">) </w:t>
      </w:r>
      <w:r w:rsidR="00F81BA9" w:rsidRPr="00CC5F28">
        <w:t xml:space="preserve">since </w:t>
      </w:r>
      <w:r w:rsidRPr="00CC5F28">
        <w:t xml:space="preserve">the </w:t>
      </w:r>
      <w:r w:rsidR="00CE08AA" w:rsidRPr="00CC5F28">
        <w:t>fourth</w:t>
      </w:r>
      <w:r w:rsidR="00375ACF" w:rsidRPr="00CC5F28">
        <w:t xml:space="preserve"> quarter</w:t>
      </w:r>
      <w:r w:rsidR="00957BCF" w:rsidRPr="00CC5F28">
        <w:t xml:space="preserve"> of </w:t>
      </w:r>
      <w:r w:rsidR="004C6288" w:rsidRPr="00CC5F28">
        <w:t>2022</w:t>
      </w:r>
      <w:r w:rsidR="00B85149" w:rsidRPr="00CC5F28">
        <w:t xml:space="preserve">. </w:t>
      </w:r>
    </w:p>
    <w:p w14:paraId="2D8F2919" w14:textId="71CA570E" w:rsidR="004B25EA" w:rsidRPr="00CC5F28" w:rsidRDefault="006F0A9A" w:rsidP="00375ACF">
      <w:pPr>
        <w:pStyle w:val="ListParagraph"/>
        <w:numPr>
          <w:ilvl w:val="0"/>
          <w:numId w:val="9"/>
        </w:numPr>
        <w:spacing w:before="60" w:after="0"/>
      </w:pPr>
      <w:r w:rsidRPr="00CC5F28">
        <w:t>The state’s fourth quarter trend was most impacted by the 80% drop in mineral fuel, oil</w:t>
      </w:r>
      <w:r w:rsidR="004B25EA" w:rsidRPr="00CC5F28">
        <w:t xml:space="preserve"> –</w:t>
      </w:r>
    </w:p>
    <w:p w14:paraId="200163AB" w14:textId="21A8BD2B" w:rsidR="006F0A9A" w:rsidRPr="00CC5F28" w:rsidRDefault="006F0A9A" w:rsidP="004B25EA">
      <w:pPr>
        <w:pStyle w:val="ListParagraph"/>
        <w:spacing w:before="60" w:after="0"/>
        <w:ind w:left="360"/>
      </w:pPr>
      <w:r w:rsidRPr="00CC5F28">
        <w:t xml:space="preserve">without </w:t>
      </w:r>
      <w:r w:rsidR="004B25EA" w:rsidRPr="00CC5F28">
        <w:t>which the</w:t>
      </w:r>
      <w:r w:rsidRPr="00CC5F28">
        <w:t xml:space="preserve"> state</w:t>
      </w:r>
      <w:r w:rsidR="004B25EA" w:rsidRPr="00CC5F28">
        <w:t>’s</w:t>
      </w:r>
      <w:r w:rsidRPr="00CC5F28">
        <w:t xml:space="preserve"> exports would have been unchanged</w:t>
      </w:r>
      <w:r w:rsidR="00BE4117">
        <w:t xml:space="preserve"> from the fourth quarter of 2022</w:t>
      </w:r>
      <w:r w:rsidRPr="00CC5F28">
        <w:t>.</w:t>
      </w:r>
    </w:p>
    <w:p w14:paraId="3AA839B2" w14:textId="481A2847" w:rsidR="00375ACF" w:rsidRPr="00CC5F28" w:rsidRDefault="00C97041" w:rsidP="00375ACF">
      <w:pPr>
        <w:pStyle w:val="ListParagraph"/>
        <w:numPr>
          <w:ilvl w:val="0"/>
          <w:numId w:val="9"/>
        </w:numPr>
        <w:spacing w:before="60" w:after="0"/>
      </w:pPr>
      <w:r w:rsidRPr="00CC5F28">
        <w:t>U.S. exports</w:t>
      </w:r>
      <w:r w:rsidR="00742415" w:rsidRPr="00CC5F28">
        <w:t xml:space="preserve"> of goods</w:t>
      </w:r>
      <w:r w:rsidR="00C23DAA" w:rsidRPr="00CC5F28">
        <w:t xml:space="preserve"> </w:t>
      </w:r>
      <w:r w:rsidR="002D1E09" w:rsidRPr="00CC5F28">
        <w:t>fell</w:t>
      </w:r>
      <w:r w:rsidR="00AE3C57" w:rsidRPr="00CC5F28">
        <w:t xml:space="preserve"> </w:t>
      </w:r>
      <w:r w:rsidR="00CE08AA" w:rsidRPr="00CC5F28">
        <w:t>1</w:t>
      </w:r>
      <w:r w:rsidR="007818E5" w:rsidRPr="00CC5F28">
        <w:t>%</w:t>
      </w:r>
      <w:r w:rsidR="00521967" w:rsidRPr="00CC5F28">
        <w:t xml:space="preserve"> </w:t>
      </w:r>
      <w:r w:rsidR="00B81154" w:rsidRPr="00CC5F28">
        <w:t>in</w:t>
      </w:r>
      <w:r w:rsidR="00521967" w:rsidRPr="00CC5F28">
        <w:t xml:space="preserve"> </w:t>
      </w:r>
      <w:r w:rsidR="007216E3" w:rsidRPr="00CC5F28">
        <w:t xml:space="preserve">the </w:t>
      </w:r>
      <w:r w:rsidR="00CE08AA" w:rsidRPr="00CC5F28">
        <w:t>fourth</w:t>
      </w:r>
      <w:r w:rsidR="00375ACF" w:rsidRPr="00CC5F28">
        <w:t xml:space="preserve"> quarter</w:t>
      </w:r>
      <w:r w:rsidR="00D4733E" w:rsidRPr="00CC5F28">
        <w:t>,</w:t>
      </w:r>
      <w:r w:rsidR="004B25EA" w:rsidRPr="00CC5F28">
        <w:t xml:space="preserve"> as states were split between growth and declines.</w:t>
      </w:r>
    </w:p>
    <w:p w14:paraId="0BA56A0A" w14:textId="6F0B5904" w:rsidR="006871D2" w:rsidRPr="00CC5F28" w:rsidRDefault="00D62905" w:rsidP="006871D2">
      <w:pPr>
        <w:pStyle w:val="ListParagraph"/>
        <w:numPr>
          <w:ilvl w:val="0"/>
          <w:numId w:val="9"/>
        </w:numPr>
        <w:spacing w:before="60" w:after="0"/>
      </w:pPr>
      <w:r w:rsidRPr="00CC5F28">
        <w:t>Overall, between 2022 and 2023</w:t>
      </w:r>
      <w:r w:rsidR="00375ACF" w:rsidRPr="00CC5F28">
        <w:t xml:space="preserve">, state exports </w:t>
      </w:r>
      <w:r w:rsidR="00637894" w:rsidRPr="00CC5F28">
        <w:t xml:space="preserve">slipped </w:t>
      </w:r>
      <w:r w:rsidRPr="00CC5F28">
        <w:t>8</w:t>
      </w:r>
      <w:r w:rsidR="00375ACF" w:rsidRPr="00CC5F28">
        <w:t xml:space="preserve">%, </w:t>
      </w:r>
      <w:r w:rsidRPr="00CC5F28">
        <w:t xml:space="preserve">while U.S. exports fell </w:t>
      </w:r>
      <w:r w:rsidR="00637894" w:rsidRPr="00CC5F28">
        <w:t>2%.</w:t>
      </w:r>
    </w:p>
    <w:p w14:paraId="03CA25DA" w14:textId="40FDD4A7" w:rsidR="007F1C4A" w:rsidRPr="00CC5F28" w:rsidRDefault="007F1C4A" w:rsidP="006871D2">
      <w:pPr>
        <w:pStyle w:val="Heading4"/>
        <w:spacing w:before="120"/>
        <w:rPr>
          <w:rFonts w:eastAsiaTheme="minorEastAsia"/>
          <w:color w:val="auto"/>
          <w:szCs w:val="24"/>
        </w:rPr>
      </w:pPr>
      <w:r w:rsidRPr="00CC5F28">
        <w:rPr>
          <w:color w:val="auto"/>
        </w:rPr>
        <w:t xml:space="preserve">Figure </w:t>
      </w:r>
      <w:r w:rsidRPr="00CC5F28">
        <w:rPr>
          <w:color w:val="auto"/>
        </w:rPr>
        <w:fldChar w:fldCharType="begin"/>
      </w:r>
      <w:r w:rsidRPr="00CC5F28">
        <w:rPr>
          <w:color w:val="auto"/>
        </w:rPr>
        <w:instrText xml:space="preserve"> SEQ Figure \* ARABIC </w:instrText>
      </w:r>
      <w:r w:rsidRPr="00CC5F28">
        <w:rPr>
          <w:color w:val="auto"/>
        </w:rPr>
        <w:fldChar w:fldCharType="separate"/>
      </w:r>
      <w:r w:rsidR="00C430F8" w:rsidRPr="00CC5F28">
        <w:rPr>
          <w:color w:val="auto"/>
        </w:rPr>
        <w:t>1</w:t>
      </w:r>
      <w:r w:rsidRPr="00CC5F28">
        <w:rPr>
          <w:color w:val="auto"/>
        </w:rPr>
        <w:fldChar w:fldCharType="end"/>
      </w:r>
      <w:r w:rsidR="00A52415" w:rsidRPr="00CC5F28">
        <w:rPr>
          <w:color w:val="auto"/>
        </w:rPr>
        <w:t>.</w:t>
      </w:r>
      <w:r w:rsidR="00F72892" w:rsidRPr="00CC5F28">
        <w:rPr>
          <w:color w:val="auto"/>
        </w:rPr>
        <w:t xml:space="preserve"> </w:t>
      </w:r>
      <w:r w:rsidR="00D62905" w:rsidRPr="00CC5F28">
        <w:rPr>
          <w:color w:val="auto"/>
        </w:rPr>
        <w:t xml:space="preserve">Gains in </w:t>
      </w:r>
      <w:r w:rsidR="002E53C6" w:rsidRPr="00CC5F28">
        <w:rPr>
          <w:color w:val="auto"/>
        </w:rPr>
        <w:t>Exports</w:t>
      </w:r>
      <w:r w:rsidR="00EF3CF4" w:rsidRPr="00CC5F28">
        <w:rPr>
          <w:color w:val="auto"/>
        </w:rPr>
        <w:t xml:space="preserve"> </w:t>
      </w:r>
      <w:r w:rsidR="00D62905" w:rsidRPr="00CC5F28">
        <w:rPr>
          <w:color w:val="auto"/>
        </w:rPr>
        <w:t>f</w:t>
      </w:r>
      <w:r w:rsidR="004663B8" w:rsidRPr="00CC5F28">
        <w:rPr>
          <w:color w:val="auto"/>
        </w:rPr>
        <w:t>or</w:t>
      </w:r>
      <w:r w:rsidR="00F72892" w:rsidRPr="00CC5F28">
        <w:rPr>
          <w:color w:val="auto"/>
        </w:rPr>
        <w:t xml:space="preserve"> </w:t>
      </w:r>
      <w:r w:rsidR="00D62905" w:rsidRPr="00CC5F28">
        <w:rPr>
          <w:color w:val="auto"/>
        </w:rPr>
        <w:t xml:space="preserve">Half </w:t>
      </w:r>
      <w:r w:rsidR="004663B8" w:rsidRPr="00CC5F28">
        <w:rPr>
          <w:color w:val="auto"/>
        </w:rPr>
        <w:t xml:space="preserve">of </w:t>
      </w:r>
      <w:r w:rsidR="00F72892" w:rsidRPr="00CC5F28">
        <w:rPr>
          <w:color w:val="auto"/>
        </w:rPr>
        <w:t>States</w:t>
      </w:r>
    </w:p>
    <w:p w14:paraId="5316D7DA" w14:textId="7CAA2E82" w:rsidR="004F6D22" w:rsidRPr="00CC5F28" w:rsidRDefault="00BE4117" w:rsidP="00D4733E">
      <w:pPr>
        <w:spacing w:after="0" w:line="271" w:lineRule="auto"/>
        <w:rPr>
          <w:rStyle w:val="Heading4Char"/>
          <w:rFonts w:eastAsiaTheme="minorEastAsia" w:cstheme="minorBidi"/>
          <w:bCs w:val="0"/>
          <w:i w:val="0"/>
          <w:iCs w:val="0"/>
          <w:color w:val="auto"/>
          <w:sz w:val="22"/>
        </w:rPr>
      </w:pPr>
      <w:r w:rsidRPr="00CC5F28">
        <w:rPr>
          <w:noProof/>
        </w:rPr>
        <mc:AlternateContent>
          <mc:Choice Requires="wps">
            <w:drawing>
              <wp:anchor distT="0" distB="0" distL="114300" distR="114300" simplePos="0" relativeHeight="251660800" behindDoc="0" locked="0" layoutInCell="1" allowOverlap="1" wp14:anchorId="098AB7ED" wp14:editId="48A1B0A1">
                <wp:simplePos x="0" y="0"/>
                <wp:positionH relativeFrom="page">
                  <wp:posOffset>3955143</wp:posOffset>
                </wp:positionH>
                <wp:positionV relativeFrom="paragraph">
                  <wp:posOffset>1797231</wp:posOffset>
                </wp:positionV>
                <wp:extent cx="1319530" cy="203109"/>
                <wp:effectExtent l="0" t="0" r="0" b="0"/>
                <wp:wrapNone/>
                <wp:docPr id="11" name="Text Box 2" descr="labels for map color legend.&#10;Decline for yellow&#10;0% midpoint&#10;Growth for green&#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203109"/>
                        </a:xfrm>
                        <a:prstGeom prst="rect">
                          <a:avLst/>
                        </a:prstGeom>
                        <a:noFill/>
                        <a:ln w="9525">
                          <a:noFill/>
                          <a:miter lim="800000"/>
                          <a:headEnd/>
                          <a:tailEnd/>
                        </a:ln>
                      </wps:spPr>
                      <wps:txbx>
                        <w:txbxContent>
                          <w:p w14:paraId="3C4BE73A" w14:textId="42E6E448" w:rsidR="00CC5F28" w:rsidRPr="00BE4117" w:rsidRDefault="00CC5F28" w:rsidP="00BE4117">
                            <w:pPr>
                              <w:spacing w:after="120"/>
                              <w:rPr>
                                <w:i/>
                                <w:sz w:val="16"/>
                                <w:szCs w:val="20"/>
                              </w:rPr>
                            </w:pPr>
                            <w:r w:rsidRPr="00BE4117">
                              <w:rPr>
                                <w:i/>
                                <w:sz w:val="16"/>
                                <w:szCs w:val="20"/>
                              </w:rPr>
                              <w:t xml:space="preserve">Decline    </w:t>
                            </w:r>
                            <w:r w:rsidR="00BE4117">
                              <w:rPr>
                                <w:i/>
                                <w:sz w:val="16"/>
                                <w:szCs w:val="20"/>
                              </w:rPr>
                              <w:t xml:space="preserve">  </w:t>
                            </w:r>
                            <w:r w:rsidRPr="00BE4117">
                              <w:rPr>
                                <w:i/>
                                <w:sz w:val="16"/>
                                <w:szCs w:val="20"/>
                              </w:rPr>
                              <w:t xml:space="preserve"> 0%   Growth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8AB7ED" id="_x0000_t202" coordsize="21600,21600" o:spt="202" path="m,l,21600r21600,l21600,xe">
                <v:stroke joinstyle="miter"/>
                <v:path gradientshapeok="t" o:connecttype="rect"/>
              </v:shapetype>
              <v:shape id="Text Box 2" o:spid="_x0000_s1026" type="#_x0000_t202" alt="labels for map color legend.&#10;Decline for yellow&#10;0% midpoint&#10;Growth for green&#10;" style="position:absolute;margin-left:311.45pt;margin-top:141.5pt;width:103.9pt;height:1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" filled="f" stroked="f">
                <v:textbox>
                  <w:txbxContent>
                    <w:p w14:paraId="3C4BE73A" w14:textId="42E6E448" w:rsidR="00CC5F28" w:rsidRPr="00BE4117" w:rsidRDefault="00CC5F28" w:rsidP="00BE4117">
                      <w:pPr>
                        <w:spacing w:after="120"/>
                        <w:rPr>
                          <w:i/>
                          <w:sz w:val="16"/>
                          <w:szCs w:val="20"/>
                        </w:rPr>
                      </w:pPr>
                      <w:r w:rsidRPr="00BE4117">
                        <w:rPr>
                          <w:i/>
                          <w:sz w:val="16"/>
                          <w:szCs w:val="20"/>
                        </w:rPr>
                        <w:t xml:space="preserve">Decline    </w:t>
                      </w:r>
                      <w:r w:rsidR="00BE4117">
                        <w:rPr>
                          <w:i/>
                          <w:sz w:val="16"/>
                          <w:szCs w:val="20"/>
                        </w:rPr>
                        <w:t xml:space="preserve">  </w:t>
                      </w:r>
                      <w:r w:rsidRPr="00BE4117">
                        <w:rPr>
                          <w:i/>
                          <w:sz w:val="16"/>
                          <w:szCs w:val="20"/>
                        </w:rPr>
                        <w:t xml:space="preserve"> 0%   Growth</w:t>
                      </w:r>
                    </w:p>
                  </w:txbxContent>
                </v:textbox>
                <w10:wrap anchorx="page"/>
              </v:shape>
            </w:pict>
          </mc:Fallback>
        </mc:AlternateContent>
      </w:r>
      <w:r w:rsidR="00D916A9" w:rsidRPr="00CC5F28">
        <w:rPr>
          <w:noProof/>
        </w:rPr>
        <mc:AlternateContent>
          <mc:Choice Requires="wps">
            <w:drawing>
              <wp:anchor distT="0" distB="0" distL="114300" distR="114300" simplePos="0" relativeHeight="251658752" behindDoc="0" locked="0" layoutInCell="1" allowOverlap="1" wp14:anchorId="24E76B40" wp14:editId="74BB7C1F">
                <wp:simplePos x="0" y="0"/>
                <wp:positionH relativeFrom="margin">
                  <wp:posOffset>5998936</wp:posOffset>
                </wp:positionH>
                <wp:positionV relativeFrom="paragraph">
                  <wp:posOffset>1179558</wp:posOffset>
                </wp:positionV>
                <wp:extent cx="866775" cy="473725"/>
                <wp:effectExtent l="0" t="0" r="0" b="2540"/>
                <wp:wrapNone/>
                <wp:docPr id="307" name="Text Box 2" descr="highlight text box for US Map&#10;MN: -14%&#10;U.S.: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3725"/>
                        </a:xfrm>
                        <a:prstGeom prst="rect">
                          <a:avLst/>
                        </a:prstGeom>
                        <a:noFill/>
                        <a:ln w="9525">
                          <a:noFill/>
                          <a:miter lim="800000"/>
                          <a:headEnd/>
                          <a:tailEnd/>
                        </a:ln>
                      </wps:spPr>
                      <wps:txbx>
                        <w:txbxContent>
                          <w:p w14:paraId="60A296D5" w14:textId="2AEDA3C4" w:rsidR="007F1C4A" w:rsidRPr="00044ED9" w:rsidRDefault="007F1C4A" w:rsidP="007F1C4A">
                            <w:pPr>
                              <w:spacing w:after="0"/>
                              <w:rPr>
                                <w:b/>
                                <w:i/>
                                <w:szCs w:val="24"/>
                              </w:rPr>
                            </w:pPr>
                            <w:r w:rsidRPr="00044ED9">
                              <w:rPr>
                                <w:b/>
                                <w:i/>
                                <w:szCs w:val="24"/>
                              </w:rPr>
                              <w:t>M</w:t>
                            </w:r>
                            <w:r w:rsidR="0065603B" w:rsidRPr="00044ED9">
                              <w:rPr>
                                <w:b/>
                                <w:i/>
                                <w:szCs w:val="24"/>
                              </w:rPr>
                              <w:t xml:space="preserve">N:  </w:t>
                            </w:r>
                            <w:r w:rsidR="004F5EFC">
                              <w:rPr>
                                <w:b/>
                                <w:i/>
                                <w:szCs w:val="24"/>
                              </w:rPr>
                              <w:t>-</w:t>
                            </w:r>
                            <w:r w:rsidR="00637894">
                              <w:rPr>
                                <w:b/>
                                <w:i/>
                                <w:szCs w:val="24"/>
                              </w:rPr>
                              <w:t>1</w:t>
                            </w:r>
                            <w:r w:rsidR="00D62905">
                              <w:rPr>
                                <w:b/>
                                <w:i/>
                                <w:szCs w:val="24"/>
                              </w:rPr>
                              <w:t>4</w:t>
                            </w:r>
                            <w:r w:rsidRPr="00044ED9">
                              <w:rPr>
                                <w:b/>
                                <w:i/>
                                <w:szCs w:val="24"/>
                              </w:rPr>
                              <w:t>%</w:t>
                            </w:r>
                          </w:p>
                          <w:p w14:paraId="588145EA" w14:textId="009649DF" w:rsidR="007F1C4A" w:rsidRPr="00044ED9" w:rsidRDefault="00293DCF" w:rsidP="007F1C4A">
                            <w:pPr>
                              <w:spacing w:after="0"/>
                              <w:rPr>
                                <w:b/>
                                <w:i/>
                                <w:szCs w:val="24"/>
                              </w:rPr>
                            </w:pPr>
                            <w:r w:rsidRPr="00044ED9">
                              <w:rPr>
                                <w:b/>
                                <w:i/>
                                <w:szCs w:val="24"/>
                              </w:rPr>
                              <w:t xml:space="preserve">U.S.: </w:t>
                            </w:r>
                            <w:r w:rsidR="004F5EFC">
                              <w:rPr>
                                <w:b/>
                                <w:i/>
                                <w:szCs w:val="24"/>
                              </w:rPr>
                              <w:t>-</w:t>
                            </w:r>
                            <w:r w:rsidR="00D62905">
                              <w:rPr>
                                <w:b/>
                                <w:i/>
                                <w:szCs w:val="24"/>
                              </w:rPr>
                              <w:t>1</w:t>
                            </w:r>
                            <w:r w:rsidR="007F1C4A" w:rsidRPr="00044ED9">
                              <w:rPr>
                                <w:b/>
                                <w:i/>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76B40" id="_x0000_s1027" type="#_x0000_t202" alt="highlight text box for US Map&#10;MN: -14%&#10;U.S.: -1%&#10;" style="position:absolute;margin-left:472.35pt;margin-top:92.9pt;width:68.25pt;height:37.3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" filled="f" stroked="f">
                <v:textbox>
                  <w:txbxContent>
                    <w:p w14:paraId="60A296D5" w14:textId="2AEDA3C4" w:rsidR="007F1C4A" w:rsidRPr="00044ED9" w:rsidRDefault="007F1C4A" w:rsidP="007F1C4A">
                      <w:pPr>
                        <w:spacing w:after="0"/>
                        <w:rPr>
                          <w:b/>
                          <w:i/>
                          <w:szCs w:val="24"/>
                        </w:rPr>
                      </w:pPr>
                      <w:r w:rsidRPr="00044ED9">
                        <w:rPr>
                          <w:b/>
                          <w:i/>
                          <w:szCs w:val="24"/>
                        </w:rPr>
                        <w:t>M</w:t>
                      </w:r>
                      <w:r w:rsidR="0065603B" w:rsidRPr="00044ED9">
                        <w:rPr>
                          <w:b/>
                          <w:i/>
                          <w:szCs w:val="24"/>
                        </w:rPr>
                        <w:t xml:space="preserve">N:  </w:t>
                      </w:r>
                      <w:r w:rsidR="004F5EFC">
                        <w:rPr>
                          <w:b/>
                          <w:i/>
                          <w:szCs w:val="24"/>
                        </w:rPr>
                        <w:t>-</w:t>
                      </w:r>
                      <w:r w:rsidR="00637894">
                        <w:rPr>
                          <w:b/>
                          <w:i/>
                          <w:szCs w:val="24"/>
                        </w:rPr>
                        <w:t>1</w:t>
                      </w:r>
                      <w:r w:rsidR="00D62905">
                        <w:rPr>
                          <w:b/>
                          <w:i/>
                          <w:szCs w:val="24"/>
                        </w:rPr>
                        <w:t>4</w:t>
                      </w:r>
                      <w:r w:rsidRPr="00044ED9">
                        <w:rPr>
                          <w:b/>
                          <w:i/>
                          <w:szCs w:val="24"/>
                        </w:rPr>
                        <w:t>%</w:t>
                      </w:r>
                    </w:p>
                    <w:p w14:paraId="588145EA" w14:textId="009649DF" w:rsidR="007F1C4A" w:rsidRPr="00044ED9" w:rsidRDefault="00293DCF" w:rsidP="007F1C4A">
                      <w:pPr>
                        <w:spacing w:after="0"/>
                        <w:rPr>
                          <w:b/>
                          <w:i/>
                          <w:szCs w:val="24"/>
                        </w:rPr>
                      </w:pPr>
                      <w:r w:rsidRPr="00044ED9">
                        <w:rPr>
                          <w:b/>
                          <w:i/>
                          <w:szCs w:val="24"/>
                        </w:rPr>
                        <w:t xml:space="preserve">U.S.: </w:t>
                      </w:r>
                      <w:r w:rsidR="004F5EFC">
                        <w:rPr>
                          <w:b/>
                          <w:i/>
                          <w:szCs w:val="24"/>
                        </w:rPr>
                        <w:t>-</w:t>
                      </w:r>
                      <w:r w:rsidR="00D62905">
                        <w:rPr>
                          <w:b/>
                          <w:i/>
                          <w:szCs w:val="24"/>
                        </w:rPr>
                        <w:t>1</w:t>
                      </w:r>
                      <w:r w:rsidR="007F1C4A" w:rsidRPr="00044ED9">
                        <w:rPr>
                          <w:b/>
                          <w:i/>
                          <w:szCs w:val="24"/>
                        </w:rPr>
                        <w:t>%</w:t>
                      </w:r>
                    </w:p>
                  </w:txbxContent>
                </v:textbox>
                <w10:wrap anchorx="margin"/>
              </v:shape>
            </w:pict>
          </mc:Fallback>
        </mc:AlternateContent>
      </w:r>
      <w:r w:rsidR="004663B8" w:rsidRPr="00CC5F28">
        <w:rPr>
          <w:noProof/>
        </w:rPr>
        <w:drawing>
          <wp:inline distT="0" distB="0" distL="0" distR="0" wp14:anchorId="231B8359" wp14:editId="2ED074B3">
            <wp:extent cx="3096932" cy="1763486"/>
            <wp:effectExtent l="0" t="0" r="8255" b="8255"/>
            <wp:docPr id="3" name="Picture 3" descr="Figure 1. Map of US States showing Percent change between 2022-Q4 to 2023-Q4, by state&#10;&#10;State Percent Change, 2022-Q4 to 2023-Q4&#10;Minnesota -14%&#10;United States -1%&#10;Alabama 5%&#10;Alaska -2%&#10;Arizona -6%&#10;Arkansas 6%&#10;California -1%&#10;Colorado 1%&#10;Connecticut 1%&#10;Delaware 6%&#10;Dist of Columbia 32%&#10;Florida 6%&#10;Georgia 4%&#10;Hawaii 72%&#10;Idaho 0%&#10;Illinois -3%&#10;Indiana 30%&#10;Iowa -3%&#10;Kansas 4%&#10;Kentucky 11%&#10;Louisiana -22%&#10;Maine -7%&#10;Maryland 4%&#10;Massachusetts -3%&#10;Michigan -2%&#10;Mississippi -15%&#10;Missouri 10%&#10;Montana 25%&#10;Nebraska -2%&#10;Nevada 0%&#10;New Hampshire 9%&#10;New Jersey -7%&#10;New Mexico 13%&#10;New York -15%&#10;North Carolina 10%&#10;North Dakota 88%&#10;Ohio -5%&#10;Oklahoma 3%&#10;Oregon -16%&#10;Pennsylvania 10%&#10;Rhode Island -9%&#10;South Carolina 19%&#10;South Dakota -8%&#10;Tennessee 6%&#10;Texas -3%&#10;Utah 1%&#10;Vermont -20%&#10;Virginia -5%&#10;Washington 7%&#10;West Virginia -22%&#10;Wisconsin 3%&#10;Wyoming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1. Map of US States showing Percent change between 2022-Q4 to 2023-Q4, by state&#10;&#10;State Percent Change, 2022-Q4 to 2023-Q4&#10;Minnesota -14%&#10;United States -1%&#10;Alabama 5%&#10;Alaska -2%&#10;Arizona -6%&#10;Arkansas 6%&#10;California -1%&#10;Colorado 1%&#10;Connecticut 1%&#10;Delaware 6%&#10;Dist of Columbia 32%&#10;Florida 6%&#10;Georgia 4%&#10;Hawaii 72%&#10;Idaho 0%&#10;Illinois -3%&#10;Indiana 30%&#10;Iowa -3%&#10;Kansas 4%&#10;Kentucky 11%&#10;Louisiana -22%&#10;Maine -7%&#10;Maryland 4%&#10;Massachusetts -3%&#10;Michigan -2%&#10;Mississippi -15%&#10;Missouri 10%&#10;Montana 25%&#10;Nebraska -2%&#10;Nevada 0%&#10;New Hampshire 9%&#10;New Jersey -7%&#10;New Mexico 13%&#10;New York -15%&#10;North Carolina 10%&#10;North Dakota 88%&#10;Ohio -5%&#10;Oklahoma 3%&#10;Oregon -16%&#10;Pennsylvania 10%&#10;Rhode Island -9%&#10;South Carolina 19%&#10;South Dakota -8%&#10;Tennessee 6%&#10;Texas -3%&#10;Utah 1%&#10;Vermont -20%&#10;Virginia -5%&#10;Washington 7%&#10;West Virginia -22%&#10;Wisconsin 3%&#10;Wyoming -7%&#10;"/>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749" t="11593" r="2822" b="8727"/>
                    <a:stretch/>
                  </pic:blipFill>
                  <pic:spPr bwMode="auto">
                    <a:xfrm>
                      <a:off x="0" y="0"/>
                      <a:ext cx="3106712" cy="1769055"/>
                    </a:xfrm>
                    <a:prstGeom prst="rect">
                      <a:avLst/>
                    </a:prstGeom>
                    <a:noFill/>
                    <a:ln>
                      <a:noFill/>
                    </a:ln>
                    <a:extLst>
                      <a:ext uri="{53640926-AAD7-44D8-BBD7-CCE9431645EC}">
                        <a14:shadowObscured xmlns:a14="http://schemas.microsoft.com/office/drawing/2010/main"/>
                      </a:ext>
                    </a:extLst>
                  </pic:spPr>
                </pic:pic>
              </a:graphicData>
            </a:graphic>
          </wp:inline>
        </w:drawing>
      </w:r>
    </w:p>
    <w:p w14:paraId="0AAEB35D" w14:textId="0CED0A20" w:rsidR="007F1C4A" w:rsidRPr="00CC5F28" w:rsidRDefault="007F1C4A" w:rsidP="007F1C4A">
      <w:pPr>
        <w:spacing w:after="0"/>
        <w:rPr>
          <w:i/>
          <w:sz w:val="18"/>
        </w:rPr>
      </w:pPr>
      <w:r w:rsidRPr="00CC5F28">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p>
    <w:p w14:paraId="6B23B2F3" w14:textId="4AB4FD0E" w:rsidR="00BE4DAD" w:rsidRPr="00CC5F28" w:rsidRDefault="00A52415" w:rsidP="00BE4117">
      <w:pPr>
        <w:spacing w:before="40" w:after="0"/>
        <w:rPr>
          <w:rFonts w:ascii="Arial Narrow" w:hAnsi="Arial Narrow"/>
          <w:sz w:val="2"/>
          <w:szCs w:val="2"/>
        </w:rPr>
        <w:sectPr w:rsidR="00BE4DAD" w:rsidRPr="00CC5F28" w:rsidSect="00FE15EB">
          <w:footnotePr>
            <w:numRestart w:val="eachSect"/>
          </w:footnotePr>
          <w:endnotePr>
            <w:numFmt w:val="decimal"/>
          </w:endnotePr>
          <w:type w:val="continuous"/>
          <w:pgSz w:w="12240" w:h="15840" w:code="1"/>
          <w:pgMar w:top="864" w:right="1008" w:bottom="864" w:left="1008" w:header="720" w:footer="720" w:gutter="0"/>
          <w:cols w:num="2" w:space="450"/>
          <w:titlePg/>
          <w:docGrid w:linePitch="299"/>
        </w:sectPr>
      </w:pPr>
      <w:r w:rsidRPr="00CC5F28">
        <w:rPr>
          <w:rFonts w:ascii="Arial Narrow" w:hAnsi="Arial Narrow"/>
          <w:noProof/>
          <w:sz w:val="2"/>
          <w:szCs w:val="2"/>
        </w:rPr>
        <w:drawing>
          <wp:inline distT="0" distB="0" distL="0" distR="0" wp14:anchorId="5C21AFCD" wp14:editId="0405FC58">
            <wp:extent cx="1066800" cy="152400"/>
            <wp:effectExtent l="0" t="0" r="0" b="0"/>
            <wp:docPr id="7" name="Picture 7" descr="Map color legend. yellow for decline, green for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ap color legend. yellow for decline, green for growth"/>
                    <pic:cNvPicPr>
                      <a:picLocks noChangeAspect="1" noChangeArrowheads="1"/>
                    </pic:cNvPicPr>
                  </pic:nvPicPr>
                  <pic:blipFill rotWithShape="1">
                    <a:blip r:embed="rId13">
                      <a:extLst>
                        <a:ext uri="{28A0092B-C50C-407E-A947-70E740481C1C}">
                          <a14:useLocalDpi xmlns:a14="http://schemas.microsoft.com/office/drawing/2010/main" val="0"/>
                        </a:ext>
                      </a:extLst>
                    </a:blip>
                    <a:srcRect t="41379" b="24138"/>
                    <a:stretch/>
                  </pic:blipFill>
                  <pic:spPr bwMode="auto">
                    <a:xfrm>
                      <a:off x="0" y="0"/>
                      <a:ext cx="1066800" cy="152400"/>
                    </a:xfrm>
                    <a:prstGeom prst="rect">
                      <a:avLst/>
                    </a:prstGeom>
                    <a:noFill/>
                    <a:ln>
                      <a:noFill/>
                    </a:ln>
                    <a:extLst>
                      <a:ext uri="{53640926-AAD7-44D8-BBD7-CCE9431645EC}">
                        <a14:shadowObscured xmlns:a14="http://schemas.microsoft.com/office/drawing/2010/main"/>
                      </a:ext>
                    </a:extLst>
                  </pic:spPr>
                </pic:pic>
              </a:graphicData>
            </a:graphic>
          </wp:inline>
        </w:drawing>
      </w:r>
    </w:p>
    <w:p w14:paraId="3B7C68EA" w14:textId="175D622A" w:rsidR="004B25EA" w:rsidRPr="00CC5F28" w:rsidRDefault="00D62905" w:rsidP="004B25EA">
      <w:pPr>
        <w:pStyle w:val="Heading2"/>
        <w:spacing w:before="120" w:after="60"/>
        <w:rPr>
          <w:rFonts w:asciiTheme="minorHAnsi" w:hAnsiTheme="minorHAnsi" w:cstheme="minorHAnsi"/>
          <w:i/>
          <w:iCs/>
          <w:color w:val="auto"/>
          <w:sz w:val="28"/>
          <w:szCs w:val="28"/>
        </w:rPr>
      </w:pPr>
      <w:r w:rsidRPr="00CC5F28">
        <w:rPr>
          <w:rFonts w:asciiTheme="minorHAnsi" w:hAnsiTheme="minorHAnsi" w:cstheme="minorHAnsi"/>
          <w:i/>
          <w:iCs/>
          <w:color w:val="auto"/>
          <w:sz w:val="28"/>
          <w:szCs w:val="28"/>
        </w:rPr>
        <w:t>Widespread Weak</w:t>
      </w:r>
      <w:r w:rsidR="004B25EA" w:rsidRPr="00CC5F28">
        <w:rPr>
          <w:rFonts w:asciiTheme="minorHAnsi" w:hAnsiTheme="minorHAnsi" w:cstheme="minorHAnsi"/>
          <w:i/>
          <w:iCs/>
          <w:color w:val="auto"/>
          <w:sz w:val="28"/>
          <w:szCs w:val="28"/>
        </w:rPr>
        <w:t>er</w:t>
      </w:r>
      <w:r w:rsidRPr="00CC5F28">
        <w:rPr>
          <w:rFonts w:asciiTheme="minorHAnsi" w:hAnsiTheme="minorHAnsi" w:cstheme="minorHAnsi"/>
          <w:i/>
          <w:iCs/>
          <w:color w:val="auto"/>
          <w:sz w:val="28"/>
          <w:szCs w:val="28"/>
        </w:rPr>
        <w:t xml:space="preserve"> Demand Across Major Regions, </w:t>
      </w:r>
      <w:r w:rsidR="004B25EA" w:rsidRPr="00CC5F28">
        <w:rPr>
          <w:rFonts w:asciiTheme="minorHAnsi" w:hAnsiTheme="minorHAnsi" w:cstheme="minorHAnsi"/>
          <w:i/>
          <w:iCs/>
          <w:color w:val="auto"/>
          <w:sz w:val="28"/>
          <w:szCs w:val="28"/>
        </w:rPr>
        <w:t xml:space="preserve">Some </w:t>
      </w:r>
      <w:r w:rsidRPr="00CC5F28">
        <w:rPr>
          <w:rFonts w:asciiTheme="minorHAnsi" w:hAnsiTheme="minorHAnsi" w:cstheme="minorHAnsi"/>
          <w:i/>
          <w:iCs/>
          <w:color w:val="auto"/>
          <w:sz w:val="28"/>
          <w:szCs w:val="28"/>
        </w:rPr>
        <w:t>Bright</w:t>
      </w:r>
      <w:r w:rsidR="004B25EA" w:rsidRPr="00CC5F28">
        <w:rPr>
          <w:rFonts w:asciiTheme="minorHAnsi" w:hAnsiTheme="minorHAnsi" w:cstheme="minorHAnsi"/>
          <w:i/>
          <w:iCs/>
          <w:color w:val="auto"/>
          <w:sz w:val="28"/>
          <w:szCs w:val="28"/>
        </w:rPr>
        <w:t xml:space="preserve"> Spots</w:t>
      </w:r>
      <w:r w:rsidRPr="00CC5F28">
        <w:rPr>
          <w:rFonts w:asciiTheme="minorHAnsi" w:hAnsiTheme="minorHAnsi" w:cstheme="minorHAnsi"/>
          <w:i/>
          <w:iCs/>
          <w:color w:val="auto"/>
          <w:sz w:val="28"/>
          <w:szCs w:val="28"/>
        </w:rPr>
        <w:t xml:space="preserve"> </w:t>
      </w:r>
    </w:p>
    <w:p w14:paraId="5E66C5B5" w14:textId="3C8E3C54" w:rsidR="008D3756" w:rsidRPr="00CC5F28" w:rsidRDefault="00D87BD3" w:rsidP="004B25EA">
      <w:pPr>
        <w:pStyle w:val="ListParagraph"/>
        <w:numPr>
          <w:ilvl w:val="0"/>
          <w:numId w:val="21"/>
        </w:numPr>
      </w:pPr>
      <w:r w:rsidRPr="00CC5F28">
        <w:t>Minnesota</w:t>
      </w:r>
      <w:r w:rsidR="00136664" w:rsidRPr="00CC5F28">
        <w:t>’s e</w:t>
      </w:r>
      <w:r w:rsidR="000D02DD" w:rsidRPr="00CC5F28">
        <w:t xml:space="preserve">xports </w:t>
      </w:r>
      <w:r w:rsidR="00CC1EF1" w:rsidRPr="00CC5F28">
        <w:t xml:space="preserve">dropped </w:t>
      </w:r>
      <w:r w:rsidR="00B06B04" w:rsidRPr="00CC5F28">
        <w:t xml:space="preserve">12% </w:t>
      </w:r>
      <w:r w:rsidR="00136664" w:rsidRPr="00CC5F28">
        <w:t xml:space="preserve">to </w:t>
      </w:r>
      <w:r w:rsidR="005727A5" w:rsidRPr="00CC5F28">
        <w:rPr>
          <w:b/>
          <w:bCs/>
        </w:rPr>
        <w:t>North America</w:t>
      </w:r>
      <w:r w:rsidR="00A90983" w:rsidRPr="00CC5F28">
        <w:rPr>
          <w:b/>
          <w:bCs/>
        </w:rPr>
        <w:t xml:space="preserve"> </w:t>
      </w:r>
      <w:r w:rsidR="00CC1EF1" w:rsidRPr="00CC5F28">
        <w:t>($2.</w:t>
      </w:r>
      <w:r w:rsidR="00D62905" w:rsidRPr="00CC5F28">
        <w:t>6</w:t>
      </w:r>
      <w:r w:rsidR="00CC1EF1" w:rsidRPr="00CC5F28">
        <w:t xml:space="preserve"> billion</w:t>
      </w:r>
      <w:r w:rsidR="00B06B04" w:rsidRPr="00CC5F28">
        <w:t xml:space="preserve">) as gains to </w:t>
      </w:r>
      <w:r w:rsidR="00410B76" w:rsidRPr="00CC5F28">
        <w:rPr>
          <w:b/>
          <w:bCs/>
        </w:rPr>
        <w:t>Mexico</w:t>
      </w:r>
      <w:r w:rsidR="00410B76" w:rsidRPr="00CC5F28">
        <w:t xml:space="preserve"> (up </w:t>
      </w:r>
      <w:r w:rsidR="00B06B04" w:rsidRPr="00CC5F28">
        <w:t>9</w:t>
      </w:r>
      <w:r w:rsidR="00410B76" w:rsidRPr="00CC5F28">
        <w:t>%)</w:t>
      </w:r>
      <w:r w:rsidR="00B06B04" w:rsidRPr="00CC5F28">
        <w:t xml:space="preserve"> were outweighed by </w:t>
      </w:r>
      <w:r w:rsidR="004B25EA" w:rsidRPr="00CC5F28">
        <w:t>the persistent large</w:t>
      </w:r>
      <w:r w:rsidR="00B06B04" w:rsidRPr="00CC5F28">
        <w:t xml:space="preserve"> declines in </w:t>
      </w:r>
      <w:r w:rsidR="00410B76" w:rsidRPr="00CC5F28">
        <w:rPr>
          <w:b/>
          <w:bCs/>
        </w:rPr>
        <w:t>mineral fuel, oil</w:t>
      </w:r>
      <w:r w:rsidR="00410B76" w:rsidRPr="00CC5F28">
        <w:t xml:space="preserve"> </w:t>
      </w:r>
      <w:r w:rsidR="00B06B04" w:rsidRPr="00CC5F28">
        <w:t xml:space="preserve">exports </w:t>
      </w:r>
      <w:r w:rsidR="00410B76" w:rsidRPr="00CC5F28">
        <w:t>(down $</w:t>
      </w:r>
      <w:r w:rsidR="00B06B04" w:rsidRPr="00CC5F28">
        <w:t>558</w:t>
      </w:r>
      <w:r w:rsidR="00410B76" w:rsidRPr="00CC5F28">
        <w:t xml:space="preserve"> million</w:t>
      </w:r>
      <w:r w:rsidR="00B06B04" w:rsidRPr="00CC5F28">
        <w:t xml:space="preserve">) to </w:t>
      </w:r>
      <w:r w:rsidR="00B06B04" w:rsidRPr="00CC5F28">
        <w:rPr>
          <w:b/>
          <w:bCs/>
        </w:rPr>
        <w:t>Canada</w:t>
      </w:r>
      <w:r w:rsidR="00B06B04" w:rsidRPr="00CC5F28">
        <w:t>,</w:t>
      </w:r>
    </w:p>
    <w:p w14:paraId="2A777F97" w14:textId="345F5279" w:rsidR="00387777" w:rsidRPr="00CC5F28" w:rsidRDefault="007405DC" w:rsidP="005A4293">
      <w:pPr>
        <w:pStyle w:val="ListParagraph"/>
        <w:numPr>
          <w:ilvl w:val="0"/>
          <w:numId w:val="10"/>
        </w:numPr>
        <w:spacing w:after="0"/>
      </w:pPr>
      <w:r w:rsidRPr="00CC5F28">
        <w:t xml:space="preserve">Demand tumbled across </w:t>
      </w:r>
      <w:r w:rsidRPr="00CC5F28">
        <w:rPr>
          <w:b/>
          <w:bCs/>
        </w:rPr>
        <w:t>Asia</w:t>
      </w:r>
      <w:r w:rsidRPr="00CC5F28">
        <w:t xml:space="preserve"> ($1.6 billion, down 18%) as sales dropped to</w:t>
      </w:r>
      <w:r w:rsidR="00CC5F28" w:rsidRPr="00CC5F28">
        <w:t xml:space="preserve"> top markets</w:t>
      </w:r>
      <w:r w:rsidRPr="00CC5F28">
        <w:t xml:space="preserve"> such as</w:t>
      </w:r>
      <w:r w:rsidR="00B06B04" w:rsidRPr="00CC5F28">
        <w:t xml:space="preserve"> to</w:t>
      </w:r>
      <w:r w:rsidR="00CC1EF1" w:rsidRPr="00CC5F28">
        <w:t xml:space="preserve"> </w:t>
      </w:r>
      <w:r w:rsidRPr="00CC5F28">
        <w:rPr>
          <w:b/>
          <w:bCs/>
        </w:rPr>
        <w:t xml:space="preserve">Korea, China, </w:t>
      </w:r>
      <w:proofErr w:type="gramStart"/>
      <w:r w:rsidRPr="00CC5F28">
        <w:rPr>
          <w:b/>
          <w:bCs/>
        </w:rPr>
        <w:t>Taiwan</w:t>
      </w:r>
      <w:proofErr w:type="gramEnd"/>
      <w:r w:rsidR="004B25EA" w:rsidRPr="00CC5F28">
        <w:rPr>
          <w:b/>
          <w:bCs/>
        </w:rPr>
        <w:t xml:space="preserve"> </w:t>
      </w:r>
      <w:r w:rsidR="004B25EA" w:rsidRPr="00CC5F28">
        <w:t>and</w:t>
      </w:r>
      <w:r w:rsidRPr="00CC5F28">
        <w:rPr>
          <w:b/>
          <w:bCs/>
        </w:rPr>
        <w:t xml:space="preserve"> Japan</w:t>
      </w:r>
      <w:r w:rsidR="004D7918" w:rsidRPr="00CC5F28">
        <w:t>.</w:t>
      </w:r>
      <w:r w:rsidR="008D3756" w:rsidRPr="00CC5F28">
        <w:t xml:space="preserve"> </w:t>
      </w:r>
      <w:r w:rsidR="00B06B04" w:rsidRPr="00CC5F28">
        <w:rPr>
          <w:b/>
          <w:bCs/>
        </w:rPr>
        <w:t>Thailand</w:t>
      </w:r>
      <w:r w:rsidR="004D7918" w:rsidRPr="00CC5F28">
        <w:t xml:space="preserve"> (up </w:t>
      </w:r>
      <w:r w:rsidR="00B06B04" w:rsidRPr="00CC5F28">
        <w:t>42</w:t>
      </w:r>
      <w:r w:rsidR="004D7918" w:rsidRPr="00CC5F28">
        <w:t xml:space="preserve">%) and </w:t>
      </w:r>
      <w:r w:rsidR="00B06B04" w:rsidRPr="00CC5F28">
        <w:rPr>
          <w:b/>
          <w:bCs/>
        </w:rPr>
        <w:t>Cambodia</w:t>
      </w:r>
      <w:r w:rsidR="004D7918" w:rsidRPr="00CC5F28">
        <w:t xml:space="preserve"> (up </w:t>
      </w:r>
      <w:r w:rsidR="00B06B04" w:rsidRPr="00CC5F28">
        <w:t>224</w:t>
      </w:r>
      <w:r w:rsidR="004D7918" w:rsidRPr="00CC5F28">
        <w:t xml:space="preserve">%) </w:t>
      </w:r>
      <w:r w:rsidR="00B06B04" w:rsidRPr="00CC5F28">
        <w:t xml:space="preserve">stood out </w:t>
      </w:r>
      <w:r w:rsidR="00CC5F28" w:rsidRPr="00CC5F28">
        <w:t xml:space="preserve">as </w:t>
      </w:r>
      <w:r w:rsidR="00B06B04" w:rsidRPr="00CC5F28">
        <w:t>growth markets</w:t>
      </w:r>
      <w:r w:rsidR="004B25EA" w:rsidRPr="00CC5F28">
        <w:t xml:space="preserve"> in Asia.</w:t>
      </w:r>
    </w:p>
    <w:p w14:paraId="64B8D233" w14:textId="1D8AE915" w:rsidR="00DC28FF" w:rsidRPr="00CC5F28" w:rsidRDefault="00CC5F28" w:rsidP="00846556">
      <w:pPr>
        <w:pStyle w:val="ListParagraph"/>
        <w:numPr>
          <w:ilvl w:val="0"/>
          <w:numId w:val="10"/>
        </w:numPr>
        <w:spacing w:before="120" w:after="120"/>
      </w:pPr>
      <w:bookmarkStart w:id="0" w:name="_Hlk71710426"/>
      <w:r w:rsidRPr="00CC5F28">
        <w:t>Sales of Minnesota goods also fell to</w:t>
      </w:r>
      <w:r w:rsidR="00CC1EF1" w:rsidRPr="00CC5F28">
        <w:t xml:space="preserve"> </w:t>
      </w:r>
      <w:r w:rsidR="00DC28FF" w:rsidRPr="00CC5F28">
        <w:t>the</w:t>
      </w:r>
      <w:r w:rsidR="00C84427" w:rsidRPr="00CC5F28">
        <w:t xml:space="preserve"> </w:t>
      </w:r>
      <w:r w:rsidR="001C13C5" w:rsidRPr="00CC5F28">
        <w:rPr>
          <w:b/>
        </w:rPr>
        <w:t>Europe</w:t>
      </w:r>
      <w:r w:rsidR="00DC28FF" w:rsidRPr="00CC5F28">
        <w:rPr>
          <w:b/>
        </w:rPr>
        <w:t>an Union</w:t>
      </w:r>
      <w:r w:rsidR="00CC1EF1" w:rsidRPr="00CC5F28">
        <w:t xml:space="preserve"> </w:t>
      </w:r>
      <w:r w:rsidR="00A744D1" w:rsidRPr="00CC5F28">
        <w:t>(</w:t>
      </w:r>
      <w:r w:rsidR="00D62905" w:rsidRPr="00CC5F28">
        <w:t xml:space="preserve">$1 billion, </w:t>
      </w:r>
      <w:r w:rsidR="00DC28FF" w:rsidRPr="00CC5F28">
        <w:t>down</w:t>
      </w:r>
      <w:r w:rsidR="00387777" w:rsidRPr="00CC5F28">
        <w:t xml:space="preserve"> </w:t>
      </w:r>
      <w:r w:rsidR="00D62905" w:rsidRPr="00CC5F28">
        <w:t>25</w:t>
      </w:r>
      <w:r w:rsidR="00387777" w:rsidRPr="00CC5F28">
        <w:t>%</w:t>
      </w:r>
      <w:r w:rsidR="00B64706" w:rsidRPr="00CC5F28">
        <w:t>)</w:t>
      </w:r>
      <w:r w:rsidR="00D62905" w:rsidRPr="00CC5F28">
        <w:t xml:space="preserve"> and the </w:t>
      </w:r>
      <w:r w:rsidR="00D62905" w:rsidRPr="00CC5F28">
        <w:rPr>
          <w:b/>
          <w:bCs/>
        </w:rPr>
        <w:t>Caribbean, Central and South America</w:t>
      </w:r>
      <w:r w:rsidR="00D62905" w:rsidRPr="00CC5F28">
        <w:t xml:space="preserve"> ($328 million, down 11%)</w:t>
      </w:r>
      <w:r w:rsidR="00FF330B" w:rsidRPr="00CC5F28">
        <w:t xml:space="preserve">. European countries such as </w:t>
      </w:r>
      <w:r w:rsidR="00FF330B" w:rsidRPr="00CC5F28">
        <w:rPr>
          <w:b/>
          <w:bCs/>
        </w:rPr>
        <w:t xml:space="preserve">Italy, </w:t>
      </w:r>
      <w:proofErr w:type="gramStart"/>
      <w:r w:rsidR="00FF330B" w:rsidRPr="00CC5F28">
        <w:rPr>
          <w:b/>
          <w:bCs/>
        </w:rPr>
        <w:t>Germany</w:t>
      </w:r>
      <w:proofErr w:type="gramEnd"/>
      <w:r w:rsidR="00FF330B" w:rsidRPr="00CC5F28">
        <w:rPr>
          <w:b/>
          <w:bCs/>
        </w:rPr>
        <w:t xml:space="preserve"> </w:t>
      </w:r>
      <w:r w:rsidR="00FF330B" w:rsidRPr="00CC5F28">
        <w:t xml:space="preserve">and </w:t>
      </w:r>
      <w:r w:rsidR="00FF330B" w:rsidRPr="00CC5F28">
        <w:rPr>
          <w:b/>
          <w:bCs/>
        </w:rPr>
        <w:t>Spain</w:t>
      </w:r>
      <w:r w:rsidR="00FF330B" w:rsidRPr="00CC5F28">
        <w:t>; and Latin American countries such as</w:t>
      </w:r>
      <w:r w:rsidR="00FF330B" w:rsidRPr="00CC5F28">
        <w:rPr>
          <w:b/>
          <w:bCs/>
        </w:rPr>
        <w:t xml:space="preserve"> Uruguay, Costa Rica </w:t>
      </w:r>
      <w:r w:rsidR="00FF330B" w:rsidRPr="00CC5F28">
        <w:t xml:space="preserve">and </w:t>
      </w:r>
      <w:r w:rsidR="00FF330B" w:rsidRPr="00CC5F28">
        <w:rPr>
          <w:b/>
          <w:bCs/>
        </w:rPr>
        <w:t>Chile</w:t>
      </w:r>
      <w:r w:rsidRPr="00CC5F28">
        <w:t xml:space="preserve">, </w:t>
      </w:r>
      <w:r w:rsidR="00FF330B" w:rsidRPr="00CC5F28">
        <w:t>suffered the largest declines in their regions.</w:t>
      </w:r>
    </w:p>
    <w:p w14:paraId="5C0B6943" w14:textId="00596CC1" w:rsidR="00B81154" w:rsidRPr="00CC5F28" w:rsidRDefault="00CC5F28" w:rsidP="00B81154">
      <w:pPr>
        <w:pStyle w:val="ListParagraph"/>
        <w:numPr>
          <w:ilvl w:val="0"/>
          <w:numId w:val="10"/>
        </w:numPr>
        <w:spacing w:after="0"/>
      </w:pPr>
      <w:r w:rsidRPr="00CC5F28">
        <w:rPr>
          <w:bCs/>
        </w:rPr>
        <w:t>Other g</w:t>
      </w:r>
      <w:r w:rsidR="00B81154" w:rsidRPr="00CC5F28">
        <w:rPr>
          <w:bCs/>
        </w:rPr>
        <w:t>row</w:t>
      </w:r>
      <w:r w:rsidR="00B06B04" w:rsidRPr="00CC5F28">
        <w:rPr>
          <w:bCs/>
        </w:rPr>
        <w:t>th regions included</w:t>
      </w:r>
      <w:r w:rsidR="00B81154" w:rsidRPr="00CC5F28">
        <w:rPr>
          <w:bCs/>
        </w:rPr>
        <w:t xml:space="preserve"> </w:t>
      </w:r>
      <w:r w:rsidR="00D62905" w:rsidRPr="00CC5F28">
        <w:rPr>
          <w:b/>
        </w:rPr>
        <w:t>Africa</w:t>
      </w:r>
      <w:r w:rsidR="00B81154" w:rsidRPr="00CC5F28">
        <w:t xml:space="preserve"> ($</w:t>
      </w:r>
      <w:r w:rsidR="00D62905" w:rsidRPr="00CC5F28">
        <w:t>110</w:t>
      </w:r>
      <w:r w:rsidR="00B81154" w:rsidRPr="00CC5F28">
        <w:t xml:space="preserve"> million, up </w:t>
      </w:r>
      <w:r w:rsidR="00D62905" w:rsidRPr="00CC5F28">
        <w:t>139</w:t>
      </w:r>
      <w:r w:rsidR="00B81154" w:rsidRPr="00CC5F28">
        <w:t>%)</w:t>
      </w:r>
      <w:r w:rsidR="00B06B04" w:rsidRPr="00CC5F28">
        <w:t xml:space="preserve"> and the</w:t>
      </w:r>
      <w:r w:rsidR="00B81154" w:rsidRPr="00CC5F28">
        <w:rPr>
          <w:bCs/>
        </w:rPr>
        <w:t xml:space="preserve"> </w:t>
      </w:r>
      <w:r w:rsidR="00B81154" w:rsidRPr="00CC5F28">
        <w:rPr>
          <w:b/>
          <w:bCs/>
        </w:rPr>
        <w:t>Australia</w:t>
      </w:r>
      <w:r w:rsidR="00B06B04" w:rsidRPr="00CC5F28">
        <w:rPr>
          <w:b/>
          <w:bCs/>
        </w:rPr>
        <w:t>-Pacific</w:t>
      </w:r>
      <w:r w:rsidR="00B81154" w:rsidRPr="00CC5F28">
        <w:rPr>
          <w:b/>
          <w:bCs/>
        </w:rPr>
        <w:t xml:space="preserve"> </w:t>
      </w:r>
      <w:r w:rsidR="00B81154" w:rsidRPr="00CC5F28">
        <w:t>($1</w:t>
      </w:r>
      <w:r w:rsidR="00B06B04" w:rsidRPr="00CC5F28">
        <w:t>79</w:t>
      </w:r>
      <w:r w:rsidR="00B81154" w:rsidRPr="00CC5F28">
        <w:t xml:space="preserve"> million, up </w:t>
      </w:r>
      <w:r w:rsidR="00B06B04" w:rsidRPr="00CC5F28">
        <w:t>32</w:t>
      </w:r>
      <w:r w:rsidR="00B81154" w:rsidRPr="00CC5F28">
        <w:t>%</w:t>
      </w:r>
      <w:r w:rsidR="00B06B04" w:rsidRPr="00CC5F28">
        <w:t>)</w:t>
      </w:r>
      <w:r w:rsidR="00B81154" w:rsidRPr="00CC5F28">
        <w:t>.</w:t>
      </w:r>
    </w:p>
    <w:bookmarkEnd w:id="0"/>
    <w:p w14:paraId="481CD972" w14:textId="56D5F885" w:rsidR="007C165F" w:rsidRPr="00CC5F28" w:rsidRDefault="007C165F" w:rsidP="00F85FA6">
      <w:pPr>
        <w:pStyle w:val="Heading3"/>
        <w:spacing w:before="120" w:after="60"/>
        <w:rPr>
          <w:color w:val="auto"/>
          <w:sz w:val="24"/>
          <w:szCs w:val="24"/>
        </w:rPr>
      </w:pPr>
      <w:r w:rsidRPr="00CC5F28">
        <w:rPr>
          <w:color w:val="auto"/>
          <w:sz w:val="24"/>
          <w:szCs w:val="24"/>
        </w:rPr>
        <w:t xml:space="preserve">Figure </w:t>
      </w:r>
      <w:r w:rsidR="00E36364" w:rsidRPr="00CC5F28">
        <w:rPr>
          <w:color w:val="auto"/>
          <w:sz w:val="24"/>
          <w:szCs w:val="24"/>
        </w:rPr>
        <w:fldChar w:fldCharType="begin"/>
      </w:r>
      <w:r w:rsidR="00E36364" w:rsidRPr="00CC5F28">
        <w:rPr>
          <w:color w:val="auto"/>
          <w:sz w:val="24"/>
          <w:szCs w:val="24"/>
        </w:rPr>
        <w:instrText xml:space="preserve"> SEQ Figure \* ARABIC </w:instrText>
      </w:r>
      <w:r w:rsidR="00E36364" w:rsidRPr="00CC5F28">
        <w:rPr>
          <w:color w:val="auto"/>
          <w:sz w:val="24"/>
          <w:szCs w:val="24"/>
        </w:rPr>
        <w:fldChar w:fldCharType="separate"/>
      </w:r>
      <w:r w:rsidR="00C430F8" w:rsidRPr="00CC5F28">
        <w:rPr>
          <w:color w:val="auto"/>
          <w:sz w:val="24"/>
          <w:szCs w:val="24"/>
        </w:rPr>
        <w:t>2</w:t>
      </w:r>
      <w:r w:rsidR="00E36364" w:rsidRPr="00CC5F28">
        <w:rPr>
          <w:color w:val="auto"/>
          <w:sz w:val="24"/>
          <w:szCs w:val="24"/>
        </w:rPr>
        <w:fldChar w:fldCharType="end"/>
      </w:r>
      <w:r w:rsidR="00C84D0E" w:rsidRPr="00CC5F28">
        <w:rPr>
          <w:color w:val="auto"/>
          <w:sz w:val="24"/>
          <w:szCs w:val="24"/>
        </w:rPr>
        <w:t xml:space="preserve">. </w:t>
      </w:r>
      <w:r w:rsidR="00A44451" w:rsidRPr="00CC5F28">
        <w:rPr>
          <w:color w:val="auto"/>
          <w:sz w:val="24"/>
          <w:szCs w:val="24"/>
        </w:rPr>
        <w:t>Export Trends for</w:t>
      </w:r>
      <w:r w:rsidR="0038665A" w:rsidRPr="00CC5F28">
        <w:rPr>
          <w:color w:val="auto"/>
          <w:sz w:val="24"/>
          <w:szCs w:val="24"/>
        </w:rPr>
        <w:t xml:space="preserve"> Minnesota’s Top 10 Markets, </w:t>
      </w:r>
      <w:r w:rsidR="00CE08AA" w:rsidRPr="00CC5F28">
        <w:rPr>
          <w:color w:val="auto"/>
          <w:sz w:val="24"/>
          <w:szCs w:val="24"/>
        </w:rPr>
        <w:t>Fourth</w:t>
      </w:r>
      <w:r w:rsidR="00375ACF" w:rsidRPr="00CC5F28">
        <w:rPr>
          <w:color w:val="auto"/>
          <w:sz w:val="24"/>
          <w:szCs w:val="24"/>
        </w:rPr>
        <w:t xml:space="preserve"> </w:t>
      </w:r>
      <w:r w:rsidR="00725672" w:rsidRPr="00CC5F28">
        <w:rPr>
          <w:color w:val="auto"/>
          <w:sz w:val="24"/>
          <w:szCs w:val="24"/>
        </w:rPr>
        <w:t>Q</w:t>
      </w:r>
      <w:r w:rsidR="00375ACF" w:rsidRPr="00CC5F28">
        <w:rPr>
          <w:color w:val="auto"/>
          <w:sz w:val="24"/>
          <w:szCs w:val="24"/>
        </w:rPr>
        <w:t>uarter</w:t>
      </w:r>
      <w:r w:rsidR="00A52415" w:rsidRPr="00CC5F28">
        <w:rPr>
          <w:color w:val="auto"/>
          <w:sz w:val="24"/>
          <w:szCs w:val="24"/>
        </w:rPr>
        <w:t xml:space="preserve"> </w:t>
      </w:r>
      <w:r w:rsidR="004C6288" w:rsidRPr="00CC5F28">
        <w:rPr>
          <w:color w:val="auto"/>
          <w:sz w:val="24"/>
          <w:szCs w:val="24"/>
        </w:rPr>
        <w:t>2023</w:t>
      </w:r>
    </w:p>
    <w:p w14:paraId="11C01A8F" w14:textId="3DF67FE0" w:rsidR="004F5EFC" w:rsidRPr="00CC5F28" w:rsidRDefault="004663B8" w:rsidP="002D1E09">
      <w:pPr>
        <w:spacing w:after="0"/>
      </w:pPr>
      <w:r w:rsidRPr="00CC5F28">
        <w:rPr>
          <w:noProof/>
        </w:rPr>
        <w:drawing>
          <wp:inline distT="0" distB="0" distL="0" distR="0" wp14:anchorId="6E9893A1" wp14:editId="49D9C208">
            <wp:extent cx="6394450" cy="1907673"/>
            <wp:effectExtent l="0" t="0" r="6350" b="0"/>
            <wp:docPr id="6" name="Picture 6" descr="Figure 2&#10;double bar chart of export value and trends for top 10 markets&#10;Country Exports (millions) Percent Change, 2022-Q4 to 2023-Q4&#10;WORLD  $6,190  -14%&#10;Canada (1)   $1,765  -20%&#10;Mexico (2)   $843  9%&#10;China (3)   $553  -10%&#10;Japan (4)   $240  -11%&#10;Belgium (5)   $186  -7%&#10;Germany (6)   $183  -32%&#10;Ireland (7)   $175  11%&#10;Australia (8)   $172  43%&#10;Korea (9)   $160  -45%&#10;Netherlands (10)   $150  -12%&#10;Other  $1,763  -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ure 2&#10;double bar chart of export value and trends for top 10 markets&#10;Country Exports (millions) Percent Change, 2022-Q4 to 2023-Q4&#10;WORLD  $6,190  -14%&#10;Canada (1)   $1,765  -20%&#10;Mexico (2)   $843  9%&#10;China (3)   $553  -10%&#10;Japan (4)   $240  -11%&#10;Belgium (5)   $186  -7%&#10;Germany (6)   $183  -32%&#10;Ireland (7)   $175  11%&#10;Australia (8)   $172  43%&#10;Korea (9)   $160  -45%&#10;Netherlands (10)   $150  -12%&#10;Other  $1,763  -16%&#10;"/>
                    <pic:cNvPicPr>
                      <a:picLocks noChangeAspect="1" noChangeArrowheads="1"/>
                    </pic:cNvPicPr>
                  </pic:nvPicPr>
                  <pic:blipFill rotWithShape="1">
                    <a:blip r:embed="rId14">
                      <a:extLst>
                        <a:ext uri="{28A0092B-C50C-407E-A947-70E740481C1C}">
                          <a14:useLocalDpi xmlns:a14="http://schemas.microsoft.com/office/drawing/2010/main" val="0"/>
                        </a:ext>
                      </a:extLst>
                    </a:blip>
                    <a:srcRect t="5304"/>
                    <a:stretch/>
                  </pic:blipFill>
                  <pic:spPr bwMode="auto">
                    <a:xfrm>
                      <a:off x="0" y="0"/>
                      <a:ext cx="6397051" cy="1908449"/>
                    </a:xfrm>
                    <a:prstGeom prst="rect">
                      <a:avLst/>
                    </a:prstGeom>
                    <a:noFill/>
                    <a:ln>
                      <a:noFill/>
                    </a:ln>
                    <a:extLst>
                      <a:ext uri="{53640926-AAD7-44D8-BBD7-CCE9431645EC}">
                        <a14:shadowObscured xmlns:a14="http://schemas.microsoft.com/office/drawing/2010/main"/>
                      </a:ext>
                    </a:extLst>
                  </pic:spPr>
                </pic:pic>
              </a:graphicData>
            </a:graphic>
          </wp:inline>
        </w:drawing>
      </w:r>
      <w:r w:rsidR="004F5EFC" w:rsidRPr="00CC5F28">
        <w:br w:type="page"/>
      </w:r>
    </w:p>
    <w:p w14:paraId="52D9CF8F" w14:textId="5FAC298B" w:rsidR="00212FF3" w:rsidRPr="00CC5F28" w:rsidRDefault="002C3BBC" w:rsidP="00212FF3">
      <w:pPr>
        <w:pStyle w:val="Heading2"/>
        <w:tabs>
          <w:tab w:val="left" w:pos="360"/>
        </w:tabs>
        <w:spacing w:before="0" w:after="120"/>
        <w:ind w:left="360" w:hanging="360"/>
        <w:rPr>
          <w:rFonts w:asciiTheme="minorHAnsi" w:hAnsiTheme="minorHAnsi"/>
          <w:bCs w:val="0"/>
          <w:i/>
          <w:color w:val="auto"/>
          <w:sz w:val="28"/>
        </w:rPr>
      </w:pPr>
      <w:r w:rsidRPr="00CC5F28">
        <w:rPr>
          <w:rFonts w:asciiTheme="minorHAnsi" w:hAnsiTheme="minorHAnsi"/>
          <w:bCs w:val="0"/>
          <w:i/>
          <w:color w:val="auto"/>
          <w:sz w:val="28"/>
        </w:rPr>
        <w:lastRenderedPageBreak/>
        <w:t>Vehicles,</w:t>
      </w:r>
      <w:r w:rsidR="00F10BC5" w:rsidRPr="00CC5F28">
        <w:rPr>
          <w:rFonts w:asciiTheme="minorHAnsi" w:hAnsiTheme="minorHAnsi"/>
          <w:bCs w:val="0"/>
          <w:i/>
          <w:color w:val="auto"/>
          <w:sz w:val="28"/>
        </w:rPr>
        <w:t xml:space="preserve"> </w:t>
      </w:r>
      <w:r w:rsidR="00E05D27" w:rsidRPr="00CC5F28">
        <w:rPr>
          <w:rFonts w:asciiTheme="minorHAnsi" w:hAnsiTheme="minorHAnsi"/>
          <w:bCs w:val="0"/>
          <w:i/>
          <w:color w:val="auto"/>
          <w:sz w:val="28"/>
        </w:rPr>
        <w:t>Cereals</w:t>
      </w:r>
      <w:r w:rsidR="00913ED2" w:rsidRPr="00CC5F28">
        <w:rPr>
          <w:rFonts w:asciiTheme="minorHAnsi" w:hAnsiTheme="minorHAnsi"/>
          <w:bCs w:val="0"/>
          <w:i/>
          <w:color w:val="auto"/>
          <w:sz w:val="28"/>
        </w:rPr>
        <w:t>,</w:t>
      </w:r>
      <w:r w:rsidR="00F10BC5" w:rsidRPr="00CC5F28">
        <w:rPr>
          <w:rFonts w:asciiTheme="minorHAnsi" w:hAnsiTheme="minorHAnsi"/>
          <w:bCs w:val="0"/>
          <w:i/>
          <w:color w:val="auto"/>
          <w:sz w:val="28"/>
        </w:rPr>
        <w:t xml:space="preserve"> </w:t>
      </w:r>
      <w:r w:rsidR="00163A63" w:rsidRPr="00CC5F28">
        <w:rPr>
          <w:rFonts w:asciiTheme="minorHAnsi" w:hAnsiTheme="minorHAnsi"/>
          <w:bCs w:val="0"/>
          <w:i/>
          <w:color w:val="auto"/>
          <w:sz w:val="28"/>
        </w:rPr>
        <w:t xml:space="preserve">Medical Products </w:t>
      </w:r>
      <w:r w:rsidR="00310D8B" w:rsidRPr="00CC5F28">
        <w:rPr>
          <w:rFonts w:asciiTheme="minorHAnsi" w:hAnsiTheme="minorHAnsi"/>
          <w:bCs w:val="0"/>
          <w:i/>
          <w:color w:val="auto"/>
          <w:sz w:val="28"/>
        </w:rPr>
        <w:t xml:space="preserve">and </w:t>
      </w:r>
      <w:r w:rsidR="00163A63" w:rsidRPr="00CC5F28">
        <w:rPr>
          <w:rFonts w:asciiTheme="minorHAnsi" w:hAnsiTheme="minorHAnsi"/>
          <w:bCs w:val="0"/>
          <w:i/>
          <w:color w:val="auto"/>
          <w:sz w:val="28"/>
        </w:rPr>
        <w:t>Aircraft</w:t>
      </w:r>
      <w:r w:rsidR="00310D8B" w:rsidRPr="00CC5F28">
        <w:rPr>
          <w:rFonts w:asciiTheme="minorHAnsi" w:hAnsiTheme="minorHAnsi"/>
          <w:bCs w:val="0"/>
          <w:i/>
          <w:color w:val="auto"/>
          <w:sz w:val="28"/>
        </w:rPr>
        <w:t xml:space="preserve"> </w:t>
      </w:r>
      <w:r w:rsidR="00163A63" w:rsidRPr="00CC5F28">
        <w:rPr>
          <w:rFonts w:asciiTheme="minorHAnsi" w:hAnsiTheme="minorHAnsi"/>
          <w:bCs w:val="0"/>
          <w:i/>
          <w:color w:val="auto"/>
          <w:sz w:val="28"/>
        </w:rPr>
        <w:t>Grow Strongly</w:t>
      </w:r>
    </w:p>
    <w:p w14:paraId="32747C8F" w14:textId="77777777" w:rsidR="00A634F8" w:rsidRPr="00CC5F28" w:rsidRDefault="00A634F8" w:rsidP="00212FF3">
      <w:pPr>
        <w:pStyle w:val="NoSpacing"/>
        <w:numPr>
          <w:ilvl w:val="0"/>
          <w:numId w:val="18"/>
        </w:numPr>
        <w:spacing w:line="271" w:lineRule="auto"/>
        <w:rPr>
          <w:b/>
        </w:rPr>
        <w:sectPr w:rsidR="00A634F8" w:rsidRPr="00CC5F28" w:rsidSect="00FE15EB">
          <w:footerReference w:type="default" r:id="rId15"/>
          <w:footnotePr>
            <w:numRestart w:val="eachSect"/>
          </w:footnotePr>
          <w:endnotePr>
            <w:numFmt w:val="decimal"/>
          </w:endnotePr>
          <w:type w:val="continuous"/>
          <w:pgSz w:w="12240" w:h="15840" w:code="1"/>
          <w:pgMar w:top="864" w:right="1008" w:bottom="864" w:left="1008" w:header="720" w:footer="720" w:gutter="0"/>
          <w:cols w:space="720"/>
          <w:titlePg/>
          <w:docGrid w:linePitch="299"/>
        </w:sectPr>
      </w:pPr>
    </w:p>
    <w:p w14:paraId="627EA2A1" w14:textId="10410CAA" w:rsidR="00A634F8" w:rsidRPr="00CC5F28" w:rsidRDefault="00310D8B" w:rsidP="00FF7510">
      <w:pPr>
        <w:pStyle w:val="NoSpacing"/>
        <w:numPr>
          <w:ilvl w:val="0"/>
          <w:numId w:val="7"/>
        </w:numPr>
        <w:spacing w:line="271" w:lineRule="auto"/>
        <w:ind w:left="360" w:right="72"/>
      </w:pPr>
      <w:r w:rsidRPr="00CC5F28">
        <w:t xml:space="preserve">Despite </w:t>
      </w:r>
      <w:r w:rsidR="00FF330B" w:rsidRPr="00CC5F28">
        <w:t xml:space="preserve">significant declines </w:t>
      </w:r>
      <w:r w:rsidR="00163A63" w:rsidRPr="00CC5F28">
        <w:t xml:space="preserve">in </w:t>
      </w:r>
      <w:r w:rsidR="00FF330B" w:rsidRPr="00CC5F28">
        <w:t>four top 10 ex</w:t>
      </w:r>
      <w:r w:rsidR="006F0A9A" w:rsidRPr="00CC5F28">
        <w:t xml:space="preserve">port </w:t>
      </w:r>
      <w:r w:rsidR="00163A63" w:rsidRPr="00CC5F28">
        <w:t>products</w:t>
      </w:r>
      <w:r w:rsidRPr="00CC5F28">
        <w:t xml:space="preserve">, </w:t>
      </w:r>
      <w:r w:rsidR="006F0A9A" w:rsidRPr="00CC5F28">
        <w:t xml:space="preserve">some </w:t>
      </w:r>
      <w:r w:rsidR="00FF330B" w:rsidRPr="00CC5F28">
        <w:t>core</w:t>
      </w:r>
      <w:r w:rsidR="002C3BBC" w:rsidRPr="00CC5F28">
        <w:t xml:space="preserve"> </w:t>
      </w:r>
      <w:r w:rsidR="006F0A9A" w:rsidRPr="00CC5F28">
        <w:t xml:space="preserve">export </w:t>
      </w:r>
      <w:r w:rsidR="00163A63" w:rsidRPr="00CC5F28">
        <w:t>area</w:t>
      </w:r>
      <w:r w:rsidR="00861FE3" w:rsidRPr="00CC5F28">
        <w:t xml:space="preserve">s </w:t>
      </w:r>
      <w:r w:rsidR="00163A63" w:rsidRPr="00CC5F28">
        <w:t xml:space="preserve">still </w:t>
      </w:r>
      <w:r w:rsidR="00BB4A7B" w:rsidRPr="00CC5F28">
        <w:t>perform</w:t>
      </w:r>
      <w:r w:rsidR="00212FF3" w:rsidRPr="00CC5F28">
        <w:t>ed</w:t>
      </w:r>
      <w:r w:rsidR="00FF330B" w:rsidRPr="00CC5F28">
        <w:t xml:space="preserve"> </w:t>
      </w:r>
      <w:r w:rsidR="00BB4A7B" w:rsidRPr="00CC5F28">
        <w:t>strongly</w:t>
      </w:r>
      <w:r w:rsidR="00FF7510" w:rsidRPr="00CC5F28">
        <w:t xml:space="preserve"> –</w:t>
      </w:r>
      <w:r w:rsidR="000D566F" w:rsidRPr="00CC5F28">
        <w:t xml:space="preserve"> </w:t>
      </w:r>
      <w:r w:rsidR="00F10BC5" w:rsidRPr="00CC5F28">
        <w:t xml:space="preserve">led by </w:t>
      </w:r>
      <w:r w:rsidR="008C3CC2" w:rsidRPr="00CC5F28">
        <w:rPr>
          <w:b/>
          <w:bCs/>
        </w:rPr>
        <w:t>vehicles</w:t>
      </w:r>
      <w:r w:rsidR="008C3CC2" w:rsidRPr="00CC5F28">
        <w:t xml:space="preserve"> (up </w:t>
      </w:r>
      <w:r w:rsidRPr="00CC5F28">
        <w:t>4</w:t>
      </w:r>
      <w:r w:rsidR="00FF330B" w:rsidRPr="00CC5F28">
        <w:t>1</w:t>
      </w:r>
      <w:r w:rsidR="008C3CC2" w:rsidRPr="00CC5F28">
        <w:t xml:space="preserve">%), </w:t>
      </w:r>
      <w:r w:rsidR="00FF330B" w:rsidRPr="00CC5F28">
        <w:rPr>
          <w:b/>
          <w:bCs/>
        </w:rPr>
        <w:t xml:space="preserve">cereals </w:t>
      </w:r>
      <w:r w:rsidR="00FF330B" w:rsidRPr="00CC5F28">
        <w:t xml:space="preserve">(up 53%), </w:t>
      </w:r>
      <w:r w:rsidR="00BB4A7B" w:rsidRPr="00CC5F28">
        <w:rPr>
          <w:b/>
          <w:bCs/>
        </w:rPr>
        <w:t>optic, medical</w:t>
      </w:r>
      <w:r w:rsidR="00FF7510" w:rsidRPr="00CC5F28">
        <w:rPr>
          <w:b/>
          <w:bCs/>
        </w:rPr>
        <w:t xml:space="preserve"> </w:t>
      </w:r>
      <w:r w:rsidR="00FF330B" w:rsidRPr="00CC5F28">
        <w:rPr>
          <w:b/>
          <w:bCs/>
        </w:rPr>
        <w:t>goods</w:t>
      </w:r>
      <w:r w:rsidR="00BB4A7B" w:rsidRPr="00CC5F28">
        <w:t xml:space="preserve"> (up </w:t>
      </w:r>
      <w:r w:rsidR="00FF330B" w:rsidRPr="00CC5F28">
        <w:t>5</w:t>
      </w:r>
      <w:r w:rsidR="00BB4A7B" w:rsidRPr="00CC5F28">
        <w:t>%)</w:t>
      </w:r>
      <w:r w:rsidR="00163A63" w:rsidRPr="00CC5F28">
        <w:t xml:space="preserve"> and</w:t>
      </w:r>
      <w:r w:rsidR="008C3CC2" w:rsidRPr="00CC5F28">
        <w:t xml:space="preserve"> </w:t>
      </w:r>
      <w:r w:rsidR="008C3CC2" w:rsidRPr="00CC5F28">
        <w:rPr>
          <w:b/>
          <w:bCs/>
        </w:rPr>
        <w:t>aircraft, spacecraft</w:t>
      </w:r>
      <w:r w:rsidR="0061064A" w:rsidRPr="00CC5F28">
        <w:rPr>
          <w:b/>
          <w:bCs/>
        </w:rPr>
        <w:t xml:space="preserve"> </w:t>
      </w:r>
      <w:r w:rsidR="0061064A" w:rsidRPr="00CC5F28">
        <w:t xml:space="preserve">(up </w:t>
      </w:r>
      <w:r w:rsidR="00FF330B" w:rsidRPr="00CC5F28">
        <w:t>46</w:t>
      </w:r>
      <w:r w:rsidR="0061064A" w:rsidRPr="00CC5F28">
        <w:t>%)</w:t>
      </w:r>
      <w:r w:rsidR="00163A63" w:rsidRPr="00CC5F28">
        <w:t>.</w:t>
      </w:r>
    </w:p>
    <w:p w14:paraId="34AAFEAE" w14:textId="2D48B69A" w:rsidR="00B92975" w:rsidRPr="00CC5F28" w:rsidRDefault="00AC7D35" w:rsidP="003F5713">
      <w:pPr>
        <w:pStyle w:val="NoSpacing"/>
        <w:numPr>
          <w:ilvl w:val="0"/>
          <w:numId w:val="7"/>
        </w:numPr>
        <w:spacing w:line="271" w:lineRule="auto"/>
        <w:ind w:left="360" w:right="-18"/>
      </w:pPr>
      <w:r w:rsidRPr="00CC5F28">
        <w:t>S</w:t>
      </w:r>
      <w:r w:rsidR="000D566F" w:rsidRPr="00CC5F28">
        <w:t>ales of</w:t>
      </w:r>
      <w:r w:rsidR="008C3CC2" w:rsidRPr="00CC5F28">
        <w:t xml:space="preserve"> </w:t>
      </w:r>
      <w:r w:rsidR="008C3CC2" w:rsidRPr="00CC5F28">
        <w:rPr>
          <w:b/>
          <w:bCs/>
        </w:rPr>
        <w:t>mineral fuel, oil</w:t>
      </w:r>
      <w:r w:rsidR="008C3CC2" w:rsidRPr="00CC5F28">
        <w:t xml:space="preserve"> </w:t>
      </w:r>
      <w:r w:rsidRPr="00CC5F28">
        <w:t>sank $</w:t>
      </w:r>
      <w:r w:rsidR="00FF330B" w:rsidRPr="00CC5F28">
        <w:t>990</w:t>
      </w:r>
      <w:r w:rsidRPr="00CC5F28">
        <w:t xml:space="preserve"> </w:t>
      </w:r>
      <w:r w:rsidR="00FF330B" w:rsidRPr="00CC5F28">
        <w:t>m</w:t>
      </w:r>
      <w:r w:rsidRPr="00CC5F28">
        <w:t xml:space="preserve">illion (down </w:t>
      </w:r>
      <w:r w:rsidR="00FF330B" w:rsidRPr="00CC5F28">
        <w:t>80</w:t>
      </w:r>
      <w:r w:rsidRPr="00CC5F28">
        <w:t>%</w:t>
      </w:r>
      <w:r w:rsidR="008C3CC2" w:rsidRPr="00CC5F28">
        <w:t>)</w:t>
      </w:r>
      <w:r w:rsidR="0035592C" w:rsidRPr="00CC5F28">
        <w:t xml:space="preserve"> to $</w:t>
      </w:r>
      <w:r w:rsidR="00FF330B" w:rsidRPr="00CC5F28">
        <w:t>251</w:t>
      </w:r>
      <w:r w:rsidR="0035592C" w:rsidRPr="00CC5F28">
        <w:t xml:space="preserve"> million</w:t>
      </w:r>
      <w:r w:rsidR="00FF330B" w:rsidRPr="00CC5F28">
        <w:t xml:space="preserve"> –</w:t>
      </w:r>
      <w:r w:rsidR="00163A63" w:rsidRPr="00CC5F28">
        <w:t xml:space="preserve">driven by trends in </w:t>
      </w:r>
      <w:r w:rsidR="00FF330B" w:rsidRPr="00CC5F28">
        <w:t>the dominant market</w:t>
      </w:r>
      <w:r w:rsidR="00B92975" w:rsidRPr="00CC5F28">
        <w:t>,</w:t>
      </w:r>
      <w:r w:rsidR="00FF330B" w:rsidRPr="00CC5F28">
        <w:t xml:space="preserve"> </w:t>
      </w:r>
      <w:r w:rsidR="0021109C" w:rsidRPr="00CC5F28">
        <w:rPr>
          <w:b/>
          <w:bCs/>
        </w:rPr>
        <w:t xml:space="preserve">Canada </w:t>
      </w:r>
      <w:r w:rsidR="0021109C" w:rsidRPr="00CC5F28">
        <w:t xml:space="preserve">(down </w:t>
      </w:r>
      <w:r w:rsidR="00FF330B" w:rsidRPr="00CC5F28">
        <w:t>70</w:t>
      </w:r>
      <w:r w:rsidR="0021109C" w:rsidRPr="00CC5F28">
        <w:t>%</w:t>
      </w:r>
      <w:r w:rsidR="00FF7510" w:rsidRPr="00CC5F28">
        <w:t>)</w:t>
      </w:r>
      <w:r w:rsidR="00B92975" w:rsidRPr="00CC5F28">
        <w:t xml:space="preserve">, </w:t>
      </w:r>
      <w:r w:rsidR="00FF330B" w:rsidRPr="00CC5F28">
        <w:t xml:space="preserve">but </w:t>
      </w:r>
      <w:r w:rsidR="00163A63" w:rsidRPr="00CC5F28">
        <w:t>also in</w:t>
      </w:r>
      <w:r w:rsidR="00FF330B" w:rsidRPr="00CC5F28">
        <w:t xml:space="preserve"> </w:t>
      </w:r>
      <w:r w:rsidR="00FF330B" w:rsidRPr="00CC5F28">
        <w:rPr>
          <w:b/>
          <w:bCs/>
        </w:rPr>
        <w:t>Korea</w:t>
      </w:r>
      <w:r w:rsidR="00E7076F" w:rsidRPr="00CC5F28">
        <w:rPr>
          <w:b/>
          <w:bCs/>
        </w:rPr>
        <w:t xml:space="preserve">, </w:t>
      </w:r>
      <w:r w:rsidR="000D2409" w:rsidRPr="00CC5F28">
        <w:rPr>
          <w:b/>
          <w:bCs/>
        </w:rPr>
        <w:t xml:space="preserve">Spain, </w:t>
      </w:r>
      <w:r w:rsidR="00FF330B" w:rsidRPr="00CC5F28">
        <w:rPr>
          <w:b/>
          <w:bCs/>
        </w:rPr>
        <w:t xml:space="preserve">Italy, </w:t>
      </w:r>
      <w:proofErr w:type="gramStart"/>
      <w:r w:rsidR="00FF330B" w:rsidRPr="00CC5F28">
        <w:rPr>
          <w:b/>
          <w:bCs/>
        </w:rPr>
        <w:t>Taiwan</w:t>
      </w:r>
      <w:proofErr w:type="gramEnd"/>
      <w:r w:rsidR="00FF330B" w:rsidRPr="00CC5F28">
        <w:rPr>
          <w:b/>
          <w:bCs/>
        </w:rPr>
        <w:t xml:space="preserve"> </w:t>
      </w:r>
      <w:r w:rsidR="00FF330B" w:rsidRPr="00CC5F28">
        <w:t xml:space="preserve">and </w:t>
      </w:r>
      <w:r w:rsidR="00FF330B" w:rsidRPr="00CC5F28">
        <w:rPr>
          <w:b/>
          <w:bCs/>
        </w:rPr>
        <w:t>France</w:t>
      </w:r>
      <w:r w:rsidR="00163A63" w:rsidRPr="00CC5F28">
        <w:t>, where exports fell 100% – representing</w:t>
      </w:r>
      <w:r w:rsidR="00B92975" w:rsidRPr="00CC5F28">
        <w:t xml:space="preserve"> losses of $50 million to $120 million</w:t>
      </w:r>
      <w:r w:rsidR="00163A63" w:rsidRPr="00CC5F28">
        <w:t xml:space="preserve"> in each of these markets.</w:t>
      </w:r>
    </w:p>
    <w:p w14:paraId="11B36D49" w14:textId="3A714813" w:rsidR="0021109C" w:rsidRPr="00CC5F28" w:rsidRDefault="00F85FA6" w:rsidP="00821BD6">
      <w:pPr>
        <w:pStyle w:val="ListParagraph"/>
        <w:numPr>
          <w:ilvl w:val="0"/>
          <w:numId w:val="20"/>
        </w:numPr>
        <w:spacing w:after="0" w:line="271" w:lineRule="auto"/>
      </w:pPr>
      <w:r w:rsidRPr="00CC5F28">
        <w:rPr>
          <w:bCs/>
        </w:rPr>
        <w:t>Sales of</w:t>
      </w:r>
      <w:r w:rsidRPr="00CC5F28">
        <w:rPr>
          <w:b/>
        </w:rPr>
        <w:t xml:space="preserve"> v</w:t>
      </w:r>
      <w:r w:rsidR="0021109C" w:rsidRPr="00CC5F28">
        <w:rPr>
          <w:b/>
        </w:rPr>
        <w:t>ehicles</w:t>
      </w:r>
      <w:r w:rsidR="00D65A6E" w:rsidRPr="00CC5F28">
        <w:rPr>
          <w:bCs/>
        </w:rPr>
        <w:t xml:space="preserve"> surged to </w:t>
      </w:r>
      <w:r w:rsidR="00D65A6E" w:rsidRPr="00CC5F28">
        <w:rPr>
          <w:b/>
        </w:rPr>
        <w:t>Canada</w:t>
      </w:r>
      <w:r w:rsidR="00D65A6E" w:rsidRPr="00CC5F28">
        <w:rPr>
          <w:bCs/>
        </w:rPr>
        <w:t xml:space="preserve"> (up $82 million,</w:t>
      </w:r>
      <w:r w:rsidR="00D65A6E" w:rsidRPr="00CC5F28">
        <w:rPr>
          <w:b/>
        </w:rPr>
        <w:t xml:space="preserve"> Australia</w:t>
      </w:r>
      <w:r w:rsidR="00D65A6E" w:rsidRPr="00CC5F28">
        <w:rPr>
          <w:bCs/>
        </w:rPr>
        <w:t xml:space="preserve"> (up $59 million)</w:t>
      </w:r>
      <w:r w:rsidR="00C61B15" w:rsidRPr="00CC5F28">
        <w:rPr>
          <w:bCs/>
        </w:rPr>
        <w:t>,</w:t>
      </w:r>
      <w:r w:rsidR="0021109C" w:rsidRPr="00CC5F28">
        <w:rPr>
          <w:bCs/>
        </w:rPr>
        <w:t xml:space="preserve"> </w:t>
      </w:r>
      <w:r w:rsidR="00D65A6E" w:rsidRPr="00CC5F28">
        <w:rPr>
          <w:b/>
        </w:rPr>
        <w:t>Ukraine</w:t>
      </w:r>
      <w:r w:rsidR="0021109C" w:rsidRPr="00CC5F28">
        <w:rPr>
          <w:b/>
        </w:rPr>
        <w:t xml:space="preserve"> </w:t>
      </w:r>
      <w:r w:rsidR="0021109C" w:rsidRPr="00CC5F28">
        <w:rPr>
          <w:bCs/>
        </w:rPr>
        <w:t xml:space="preserve">(up </w:t>
      </w:r>
      <w:r w:rsidR="00D65A6E" w:rsidRPr="00CC5F28">
        <w:rPr>
          <w:bCs/>
        </w:rPr>
        <w:t>$11 million</w:t>
      </w:r>
      <w:r w:rsidR="0021109C" w:rsidRPr="00CC5F28">
        <w:rPr>
          <w:bCs/>
        </w:rPr>
        <w:t>)</w:t>
      </w:r>
      <w:r w:rsidR="00C61B15" w:rsidRPr="00CC5F28">
        <w:rPr>
          <w:bCs/>
        </w:rPr>
        <w:t>,</w:t>
      </w:r>
      <w:r w:rsidR="0021109C" w:rsidRPr="00CC5F28">
        <w:rPr>
          <w:bCs/>
        </w:rPr>
        <w:t xml:space="preserve"> </w:t>
      </w:r>
      <w:r w:rsidR="00D65A6E" w:rsidRPr="00CC5F28">
        <w:rPr>
          <w:b/>
        </w:rPr>
        <w:t>Saudi Arabia</w:t>
      </w:r>
      <w:r w:rsidR="00D65A6E" w:rsidRPr="00CC5F28">
        <w:rPr>
          <w:bCs/>
        </w:rPr>
        <w:t xml:space="preserve"> (up $10 million) and </w:t>
      </w:r>
      <w:r w:rsidR="00D65A6E" w:rsidRPr="00CC5F28">
        <w:rPr>
          <w:b/>
        </w:rPr>
        <w:t>South Africa</w:t>
      </w:r>
      <w:r w:rsidR="0021109C" w:rsidRPr="00CC5F28">
        <w:rPr>
          <w:bCs/>
        </w:rPr>
        <w:t xml:space="preserve"> (up </w:t>
      </w:r>
      <w:r w:rsidR="00D65A6E" w:rsidRPr="00CC5F28">
        <w:rPr>
          <w:bCs/>
        </w:rPr>
        <w:t>$9 million</w:t>
      </w:r>
      <w:r w:rsidR="0021109C" w:rsidRPr="00CC5F28">
        <w:t>)</w:t>
      </w:r>
      <w:r w:rsidR="00C61B15" w:rsidRPr="00CC5F28">
        <w:t>.</w:t>
      </w:r>
      <w:r w:rsidR="002E6B92" w:rsidRPr="00CC5F28">
        <w:t xml:space="preserve"> </w:t>
      </w:r>
      <w:r w:rsidR="00D65A6E" w:rsidRPr="00CC5F28">
        <w:t>S</w:t>
      </w:r>
      <w:r w:rsidRPr="00CC5F28">
        <w:t xml:space="preserve">egments </w:t>
      </w:r>
      <w:r w:rsidR="00D65A6E" w:rsidRPr="00CC5F28">
        <w:t>such as</w:t>
      </w:r>
      <w:r w:rsidR="002E6B92" w:rsidRPr="00CC5F28">
        <w:t xml:space="preserve"> </w:t>
      </w:r>
      <w:r w:rsidR="004A1069" w:rsidRPr="00CC5F28">
        <w:rPr>
          <w:b/>
          <w:bCs/>
        </w:rPr>
        <w:t>large</w:t>
      </w:r>
      <w:r w:rsidRPr="00CC5F28">
        <w:rPr>
          <w:b/>
          <w:bCs/>
        </w:rPr>
        <w:t xml:space="preserve"> passenger</w:t>
      </w:r>
      <w:r w:rsidR="003861FF" w:rsidRPr="00CC5F28">
        <w:rPr>
          <w:b/>
          <w:bCs/>
        </w:rPr>
        <w:t xml:space="preserve"> (10+)</w:t>
      </w:r>
      <w:r w:rsidRPr="00CC5F28">
        <w:rPr>
          <w:b/>
          <w:bCs/>
        </w:rPr>
        <w:t xml:space="preserve"> vehicles</w:t>
      </w:r>
      <w:r w:rsidR="003861FF" w:rsidRPr="00CC5F28">
        <w:rPr>
          <w:b/>
          <w:bCs/>
        </w:rPr>
        <w:t xml:space="preserve"> </w:t>
      </w:r>
      <w:r w:rsidR="003861FF" w:rsidRPr="00CC5F28">
        <w:t>(up</w:t>
      </w:r>
      <w:r w:rsidR="003861FF" w:rsidRPr="00CC5F28">
        <w:rPr>
          <w:b/>
          <w:bCs/>
        </w:rPr>
        <w:t xml:space="preserve"> </w:t>
      </w:r>
      <w:r w:rsidR="003861FF" w:rsidRPr="00CC5F28">
        <w:t>415%)</w:t>
      </w:r>
      <w:r w:rsidRPr="00CC5F28">
        <w:t xml:space="preserve">, </w:t>
      </w:r>
      <w:r w:rsidR="002E6B92" w:rsidRPr="00CC5F28">
        <w:rPr>
          <w:b/>
          <w:bCs/>
        </w:rPr>
        <w:t>special purpose</w:t>
      </w:r>
      <w:r w:rsidRPr="00CC5F28">
        <w:rPr>
          <w:b/>
          <w:bCs/>
        </w:rPr>
        <w:t xml:space="preserve"> vehicles</w:t>
      </w:r>
      <w:r w:rsidRPr="00CC5F28">
        <w:t xml:space="preserve"> </w:t>
      </w:r>
      <w:r w:rsidR="003861FF" w:rsidRPr="00CC5F28">
        <w:t xml:space="preserve">(up 208%) </w:t>
      </w:r>
      <w:r w:rsidR="002E6B92" w:rsidRPr="00CC5F28">
        <w:t>and</w:t>
      </w:r>
      <w:r w:rsidR="002E6B92" w:rsidRPr="00CC5F28">
        <w:rPr>
          <w:b/>
          <w:bCs/>
        </w:rPr>
        <w:t xml:space="preserve"> </w:t>
      </w:r>
      <w:r w:rsidRPr="00CC5F28">
        <w:rPr>
          <w:b/>
          <w:bCs/>
        </w:rPr>
        <w:t>tractors</w:t>
      </w:r>
      <w:r w:rsidR="003861FF" w:rsidRPr="00CC5F28">
        <w:rPr>
          <w:b/>
          <w:bCs/>
        </w:rPr>
        <w:t xml:space="preserve"> </w:t>
      </w:r>
      <w:r w:rsidR="003861FF" w:rsidRPr="00CC5F28">
        <w:t>(up 187%)</w:t>
      </w:r>
      <w:r w:rsidR="00D65A6E" w:rsidRPr="00CC5F28">
        <w:t xml:space="preserve"> fueled th</w:t>
      </w:r>
      <w:r w:rsidR="00163A63" w:rsidRPr="00CC5F28">
        <w:t>ese gains</w:t>
      </w:r>
      <w:r w:rsidR="00D65A6E" w:rsidRPr="00CC5F28">
        <w:t>.</w:t>
      </w:r>
    </w:p>
    <w:p w14:paraId="3CE0C88B" w14:textId="4AADBAB9" w:rsidR="00D65A6E" w:rsidRPr="00CC5F28" w:rsidRDefault="0087775F" w:rsidP="00D65A6E">
      <w:pPr>
        <w:pStyle w:val="ListParagraph"/>
        <w:numPr>
          <w:ilvl w:val="0"/>
          <w:numId w:val="20"/>
        </w:numPr>
        <w:spacing w:after="0" w:line="271" w:lineRule="auto"/>
        <w:ind w:right="54"/>
      </w:pPr>
      <w:r w:rsidRPr="00CC5F28">
        <w:t xml:space="preserve">Exports of </w:t>
      </w:r>
      <w:r w:rsidR="00D65A6E" w:rsidRPr="00CC5F28">
        <w:rPr>
          <w:b/>
          <w:bCs/>
        </w:rPr>
        <w:t>cereal</w:t>
      </w:r>
      <w:r w:rsidRPr="00CC5F28">
        <w:rPr>
          <w:b/>
          <w:bCs/>
        </w:rPr>
        <w:t>s</w:t>
      </w:r>
      <w:r w:rsidRPr="00CC5F28">
        <w:t xml:space="preserve"> </w:t>
      </w:r>
      <w:r w:rsidR="00163A63" w:rsidRPr="00CC5F28">
        <w:t xml:space="preserve">(mainly </w:t>
      </w:r>
      <w:r w:rsidR="00163A63" w:rsidRPr="00CC5F28">
        <w:rPr>
          <w:b/>
          <w:bCs/>
        </w:rPr>
        <w:t xml:space="preserve">corn (maize) </w:t>
      </w:r>
      <w:r w:rsidR="00163A63" w:rsidRPr="00CC5F28">
        <w:t xml:space="preserve">and </w:t>
      </w:r>
      <w:r w:rsidR="00163A63" w:rsidRPr="00CC5F28">
        <w:rPr>
          <w:b/>
          <w:bCs/>
        </w:rPr>
        <w:t>wheat</w:t>
      </w:r>
      <w:r w:rsidR="00163A63" w:rsidRPr="00CC5F28">
        <w:t>) made</w:t>
      </w:r>
      <w:r w:rsidRPr="00CC5F28">
        <w:t xml:space="preserve"> robust </w:t>
      </w:r>
      <w:r w:rsidR="00163A63" w:rsidRPr="00CC5F28">
        <w:t>strides</w:t>
      </w:r>
      <w:r w:rsidRPr="00CC5F28">
        <w:t xml:space="preserve"> </w:t>
      </w:r>
      <w:r w:rsidR="00D65A6E" w:rsidRPr="00CC5F28">
        <w:t>to</w:t>
      </w:r>
      <w:r w:rsidR="00D65A6E" w:rsidRPr="00CC5F28">
        <w:rPr>
          <w:b/>
          <w:bCs/>
        </w:rPr>
        <w:t xml:space="preserve"> Canada </w:t>
      </w:r>
      <w:r w:rsidR="00D65A6E" w:rsidRPr="00CC5F28">
        <w:t>(</w:t>
      </w:r>
      <w:r w:rsidR="00D65A6E" w:rsidRPr="00CC5F28">
        <w:rPr>
          <w:bCs/>
        </w:rPr>
        <w:t>up 223%),</w:t>
      </w:r>
      <w:r w:rsidRPr="00CC5F28">
        <w:rPr>
          <w:bCs/>
        </w:rPr>
        <w:t xml:space="preserve"> </w:t>
      </w:r>
      <w:r w:rsidR="00D65A6E" w:rsidRPr="00CC5F28">
        <w:rPr>
          <w:b/>
        </w:rPr>
        <w:t>Algeria</w:t>
      </w:r>
      <w:r w:rsidR="00D65A6E" w:rsidRPr="00CC5F28">
        <w:rPr>
          <w:bCs/>
        </w:rPr>
        <w:t xml:space="preserve"> ($44 million, up from none)</w:t>
      </w:r>
      <w:r w:rsidRPr="00CC5F28">
        <w:rPr>
          <w:bCs/>
        </w:rPr>
        <w:t>,</w:t>
      </w:r>
      <w:r w:rsidR="00D65A6E" w:rsidRPr="00CC5F28">
        <w:rPr>
          <w:bCs/>
        </w:rPr>
        <w:t xml:space="preserve"> </w:t>
      </w:r>
      <w:r w:rsidR="00D65A6E" w:rsidRPr="00CC5F28">
        <w:rPr>
          <w:b/>
        </w:rPr>
        <w:t>Morocco</w:t>
      </w:r>
      <w:r w:rsidR="00D65A6E" w:rsidRPr="00CC5F28">
        <w:rPr>
          <w:bCs/>
        </w:rPr>
        <w:t xml:space="preserve"> ($16 million, up from none)</w:t>
      </w:r>
      <w:r w:rsidRPr="00CC5F28">
        <w:rPr>
          <w:bCs/>
        </w:rPr>
        <w:t xml:space="preserve">, offsetting </w:t>
      </w:r>
      <w:r w:rsidR="00163A63" w:rsidRPr="00CC5F28">
        <w:rPr>
          <w:bCs/>
        </w:rPr>
        <w:t>loss</w:t>
      </w:r>
      <w:r w:rsidRPr="00CC5F28">
        <w:rPr>
          <w:bCs/>
        </w:rPr>
        <w:t xml:space="preserve">es to </w:t>
      </w:r>
      <w:r w:rsidRPr="00CC5F28">
        <w:rPr>
          <w:b/>
        </w:rPr>
        <w:t>Yemen</w:t>
      </w:r>
      <w:r w:rsidR="00163A63" w:rsidRPr="00CC5F28">
        <w:rPr>
          <w:b/>
        </w:rPr>
        <w:t xml:space="preserve">, </w:t>
      </w:r>
      <w:proofErr w:type="gramStart"/>
      <w:r w:rsidR="00163A63" w:rsidRPr="00CC5F28">
        <w:rPr>
          <w:b/>
        </w:rPr>
        <w:t>Italy</w:t>
      </w:r>
      <w:proofErr w:type="gramEnd"/>
      <w:r w:rsidR="00163A63" w:rsidRPr="00CC5F28">
        <w:rPr>
          <w:b/>
        </w:rPr>
        <w:t xml:space="preserve"> </w:t>
      </w:r>
      <w:r w:rsidR="00163A63" w:rsidRPr="00CC5F28">
        <w:rPr>
          <w:bCs/>
        </w:rPr>
        <w:t xml:space="preserve">and </w:t>
      </w:r>
      <w:r w:rsidR="00163A63" w:rsidRPr="00CC5F28">
        <w:rPr>
          <w:b/>
        </w:rPr>
        <w:t>Mexico</w:t>
      </w:r>
      <w:r w:rsidR="00163A63" w:rsidRPr="00CC5F28">
        <w:rPr>
          <w:bCs/>
        </w:rPr>
        <w:t>.</w:t>
      </w:r>
    </w:p>
    <w:p w14:paraId="51F08C93" w14:textId="47EA432C" w:rsidR="00FC6851" w:rsidRPr="00CC5F28" w:rsidRDefault="00AB4394" w:rsidP="00E67B6F">
      <w:pPr>
        <w:pStyle w:val="ListParagraph"/>
        <w:numPr>
          <w:ilvl w:val="0"/>
          <w:numId w:val="20"/>
        </w:numPr>
        <w:spacing w:after="0" w:line="271" w:lineRule="auto"/>
      </w:pPr>
      <w:r w:rsidRPr="00CC5F28">
        <w:rPr>
          <w:b/>
        </w:rPr>
        <w:t>O</w:t>
      </w:r>
      <w:r w:rsidR="00F508B0" w:rsidRPr="00CC5F28">
        <w:rPr>
          <w:b/>
        </w:rPr>
        <w:t xml:space="preserve">ptic, medical </w:t>
      </w:r>
      <w:r w:rsidRPr="00CC5F28">
        <w:rPr>
          <w:b/>
        </w:rPr>
        <w:t xml:space="preserve">goods </w:t>
      </w:r>
      <w:r w:rsidRPr="00CC5F28">
        <w:rPr>
          <w:bCs/>
        </w:rPr>
        <w:t>grew strongly to</w:t>
      </w:r>
      <w:r w:rsidRPr="00CC5F28">
        <w:rPr>
          <w:b/>
          <w:bCs/>
        </w:rPr>
        <w:t xml:space="preserve"> Asia</w:t>
      </w:r>
      <w:r w:rsidRPr="00CC5F28">
        <w:t xml:space="preserve"> (up 14%), driven by markets such as</w:t>
      </w:r>
      <w:r w:rsidR="00846556" w:rsidRPr="00CC5F28">
        <w:t xml:space="preserve"> </w:t>
      </w:r>
      <w:r w:rsidR="00C61B15" w:rsidRPr="00CC5F28">
        <w:rPr>
          <w:b/>
          <w:bCs/>
        </w:rPr>
        <w:t>C</w:t>
      </w:r>
      <w:r w:rsidR="00D65A6E" w:rsidRPr="00CC5F28">
        <w:rPr>
          <w:b/>
          <w:bCs/>
        </w:rPr>
        <w:t>hina</w:t>
      </w:r>
      <w:r w:rsidRPr="00CC5F28">
        <w:t xml:space="preserve">, </w:t>
      </w:r>
      <w:proofErr w:type="gramStart"/>
      <w:r w:rsidR="00D65A6E" w:rsidRPr="00CC5F28">
        <w:rPr>
          <w:b/>
        </w:rPr>
        <w:t>Korea</w:t>
      </w:r>
      <w:proofErr w:type="gramEnd"/>
      <w:r w:rsidR="00F508B0" w:rsidRPr="00CC5F28">
        <w:t xml:space="preserve"> </w:t>
      </w:r>
      <w:r w:rsidRPr="00CC5F28">
        <w:t xml:space="preserve">and </w:t>
      </w:r>
      <w:r w:rsidRPr="00CC5F28">
        <w:rPr>
          <w:b/>
          <w:bCs/>
        </w:rPr>
        <w:t>Taiwan. Ireland</w:t>
      </w:r>
      <w:r w:rsidRPr="00CC5F28">
        <w:t xml:space="preserve"> and </w:t>
      </w:r>
      <w:r w:rsidR="00C61B15" w:rsidRPr="00CC5F28">
        <w:rPr>
          <w:b/>
          <w:bCs/>
        </w:rPr>
        <w:t>France</w:t>
      </w:r>
      <w:r w:rsidR="00C61B15" w:rsidRPr="00CC5F28">
        <w:t xml:space="preserve"> </w:t>
      </w:r>
      <w:r w:rsidRPr="00CC5F28">
        <w:t xml:space="preserve">in the EU, as well as </w:t>
      </w:r>
      <w:r w:rsidRPr="00CC5F28">
        <w:rPr>
          <w:b/>
          <w:bCs/>
        </w:rPr>
        <w:t>Australia</w:t>
      </w:r>
      <w:r w:rsidRPr="00CC5F28">
        <w:t xml:space="preserve"> and</w:t>
      </w:r>
      <w:r w:rsidRPr="00CC5F28">
        <w:rPr>
          <w:b/>
          <w:bCs/>
        </w:rPr>
        <w:t xml:space="preserve"> Mexico</w:t>
      </w:r>
      <w:r w:rsidRPr="00CC5F28">
        <w:t xml:space="preserve">, </w:t>
      </w:r>
      <w:r w:rsidR="00E67B6F" w:rsidRPr="00CC5F28">
        <w:t>also showe</w:t>
      </w:r>
      <w:r w:rsidR="003861FF" w:rsidRPr="00CC5F28">
        <w:t>d solid gains</w:t>
      </w:r>
      <w:r w:rsidRPr="00CC5F28">
        <w:t xml:space="preserve">. </w:t>
      </w:r>
      <w:r w:rsidRPr="00CC5F28">
        <w:rPr>
          <w:b/>
          <w:bCs/>
        </w:rPr>
        <w:t>M</w:t>
      </w:r>
      <w:r w:rsidR="00FC6851" w:rsidRPr="00CC5F28">
        <w:rPr>
          <w:b/>
          <w:bCs/>
        </w:rPr>
        <w:t>edical, surgical instruments</w:t>
      </w:r>
      <w:r w:rsidR="00EE5D08" w:rsidRPr="00CC5F28">
        <w:t xml:space="preserve"> </w:t>
      </w:r>
      <w:r w:rsidRPr="00CC5F28">
        <w:t xml:space="preserve">(up 40%) </w:t>
      </w:r>
      <w:r w:rsidR="00FC6851" w:rsidRPr="00CC5F28">
        <w:t>and</w:t>
      </w:r>
      <w:r w:rsidR="00E67B6F" w:rsidRPr="00CC5F28">
        <w:t xml:space="preserve"> various</w:t>
      </w:r>
      <w:r w:rsidR="00FC6851" w:rsidRPr="00CC5F28">
        <w:t xml:space="preserve"> </w:t>
      </w:r>
      <w:r w:rsidR="00EE5D08" w:rsidRPr="00CC5F28">
        <w:rPr>
          <w:b/>
          <w:bCs/>
        </w:rPr>
        <w:t>analy</w:t>
      </w:r>
      <w:r w:rsidR="00E67B6F" w:rsidRPr="00CC5F28">
        <w:rPr>
          <w:b/>
          <w:bCs/>
        </w:rPr>
        <w:t xml:space="preserve">tical, measuring, and testing instruments </w:t>
      </w:r>
      <w:r w:rsidR="003861FF" w:rsidRPr="00CC5F28">
        <w:rPr>
          <w:bCs/>
        </w:rPr>
        <w:t xml:space="preserve">contributed the most </w:t>
      </w:r>
      <w:r w:rsidR="00E67B6F" w:rsidRPr="00CC5F28">
        <w:rPr>
          <w:bCs/>
        </w:rPr>
        <w:t>gains.</w:t>
      </w:r>
    </w:p>
    <w:p w14:paraId="62FAF03C" w14:textId="77777777" w:rsidR="00163A63" w:rsidRPr="00CC5F28" w:rsidRDefault="00163A63" w:rsidP="00163A63">
      <w:pPr>
        <w:pStyle w:val="ListParagraph"/>
        <w:numPr>
          <w:ilvl w:val="0"/>
          <w:numId w:val="20"/>
        </w:numPr>
        <w:tabs>
          <w:tab w:val="left" w:pos="3330"/>
        </w:tabs>
        <w:spacing w:after="0" w:line="271" w:lineRule="auto"/>
        <w:ind w:right="-396"/>
        <w:rPr>
          <w:b/>
          <w:bCs/>
        </w:rPr>
        <w:sectPr w:rsidR="00163A63" w:rsidRPr="00CC5F28" w:rsidSect="00FE15EB">
          <w:footnotePr>
            <w:numRestart w:val="eachSect"/>
          </w:footnotePr>
          <w:endnotePr>
            <w:numFmt w:val="decimal"/>
          </w:endnotePr>
          <w:type w:val="continuous"/>
          <w:pgSz w:w="12240" w:h="15840" w:code="1"/>
          <w:pgMar w:top="864" w:right="1008" w:bottom="864" w:left="1008" w:header="720" w:footer="720" w:gutter="0"/>
          <w:cols w:space="720"/>
          <w:titlePg/>
          <w:docGrid w:linePitch="299"/>
        </w:sectPr>
      </w:pPr>
    </w:p>
    <w:p w14:paraId="583219CE" w14:textId="30284E25" w:rsidR="00163A63" w:rsidRPr="00CC5F28" w:rsidRDefault="003861FF" w:rsidP="00163A63">
      <w:pPr>
        <w:pStyle w:val="ListParagraph"/>
        <w:numPr>
          <w:ilvl w:val="0"/>
          <w:numId w:val="20"/>
        </w:numPr>
        <w:tabs>
          <w:tab w:val="left" w:pos="3330"/>
        </w:tabs>
        <w:spacing w:after="0" w:line="271" w:lineRule="auto"/>
        <w:ind w:right="54"/>
      </w:pPr>
      <w:r w:rsidRPr="00CC5F28">
        <w:rPr>
          <w:b/>
          <w:bCs/>
        </w:rPr>
        <w:t>Aircraft, spacecraft</w:t>
      </w:r>
      <w:r w:rsidR="009D0718" w:rsidRPr="00CC5F28">
        <w:t xml:space="preserve"> </w:t>
      </w:r>
      <w:r w:rsidR="009A491C" w:rsidRPr="00CC5F28">
        <w:t>export</w:t>
      </w:r>
      <w:r w:rsidR="00736C8E" w:rsidRPr="00CC5F28">
        <w:t xml:space="preserve">s </w:t>
      </w:r>
      <w:r w:rsidR="00E67B6F" w:rsidRPr="00CC5F28">
        <w:t>tend to be</w:t>
      </w:r>
      <w:r w:rsidR="00736C8E" w:rsidRPr="00CC5F28">
        <w:t xml:space="preserve"> volati</w:t>
      </w:r>
      <w:r w:rsidR="00F81BA9" w:rsidRPr="00CC5F28">
        <w:t>le</w:t>
      </w:r>
      <w:r w:rsidR="00736C8E" w:rsidRPr="00CC5F28">
        <w:t>. Exporters</w:t>
      </w:r>
      <w:r w:rsidR="009A491C" w:rsidRPr="00CC5F28">
        <w:t xml:space="preserve"> </w:t>
      </w:r>
      <w:r w:rsidR="009D0718" w:rsidRPr="00CC5F28">
        <w:t xml:space="preserve">made </w:t>
      </w:r>
      <w:r w:rsidR="00736C8E" w:rsidRPr="00CC5F28">
        <w:t>notable</w:t>
      </w:r>
      <w:r w:rsidR="009D0718" w:rsidRPr="00CC5F28">
        <w:t xml:space="preserve"> inroads in </w:t>
      </w:r>
      <w:r w:rsidR="00736C8E" w:rsidRPr="00CC5F28">
        <w:rPr>
          <w:b/>
          <w:bCs/>
        </w:rPr>
        <w:t>Germany</w:t>
      </w:r>
      <w:r w:rsidR="009D0718" w:rsidRPr="00CC5F28">
        <w:rPr>
          <w:b/>
          <w:bCs/>
        </w:rPr>
        <w:t xml:space="preserve"> </w:t>
      </w:r>
      <w:r w:rsidR="009D0718" w:rsidRPr="00CC5F28">
        <w:t xml:space="preserve">(up </w:t>
      </w:r>
      <w:r w:rsidR="00736C8E" w:rsidRPr="00CC5F28">
        <w:t>$14 million</w:t>
      </w:r>
      <w:r w:rsidR="009D0718" w:rsidRPr="00CC5F28">
        <w:t>),</w:t>
      </w:r>
      <w:r w:rsidR="009D0718" w:rsidRPr="00CC5F28">
        <w:rPr>
          <w:b/>
          <w:bCs/>
        </w:rPr>
        <w:t xml:space="preserve"> </w:t>
      </w:r>
      <w:r w:rsidR="00736C8E" w:rsidRPr="00CC5F28">
        <w:rPr>
          <w:b/>
          <w:bCs/>
        </w:rPr>
        <w:t>Canada</w:t>
      </w:r>
      <w:r w:rsidR="009D0718" w:rsidRPr="00CC5F28">
        <w:t xml:space="preserve"> (</w:t>
      </w:r>
      <w:r w:rsidR="00736C8E" w:rsidRPr="00CC5F28">
        <w:t xml:space="preserve">up </w:t>
      </w:r>
      <w:r w:rsidR="009D0718" w:rsidRPr="00CC5F28">
        <w:t>$1</w:t>
      </w:r>
      <w:r w:rsidR="00736C8E" w:rsidRPr="00CC5F28">
        <w:t>4</w:t>
      </w:r>
      <w:r w:rsidR="009D0718" w:rsidRPr="00CC5F28">
        <w:t xml:space="preserve"> million)</w:t>
      </w:r>
      <w:r w:rsidR="00736C8E" w:rsidRPr="00CC5F28">
        <w:t>,</w:t>
      </w:r>
      <w:r w:rsidR="009D0718" w:rsidRPr="00CC5F28">
        <w:t xml:space="preserve"> </w:t>
      </w:r>
      <w:r w:rsidR="009D0718" w:rsidRPr="00CC5F28">
        <w:rPr>
          <w:b/>
          <w:bCs/>
        </w:rPr>
        <w:t xml:space="preserve">Turkey </w:t>
      </w:r>
      <w:r w:rsidR="009D0718" w:rsidRPr="00CC5F28">
        <w:t>(</w:t>
      </w:r>
      <w:r w:rsidR="00736C8E" w:rsidRPr="00CC5F28">
        <w:t xml:space="preserve">up </w:t>
      </w:r>
      <w:r w:rsidR="004A1069" w:rsidRPr="00CC5F28">
        <w:t>$</w:t>
      </w:r>
      <w:r w:rsidR="00736C8E" w:rsidRPr="00CC5F28">
        <w:t>11</w:t>
      </w:r>
      <w:r w:rsidR="004A1069" w:rsidRPr="00CC5F28">
        <w:t xml:space="preserve"> million</w:t>
      </w:r>
      <w:r w:rsidR="009D0718" w:rsidRPr="00CC5F28">
        <w:t>)</w:t>
      </w:r>
      <w:r w:rsidR="00736C8E" w:rsidRPr="00CC5F28">
        <w:t xml:space="preserve">, and </w:t>
      </w:r>
      <w:r w:rsidR="00736C8E" w:rsidRPr="00CC5F28">
        <w:rPr>
          <w:b/>
          <w:bCs/>
        </w:rPr>
        <w:t xml:space="preserve">Japan </w:t>
      </w:r>
      <w:r w:rsidR="00736C8E" w:rsidRPr="00CC5F28">
        <w:t>(up $11 million)</w:t>
      </w:r>
      <w:r w:rsidR="009D0718" w:rsidRPr="00CC5F28">
        <w:rPr>
          <w:b/>
          <w:bCs/>
        </w:rPr>
        <w:t xml:space="preserve"> – </w:t>
      </w:r>
      <w:r w:rsidR="009D0718" w:rsidRPr="00CC5F28">
        <w:t xml:space="preserve">offsetting </w:t>
      </w:r>
      <w:r w:rsidR="00495EF8" w:rsidRPr="00CC5F28">
        <w:t xml:space="preserve">large declines </w:t>
      </w:r>
      <w:r w:rsidR="00736C8E" w:rsidRPr="00CC5F28">
        <w:t>to</w:t>
      </w:r>
      <w:r w:rsidR="009D0718" w:rsidRPr="00CC5F28">
        <w:t xml:space="preserve"> </w:t>
      </w:r>
      <w:r w:rsidR="00736C8E" w:rsidRPr="00CC5F28">
        <w:rPr>
          <w:b/>
          <w:bCs/>
        </w:rPr>
        <w:t xml:space="preserve">Portugal, Mexico, </w:t>
      </w:r>
      <w:r w:rsidR="00736C8E" w:rsidRPr="00CC5F28">
        <w:t>and</w:t>
      </w:r>
      <w:r w:rsidR="00736C8E" w:rsidRPr="00CC5F28">
        <w:rPr>
          <w:b/>
          <w:bCs/>
        </w:rPr>
        <w:t xml:space="preserve"> Australia</w:t>
      </w:r>
      <w:r w:rsidR="00495EF8" w:rsidRPr="00CC5F28">
        <w:rPr>
          <w:b/>
          <w:bCs/>
        </w:rPr>
        <w:t>.</w:t>
      </w:r>
      <w:r w:rsidR="00495EF8" w:rsidRPr="00CC5F28">
        <w:t xml:space="preserve"> </w:t>
      </w:r>
      <w:r w:rsidR="00736C8E" w:rsidRPr="00CC5F28">
        <w:t xml:space="preserve">These exports </w:t>
      </w:r>
      <w:r w:rsidR="00F81BA9" w:rsidRPr="00CC5F28">
        <w:t>were largely</w:t>
      </w:r>
      <w:r w:rsidR="00736C8E" w:rsidRPr="00CC5F28">
        <w:t xml:space="preserve"> </w:t>
      </w:r>
      <w:r w:rsidR="00736C8E" w:rsidRPr="00CC5F28">
        <w:rPr>
          <w:b/>
          <w:bCs/>
        </w:rPr>
        <w:t xml:space="preserve">civilian aircraft, </w:t>
      </w:r>
      <w:proofErr w:type="gramStart"/>
      <w:r w:rsidR="00736C8E" w:rsidRPr="00CC5F28">
        <w:rPr>
          <w:b/>
          <w:bCs/>
        </w:rPr>
        <w:t>engines</w:t>
      </w:r>
      <w:proofErr w:type="gramEnd"/>
      <w:r w:rsidR="00736C8E" w:rsidRPr="00CC5F28">
        <w:rPr>
          <w:b/>
          <w:bCs/>
        </w:rPr>
        <w:t xml:space="preserve"> </w:t>
      </w:r>
      <w:r w:rsidR="00736C8E" w:rsidRPr="00CC5F28">
        <w:t xml:space="preserve">and </w:t>
      </w:r>
      <w:r w:rsidR="00736C8E" w:rsidRPr="00CC5F28">
        <w:rPr>
          <w:b/>
          <w:bCs/>
        </w:rPr>
        <w:t>parts</w:t>
      </w:r>
      <w:r w:rsidR="00736C8E" w:rsidRPr="00CC5F28">
        <w:t>.</w:t>
      </w:r>
    </w:p>
    <w:p w14:paraId="6FE94DA9" w14:textId="5F781D63" w:rsidR="00163A63" w:rsidRPr="00CC5F28" w:rsidRDefault="00163A63" w:rsidP="002521CF">
      <w:pPr>
        <w:pStyle w:val="ListParagraph"/>
        <w:numPr>
          <w:ilvl w:val="0"/>
          <w:numId w:val="20"/>
        </w:numPr>
        <w:tabs>
          <w:tab w:val="left" w:pos="3330"/>
        </w:tabs>
        <w:spacing w:before="120" w:after="0" w:line="271" w:lineRule="auto"/>
        <w:ind w:right="54"/>
      </w:pPr>
      <w:r w:rsidRPr="00CC5F28">
        <w:rPr>
          <w:bCs/>
        </w:rPr>
        <w:t xml:space="preserve">Strong gains in exports of </w:t>
      </w:r>
      <w:r w:rsidRPr="00CC5F28">
        <w:rPr>
          <w:b/>
        </w:rPr>
        <w:t xml:space="preserve">miscellaneous chemicals </w:t>
      </w:r>
      <w:r w:rsidR="00F81BA9" w:rsidRPr="00CC5F28">
        <w:rPr>
          <w:bCs/>
        </w:rPr>
        <w:t>($140 million, up 22%)</w:t>
      </w:r>
      <w:r w:rsidR="00F81BA9" w:rsidRPr="00CC5F28">
        <w:rPr>
          <w:b/>
        </w:rPr>
        <w:t xml:space="preserve"> </w:t>
      </w:r>
      <w:r w:rsidRPr="00CC5F28">
        <w:rPr>
          <w:bCs/>
        </w:rPr>
        <w:t xml:space="preserve">were driven by </w:t>
      </w:r>
      <w:r w:rsidRPr="00CC5F28">
        <w:rPr>
          <w:b/>
        </w:rPr>
        <w:t>China</w:t>
      </w:r>
      <w:r w:rsidRPr="00CC5F28">
        <w:rPr>
          <w:bCs/>
        </w:rPr>
        <w:t xml:space="preserve"> (</w:t>
      </w:r>
      <w:r w:rsidR="00F81BA9" w:rsidRPr="00CC5F28">
        <w:rPr>
          <w:bCs/>
        </w:rPr>
        <w:t xml:space="preserve">$75 million, </w:t>
      </w:r>
      <w:r w:rsidRPr="00CC5F28">
        <w:rPr>
          <w:bCs/>
        </w:rPr>
        <w:t>up 30%</w:t>
      </w:r>
      <w:r w:rsidR="00F81BA9" w:rsidRPr="00CC5F28">
        <w:rPr>
          <w:bCs/>
        </w:rPr>
        <w:t xml:space="preserve">) and its </w:t>
      </w:r>
      <w:r w:rsidRPr="00CC5F28">
        <w:rPr>
          <w:bCs/>
        </w:rPr>
        <w:t xml:space="preserve">demand for </w:t>
      </w:r>
      <w:r w:rsidRPr="00CC5F28">
        <w:rPr>
          <w:b/>
        </w:rPr>
        <w:t>diagnostic and lab reagent</w:t>
      </w:r>
      <w:r w:rsidR="00F81BA9" w:rsidRPr="00CC5F28">
        <w:rPr>
          <w:b/>
        </w:rPr>
        <w:t>s</w:t>
      </w:r>
      <w:r w:rsidR="00F81BA9" w:rsidRPr="00CC5F28">
        <w:rPr>
          <w:bCs/>
        </w:rPr>
        <w:t>.</w:t>
      </w:r>
      <w:r w:rsidRPr="00CC5F28">
        <w:rPr>
          <w:rStyle w:val="Heading3Char"/>
          <w:color w:val="auto"/>
          <w:sz w:val="24"/>
          <w:szCs w:val="24"/>
        </w:rPr>
        <w:br w:type="column"/>
      </w:r>
      <w:r w:rsidRPr="00CC5F28">
        <w:rPr>
          <w:rStyle w:val="Heading3Char"/>
          <w:color w:val="auto"/>
          <w:sz w:val="24"/>
          <w:szCs w:val="24"/>
        </w:rPr>
        <w:t xml:space="preserve">Figure </w:t>
      </w:r>
      <w:r w:rsidRPr="00CC5F28">
        <w:rPr>
          <w:rStyle w:val="Heading3Char"/>
          <w:color w:val="auto"/>
          <w:sz w:val="24"/>
          <w:szCs w:val="24"/>
        </w:rPr>
        <w:fldChar w:fldCharType="begin"/>
      </w:r>
      <w:r w:rsidRPr="00CC5F28">
        <w:rPr>
          <w:rStyle w:val="Heading3Char"/>
          <w:color w:val="auto"/>
          <w:sz w:val="24"/>
          <w:szCs w:val="24"/>
        </w:rPr>
        <w:instrText xml:space="preserve"> SEQ Figure \* ARABIC </w:instrText>
      </w:r>
      <w:r w:rsidRPr="00CC5F28">
        <w:rPr>
          <w:rStyle w:val="Heading3Char"/>
          <w:color w:val="auto"/>
          <w:sz w:val="24"/>
          <w:szCs w:val="24"/>
        </w:rPr>
        <w:fldChar w:fldCharType="separate"/>
      </w:r>
      <w:r w:rsidRPr="00CC5F28">
        <w:rPr>
          <w:rStyle w:val="Heading3Char"/>
          <w:color w:val="auto"/>
          <w:sz w:val="24"/>
          <w:szCs w:val="24"/>
        </w:rPr>
        <w:t>3</w:t>
      </w:r>
      <w:r w:rsidRPr="00CC5F28">
        <w:rPr>
          <w:rStyle w:val="Heading3Char"/>
          <w:color w:val="auto"/>
          <w:sz w:val="24"/>
          <w:szCs w:val="24"/>
        </w:rPr>
        <w:fldChar w:fldCharType="end"/>
      </w:r>
      <w:r w:rsidRPr="00CC5F28">
        <w:rPr>
          <w:rStyle w:val="Heading3Char"/>
          <w:color w:val="auto"/>
          <w:sz w:val="24"/>
          <w:szCs w:val="24"/>
        </w:rPr>
        <w:t>. Markets for Aircraft, Spacecraft</w:t>
      </w:r>
    </w:p>
    <w:p w14:paraId="64554FF7" w14:textId="77777777" w:rsidR="00163A63" w:rsidRPr="00CC5F28" w:rsidRDefault="00163A63" w:rsidP="00163A63">
      <w:pPr>
        <w:tabs>
          <w:tab w:val="left" w:pos="3330"/>
        </w:tabs>
        <w:spacing w:after="120" w:line="271" w:lineRule="auto"/>
        <w:rPr>
          <w:b/>
        </w:rPr>
      </w:pPr>
      <w:r w:rsidRPr="00CC5F28">
        <w:rPr>
          <w:noProof/>
        </w:rPr>
        <w:drawing>
          <wp:inline distT="0" distB="0" distL="0" distR="0" wp14:anchorId="1BE24316" wp14:editId="5E128EC4">
            <wp:extent cx="3022600" cy="1847850"/>
            <wp:effectExtent l="0" t="0" r="0" b="0"/>
            <wp:docPr id="10" name="Chart 10" descr="pie chart&#10;Figure 3 MN  markets for Aircraft, spacecraft&#10;Canada 13%&#10;Germany 11%&#10;Brazil 9%&#10;Turkey 9%&#10;Japan 7%&#10;Mexico 7%&#10;Other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FDF06E3" w14:textId="77777777" w:rsidR="00163A63" w:rsidRPr="00CC5F28" w:rsidRDefault="00163A63" w:rsidP="00CB38AF">
      <w:pPr>
        <w:pStyle w:val="ListParagraph"/>
        <w:numPr>
          <w:ilvl w:val="0"/>
          <w:numId w:val="7"/>
        </w:numPr>
        <w:spacing w:after="0" w:line="271" w:lineRule="auto"/>
        <w:ind w:left="360" w:right="54"/>
        <w:rPr>
          <w:bCs/>
        </w:rPr>
        <w:sectPr w:rsidR="00163A63" w:rsidRPr="00CC5F28" w:rsidSect="00163A63">
          <w:footnotePr>
            <w:numRestart w:val="eachSect"/>
          </w:footnotePr>
          <w:endnotePr>
            <w:numFmt w:val="decimal"/>
          </w:endnotePr>
          <w:type w:val="continuous"/>
          <w:pgSz w:w="12240" w:h="15840" w:code="1"/>
          <w:pgMar w:top="864" w:right="1008" w:bottom="864" w:left="1008" w:header="720" w:footer="720" w:gutter="0"/>
          <w:cols w:num="2" w:space="720"/>
          <w:titlePg/>
          <w:docGrid w:linePitch="299"/>
        </w:sectPr>
      </w:pPr>
    </w:p>
    <w:p w14:paraId="73FA3A2E" w14:textId="7748D5F7" w:rsidR="00596618" w:rsidRPr="00CC5F28" w:rsidRDefault="007F1C4A" w:rsidP="006871D2">
      <w:pPr>
        <w:pStyle w:val="Heading3"/>
        <w:spacing w:before="120" w:after="60"/>
        <w:rPr>
          <w:color w:val="auto"/>
          <w:sz w:val="24"/>
          <w:szCs w:val="24"/>
        </w:rPr>
      </w:pPr>
      <w:r w:rsidRPr="00CC5F28">
        <w:rPr>
          <w:color w:val="auto"/>
          <w:sz w:val="24"/>
          <w:szCs w:val="24"/>
        </w:rPr>
        <w:t>Fi</w:t>
      </w:r>
      <w:r w:rsidR="00A44451" w:rsidRPr="00CC5F28">
        <w:rPr>
          <w:color w:val="auto"/>
          <w:sz w:val="24"/>
          <w:szCs w:val="24"/>
        </w:rPr>
        <w:t>gure 4. Export Trends for</w:t>
      </w:r>
      <w:r w:rsidRPr="00CC5F28">
        <w:rPr>
          <w:color w:val="auto"/>
          <w:sz w:val="24"/>
          <w:szCs w:val="24"/>
        </w:rPr>
        <w:t xml:space="preserve"> Minnesota’s Top 10 Products, </w:t>
      </w:r>
      <w:r w:rsidR="00CE08AA" w:rsidRPr="00CC5F28">
        <w:rPr>
          <w:color w:val="auto"/>
          <w:sz w:val="24"/>
          <w:szCs w:val="24"/>
        </w:rPr>
        <w:t>Fourth</w:t>
      </w:r>
      <w:r w:rsidR="00375ACF" w:rsidRPr="00CC5F28">
        <w:rPr>
          <w:color w:val="auto"/>
          <w:sz w:val="24"/>
          <w:szCs w:val="24"/>
        </w:rPr>
        <w:t xml:space="preserve"> </w:t>
      </w:r>
      <w:r w:rsidR="00F85FA6" w:rsidRPr="00CC5F28">
        <w:rPr>
          <w:color w:val="auto"/>
          <w:sz w:val="24"/>
          <w:szCs w:val="24"/>
        </w:rPr>
        <w:t>Q</w:t>
      </w:r>
      <w:r w:rsidR="00375ACF" w:rsidRPr="00CC5F28">
        <w:rPr>
          <w:color w:val="auto"/>
          <w:sz w:val="24"/>
          <w:szCs w:val="24"/>
        </w:rPr>
        <w:t>uarter</w:t>
      </w:r>
      <w:r w:rsidR="00A52415" w:rsidRPr="00CC5F28">
        <w:rPr>
          <w:color w:val="auto"/>
          <w:sz w:val="24"/>
          <w:szCs w:val="24"/>
        </w:rPr>
        <w:t xml:space="preserve"> </w:t>
      </w:r>
      <w:r w:rsidR="004C6288" w:rsidRPr="00CC5F28">
        <w:rPr>
          <w:color w:val="auto"/>
          <w:sz w:val="24"/>
          <w:szCs w:val="24"/>
        </w:rPr>
        <w:t>2023</w:t>
      </w:r>
    </w:p>
    <w:p w14:paraId="185A58F4" w14:textId="041EEFC9" w:rsidR="006330D9" w:rsidRPr="00CC5F28" w:rsidRDefault="004663B8" w:rsidP="00E05D27">
      <w:pPr>
        <w:spacing w:after="0"/>
      </w:pPr>
      <w:r w:rsidRPr="00CC5F28">
        <w:rPr>
          <w:noProof/>
        </w:rPr>
        <w:drawing>
          <wp:inline distT="0" distB="0" distL="0" distR="0" wp14:anchorId="5011F812" wp14:editId="1A0C65B0">
            <wp:extent cx="6444311" cy="2044700"/>
            <wp:effectExtent l="0" t="0" r="0" b="0"/>
            <wp:docPr id="8" name="Picture 8" descr="Figure 4. double bar chart showing export values and trends for top 10 products, 2023-Q4.&#10;Product Exports (billions) Percent Change, 2022-Q4 to 2023-Q4&#10;TOTAL  $6.2  -14%&#10;Optic, Medical  $1.1  5%&#10;Machinery  $0.9  -8%&#10;Electrical Equipment  $0.8  -10%&#10;Vehicles  $0.6  41%&#10;Plastics  $0.3  2%&#10;Mineral Fuel, Oil  $0.3  -80%&#10;Cereals  $0.2  53%&#10;Food By-Products  $0.2  3%&#10;Ores, Slag, Ash  $0.1  -8%&#10;Aircraft, Spacecraft  $0.1  46%&#10;Other  $1.5  -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ure 4. double bar chart showing export values and trends for top 10 products, 2023-Q4.&#10;Product Exports (billions) Percent Change, 2022-Q4 to 2023-Q4&#10;TOTAL  $6.2  -14%&#10;Optic, Medical  $1.1  5%&#10;Machinery  $0.9  -8%&#10;Electrical Equipment  $0.8  -10%&#10;Vehicles  $0.6  41%&#10;Plastics  $0.3  2%&#10;Mineral Fuel, Oil  $0.3  -80%&#10;Cereals  $0.2  53%&#10;Food By-Products  $0.2  3%&#10;Ores, Slag, Ash  $0.1  -8%&#10;Aircraft, Spacecraft  $0.1  46%&#10;Other  $1.5  -9%&#10;"/>
                    <pic:cNvPicPr>
                      <a:picLocks noChangeAspect="1" noChangeArrowheads="1"/>
                    </pic:cNvPicPr>
                  </pic:nvPicPr>
                  <pic:blipFill rotWithShape="1">
                    <a:blip r:embed="rId17">
                      <a:extLst>
                        <a:ext uri="{28A0092B-C50C-407E-A947-70E740481C1C}">
                          <a14:useLocalDpi xmlns:a14="http://schemas.microsoft.com/office/drawing/2010/main" val="0"/>
                        </a:ext>
                      </a:extLst>
                    </a:blip>
                    <a:srcRect t="5341"/>
                    <a:stretch/>
                  </pic:blipFill>
                  <pic:spPr bwMode="auto">
                    <a:xfrm>
                      <a:off x="0" y="0"/>
                      <a:ext cx="6484911" cy="2057582"/>
                    </a:xfrm>
                    <a:prstGeom prst="rect">
                      <a:avLst/>
                    </a:prstGeom>
                    <a:noFill/>
                    <a:ln>
                      <a:noFill/>
                    </a:ln>
                    <a:extLst>
                      <a:ext uri="{53640926-AAD7-44D8-BBD7-CCE9431645EC}">
                        <a14:shadowObscured xmlns:a14="http://schemas.microsoft.com/office/drawing/2010/main"/>
                      </a:ext>
                    </a:extLst>
                  </pic:spPr>
                </pic:pic>
              </a:graphicData>
            </a:graphic>
          </wp:inline>
        </w:drawing>
      </w:r>
    </w:p>
    <w:tbl>
      <w:tblPr>
        <w:tblpPr w:leftFromText="180" w:rightFromText="180" w:vertAnchor="page" w:horzAnchor="margin" w:tblpY="13066"/>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9E5A6"/>
        <w:tblLook w:val="04A0" w:firstRow="1" w:lastRow="0" w:firstColumn="1" w:lastColumn="0" w:noHBand="0" w:noVBand="1"/>
        <w:tblCaption w:val="Additional information"/>
        <w:tblDescription w:val="Minnesota Quarterly Export Statistics is the most current resource available for tracking the state’s export trends in manufactured and other goods, and is prepared for the Minnesota Trade Office (MTO) by the Department of Employment and Economic Development’s (DEED) Economic Analysis Unit (Thu-Mai Ho-Kim).  The quarterly and annual statistics reports primarily cover export data based on the Harmonized Tariff System (Schedule B), accessed from WISERTrade - State HS Database, based on data collected by the U.S. Census Bureau, Foreign Trade Division. Reports are available on DEED’s website at “Export and Trade Statistics” (http://mn.gov/deed/data/export-stats/). "/>
      </w:tblPr>
      <w:tblGrid>
        <w:gridCol w:w="10255"/>
      </w:tblGrid>
      <w:tr w:rsidR="00CC5F28" w:rsidRPr="00CC5F28" w14:paraId="4FFE0446" w14:textId="77777777" w:rsidTr="006A4D47">
        <w:trPr>
          <w:trHeight w:val="530"/>
        </w:trPr>
        <w:tc>
          <w:tcPr>
            <w:tcW w:w="10255" w:type="dxa"/>
            <w:shd w:val="clear" w:color="auto" w:fill="C9E5A6"/>
          </w:tcPr>
          <w:p w14:paraId="685640BA" w14:textId="77777777" w:rsidR="006A4D47" w:rsidRPr="00CC5F28" w:rsidRDefault="006A4D47" w:rsidP="006A4D47">
            <w:pPr>
              <w:spacing w:before="120" w:after="120" w:line="240" w:lineRule="auto"/>
              <w:rPr>
                <w:rFonts w:ascii="Calibri" w:hAnsi="Calibri" w:cs="Calibri"/>
                <w:sz w:val="20"/>
                <w:szCs w:val="20"/>
              </w:rPr>
            </w:pPr>
            <w:r w:rsidRPr="00CC5F28">
              <w:rPr>
                <w:rStyle w:val="Emphasis"/>
                <w:rFonts w:cstheme="minorHAnsi"/>
                <w:sz w:val="20"/>
                <w:szCs w:val="20"/>
              </w:rPr>
              <w:t>Minnesota Export Statistics</w:t>
            </w:r>
            <w:r w:rsidRPr="00CC5F28">
              <w:rPr>
                <w:rStyle w:val="Emphasis"/>
                <w:rFonts w:cstheme="minorHAnsi"/>
                <w:i w:val="0"/>
                <w:iCs w:val="0"/>
                <w:sz w:val="20"/>
                <w:szCs w:val="20"/>
              </w:rPr>
              <w:t xml:space="preserve"> </w:t>
            </w:r>
            <w:r w:rsidRPr="00CC5F28">
              <w:rPr>
                <w:rStyle w:val="Emphasis"/>
                <w:i w:val="0"/>
                <w:iCs w:val="0"/>
                <w:sz w:val="20"/>
                <w:szCs w:val="20"/>
              </w:rPr>
              <w:t>reports</w:t>
            </w:r>
            <w:r w:rsidRPr="00CC5F28">
              <w:rPr>
                <w:rStyle w:val="Emphasis"/>
                <w:sz w:val="20"/>
                <w:szCs w:val="20"/>
              </w:rPr>
              <w:t xml:space="preserve"> t</w:t>
            </w:r>
            <w:r w:rsidRPr="00CC5F28">
              <w:rPr>
                <w:rFonts w:cstheme="minorHAnsi"/>
                <w:sz w:val="20"/>
                <w:szCs w:val="20"/>
              </w:rPr>
              <w:t>rack the state’s trends in exports of goods and is prepared for the Minnesota Trade Office by DEED’s Economic Analysis Unit (Thu-Mai Ho-Kim). The quarterly and annual reports primarily cover export data based on the Harmonized Tariff System (Schedule B), collected by the Foreign Trade Division, Census Bureau, U.S. Dept of Commerce and accessed through USA Trade Online (Census Bureau) and Trade Data Monitor (TDM). Historical reports are available on DEED’s website at “Export and Trade Statistics” (</w:t>
            </w:r>
            <w:hyperlink r:id="rId18" w:history="1">
              <w:r w:rsidRPr="00CC5F28">
                <w:rPr>
                  <w:rStyle w:val="Hyperlink"/>
                  <w:rFonts w:cstheme="minorHAnsi"/>
                  <w:color w:val="auto"/>
                  <w:sz w:val="20"/>
                  <w:szCs w:val="20"/>
                </w:rPr>
                <w:t>http://mn.gov/deed/data/export-stats/</w:t>
              </w:r>
            </w:hyperlink>
            <w:r w:rsidRPr="00CC5F28">
              <w:rPr>
                <w:rFonts w:cstheme="minorHAnsi"/>
                <w:sz w:val="20"/>
                <w:szCs w:val="20"/>
              </w:rPr>
              <w:t xml:space="preserve">).  </w:t>
            </w:r>
          </w:p>
        </w:tc>
      </w:tr>
    </w:tbl>
    <w:p w14:paraId="67779A89" w14:textId="0109015F" w:rsidR="00FE15EB" w:rsidRPr="00CC5F28" w:rsidRDefault="00FE15EB" w:rsidP="00F331FC">
      <w:pPr>
        <w:rPr>
          <w:rFonts w:ascii="Times New Roman" w:eastAsia="Times New Roman" w:hAnsi="Times New Roman" w:cs="Times New Roman"/>
          <w:snapToGrid w:val="0"/>
          <w:w w:val="0"/>
          <w:sz w:val="0"/>
          <w:szCs w:val="0"/>
          <w:u w:color="000000"/>
          <w:bdr w:val="none" w:sz="0" w:space="0" w:color="000000"/>
          <w:shd w:val="clear" w:color="000000" w:fill="000000"/>
          <w:lang w:eastAsia="x-none" w:bidi="x-none"/>
        </w:rPr>
      </w:pPr>
    </w:p>
    <w:sectPr w:rsidR="00FE15EB" w:rsidRPr="00CC5F28" w:rsidSect="00FE15EB">
      <w:footnotePr>
        <w:numRestart w:val="eachSect"/>
      </w:footnotePr>
      <w:endnotePr>
        <w:numFmt w:val="decimal"/>
      </w:endnotePr>
      <w:type w:val="continuous"/>
      <w:pgSz w:w="12240" w:h="15840" w:code="1"/>
      <w:pgMar w:top="864" w:right="1008" w:bottom="864" w:left="100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5EDE0" w14:textId="77777777" w:rsidR="007119FE" w:rsidRDefault="007119FE">
      <w:r>
        <w:separator/>
      </w:r>
    </w:p>
  </w:endnote>
  <w:endnote w:type="continuationSeparator" w:id="0">
    <w:p w14:paraId="7C9C92B5" w14:textId="77777777" w:rsidR="007119FE" w:rsidRDefault="00711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911F6" w14:textId="77777777" w:rsidR="00CC1B7D" w:rsidRDefault="00CC1B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82E195" w14:textId="77777777" w:rsidR="00CC1B7D" w:rsidRDefault="00CC1B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6150" w14:textId="22E678C6" w:rsidR="00A14E15" w:rsidRPr="00A14E15" w:rsidRDefault="00A14E15" w:rsidP="00A14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3C0B9" w14:textId="77777777" w:rsidR="007119FE" w:rsidRDefault="007119FE">
      <w:r>
        <w:separator/>
      </w:r>
    </w:p>
  </w:footnote>
  <w:footnote w:type="continuationSeparator" w:id="0">
    <w:p w14:paraId="05AAE318" w14:textId="77777777" w:rsidR="007119FE" w:rsidRDefault="00711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B42A" w14:textId="77777777" w:rsidR="00CC1B7D" w:rsidRDefault="00CC1B7D" w:rsidP="00E014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147C6F" w14:textId="77777777" w:rsidR="00CC1B7D" w:rsidRDefault="00CC1B7D" w:rsidP="00E014F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BEFB" w14:textId="77777777" w:rsidR="00CC1B7D" w:rsidRDefault="00CC1B7D" w:rsidP="00E014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236">
      <w:rPr>
        <w:rStyle w:val="PageNumber"/>
        <w:noProof/>
      </w:rPr>
      <w:t>2</w:t>
    </w:r>
    <w:r>
      <w:rPr>
        <w:rStyle w:val="PageNumber"/>
      </w:rPr>
      <w:fldChar w:fldCharType="end"/>
    </w:r>
  </w:p>
  <w:p w14:paraId="4CE97ED2" w14:textId="77777777" w:rsidR="00CC1B7D" w:rsidRDefault="00CC1B7D" w:rsidP="00E014F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89482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AD7251"/>
    <w:multiLevelType w:val="hybridMultilevel"/>
    <w:tmpl w:val="A20C3C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055FB0"/>
    <w:multiLevelType w:val="hybridMultilevel"/>
    <w:tmpl w:val="39F01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9B22E7"/>
    <w:multiLevelType w:val="hybridMultilevel"/>
    <w:tmpl w:val="DB8C1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621A5E"/>
    <w:multiLevelType w:val="hybridMultilevel"/>
    <w:tmpl w:val="787C9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6B6753"/>
    <w:multiLevelType w:val="hybridMultilevel"/>
    <w:tmpl w:val="31E0D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8E4940"/>
    <w:multiLevelType w:val="hybridMultilevel"/>
    <w:tmpl w:val="4AAE80EE"/>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61121C"/>
    <w:multiLevelType w:val="hybridMultilevel"/>
    <w:tmpl w:val="CFAA2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731D63"/>
    <w:multiLevelType w:val="hybridMultilevel"/>
    <w:tmpl w:val="0FB4B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E81A19"/>
    <w:multiLevelType w:val="hybridMultilevel"/>
    <w:tmpl w:val="B832D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4926A3"/>
    <w:multiLevelType w:val="hybridMultilevel"/>
    <w:tmpl w:val="0A604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373CB2"/>
    <w:multiLevelType w:val="hybridMultilevel"/>
    <w:tmpl w:val="E0E41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1704E9"/>
    <w:multiLevelType w:val="hybridMultilevel"/>
    <w:tmpl w:val="187CA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550900"/>
    <w:multiLevelType w:val="hybridMultilevel"/>
    <w:tmpl w:val="D1D21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38056F"/>
    <w:multiLevelType w:val="hybridMultilevel"/>
    <w:tmpl w:val="88CEE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DA42E3"/>
    <w:multiLevelType w:val="hybridMultilevel"/>
    <w:tmpl w:val="8A0ED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8B18F3"/>
    <w:multiLevelType w:val="hybridMultilevel"/>
    <w:tmpl w:val="9CD05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49D255A"/>
    <w:multiLevelType w:val="hybridMultilevel"/>
    <w:tmpl w:val="2EE46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7975A35"/>
    <w:multiLevelType w:val="hybridMultilevel"/>
    <w:tmpl w:val="E5021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F11FFB"/>
    <w:multiLevelType w:val="hybridMultilevel"/>
    <w:tmpl w:val="4CDAD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BE717D2"/>
    <w:multiLevelType w:val="hybridMultilevel"/>
    <w:tmpl w:val="E334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6115109">
    <w:abstractNumId w:val="0"/>
  </w:num>
  <w:num w:numId="2" w16cid:durableId="587809003">
    <w:abstractNumId w:val="15"/>
  </w:num>
  <w:num w:numId="3" w16cid:durableId="315185240">
    <w:abstractNumId w:val="14"/>
  </w:num>
  <w:num w:numId="4" w16cid:durableId="739328196">
    <w:abstractNumId w:val="4"/>
  </w:num>
  <w:num w:numId="5" w16cid:durableId="596596594">
    <w:abstractNumId w:val="1"/>
  </w:num>
  <w:num w:numId="6" w16cid:durableId="1351759869">
    <w:abstractNumId w:val="8"/>
  </w:num>
  <w:num w:numId="7" w16cid:durableId="1845899144">
    <w:abstractNumId w:val="20"/>
  </w:num>
  <w:num w:numId="8" w16cid:durableId="1255089048">
    <w:abstractNumId w:val="18"/>
  </w:num>
  <w:num w:numId="9" w16cid:durableId="812912516">
    <w:abstractNumId w:val="11"/>
  </w:num>
  <w:num w:numId="10" w16cid:durableId="434403191">
    <w:abstractNumId w:val="9"/>
  </w:num>
  <w:num w:numId="11" w16cid:durableId="199321401">
    <w:abstractNumId w:val="7"/>
  </w:num>
  <w:num w:numId="12" w16cid:durableId="1962147869">
    <w:abstractNumId w:val="2"/>
  </w:num>
  <w:num w:numId="13" w16cid:durableId="26877656">
    <w:abstractNumId w:val="19"/>
  </w:num>
  <w:num w:numId="14" w16cid:durableId="1700356944">
    <w:abstractNumId w:val="12"/>
  </w:num>
  <w:num w:numId="15" w16cid:durableId="1203322051">
    <w:abstractNumId w:val="6"/>
  </w:num>
  <w:num w:numId="16" w16cid:durableId="1798253661">
    <w:abstractNumId w:val="3"/>
  </w:num>
  <w:num w:numId="17" w16cid:durableId="136194312">
    <w:abstractNumId w:val="10"/>
  </w:num>
  <w:num w:numId="18" w16cid:durableId="449085045">
    <w:abstractNumId w:val="16"/>
  </w:num>
  <w:num w:numId="19" w16cid:durableId="696664036">
    <w:abstractNumId w:val="17"/>
  </w:num>
  <w:num w:numId="20" w16cid:durableId="432828150">
    <w:abstractNumId w:val="5"/>
  </w:num>
  <w:num w:numId="21" w16cid:durableId="1622178262">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NotTrackFormatting/>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0"/>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EAB"/>
    <w:rsid w:val="000034DC"/>
    <w:rsid w:val="00003FDB"/>
    <w:rsid w:val="000041CC"/>
    <w:rsid w:val="0000470B"/>
    <w:rsid w:val="000115BA"/>
    <w:rsid w:val="00013717"/>
    <w:rsid w:val="00015A9D"/>
    <w:rsid w:val="00017FE0"/>
    <w:rsid w:val="000218A0"/>
    <w:rsid w:val="00024BB5"/>
    <w:rsid w:val="000350A7"/>
    <w:rsid w:val="00035328"/>
    <w:rsid w:val="00036238"/>
    <w:rsid w:val="00036760"/>
    <w:rsid w:val="00040083"/>
    <w:rsid w:val="00044ED9"/>
    <w:rsid w:val="00046117"/>
    <w:rsid w:val="00051435"/>
    <w:rsid w:val="00051FE0"/>
    <w:rsid w:val="00051FF7"/>
    <w:rsid w:val="00052D34"/>
    <w:rsid w:val="000541A0"/>
    <w:rsid w:val="00054A6E"/>
    <w:rsid w:val="00055AAF"/>
    <w:rsid w:val="0005790D"/>
    <w:rsid w:val="000603F2"/>
    <w:rsid w:val="00061093"/>
    <w:rsid w:val="0006144E"/>
    <w:rsid w:val="0006608A"/>
    <w:rsid w:val="000705F0"/>
    <w:rsid w:val="000716AC"/>
    <w:rsid w:val="00073109"/>
    <w:rsid w:val="000731F2"/>
    <w:rsid w:val="00073987"/>
    <w:rsid w:val="0007455F"/>
    <w:rsid w:val="00076DF3"/>
    <w:rsid w:val="00077989"/>
    <w:rsid w:val="0008038B"/>
    <w:rsid w:val="00083199"/>
    <w:rsid w:val="000859F2"/>
    <w:rsid w:val="00085EED"/>
    <w:rsid w:val="000878A3"/>
    <w:rsid w:val="00090B7B"/>
    <w:rsid w:val="000919F2"/>
    <w:rsid w:val="0009219A"/>
    <w:rsid w:val="000924DC"/>
    <w:rsid w:val="00092621"/>
    <w:rsid w:val="0009287F"/>
    <w:rsid w:val="000929D8"/>
    <w:rsid w:val="00092FFB"/>
    <w:rsid w:val="00096FFD"/>
    <w:rsid w:val="000A1B8D"/>
    <w:rsid w:val="000A491B"/>
    <w:rsid w:val="000A4AB3"/>
    <w:rsid w:val="000A5664"/>
    <w:rsid w:val="000A7EF0"/>
    <w:rsid w:val="000B2DF3"/>
    <w:rsid w:val="000B518F"/>
    <w:rsid w:val="000B6338"/>
    <w:rsid w:val="000C1CB0"/>
    <w:rsid w:val="000C2181"/>
    <w:rsid w:val="000C3AE5"/>
    <w:rsid w:val="000C4ED2"/>
    <w:rsid w:val="000D02DD"/>
    <w:rsid w:val="000D1330"/>
    <w:rsid w:val="000D18A9"/>
    <w:rsid w:val="000D1941"/>
    <w:rsid w:val="000D2409"/>
    <w:rsid w:val="000D566F"/>
    <w:rsid w:val="000D5D94"/>
    <w:rsid w:val="000D6FAF"/>
    <w:rsid w:val="000E0786"/>
    <w:rsid w:val="000E3376"/>
    <w:rsid w:val="000E532F"/>
    <w:rsid w:val="000E6BD9"/>
    <w:rsid w:val="000E6F54"/>
    <w:rsid w:val="000E7ED0"/>
    <w:rsid w:val="000F0519"/>
    <w:rsid w:val="000F1497"/>
    <w:rsid w:val="000F1844"/>
    <w:rsid w:val="000F1B22"/>
    <w:rsid w:val="000F3E1F"/>
    <w:rsid w:val="000F4C5E"/>
    <w:rsid w:val="000F54F2"/>
    <w:rsid w:val="000F5EB1"/>
    <w:rsid w:val="000F6660"/>
    <w:rsid w:val="000F6CDA"/>
    <w:rsid w:val="00106910"/>
    <w:rsid w:val="00107686"/>
    <w:rsid w:val="001104C3"/>
    <w:rsid w:val="001127F8"/>
    <w:rsid w:val="00112A1D"/>
    <w:rsid w:val="00112A91"/>
    <w:rsid w:val="001214D7"/>
    <w:rsid w:val="0012471B"/>
    <w:rsid w:val="001250AB"/>
    <w:rsid w:val="001263E2"/>
    <w:rsid w:val="00132366"/>
    <w:rsid w:val="00132A66"/>
    <w:rsid w:val="00134ECC"/>
    <w:rsid w:val="00134F20"/>
    <w:rsid w:val="00135A0B"/>
    <w:rsid w:val="001360E3"/>
    <w:rsid w:val="00136664"/>
    <w:rsid w:val="001373C3"/>
    <w:rsid w:val="00137E8C"/>
    <w:rsid w:val="00140B5F"/>
    <w:rsid w:val="00142003"/>
    <w:rsid w:val="0014228E"/>
    <w:rsid w:val="001422BE"/>
    <w:rsid w:val="00145936"/>
    <w:rsid w:val="00147356"/>
    <w:rsid w:val="00147EEF"/>
    <w:rsid w:val="00150201"/>
    <w:rsid w:val="001619F1"/>
    <w:rsid w:val="001625A3"/>
    <w:rsid w:val="00162EF3"/>
    <w:rsid w:val="0016340E"/>
    <w:rsid w:val="00163A63"/>
    <w:rsid w:val="00164B97"/>
    <w:rsid w:val="00170A9E"/>
    <w:rsid w:val="00172BF4"/>
    <w:rsid w:val="00172FA7"/>
    <w:rsid w:val="00173478"/>
    <w:rsid w:val="00173D78"/>
    <w:rsid w:val="00176732"/>
    <w:rsid w:val="00176E55"/>
    <w:rsid w:val="0018069A"/>
    <w:rsid w:val="00182D30"/>
    <w:rsid w:val="0018375B"/>
    <w:rsid w:val="0018461A"/>
    <w:rsid w:val="001846AE"/>
    <w:rsid w:val="001873D8"/>
    <w:rsid w:val="00192539"/>
    <w:rsid w:val="001942D2"/>
    <w:rsid w:val="001944CA"/>
    <w:rsid w:val="001968E6"/>
    <w:rsid w:val="001978D1"/>
    <w:rsid w:val="001979B1"/>
    <w:rsid w:val="001A7229"/>
    <w:rsid w:val="001A7363"/>
    <w:rsid w:val="001A787E"/>
    <w:rsid w:val="001B0716"/>
    <w:rsid w:val="001B0835"/>
    <w:rsid w:val="001B0D71"/>
    <w:rsid w:val="001B1416"/>
    <w:rsid w:val="001B344A"/>
    <w:rsid w:val="001B3687"/>
    <w:rsid w:val="001B4406"/>
    <w:rsid w:val="001B5950"/>
    <w:rsid w:val="001B6B06"/>
    <w:rsid w:val="001C1112"/>
    <w:rsid w:val="001C13C5"/>
    <w:rsid w:val="001C1959"/>
    <w:rsid w:val="001C1A15"/>
    <w:rsid w:val="001C3A93"/>
    <w:rsid w:val="001C6967"/>
    <w:rsid w:val="001D0609"/>
    <w:rsid w:val="001D704D"/>
    <w:rsid w:val="001D767B"/>
    <w:rsid w:val="001E36FD"/>
    <w:rsid w:val="001E4570"/>
    <w:rsid w:val="001E4F28"/>
    <w:rsid w:val="001E53CF"/>
    <w:rsid w:val="001E6B49"/>
    <w:rsid w:val="001E7619"/>
    <w:rsid w:val="001E79C1"/>
    <w:rsid w:val="001E7B61"/>
    <w:rsid w:val="001F56E0"/>
    <w:rsid w:val="001F591D"/>
    <w:rsid w:val="001F62FF"/>
    <w:rsid w:val="001F7EBF"/>
    <w:rsid w:val="002003FA"/>
    <w:rsid w:val="0020291D"/>
    <w:rsid w:val="00202963"/>
    <w:rsid w:val="00203298"/>
    <w:rsid w:val="002040F2"/>
    <w:rsid w:val="00205084"/>
    <w:rsid w:val="00205F9C"/>
    <w:rsid w:val="00211025"/>
    <w:rsid w:val="0021109C"/>
    <w:rsid w:val="0021231E"/>
    <w:rsid w:val="002127D7"/>
    <w:rsid w:val="00212FF3"/>
    <w:rsid w:val="002158EE"/>
    <w:rsid w:val="00215DA6"/>
    <w:rsid w:val="00216C2D"/>
    <w:rsid w:val="00217960"/>
    <w:rsid w:val="002224AE"/>
    <w:rsid w:val="0022389E"/>
    <w:rsid w:val="00223F46"/>
    <w:rsid w:val="00226A71"/>
    <w:rsid w:val="00230CA2"/>
    <w:rsid w:val="00234444"/>
    <w:rsid w:val="00244370"/>
    <w:rsid w:val="00245025"/>
    <w:rsid w:val="0024609E"/>
    <w:rsid w:val="00250B75"/>
    <w:rsid w:val="002538D5"/>
    <w:rsid w:val="0025565E"/>
    <w:rsid w:val="002607E0"/>
    <w:rsid w:val="00262FF7"/>
    <w:rsid w:val="0026310F"/>
    <w:rsid w:val="00264CC3"/>
    <w:rsid w:val="00267778"/>
    <w:rsid w:val="002726A4"/>
    <w:rsid w:val="00272910"/>
    <w:rsid w:val="00275F40"/>
    <w:rsid w:val="0027681D"/>
    <w:rsid w:val="00277C67"/>
    <w:rsid w:val="00277E66"/>
    <w:rsid w:val="0028048A"/>
    <w:rsid w:val="00284EDE"/>
    <w:rsid w:val="00287234"/>
    <w:rsid w:val="002907B4"/>
    <w:rsid w:val="00293DCF"/>
    <w:rsid w:val="002969E6"/>
    <w:rsid w:val="00297DBE"/>
    <w:rsid w:val="002A0D6B"/>
    <w:rsid w:val="002A27D6"/>
    <w:rsid w:val="002A2F54"/>
    <w:rsid w:val="002A3F50"/>
    <w:rsid w:val="002A4808"/>
    <w:rsid w:val="002A4B11"/>
    <w:rsid w:val="002A52FC"/>
    <w:rsid w:val="002B1415"/>
    <w:rsid w:val="002B329E"/>
    <w:rsid w:val="002B36A6"/>
    <w:rsid w:val="002B3ACE"/>
    <w:rsid w:val="002B6B53"/>
    <w:rsid w:val="002B6EBF"/>
    <w:rsid w:val="002C0C4E"/>
    <w:rsid w:val="002C164C"/>
    <w:rsid w:val="002C3BBC"/>
    <w:rsid w:val="002C52C4"/>
    <w:rsid w:val="002C6521"/>
    <w:rsid w:val="002D1E09"/>
    <w:rsid w:val="002D2A7E"/>
    <w:rsid w:val="002D2EF5"/>
    <w:rsid w:val="002D63BC"/>
    <w:rsid w:val="002D6A99"/>
    <w:rsid w:val="002D6F33"/>
    <w:rsid w:val="002E27C8"/>
    <w:rsid w:val="002E47BC"/>
    <w:rsid w:val="002E53C6"/>
    <w:rsid w:val="002E54F1"/>
    <w:rsid w:val="002E6B92"/>
    <w:rsid w:val="002F0687"/>
    <w:rsid w:val="002F1C0E"/>
    <w:rsid w:val="002F1E64"/>
    <w:rsid w:val="002F257A"/>
    <w:rsid w:val="002F285F"/>
    <w:rsid w:val="002F5224"/>
    <w:rsid w:val="002F71B1"/>
    <w:rsid w:val="002F7ABC"/>
    <w:rsid w:val="00301B16"/>
    <w:rsid w:val="003047CE"/>
    <w:rsid w:val="00304E7F"/>
    <w:rsid w:val="00310D8B"/>
    <w:rsid w:val="0031458A"/>
    <w:rsid w:val="00314865"/>
    <w:rsid w:val="00314EBD"/>
    <w:rsid w:val="00316840"/>
    <w:rsid w:val="00320905"/>
    <w:rsid w:val="00327817"/>
    <w:rsid w:val="0033034E"/>
    <w:rsid w:val="00330852"/>
    <w:rsid w:val="00332036"/>
    <w:rsid w:val="00332B6B"/>
    <w:rsid w:val="00335273"/>
    <w:rsid w:val="00337018"/>
    <w:rsid w:val="00337315"/>
    <w:rsid w:val="00340E9C"/>
    <w:rsid w:val="003413C6"/>
    <w:rsid w:val="003415A0"/>
    <w:rsid w:val="00342DD3"/>
    <w:rsid w:val="00343C68"/>
    <w:rsid w:val="0034514F"/>
    <w:rsid w:val="0034596F"/>
    <w:rsid w:val="0034753B"/>
    <w:rsid w:val="00352999"/>
    <w:rsid w:val="003530DA"/>
    <w:rsid w:val="0035427F"/>
    <w:rsid w:val="0035592C"/>
    <w:rsid w:val="003575CE"/>
    <w:rsid w:val="00361002"/>
    <w:rsid w:val="003610A2"/>
    <w:rsid w:val="00365F97"/>
    <w:rsid w:val="00370F35"/>
    <w:rsid w:val="00371C8B"/>
    <w:rsid w:val="00372846"/>
    <w:rsid w:val="00373858"/>
    <w:rsid w:val="00373CD5"/>
    <w:rsid w:val="00374F2A"/>
    <w:rsid w:val="00375ACF"/>
    <w:rsid w:val="00375BF0"/>
    <w:rsid w:val="00375D7D"/>
    <w:rsid w:val="0037721A"/>
    <w:rsid w:val="0038071A"/>
    <w:rsid w:val="003823B0"/>
    <w:rsid w:val="003833B0"/>
    <w:rsid w:val="00383D01"/>
    <w:rsid w:val="00385E7F"/>
    <w:rsid w:val="003861FF"/>
    <w:rsid w:val="0038665A"/>
    <w:rsid w:val="00387777"/>
    <w:rsid w:val="00387942"/>
    <w:rsid w:val="00387E7F"/>
    <w:rsid w:val="00391815"/>
    <w:rsid w:val="00392609"/>
    <w:rsid w:val="0039324F"/>
    <w:rsid w:val="00396483"/>
    <w:rsid w:val="003975D0"/>
    <w:rsid w:val="003A0CE5"/>
    <w:rsid w:val="003A3D11"/>
    <w:rsid w:val="003B0B33"/>
    <w:rsid w:val="003B2771"/>
    <w:rsid w:val="003B3484"/>
    <w:rsid w:val="003B62FF"/>
    <w:rsid w:val="003C188A"/>
    <w:rsid w:val="003C316B"/>
    <w:rsid w:val="003C3B88"/>
    <w:rsid w:val="003C3D13"/>
    <w:rsid w:val="003C43EB"/>
    <w:rsid w:val="003C53CE"/>
    <w:rsid w:val="003C57B0"/>
    <w:rsid w:val="003C7165"/>
    <w:rsid w:val="003D044E"/>
    <w:rsid w:val="003D18F7"/>
    <w:rsid w:val="003D23DD"/>
    <w:rsid w:val="003D2CFC"/>
    <w:rsid w:val="003D49DF"/>
    <w:rsid w:val="003D4F5D"/>
    <w:rsid w:val="003D6202"/>
    <w:rsid w:val="003D744B"/>
    <w:rsid w:val="003D7C4C"/>
    <w:rsid w:val="003E01C9"/>
    <w:rsid w:val="003E21CA"/>
    <w:rsid w:val="003F27BF"/>
    <w:rsid w:val="003F41C6"/>
    <w:rsid w:val="003F44C1"/>
    <w:rsid w:val="003F6B30"/>
    <w:rsid w:val="0040062C"/>
    <w:rsid w:val="00402870"/>
    <w:rsid w:val="00402A86"/>
    <w:rsid w:val="00405F36"/>
    <w:rsid w:val="004061B1"/>
    <w:rsid w:val="00406747"/>
    <w:rsid w:val="00406E6D"/>
    <w:rsid w:val="00407310"/>
    <w:rsid w:val="00407A70"/>
    <w:rsid w:val="00410564"/>
    <w:rsid w:val="00410B76"/>
    <w:rsid w:val="00410BBC"/>
    <w:rsid w:val="00412776"/>
    <w:rsid w:val="00412C47"/>
    <w:rsid w:val="00420D04"/>
    <w:rsid w:val="0042279B"/>
    <w:rsid w:val="0042285F"/>
    <w:rsid w:val="00425184"/>
    <w:rsid w:val="00426066"/>
    <w:rsid w:val="00426DC1"/>
    <w:rsid w:val="0043003B"/>
    <w:rsid w:val="004303E8"/>
    <w:rsid w:val="004304CD"/>
    <w:rsid w:val="00433DBF"/>
    <w:rsid w:val="004362B0"/>
    <w:rsid w:val="00437CB6"/>
    <w:rsid w:val="0044214A"/>
    <w:rsid w:val="004430A9"/>
    <w:rsid w:val="00445385"/>
    <w:rsid w:val="00445834"/>
    <w:rsid w:val="00447C35"/>
    <w:rsid w:val="004527A6"/>
    <w:rsid w:val="0045332A"/>
    <w:rsid w:val="004550A2"/>
    <w:rsid w:val="00457309"/>
    <w:rsid w:val="00457D79"/>
    <w:rsid w:val="00464CC9"/>
    <w:rsid w:val="004663B8"/>
    <w:rsid w:val="0046665A"/>
    <w:rsid w:val="00466D65"/>
    <w:rsid w:val="0046703D"/>
    <w:rsid w:val="00467FA8"/>
    <w:rsid w:val="0047028E"/>
    <w:rsid w:val="0047084F"/>
    <w:rsid w:val="00470FED"/>
    <w:rsid w:val="004713E0"/>
    <w:rsid w:val="0047151D"/>
    <w:rsid w:val="004736AA"/>
    <w:rsid w:val="00475201"/>
    <w:rsid w:val="00475D79"/>
    <w:rsid w:val="0047760E"/>
    <w:rsid w:val="00480418"/>
    <w:rsid w:val="0048185B"/>
    <w:rsid w:val="00481E39"/>
    <w:rsid w:val="00482FFB"/>
    <w:rsid w:val="00483853"/>
    <w:rsid w:val="00484906"/>
    <w:rsid w:val="004867A4"/>
    <w:rsid w:val="00486B23"/>
    <w:rsid w:val="00487935"/>
    <w:rsid w:val="004900B8"/>
    <w:rsid w:val="004910BF"/>
    <w:rsid w:val="00491AC8"/>
    <w:rsid w:val="00493958"/>
    <w:rsid w:val="00493DF8"/>
    <w:rsid w:val="004944A7"/>
    <w:rsid w:val="004951BC"/>
    <w:rsid w:val="00495EF8"/>
    <w:rsid w:val="00497570"/>
    <w:rsid w:val="00497998"/>
    <w:rsid w:val="004A0D12"/>
    <w:rsid w:val="004A1069"/>
    <w:rsid w:val="004A2022"/>
    <w:rsid w:val="004A3CC9"/>
    <w:rsid w:val="004A4223"/>
    <w:rsid w:val="004A43B9"/>
    <w:rsid w:val="004A5841"/>
    <w:rsid w:val="004A5B9A"/>
    <w:rsid w:val="004A6B80"/>
    <w:rsid w:val="004A7FE8"/>
    <w:rsid w:val="004B0B28"/>
    <w:rsid w:val="004B25EA"/>
    <w:rsid w:val="004B4376"/>
    <w:rsid w:val="004B4BD6"/>
    <w:rsid w:val="004B74F8"/>
    <w:rsid w:val="004B7C0E"/>
    <w:rsid w:val="004C0132"/>
    <w:rsid w:val="004C31E6"/>
    <w:rsid w:val="004C4224"/>
    <w:rsid w:val="004C6288"/>
    <w:rsid w:val="004D0671"/>
    <w:rsid w:val="004D19F5"/>
    <w:rsid w:val="004D1EAB"/>
    <w:rsid w:val="004D23CF"/>
    <w:rsid w:val="004D6223"/>
    <w:rsid w:val="004D7918"/>
    <w:rsid w:val="004E06B6"/>
    <w:rsid w:val="004E1A2B"/>
    <w:rsid w:val="004E1D93"/>
    <w:rsid w:val="004E7051"/>
    <w:rsid w:val="004E7967"/>
    <w:rsid w:val="004F046B"/>
    <w:rsid w:val="004F0B2F"/>
    <w:rsid w:val="004F19B8"/>
    <w:rsid w:val="004F2AFD"/>
    <w:rsid w:val="004F5A09"/>
    <w:rsid w:val="004F5CE6"/>
    <w:rsid w:val="004F5EFC"/>
    <w:rsid w:val="004F6D22"/>
    <w:rsid w:val="004F6DBE"/>
    <w:rsid w:val="004F714C"/>
    <w:rsid w:val="004F73D4"/>
    <w:rsid w:val="00500A5C"/>
    <w:rsid w:val="005026CC"/>
    <w:rsid w:val="00503AD1"/>
    <w:rsid w:val="005041F7"/>
    <w:rsid w:val="0050449A"/>
    <w:rsid w:val="005078AA"/>
    <w:rsid w:val="005100D1"/>
    <w:rsid w:val="00513720"/>
    <w:rsid w:val="0051607A"/>
    <w:rsid w:val="005205F4"/>
    <w:rsid w:val="00521967"/>
    <w:rsid w:val="00524378"/>
    <w:rsid w:val="005269B7"/>
    <w:rsid w:val="005269D3"/>
    <w:rsid w:val="00530F70"/>
    <w:rsid w:val="005315EA"/>
    <w:rsid w:val="00532FD5"/>
    <w:rsid w:val="00533107"/>
    <w:rsid w:val="00534E9F"/>
    <w:rsid w:val="0053506A"/>
    <w:rsid w:val="0053512A"/>
    <w:rsid w:val="00535508"/>
    <w:rsid w:val="00535D23"/>
    <w:rsid w:val="00536B13"/>
    <w:rsid w:val="005370BB"/>
    <w:rsid w:val="00540B35"/>
    <w:rsid w:val="00541FFE"/>
    <w:rsid w:val="00544F1F"/>
    <w:rsid w:val="00545752"/>
    <w:rsid w:val="00545DDF"/>
    <w:rsid w:val="00545F38"/>
    <w:rsid w:val="0054634E"/>
    <w:rsid w:val="005514BE"/>
    <w:rsid w:val="005517D0"/>
    <w:rsid w:val="0055424F"/>
    <w:rsid w:val="00554428"/>
    <w:rsid w:val="00557377"/>
    <w:rsid w:val="00560495"/>
    <w:rsid w:val="00560599"/>
    <w:rsid w:val="00562F8A"/>
    <w:rsid w:val="00563721"/>
    <w:rsid w:val="00565776"/>
    <w:rsid w:val="00566508"/>
    <w:rsid w:val="00566C4E"/>
    <w:rsid w:val="00570ACF"/>
    <w:rsid w:val="005727A5"/>
    <w:rsid w:val="00573535"/>
    <w:rsid w:val="00573C2D"/>
    <w:rsid w:val="00575BB7"/>
    <w:rsid w:val="00575F88"/>
    <w:rsid w:val="0057794D"/>
    <w:rsid w:val="00581831"/>
    <w:rsid w:val="00582DC9"/>
    <w:rsid w:val="00585250"/>
    <w:rsid w:val="005859C8"/>
    <w:rsid w:val="00587796"/>
    <w:rsid w:val="005940DB"/>
    <w:rsid w:val="005953F2"/>
    <w:rsid w:val="00596618"/>
    <w:rsid w:val="00597ABF"/>
    <w:rsid w:val="005A2AAC"/>
    <w:rsid w:val="005A3C50"/>
    <w:rsid w:val="005A4293"/>
    <w:rsid w:val="005A61AB"/>
    <w:rsid w:val="005B0E04"/>
    <w:rsid w:val="005B2781"/>
    <w:rsid w:val="005B6872"/>
    <w:rsid w:val="005B6B09"/>
    <w:rsid w:val="005B75E6"/>
    <w:rsid w:val="005C0164"/>
    <w:rsid w:val="005C4DE0"/>
    <w:rsid w:val="005C5B41"/>
    <w:rsid w:val="005C61D6"/>
    <w:rsid w:val="005D315F"/>
    <w:rsid w:val="005E139A"/>
    <w:rsid w:val="005E2D06"/>
    <w:rsid w:val="005E41A6"/>
    <w:rsid w:val="005E4CC6"/>
    <w:rsid w:val="005E5D9F"/>
    <w:rsid w:val="005E6921"/>
    <w:rsid w:val="005F082A"/>
    <w:rsid w:val="005F1B29"/>
    <w:rsid w:val="005F3BCE"/>
    <w:rsid w:val="005F5087"/>
    <w:rsid w:val="005F69A9"/>
    <w:rsid w:val="00600502"/>
    <w:rsid w:val="0060605E"/>
    <w:rsid w:val="006064E9"/>
    <w:rsid w:val="00606AB0"/>
    <w:rsid w:val="00607FAE"/>
    <w:rsid w:val="0061064A"/>
    <w:rsid w:val="006139EC"/>
    <w:rsid w:val="00613CC2"/>
    <w:rsid w:val="00615BC9"/>
    <w:rsid w:val="00615CB4"/>
    <w:rsid w:val="0061712B"/>
    <w:rsid w:val="006177AE"/>
    <w:rsid w:val="00620C18"/>
    <w:rsid w:val="00621065"/>
    <w:rsid w:val="00621A4A"/>
    <w:rsid w:val="0062213F"/>
    <w:rsid w:val="00624E22"/>
    <w:rsid w:val="006308E7"/>
    <w:rsid w:val="006330D9"/>
    <w:rsid w:val="006339F5"/>
    <w:rsid w:val="0063551B"/>
    <w:rsid w:val="00635F82"/>
    <w:rsid w:val="00636B6E"/>
    <w:rsid w:val="0063763A"/>
    <w:rsid w:val="00637894"/>
    <w:rsid w:val="00640620"/>
    <w:rsid w:val="00641D3B"/>
    <w:rsid w:val="00646942"/>
    <w:rsid w:val="00647786"/>
    <w:rsid w:val="006519AF"/>
    <w:rsid w:val="00652A9D"/>
    <w:rsid w:val="006549A6"/>
    <w:rsid w:val="0065603B"/>
    <w:rsid w:val="0066058B"/>
    <w:rsid w:val="006618F7"/>
    <w:rsid w:val="00662222"/>
    <w:rsid w:val="00662414"/>
    <w:rsid w:val="00663755"/>
    <w:rsid w:val="00664A69"/>
    <w:rsid w:val="00665959"/>
    <w:rsid w:val="00666745"/>
    <w:rsid w:val="006674D7"/>
    <w:rsid w:val="0067275F"/>
    <w:rsid w:val="00674A82"/>
    <w:rsid w:val="00674D0B"/>
    <w:rsid w:val="006754B7"/>
    <w:rsid w:val="00675B7D"/>
    <w:rsid w:val="00676C69"/>
    <w:rsid w:val="00680F03"/>
    <w:rsid w:val="0068122B"/>
    <w:rsid w:val="00681236"/>
    <w:rsid w:val="006826BB"/>
    <w:rsid w:val="006829E5"/>
    <w:rsid w:val="006830C9"/>
    <w:rsid w:val="0068364A"/>
    <w:rsid w:val="0068525B"/>
    <w:rsid w:val="00685D4F"/>
    <w:rsid w:val="00685DD6"/>
    <w:rsid w:val="006871D2"/>
    <w:rsid w:val="00691D49"/>
    <w:rsid w:val="006922C8"/>
    <w:rsid w:val="00692D3B"/>
    <w:rsid w:val="00693229"/>
    <w:rsid w:val="006951FD"/>
    <w:rsid w:val="00695BB1"/>
    <w:rsid w:val="006964AF"/>
    <w:rsid w:val="006A17BE"/>
    <w:rsid w:val="006A3E64"/>
    <w:rsid w:val="006A4D47"/>
    <w:rsid w:val="006A56E4"/>
    <w:rsid w:val="006B029D"/>
    <w:rsid w:val="006B2D41"/>
    <w:rsid w:val="006B6D8D"/>
    <w:rsid w:val="006C1643"/>
    <w:rsid w:val="006C287C"/>
    <w:rsid w:val="006C3C15"/>
    <w:rsid w:val="006C7D4F"/>
    <w:rsid w:val="006D12B4"/>
    <w:rsid w:val="006D4F41"/>
    <w:rsid w:val="006D6A44"/>
    <w:rsid w:val="006D7A33"/>
    <w:rsid w:val="006E280A"/>
    <w:rsid w:val="006E4BEC"/>
    <w:rsid w:val="006E6792"/>
    <w:rsid w:val="006E75E2"/>
    <w:rsid w:val="006F01B5"/>
    <w:rsid w:val="006F06FC"/>
    <w:rsid w:val="006F0A9A"/>
    <w:rsid w:val="006F4AD5"/>
    <w:rsid w:val="006F4CA7"/>
    <w:rsid w:val="006F5527"/>
    <w:rsid w:val="006F6211"/>
    <w:rsid w:val="00701034"/>
    <w:rsid w:val="00703D62"/>
    <w:rsid w:val="007046F7"/>
    <w:rsid w:val="00707559"/>
    <w:rsid w:val="007076DF"/>
    <w:rsid w:val="00710701"/>
    <w:rsid w:val="007119FE"/>
    <w:rsid w:val="00712602"/>
    <w:rsid w:val="007144F6"/>
    <w:rsid w:val="00716311"/>
    <w:rsid w:val="007216E3"/>
    <w:rsid w:val="00723A6D"/>
    <w:rsid w:val="00725672"/>
    <w:rsid w:val="007269AB"/>
    <w:rsid w:val="00731691"/>
    <w:rsid w:val="00732F74"/>
    <w:rsid w:val="007332F9"/>
    <w:rsid w:val="00734ED0"/>
    <w:rsid w:val="00736085"/>
    <w:rsid w:val="00736171"/>
    <w:rsid w:val="00736C8E"/>
    <w:rsid w:val="007405DC"/>
    <w:rsid w:val="00741394"/>
    <w:rsid w:val="007418D9"/>
    <w:rsid w:val="00742173"/>
    <w:rsid w:val="00742415"/>
    <w:rsid w:val="007426DA"/>
    <w:rsid w:val="00743593"/>
    <w:rsid w:val="00743C00"/>
    <w:rsid w:val="00743CDA"/>
    <w:rsid w:val="007441D4"/>
    <w:rsid w:val="00744252"/>
    <w:rsid w:val="00746FD8"/>
    <w:rsid w:val="00750FE0"/>
    <w:rsid w:val="00751E26"/>
    <w:rsid w:val="007548E4"/>
    <w:rsid w:val="0075548A"/>
    <w:rsid w:val="00757335"/>
    <w:rsid w:val="00760360"/>
    <w:rsid w:val="007613E1"/>
    <w:rsid w:val="00761522"/>
    <w:rsid w:val="0076179E"/>
    <w:rsid w:val="00762462"/>
    <w:rsid w:val="00762E9C"/>
    <w:rsid w:val="00764F3A"/>
    <w:rsid w:val="00770689"/>
    <w:rsid w:val="00772951"/>
    <w:rsid w:val="007752C1"/>
    <w:rsid w:val="0077623A"/>
    <w:rsid w:val="007771AD"/>
    <w:rsid w:val="007818E5"/>
    <w:rsid w:val="0078397D"/>
    <w:rsid w:val="00784103"/>
    <w:rsid w:val="00784C0B"/>
    <w:rsid w:val="00784F13"/>
    <w:rsid w:val="00787A9E"/>
    <w:rsid w:val="007910B2"/>
    <w:rsid w:val="007964A2"/>
    <w:rsid w:val="007970F7"/>
    <w:rsid w:val="007A0496"/>
    <w:rsid w:val="007A2054"/>
    <w:rsid w:val="007A2D2F"/>
    <w:rsid w:val="007A6F27"/>
    <w:rsid w:val="007A7979"/>
    <w:rsid w:val="007A7D3B"/>
    <w:rsid w:val="007B0321"/>
    <w:rsid w:val="007B183D"/>
    <w:rsid w:val="007B1D69"/>
    <w:rsid w:val="007C165F"/>
    <w:rsid w:val="007C1DCB"/>
    <w:rsid w:val="007C29FD"/>
    <w:rsid w:val="007C542D"/>
    <w:rsid w:val="007D2377"/>
    <w:rsid w:val="007D2D9B"/>
    <w:rsid w:val="007D3342"/>
    <w:rsid w:val="007D38E8"/>
    <w:rsid w:val="007D733B"/>
    <w:rsid w:val="007E22C2"/>
    <w:rsid w:val="007E2DB9"/>
    <w:rsid w:val="007E3EFB"/>
    <w:rsid w:val="007E4D02"/>
    <w:rsid w:val="007E4D0D"/>
    <w:rsid w:val="007E5495"/>
    <w:rsid w:val="007E5EA9"/>
    <w:rsid w:val="007E6CE7"/>
    <w:rsid w:val="007F1C4A"/>
    <w:rsid w:val="007F3673"/>
    <w:rsid w:val="007F3B3E"/>
    <w:rsid w:val="007F507E"/>
    <w:rsid w:val="007F63B6"/>
    <w:rsid w:val="007F79B4"/>
    <w:rsid w:val="00800885"/>
    <w:rsid w:val="00800E2F"/>
    <w:rsid w:val="00801427"/>
    <w:rsid w:val="0080162F"/>
    <w:rsid w:val="0080204A"/>
    <w:rsid w:val="008022A8"/>
    <w:rsid w:val="0080286D"/>
    <w:rsid w:val="00811627"/>
    <w:rsid w:val="008117B6"/>
    <w:rsid w:val="00813F99"/>
    <w:rsid w:val="00817E9E"/>
    <w:rsid w:val="00821BD6"/>
    <w:rsid w:val="00824824"/>
    <w:rsid w:val="008274F3"/>
    <w:rsid w:val="0082792B"/>
    <w:rsid w:val="008303A2"/>
    <w:rsid w:val="00831997"/>
    <w:rsid w:val="00831E3F"/>
    <w:rsid w:val="00831F99"/>
    <w:rsid w:val="00833913"/>
    <w:rsid w:val="00835A94"/>
    <w:rsid w:val="00836835"/>
    <w:rsid w:val="00836FB4"/>
    <w:rsid w:val="00837B67"/>
    <w:rsid w:val="00837BEB"/>
    <w:rsid w:val="0084055A"/>
    <w:rsid w:val="00842BCE"/>
    <w:rsid w:val="00846556"/>
    <w:rsid w:val="00851C18"/>
    <w:rsid w:val="0085254B"/>
    <w:rsid w:val="00852D9B"/>
    <w:rsid w:val="00856B05"/>
    <w:rsid w:val="00861FE3"/>
    <w:rsid w:val="00863EF0"/>
    <w:rsid w:val="00864956"/>
    <w:rsid w:val="00864F1C"/>
    <w:rsid w:val="00872803"/>
    <w:rsid w:val="00872BA2"/>
    <w:rsid w:val="0087384F"/>
    <w:rsid w:val="0087775F"/>
    <w:rsid w:val="00877E32"/>
    <w:rsid w:val="0088063C"/>
    <w:rsid w:val="00881039"/>
    <w:rsid w:val="00883AAA"/>
    <w:rsid w:val="00890980"/>
    <w:rsid w:val="00890CBC"/>
    <w:rsid w:val="00892EBC"/>
    <w:rsid w:val="00894E39"/>
    <w:rsid w:val="00895418"/>
    <w:rsid w:val="008957D9"/>
    <w:rsid w:val="0089788C"/>
    <w:rsid w:val="00897AF8"/>
    <w:rsid w:val="008A202D"/>
    <w:rsid w:val="008A4157"/>
    <w:rsid w:val="008A5FCC"/>
    <w:rsid w:val="008B4846"/>
    <w:rsid w:val="008B5689"/>
    <w:rsid w:val="008B5DBC"/>
    <w:rsid w:val="008B749E"/>
    <w:rsid w:val="008C09B5"/>
    <w:rsid w:val="008C1F20"/>
    <w:rsid w:val="008C2D17"/>
    <w:rsid w:val="008C3CC2"/>
    <w:rsid w:val="008C3E75"/>
    <w:rsid w:val="008C5F38"/>
    <w:rsid w:val="008C6B0E"/>
    <w:rsid w:val="008C6FC8"/>
    <w:rsid w:val="008C7870"/>
    <w:rsid w:val="008D3756"/>
    <w:rsid w:val="008D4971"/>
    <w:rsid w:val="008D77FD"/>
    <w:rsid w:val="008E16CE"/>
    <w:rsid w:val="008E1E77"/>
    <w:rsid w:val="008E350D"/>
    <w:rsid w:val="008E6A92"/>
    <w:rsid w:val="008F1D37"/>
    <w:rsid w:val="008F4BDD"/>
    <w:rsid w:val="008F7897"/>
    <w:rsid w:val="00900302"/>
    <w:rsid w:val="0090296E"/>
    <w:rsid w:val="00902E31"/>
    <w:rsid w:val="0090379A"/>
    <w:rsid w:val="00906C03"/>
    <w:rsid w:val="0091354B"/>
    <w:rsid w:val="00913E49"/>
    <w:rsid w:val="00913ED2"/>
    <w:rsid w:val="009147FF"/>
    <w:rsid w:val="00915805"/>
    <w:rsid w:val="00916358"/>
    <w:rsid w:val="009204BB"/>
    <w:rsid w:val="009225DE"/>
    <w:rsid w:val="00922AFC"/>
    <w:rsid w:val="009237A5"/>
    <w:rsid w:val="009301DE"/>
    <w:rsid w:val="00934718"/>
    <w:rsid w:val="009370E2"/>
    <w:rsid w:val="009379AA"/>
    <w:rsid w:val="00940535"/>
    <w:rsid w:val="009407A8"/>
    <w:rsid w:val="0094395B"/>
    <w:rsid w:val="00945F19"/>
    <w:rsid w:val="00950233"/>
    <w:rsid w:val="00950841"/>
    <w:rsid w:val="00952DBF"/>
    <w:rsid w:val="00953B35"/>
    <w:rsid w:val="00954414"/>
    <w:rsid w:val="00954A83"/>
    <w:rsid w:val="00956763"/>
    <w:rsid w:val="00957BCF"/>
    <w:rsid w:val="009625F6"/>
    <w:rsid w:val="009627F9"/>
    <w:rsid w:val="009658D6"/>
    <w:rsid w:val="009676D8"/>
    <w:rsid w:val="00975F96"/>
    <w:rsid w:val="0098324A"/>
    <w:rsid w:val="00985FFB"/>
    <w:rsid w:val="00987CAC"/>
    <w:rsid w:val="00990CFC"/>
    <w:rsid w:val="00993516"/>
    <w:rsid w:val="00995DD7"/>
    <w:rsid w:val="00995E0E"/>
    <w:rsid w:val="00996052"/>
    <w:rsid w:val="009960C9"/>
    <w:rsid w:val="00996C55"/>
    <w:rsid w:val="00997DA9"/>
    <w:rsid w:val="009A2905"/>
    <w:rsid w:val="009A38CE"/>
    <w:rsid w:val="009A491C"/>
    <w:rsid w:val="009A5B58"/>
    <w:rsid w:val="009A5E1D"/>
    <w:rsid w:val="009A649B"/>
    <w:rsid w:val="009A6EB1"/>
    <w:rsid w:val="009A72B6"/>
    <w:rsid w:val="009B3E5B"/>
    <w:rsid w:val="009B4294"/>
    <w:rsid w:val="009B430C"/>
    <w:rsid w:val="009B5295"/>
    <w:rsid w:val="009B60BD"/>
    <w:rsid w:val="009B6D4C"/>
    <w:rsid w:val="009B70F4"/>
    <w:rsid w:val="009B7374"/>
    <w:rsid w:val="009C0727"/>
    <w:rsid w:val="009C1EF7"/>
    <w:rsid w:val="009C2556"/>
    <w:rsid w:val="009C6C52"/>
    <w:rsid w:val="009D0718"/>
    <w:rsid w:val="009D162F"/>
    <w:rsid w:val="009D1776"/>
    <w:rsid w:val="009D5976"/>
    <w:rsid w:val="009D5A80"/>
    <w:rsid w:val="009D79AE"/>
    <w:rsid w:val="009E0053"/>
    <w:rsid w:val="009E040A"/>
    <w:rsid w:val="009E2345"/>
    <w:rsid w:val="009E312B"/>
    <w:rsid w:val="009E40AA"/>
    <w:rsid w:val="009E4E40"/>
    <w:rsid w:val="009E710F"/>
    <w:rsid w:val="009F206C"/>
    <w:rsid w:val="009F6A97"/>
    <w:rsid w:val="00A00283"/>
    <w:rsid w:val="00A008E4"/>
    <w:rsid w:val="00A00B50"/>
    <w:rsid w:val="00A00E20"/>
    <w:rsid w:val="00A0253A"/>
    <w:rsid w:val="00A02A94"/>
    <w:rsid w:val="00A03293"/>
    <w:rsid w:val="00A03ADC"/>
    <w:rsid w:val="00A1000D"/>
    <w:rsid w:val="00A10193"/>
    <w:rsid w:val="00A10AC7"/>
    <w:rsid w:val="00A10DF8"/>
    <w:rsid w:val="00A111CB"/>
    <w:rsid w:val="00A11201"/>
    <w:rsid w:val="00A126F1"/>
    <w:rsid w:val="00A12A9B"/>
    <w:rsid w:val="00A14055"/>
    <w:rsid w:val="00A14E15"/>
    <w:rsid w:val="00A23BB2"/>
    <w:rsid w:val="00A24540"/>
    <w:rsid w:val="00A27388"/>
    <w:rsid w:val="00A300BF"/>
    <w:rsid w:val="00A30328"/>
    <w:rsid w:val="00A3255E"/>
    <w:rsid w:val="00A3267D"/>
    <w:rsid w:val="00A331C8"/>
    <w:rsid w:val="00A43E28"/>
    <w:rsid w:val="00A44451"/>
    <w:rsid w:val="00A46428"/>
    <w:rsid w:val="00A46BDC"/>
    <w:rsid w:val="00A5105C"/>
    <w:rsid w:val="00A513DF"/>
    <w:rsid w:val="00A52415"/>
    <w:rsid w:val="00A5321A"/>
    <w:rsid w:val="00A57B01"/>
    <w:rsid w:val="00A60B2E"/>
    <w:rsid w:val="00A61566"/>
    <w:rsid w:val="00A6188E"/>
    <w:rsid w:val="00A62E69"/>
    <w:rsid w:val="00A634F8"/>
    <w:rsid w:val="00A67499"/>
    <w:rsid w:val="00A716CD"/>
    <w:rsid w:val="00A744D1"/>
    <w:rsid w:val="00A745E3"/>
    <w:rsid w:val="00A76173"/>
    <w:rsid w:val="00A762E1"/>
    <w:rsid w:val="00A77AE4"/>
    <w:rsid w:val="00A806F4"/>
    <w:rsid w:val="00A81FA6"/>
    <w:rsid w:val="00A84E31"/>
    <w:rsid w:val="00A8697D"/>
    <w:rsid w:val="00A873DD"/>
    <w:rsid w:val="00A9059D"/>
    <w:rsid w:val="00A90983"/>
    <w:rsid w:val="00A925A8"/>
    <w:rsid w:val="00A943AF"/>
    <w:rsid w:val="00A96B58"/>
    <w:rsid w:val="00AA0175"/>
    <w:rsid w:val="00AA0A83"/>
    <w:rsid w:val="00AA25E4"/>
    <w:rsid w:val="00AA3112"/>
    <w:rsid w:val="00AA33FB"/>
    <w:rsid w:val="00AA4C9D"/>
    <w:rsid w:val="00AA525C"/>
    <w:rsid w:val="00AA6162"/>
    <w:rsid w:val="00AA733A"/>
    <w:rsid w:val="00AA78DC"/>
    <w:rsid w:val="00AA7F1A"/>
    <w:rsid w:val="00AB10AA"/>
    <w:rsid w:val="00AB25F9"/>
    <w:rsid w:val="00AB2F51"/>
    <w:rsid w:val="00AB2FDC"/>
    <w:rsid w:val="00AB4394"/>
    <w:rsid w:val="00AB54EE"/>
    <w:rsid w:val="00AB6229"/>
    <w:rsid w:val="00AC1689"/>
    <w:rsid w:val="00AC1FDD"/>
    <w:rsid w:val="00AC4D72"/>
    <w:rsid w:val="00AC4F4B"/>
    <w:rsid w:val="00AC71A6"/>
    <w:rsid w:val="00AC7D35"/>
    <w:rsid w:val="00AD15B2"/>
    <w:rsid w:val="00AD24FE"/>
    <w:rsid w:val="00AD2536"/>
    <w:rsid w:val="00AD362B"/>
    <w:rsid w:val="00AD4B24"/>
    <w:rsid w:val="00AD6D51"/>
    <w:rsid w:val="00AE1B54"/>
    <w:rsid w:val="00AE2FF1"/>
    <w:rsid w:val="00AE36A3"/>
    <w:rsid w:val="00AE3C57"/>
    <w:rsid w:val="00AE515D"/>
    <w:rsid w:val="00AE64C1"/>
    <w:rsid w:val="00AE6B2A"/>
    <w:rsid w:val="00AF3041"/>
    <w:rsid w:val="00AF48CD"/>
    <w:rsid w:val="00AF5E69"/>
    <w:rsid w:val="00AF5FAD"/>
    <w:rsid w:val="00AF6022"/>
    <w:rsid w:val="00AF7EC8"/>
    <w:rsid w:val="00B015A7"/>
    <w:rsid w:val="00B01F89"/>
    <w:rsid w:val="00B038CC"/>
    <w:rsid w:val="00B051B8"/>
    <w:rsid w:val="00B053D9"/>
    <w:rsid w:val="00B06556"/>
    <w:rsid w:val="00B06B04"/>
    <w:rsid w:val="00B06B85"/>
    <w:rsid w:val="00B11F31"/>
    <w:rsid w:val="00B12AB1"/>
    <w:rsid w:val="00B12C14"/>
    <w:rsid w:val="00B14090"/>
    <w:rsid w:val="00B15932"/>
    <w:rsid w:val="00B161CF"/>
    <w:rsid w:val="00B16F92"/>
    <w:rsid w:val="00B21E7A"/>
    <w:rsid w:val="00B21EA3"/>
    <w:rsid w:val="00B2296E"/>
    <w:rsid w:val="00B328E5"/>
    <w:rsid w:val="00B3388D"/>
    <w:rsid w:val="00B34168"/>
    <w:rsid w:val="00B345D9"/>
    <w:rsid w:val="00B34DF8"/>
    <w:rsid w:val="00B37B14"/>
    <w:rsid w:val="00B43D0A"/>
    <w:rsid w:val="00B43EF1"/>
    <w:rsid w:val="00B44303"/>
    <w:rsid w:val="00B47091"/>
    <w:rsid w:val="00B47D07"/>
    <w:rsid w:val="00B5144B"/>
    <w:rsid w:val="00B5170B"/>
    <w:rsid w:val="00B52EE1"/>
    <w:rsid w:val="00B53992"/>
    <w:rsid w:val="00B53D6E"/>
    <w:rsid w:val="00B54EA4"/>
    <w:rsid w:val="00B64706"/>
    <w:rsid w:val="00B679D3"/>
    <w:rsid w:val="00B67FEA"/>
    <w:rsid w:val="00B708AD"/>
    <w:rsid w:val="00B710D2"/>
    <w:rsid w:val="00B7113C"/>
    <w:rsid w:val="00B712CC"/>
    <w:rsid w:val="00B723DF"/>
    <w:rsid w:val="00B72D64"/>
    <w:rsid w:val="00B731DE"/>
    <w:rsid w:val="00B734C3"/>
    <w:rsid w:val="00B74252"/>
    <w:rsid w:val="00B7514D"/>
    <w:rsid w:val="00B7627A"/>
    <w:rsid w:val="00B7678B"/>
    <w:rsid w:val="00B77533"/>
    <w:rsid w:val="00B77999"/>
    <w:rsid w:val="00B77B05"/>
    <w:rsid w:val="00B81154"/>
    <w:rsid w:val="00B85149"/>
    <w:rsid w:val="00B85A12"/>
    <w:rsid w:val="00B86498"/>
    <w:rsid w:val="00B90481"/>
    <w:rsid w:val="00B9063F"/>
    <w:rsid w:val="00B92975"/>
    <w:rsid w:val="00B945D4"/>
    <w:rsid w:val="00B94BAD"/>
    <w:rsid w:val="00BA1325"/>
    <w:rsid w:val="00BA5870"/>
    <w:rsid w:val="00BA679F"/>
    <w:rsid w:val="00BB0399"/>
    <w:rsid w:val="00BB0CBB"/>
    <w:rsid w:val="00BB0EFB"/>
    <w:rsid w:val="00BB3223"/>
    <w:rsid w:val="00BB4344"/>
    <w:rsid w:val="00BB4A7B"/>
    <w:rsid w:val="00BB5D61"/>
    <w:rsid w:val="00BC1307"/>
    <w:rsid w:val="00BC2B27"/>
    <w:rsid w:val="00BC3B27"/>
    <w:rsid w:val="00BC4C9B"/>
    <w:rsid w:val="00BC609B"/>
    <w:rsid w:val="00BC7910"/>
    <w:rsid w:val="00BC7BEA"/>
    <w:rsid w:val="00BD0BD5"/>
    <w:rsid w:val="00BD209D"/>
    <w:rsid w:val="00BD6641"/>
    <w:rsid w:val="00BE4117"/>
    <w:rsid w:val="00BE467F"/>
    <w:rsid w:val="00BE4DAD"/>
    <w:rsid w:val="00BE5E4B"/>
    <w:rsid w:val="00BE6C2B"/>
    <w:rsid w:val="00BE716C"/>
    <w:rsid w:val="00BE76C8"/>
    <w:rsid w:val="00BE7990"/>
    <w:rsid w:val="00BF1AB9"/>
    <w:rsid w:val="00BF29E1"/>
    <w:rsid w:val="00BF2F12"/>
    <w:rsid w:val="00BF30AB"/>
    <w:rsid w:val="00BF3A0E"/>
    <w:rsid w:val="00BF3A82"/>
    <w:rsid w:val="00BF4C9A"/>
    <w:rsid w:val="00BF58CF"/>
    <w:rsid w:val="00C0339F"/>
    <w:rsid w:val="00C0411C"/>
    <w:rsid w:val="00C057FE"/>
    <w:rsid w:val="00C07331"/>
    <w:rsid w:val="00C10955"/>
    <w:rsid w:val="00C11B85"/>
    <w:rsid w:val="00C13C70"/>
    <w:rsid w:val="00C22BC5"/>
    <w:rsid w:val="00C22CD6"/>
    <w:rsid w:val="00C23063"/>
    <w:rsid w:val="00C23DAA"/>
    <w:rsid w:val="00C24103"/>
    <w:rsid w:val="00C25539"/>
    <w:rsid w:val="00C267D7"/>
    <w:rsid w:val="00C31877"/>
    <w:rsid w:val="00C31885"/>
    <w:rsid w:val="00C34436"/>
    <w:rsid w:val="00C347A8"/>
    <w:rsid w:val="00C4222C"/>
    <w:rsid w:val="00C42806"/>
    <w:rsid w:val="00C42BB6"/>
    <w:rsid w:val="00C430F8"/>
    <w:rsid w:val="00C43515"/>
    <w:rsid w:val="00C46BC0"/>
    <w:rsid w:val="00C53B91"/>
    <w:rsid w:val="00C53EBB"/>
    <w:rsid w:val="00C5610C"/>
    <w:rsid w:val="00C57088"/>
    <w:rsid w:val="00C60694"/>
    <w:rsid w:val="00C6189C"/>
    <w:rsid w:val="00C61B15"/>
    <w:rsid w:val="00C620D3"/>
    <w:rsid w:val="00C62687"/>
    <w:rsid w:val="00C64195"/>
    <w:rsid w:val="00C64773"/>
    <w:rsid w:val="00C73712"/>
    <w:rsid w:val="00C73A21"/>
    <w:rsid w:val="00C76728"/>
    <w:rsid w:val="00C76F72"/>
    <w:rsid w:val="00C77A75"/>
    <w:rsid w:val="00C80771"/>
    <w:rsid w:val="00C836EC"/>
    <w:rsid w:val="00C84368"/>
    <w:rsid w:val="00C84427"/>
    <w:rsid w:val="00C844F7"/>
    <w:rsid w:val="00C84D0E"/>
    <w:rsid w:val="00C859C7"/>
    <w:rsid w:val="00C8680A"/>
    <w:rsid w:val="00C87B56"/>
    <w:rsid w:val="00C87D7F"/>
    <w:rsid w:val="00C91002"/>
    <w:rsid w:val="00C915E2"/>
    <w:rsid w:val="00C93462"/>
    <w:rsid w:val="00C97041"/>
    <w:rsid w:val="00C97042"/>
    <w:rsid w:val="00C979F3"/>
    <w:rsid w:val="00CA06CE"/>
    <w:rsid w:val="00CA0EED"/>
    <w:rsid w:val="00CA0F8C"/>
    <w:rsid w:val="00CA2794"/>
    <w:rsid w:val="00CB1364"/>
    <w:rsid w:val="00CB3215"/>
    <w:rsid w:val="00CB38A0"/>
    <w:rsid w:val="00CB38AF"/>
    <w:rsid w:val="00CB630A"/>
    <w:rsid w:val="00CB65EF"/>
    <w:rsid w:val="00CB6DBB"/>
    <w:rsid w:val="00CB72F5"/>
    <w:rsid w:val="00CC03E3"/>
    <w:rsid w:val="00CC0D0A"/>
    <w:rsid w:val="00CC1B7D"/>
    <w:rsid w:val="00CC1EF1"/>
    <w:rsid w:val="00CC3D8E"/>
    <w:rsid w:val="00CC41DA"/>
    <w:rsid w:val="00CC5AB4"/>
    <w:rsid w:val="00CC5F28"/>
    <w:rsid w:val="00CC6C4E"/>
    <w:rsid w:val="00CC6EA3"/>
    <w:rsid w:val="00CD49EC"/>
    <w:rsid w:val="00CE08AA"/>
    <w:rsid w:val="00CE313B"/>
    <w:rsid w:val="00CE475C"/>
    <w:rsid w:val="00CE7AEB"/>
    <w:rsid w:val="00CE7E3D"/>
    <w:rsid w:val="00CF0DC4"/>
    <w:rsid w:val="00CF0ECB"/>
    <w:rsid w:val="00CF1D5A"/>
    <w:rsid w:val="00CF3C7B"/>
    <w:rsid w:val="00CF7317"/>
    <w:rsid w:val="00D0254C"/>
    <w:rsid w:val="00D02A61"/>
    <w:rsid w:val="00D02D91"/>
    <w:rsid w:val="00D038F3"/>
    <w:rsid w:val="00D0438E"/>
    <w:rsid w:val="00D06225"/>
    <w:rsid w:val="00D075C8"/>
    <w:rsid w:val="00D10279"/>
    <w:rsid w:val="00D113C0"/>
    <w:rsid w:val="00D11965"/>
    <w:rsid w:val="00D126B7"/>
    <w:rsid w:val="00D13636"/>
    <w:rsid w:val="00D14F5B"/>
    <w:rsid w:val="00D17713"/>
    <w:rsid w:val="00D17CB6"/>
    <w:rsid w:val="00D20356"/>
    <w:rsid w:val="00D20FFB"/>
    <w:rsid w:val="00D2478F"/>
    <w:rsid w:val="00D260F8"/>
    <w:rsid w:val="00D26D78"/>
    <w:rsid w:val="00D3203E"/>
    <w:rsid w:val="00D3214A"/>
    <w:rsid w:val="00D32E6E"/>
    <w:rsid w:val="00D33037"/>
    <w:rsid w:val="00D3377E"/>
    <w:rsid w:val="00D350D0"/>
    <w:rsid w:val="00D41699"/>
    <w:rsid w:val="00D445FA"/>
    <w:rsid w:val="00D4503A"/>
    <w:rsid w:val="00D4520B"/>
    <w:rsid w:val="00D4733E"/>
    <w:rsid w:val="00D4777B"/>
    <w:rsid w:val="00D54752"/>
    <w:rsid w:val="00D56B8F"/>
    <w:rsid w:val="00D5791A"/>
    <w:rsid w:val="00D60BDF"/>
    <w:rsid w:val="00D60DC5"/>
    <w:rsid w:val="00D6151B"/>
    <w:rsid w:val="00D61780"/>
    <w:rsid w:val="00D623EB"/>
    <w:rsid w:val="00D62905"/>
    <w:rsid w:val="00D637FE"/>
    <w:rsid w:val="00D63F04"/>
    <w:rsid w:val="00D65A6E"/>
    <w:rsid w:val="00D66D1C"/>
    <w:rsid w:val="00D72133"/>
    <w:rsid w:val="00D7221D"/>
    <w:rsid w:val="00D7237B"/>
    <w:rsid w:val="00D7363A"/>
    <w:rsid w:val="00D73FB7"/>
    <w:rsid w:val="00D73FB9"/>
    <w:rsid w:val="00D75FCF"/>
    <w:rsid w:val="00D76B66"/>
    <w:rsid w:val="00D773D0"/>
    <w:rsid w:val="00D77DC0"/>
    <w:rsid w:val="00D80073"/>
    <w:rsid w:val="00D80EB6"/>
    <w:rsid w:val="00D81A8E"/>
    <w:rsid w:val="00D8329D"/>
    <w:rsid w:val="00D83715"/>
    <w:rsid w:val="00D84668"/>
    <w:rsid w:val="00D84A3A"/>
    <w:rsid w:val="00D863CC"/>
    <w:rsid w:val="00D87B9A"/>
    <w:rsid w:val="00D87BD3"/>
    <w:rsid w:val="00D90D24"/>
    <w:rsid w:val="00D90EBF"/>
    <w:rsid w:val="00D916A9"/>
    <w:rsid w:val="00D94144"/>
    <w:rsid w:val="00D956BD"/>
    <w:rsid w:val="00D9611D"/>
    <w:rsid w:val="00D97463"/>
    <w:rsid w:val="00D9773D"/>
    <w:rsid w:val="00D97C6C"/>
    <w:rsid w:val="00DA09EB"/>
    <w:rsid w:val="00DA2D2A"/>
    <w:rsid w:val="00DA4B88"/>
    <w:rsid w:val="00DA78B5"/>
    <w:rsid w:val="00DA7EEA"/>
    <w:rsid w:val="00DB304D"/>
    <w:rsid w:val="00DB3AAA"/>
    <w:rsid w:val="00DC04AB"/>
    <w:rsid w:val="00DC28FF"/>
    <w:rsid w:val="00DC2D48"/>
    <w:rsid w:val="00DC3253"/>
    <w:rsid w:val="00DC5381"/>
    <w:rsid w:val="00DC5FA6"/>
    <w:rsid w:val="00DC631F"/>
    <w:rsid w:val="00DC6760"/>
    <w:rsid w:val="00DD30F7"/>
    <w:rsid w:val="00DD388E"/>
    <w:rsid w:val="00DD4EBF"/>
    <w:rsid w:val="00DD60C4"/>
    <w:rsid w:val="00DD736C"/>
    <w:rsid w:val="00DE2EE4"/>
    <w:rsid w:val="00DE5657"/>
    <w:rsid w:val="00DF0316"/>
    <w:rsid w:val="00DF0E5F"/>
    <w:rsid w:val="00DF11D0"/>
    <w:rsid w:val="00DF13E5"/>
    <w:rsid w:val="00DF1972"/>
    <w:rsid w:val="00DF519C"/>
    <w:rsid w:val="00DF57DB"/>
    <w:rsid w:val="00E00339"/>
    <w:rsid w:val="00E014FE"/>
    <w:rsid w:val="00E025F4"/>
    <w:rsid w:val="00E04238"/>
    <w:rsid w:val="00E05D27"/>
    <w:rsid w:val="00E076E5"/>
    <w:rsid w:val="00E077E1"/>
    <w:rsid w:val="00E10F45"/>
    <w:rsid w:val="00E12E0B"/>
    <w:rsid w:val="00E1539A"/>
    <w:rsid w:val="00E16ECF"/>
    <w:rsid w:val="00E20692"/>
    <w:rsid w:val="00E206EA"/>
    <w:rsid w:val="00E224CF"/>
    <w:rsid w:val="00E230B4"/>
    <w:rsid w:val="00E24645"/>
    <w:rsid w:val="00E24CCA"/>
    <w:rsid w:val="00E254A0"/>
    <w:rsid w:val="00E2702D"/>
    <w:rsid w:val="00E30182"/>
    <w:rsid w:val="00E3229A"/>
    <w:rsid w:val="00E33AF6"/>
    <w:rsid w:val="00E36364"/>
    <w:rsid w:val="00E3647C"/>
    <w:rsid w:val="00E36A70"/>
    <w:rsid w:val="00E41451"/>
    <w:rsid w:val="00E415B8"/>
    <w:rsid w:val="00E42787"/>
    <w:rsid w:val="00E427EE"/>
    <w:rsid w:val="00E45817"/>
    <w:rsid w:val="00E45BFB"/>
    <w:rsid w:val="00E46F93"/>
    <w:rsid w:val="00E50D6A"/>
    <w:rsid w:val="00E513D0"/>
    <w:rsid w:val="00E6068D"/>
    <w:rsid w:val="00E61C32"/>
    <w:rsid w:val="00E67B6F"/>
    <w:rsid w:val="00E704F7"/>
    <w:rsid w:val="00E7076F"/>
    <w:rsid w:val="00E70C45"/>
    <w:rsid w:val="00E73382"/>
    <w:rsid w:val="00E75ABE"/>
    <w:rsid w:val="00E7646B"/>
    <w:rsid w:val="00E76542"/>
    <w:rsid w:val="00E76FF1"/>
    <w:rsid w:val="00E77000"/>
    <w:rsid w:val="00E81560"/>
    <w:rsid w:val="00E83789"/>
    <w:rsid w:val="00E83838"/>
    <w:rsid w:val="00E83A19"/>
    <w:rsid w:val="00E850BA"/>
    <w:rsid w:val="00E8562C"/>
    <w:rsid w:val="00E86556"/>
    <w:rsid w:val="00E876CB"/>
    <w:rsid w:val="00E900A3"/>
    <w:rsid w:val="00E91310"/>
    <w:rsid w:val="00E9144E"/>
    <w:rsid w:val="00E92FA6"/>
    <w:rsid w:val="00E9477E"/>
    <w:rsid w:val="00E9694D"/>
    <w:rsid w:val="00EA1AF6"/>
    <w:rsid w:val="00EA2EEB"/>
    <w:rsid w:val="00EA50EC"/>
    <w:rsid w:val="00EA5D5D"/>
    <w:rsid w:val="00EA692F"/>
    <w:rsid w:val="00EB37A8"/>
    <w:rsid w:val="00EB40B0"/>
    <w:rsid w:val="00EB4443"/>
    <w:rsid w:val="00EB74BC"/>
    <w:rsid w:val="00EC16F8"/>
    <w:rsid w:val="00EC336E"/>
    <w:rsid w:val="00ED2C08"/>
    <w:rsid w:val="00ED3A64"/>
    <w:rsid w:val="00ED4194"/>
    <w:rsid w:val="00ED560D"/>
    <w:rsid w:val="00ED605B"/>
    <w:rsid w:val="00ED6260"/>
    <w:rsid w:val="00ED6B98"/>
    <w:rsid w:val="00ED6C94"/>
    <w:rsid w:val="00EE1040"/>
    <w:rsid w:val="00EE5B40"/>
    <w:rsid w:val="00EE5D08"/>
    <w:rsid w:val="00EE7685"/>
    <w:rsid w:val="00EF0BF1"/>
    <w:rsid w:val="00EF0EA0"/>
    <w:rsid w:val="00EF35D0"/>
    <w:rsid w:val="00EF3CF4"/>
    <w:rsid w:val="00EF4C89"/>
    <w:rsid w:val="00EF5F9F"/>
    <w:rsid w:val="00EF64BD"/>
    <w:rsid w:val="00F0242A"/>
    <w:rsid w:val="00F05050"/>
    <w:rsid w:val="00F053EF"/>
    <w:rsid w:val="00F10BC5"/>
    <w:rsid w:val="00F12FA6"/>
    <w:rsid w:val="00F141DF"/>
    <w:rsid w:val="00F15307"/>
    <w:rsid w:val="00F16041"/>
    <w:rsid w:val="00F17A7A"/>
    <w:rsid w:val="00F20245"/>
    <w:rsid w:val="00F216B1"/>
    <w:rsid w:val="00F23A2A"/>
    <w:rsid w:val="00F23E20"/>
    <w:rsid w:val="00F23F90"/>
    <w:rsid w:val="00F25611"/>
    <w:rsid w:val="00F30A87"/>
    <w:rsid w:val="00F31DA3"/>
    <w:rsid w:val="00F331FC"/>
    <w:rsid w:val="00F3371D"/>
    <w:rsid w:val="00F35CBE"/>
    <w:rsid w:val="00F406A9"/>
    <w:rsid w:val="00F40BF4"/>
    <w:rsid w:val="00F41942"/>
    <w:rsid w:val="00F4261F"/>
    <w:rsid w:val="00F43B0B"/>
    <w:rsid w:val="00F43BA6"/>
    <w:rsid w:val="00F508B0"/>
    <w:rsid w:val="00F51C02"/>
    <w:rsid w:val="00F5227C"/>
    <w:rsid w:val="00F54C78"/>
    <w:rsid w:val="00F555DD"/>
    <w:rsid w:val="00F55D28"/>
    <w:rsid w:val="00F566C7"/>
    <w:rsid w:val="00F57850"/>
    <w:rsid w:val="00F626E0"/>
    <w:rsid w:val="00F646A4"/>
    <w:rsid w:val="00F65C61"/>
    <w:rsid w:val="00F6667B"/>
    <w:rsid w:val="00F7027C"/>
    <w:rsid w:val="00F70333"/>
    <w:rsid w:val="00F72892"/>
    <w:rsid w:val="00F729B4"/>
    <w:rsid w:val="00F73106"/>
    <w:rsid w:val="00F73F33"/>
    <w:rsid w:val="00F7494E"/>
    <w:rsid w:val="00F74B06"/>
    <w:rsid w:val="00F75C80"/>
    <w:rsid w:val="00F80AFA"/>
    <w:rsid w:val="00F8155F"/>
    <w:rsid w:val="00F81BA9"/>
    <w:rsid w:val="00F82D92"/>
    <w:rsid w:val="00F85FA6"/>
    <w:rsid w:val="00F860A4"/>
    <w:rsid w:val="00F86357"/>
    <w:rsid w:val="00F90FBA"/>
    <w:rsid w:val="00F93C02"/>
    <w:rsid w:val="00F95C7C"/>
    <w:rsid w:val="00F96297"/>
    <w:rsid w:val="00FA106A"/>
    <w:rsid w:val="00FA13BE"/>
    <w:rsid w:val="00FA1A86"/>
    <w:rsid w:val="00FA1B4B"/>
    <w:rsid w:val="00FA3174"/>
    <w:rsid w:val="00FA384A"/>
    <w:rsid w:val="00FA4229"/>
    <w:rsid w:val="00FA433D"/>
    <w:rsid w:val="00FA4DCD"/>
    <w:rsid w:val="00FA65D1"/>
    <w:rsid w:val="00FA6845"/>
    <w:rsid w:val="00FA6CA0"/>
    <w:rsid w:val="00FA701F"/>
    <w:rsid w:val="00FB01B3"/>
    <w:rsid w:val="00FB5013"/>
    <w:rsid w:val="00FB507A"/>
    <w:rsid w:val="00FB6A28"/>
    <w:rsid w:val="00FB76CD"/>
    <w:rsid w:val="00FC662C"/>
    <w:rsid w:val="00FC6851"/>
    <w:rsid w:val="00FC7394"/>
    <w:rsid w:val="00FD2F99"/>
    <w:rsid w:val="00FD3B61"/>
    <w:rsid w:val="00FD5E0B"/>
    <w:rsid w:val="00FE15EB"/>
    <w:rsid w:val="00FE4B51"/>
    <w:rsid w:val="00FE4E3B"/>
    <w:rsid w:val="00FE5772"/>
    <w:rsid w:val="00FE752E"/>
    <w:rsid w:val="00FE7DFE"/>
    <w:rsid w:val="00FF06F1"/>
    <w:rsid w:val="00FF2C7A"/>
    <w:rsid w:val="00FF330B"/>
    <w:rsid w:val="00FF4869"/>
    <w:rsid w:val="00FF7510"/>
    <w:rsid w:val="00FF7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D18ACD"/>
  <w15:docId w15:val="{46804143-F042-4640-B650-B2CC126C8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165F"/>
  </w:style>
  <w:style w:type="paragraph" w:styleId="Heading1">
    <w:name w:val="heading 1"/>
    <w:basedOn w:val="Normal"/>
    <w:next w:val="Normal"/>
    <w:link w:val="Heading1Char"/>
    <w:uiPriority w:val="9"/>
    <w:qFormat/>
    <w:rsid w:val="007C16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16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4BEC"/>
    <w:pPr>
      <w:keepNext/>
      <w:keepLines/>
      <w:spacing w:before="200" w:after="0"/>
      <w:outlineLvl w:val="2"/>
    </w:pPr>
    <w:rPr>
      <w:rFonts w:eastAsiaTheme="majorEastAsia" w:cstheme="majorBidi"/>
      <w:b/>
      <w:bCs/>
      <w:i/>
      <w:color w:val="4F81BD" w:themeColor="accent1"/>
    </w:rPr>
  </w:style>
  <w:style w:type="paragraph" w:styleId="Heading4">
    <w:name w:val="heading 4"/>
    <w:basedOn w:val="Normal"/>
    <w:next w:val="Normal"/>
    <w:link w:val="Heading4Char"/>
    <w:uiPriority w:val="9"/>
    <w:unhideWhenUsed/>
    <w:qFormat/>
    <w:rsid w:val="00CF7317"/>
    <w:pPr>
      <w:keepNext/>
      <w:keepLines/>
      <w:spacing w:before="200" w:after="0"/>
      <w:outlineLvl w:val="3"/>
    </w:pPr>
    <w:rPr>
      <w:rFonts w:eastAsiaTheme="majorEastAsia" w:cstheme="majorBidi"/>
      <w:b/>
      <w:bCs/>
      <w:i/>
      <w:iCs/>
      <w:color w:val="4F81BD" w:themeColor="accent1"/>
      <w:sz w:val="24"/>
    </w:rPr>
  </w:style>
  <w:style w:type="paragraph" w:styleId="Heading5">
    <w:name w:val="heading 5"/>
    <w:basedOn w:val="Normal"/>
    <w:next w:val="Normal"/>
    <w:link w:val="Heading5Char"/>
    <w:uiPriority w:val="9"/>
    <w:unhideWhenUsed/>
    <w:qFormat/>
    <w:rsid w:val="007C165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C16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C16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C165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C16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rsid w:val="00E91310"/>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rsid w:val="00E91310"/>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rsid w:val="00E9131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rsid w:val="00E9131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rsid w:val="00E9131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rsid w:val="00E9131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rsid w:val="00E9131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rsid w:val="00E9131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Triangles">
    <w:name w:val="1Triangles"/>
    <w:rsid w:val="00E91310"/>
    <w:pPr>
      <w:widowControl w:val="0"/>
      <w:tabs>
        <w:tab w:val="left" w:pos="720"/>
      </w:tabs>
      <w:autoSpaceDE w:val="0"/>
      <w:autoSpaceDN w:val="0"/>
      <w:adjustRightInd w:val="0"/>
      <w:ind w:left="720" w:hanging="720"/>
      <w:jc w:val="both"/>
    </w:pPr>
    <w:rPr>
      <w:sz w:val="24"/>
      <w:szCs w:val="24"/>
    </w:rPr>
  </w:style>
  <w:style w:type="paragraph" w:customStyle="1" w:styleId="2Triangles">
    <w:name w:val="2Triangles"/>
    <w:rsid w:val="00E91310"/>
    <w:pPr>
      <w:widowControl w:val="0"/>
      <w:tabs>
        <w:tab w:val="left" w:pos="720"/>
        <w:tab w:val="left" w:pos="1440"/>
      </w:tabs>
      <w:autoSpaceDE w:val="0"/>
      <w:autoSpaceDN w:val="0"/>
      <w:adjustRightInd w:val="0"/>
      <w:ind w:left="1440" w:hanging="720"/>
      <w:jc w:val="both"/>
    </w:pPr>
    <w:rPr>
      <w:sz w:val="24"/>
      <w:szCs w:val="24"/>
    </w:rPr>
  </w:style>
  <w:style w:type="paragraph" w:customStyle="1" w:styleId="3Triangles">
    <w:name w:val="3Triangles"/>
    <w:rsid w:val="00E9131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Triangles">
    <w:name w:val="4Triangles"/>
    <w:rsid w:val="00E9131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Triangles">
    <w:name w:val="5Triangles"/>
    <w:rsid w:val="00E9131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Triangles">
    <w:name w:val="6Triangles"/>
    <w:rsid w:val="00E9131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Triangles">
    <w:name w:val="7Triangles"/>
    <w:rsid w:val="00E9131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Triangles">
    <w:name w:val="8Triangles"/>
    <w:rsid w:val="00E9131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a">
    <w:name w:val="_"/>
    <w:rsid w:val="00E91310"/>
    <w:pPr>
      <w:widowControl w:val="0"/>
      <w:autoSpaceDE w:val="0"/>
      <w:autoSpaceDN w:val="0"/>
      <w:adjustRightInd w:val="0"/>
      <w:ind w:left="-1080"/>
    </w:pPr>
    <w:rPr>
      <w:sz w:val="24"/>
      <w:szCs w:val="24"/>
    </w:rPr>
  </w:style>
  <w:style w:type="character" w:customStyle="1" w:styleId="DefaultPara">
    <w:name w:val="Default Para"/>
    <w:rsid w:val="00E91310"/>
  </w:style>
  <w:style w:type="character" w:customStyle="1" w:styleId="SYSHYPERTEXT">
    <w:name w:val="SYS_HYPERTEXT"/>
    <w:rsid w:val="00E91310"/>
    <w:rPr>
      <w:color w:val="0000FF"/>
    </w:rPr>
  </w:style>
  <w:style w:type="paragraph" w:styleId="Header">
    <w:name w:val="header"/>
    <w:basedOn w:val="Normal"/>
    <w:rsid w:val="00E91310"/>
    <w:pPr>
      <w:tabs>
        <w:tab w:val="center" w:pos="4320"/>
        <w:tab w:val="right" w:pos="8640"/>
      </w:tabs>
    </w:pPr>
  </w:style>
  <w:style w:type="character" w:styleId="PageNumber">
    <w:name w:val="page number"/>
    <w:basedOn w:val="DefaultParagraphFont"/>
    <w:rsid w:val="00E91310"/>
  </w:style>
  <w:style w:type="paragraph" w:styleId="BodyText">
    <w:name w:val="Body Text"/>
    <w:basedOn w:val="Normal"/>
    <w:link w:val="BodyTextChar"/>
    <w:rsid w:val="00E91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color w:val="FF00FF"/>
    </w:rPr>
  </w:style>
  <w:style w:type="paragraph" w:styleId="Caption">
    <w:name w:val="caption"/>
    <w:basedOn w:val="Normal"/>
    <w:next w:val="Normal"/>
    <w:uiPriority w:val="35"/>
    <w:unhideWhenUsed/>
    <w:qFormat/>
    <w:rsid w:val="007C165F"/>
    <w:pPr>
      <w:spacing w:line="240" w:lineRule="auto"/>
    </w:pPr>
    <w:rPr>
      <w:b/>
      <w:bCs/>
      <w:color w:val="4F81BD" w:themeColor="accent1"/>
      <w:sz w:val="18"/>
      <w:szCs w:val="18"/>
    </w:rPr>
  </w:style>
  <w:style w:type="paragraph" w:styleId="BodyText2">
    <w:name w:val="Body Text 2"/>
    <w:basedOn w:val="Normal"/>
    <w:rsid w:val="00E91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styleId="BodyText3">
    <w:name w:val="Body Text 3"/>
    <w:basedOn w:val="Normal"/>
    <w:rsid w:val="00E91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styleId="Hyperlink">
    <w:name w:val="Hyperlink"/>
    <w:rsid w:val="00E91310"/>
    <w:rPr>
      <w:color w:val="0000FF"/>
      <w:u w:val="single"/>
    </w:rPr>
  </w:style>
  <w:style w:type="character" w:styleId="FollowedHyperlink">
    <w:name w:val="FollowedHyperlink"/>
    <w:rsid w:val="00E91310"/>
    <w:rPr>
      <w:color w:val="800080"/>
      <w:u w:val="single"/>
    </w:rPr>
  </w:style>
  <w:style w:type="paragraph" w:styleId="Footer">
    <w:name w:val="footer"/>
    <w:basedOn w:val="Normal"/>
    <w:link w:val="FooterChar"/>
    <w:uiPriority w:val="99"/>
    <w:rsid w:val="00E91310"/>
    <w:pPr>
      <w:tabs>
        <w:tab w:val="center" w:pos="4320"/>
        <w:tab w:val="right" w:pos="8640"/>
      </w:tabs>
    </w:pPr>
  </w:style>
  <w:style w:type="paragraph" w:customStyle="1" w:styleId="Default">
    <w:name w:val="Default"/>
    <w:rsid w:val="00800885"/>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6059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4C89"/>
    <w:rPr>
      <w:rFonts w:ascii="Tahoma" w:hAnsi="Tahoma" w:cs="Tahoma"/>
      <w:sz w:val="16"/>
      <w:szCs w:val="16"/>
    </w:rPr>
  </w:style>
  <w:style w:type="paragraph" w:styleId="ListParagraph">
    <w:name w:val="List Paragraph"/>
    <w:basedOn w:val="Normal"/>
    <w:qFormat/>
    <w:rsid w:val="007C165F"/>
    <w:pPr>
      <w:ind w:left="720"/>
      <w:contextualSpacing/>
    </w:pPr>
  </w:style>
  <w:style w:type="paragraph" w:styleId="ListBullet">
    <w:name w:val="List Bullet"/>
    <w:basedOn w:val="Normal"/>
    <w:rsid w:val="00C4222C"/>
    <w:pPr>
      <w:numPr>
        <w:numId w:val="1"/>
      </w:numPr>
      <w:spacing w:after="120"/>
    </w:pPr>
  </w:style>
  <w:style w:type="character" w:customStyle="1" w:styleId="BodyTextChar">
    <w:name w:val="Body Text Char"/>
    <w:basedOn w:val="DefaultParagraphFont"/>
    <w:link w:val="BodyText"/>
    <w:rsid w:val="00CE313B"/>
    <w:rPr>
      <w:color w:val="FF00FF"/>
      <w:sz w:val="22"/>
      <w:szCs w:val="22"/>
    </w:rPr>
  </w:style>
  <w:style w:type="paragraph" w:customStyle="1" w:styleId="StyleListBulletAfter12pt">
    <w:name w:val="Style List Bullet + After:  12 pt"/>
    <w:basedOn w:val="ListBullet"/>
    <w:rsid w:val="00C4222C"/>
  </w:style>
  <w:style w:type="character" w:styleId="Strong">
    <w:name w:val="Strong"/>
    <w:basedOn w:val="DefaultParagraphFont"/>
    <w:uiPriority w:val="22"/>
    <w:qFormat/>
    <w:rsid w:val="007C165F"/>
    <w:rPr>
      <w:b/>
      <w:bCs/>
    </w:rPr>
  </w:style>
  <w:style w:type="character" w:styleId="Emphasis">
    <w:name w:val="Emphasis"/>
    <w:basedOn w:val="DefaultParagraphFont"/>
    <w:qFormat/>
    <w:rsid w:val="007C165F"/>
    <w:rPr>
      <w:i/>
      <w:iCs/>
    </w:rPr>
  </w:style>
  <w:style w:type="paragraph" w:styleId="Revision">
    <w:name w:val="Revision"/>
    <w:hidden/>
    <w:uiPriority w:val="99"/>
    <w:semiHidden/>
    <w:rsid w:val="00895418"/>
  </w:style>
  <w:style w:type="paragraph" w:styleId="NoSpacing">
    <w:name w:val="No Spacing"/>
    <w:uiPriority w:val="1"/>
    <w:qFormat/>
    <w:rsid w:val="007C165F"/>
    <w:pPr>
      <w:spacing w:after="0" w:line="240" w:lineRule="auto"/>
    </w:pPr>
  </w:style>
  <w:style w:type="character" w:customStyle="1" w:styleId="Heading1Char">
    <w:name w:val="Heading 1 Char"/>
    <w:basedOn w:val="DefaultParagraphFont"/>
    <w:link w:val="Heading1"/>
    <w:uiPriority w:val="9"/>
    <w:rsid w:val="007C16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16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E4BEC"/>
    <w:rPr>
      <w:rFonts w:eastAsiaTheme="majorEastAsia" w:cstheme="majorBidi"/>
      <w:b/>
      <w:bCs/>
      <w:i/>
      <w:color w:val="4F81BD" w:themeColor="accent1"/>
    </w:rPr>
  </w:style>
  <w:style w:type="character" w:customStyle="1" w:styleId="Heading4Char">
    <w:name w:val="Heading 4 Char"/>
    <w:basedOn w:val="DefaultParagraphFont"/>
    <w:link w:val="Heading4"/>
    <w:uiPriority w:val="9"/>
    <w:rsid w:val="00CF7317"/>
    <w:rPr>
      <w:rFonts w:eastAsiaTheme="majorEastAsia" w:cstheme="majorBidi"/>
      <w:b/>
      <w:bCs/>
      <w:i/>
      <w:iCs/>
      <w:color w:val="4F81BD" w:themeColor="accent1"/>
      <w:sz w:val="24"/>
    </w:rPr>
  </w:style>
  <w:style w:type="character" w:customStyle="1" w:styleId="Heading5Char">
    <w:name w:val="Heading 5 Char"/>
    <w:basedOn w:val="DefaultParagraphFont"/>
    <w:link w:val="Heading5"/>
    <w:uiPriority w:val="9"/>
    <w:rsid w:val="007C16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C16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C16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C165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C165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7C16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165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C16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C165F"/>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7C165F"/>
    <w:rPr>
      <w:i/>
      <w:iCs/>
      <w:color w:val="000000" w:themeColor="text1"/>
    </w:rPr>
  </w:style>
  <w:style w:type="character" w:customStyle="1" w:styleId="QuoteChar">
    <w:name w:val="Quote Char"/>
    <w:basedOn w:val="DefaultParagraphFont"/>
    <w:link w:val="Quote"/>
    <w:uiPriority w:val="29"/>
    <w:rsid w:val="007C165F"/>
    <w:rPr>
      <w:i/>
      <w:iCs/>
      <w:color w:val="000000" w:themeColor="text1"/>
    </w:rPr>
  </w:style>
  <w:style w:type="paragraph" w:styleId="IntenseQuote">
    <w:name w:val="Intense Quote"/>
    <w:basedOn w:val="Normal"/>
    <w:next w:val="Normal"/>
    <w:link w:val="IntenseQuoteChar"/>
    <w:uiPriority w:val="30"/>
    <w:qFormat/>
    <w:rsid w:val="007C16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C165F"/>
    <w:rPr>
      <w:b/>
      <w:bCs/>
      <w:i/>
      <w:iCs/>
      <w:color w:val="4F81BD" w:themeColor="accent1"/>
    </w:rPr>
  </w:style>
  <w:style w:type="character" w:styleId="SubtleEmphasis">
    <w:name w:val="Subtle Emphasis"/>
    <w:basedOn w:val="DefaultParagraphFont"/>
    <w:uiPriority w:val="19"/>
    <w:qFormat/>
    <w:rsid w:val="007C165F"/>
    <w:rPr>
      <w:i/>
      <w:iCs/>
      <w:color w:val="808080" w:themeColor="text1" w:themeTint="7F"/>
    </w:rPr>
  </w:style>
  <w:style w:type="character" w:styleId="IntenseEmphasis">
    <w:name w:val="Intense Emphasis"/>
    <w:basedOn w:val="DefaultParagraphFont"/>
    <w:uiPriority w:val="21"/>
    <w:qFormat/>
    <w:rsid w:val="007C165F"/>
    <w:rPr>
      <w:b/>
      <w:bCs/>
      <w:i/>
      <w:iCs/>
      <w:color w:val="4F81BD" w:themeColor="accent1"/>
    </w:rPr>
  </w:style>
  <w:style w:type="character" w:styleId="SubtleReference">
    <w:name w:val="Subtle Reference"/>
    <w:basedOn w:val="DefaultParagraphFont"/>
    <w:uiPriority w:val="31"/>
    <w:qFormat/>
    <w:rsid w:val="007C165F"/>
    <w:rPr>
      <w:smallCaps/>
      <w:color w:val="C0504D" w:themeColor="accent2"/>
      <w:u w:val="single"/>
    </w:rPr>
  </w:style>
  <w:style w:type="character" w:styleId="IntenseReference">
    <w:name w:val="Intense Reference"/>
    <w:basedOn w:val="DefaultParagraphFont"/>
    <w:uiPriority w:val="32"/>
    <w:qFormat/>
    <w:rsid w:val="007C165F"/>
    <w:rPr>
      <w:b/>
      <w:bCs/>
      <w:smallCaps/>
      <w:color w:val="C0504D" w:themeColor="accent2"/>
      <w:spacing w:val="5"/>
      <w:u w:val="single"/>
    </w:rPr>
  </w:style>
  <w:style w:type="character" w:styleId="BookTitle">
    <w:name w:val="Book Title"/>
    <w:basedOn w:val="DefaultParagraphFont"/>
    <w:uiPriority w:val="33"/>
    <w:qFormat/>
    <w:rsid w:val="007C165F"/>
    <w:rPr>
      <w:b/>
      <w:bCs/>
      <w:smallCaps/>
      <w:spacing w:val="5"/>
    </w:rPr>
  </w:style>
  <w:style w:type="paragraph" w:styleId="TOCHeading">
    <w:name w:val="TOC Heading"/>
    <w:basedOn w:val="Heading1"/>
    <w:next w:val="Normal"/>
    <w:uiPriority w:val="39"/>
    <w:semiHidden/>
    <w:unhideWhenUsed/>
    <w:qFormat/>
    <w:rsid w:val="007C165F"/>
    <w:pPr>
      <w:outlineLvl w:val="9"/>
    </w:pPr>
  </w:style>
  <w:style w:type="character" w:customStyle="1" w:styleId="FooterChar">
    <w:name w:val="Footer Char"/>
    <w:basedOn w:val="DefaultParagraphFont"/>
    <w:link w:val="Footer"/>
    <w:uiPriority w:val="99"/>
    <w:rsid w:val="001B6B06"/>
  </w:style>
  <w:style w:type="character" w:styleId="CommentReference">
    <w:name w:val="annotation reference"/>
    <w:basedOn w:val="DefaultParagraphFont"/>
    <w:semiHidden/>
    <w:unhideWhenUsed/>
    <w:rsid w:val="00D63F04"/>
    <w:rPr>
      <w:sz w:val="16"/>
      <w:szCs w:val="16"/>
    </w:rPr>
  </w:style>
  <w:style w:type="paragraph" w:styleId="CommentText">
    <w:name w:val="annotation text"/>
    <w:basedOn w:val="Normal"/>
    <w:link w:val="CommentTextChar"/>
    <w:semiHidden/>
    <w:unhideWhenUsed/>
    <w:rsid w:val="00D63F04"/>
    <w:pPr>
      <w:spacing w:line="240" w:lineRule="auto"/>
    </w:pPr>
    <w:rPr>
      <w:sz w:val="20"/>
      <w:szCs w:val="20"/>
    </w:rPr>
  </w:style>
  <w:style w:type="character" w:customStyle="1" w:styleId="CommentTextChar">
    <w:name w:val="Comment Text Char"/>
    <w:basedOn w:val="DefaultParagraphFont"/>
    <w:link w:val="CommentText"/>
    <w:semiHidden/>
    <w:rsid w:val="00D63F04"/>
    <w:rPr>
      <w:sz w:val="20"/>
      <w:szCs w:val="20"/>
    </w:rPr>
  </w:style>
  <w:style w:type="paragraph" w:styleId="CommentSubject">
    <w:name w:val="annotation subject"/>
    <w:basedOn w:val="CommentText"/>
    <w:next w:val="CommentText"/>
    <w:link w:val="CommentSubjectChar"/>
    <w:semiHidden/>
    <w:unhideWhenUsed/>
    <w:rsid w:val="00D63F04"/>
    <w:rPr>
      <w:b/>
      <w:bCs/>
    </w:rPr>
  </w:style>
  <w:style w:type="character" w:customStyle="1" w:styleId="CommentSubjectChar">
    <w:name w:val="Comment Subject Char"/>
    <w:basedOn w:val="CommentTextChar"/>
    <w:link w:val="CommentSubject"/>
    <w:semiHidden/>
    <w:rsid w:val="00D63F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1572">
      <w:bodyDiv w:val="1"/>
      <w:marLeft w:val="60"/>
      <w:marRight w:val="60"/>
      <w:marTop w:val="60"/>
      <w:marBottom w:val="15"/>
      <w:divBdr>
        <w:top w:val="none" w:sz="0" w:space="0" w:color="auto"/>
        <w:left w:val="none" w:sz="0" w:space="0" w:color="auto"/>
        <w:bottom w:val="none" w:sz="0" w:space="0" w:color="auto"/>
        <w:right w:val="none" w:sz="0" w:space="0" w:color="auto"/>
      </w:divBdr>
      <w:divsChild>
        <w:div w:id="130952323">
          <w:marLeft w:val="0"/>
          <w:marRight w:val="0"/>
          <w:marTop w:val="0"/>
          <w:marBottom w:val="0"/>
          <w:divBdr>
            <w:top w:val="none" w:sz="0" w:space="0" w:color="auto"/>
            <w:left w:val="none" w:sz="0" w:space="0" w:color="auto"/>
            <w:bottom w:val="none" w:sz="0" w:space="0" w:color="auto"/>
            <w:right w:val="none" w:sz="0" w:space="0" w:color="auto"/>
          </w:divBdr>
        </w:div>
        <w:div w:id="135029660">
          <w:marLeft w:val="0"/>
          <w:marRight w:val="0"/>
          <w:marTop w:val="0"/>
          <w:marBottom w:val="0"/>
          <w:divBdr>
            <w:top w:val="none" w:sz="0" w:space="0" w:color="auto"/>
            <w:left w:val="none" w:sz="0" w:space="0" w:color="auto"/>
            <w:bottom w:val="none" w:sz="0" w:space="0" w:color="auto"/>
            <w:right w:val="none" w:sz="0" w:space="0" w:color="auto"/>
          </w:divBdr>
        </w:div>
        <w:div w:id="140199586">
          <w:marLeft w:val="0"/>
          <w:marRight w:val="0"/>
          <w:marTop w:val="0"/>
          <w:marBottom w:val="0"/>
          <w:divBdr>
            <w:top w:val="none" w:sz="0" w:space="0" w:color="auto"/>
            <w:left w:val="none" w:sz="0" w:space="0" w:color="auto"/>
            <w:bottom w:val="none" w:sz="0" w:space="0" w:color="auto"/>
            <w:right w:val="none" w:sz="0" w:space="0" w:color="auto"/>
          </w:divBdr>
        </w:div>
        <w:div w:id="165025019">
          <w:marLeft w:val="0"/>
          <w:marRight w:val="0"/>
          <w:marTop w:val="0"/>
          <w:marBottom w:val="0"/>
          <w:divBdr>
            <w:top w:val="none" w:sz="0" w:space="0" w:color="auto"/>
            <w:left w:val="none" w:sz="0" w:space="0" w:color="auto"/>
            <w:bottom w:val="none" w:sz="0" w:space="0" w:color="auto"/>
            <w:right w:val="none" w:sz="0" w:space="0" w:color="auto"/>
          </w:divBdr>
        </w:div>
        <w:div w:id="233275361">
          <w:marLeft w:val="0"/>
          <w:marRight w:val="0"/>
          <w:marTop w:val="0"/>
          <w:marBottom w:val="0"/>
          <w:divBdr>
            <w:top w:val="none" w:sz="0" w:space="0" w:color="auto"/>
            <w:left w:val="none" w:sz="0" w:space="0" w:color="auto"/>
            <w:bottom w:val="none" w:sz="0" w:space="0" w:color="auto"/>
            <w:right w:val="none" w:sz="0" w:space="0" w:color="auto"/>
          </w:divBdr>
        </w:div>
        <w:div w:id="236519906">
          <w:marLeft w:val="0"/>
          <w:marRight w:val="0"/>
          <w:marTop w:val="0"/>
          <w:marBottom w:val="0"/>
          <w:divBdr>
            <w:top w:val="none" w:sz="0" w:space="0" w:color="auto"/>
            <w:left w:val="none" w:sz="0" w:space="0" w:color="auto"/>
            <w:bottom w:val="none" w:sz="0" w:space="0" w:color="auto"/>
            <w:right w:val="none" w:sz="0" w:space="0" w:color="auto"/>
          </w:divBdr>
        </w:div>
        <w:div w:id="274560804">
          <w:marLeft w:val="0"/>
          <w:marRight w:val="0"/>
          <w:marTop w:val="0"/>
          <w:marBottom w:val="0"/>
          <w:divBdr>
            <w:top w:val="none" w:sz="0" w:space="0" w:color="auto"/>
            <w:left w:val="none" w:sz="0" w:space="0" w:color="auto"/>
            <w:bottom w:val="none" w:sz="0" w:space="0" w:color="auto"/>
            <w:right w:val="none" w:sz="0" w:space="0" w:color="auto"/>
          </w:divBdr>
        </w:div>
        <w:div w:id="331493830">
          <w:marLeft w:val="0"/>
          <w:marRight w:val="0"/>
          <w:marTop w:val="0"/>
          <w:marBottom w:val="0"/>
          <w:divBdr>
            <w:top w:val="none" w:sz="0" w:space="0" w:color="auto"/>
            <w:left w:val="none" w:sz="0" w:space="0" w:color="auto"/>
            <w:bottom w:val="none" w:sz="0" w:space="0" w:color="auto"/>
            <w:right w:val="none" w:sz="0" w:space="0" w:color="auto"/>
          </w:divBdr>
        </w:div>
        <w:div w:id="444538856">
          <w:marLeft w:val="0"/>
          <w:marRight w:val="0"/>
          <w:marTop w:val="0"/>
          <w:marBottom w:val="0"/>
          <w:divBdr>
            <w:top w:val="none" w:sz="0" w:space="0" w:color="auto"/>
            <w:left w:val="none" w:sz="0" w:space="0" w:color="auto"/>
            <w:bottom w:val="none" w:sz="0" w:space="0" w:color="auto"/>
            <w:right w:val="none" w:sz="0" w:space="0" w:color="auto"/>
          </w:divBdr>
        </w:div>
        <w:div w:id="513375455">
          <w:marLeft w:val="0"/>
          <w:marRight w:val="0"/>
          <w:marTop w:val="0"/>
          <w:marBottom w:val="0"/>
          <w:divBdr>
            <w:top w:val="none" w:sz="0" w:space="0" w:color="auto"/>
            <w:left w:val="none" w:sz="0" w:space="0" w:color="auto"/>
            <w:bottom w:val="none" w:sz="0" w:space="0" w:color="auto"/>
            <w:right w:val="none" w:sz="0" w:space="0" w:color="auto"/>
          </w:divBdr>
        </w:div>
        <w:div w:id="514464967">
          <w:marLeft w:val="0"/>
          <w:marRight w:val="0"/>
          <w:marTop w:val="0"/>
          <w:marBottom w:val="0"/>
          <w:divBdr>
            <w:top w:val="none" w:sz="0" w:space="0" w:color="auto"/>
            <w:left w:val="none" w:sz="0" w:space="0" w:color="auto"/>
            <w:bottom w:val="none" w:sz="0" w:space="0" w:color="auto"/>
            <w:right w:val="none" w:sz="0" w:space="0" w:color="auto"/>
          </w:divBdr>
        </w:div>
        <w:div w:id="522091692">
          <w:marLeft w:val="0"/>
          <w:marRight w:val="0"/>
          <w:marTop w:val="0"/>
          <w:marBottom w:val="0"/>
          <w:divBdr>
            <w:top w:val="none" w:sz="0" w:space="0" w:color="auto"/>
            <w:left w:val="none" w:sz="0" w:space="0" w:color="auto"/>
            <w:bottom w:val="none" w:sz="0" w:space="0" w:color="auto"/>
            <w:right w:val="none" w:sz="0" w:space="0" w:color="auto"/>
          </w:divBdr>
        </w:div>
        <w:div w:id="549847490">
          <w:marLeft w:val="0"/>
          <w:marRight w:val="0"/>
          <w:marTop w:val="0"/>
          <w:marBottom w:val="0"/>
          <w:divBdr>
            <w:top w:val="none" w:sz="0" w:space="0" w:color="auto"/>
            <w:left w:val="none" w:sz="0" w:space="0" w:color="auto"/>
            <w:bottom w:val="none" w:sz="0" w:space="0" w:color="auto"/>
            <w:right w:val="none" w:sz="0" w:space="0" w:color="auto"/>
          </w:divBdr>
        </w:div>
        <w:div w:id="571158826">
          <w:marLeft w:val="0"/>
          <w:marRight w:val="0"/>
          <w:marTop w:val="0"/>
          <w:marBottom w:val="0"/>
          <w:divBdr>
            <w:top w:val="none" w:sz="0" w:space="0" w:color="auto"/>
            <w:left w:val="none" w:sz="0" w:space="0" w:color="auto"/>
            <w:bottom w:val="none" w:sz="0" w:space="0" w:color="auto"/>
            <w:right w:val="none" w:sz="0" w:space="0" w:color="auto"/>
          </w:divBdr>
        </w:div>
        <w:div w:id="734858534">
          <w:marLeft w:val="0"/>
          <w:marRight w:val="0"/>
          <w:marTop w:val="0"/>
          <w:marBottom w:val="0"/>
          <w:divBdr>
            <w:top w:val="none" w:sz="0" w:space="0" w:color="auto"/>
            <w:left w:val="none" w:sz="0" w:space="0" w:color="auto"/>
            <w:bottom w:val="none" w:sz="0" w:space="0" w:color="auto"/>
            <w:right w:val="none" w:sz="0" w:space="0" w:color="auto"/>
          </w:divBdr>
        </w:div>
        <w:div w:id="852917297">
          <w:marLeft w:val="0"/>
          <w:marRight w:val="0"/>
          <w:marTop w:val="0"/>
          <w:marBottom w:val="0"/>
          <w:divBdr>
            <w:top w:val="none" w:sz="0" w:space="0" w:color="auto"/>
            <w:left w:val="none" w:sz="0" w:space="0" w:color="auto"/>
            <w:bottom w:val="none" w:sz="0" w:space="0" w:color="auto"/>
            <w:right w:val="none" w:sz="0" w:space="0" w:color="auto"/>
          </w:divBdr>
        </w:div>
        <w:div w:id="885220769">
          <w:marLeft w:val="0"/>
          <w:marRight w:val="0"/>
          <w:marTop w:val="0"/>
          <w:marBottom w:val="0"/>
          <w:divBdr>
            <w:top w:val="none" w:sz="0" w:space="0" w:color="auto"/>
            <w:left w:val="none" w:sz="0" w:space="0" w:color="auto"/>
            <w:bottom w:val="none" w:sz="0" w:space="0" w:color="auto"/>
            <w:right w:val="none" w:sz="0" w:space="0" w:color="auto"/>
          </w:divBdr>
        </w:div>
        <w:div w:id="921719138">
          <w:marLeft w:val="0"/>
          <w:marRight w:val="0"/>
          <w:marTop w:val="0"/>
          <w:marBottom w:val="0"/>
          <w:divBdr>
            <w:top w:val="none" w:sz="0" w:space="0" w:color="auto"/>
            <w:left w:val="none" w:sz="0" w:space="0" w:color="auto"/>
            <w:bottom w:val="none" w:sz="0" w:space="0" w:color="auto"/>
            <w:right w:val="none" w:sz="0" w:space="0" w:color="auto"/>
          </w:divBdr>
        </w:div>
        <w:div w:id="1124808185">
          <w:marLeft w:val="0"/>
          <w:marRight w:val="0"/>
          <w:marTop w:val="0"/>
          <w:marBottom w:val="0"/>
          <w:divBdr>
            <w:top w:val="none" w:sz="0" w:space="0" w:color="auto"/>
            <w:left w:val="none" w:sz="0" w:space="0" w:color="auto"/>
            <w:bottom w:val="none" w:sz="0" w:space="0" w:color="auto"/>
            <w:right w:val="none" w:sz="0" w:space="0" w:color="auto"/>
          </w:divBdr>
        </w:div>
        <w:div w:id="1298149345">
          <w:marLeft w:val="0"/>
          <w:marRight w:val="0"/>
          <w:marTop w:val="0"/>
          <w:marBottom w:val="0"/>
          <w:divBdr>
            <w:top w:val="none" w:sz="0" w:space="0" w:color="auto"/>
            <w:left w:val="none" w:sz="0" w:space="0" w:color="auto"/>
            <w:bottom w:val="none" w:sz="0" w:space="0" w:color="auto"/>
            <w:right w:val="none" w:sz="0" w:space="0" w:color="auto"/>
          </w:divBdr>
        </w:div>
        <w:div w:id="1319269194">
          <w:marLeft w:val="0"/>
          <w:marRight w:val="0"/>
          <w:marTop w:val="0"/>
          <w:marBottom w:val="0"/>
          <w:divBdr>
            <w:top w:val="none" w:sz="0" w:space="0" w:color="auto"/>
            <w:left w:val="none" w:sz="0" w:space="0" w:color="auto"/>
            <w:bottom w:val="none" w:sz="0" w:space="0" w:color="auto"/>
            <w:right w:val="none" w:sz="0" w:space="0" w:color="auto"/>
          </w:divBdr>
        </w:div>
        <w:div w:id="1368215720">
          <w:marLeft w:val="0"/>
          <w:marRight w:val="0"/>
          <w:marTop w:val="0"/>
          <w:marBottom w:val="0"/>
          <w:divBdr>
            <w:top w:val="none" w:sz="0" w:space="0" w:color="auto"/>
            <w:left w:val="none" w:sz="0" w:space="0" w:color="auto"/>
            <w:bottom w:val="none" w:sz="0" w:space="0" w:color="auto"/>
            <w:right w:val="none" w:sz="0" w:space="0" w:color="auto"/>
          </w:divBdr>
        </w:div>
        <w:div w:id="1411851049">
          <w:marLeft w:val="0"/>
          <w:marRight w:val="0"/>
          <w:marTop w:val="0"/>
          <w:marBottom w:val="0"/>
          <w:divBdr>
            <w:top w:val="none" w:sz="0" w:space="0" w:color="auto"/>
            <w:left w:val="none" w:sz="0" w:space="0" w:color="auto"/>
            <w:bottom w:val="none" w:sz="0" w:space="0" w:color="auto"/>
            <w:right w:val="none" w:sz="0" w:space="0" w:color="auto"/>
          </w:divBdr>
        </w:div>
        <w:div w:id="1519932120">
          <w:marLeft w:val="0"/>
          <w:marRight w:val="0"/>
          <w:marTop w:val="0"/>
          <w:marBottom w:val="0"/>
          <w:divBdr>
            <w:top w:val="none" w:sz="0" w:space="0" w:color="auto"/>
            <w:left w:val="none" w:sz="0" w:space="0" w:color="auto"/>
            <w:bottom w:val="none" w:sz="0" w:space="0" w:color="auto"/>
            <w:right w:val="none" w:sz="0" w:space="0" w:color="auto"/>
          </w:divBdr>
        </w:div>
        <w:div w:id="1557472255">
          <w:marLeft w:val="0"/>
          <w:marRight w:val="0"/>
          <w:marTop w:val="0"/>
          <w:marBottom w:val="0"/>
          <w:divBdr>
            <w:top w:val="none" w:sz="0" w:space="0" w:color="auto"/>
            <w:left w:val="none" w:sz="0" w:space="0" w:color="auto"/>
            <w:bottom w:val="none" w:sz="0" w:space="0" w:color="auto"/>
            <w:right w:val="none" w:sz="0" w:space="0" w:color="auto"/>
          </w:divBdr>
        </w:div>
        <w:div w:id="1582105048">
          <w:marLeft w:val="0"/>
          <w:marRight w:val="0"/>
          <w:marTop w:val="0"/>
          <w:marBottom w:val="0"/>
          <w:divBdr>
            <w:top w:val="none" w:sz="0" w:space="0" w:color="auto"/>
            <w:left w:val="none" w:sz="0" w:space="0" w:color="auto"/>
            <w:bottom w:val="none" w:sz="0" w:space="0" w:color="auto"/>
            <w:right w:val="none" w:sz="0" w:space="0" w:color="auto"/>
          </w:divBdr>
        </w:div>
        <w:div w:id="1710063345">
          <w:marLeft w:val="0"/>
          <w:marRight w:val="0"/>
          <w:marTop w:val="0"/>
          <w:marBottom w:val="0"/>
          <w:divBdr>
            <w:top w:val="none" w:sz="0" w:space="0" w:color="auto"/>
            <w:left w:val="none" w:sz="0" w:space="0" w:color="auto"/>
            <w:bottom w:val="none" w:sz="0" w:space="0" w:color="auto"/>
            <w:right w:val="none" w:sz="0" w:space="0" w:color="auto"/>
          </w:divBdr>
        </w:div>
        <w:div w:id="1752772614">
          <w:marLeft w:val="0"/>
          <w:marRight w:val="0"/>
          <w:marTop w:val="0"/>
          <w:marBottom w:val="0"/>
          <w:divBdr>
            <w:top w:val="none" w:sz="0" w:space="0" w:color="auto"/>
            <w:left w:val="none" w:sz="0" w:space="0" w:color="auto"/>
            <w:bottom w:val="none" w:sz="0" w:space="0" w:color="auto"/>
            <w:right w:val="none" w:sz="0" w:space="0" w:color="auto"/>
          </w:divBdr>
        </w:div>
        <w:div w:id="1813214408">
          <w:marLeft w:val="0"/>
          <w:marRight w:val="0"/>
          <w:marTop w:val="0"/>
          <w:marBottom w:val="0"/>
          <w:divBdr>
            <w:top w:val="none" w:sz="0" w:space="0" w:color="auto"/>
            <w:left w:val="none" w:sz="0" w:space="0" w:color="auto"/>
            <w:bottom w:val="none" w:sz="0" w:space="0" w:color="auto"/>
            <w:right w:val="none" w:sz="0" w:space="0" w:color="auto"/>
          </w:divBdr>
        </w:div>
        <w:div w:id="1819223066">
          <w:marLeft w:val="0"/>
          <w:marRight w:val="0"/>
          <w:marTop w:val="0"/>
          <w:marBottom w:val="0"/>
          <w:divBdr>
            <w:top w:val="none" w:sz="0" w:space="0" w:color="auto"/>
            <w:left w:val="none" w:sz="0" w:space="0" w:color="auto"/>
            <w:bottom w:val="none" w:sz="0" w:space="0" w:color="auto"/>
            <w:right w:val="none" w:sz="0" w:space="0" w:color="auto"/>
          </w:divBdr>
        </w:div>
        <w:div w:id="1850943744">
          <w:marLeft w:val="0"/>
          <w:marRight w:val="0"/>
          <w:marTop w:val="0"/>
          <w:marBottom w:val="0"/>
          <w:divBdr>
            <w:top w:val="none" w:sz="0" w:space="0" w:color="auto"/>
            <w:left w:val="none" w:sz="0" w:space="0" w:color="auto"/>
            <w:bottom w:val="none" w:sz="0" w:space="0" w:color="auto"/>
            <w:right w:val="none" w:sz="0" w:space="0" w:color="auto"/>
          </w:divBdr>
        </w:div>
        <w:div w:id="1886482137">
          <w:marLeft w:val="0"/>
          <w:marRight w:val="0"/>
          <w:marTop w:val="0"/>
          <w:marBottom w:val="0"/>
          <w:divBdr>
            <w:top w:val="none" w:sz="0" w:space="0" w:color="auto"/>
            <w:left w:val="none" w:sz="0" w:space="0" w:color="auto"/>
            <w:bottom w:val="none" w:sz="0" w:space="0" w:color="auto"/>
            <w:right w:val="none" w:sz="0" w:space="0" w:color="auto"/>
          </w:divBdr>
        </w:div>
        <w:div w:id="1978029152">
          <w:marLeft w:val="0"/>
          <w:marRight w:val="0"/>
          <w:marTop w:val="0"/>
          <w:marBottom w:val="0"/>
          <w:divBdr>
            <w:top w:val="none" w:sz="0" w:space="0" w:color="auto"/>
            <w:left w:val="none" w:sz="0" w:space="0" w:color="auto"/>
            <w:bottom w:val="none" w:sz="0" w:space="0" w:color="auto"/>
            <w:right w:val="none" w:sz="0" w:space="0" w:color="auto"/>
          </w:divBdr>
        </w:div>
        <w:div w:id="2045397593">
          <w:marLeft w:val="0"/>
          <w:marRight w:val="0"/>
          <w:marTop w:val="0"/>
          <w:marBottom w:val="0"/>
          <w:divBdr>
            <w:top w:val="none" w:sz="0" w:space="0" w:color="auto"/>
            <w:left w:val="none" w:sz="0" w:space="0" w:color="auto"/>
            <w:bottom w:val="none" w:sz="0" w:space="0" w:color="auto"/>
            <w:right w:val="none" w:sz="0" w:space="0" w:color="auto"/>
          </w:divBdr>
        </w:div>
      </w:divsChild>
    </w:div>
    <w:div w:id="148258125">
      <w:bodyDiv w:val="1"/>
      <w:marLeft w:val="0"/>
      <w:marRight w:val="0"/>
      <w:marTop w:val="0"/>
      <w:marBottom w:val="0"/>
      <w:divBdr>
        <w:top w:val="none" w:sz="0" w:space="0" w:color="auto"/>
        <w:left w:val="none" w:sz="0" w:space="0" w:color="auto"/>
        <w:bottom w:val="none" w:sz="0" w:space="0" w:color="auto"/>
        <w:right w:val="none" w:sz="0" w:space="0" w:color="auto"/>
      </w:divBdr>
    </w:div>
    <w:div w:id="507446586">
      <w:bodyDiv w:val="1"/>
      <w:marLeft w:val="0"/>
      <w:marRight w:val="0"/>
      <w:marTop w:val="0"/>
      <w:marBottom w:val="0"/>
      <w:divBdr>
        <w:top w:val="none" w:sz="0" w:space="0" w:color="auto"/>
        <w:left w:val="none" w:sz="0" w:space="0" w:color="auto"/>
        <w:bottom w:val="none" w:sz="0" w:space="0" w:color="auto"/>
        <w:right w:val="none" w:sz="0" w:space="0" w:color="auto"/>
      </w:divBdr>
    </w:div>
    <w:div w:id="556091595">
      <w:bodyDiv w:val="1"/>
      <w:marLeft w:val="0"/>
      <w:marRight w:val="0"/>
      <w:marTop w:val="0"/>
      <w:marBottom w:val="0"/>
      <w:divBdr>
        <w:top w:val="none" w:sz="0" w:space="0" w:color="auto"/>
        <w:left w:val="none" w:sz="0" w:space="0" w:color="auto"/>
        <w:bottom w:val="none" w:sz="0" w:space="0" w:color="auto"/>
        <w:right w:val="none" w:sz="0" w:space="0" w:color="auto"/>
      </w:divBdr>
    </w:div>
    <w:div w:id="569192947">
      <w:bodyDiv w:val="1"/>
      <w:marLeft w:val="0"/>
      <w:marRight w:val="0"/>
      <w:marTop w:val="0"/>
      <w:marBottom w:val="0"/>
      <w:divBdr>
        <w:top w:val="none" w:sz="0" w:space="0" w:color="auto"/>
        <w:left w:val="none" w:sz="0" w:space="0" w:color="auto"/>
        <w:bottom w:val="none" w:sz="0" w:space="0" w:color="auto"/>
        <w:right w:val="none" w:sz="0" w:space="0" w:color="auto"/>
      </w:divBdr>
    </w:div>
    <w:div w:id="617833075">
      <w:bodyDiv w:val="1"/>
      <w:marLeft w:val="0"/>
      <w:marRight w:val="0"/>
      <w:marTop w:val="0"/>
      <w:marBottom w:val="0"/>
      <w:divBdr>
        <w:top w:val="none" w:sz="0" w:space="0" w:color="auto"/>
        <w:left w:val="none" w:sz="0" w:space="0" w:color="auto"/>
        <w:bottom w:val="none" w:sz="0" w:space="0" w:color="auto"/>
        <w:right w:val="none" w:sz="0" w:space="0" w:color="auto"/>
      </w:divBdr>
    </w:div>
    <w:div w:id="799149858">
      <w:bodyDiv w:val="1"/>
      <w:marLeft w:val="0"/>
      <w:marRight w:val="0"/>
      <w:marTop w:val="0"/>
      <w:marBottom w:val="0"/>
      <w:divBdr>
        <w:top w:val="none" w:sz="0" w:space="0" w:color="auto"/>
        <w:left w:val="none" w:sz="0" w:space="0" w:color="auto"/>
        <w:bottom w:val="none" w:sz="0" w:space="0" w:color="auto"/>
        <w:right w:val="none" w:sz="0" w:space="0" w:color="auto"/>
      </w:divBdr>
    </w:div>
    <w:div w:id="846596447">
      <w:bodyDiv w:val="1"/>
      <w:marLeft w:val="0"/>
      <w:marRight w:val="0"/>
      <w:marTop w:val="0"/>
      <w:marBottom w:val="0"/>
      <w:divBdr>
        <w:top w:val="none" w:sz="0" w:space="0" w:color="auto"/>
        <w:left w:val="none" w:sz="0" w:space="0" w:color="auto"/>
        <w:bottom w:val="none" w:sz="0" w:space="0" w:color="auto"/>
        <w:right w:val="none" w:sz="0" w:space="0" w:color="auto"/>
      </w:divBdr>
    </w:div>
    <w:div w:id="1491678343">
      <w:bodyDiv w:val="1"/>
      <w:marLeft w:val="60"/>
      <w:marRight w:val="60"/>
      <w:marTop w:val="60"/>
      <w:marBottom w:val="15"/>
      <w:divBdr>
        <w:top w:val="none" w:sz="0" w:space="0" w:color="auto"/>
        <w:left w:val="none" w:sz="0" w:space="0" w:color="auto"/>
        <w:bottom w:val="none" w:sz="0" w:space="0" w:color="auto"/>
        <w:right w:val="none" w:sz="0" w:space="0" w:color="auto"/>
      </w:divBdr>
      <w:divsChild>
        <w:div w:id="6180454">
          <w:marLeft w:val="0"/>
          <w:marRight w:val="0"/>
          <w:marTop w:val="0"/>
          <w:marBottom w:val="0"/>
          <w:divBdr>
            <w:top w:val="none" w:sz="0" w:space="0" w:color="auto"/>
            <w:left w:val="none" w:sz="0" w:space="0" w:color="auto"/>
            <w:bottom w:val="none" w:sz="0" w:space="0" w:color="auto"/>
            <w:right w:val="none" w:sz="0" w:space="0" w:color="auto"/>
          </w:divBdr>
        </w:div>
        <w:div w:id="48652241">
          <w:marLeft w:val="0"/>
          <w:marRight w:val="0"/>
          <w:marTop w:val="0"/>
          <w:marBottom w:val="0"/>
          <w:divBdr>
            <w:top w:val="none" w:sz="0" w:space="0" w:color="auto"/>
            <w:left w:val="none" w:sz="0" w:space="0" w:color="auto"/>
            <w:bottom w:val="none" w:sz="0" w:space="0" w:color="auto"/>
            <w:right w:val="none" w:sz="0" w:space="0" w:color="auto"/>
          </w:divBdr>
        </w:div>
        <w:div w:id="75983683">
          <w:marLeft w:val="0"/>
          <w:marRight w:val="0"/>
          <w:marTop w:val="0"/>
          <w:marBottom w:val="0"/>
          <w:divBdr>
            <w:top w:val="none" w:sz="0" w:space="0" w:color="auto"/>
            <w:left w:val="none" w:sz="0" w:space="0" w:color="auto"/>
            <w:bottom w:val="none" w:sz="0" w:space="0" w:color="auto"/>
            <w:right w:val="none" w:sz="0" w:space="0" w:color="auto"/>
          </w:divBdr>
        </w:div>
        <w:div w:id="264308144">
          <w:marLeft w:val="0"/>
          <w:marRight w:val="0"/>
          <w:marTop w:val="0"/>
          <w:marBottom w:val="0"/>
          <w:divBdr>
            <w:top w:val="none" w:sz="0" w:space="0" w:color="auto"/>
            <w:left w:val="none" w:sz="0" w:space="0" w:color="auto"/>
            <w:bottom w:val="none" w:sz="0" w:space="0" w:color="auto"/>
            <w:right w:val="none" w:sz="0" w:space="0" w:color="auto"/>
          </w:divBdr>
        </w:div>
        <w:div w:id="320622269">
          <w:marLeft w:val="0"/>
          <w:marRight w:val="0"/>
          <w:marTop w:val="0"/>
          <w:marBottom w:val="0"/>
          <w:divBdr>
            <w:top w:val="none" w:sz="0" w:space="0" w:color="auto"/>
            <w:left w:val="none" w:sz="0" w:space="0" w:color="auto"/>
            <w:bottom w:val="none" w:sz="0" w:space="0" w:color="auto"/>
            <w:right w:val="none" w:sz="0" w:space="0" w:color="auto"/>
          </w:divBdr>
        </w:div>
        <w:div w:id="379676130">
          <w:marLeft w:val="0"/>
          <w:marRight w:val="0"/>
          <w:marTop w:val="0"/>
          <w:marBottom w:val="0"/>
          <w:divBdr>
            <w:top w:val="none" w:sz="0" w:space="0" w:color="auto"/>
            <w:left w:val="none" w:sz="0" w:space="0" w:color="auto"/>
            <w:bottom w:val="none" w:sz="0" w:space="0" w:color="auto"/>
            <w:right w:val="none" w:sz="0" w:space="0" w:color="auto"/>
          </w:divBdr>
        </w:div>
        <w:div w:id="433013661">
          <w:marLeft w:val="0"/>
          <w:marRight w:val="0"/>
          <w:marTop w:val="0"/>
          <w:marBottom w:val="0"/>
          <w:divBdr>
            <w:top w:val="none" w:sz="0" w:space="0" w:color="auto"/>
            <w:left w:val="none" w:sz="0" w:space="0" w:color="auto"/>
            <w:bottom w:val="none" w:sz="0" w:space="0" w:color="auto"/>
            <w:right w:val="none" w:sz="0" w:space="0" w:color="auto"/>
          </w:divBdr>
        </w:div>
        <w:div w:id="491798577">
          <w:marLeft w:val="0"/>
          <w:marRight w:val="0"/>
          <w:marTop w:val="0"/>
          <w:marBottom w:val="0"/>
          <w:divBdr>
            <w:top w:val="none" w:sz="0" w:space="0" w:color="auto"/>
            <w:left w:val="none" w:sz="0" w:space="0" w:color="auto"/>
            <w:bottom w:val="none" w:sz="0" w:space="0" w:color="auto"/>
            <w:right w:val="none" w:sz="0" w:space="0" w:color="auto"/>
          </w:divBdr>
        </w:div>
        <w:div w:id="533082959">
          <w:marLeft w:val="0"/>
          <w:marRight w:val="0"/>
          <w:marTop w:val="0"/>
          <w:marBottom w:val="0"/>
          <w:divBdr>
            <w:top w:val="none" w:sz="0" w:space="0" w:color="auto"/>
            <w:left w:val="none" w:sz="0" w:space="0" w:color="auto"/>
            <w:bottom w:val="none" w:sz="0" w:space="0" w:color="auto"/>
            <w:right w:val="none" w:sz="0" w:space="0" w:color="auto"/>
          </w:divBdr>
        </w:div>
        <w:div w:id="549615924">
          <w:marLeft w:val="0"/>
          <w:marRight w:val="0"/>
          <w:marTop w:val="0"/>
          <w:marBottom w:val="0"/>
          <w:divBdr>
            <w:top w:val="none" w:sz="0" w:space="0" w:color="auto"/>
            <w:left w:val="none" w:sz="0" w:space="0" w:color="auto"/>
            <w:bottom w:val="none" w:sz="0" w:space="0" w:color="auto"/>
            <w:right w:val="none" w:sz="0" w:space="0" w:color="auto"/>
          </w:divBdr>
        </w:div>
        <w:div w:id="693576273">
          <w:marLeft w:val="0"/>
          <w:marRight w:val="0"/>
          <w:marTop w:val="0"/>
          <w:marBottom w:val="0"/>
          <w:divBdr>
            <w:top w:val="none" w:sz="0" w:space="0" w:color="auto"/>
            <w:left w:val="none" w:sz="0" w:space="0" w:color="auto"/>
            <w:bottom w:val="none" w:sz="0" w:space="0" w:color="auto"/>
            <w:right w:val="none" w:sz="0" w:space="0" w:color="auto"/>
          </w:divBdr>
        </w:div>
        <w:div w:id="733507878">
          <w:marLeft w:val="0"/>
          <w:marRight w:val="0"/>
          <w:marTop w:val="0"/>
          <w:marBottom w:val="0"/>
          <w:divBdr>
            <w:top w:val="none" w:sz="0" w:space="0" w:color="auto"/>
            <w:left w:val="none" w:sz="0" w:space="0" w:color="auto"/>
            <w:bottom w:val="none" w:sz="0" w:space="0" w:color="auto"/>
            <w:right w:val="none" w:sz="0" w:space="0" w:color="auto"/>
          </w:divBdr>
        </w:div>
        <w:div w:id="738329561">
          <w:marLeft w:val="0"/>
          <w:marRight w:val="0"/>
          <w:marTop w:val="0"/>
          <w:marBottom w:val="0"/>
          <w:divBdr>
            <w:top w:val="none" w:sz="0" w:space="0" w:color="auto"/>
            <w:left w:val="none" w:sz="0" w:space="0" w:color="auto"/>
            <w:bottom w:val="none" w:sz="0" w:space="0" w:color="auto"/>
            <w:right w:val="none" w:sz="0" w:space="0" w:color="auto"/>
          </w:divBdr>
        </w:div>
        <w:div w:id="766539687">
          <w:marLeft w:val="0"/>
          <w:marRight w:val="0"/>
          <w:marTop w:val="0"/>
          <w:marBottom w:val="0"/>
          <w:divBdr>
            <w:top w:val="none" w:sz="0" w:space="0" w:color="auto"/>
            <w:left w:val="none" w:sz="0" w:space="0" w:color="auto"/>
            <w:bottom w:val="none" w:sz="0" w:space="0" w:color="auto"/>
            <w:right w:val="none" w:sz="0" w:space="0" w:color="auto"/>
          </w:divBdr>
        </w:div>
        <w:div w:id="814761948">
          <w:marLeft w:val="0"/>
          <w:marRight w:val="0"/>
          <w:marTop w:val="0"/>
          <w:marBottom w:val="0"/>
          <w:divBdr>
            <w:top w:val="none" w:sz="0" w:space="0" w:color="auto"/>
            <w:left w:val="none" w:sz="0" w:space="0" w:color="auto"/>
            <w:bottom w:val="none" w:sz="0" w:space="0" w:color="auto"/>
            <w:right w:val="none" w:sz="0" w:space="0" w:color="auto"/>
          </w:divBdr>
        </w:div>
        <w:div w:id="897323485">
          <w:marLeft w:val="0"/>
          <w:marRight w:val="0"/>
          <w:marTop w:val="0"/>
          <w:marBottom w:val="0"/>
          <w:divBdr>
            <w:top w:val="none" w:sz="0" w:space="0" w:color="auto"/>
            <w:left w:val="none" w:sz="0" w:space="0" w:color="auto"/>
            <w:bottom w:val="none" w:sz="0" w:space="0" w:color="auto"/>
            <w:right w:val="none" w:sz="0" w:space="0" w:color="auto"/>
          </w:divBdr>
        </w:div>
        <w:div w:id="956451479">
          <w:marLeft w:val="0"/>
          <w:marRight w:val="0"/>
          <w:marTop w:val="0"/>
          <w:marBottom w:val="0"/>
          <w:divBdr>
            <w:top w:val="none" w:sz="0" w:space="0" w:color="auto"/>
            <w:left w:val="none" w:sz="0" w:space="0" w:color="auto"/>
            <w:bottom w:val="none" w:sz="0" w:space="0" w:color="auto"/>
            <w:right w:val="none" w:sz="0" w:space="0" w:color="auto"/>
          </w:divBdr>
        </w:div>
        <w:div w:id="1027292865">
          <w:marLeft w:val="0"/>
          <w:marRight w:val="0"/>
          <w:marTop w:val="0"/>
          <w:marBottom w:val="0"/>
          <w:divBdr>
            <w:top w:val="none" w:sz="0" w:space="0" w:color="auto"/>
            <w:left w:val="none" w:sz="0" w:space="0" w:color="auto"/>
            <w:bottom w:val="none" w:sz="0" w:space="0" w:color="auto"/>
            <w:right w:val="none" w:sz="0" w:space="0" w:color="auto"/>
          </w:divBdr>
        </w:div>
        <w:div w:id="1049381007">
          <w:marLeft w:val="0"/>
          <w:marRight w:val="0"/>
          <w:marTop w:val="0"/>
          <w:marBottom w:val="0"/>
          <w:divBdr>
            <w:top w:val="none" w:sz="0" w:space="0" w:color="auto"/>
            <w:left w:val="none" w:sz="0" w:space="0" w:color="auto"/>
            <w:bottom w:val="none" w:sz="0" w:space="0" w:color="auto"/>
            <w:right w:val="none" w:sz="0" w:space="0" w:color="auto"/>
          </w:divBdr>
        </w:div>
        <w:div w:id="1226143700">
          <w:marLeft w:val="0"/>
          <w:marRight w:val="0"/>
          <w:marTop w:val="0"/>
          <w:marBottom w:val="0"/>
          <w:divBdr>
            <w:top w:val="none" w:sz="0" w:space="0" w:color="auto"/>
            <w:left w:val="none" w:sz="0" w:space="0" w:color="auto"/>
            <w:bottom w:val="none" w:sz="0" w:space="0" w:color="auto"/>
            <w:right w:val="none" w:sz="0" w:space="0" w:color="auto"/>
          </w:divBdr>
        </w:div>
        <w:div w:id="1273366763">
          <w:marLeft w:val="0"/>
          <w:marRight w:val="0"/>
          <w:marTop w:val="0"/>
          <w:marBottom w:val="0"/>
          <w:divBdr>
            <w:top w:val="none" w:sz="0" w:space="0" w:color="auto"/>
            <w:left w:val="none" w:sz="0" w:space="0" w:color="auto"/>
            <w:bottom w:val="none" w:sz="0" w:space="0" w:color="auto"/>
            <w:right w:val="none" w:sz="0" w:space="0" w:color="auto"/>
          </w:divBdr>
        </w:div>
        <w:div w:id="1293752070">
          <w:marLeft w:val="0"/>
          <w:marRight w:val="0"/>
          <w:marTop w:val="0"/>
          <w:marBottom w:val="0"/>
          <w:divBdr>
            <w:top w:val="none" w:sz="0" w:space="0" w:color="auto"/>
            <w:left w:val="none" w:sz="0" w:space="0" w:color="auto"/>
            <w:bottom w:val="none" w:sz="0" w:space="0" w:color="auto"/>
            <w:right w:val="none" w:sz="0" w:space="0" w:color="auto"/>
          </w:divBdr>
        </w:div>
        <w:div w:id="1295713079">
          <w:marLeft w:val="0"/>
          <w:marRight w:val="0"/>
          <w:marTop w:val="0"/>
          <w:marBottom w:val="0"/>
          <w:divBdr>
            <w:top w:val="none" w:sz="0" w:space="0" w:color="auto"/>
            <w:left w:val="none" w:sz="0" w:space="0" w:color="auto"/>
            <w:bottom w:val="none" w:sz="0" w:space="0" w:color="auto"/>
            <w:right w:val="none" w:sz="0" w:space="0" w:color="auto"/>
          </w:divBdr>
        </w:div>
        <w:div w:id="1302806349">
          <w:marLeft w:val="0"/>
          <w:marRight w:val="0"/>
          <w:marTop w:val="0"/>
          <w:marBottom w:val="0"/>
          <w:divBdr>
            <w:top w:val="none" w:sz="0" w:space="0" w:color="auto"/>
            <w:left w:val="none" w:sz="0" w:space="0" w:color="auto"/>
            <w:bottom w:val="none" w:sz="0" w:space="0" w:color="auto"/>
            <w:right w:val="none" w:sz="0" w:space="0" w:color="auto"/>
          </w:divBdr>
        </w:div>
        <w:div w:id="1509902587">
          <w:marLeft w:val="0"/>
          <w:marRight w:val="0"/>
          <w:marTop w:val="0"/>
          <w:marBottom w:val="0"/>
          <w:divBdr>
            <w:top w:val="none" w:sz="0" w:space="0" w:color="auto"/>
            <w:left w:val="none" w:sz="0" w:space="0" w:color="auto"/>
            <w:bottom w:val="none" w:sz="0" w:space="0" w:color="auto"/>
            <w:right w:val="none" w:sz="0" w:space="0" w:color="auto"/>
          </w:divBdr>
        </w:div>
        <w:div w:id="1553730171">
          <w:marLeft w:val="0"/>
          <w:marRight w:val="0"/>
          <w:marTop w:val="0"/>
          <w:marBottom w:val="0"/>
          <w:divBdr>
            <w:top w:val="none" w:sz="0" w:space="0" w:color="auto"/>
            <w:left w:val="none" w:sz="0" w:space="0" w:color="auto"/>
            <w:bottom w:val="none" w:sz="0" w:space="0" w:color="auto"/>
            <w:right w:val="none" w:sz="0" w:space="0" w:color="auto"/>
          </w:divBdr>
        </w:div>
        <w:div w:id="1627736823">
          <w:marLeft w:val="0"/>
          <w:marRight w:val="0"/>
          <w:marTop w:val="0"/>
          <w:marBottom w:val="0"/>
          <w:divBdr>
            <w:top w:val="none" w:sz="0" w:space="0" w:color="auto"/>
            <w:left w:val="none" w:sz="0" w:space="0" w:color="auto"/>
            <w:bottom w:val="none" w:sz="0" w:space="0" w:color="auto"/>
            <w:right w:val="none" w:sz="0" w:space="0" w:color="auto"/>
          </w:divBdr>
        </w:div>
        <w:div w:id="1653365614">
          <w:marLeft w:val="0"/>
          <w:marRight w:val="0"/>
          <w:marTop w:val="0"/>
          <w:marBottom w:val="0"/>
          <w:divBdr>
            <w:top w:val="none" w:sz="0" w:space="0" w:color="auto"/>
            <w:left w:val="none" w:sz="0" w:space="0" w:color="auto"/>
            <w:bottom w:val="none" w:sz="0" w:space="0" w:color="auto"/>
            <w:right w:val="none" w:sz="0" w:space="0" w:color="auto"/>
          </w:divBdr>
        </w:div>
        <w:div w:id="1741712463">
          <w:marLeft w:val="0"/>
          <w:marRight w:val="0"/>
          <w:marTop w:val="0"/>
          <w:marBottom w:val="0"/>
          <w:divBdr>
            <w:top w:val="none" w:sz="0" w:space="0" w:color="auto"/>
            <w:left w:val="none" w:sz="0" w:space="0" w:color="auto"/>
            <w:bottom w:val="none" w:sz="0" w:space="0" w:color="auto"/>
            <w:right w:val="none" w:sz="0" w:space="0" w:color="auto"/>
          </w:divBdr>
        </w:div>
        <w:div w:id="1887374909">
          <w:marLeft w:val="0"/>
          <w:marRight w:val="0"/>
          <w:marTop w:val="0"/>
          <w:marBottom w:val="0"/>
          <w:divBdr>
            <w:top w:val="none" w:sz="0" w:space="0" w:color="auto"/>
            <w:left w:val="none" w:sz="0" w:space="0" w:color="auto"/>
            <w:bottom w:val="none" w:sz="0" w:space="0" w:color="auto"/>
            <w:right w:val="none" w:sz="0" w:space="0" w:color="auto"/>
          </w:divBdr>
        </w:div>
        <w:div w:id="1951157452">
          <w:marLeft w:val="0"/>
          <w:marRight w:val="0"/>
          <w:marTop w:val="0"/>
          <w:marBottom w:val="0"/>
          <w:divBdr>
            <w:top w:val="none" w:sz="0" w:space="0" w:color="auto"/>
            <w:left w:val="none" w:sz="0" w:space="0" w:color="auto"/>
            <w:bottom w:val="none" w:sz="0" w:space="0" w:color="auto"/>
            <w:right w:val="none" w:sz="0" w:space="0" w:color="auto"/>
          </w:divBdr>
        </w:div>
        <w:div w:id="2075657967">
          <w:marLeft w:val="0"/>
          <w:marRight w:val="0"/>
          <w:marTop w:val="0"/>
          <w:marBottom w:val="0"/>
          <w:divBdr>
            <w:top w:val="none" w:sz="0" w:space="0" w:color="auto"/>
            <w:left w:val="none" w:sz="0" w:space="0" w:color="auto"/>
            <w:bottom w:val="none" w:sz="0" w:space="0" w:color="auto"/>
            <w:right w:val="none" w:sz="0" w:space="0" w:color="auto"/>
          </w:divBdr>
        </w:div>
        <w:div w:id="2090153335">
          <w:marLeft w:val="0"/>
          <w:marRight w:val="0"/>
          <w:marTop w:val="0"/>
          <w:marBottom w:val="0"/>
          <w:divBdr>
            <w:top w:val="none" w:sz="0" w:space="0" w:color="auto"/>
            <w:left w:val="none" w:sz="0" w:space="0" w:color="auto"/>
            <w:bottom w:val="none" w:sz="0" w:space="0" w:color="auto"/>
            <w:right w:val="none" w:sz="0" w:space="0" w:color="auto"/>
          </w:divBdr>
        </w:div>
        <w:div w:id="2134706714">
          <w:marLeft w:val="0"/>
          <w:marRight w:val="0"/>
          <w:marTop w:val="0"/>
          <w:marBottom w:val="0"/>
          <w:divBdr>
            <w:top w:val="none" w:sz="0" w:space="0" w:color="auto"/>
            <w:left w:val="none" w:sz="0" w:space="0" w:color="auto"/>
            <w:bottom w:val="none" w:sz="0" w:space="0" w:color="auto"/>
            <w:right w:val="none" w:sz="0" w:space="0" w:color="auto"/>
          </w:divBdr>
        </w:div>
      </w:divsChild>
    </w:div>
    <w:div w:id="1580869024">
      <w:bodyDiv w:val="1"/>
      <w:marLeft w:val="0"/>
      <w:marRight w:val="0"/>
      <w:marTop w:val="0"/>
      <w:marBottom w:val="0"/>
      <w:divBdr>
        <w:top w:val="none" w:sz="0" w:space="0" w:color="auto"/>
        <w:left w:val="none" w:sz="0" w:space="0" w:color="auto"/>
        <w:bottom w:val="none" w:sz="0" w:space="0" w:color="auto"/>
        <w:right w:val="none" w:sz="0" w:space="0" w:color="auto"/>
      </w:divBdr>
    </w:div>
    <w:div w:id="1581252783">
      <w:bodyDiv w:val="1"/>
      <w:marLeft w:val="0"/>
      <w:marRight w:val="0"/>
      <w:marTop w:val="0"/>
      <w:marBottom w:val="0"/>
      <w:divBdr>
        <w:top w:val="none" w:sz="0" w:space="0" w:color="auto"/>
        <w:left w:val="none" w:sz="0" w:space="0" w:color="auto"/>
        <w:bottom w:val="none" w:sz="0" w:space="0" w:color="auto"/>
        <w:right w:val="none" w:sz="0" w:space="0" w:color="auto"/>
      </w:divBdr>
    </w:div>
    <w:div w:id="1588879076">
      <w:bodyDiv w:val="1"/>
      <w:marLeft w:val="0"/>
      <w:marRight w:val="0"/>
      <w:marTop w:val="0"/>
      <w:marBottom w:val="0"/>
      <w:divBdr>
        <w:top w:val="none" w:sz="0" w:space="0" w:color="auto"/>
        <w:left w:val="none" w:sz="0" w:space="0" w:color="auto"/>
        <w:bottom w:val="none" w:sz="0" w:space="0" w:color="auto"/>
        <w:right w:val="none" w:sz="0" w:space="0" w:color="auto"/>
      </w:divBdr>
    </w:div>
    <w:div w:id="1724938557">
      <w:bodyDiv w:val="1"/>
      <w:marLeft w:val="0"/>
      <w:marRight w:val="0"/>
      <w:marTop w:val="0"/>
      <w:marBottom w:val="0"/>
      <w:divBdr>
        <w:top w:val="none" w:sz="0" w:space="0" w:color="auto"/>
        <w:left w:val="none" w:sz="0" w:space="0" w:color="auto"/>
        <w:bottom w:val="none" w:sz="0" w:space="0" w:color="auto"/>
        <w:right w:val="none" w:sz="0" w:space="0" w:color="auto"/>
      </w:divBdr>
    </w:div>
    <w:div w:id="1728409520">
      <w:bodyDiv w:val="1"/>
      <w:marLeft w:val="0"/>
      <w:marRight w:val="0"/>
      <w:marTop w:val="0"/>
      <w:marBottom w:val="0"/>
      <w:divBdr>
        <w:top w:val="none" w:sz="0" w:space="0" w:color="auto"/>
        <w:left w:val="none" w:sz="0" w:space="0" w:color="auto"/>
        <w:bottom w:val="none" w:sz="0" w:space="0" w:color="auto"/>
        <w:right w:val="none" w:sz="0" w:space="0" w:color="auto"/>
      </w:divBdr>
    </w:div>
    <w:div w:id="198142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mn.gov/deed/data/export-stats/"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0.21541971212239533"/>
          <c:y val="6.7607605387354747E-2"/>
          <c:w val="0.56206681698022598"/>
          <c:h val="0.83368846499821314"/>
        </c:manualLayout>
      </c:layout>
      <c:pieChart>
        <c:varyColors val="1"/>
        <c:ser>
          <c:idx val="0"/>
          <c:order val="0"/>
          <c:tx>
            <c:strRef>
              <c:f>Sheet1!$B$1</c:f>
              <c:strCache>
                <c:ptCount val="1"/>
                <c:pt idx="0">
                  <c:v> Exports, 2023-Q4 </c:v>
                </c:pt>
              </c:strCache>
            </c:strRef>
          </c:tx>
          <c:spPr>
            <a:ln>
              <a:solidFill>
                <a:schemeClr val="tx1">
                  <a:lumMod val="50000"/>
                  <a:lumOff val="50000"/>
                </a:schemeClr>
              </a:solidFill>
            </a:ln>
          </c:spPr>
          <c:dPt>
            <c:idx val="0"/>
            <c:bubble3D val="0"/>
            <c:spPr>
              <a:solidFill>
                <a:schemeClr val="accent6">
                  <a:shade val="47000"/>
                </a:schemeClr>
              </a:solidFill>
              <a:ln>
                <a:solidFill>
                  <a:schemeClr val="tx1">
                    <a:lumMod val="50000"/>
                    <a:lumOff val="50000"/>
                  </a:schemeClr>
                </a:solidFill>
              </a:ln>
              <a:effectLst/>
            </c:spPr>
            <c:extLst>
              <c:ext xmlns:c16="http://schemas.microsoft.com/office/drawing/2014/chart" uri="{C3380CC4-5D6E-409C-BE32-E72D297353CC}">
                <c16:uniqueId val="{00000001-C291-41D0-82DF-1CBCD4B868CA}"/>
              </c:ext>
            </c:extLst>
          </c:dPt>
          <c:dPt>
            <c:idx val="1"/>
            <c:bubble3D val="0"/>
            <c:spPr>
              <a:solidFill>
                <a:schemeClr val="accent6">
                  <a:shade val="65000"/>
                </a:schemeClr>
              </a:solidFill>
              <a:ln>
                <a:solidFill>
                  <a:schemeClr val="tx1">
                    <a:lumMod val="50000"/>
                    <a:lumOff val="50000"/>
                  </a:schemeClr>
                </a:solidFill>
              </a:ln>
              <a:effectLst/>
            </c:spPr>
            <c:extLst>
              <c:ext xmlns:c16="http://schemas.microsoft.com/office/drawing/2014/chart" uri="{C3380CC4-5D6E-409C-BE32-E72D297353CC}">
                <c16:uniqueId val="{00000003-C291-41D0-82DF-1CBCD4B868CA}"/>
              </c:ext>
            </c:extLst>
          </c:dPt>
          <c:dPt>
            <c:idx val="2"/>
            <c:bubble3D val="0"/>
            <c:spPr>
              <a:solidFill>
                <a:schemeClr val="accent6">
                  <a:shade val="82000"/>
                </a:schemeClr>
              </a:solidFill>
              <a:ln>
                <a:solidFill>
                  <a:schemeClr val="tx1">
                    <a:lumMod val="50000"/>
                    <a:lumOff val="50000"/>
                  </a:schemeClr>
                </a:solidFill>
              </a:ln>
              <a:effectLst/>
            </c:spPr>
            <c:extLst>
              <c:ext xmlns:c16="http://schemas.microsoft.com/office/drawing/2014/chart" uri="{C3380CC4-5D6E-409C-BE32-E72D297353CC}">
                <c16:uniqueId val="{00000005-C291-41D0-82DF-1CBCD4B868CA}"/>
              </c:ext>
            </c:extLst>
          </c:dPt>
          <c:dPt>
            <c:idx val="3"/>
            <c:bubble3D val="0"/>
            <c:spPr>
              <a:solidFill>
                <a:schemeClr val="accent6"/>
              </a:solidFill>
              <a:ln>
                <a:solidFill>
                  <a:schemeClr val="tx1">
                    <a:lumMod val="50000"/>
                    <a:lumOff val="50000"/>
                  </a:schemeClr>
                </a:solidFill>
              </a:ln>
              <a:effectLst/>
            </c:spPr>
            <c:extLst>
              <c:ext xmlns:c16="http://schemas.microsoft.com/office/drawing/2014/chart" uri="{C3380CC4-5D6E-409C-BE32-E72D297353CC}">
                <c16:uniqueId val="{00000007-C291-41D0-82DF-1CBCD4B868CA}"/>
              </c:ext>
            </c:extLst>
          </c:dPt>
          <c:dPt>
            <c:idx val="4"/>
            <c:bubble3D val="0"/>
            <c:spPr>
              <a:solidFill>
                <a:schemeClr val="accent6">
                  <a:tint val="83000"/>
                </a:schemeClr>
              </a:solidFill>
              <a:ln>
                <a:solidFill>
                  <a:schemeClr val="tx1">
                    <a:lumMod val="50000"/>
                    <a:lumOff val="50000"/>
                  </a:schemeClr>
                </a:solidFill>
              </a:ln>
              <a:effectLst/>
            </c:spPr>
            <c:extLst>
              <c:ext xmlns:c16="http://schemas.microsoft.com/office/drawing/2014/chart" uri="{C3380CC4-5D6E-409C-BE32-E72D297353CC}">
                <c16:uniqueId val="{00000009-C291-41D0-82DF-1CBCD4B868CA}"/>
              </c:ext>
            </c:extLst>
          </c:dPt>
          <c:dPt>
            <c:idx val="5"/>
            <c:bubble3D val="0"/>
            <c:spPr>
              <a:solidFill>
                <a:schemeClr val="accent6">
                  <a:tint val="65000"/>
                </a:schemeClr>
              </a:solidFill>
              <a:ln>
                <a:solidFill>
                  <a:schemeClr val="tx1">
                    <a:lumMod val="50000"/>
                    <a:lumOff val="50000"/>
                  </a:schemeClr>
                </a:solidFill>
              </a:ln>
              <a:effectLst/>
            </c:spPr>
            <c:extLst>
              <c:ext xmlns:c16="http://schemas.microsoft.com/office/drawing/2014/chart" uri="{C3380CC4-5D6E-409C-BE32-E72D297353CC}">
                <c16:uniqueId val="{0000000B-C291-41D0-82DF-1CBCD4B868CA}"/>
              </c:ext>
            </c:extLst>
          </c:dPt>
          <c:dPt>
            <c:idx val="6"/>
            <c:bubble3D val="0"/>
            <c:spPr>
              <a:solidFill>
                <a:schemeClr val="accent6">
                  <a:tint val="48000"/>
                </a:schemeClr>
              </a:solidFill>
              <a:ln>
                <a:solidFill>
                  <a:schemeClr val="tx1">
                    <a:lumMod val="50000"/>
                    <a:lumOff val="50000"/>
                  </a:schemeClr>
                </a:solidFill>
              </a:ln>
              <a:effectLst/>
            </c:spPr>
            <c:extLst>
              <c:ext xmlns:c16="http://schemas.microsoft.com/office/drawing/2014/chart" uri="{C3380CC4-5D6E-409C-BE32-E72D297353CC}">
                <c16:uniqueId val="{0000000D-C291-41D0-82DF-1CBCD4B868CA}"/>
              </c:ext>
            </c:extLst>
          </c:dPt>
          <c:dPt>
            <c:idx val="7"/>
            <c:bubble3D val="0"/>
            <c:spPr>
              <a:solidFill>
                <a:schemeClr val="accent6">
                  <a:tint val="30000"/>
                </a:schemeClr>
              </a:solidFill>
              <a:ln>
                <a:solidFill>
                  <a:schemeClr val="tx1">
                    <a:lumMod val="50000"/>
                    <a:lumOff val="50000"/>
                  </a:schemeClr>
                </a:solidFill>
              </a:ln>
              <a:effectLst/>
            </c:spPr>
            <c:extLst>
              <c:ext xmlns:c16="http://schemas.microsoft.com/office/drawing/2014/chart" uri="{C3380CC4-5D6E-409C-BE32-E72D297353CC}">
                <c16:uniqueId val="{0000000F-C291-41D0-82DF-1CBCD4B868CA}"/>
              </c:ext>
            </c:extLst>
          </c:dPt>
          <c:dPt>
            <c:idx val="8"/>
            <c:bubble3D val="0"/>
            <c:spPr>
              <a:solidFill>
                <a:schemeClr val="accent6">
                  <a:tint val="13000"/>
                </a:schemeClr>
              </a:solidFill>
              <a:ln>
                <a:solidFill>
                  <a:schemeClr val="tx1">
                    <a:lumMod val="50000"/>
                    <a:lumOff val="50000"/>
                  </a:schemeClr>
                </a:solidFill>
              </a:ln>
              <a:effectLst/>
            </c:spPr>
            <c:extLst>
              <c:ext xmlns:c16="http://schemas.microsoft.com/office/drawing/2014/chart" uri="{C3380CC4-5D6E-409C-BE32-E72D297353CC}">
                <c16:uniqueId val="{00000011-C291-41D0-82DF-1CBCD4B868CA}"/>
              </c:ext>
            </c:extLst>
          </c:dPt>
          <c:dLbls>
            <c:dLbl>
              <c:idx val="0"/>
              <c:layout>
                <c:manualLayout>
                  <c:x val="4.6419640676377875E-2"/>
                  <c:y val="-1.2519068919202004E-2"/>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33407725806800004"/>
                      <c:h val="0.1500873658398334"/>
                    </c:manualLayout>
                  </c15:layout>
                </c:ext>
                <c:ext xmlns:c16="http://schemas.microsoft.com/office/drawing/2014/chart" uri="{C3380CC4-5D6E-409C-BE32-E72D297353CC}">
                  <c16:uniqueId val="{00000001-C291-41D0-82DF-1CBCD4B868CA}"/>
                </c:ext>
              </c:extLst>
            </c:dLbl>
            <c:dLbl>
              <c:idx val="1"/>
              <c:layout>
                <c:manualLayout>
                  <c:x val="1.0727519354198372E-2"/>
                  <c:y val="-3.2997808263657766E-3"/>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4319858835961605"/>
                      <c:h val="0.22128688459397117"/>
                    </c:manualLayout>
                  </c15:layout>
                </c:ext>
                <c:ext xmlns:c16="http://schemas.microsoft.com/office/drawing/2014/chart" uri="{C3380CC4-5D6E-409C-BE32-E72D297353CC}">
                  <c16:uniqueId val="{00000003-C291-41D0-82DF-1CBCD4B868CA}"/>
                </c:ext>
              </c:extLst>
            </c:dLbl>
            <c:dLbl>
              <c:idx val="2"/>
              <c:layout>
                <c:manualLayout>
                  <c:x val="-1.4455357039165929E-5"/>
                  <c:y val="1.2519315367269232E-2"/>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5617052669007212"/>
                      <c:h val="0.1161563959434648"/>
                    </c:manualLayout>
                  </c15:layout>
                </c:ext>
                <c:ext xmlns:c16="http://schemas.microsoft.com/office/drawing/2014/chart" uri="{C3380CC4-5D6E-409C-BE32-E72D297353CC}">
                  <c16:uniqueId val="{00000005-C291-41D0-82DF-1CBCD4B868CA}"/>
                </c:ext>
              </c:extLst>
            </c:dLbl>
            <c:dLbl>
              <c:idx val="3"/>
              <c:layout>
                <c:manualLayout>
                  <c:x val="1.0550749103186326E-2"/>
                  <c:y val="-9.1951745468436277E-2"/>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manualLayout>
                      <c:w val="0.27931770714775866"/>
                      <c:h val="0.12666247704952374"/>
                    </c:manualLayout>
                  </c15:layout>
                </c:ext>
                <c:ext xmlns:c16="http://schemas.microsoft.com/office/drawing/2014/chart" uri="{C3380CC4-5D6E-409C-BE32-E72D297353CC}">
                  <c16:uniqueId val="{00000007-C291-41D0-82DF-1CBCD4B868CA}"/>
                </c:ext>
              </c:extLst>
            </c:dLbl>
            <c:dLbl>
              <c:idx val="4"/>
              <c:layout>
                <c:manualLayout>
                  <c:x val="-4.2202996412745303E-3"/>
                  <c:y val="-2.6460636082461533E-2"/>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ect">
                      <a:avLst/>
                    </a:prstGeom>
                    <a:noFill/>
                    <a:ln>
                      <a:noFill/>
                    </a:ln>
                  </c15:spPr>
                  <c15:layout>
                    <c:manualLayout>
                      <c:w val="0.22614625165945837"/>
                      <c:h val="0.11288257981836776"/>
                    </c:manualLayout>
                  </c15:layout>
                </c:ext>
                <c:ext xmlns:c16="http://schemas.microsoft.com/office/drawing/2014/chart" uri="{C3380CC4-5D6E-409C-BE32-E72D297353CC}">
                  <c16:uniqueId val="{00000009-C291-41D0-82DF-1CBCD4B868CA}"/>
                </c:ext>
              </c:extLst>
            </c:dLbl>
            <c:dLbl>
              <c:idx val="5"/>
              <c:layout>
                <c:manualLayout>
                  <c:x val="-6.0230820482742461E-2"/>
                  <c:y val="-2.9426885019654347E-2"/>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7886277878485272"/>
                      <c:h val="8.3574975663253365E-2"/>
                    </c:manualLayout>
                  </c15:layout>
                </c:ext>
                <c:ext xmlns:c16="http://schemas.microsoft.com/office/drawing/2014/chart" uri="{C3380CC4-5D6E-409C-BE32-E72D297353CC}">
                  <c16:uniqueId val="{0000000B-C291-41D0-82DF-1CBCD4B868CA}"/>
                </c:ext>
              </c:extLst>
            </c:dLbl>
            <c:dLbl>
              <c:idx val="6"/>
              <c:layout>
                <c:manualLayout>
                  <c:x val="8.3575225179570803E-5"/>
                  <c:y val="-8.1434290410668395E-2"/>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manualLayout>
                      <c:w val="0.26563762247592015"/>
                      <c:h val="0.13918343540390785"/>
                    </c:manualLayout>
                  </c15:layout>
                </c:ext>
                <c:ext xmlns:c16="http://schemas.microsoft.com/office/drawing/2014/chart" uri="{C3380CC4-5D6E-409C-BE32-E72D297353CC}">
                  <c16:uniqueId val="{0000000D-C291-41D0-82DF-1CBCD4B868CA}"/>
                </c:ext>
              </c:extLst>
            </c:dLbl>
            <c:dLbl>
              <c:idx val="7"/>
              <c:layout>
                <c:manualLayout>
                  <c:x val="9.5857444248329919E-3"/>
                  <c:y val="-6.6453735536579059E-2"/>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2579817368795663"/>
                      <c:h val="0.10736017152785479"/>
                    </c:manualLayout>
                  </c15:layout>
                </c:ext>
                <c:ext xmlns:c16="http://schemas.microsoft.com/office/drawing/2014/chart" uri="{C3380CC4-5D6E-409C-BE32-E72D297353CC}">
                  <c16:uniqueId val="{0000000F-C291-41D0-82DF-1CBCD4B868CA}"/>
                </c:ext>
              </c:extLst>
            </c:dLbl>
            <c:dLbl>
              <c:idx val="8"/>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separator> </c:separator>
              <c:extLst>
                <c:ext xmlns:c15="http://schemas.microsoft.com/office/drawing/2012/chart" uri="{CE6537A1-D6FC-4f65-9D91-7224C49458BB}">
                  <c15:layout>
                    <c:manualLayout>
                      <c:w val="0.22034120734908136"/>
                      <c:h val="0.1104225352112676"/>
                    </c:manualLayout>
                  </c15:layout>
                </c:ext>
                <c:ext xmlns:c16="http://schemas.microsoft.com/office/drawing/2014/chart" uri="{C3380CC4-5D6E-409C-BE32-E72D297353CC}">
                  <c16:uniqueId val="{00000011-C291-41D0-82DF-1CBCD4B868CA}"/>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separator> </c:separator>
            <c:showLeaderLines val="1"/>
            <c:leaderLines>
              <c:spPr>
                <a:ln w="9525" cap="flat" cmpd="sng" algn="ctr">
                  <a:solidFill>
                    <a:schemeClr val="tx1">
                      <a:lumMod val="50000"/>
                      <a:lumOff val="50000"/>
                    </a:schemeClr>
                  </a:solidFill>
                  <a:prstDash val="solid"/>
                  <a:round/>
                </a:ln>
                <a:effectLst/>
              </c:spPr>
            </c:leaderLines>
            <c:extLst>
              <c:ext xmlns:c15="http://schemas.microsoft.com/office/drawing/2012/chart" uri="{CE6537A1-D6FC-4f65-9D91-7224C49458BB}"/>
            </c:extLst>
          </c:dLbls>
          <c:cat>
            <c:strRef>
              <c:f>Sheet1!$A$2:$A$8</c:f>
              <c:strCache>
                <c:ptCount val="7"/>
                <c:pt idx="0">
                  <c:v>Canada</c:v>
                </c:pt>
                <c:pt idx="1">
                  <c:v>Germany</c:v>
                </c:pt>
                <c:pt idx="2">
                  <c:v>Brazil</c:v>
                </c:pt>
                <c:pt idx="3">
                  <c:v>Turkey</c:v>
                </c:pt>
                <c:pt idx="4">
                  <c:v>Japan</c:v>
                </c:pt>
                <c:pt idx="5">
                  <c:v>Mexico</c:v>
                </c:pt>
                <c:pt idx="6">
                  <c:v>Other</c:v>
                </c:pt>
              </c:strCache>
            </c:strRef>
          </c:cat>
          <c:val>
            <c:numRef>
              <c:f>Sheet1!$B$2:$B$8</c:f>
              <c:numCache>
                <c:formatCode>_(* #,##0_);_(* \(#,##0\);_(* "-"??_);_(@_)</c:formatCode>
                <c:ptCount val="7"/>
                <c:pt idx="0">
                  <c:v>19508437</c:v>
                </c:pt>
                <c:pt idx="1">
                  <c:v>15903211</c:v>
                </c:pt>
                <c:pt idx="2">
                  <c:v>13572458</c:v>
                </c:pt>
                <c:pt idx="3">
                  <c:v>12333978</c:v>
                </c:pt>
                <c:pt idx="4">
                  <c:v>10750378</c:v>
                </c:pt>
                <c:pt idx="5">
                  <c:v>10455315</c:v>
                </c:pt>
                <c:pt idx="6" formatCode="#,##0">
                  <c:v>64184072</c:v>
                </c:pt>
              </c:numCache>
            </c:numRef>
          </c:val>
          <c:extLst>
            <c:ext xmlns:c16="http://schemas.microsoft.com/office/drawing/2014/chart" uri="{C3380CC4-5D6E-409C-BE32-E72D297353CC}">
              <c16:uniqueId val="{00000012-C291-41D0-82DF-1CBCD4B868CA}"/>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3175" cap="flat" cmpd="sng" algn="ctr">
      <a:noFill/>
      <a:prstDash val="solid"/>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103">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FB6C44-9FF8-492D-ADB5-283AD1E5C7D9}">
  <ds:schemaRefs>
    <ds:schemaRef ds:uri="http://schemas.openxmlformats.org/officeDocument/2006/bibliography"/>
  </ds:schemaRefs>
</ds:datastoreItem>
</file>

<file path=customXml/itemProps2.xml><?xml version="1.0" encoding="utf-8"?>
<ds:datastoreItem xmlns:ds="http://schemas.openxmlformats.org/officeDocument/2006/customXml" ds:itemID="{FCB0A714-5C2F-4363-B954-AC47F305D9A4}"/>
</file>

<file path=customXml/itemProps3.xml><?xml version="1.0" encoding="utf-8"?>
<ds:datastoreItem xmlns:ds="http://schemas.openxmlformats.org/officeDocument/2006/customXml" ds:itemID="{3041810E-6B4E-4BD7-8ABE-09273D0F9B42}"/>
</file>

<file path=customXml/itemProps4.xml><?xml version="1.0" encoding="utf-8"?>
<ds:datastoreItem xmlns:ds="http://schemas.openxmlformats.org/officeDocument/2006/customXml" ds:itemID="{5B950C72-3EDC-463B-858A-669B53BF3506}"/>
</file>

<file path=docProps/app.xml><?xml version="1.0" encoding="utf-8"?>
<Properties xmlns="http://schemas.openxmlformats.org/officeDocument/2006/extended-properties" xmlns:vt="http://schemas.openxmlformats.org/officeDocument/2006/docPropsVTypes">
  <Template>Normal</Template>
  <TotalTime>264</TotalTime>
  <Pages>2</Pages>
  <Words>685</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Minnesota Quarterly Export Statistics, 4th Quarter 2023</vt:lpstr>
    </vt:vector>
  </TitlesOfParts>
  <Company>MN DEED</Company>
  <LinksUpToDate>false</LinksUpToDate>
  <CharactersWithSpaces>4536</CharactersWithSpaces>
  <SharedDoc>false</SharedDoc>
  <HLinks>
    <vt:vector size="12" baseType="variant">
      <vt:variant>
        <vt:i4>6488181</vt:i4>
      </vt:variant>
      <vt:variant>
        <vt:i4>9</vt:i4>
      </vt:variant>
      <vt:variant>
        <vt:i4>0</vt:i4>
      </vt:variant>
      <vt:variant>
        <vt:i4>5</vt:i4>
      </vt:variant>
      <vt:variant>
        <vt:lpwstr>http://www.deed.state.mn.us/facts/manufacturing.htm</vt:lpwstr>
      </vt:variant>
      <vt:variant>
        <vt:lpwstr/>
      </vt:variant>
      <vt:variant>
        <vt:i4>3211383</vt:i4>
      </vt:variant>
      <vt:variant>
        <vt:i4>6</vt:i4>
      </vt:variant>
      <vt:variant>
        <vt:i4>0</vt:i4>
      </vt:variant>
      <vt:variant>
        <vt:i4>5</vt:i4>
      </vt:variant>
      <vt:variant>
        <vt:lpwstr>http://www.exportminnesota.com/itradestats.htm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Quarterly Export Statistics, 4th Quarter 2023</dc:title>
  <dc:subject>Minnesota Quarterly Export Statistics</dc:subject>
  <dc:creator>Economic Analysis Unit (T. Ho-Kim)</dc:creator>
  <dc:description>4th Quarter 2023_x000d_
(late publication, May 2024)</dc:description>
  <cp:lastModifiedBy>Ho-Kim, Thu-Mai (DEED)</cp:lastModifiedBy>
  <cp:revision>15</cp:revision>
  <cp:lastPrinted>2021-02-10T19:09:00Z</cp:lastPrinted>
  <dcterms:created xsi:type="dcterms:W3CDTF">2023-12-06T21:16:00Z</dcterms:created>
  <dcterms:modified xsi:type="dcterms:W3CDTF">2024-05-03T19:09:00Z</dcterms:modified>
</cp:coreProperties>
</file>