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39201668">
                <wp:simplePos x="0" y="0"/>
                <wp:positionH relativeFrom="column">
                  <wp:posOffset>5543550</wp:posOffset>
                </wp:positionH>
                <wp:positionV relativeFrom="page">
                  <wp:posOffset>171450</wp:posOffset>
                </wp:positionV>
                <wp:extent cx="1000760" cy="70739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2BDA417B" w:rsidR="002619E1" w:rsidRPr="002619E1" w:rsidRDefault="00344FDB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="00BD69EA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AE4D21"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13.5pt;width:78.8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" stroked="f">
                <v:textbox>
                  <w:txbxContent>
                    <w:p w14:paraId="7B53E395" w14:textId="2BDA417B" w:rsidR="002619E1" w:rsidRPr="002619E1" w:rsidRDefault="00344FDB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="00BD69EA">
                        <w:rPr>
                          <w:sz w:val="72"/>
                          <w:szCs w:val="72"/>
                        </w:rPr>
                        <w:t>0</w:t>
                      </w:r>
                      <w:r w:rsidR="00AE4D21">
                        <w:rPr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3A88E11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</w:r>
              <w:r w:rsidR="00AE4D21">
                <w:rPr>
                  <w:rFonts w:ascii="Times New Roman" w:hAnsi="Times New Roman"/>
                  <w:b/>
                </w:rPr>
                <w:t>4</w:t>
              </w:r>
              <w:r w:rsidRPr="009F1191">
                <w:rPr>
                  <w:rFonts w:ascii="Times New Roman" w:hAnsi="Times New Roman"/>
                  <w:b/>
                </w:rPr>
                <w:t>/</w:t>
              </w:r>
              <w:r w:rsidR="00AE4D21">
                <w:rPr>
                  <w:rFonts w:ascii="Times New Roman" w:hAnsi="Times New Roman"/>
                  <w:b/>
                </w:rPr>
                <w:t>23</w:t>
              </w:r>
              <w:r w:rsidRPr="009F1191">
                <w:rPr>
                  <w:rFonts w:ascii="Times New Roman" w:hAnsi="Times New Roman"/>
                  <w:b/>
                </w:rPr>
                <w:t>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123E0DAE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0660F7">
                <w:rPr>
                  <w:rFonts w:ascii="Times New Roman" w:hAnsi="Times New Roman" w:cs="Times New Roman"/>
                </w:rPr>
                <w:t xml:space="preserve">ETAC Plan </w:t>
              </w:r>
            </w:p>
            <w:p w14:paraId="5401D03D" w14:textId="77777777" w:rsidR="008E0ACA" w:rsidRPr="00457871" w:rsidRDefault="008E0ACA" w:rsidP="008E0ACA">
              <w:pPr>
                <w:pStyle w:val="Heading3"/>
                <w:rPr>
                  <w:rFonts w:ascii="Times New Roman" w:hAnsi="Times New Roman" w:cs="Times New Roman"/>
                  <w:sz w:val="22"/>
                  <w:szCs w:val="22"/>
                </w:rPr>
              </w:pPr>
              <w:bookmarkStart w:id="0" w:name="_Hlk157514404"/>
              <w:r w:rsidRPr="00457871">
                <w:rPr>
                  <w:rFonts w:ascii="Times New Roman" w:hAnsi="Times New Roman" w:cs="Times New Roman"/>
                  <w:sz w:val="22"/>
                  <w:szCs w:val="22"/>
                </w:rPr>
                <w:t>Background</w:t>
              </w:r>
            </w:p>
            <w:bookmarkEnd w:id="0"/>
            <w:p w14:paraId="7430F3C3" w14:textId="19CB7629" w:rsidR="001E4947" w:rsidRPr="00457871" w:rsidRDefault="000660F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57871">
                <w:rPr>
                  <w:rStyle w:val="BodyTextChar"/>
                  <w:rFonts w:ascii="Times New Roman" w:hAnsi="Times New Roman"/>
                </w:rPr>
                <w:t xml:space="preserve">In 2022 ETAC completed the Energy Transition Advisory Committee Plan.  </w:t>
              </w:r>
            </w:p>
            <w:p w14:paraId="4067EF16" w14:textId="77777777" w:rsidR="000660F7" w:rsidRPr="00457871" w:rsidRDefault="000660F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728A8113" w14:textId="292778B7" w:rsidR="000660F7" w:rsidRPr="00457871" w:rsidRDefault="000660F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57871">
                <w:rPr>
                  <w:rStyle w:val="BodyTextChar"/>
                  <w:rFonts w:ascii="Times New Roman" w:hAnsi="Times New Roman"/>
                </w:rPr>
                <w:t xml:space="preserve">In 2023 ETAC was extended to 2027.  In the legislation for the extension, </w:t>
              </w:r>
              <w:r w:rsidR="00D223F5" w:rsidRPr="00457871">
                <w:rPr>
                  <w:rStyle w:val="BodyTextChar"/>
                  <w:rFonts w:ascii="Times New Roman" w:hAnsi="Times New Roman"/>
                </w:rPr>
                <w:t xml:space="preserve">the legislature requires an updated </w:t>
              </w:r>
              <w:r w:rsidR="00457871" w:rsidRPr="00457871">
                <w:rPr>
                  <w:rStyle w:val="BodyTextChar"/>
                  <w:rFonts w:ascii="Times New Roman" w:hAnsi="Times New Roman"/>
                </w:rPr>
                <w:t xml:space="preserve">ETAC </w:t>
              </w:r>
              <w:r w:rsidR="00D223F5" w:rsidRPr="00457871">
                <w:rPr>
                  <w:rStyle w:val="BodyTextChar"/>
                  <w:rFonts w:ascii="Times New Roman" w:hAnsi="Times New Roman"/>
                </w:rPr>
                <w:t xml:space="preserve">plan – the language is in </w:t>
              </w:r>
              <w:r w:rsidR="00376C17" w:rsidRPr="00457871">
                <w:rPr>
                  <w:rStyle w:val="BodyTextChar"/>
                  <w:rFonts w:ascii="Times New Roman" w:hAnsi="Times New Roman"/>
                </w:rPr>
                <w:t>italics</w:t>
              </w:r>
              <w:r w:rsidR="00D223F5" w:rsidRPr="00457871">
                <w:rPr>
                  <w:rStyle w:val="BodyTextChar"/>
                  <w:rFonts w:ascii="Times New Roman" w:hAnsi="Times New Roman"/>
                </w:rPr>
                <w:t xml:space="preserve"> below</w:t>
              </w:r>
              <w:r w:rsidR="00457871" w:rsidRPr="00457871">
                <w:rPr>
                  <w:rStyle w:val="BodyTextChar"/>
                  <w:rFonts w:ascii="Times New Roman" w:hAnsi="Times New Roman"/>
                </w:rPr>
                <w:t>:</w:t>
              </w:r>
            </w:p>
            <w:p w14:paraId="05E0E4B4" w14:textId="77777777" w:rsidR="00D223F5" w:rsidRPr="00457871" w:rsidRDefault="00D223F5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5EC4BC4D" w14:textId="41BD1BB8" w:rsidR="00D223F5" w:rsidRPr="00457871" w:rsidRDefault="00457871" w:rsidP="00457871">
              <w:pPr>
                <w:pStyle w:val="Heading2"/>
                <w:pBdr>
                  <w:bottom w:val="none" w:sz="0" w:space="0" w:color="auto"/>
                </w:pBdr>
                <w:shd w:val="clear" w:color="auto" w:fill="FFFFFF"/>
                <w:spacing w:before="0" w:after="0" w:line="240" w:lineRule="atLeast"/>
                <w:rPr>
                  <w:rFonts w:ascii="Times New Roman" w:hAnsi="Times New Roman" w:cs="Times New Roman"/>
                  <w:b w:val="0"/>
                  <w:bCs w:val="0"/>
                  <w:color w:val="000000"/>
                  <w:sz w:val="22"/>
                  <w:szCs w:val="22"/>
                </w:rPr>
              </w:pPr>
              <w:r w:rsidRPr="00457871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            </w:t>
              </w:r>
              <w:r w:rsidR="00D223F5" w:rsidRPr="00457871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116J.5492 </w:t>
              </w:r>
              <w:r w:rsidR="00D223F5" w:rsidRPr="00457871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- </w:t>
              </w:r>
              <w:r w:rsidR="00D223F5" w:rsidRPr="00457871">
                <w:rPr>
                  <w:rFonts w:ascii="Times New Roman" w:hAnsi="Times New Roman" w:cs="Times New Roman"/>
                  <w:b w:val="0"/>
                  <w:bCs w:val="0"/>
                  <w:color w:val="000000"/>
                  <w:sz w:val="22"/>
                  <w:szCs w:val="22"/>
                </w:rPr>
                <w:t>Subd. 8.</w:t>
              </w:r>
              <w:r w:rsidR="00D223F5" w:rsidRPr="00457871">
                <w:rPr>
                  <w:rStyle w:val="headnote"/>
                  <w:rFonts w:ascii="Times New Roman" w:hAnsi="Times New Roman" w:cs="Times New Roman"/>
                  <w:color w:val="000000"/>
                  <w:sz w:val="22"/>
                  <w:szCs w:val="22"/>
                </w:rPr>
                <w:t>Meetings.</w:t>
              </w:r>
            </w:p>
            <w:p w14:paraId="7F75F3C7" w14:textId="3A78C9D1" w:rsidR="00D223F5" w:rsidRPr="00457871" w:rsidRDefault="00D223F5" w:rsidP="00457871">
              <w:pPr>
                <w:ind w:left="720" w:firstLine="60"/>
                <w:rPr>
                  <w:rFonts w:ascii="Times New Roman" w:hAnsi="Times New Roman"/>
                </w:rPr>
              </w:pPr>
              <w:r w:rsidRPr="00457871">
                <w:rPr>
                  <w:rFonts w:ascii="Times New Roman" w:hAnsi="Times New Roman"/>
                  <w:color w:val="000000"/>
                </w:rPr>
                <w:t xml:space="preserve">The advisory committee must meet quarterly and </w:t>
              </w:r>
              <w:r w:rsidRPr="00457871">
                <w:rPr>
                  <w:rFonts w:ascii="Times New Roman" w:hAnsi="Times New Roman"/>
                  <w:i/>
                  <w:iCs/>
                  <w:color w:val="000000"/>
                </w:rPr>
                <w:t xml:space="preserve">submit an updated energy transition plan annually to the governor and the legislature. </w:t>
              </w:r>
              <w:r w:rsidR="00684A7D">
                <w:rPr>
                  <w:rFonts w:ascii="Times New Roman" w:hAnsi="Times New Roman"/>
                  <w:i/>
                  <w:iCs/>
                  <w:color w:val="000000"/>
                </w:rPr>
                <w:t>….</w:t>
              </w:r>
            </w:p>
            <w:p w14:paraId="58875550" w14:textId="6B162721" w:rsidR="00D223F5" w:rsidRPr="00457871" w:rsidRDefault="00D223F5" w:rsidP="00D223F5">
              <w:pPr>
                <w:pStyle w:val="Heading1"/>
                <w:shd w:val="clear" w:color="auto" w:fill="FFFFFF"/>
                <w:spacing w:before="0" w:after="0" w:line="240" w:lineRule="atLeast"/>
                <w:rPr>
                  <w:rFonts w:ascii="Times New Roman" w:hAnsi="Times New Roman"/>
                  <w:color w:val="000000"/>
                  <w:sz w:val="22"/>
                  <w:szCs w:val="22"/>
                </w:rPr>
              </w:pPr>
            </w:p>
            <w:p w14:paraId="09AFA63E" w14:textId="571D5734" w:rsidR="00457871" w:rsidRDefault="00376C1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57871">
                <w:rPr>
                  <w:rStyle w:val="BodyTextChar"/>
                  <w:rFonts w:ascii="Times New Roman" w:hAnsi="Times New Roman"/>
                </w:rPr>
                <w:t xml:space="preserve">The difficult and hard work </w:t>
              </w:r>
              <w:r w:rsidR="00457871">
                <w:rPr>
                  <w:rStyle w:val="BodyTextChar"/>
                  <w:rFonts w:ascii="Times New Roman" w:hAnsi="Times New Roman"/>
                </w:rPr>
                <w:t xml:space="preserve">of the ETAC plan is 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complete.  It is anticipated that </w:t>
              </w:r>
              <w:r w:rsidR="00684A7D">
                <w:rPr>
                  <w:rStyle w:val="BodyTextChar"/>
                  <w:rFonts w:ascii="Times New Roman" w:hAnsi="Times New Roman"/>
                </w:rPr>
                <w:t xml:space="preserve">only 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updates to the plan include: impacted cities, </w:t>
              </w:r>
              <w:r w:rsidR="00457871">
                <w:rPr>
                  <w:rStyle w:val="BodyTextChar"/>
                  <w:rFonts w:ascii="Times New Roman" w:hAnsi="Times New Roman"/>
                </w:rPr>
                <w:t>impacted community updated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 information, updated power plant closures, and legislative updates to the transition aid.  </w:t>
              </w:r>
            </w:p>
            <w:p w14:paraId="5A8872E6" w14:textId="77777777" w:rsidR="00457871" w:rsidRDefault="00457871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1BAAF17B" w14:textId="505FA859" w:rsidR="00D223F5" w:rsidRDefault="00376C1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457871">
                <w:rPr>
                  <w:rStyle w:val="BodyTextChar"/>
                  <w:rFonts w:ascii="Times New Roman" w:hAnsi="Times New Roman"/>
                </w:rPr>
                <w:t>As this work is expected to be minimal compared to two years ago, staff is recommending a small group of volunteers.  Staff anticipates about 3 meetings</w:t>
              </w:r>
              <w:r w:rsidR="00684A7D">
                <w:rPr>
                  <w:rStyle w:val="BodyTextChar"/>
                  <w:rFonts w:ascii="Times New Roman" w:hAnsi="Times New Roman"/>
                </w:rPr>
                <w:t xml:space="preserve"> or less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 between no</w:t>
              </w:r>
              <w:r w:rsidR="00457871">
                <w:rPr>
                  <w:rStyle w:val="BodyTextChar"/>
                  <w:rFonts w:ascii="Times New Roman" w:hAnsi="Times New Roman"/>
                </w:rPr>
                <w:t>w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 and the next ETAC meeting</w:t>
              </w:r>
              <w:r w:rsidR="00457871">
                <w:rPr>
                  <w:rStyle w:val="BodyTextChar"/>
                  <w:rFonts w:ascii="Times New Roman" w:hAnsi="Times New Roman"/>
                </w:rPr>
                <w:t xml:space="preserve"> (approximately 3 months from now)</w:t>
              </w:r>
              <w:r w:rsidRPr="00457871">
                <w:rPr>
                  <w:rStyle w:val="BodyTextChar"/>
                  <w:rFonts w:ascii="Times New Roman" w:hAnsi="Times New Roman"/>
                </w:rPr>
                <w:t xml:space="preserve"> in which the committee</w:t>
              </w:r>
              <w:r>
                <w:rPr>
                  <w:rStyle w:val="BodyTextChar"/>
                  <w:rFonts w:ascii="Times New Roman" w:hAnsi="Times New Roman"/>
                </w:rPr>
                <w:t xml:space="preserve"> will present an updated draft plan for review before a final vote at the last ETAC meeting in 2024.  </w:t>
              </w:r>
            </w:p>
            <w:p w14:paraId="4F3596FF" w14:textId="77777777" w:rsidR="00F37B83" w:rsidRPr="0073601F" w:rsidRDefault="00F37B8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6B954A5E" w14:textId="3FB08372" w:rsidR="00376C17" w:rsidRPr="0073601F" w:rsidRDefault="00376C17" w:rsidP="00376C17">
              <w:pPr>
                <w:pStyle w:val="Heading3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Recommendation</w:t>
              </w:r>
            </w:p>
            <w:p w14:paraId="761FF8E3" w14:textId="62105215" w:rsidR="00376C17" w:rsidRDefault="00376C17" w:rsidP="00376C17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Staff recommends a small committee work on the updates. </w:t>
              </w:r>
            </w:p>
            <w:p w14:paraId="484F4BEF" w14:textId="588B1AF0" w:rsidR="007762BE" w:rsidRPr="002505FF" w:rsidRDefault="00684A7D" w:rsidP="002505FF">
              <w:pPr>
                <w:pStyle w:val="BodyText"/>
                <w:spacing w:before="0" w:after="0" w:line="240" w:lineRule="auto"/>
                <w:rPr>
                  <w:rFonts w:ascii="Times New Roman" w:hAnsi="Times New Roman"/>
                </w:rPr>
              </w:pPr>
            </w:p>
          </w:sdtContent>
        </w:sdt>
      </w:sdtContent>
    </w:sdt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660F7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0161"/>
    <w:rsid w:val="00147ED1"/>
    <w:rsid w:val="001500D6"/>
    <w:rsid w:val="00157C41"/>
    <w:rsid w:val="001661D9"/>
    <w:rsid w:val="001708EC"/>
    <w:rsid w:val="00173FBF"/>
    <w:rsid w:val="00175B89"/>
    <w:rsid w:val="001925A8"/>
    <w:rsid w:val="0019673D"/>
    <w:rsid w:val="001A46BB"/>
    <w:rsid w:val="001C55E0"/>
    <w:rsid w:val="001E4947"/>
    <w:rsid w:val="001E5ECF"/>
    <w:rsid w:val="00211CA3"/>
    <w:rsid w:val="00222A49"/>
    <w:rsid w:val="0022552E"/>
    <w:rsid w:val="002505FF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44FDB"/>
    <w:rsid w:val="003563D2"/>
    <w:rsid w:val="003715E6"/>
    <w:rsid w:val="00376C17"/>
    <w:rsid w:val="00376FA5"/>
    <w:rsid w:val="003A1479"/>
    <w:rsid w:val="003A1813"/>
    <w:rsid w:val="003B7D82"/>
    <w:rsid w:val="003C4644"/>
    <w:rsid w:val="003C5BE3"/>
    <w:rsid w:val="00413A7C"/>
    <w:rsid w:val="004141DD"/>
    <w:rsid w:val="00457871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4F7C84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1347C"/>
    <w:rsid w:val="00622BB5"/>
    <w:rsid w:val="00655345"/>
    <w:rsid w:val="00672536"/>
    <w:rsid w:val="00681EDC"/>
    <w:rsid w:val="00684A7D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C285F"/>
    <w:rsid w:val="006D4829"/>
    <w:rsid w:val="006F3B38"/>
    <w:rsid w:val="007137A4"/>
    <w:rsid w:val="0073601F"/>
    <w:rsid w:val="00737A92"/>
    <w:rsid w:val="0074778B"/>
    <w:rsid w:val="0077225E"/>
    <w:rsid w:val="00775A55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36458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4D21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D0E59"/>
    <w:rsid w:val="00BD2DFA"/>
    <w:rsid w:val="00BD69EA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D0014D"/>
    <w:rsid w:val="00D223F5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20B25"/>
    <w:rsid w:val="00F37B83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  <w:style w:type="character" w:customStyle="1" w:styleId="headnote">
    <w:name w:val="headnote"/>
    <w:basedOn w:val="DefaultParagraphFont"/>
    <w:rsid w:val="00D2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2024-04-02T20:46:00Z</dcterms:created>
  <dcterms:modified xsi:type="dcterms:W3CDTF">2024-04-16T18:40:00Z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