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E313B" w:rsidRPr="00D80EB6" w:rsidRDefault="007F1C4A" w:rsidP="007F1C4A">
      <w:pPr>
        <w:tabs>
          <w:tab w:val="left" w:pos="360"/>
          <w:tab w:val="left" w:pos="6660"/>
        </w:tabs>
        <w:spacing w:after="240"/>
        <w:jc w:val="center"/>
        <w:sectPr w:rsidR="00CE313B" w:rsidRPr="00D80EB6" w:rsidSect="0055424F">
          <w:headerReference w:type="even" r:id="rId8"/>
          <w:headerReference w:type="default" r:id="rId9"/>
          <w:footerReference w:type="even" r:id="rId10"/>
          <w:footnotePr>
            <w:numRestart w:val="eachSect"/>
          </w:footnotePr>
          <w:endnotePr>
            <w:numFmt w:val="decimal"/>
          </w:endnotePr>
          <w:type w:val="continuous"/>
          <w:pgSz w:w="12240" w:h="15840" w:code="1"/>
          <w:pgMar w:top="720" w:right="1008" w:bottom="547" w:left="1008" w:header="720" w:footer="720" w:gutter="0"/>
          <w:cols w:space="720"/>
          <w:titlePg/>
          <w:docGrid w:linePitch="272"/>
        </w:sectPr>
      </w:pPr>
      <w:r w:rsidRPr="00D80EB6">
        <w:rPr>
          <w:noProof/>
        </w:rPr>
        <mc:AlternateContent>
          <mc:Choice Requires="wps">
            <w:drawing>
              <wp:anchor distT="0" distB="0" distL="114300" distR="114300" simplePos="0" relativeHeight="251656704" behindDoc="0" locked="0" layoutInCell="1" allowOverlap="1" wp14:anchorId="147460C3" wp14:editId="4FB0D59B">
                <wp:simplePos x="0" y="0"/>
                <wp:positionH relativeFrom="column">
                  <wp:posOffset>0</wp:posOffset>
                </wp:positionH>
                <wp:positionV relativeFrom="paragraph">
                  <wp:posOffset>1135380</wp:posOffset>
                </wp:positionV>
                <wp:extent cx="6248400" cy="419100"/>
                <wp:effectExtent l="0" t="0" r="0" b="0"/>
                <wp:wrapNone/>
                <wp:docPr id="2" name="Text Box 2" descr="Data on Minnesota Exports for First Quarter 2020 – Published May 2020&#10;For More Information:  Eric Lightner, 651-259-7149&#10;"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C4A" w:rsidRPr="00B577E0" w:rsidRDefault="007F1C4A" w:rsidP="007F1C4A">
                            <w:pPr>
                              <w:pStyle w:val="NoSpacing"/>
                              <w:jc w:val="center"/>
                              <w:rPr>
                                <w:rStyle w:val="Emphasis"/>
                                <w:b/>
                              </w:rPr>
                            </w:pPr>
                            <w:r w:rsidRPr="00B577E0">
                              <w:rPr>
                                <w:rStyle w:val="Emphasis"/>
                                <w:b/>
                              </w:rPr>
                              <w:t>Dat</w:t>
                            </w:r>
                            <w:r w:rsidR="00B85149">
                              <w:rPr>
                                <w:rStyle w:val="Emphasis"/>
                                <w:b/>
                              </w:rPr>
                              <w:t>a</w:t>
                            </w:r>
                            <w:r w:rsidR="00370F35">
                              <w:rPr>
                                <w:rStyle w:val="Emphasis"/>
                                <w:b/>
                              </w:rPr>
                              <w:t xml:space="preserve"> on Minnesota Exports for First</w:t>
                            </w:r>
                            <w:r w:rsidR="007818E5">
                              <w:rPr>
                                <w:rStyle w:val="Emphasis"/>
                                <w:b/>
                              </w:rPr>
                              <w:t xml:space="preserve"> Quarter 2020</w:t>
                            </w:r>
                            <w:r w:rsidR="00A43E28">
                              <w:rPr>
                                <w:rStyle w:val="Emphasis"/>
                                <w:b/>
                              </w:rPr>
                              <w:t xml:space="preserve"> – Published </w:t>
                            </w:r>
                            <w:r w:rsidR="00370F35">
                              <w:rPr>
                                <w:rStyle w:val="Emphasis"/>
                                <w:b/>
                              </w:rPr>
                              <w:t>May</w:t>
                            </w:r>
                            <w:r w:rsidR="007818E5">
                              <w:rPr>
                                <w:rStyle w:val="Emphasis"/>
                                <w:b/>
                              </w:rPr>
                              <w:t xml:space="preserve"> 2020</w:t>
                            </w:r>
                          </w:p>
                          <w:p w:rsidR="007F1C4A" w:rsidRPr="00B577E0" w:rsidRDefault="007F1C4A" w:rsidP="007F1C4A">
                            <w:pPr>
                              <w:pStyle w:val="NoSpacing"/>
                              <w:jc w:val="center"/>
                              <w:rPr>
                                <w:rStyle w:val="Emphasis"/>
                                <w:b/>
                              </w:rPr>
                            </w:pPr>
                            <w:r>
                              <w:rPr>
                                <w:rStyle w:val="Emphasis"/>
                                <w:b/>
                              </w:rPr>
                              <w:t>For More Information</w:t>
                            </w:r>
                            <w:r w:rsidRPr="007818E5">
                              <w:rPr>
                                <w:rStyle w:val="Emphasis"/>
                              </w:rPr>
                              <w:t xml:space="preserve">: </w:t>
                            </w:r>
                            <w:r w:rsidR="00B7678B" w:rsidRPr="007818E5">
                              <w:rPr>
                                <w:rStyle w:val="Strong"/>
                                <w:i/>
                              </w:rPr>
                              <w:t xml:space="preserve">Eric </w:t>
                            </w:r>
                            <w:proofErr w:type="spellStart"/>
                            <w:r w:rsidR="00B7678B" w:rsidRPr="007818E5">
                              <w:rPr>
                                <w:rStyle w:val="Strong"/>
                                <w:i/>
                              </w:rPr>
                              <w:t>Lightner</w:t>
                            </w:r>
                            <w:proofErr w:type="spellEnd"/>
                            <w:r w:rsidR="00B7678B" w:rsidRPr="007818E5">
                              <w:rPr>
                                <w:rStyle w:val="Strong"/>
                                <w:i/>
                              </w:rPr>
                              <w:t>, 651-259-7149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460C3" id="_x0000_t202" coordsize="21600,21600" o:spt="202" path="m,l,21600r21600,l21600,xe">
                <v:stroke joinstyle="miter"/>
                <v:path gradientshapeok="t" o:connecttype="rect"/>
              </v:shapetype>
              <v:shape id="Text Box 2" o:spid="_x0000_s1026" type="#_x0000_t202" alt="Title: Text box - Description: Data on Minnesota Exports for First Quarter 2020 – Published May 2020&#10;For More Information:  Eric Lightner, 651-259-7149&#10;" style="position:absolute;left:0;text-align:left;margin-left:0;margin-top:89.4pt;width:492pt;height: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" filled="f" stroked="f">
                <v:textbox>
                  <w:txbxContent>
                    <w:p w:rsidR="007F1C4A" w:rsidRPr="00B577E0" w:rsidRDefault="007F1C4A" w:rsidP="007F1C4A">
                      <w:pPr>
                        <w:pStyle w:val="NoSpacing"/>
                        <w:jc w:val="center"/>
                        <w:rPr>
                          <w:rStyle w:val="Emphasis"/>
                          <w:b/>
                        </w:rPr>
                      </w:pPr>
                      <w:r w:rsidRPr="00B577E0">
                        <w:rPr>
                          <w:rStyle w:val="Emphasis"/>
                          <w:b/>
                        </w:rPr>
                        <w:t>Dat</w:t>
                      </w:r>
                      <w:r w:rsidR="00B85149">
                        <w:rPr>
                          <w:rStyle w:val="Emphasis"/>
                          <w:b/>
                        </w:rPr>
                        <w:t>a</w:t>
                      </w:r>
                      <w:r w:rsidR="00370F35">
                        <w:rPr>
                          <w:rStyle w:val="Emphasis"/>
                          <w:b/>
                        </w:rPr>
                        <w:t xml:space="preserve"> on Minnesota Exports for First</w:t>
                      </w:r>
                      <w:r w:rsidR="007818E5">
                        <w:rPr>
                          <w:rStyle w:val="Emphasis"/>
                          <w:b/>
                        </w:rPr>
                        <w:t xml:space="preserve"> Quarter 2020</w:t>
                      </w:r>
                      <w:r w:rsidR="00A43E28">
                        <w:rPr>
                          <w:rStyle w:val="Emphasis"/>
                          <w:b/>
                        </w:rPr>
                        <w:t xml:space="preserve"> – Published </w:t>
                      </w:r>
                      <w:r w:rsidR="00370F35">
                        <w:rPr>
                          <w:rStyle w:val="Emphasis"/>
                          <w:b/>
                        </w:rPr>
                        <w:t>May</w:t>
                      </w:r>
                      <w:r w:rsidR="007818E5">
                        <w:rPr>
                          <w:rStyle w:val="Emphasis"/>
                          <w:b/>
                        </w:rPr>
                        <w:t xml:space="preserve"> 2020</w:t>
                      </w:r>
                    </w:p>
                    <w:p w:rsidR="007F1C4A" w:rsidRPr="00B577E0" w:rsidRDefault="007F1C4A" w:rsidP="007F1C4A">
                      <w:pPr>
                        <w:pStyle w:val="NoSpacing"/>
                        <w:jc w:val="center"/>
                        <w:rPr>
                          <w:rStyle w:val="Emphasis"/>
                          <w:b/>
                        </w:rPr>
                      </w:pPr>
                      <w:r>
                        <w:rPr>
                          <w:rStyle w:val="Emphasis"/>
                          <w:b/>
                        </w:rPr>
                        <w:t>For More Information</w:t>
                      </w:r>
                      <w:r w:rsidRPr="007818E5">
                        <w:rPr>
                          <w:rStyle w:val="Emphasis"/>
                        </w:rPr>
                        <w:t xml:space="preserve">: </w:t>
                      </w:r>
                      <w:r w:rsidR="00B7678B" w:rsidRPr="007818E5">
                        <w:rPr>
                          <w:rStyle w:val="Strong"/>
                          <w:i/>
                        </w:rPr>
                        <w:t xml:space="preserve">Eric </w:t>
                      </w:r>
                      <w:proofErr w:type="spellStart"/>
                      <w:r w:rsidR="00B7678B" w:rsidRPr="007818E5">
                        <w:rPr>
                          <w:rStyle w:val="Strong"/>
                          <w:i/>
                        </w:rPr>
                        <w:t>Lightner</w:t>
                      </w:r>
                      <w:proofErr w:type="spellEnd"/>
                      <w:r w:rsidR="00B7678B" w:rsidRPr="007818E5">
                        <w:rPr>
                          <w:rStyle w:val="Strong"/>
                          <w:i/>
                        </w:rPr>
                        <w:t>, 651-259-7149</w:t>
                      </w:r>
                    </w:p>
                  </w:txbxContent>
                </v:textbox>
              </v:shape>
            </w:pict>
          </mc:Fallback>
        </mc:AlternateContent>
      </w:r>
      <w:r w:rsidR="00370F35" w:rsidRPr="00D80EB6">
        <w:rPr>
          <w:noProof/>
        </w:rPr>
        <w:drawing>
          <wp:inline distT="0" distB="0" distL="0" distR="0" wp14:anchorId="5E070FEA" wp14:editId="4FFA5A53">
            <wp:extent cx="6492240" cy="1136015"/>
            <wp:effectExtent l="0" t="0" r="3810" b="6985"/>
            <wp:docPr id="1" name="Picture 1" descr="Department of Employment and Economic Development.&#10;&#10;Text box below banner:&#10;Data on Minnesota Exports for First Quarter 2020 – Published May 2020&#10;For More Information:  Eric Lightner, 651-259-7149&#10;" title="Minnesota Export Statistics Title Banner: 1st Qu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ES Banner_1stQt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92240" cy="1136015"/>
                    </a:xfrm>
                    <a:prstGeom prst="rect">
                      <a:avLst/>
                    </a:prstGeom>
                  </pic:spPr>
                </pic:pic>
              </a:graphicData>
            </a:graphic>
          </wp:inline>
        </w:drawing>
      </w:r>
    </w:p>
    <w:p w:rsidR="00641D3B" w:rsidRPr="00D80EB6" w:rsidRDefault="007818E5" w:rsidP="00D3214A">
      <w:pPr>
        <w:pStyle w:val="Heading1"/>
        <w:spacing w:before="720"/>
        <w:rPr>
          <w:rFonts w:asciiTheme="minorHAnsi" w:hAnsiTheme="minorHAnsi"/>
          <w:color w:val="auto"/>
          <w:sz w:val="36"/>
          <w:szCs w:val="30"/>
        </w:rPr>
        <w:sectPr w:rsidR="00641D3B" w:rsidRPr="00D80EB6" w:rsidSect="00641D3B">
          <w:footnotePr>
            <w:numRestart w:val="eachSect"/>
          </w:footnotePr>
          <w:endnotePr>
            <w:numFmt w:val="decimal"/>
          </w:endnotePr>
          <w:type w:val="continuous"/>
          <w:pgSz w:w="12240" w:h="15840" w:code="1"/>
          <w:pgMar w:top="720" w:right="1008" w:bottom="547" w:left="1008" w:header="720" w:footer="720" w:gutter="0"/>
          <w:cols w:space="720"/>
          <w:titlePg/>
          <w:docGrid w:linePitch="272"/>
        </w:sectPr>
      </w:pPr>
      <w:r w:rsidRPr="00D80EB6">
        <w:rPr>
          <w:rFonts w:asciiTheme="minorHAnsi" w:hAnsiTheme="minorHAnsi"/>
          <w:color w:val="auto"/>
          <w:sz w:val="36"/>
          <w:szCs w:val="30"/>
        </w:rPr>
        <w:t xml:space="preserve">Exports Gain in </w:t>
      </w:r>
      <w:r w:rsidR="00C11B85" w:rsidRPr="00D80EB6">
        <w:rPr>
          <w:rFonts w:asciiTheme="minorHAnsi" w:hAnsiTheme="minorHAnsi"/>
          <w:color w:val="auto"/>
          <w:sz w:val="36"/>
          <w:szCs w:val="30"/>
        </w:rPr>
        <w:t>5</w:t>
      </w:r>
      <w:r w:rsidRPr="00D80EB6">
        <w:rPr>
          <w:rFonts w:asciiTheme="minorHAnsi" w:hAnsiTheme="minorHAnsi"/>
          <w:color w:val="auto"/>
          <w:sz w:val="36"/>
          <w:szCs w:val="30"/>
        </w:rPr>
        <w:t xml:space="preserve">% </w:t>
      </w:r>
      <w:r w:rsidR="00D02D91" w:rsidRPr="00D80EB6">
        <w:rPr>
          <w:rFonts w:asciiTheme="minorHAnsi" w:hAnsiTheme="minorHAnsi"/>
          <w:color w:val="auto"/>
          <w:sz w:val="36"/>
          <w:szCs w:val="30"/>
        </w:rPr>
        <w:t xml:space="preserve">in </w:t>
      </w:r>
      <w:r w:rsidR="00370F35" w:rsidRPr="00D80EB6">
        <w:rPr>
          <w:rFonts w:asciiTheme="minorHAnsi" w:hAnsiTheme="minorHAnsi"/>
          <w:color w:val="auto"/>
          <w:sz w:val="36"/>
          <w:szCs w:val="30"/>
        </w:rPr>
        <w:t>First</w:t>
      </w:r>
      <w:r w:rsidR="00D9773D" w:rsidRPr="00D80EB6">
        <w:rPr>
          <w:rFonts w:asciiTheme="minorHAnsi" w:hAnsiTheme="minorHAnsi"/>
          <w:color w:val="auto"/>
          <w:sz w:val="36"/>
          <w:szCs w:val="30"/>
        </w:rPr>
        <w:t xml:space="preserve"> Quarter</w:t>
      </w:r>
    </w:p>
    <w:p w:rsidR="00BB4344" w:rsidRPr="00D80EB6" w:rsidRDefault="007F1C4A" w:rsidP="00575F88">
      <w:pPr>
        <w:pStyle w:val="ListParagraph"/>
        <w:numPr>
          <w:ilvl w:val="0"/>
          <w:numId w:val="9"/>
        </w:numPr>
        <w:spacing w:after="0"/>
      </w:pPr>
      <w:r w:rsidRPr="00D80EB6">
        <w:t>Minnesota exports (including agricultural, mining and manufact</w:t>
      </w:r>
      <w:r w:rsidR="00A02A94" w:rsidRPr="00D80EB6">
        <w:t>ured products) wer</w:t>
      </w:r>
      <w:r w:rsidR="00E92FA6" w:rsidRPr="00D80EB6">
        <w:t>e valued at $</w:t>
      </w:r>
      <w:r w:rsidR="00530F70" w:rsidRPr="00D80EB6">
        <w:t xml:space="preserve">5.6 billion, increasing </w:t>
      </w:r>
      <w:r w:rsidR="00C057FE" w:rsidRPr="00D80EB6">
        <w:t>5</w:t>
      </w:r>
      <w:r w:rsidR="007818E5" w:rsidRPr="00D80EB6">
        <w:t>%</w:t>
      </w:r>
      <w:r w:rsidR="00B5144B" w:rsidRPr="00D80EB6">
        <w:t xml:space="preserve"> (or </w:t>
      </w:r>
      <w:r w:rsidR="000D18A9" w:rsidRPr="00D80EB6">
        <w:t xml:space="preserve">about </w:t>
      </w:r>
      <w:r w:rsidR="00B5144B" w:rsidRPr="00D80EB6">
        <w:t>$</w:t>
      </w:r>
      <w:r w:rsidR="007818E5" w:rsidRPr="00D80EB6">
        <w:t>278</w:t>
      </w:r>
      <w:r w:rsidRPr="00D80EB6">
        <w:t xml:space="preserve"> million) between the </w:t>
      </w:r>
      <w:r w:rsidR="00370F35" w:rsidRPr="00D80EB6">
        <w:t>first</w:t>
      </w:r>
      <w:r w:rsidRPr="00D80EB6">
        <w:t xml:space="preserve"> qu</w:t>
      </w:r>
      <w:r w:rsidR="00957BCF" w:rsidRPr="00D80EB6">
        <w:t xml:space="preserve">arters of </w:t>
      </w:r>
      <w:r w:rsidR="007818E5" w:rsidRPr="00D80EB6">
        <w:t>2019</w:t>
      </w:r>
      <w:r w:rsidR="00C057FE" w:rsidRPr="00D80EB6">
        <w:t xml:space="preserve"> and </w:t>
      </w:r>
      <w:r w:rsidR="007818E5" w:rsidRPr="00D80EB6">
        <w:t>2020</w:t>
      </w:r>
      <w:r w:rsidR="00B85149" w:rsidRPr="00D80EB6">
        <w:t xml:space="preserve">. </w:t>
      </w:r>
    </w:p>
    <w:p w:rsidR="006D7A33" w:rsidRPr="00D80EB6" w:rsidRDefault="00C97041" w:rsidP="006D7A33">
      <w:pPr>
        <w:pStyle w:val="ListParagraph"/>
        <w:numPr>
          <w:ilvl w:val="0"/>
          <w:numId w:val="9"/>
        </w:numPr>
        <w:spacing w:after="0"/>
      </w:pPr>
      <w:r w:rsidRPr="00D80EB6">
        <w:t>U.S. exports</w:t>
      </w:r>
      <w:r w:rsidR="00742415" w:rsidRPr="00D80EB6">
        <w:t xml:space="preserve"> of goods</w:t>
      </w:r>
      <w:r w:rsidR="001944CA" w:rsidRPr="00D80EB6">
        <w:t xml:space="preserve"> sl</w:t>
      </w:r>
      <w:r w:rsidR="000D1330">
        <w:t>i</w:t>
      </w:r>
      <w:r w:rsidRPr="00D80EB6">
        <w:t>d</w:t>
      </w:r>
      <w:r w:rsidR="00C057FE" w:rsidRPr="00D80EB6">
        <w:t xml:space="preserve"> </w:t>
      </w:r>
      <w:r w:rsidRPr="00D80EB6">
        <w:t>3</w:t>
      </w:r>
      <w:r w:rsidR="007818E5" w:rsidRPr="00D80EB6">
        <w:t>%</w:t>
      </w:r>
      <w:r w:rsidR="00521967" w:rsidRPr="00D80EB6">
        <w:t xml:space="preserve"> during this period.</w:t>
      </w:r>
      <w:r w:rsidR="00092FFB">
        <w:t xml:space="preserve"> Although e</w:t>
      </w:r>
      <w:r w:rsidR="00716311">
        <w:t xml:space="preserve">xports </w:t>
      </w:r>
      <w:r w:rsidR="00092FFB">
        <w:t xml:space="preserve">dropped </w:t>
      </w:r>
      <w:r w:rsidR="0088063C">
        <w:t>f</w:t>
      </w:r>
      <w:r w:rsidR="00582DC9">
        <w:t>r</w:t>
      </w:r>
      <w:r w:rsidR="0088063C">
        <w:t>om</w:t>
      </w:r>
      <w:r w:rsidR="00092FFB">
        <w:t xml:space="preserve"> 24 states, they grew or </w:t>
      </w:r>
      <w:r w:rsidR="00716311">
        <w:t xml:space="preserve">were unchanged </w:t>
      </w:r>
      <w:r w:rsidR="00092FFB">
        <w:t>for the remaining states and the District of Columbia</w:t>
      </w:r>
      <w:r w:rsidR="00716311">
        <w:t>.</w:t>
      </w:r>
    </w:p>
    <w:p w:rsidR="006D7A33" w:rsidRPr="00D80EB6" w:rsidRDefault="00692D3B" w:rsidP="006D7A33">
      <w:pPr>
        <w:pStyle w:val="ListParagraph"/>
        <w:numPr>
          <w:ilvl w:val="0"/>
          <w:numId w:val="9"/>
        </w:numPr>
        <w:spacing w:after="0"/>
      </w:pPr>
      <w:r w:rsidRPr="00D80EB6">
        <w:t xml:space="preserve">Minnesota </w:t>
      </w:r>
      <w:r w:rsidRPr="00D80EB6">
        <w:rPr>
          <w:i/>
        </w:rPr>
        <w:t>manufactured</w:t>
      </w:r>
      <w:r w:rsidR="001F7EBF" w:rsidRPr="00D80EB6">
        <w:t xml:space="preserve"> exports</w:t>
      </w:r>
      <w:r w:rsidR="00C97041" w:rsidRPr="00D80EB6">
        <w:t xml:space="preserve"> jumped </w:t>
      </w:r>
      <w:r w:rsidR="00C11B85" w:rsidRPr="00D80EB6">
        <w:t>6</w:t>
      </w:r>
      <w:r w:rsidR="00742415" w:rsidRPr="00D80EB6">
        <w:t>%</w:t>
      </w:r>
      <w:r w:rsidR="00C97041" w:rsidRPr="00D80EB6">
        <w:t xml:space="preserve"> to </w:t>
      </w:r>
      <w:r w:rsidR="004A3CC9" w:rsidRPr="00D80EB6">
        <w:t>$5</w:t>
      </w:r>
      <w:r w:rsidR="00C11B85" w:rsidRPr="00D80EB6">
        <w:t>.5</w:t>
      </w:r>
      <w:r w:rsidR="004A3CC9" w:rsidRPr="00D80EB6">
        <w:t xml:space="preserve"> billion</w:t>
      </w:r>
      <w:r w:rsidRPr="00D80EB6">
        <w:t xml:space="preserve"> </w:t>
      </w:r>
      <w:r w:rsidR="007F1C4A" w:rsidRPr="00D80EB6">
        <w:t xml:space="preserve">in the </w:t>
      </w:r>
      <w:r w:rsidR="00332B6B" w:rsidRPr="00D80EB6">
        <w:t>first</w:t>
      </w:r>
      <w:r w:rsidR="007F1C4A" w:rsidRPr="00D80EB6">
        <w:t xml:space="preserve"> quarter of </w:t>
      </w:r>
      <w:r w:rsidR="007818E5" w:rsidRPr="00D80EB6">
        <w:t>2020</w:t>
      </w:r>
      <w:r w:rsidR="00742415" w:rsidRPr="00D80EB6">
        <w:t xml:space="preserve">, while </w:t>
      </w:r>
      <w:r w:rsidR="00E42787" w:rsidRPr="00D80EB6">
        <w:t>U.S</w:t>
      </w:r>
      <w:r w:rsidR="00742415" w:rsidRPr="00D80EB6">
        <w:t xml:space="preserve">. manufactured exports </w:t>
      </w:r>
      <w:r w:rsidR="001944CA" w:rsidRPr="00D80EB6">
        <w:t>dipp</w:t>
      </w:r>
      <w:r w:rsidR="00C11B85" w:rsidRPr="00D80EB6">
        <w:t>ed 5</w:t>
      </w:r>
      <w:r w:rsidR="007818E5" w:rsidRPr="00D80EB6">
        <w:t>%</w:t>
      </w:r>
      <w:r w:rsidR="00557377" w:rsidRPr="00D80EB6">
        <w:t>.</w:t>
      </w:r>
    </w:p>
    <w:p w:rsidR="007F1C4A" w:rsidRPr="00D80EB6" w:rsidRDefault="007F1C4A" w:rsidP="006D7A33">
      <w:pPr>
        <w:spacing w:after="0"/>
        <w:rPr>
          <w:rStyle w:val="Heading4Char"/>
          <w:rFonts w:eastAsiaTheme="minorEastAsia" w:cstheme="minorBidi"/>
          <w:bCs w:val="0"/>
          <w:i w:val="0"/>
          <w:iCs w:val="0"/>
          <w:color w:val="auto"/>
          <w:sz w:val="22"/>
        </w:rPr>
      </w:pPr>
      <w:r w:rsidRPr="00D80EB6">
        <w:rPr>
          <w:rStyle w:val="Heading4Char"/>
          <w:color w:val="auto"/>
        </w:rPr>
        <w:t xml:space="preserve">Figure </w:t>
      </w:r>
      <w:r w:rsidRPr="00D80EB6">
        <w:rPr>
          <w:rStyle w:val="Heading4Char"/>
          <w:color w:val="auto"/>
        </w:rPr>
        <w:fldChar w:fldCharType="begin"/>
      </w:r>
      <w:r w:rsidRPr="00D80EB6">
        <w:rPr>
          <w:rStyle w:val="Heading4Char"/>
          <w:color w:val="auto"/>
        </w:rPr>
        <w:instrText xml:space="preserve"> SEQ Figure \* ARABIC </w:instrText>
      </w:r>
      <w:r w:rsidRPr="00D80EB6">
        <w:rPr>
          <w:rStyle w:val="Heading4Char"/>
          <w:color w:val="auto"/>
        </w:rPr>
        <w:fldChar w:fldCharType="separate"/>
      </w:r>
      <w:r w:rsidR="00900302" w:rsidRPr="00D80EB6">
        <w:rPr>
          <w:rStyle w:val="Heading4Char"/>
          <w:noProof/>
          <w:color w:val="auto"/>
        </w:rPr>
        <w:t>1</w:t>
      </w:r>
      <w:r w:rsidRPr="00D80EB6">
        <w:rPr>
          <w:rStyle w:val="Heading4Char"/>
          <w:color w:val="auto"/>
        </w:rPr>
        <w:fldChar w:fldCharType="end"/>
      </w:r>
      <w:r w:rsidR="00A52415" w:rsidRPr="00D80EB6">
        <w:rPr>
          <w:rStyle w:val="Heading4Char"/>
          <w:b/>
          <w:color w:val="auto"/>
        </w:rPr>
        <w:t xml:space="preserve">. </w:t>
      </w:r>
      <w:r w:rsidR="00692D3B" w:rsidRPr="00D80EB6">
        <w:rPr>
          <w:rStyle w:val="Heading4Char"/>
          <w:color w:val="auto"/>
        </w:rPr>
        <w:t>Export</w:t>
      </w:r>
      <w:r w:rsidR="00061093" w:rsidRPr="00D80EB6">
        <w:rPr>
          <w:rStyle w:val="Heading4Char"/>
          <w:color w:val="auto"/>
        </w:rPr>
        <w:t>s</w:t>
      </w:r>
      <w:r w:rsidR="009B70F4" w:rsidRPr="00D80EB6">
        <w:rPr>
          <w:rStyle w:val="Heading4Char"/>
          <w:color w:val="auto"/>
        </w:rPr>
        <w:t xml:space="preserve"> Up</w:t>
      </w:r>
      <w:r w:rsidR="00293DCF" w:rsidRPr="00D80EB6">
        <w:rPr>
          <w:rStyle w:val="Heading4Char"/>
          <w:color w:val="auto"/>
        </w:rPr>
        <w:t xml:space="preserve"> in 21</w:t>
      </w:r>
      <w:r w:rsidR="00C057FE" w:rsidRPr="00D80EB6">
        <w:rPr>
          <w:rStyle w:val="Heading4Char"/>
          <w:color w:val="auto"/>
        </w:rPr>
        <w:t xml:space="preserve"> </w:t>
      </w:r>
      <w:r w:rsidRPr="00D80EB6">
        <w:rPr>
          <w:rStyle w:val="Heading4Char"/>
          <w:color w:val="auto"/>
        </w:rPr>
        <w:t>State</w:t>
      </w:r>
      <w:r w:rsidR="00C057FE" w:rsidRPr="00D80EB6">
        <w:rPr>
          <w:rStyle w:val="Heading4Char"/>
          <w:color w:val="auto"/>
        </w:rPr>
        <w:t>s</w:t>
      </w:r>
      <w:r w:rsidR="009B70F4" w:rsidRPr="00D80EB6">
        <w:rPr>
          <w:rStyle w:val="Heading4Char"/>
          <w:color w:val="auto"/>
        </w:rPr>
        <w:t>;</w:t>
      </w:r>
      <w:r w:rsidR="00521967" w:rsidRPr="00D80EB6">
        <w:rPr>
          <w:rStyle w:val="Heading4Char"/>
          <w:color w:val="auto"/>
        </w:rPr>
        <w:t xml:space="preserve"> </w:t>
      </w:r>
      <w:r w:rsidR="009B70F4" w:rsidRPr="00D80EB6">
        <w:rPr>
          <w:rStyle w:val="Heading4Char"/>
          <w:color w:val="auto"/>
        </w:rPr>
        <w:t>Flat in 6 States,</w:t>
      </w:r>
      <w:r w:rsidR="00293DCF" w:rsidRPr="00D80EB6">
        <w:rPr>
          <w:rStyle w:val="Heading4Char"/>
          <w:color w:val="auto"/>
        </w:rPr>
        <w:t xml:space="preserve"> </w:t>
      </w:r>
      <w:r w:rsidR="00521967" w:rsidRPr="00D80EB6">
        <w:rPr>
          <w:rStyle w:val="Heading4Char"/>
          <w:color w:val="auto"/>
        </w:rPr>
        <w:t>DC</w:t>
      </w:r>
    </w:p>
    <w:p w:rsidR="007F1C4A" w:rsidRPr="00D80EB6" w:rsidRDefault="007F1C4A" w:rsidP="007F1C4A">
      <w:pPr>
        <w:spacing w:after="0"/>
      </w:pPr>
      <w:r w:rsidRPr="00D80EB6">
        <w:rPr>
          <w:noProof/>
        </w:rPr>
        <mc:AlternateContent>
          <mc:Choice Requires="wps">
            <w:drawing>
              <wp:anchor distT="0" distB="0" distL="114300" distR="114300" simplePos="0" relativeHeight="251658752" behindDoc="0" locked="0" layoutInCell="1" allowOverlap="1" wp14:anchorId="0DFC12E1" wp14:editId="1A6D057A">
                <wp:simplePos x="0" y="0"/>
                <wp:positionH relativeFrom="column">
                  <wp:posOffset>2479675</wp:posOffset>
                </wp:positionH>
                <wp:positionV relativeFrom="paragraph">
                  <wp:posOffset>1318895</wp:posOffset>
                </wp:positionV>
                <wp:extent cx="711200" cy="425450"/>
                <wp:effectExtent l="0" t="0" r="0" b="0"/>
                <wp:wrapNone/>
                <wp:docPr id="307" name="Text Box 2" descr="MN:  +5%&#10;U.S.: -3%&#10;" title="highlight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425450"/>
                        </a:xfrm>
                        <a:prstGeom prst="rect">
                          <a:avLst/>
                        </a:prstGeom>
                        <a:noFill/>
                        <a:ln w="9525">
                          <a:noFill/>
                          <a:miter lim="800000"/>
                          <a:headEnd/>
                          <a:tailEnd/>
                        </a:ln>
                      </wps:spPr>
                      <wps:txbx>
                        <w:txbxContent>
                          <w:p w:rsidR="007F1C4A" w:rsidRPr="0088063C" w:rsidRDefault="007F1C4A" w:rsidP="007F1C4A">
                            <w:pPr>
                              <w:spacing w:after="0"/>
                              <w:rPr>
                                <w:b/>
                                <w:i/>
                                <w:sz w:val="20"/>
                              </w:rPr>
                            </w:pPr>
                            <w:r w:rsidRPr="0088063C">
                              <w:rPr>
                                <w:b/>
                                <w:i/>
                                <w:sz w:val="20"/>
                              </w:rPr>
                              <w:t>MN:  +</w:t>
                            </w:r>
                            <w:r w:rsidR="00293DCF" w:rsidRPr="0088063C">
                              <w:rPr>
                                <w:b/>
                                <w:i/>
                                <w:sz w:val="20"/>
                              </w:rPr>
                              <w:t>5</w:t>
                            </w:r>
                            <w:r w:rsidRPr="0088063C">
                              <w:rPr>
                                <w:b/>
                                <w:i/>
                                <w:sz w:val="20"/>
                              </w:rPr>
                              <w:t>%</w:t>
                            </w:r>
                          </w:p>
                          <w:p w:rsidR="007F1C4A" w:rsidRPr="0088063C" w:rsidRDefault="00293DCF" w:rsidP="007F1C4A">
                            <w:pPr>
                              <w:spacing w:after="0"/>
                              <w:rPr>
                                <w:b/>
                                <w:i/>
                                <w:sz w:val="20"/>
                              </w:rPr>
                            </w:pPr>
                            <w:r w:rsidRPr="0088063C">
                              <w:rPr>
                                <w:b/>
                                <w:i/>
                                <w:sz w:val="20"/>
                              </w:rPr>
                              <w:t>U.S.: -3</w:t>
                            </w:r>
                            <w:r w:rsidR="007F1C4A" w:rsidRPr="0088063C">
                              <w:rPr>
                                <w:b/>
                                <w:i/>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FC12E1" id="_x0000_t202" coordsize="21600,21600" o:spt="202" path="m,l,21600r21600,l21600,xe">
                <v:stroke joinstyle="miter"/>
                <v:path gradientshapeok="t" o:connecttype="rect"/>
              </v:shapetype>
              <v:shape id="_x0000_s1027" type="#_x0000_t202" alt="Title: highlight text box - Description: MN:  +5%&#10;U.S.: -3%&#10;" style="position:absolute;margin-left:195.25pt;margin-top:103.85pt;width:56pt;height: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" filled="f" stroked="f">
                <v:textbox>
                  <w:txbxContent>
                    <w:p w:rsidR="007F1C4A" w:rsidRPr="0088063C" w:rsidRDefault="007F1C4A" w:rsidP="007F1C4A">
                      <w:pPr>
                        <w:spacing w:after="0"/>
                        <w:rPr>
                          <w:b/>
                          <w:i/>
                          <w:sz w:val="20"/>
                        </w:rPr>
                      </w:pPr>
                      <w:r w:rsidRPr="0088063C">
                        <w:rPr>
                          <w:b/>
                          <w:i/>
                          <w:sz w:val="20"/>
                        </w:rPr>
                        <w:t>MN:  +</w:t>
                      </w:r>
                      <w:r w:rsidR="00293DCF" w:rsidRPr="0088063C">
                        <w:rPr>
                          <w:b/>
                          <w:i/>
                          <w:sz w:val="20"/>
                        </w:rPr>
                        <w:t>5</w:t>
                      </w:r>
                      <w:r w:rsidRPr="0088063C">
                        <w:rPr>
                          <w:b/>
                          <w:i/>
                          <w:sz w:val="20"/>
                        </w:rPr>
                        <w:t>%</w:t>
                      </w:r>
                    </w:p>
                    <w:p w:rsidR="007F1C4A" w:rsidRPr="0088063C" w:rsidRDefault="00293DCF" w:rsidP="007F1C4A">
                      <w:pPr>
                        <w:spacing w:after="0"/>
                        <w:rPr>
                          <w:b/>
                          <w:i/>
                          <w:sz w:val="20"/>
                        </w:rPr>
                      </w:pPr>
                      <w:r w:rsidRPr="0088063C">
                        <w:rPr>
                          <w:b/>
                          <w:i/>
                          <w:sz w:val="20"/>
                        </w:rPr>
                        <w:t>U.S.: -3</w:t>
                      </w:r>
                      <w:r w:rsidR="007F1C4A" w:rsidRPr="0088063C">
                        <w:rPr>
                          <w:b/>
                          <w:i/>
                          <w:sz w:val="20"/>
                        </w:rPr>
                        <w:t>%</w:t>
                      </w:r>
                    </w:p>
                  </w:txbxContent>
                </v:textbox>
              </v:shape>
            </w:pict>
          </mc:Fallback>
        </mc:AlternateContent>
      </w:r>
      <w:r w:rsidRPr="00D80EB6">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00293DCF" w:rsidRPr="00D80EB6">
        <w:rPr>
          <w:rFonts w:ascii="Times New Roman" w:eastAsia="Times New Roman" w:hAnsi="Times New Roman" w:cs="Times New Roman"/>
          <w:noProof/>
          <w:snapToGrid w:val="0"/>
          <w:w w:val="0"/>
          <w:sz w:val="0"/>
          <w:szCs w:val="0"/>
          <w:u w:color="000000"/>
          <w:bdr w:val="none" w:sz="0" w:space="0" w:color="000000"/>
          <w:shd w:val="clear" w:color="000000" w:fill="000000"/>
        </w:rPr>
        <w:drawing>
          <wp:inline distT="0" distB="0" distL="0" distR="0">
            <wp:extent cx="2885910" cy="1584960"/>
            <wp:effectExtent l="0" t="0" r="0" b="0"/>
            <wp:docPr id="9" name="Picture 9" descr="State Percent Change, 2019-Q1 to 2020--Q1&#10;MN 5%&#10;US -3%&#10;AL 8%&#10;AK 8%&#10;AR 4%&#10;AZ -7%&#10;CA -6%&#10;CO 29%&#10;CT -5%&#10;DC 0%&#10;DE -13%&#10;FL -2%&#10;GA 0%&#10;HI -23%&#10;IA -4%&#10;ID -25%&#10;IL -7%&#10;IN -3%&#10;KS 6%&#10;KY -2%&#10;LA 3%&#10;MA -2%&#10;MD 6%&#10;ME 4%&#10;MI -9%&#10;MO -6%&#10;MS 6%&#10;MT -6%&#10;NC -15%&#10;ND 12%&#10;NE -4%&#10;NH 6%&#10;NJ 8%&#10;NM 7%&#10;NV 29%&#10;NY -17%&#10;OH -3%&#10;OK 3%&#10;OR 0%&#10;PA -9%&#10;RI 13%&#10;SC 2%&#10;SD 23%&#10;TN -3%&#10;TX 5%&#10;UT 0%&#10;VA 0%&#10;VT -24%&#10;WA -35%&#10;WI 0%&#10;WV -18%&#10;WY 12%&#10;"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okim\Work from home files\wfh files_Main\Tableau, Viz\MTO Tableau files\Export Stats Reports\Newsletter &amp; Fact Sheet charts\2020-Q1 US Map.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406" t="13394" r="5078" b="17261"/>
                    <a:stretch/>
                  </pic:blipFill>
                  <pic:spPr bwMode="auto">
                    <a:xfrm>
                      <a:off x="0" y="0"/>
                      <a:ext cx="2887194" cy="1585665"/>
                    </a:xfrm>
                    <a:prstGeom prst="rect">
                      <a:avLst/>
                    </a:prstGeom>
                    <a:noFill/>
                    <a:ln>
                      <a:noFill/>
                    </a:ln>
                    <a:extLst>
                      <a:ext uri="{53640926-AAD7-44D8-BBD7-CCE9431645EC}">
                        <a14:shadowObscured xmlns:a14="http://schemas.microsoft.com/office/drawing/2010/main"/>
                      </a:ext>
                    </a:extLst>
                  </pic:spPr>
                </pic:pic>
              </a:graphicData>
            </a:graphic>
          </wp:inline>
        </w:drawing>
      </w:r>
    </w:p>
    <w:p w:rsidR="007F1C4A" w:rsidRPr="00D80EB6" w:rsidRDefault="007F1C4A" w:rsidP="007F1C4A">
      <w:pPr>
        <w:spacing w:after="0"/>
        <w:rPr>
          <w:i/>
          <w:sz w:val="18"/>
        </w:rPr>
      </w:pPr>
      <w:r w:rsidRPr="00D80EB6">
        <w:rPr>
          <w:i/>
          <w:sz w:val="18"/>
        </w:rPr>
        <w:t xml:space="preserve"> Decline     0%   Growth</w:t>
      </w:r>
    </w:p>
    <w:p w:rsidR="00BE4DAD" w:rsidRPr="00D80EB6" w:rsidRDefault="00A52415" w:rsidP="00173D78">
      <w:pPr>
        <w:spacing w:after="0"/>
        <w:rPr>
          <w:rFonts w:ascii="Arial Narrow" w:hAnsi="Arial Narrow"/>
          <w:sz w:val="2"/>
          <w:szCs w:val="2"/>
        </w:rPr>
        <w:sectPr w:rsidR="00BE4DAD" w:rsidRPr="00D80EB6" w:rsidSect="007F1C4A">
          <w:footnotePr>
            <w:numRestart w:val="eachSect"/>
          </w:footnotePr>
          <w:endnotePr>
            <w:numFmt w:val="decimal"/>
          </w:endnotePr>
          <w:type w:val="continuous"/>
          <w:pgSz w:w="12240" w:h="15840" w:code="1"/>
          <w:pgMar w:top="720" w:right="720" w:bottom="720" w:left="990" w:header="720" w:footer="720" w:gutter="0"/>
          <w:cols w:num="2" w:space="360"/>
          <w:titlePg/>
          <w:docGrid w:linePitch="299"/>
        </w:sectPr>
      </w:pPr>
      <w:r w:rsidRPr="00D80EB6">
        <w:rPr>
          <w:rFonts w:ascii="Arial Narrow" w:hAnsi="Arial Narrow"/>
          <w:noProof/>
          <w:sz w:val="2"/>
          <w:szCs w:val="2"/>
        </w:rPr>
        <w:drawing>
          <wp:inline distT="0" distB="0" distL="0" distR="0">
            <wp:extent cx="1066800" cy="152400"/>
            <wp:effectExtent l="0" t="0" r="0" b="0"/>
            <wp:docPr id="7" name="Picture 7" descr="S:\Groups\CARD\AEO\Thu-Mai\Tableau, Viz\MTO Tableau files\Export Stats Reports\Newsletter &amp; Fact Sheet charts\2018-Q4 USMap_leg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roups\CARD\AEO\Thu-Mai\Tableau, Viz\MTO Tableau files\Export Stats Reports\Newsletter &amp; Fact Sheet charts\2018-Q4 USMap_legend.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41379" b="24138"/>
                    <a:stretch/>
                  </pic:blipFill>
                  <pic:spPr bwMode="auto">
                    <a:xfrm>
                      <a:off x="0" y="0"/>
                      <a:ext cx="1066800" cy="152400"/>
                    </a:xfrm>
                    <a:prstGeom prst="rect">
                      <a:avLst/>
                    </a:prstGeom>
                    <a:noFill/>
                    <a:ln>
                      <a:noFill/>
                    </a:ln>
                    <a:extLst>
                      <a:ext uri="{53640926-AAD7-44D8-BBD7-CCE9431645EC}">
                        <a14:shadowObscured xmlns:a14="http://schemas.microsoft.com/office/drawing/2010/main"/>
                      </a:ext>
                    </a:extLst>
                  </pic:spPr>
                </pic:pic>
              </a:graphicData>
            </a:graphic>
          </wp:inline>
        </w:drawing>
      </w:r>
    </w:p>
    <w:p w:rsidR="00E83789" w:rsidRPr="00D80EB6" w:rsidRDefault="00652A9D" w:rsidP="00D3214A">
      <w:pPr>
        <w:pStyle w:val="Heading2"/>
        <w:spacing w:before="120"/>
        <w:rPr>
          <w:rFonts w:asciiTheme="minorHAnsi" w:hAnsiTheme="minorHAnsi"/>
          <w:b w:val="0"/>
          <w:i/>
          <w:color w:val="auto"/>
          <w:sz w:val="28"/>
        </w:rPr>
      </w:pPr>
      <w:r>
        <w:rPr>
          <w:rFonts w:asciiTheme="minorHAnsi" w:hAnsiTheme="minorHAnsi"/>
          <w:b w:val="0"/>
          <w:i/>
          <w:color w:val="auto"/>
          <w:sz w:val="28"/>
        </w:rPr>
        <w:t>Canada and Markets in</w:t>
      </w:r>
      <w:r w:rsidR="008F1D37" w:rsidRPr="00D80EB6">
        <w:rPr>
          <w:rFonts w:asciiTheme="minorHAnsi" w:hAnsiTheme="minorHAnsi"/>
          <w:b w:val="0"/>
          <w:i/>
          <w:color w:val="auto"/>
          <w:sz w:val="28"/>
        </w:rPr>
        <w:t xml:space="preserve"> </w:t>
      </w:r>
      <w:r w:rsidR="001A7229" w:rsidRPr="00D80EB6">
        <w:rPr>
          <w:rFonts w:asciiTheme="minorHAnsi" w:hAnsiTheme="minorHAnsi"/>
          <w:b w:val="0"/>
          <w:i/>
          <w:color w:val="auto"/>
          <w:sz w:val="28"/>
        </w:rPr>
        <w:t xml:space="preserve">Asia and Latin America </w:t>
      </w:r>
      <w:r w:rsidR="008F1D37" w:rsidRPr="00D80EB6">
        <w:rPr>
          <w:rFonts w:asciiTheme="minorHAnsi" w:hAnsiTheme="minorHAnsi"/>
          <w:b w:val="0"/>
          <w:i/>
          <w:color w:val="auto"/>
          <w:sz w:val="28"/>
        </w:rPr>
        <w:t>H</w:t>
      </w:r>
      <w:r w:rsidR="001A7229" w:rsidRPr="00D80EB6">
        <w:rPr>
          <w:rFonts w:asciiTheme="minorHAnsi" w:hAnsiTheme="minorHAnsi"/>
          <w:b w:val="0"/>
          <w:i/>
          <w:color w:val="auto"/>
          <w:sz w:val="28"/>
        </w:rPr>
        <w:t xml:space="preserve">elp Bolster </w:t>
      </w:r>
      <w:r w:rsidR="008F1D37" w:rsidRPr="00D80EB6">
        <w:rPr>
          <w:rFonts w:asciiTheme="minorHAnsi" w:hAnsiTheme="minorHAnsi"/>
          <w:b w:val="0"/>
          <w:i/>
          <w:color w:val="auto"/>
          <w:sz w:val="28"/>
        </w:rPr>
        <w:t xml:space="preserve">Minnesota </w:t>
      </w:r>
      <w:r w:rsidR="001A7229" w:rsidRPr="00D80EB6">
        <w:rPr>
          <w:rFonts w:asciiTheme="minorHAnsi" w:hAnsiTheme="minorHAnsi"/>
          <w:b w:val="0"/>
          <w:i/>
          <w:color w:val="auto"/>
          <w:sz w:val="28"/>
        </w:rPr>
        <w:t>Exports</w:t>
      </w:r>
    </w:p>
    <w:p w:rsidR="00B12C14" w:rsidRPr="00D80EB6" w:rsidRDefault="00B12C14" w:rsidP="00652A9D">
      <w:pPr>
        <w:pStyle w:val="ListParagraph"/>
        <w:numPr>
          <w:ilvl w:val="0"/>
          <w:numId w:val="10"/>
        </w:numPr>
      </w:pPr>
      <w:r w:rsidRPr="00D80EB6">
        <w:rPr>
          <w:b/>
        </w:rPr>
        <w:t>North America</w:t>
      </w:r>
      <w:r w:rsidR="00BE7990" w:rsidRPr="00D80EB6">
        <w:rPr>
          <w:b/>
        </w:rPr>
        <w:t>n</w:t>
      </w:r>
      <w:r w:rsidR="00A10DF8" w:rsidRPr="00D80EB6">
        <w:t xml:space="preserve"> </w:t>
      </w:r>
      <w:r w:rsidR="00BE7990" w:rsidRPr="00D80EB6">
        <w:t xml:space="preserve">exports </w:t>
      </w:r>
      <w:r w:rsidR="00950233" w:rsidRPr="00D80EB6">
        <w:t>surg</w:t>
      </w:r>
      <w:r w:rsidR="00A10DF8" w:rsidRPr="00D80EB6">
        <w:t>ed</w:t>
      </w:r>
      <w:r w:rsidR="006339F5" w:rsidRPr="00D80EB6">
        <w:t xml:space="preserve"> </w:t>
      </w:r>
      <w:r w:rsidR="00267778" w:rsidRPr="00D80EB6">
        <w:t>21</w:t>
      </w:r>
      <w:r w:rsidR="007818E5" w:rsidRPr="00D80EB6">
        <w:t>%</w:t>
      </w:r>
      <w:r w:rsidR="009B70F4" w:rsidRPr="00D80EB6">
        <w:t>. Export growth of 43%</w:t>
      </w:r>
      <w:r w:rsidR="005E4CC6" w:rsidRPr="00D80EB6">
        <w:t xml:space="preserve"> </w:t>
      </w:r>
      <w:r w:rsidR="00D4777B" w:rsidRPr="00D80EB6">
        <w:t xml:space="preserve">to </w:t>
      </w:r>
      <w:r w:rsidR="00AE1B54" w:rsidRPr="00D80EB6">
        <w:rPr>
          <w:b/>
        </w:rPr>
        <w:t>Canada</w:t>
      </w:r>
      <w:r w:rsidR="00E45817" w:rsidRPr="00D80EB6">
        <w:rPr>
          <w:b/>
        </w:rPr>
        <w:t xml:space="preserve"> </w:t>
      </w:r>
      <w:r w:rsidR="00BE7990" w:rsidRPr="00D80EB6">
        <w:t xml:space="preserve">– </w:t>
      </w:r>
      <w:r w:rsidR="00B734C3" w:rsidRPr="00D80EB6">
        <w:t xml:space="preserve">primarily due to </w:t>
      </w:r>
      <w:r w:rsidR="00B734C3" w:rsidRPr="00D80EB6">
        <w:rPr>
          <w:b/>
        </w:rPr>
        <w:t>mineral fuel</w:t>
      </w:r>
      <w:r w:rsidR="00A10DF8" w:rsidRPr="00D80EB6">
        <w:rPr>
          <w:b/>
        </w:rPr>
        <w:t>s</w:t>
      </w:r>
      <w:r w:rsidR="00A10DF8" w:rsidRPr="00D80EB6">
        <w:t xml:space="preserve"> – overshadowed</w:t>
      </w:r>
      <w:r w:rsidR="00216C2D" w:rsidRPr="00D80EB6">
        <w:t xml:space="preserve"> </w:t>
      </w:r>
      <w:r w:rsidR="009B70F4" w:rsidRPr="00D80EB6">
        <w:t>a</w:t>
      </w:r>
      <w:r w:rsidR="00A10DF8" w:rsidRPr="00D80EB6">
        <w:t xml:space="preserve"> 15% decline </w:t>
      </w:r>
      <w:r w:rsidR="00216C2D" w:rsidRPr="00D80EB6">
        <w:t>to</w:t>
      </w:r>
      <w:r w:rsidR="00267778" w:rsidRPr="00D80EB6">
        <w:t xml:space="preserve"> </w:t>
      </w:r>
      <w:r w:rsidR="00267778" w:rsidRPr="00D80EB6">
        <w:rPr>
          <w:b/>
        </w:rPr>
        <w:t>Mexico</w:t>
      </w:r>
      <w:r w:rsidR="00652A9D">
        <w:t xml:space="preserve"> – as</w:t>
      </w:r>
      <w:r w:rsidR="00B734C3" w:rsidRPr="00D80EB6">
        <w:t xml:space="preserve"> sales of </w:t>
      </w:r>
      <w:r w:rsidR="00B734C3" w:rsidRPr="00652A9D">
        <w:rPr>
          <w:b/>
        </w:rPr>
        <w:t>machinery,</w:t>
      </w:r>
      <w:r w:rsidR="00B734C3" w:rsidRPr="00D80EB6">
        <w:t xml:space="preserve"> </w:t>
      </w:r>
      <w:r w:rsidR="00B734C3" w:rsidRPr="00652A9D">
        <w:rPr>
          <w:b/>
        </w:rPr>
        <w:t xml:space="preserve">iron/steel </w:t>
      </w:r>
      <w:r w:rsidR="00B734C3" w:rsidRPr="00D80EB6">
        <w:t>goods</w:t>
      </w:r>
      <w:r w:rsidR="00A10DF8" w:rsidRPr="00D80EB6">
        <w:t xml:space="preserve"> and </w:t>
      </w:r>
      <w:r w:rsidR="00A10DF8" w:rsidRPr="00652A9D">
        <w:rPr>
          <w:b/>
        </w:rPr>
        <w:t>plastics</w:t>
      </w:r>
      <w:r w:rsidR="00652A9D">
        <w:t xml:space="preserve"> </w:t>
      </w:r>
      <w:r w:rsidR="007F79B4" w:rsidRPr="00D80EB6">
        <w:t>s</w:t>
      </w:r>
      <w:r w:rsidR="00A10DF8" w:rsidRPr="00D80EB6">
        <w:t>ank</w:t>
      </w:r>
      <w:r w:rsidR="001C1A15" w:rsidRPr="00D80EB6">
        <w:t>.</w:t>
      </w:r>
    </w:p>
    <w:p w:rsidR="00606AB0" w:rsidRPr="00D80EB6" w:rsidRDefault="00716311" w:rsidP="00606AB0">
      <w:pPr>
        <w:pStyle w:val="ListParagraph"/>
        <w:numPr>
          <w:ilvl w:val="0"/>
          <w:numId w:val="10"/>
        </w:numPr>
      </w:pPr>
      <w:r>
        <w:t>Exports increased</w:t>
      </w:r>
      <w:r w:rsidR="00B734C3" w:rsidRPr="00D80EB6">
        <w:t xml:space="preserve"> </w:t>
      </w:r>
      <w:r w:rsidR="00AB2FDC" w:rsidRPr="00D80EB6">
        <w:t>moderate</w:t>
      </w:r>
      <w:r w:rsidR="00B734C3" w:rsidRPr="00D80EB6">
        <w:t>ly</w:t>
      </w:r>
      <w:r w:rsidR="00AB2FDC" w:rsidRPr="00D80EB6">
        <w:t xml:space="preserve"> </w:t>
      </w:r>
      <w:r w:rsidR="00743C00">
        <w:t>by</w:t>
      </w:r>
      <w:r w:rsidR="00B734C3" w:rsidRPr="00D80EB6">
        <w:t xml:space="preserve"> </w:t>
      </w:r>
      <w:r w:rsidR="009B70F4" w:rsidRPr="00D80EB6">
        <w:t>4%</w:t>
      </w:r>
      <w:r w:rsidR="00AB2FDC" w:rsidRPr="00D80EB6">
        <w:t xml:space="preserve"> </w:t>
      </w:r>
      <w:r w:rsidR="00831F99" w:rsidRPr="00D80EB6">
        <w:t>to</w:t>
      </w:r>
      <w:r w:rsidR="00606AB0" w:rsidRPr="00D80EB6">
        <w:rPr>
          <w:b/>
        </w:rPr>
        <w:t xml:space="preserve"> Asia</w:t>
      </w:r>
      <w:r w:rsidR="00AB2FDC" w:rsidRPr="00D80EB6">
        <w:t>.</w:t>
      </w:r>
      <w:r w:rsidR="00A10DF8" w:rsidRPr="00D80EB6">
        <w:t xml:space="preserve"> </w:t>
      </w:r>
      <w:r w:rsidR="00AB2FDC" w:rsidRPr="00D80EB6">
        <w:t>S</w:t>
      </w:r>
      <w:r w:rsidR="005E5D9F" w:rsidRPr="00D80EB6">
        <w:t xml:space="preserve">trong gains to </w:t>
      </w:r>
      <w:r w:rsidR="005E5D9F" w:rsidRPr="00D80EB6">
        <w:rPr>
          <w:b/>
        </w:rPr>
        <w:t xml:space="preserve">Korea </w:t>
      </w:r>
      <w:r w:rsidR="005E5D9F" w:rsidRPr="00D80EB6">
        <w:t xml:space="preserve">(up 17%), </w:t>
      </w:r>
      <w:r w:rsidR="005E5D9F" w:rsidRPr="00D80EB6">
        <w:rPr>
          <w:b/>
        </w:rPr>
        <w:t>Ta</w:t>
      </w:r>
      <w:r w:rsidR="001C1A15" w:rsidRPr="00D80EB6">
        <w:rPr>
          <w:b/>
        </w:rPr>
        <w:t>i</w:t>
      </w:r>
      <w:r w:rsidR="005E5D9F" w:rsidRPr="00D80EB6">
        <w:rPr>
          <w:b/>
        </w:rPr>
        <w:t>wan</w:t>
      </w:r>
      <w:r w:rsidR="005E5D9F" w:rsidRPr="00D80EB6">
        <w:t xml:space="preserve"> (up 44%), </w:t>
      </w:r>
      <w:r w:rsidR="005E5D9F" w:rsidRPr="00D80EB6">
        <w:rPr>
          <w:b/>
        </w:rPr>
        <w:t>Japa</w:t>
      </w:r>
      <w:r w:rsidR="00831F99" w:rsidRPr="00D80EB6">
        <w:rPr>
          <w:b/>
        </w:rPr>
        <w:t>n</w:t>
      </w:r>
      <w:r w:rsidR="00831F99" w:rsidRPr="00D80EB6">
        <w:t xml:space="preserve"> (u</w:t>
      </w:r>
      <w:r w:rsidR="00A10DF8" w:rsidRPr="00D80EB6">
        <w:t>p</w:t>
      </w:r>
      <w:r w:rsidR="00AB2FDC" w:rsidRPr="00D80EB6">
        <w:t xml:space="preserve"> 7%) and </w:t>
      </w:r>
      <w:r w:rsidR="00AB2FDC" w:rsidRPr="00D80EB6">
        <w:rPr>
          <w:b/>
        </w:rPr>
        <w:t xml:space="preserve">Thailand </w:t>
      </w:r>
      <w:r w:rsidR="00AB2FDC" w:rsidRPr="00D80EB6">
        <w:t xml:space="preserve">(up 21%) masked </w:t>
      </w:r>
      <w:r w:rsidR="001944CA" w:rsidRPr="00D80EB6">
        <w:t>struggling sales</w:t>
      </w:r>
      <w:r w:rsidR="00831F99" w:rsidRPr="00D80EB6">
        <w:t xml:space="preserve"> </w:t>
      </w:r>
      <w:r w:rsidR="00216C2D" w:rsidRPr="00D80EB6">
        <w:t xml:space="preserve">to </w:t>
      </w:r>
      <w:r w:rsidR="00216C2D" w:rsidRPr="00D80EB6">
        <w:rPr>
          <w:b/>
        </w:rPr>
        <w:t xml:space="preserve">China </w:t>
      </w:r>
      <w:r w:rsidR="00216C2D" w:rsidRPr="00D80EB6">
        <w:t>(down 5%)</w:t>
      </w:r>
      <w:r w:rsidR="005E5D9F" w:rsidRPr="00D80EB6">
        <w:t xml:space="preserve"> and</w:t>
      </w:r>
      <w:r w:rsidR="00216C2D" w:rsidRPr="00D80EB6">
        <w:t xml:space="preserve"> </w:t>
      </w:r>
      <w:r w:rsidR="00216C2D" w:rsidRPr="00D80EB6">
        <w:rPr>
          <w:b/>
        </w:rPr>
        <w:t>the P</w:t>
      </w:r>
      <w:r w:rsidR="00831F99" w:rsidRPr="00D80EB6">
        <w:rPr>
          <w:b/>
        </w:rPr>
        <w:t>hilippines</w:t>
      </w:r>
      <w:r w:rsidR="00831F99" w:rsidRPr="00D80EB6">
        <w:t xml:space="preserve"> (down 22%).</w:t>
      </w:r>
    </w:p>
    <w:p w:rsidR="00AB2FDC" w:rsidRPr="00D80EB6" w:rsidRDefault="00AB2FDC" w:rsidP="00AB2FDC">
      <w:pPr>
        <w:pStyle w:val="ListParagraph"/>
        <w:numPr>
          <w:ilvl w:val="0"/>
          <w:numId w:val="10"/>
        </w:numPr>
      </w:pPr>
      <w:r w:rsidRPr="00D80EB6">
        <w:t xml:space="preserve">Exports to </w:t>
      </w:r>
      <w:r w:rsidRPr="00D80EB6">
        <w:rPr>
          <w:b/>
        </w:rPr>
        <w:t>Europe</w:t>
      </w:r>
      <w:r w:rsidR="007F79B4" w:rsidRPr="00D80EB6">
        <w:t xml:space="preserve"> contracted</w:t>
      </w:r>
      <w:r w:rsidR="00B37B14" w:rsidRPr="00D80EB6">
        <w:t xml:space="preserve"> 9</w:t>
      </w:r>
      <w:r w:rsidR="006951FD" w:rsidRPr="00D80EB6">
        <w:t>% to</w:t>
      </w:r>
      <w:r w:rsidR="007F79B4" w:rsidRPr="00D80EB6">
        <w:t xml:space="preserve"> $1.3 billion, as sales shrank</w:t>
      </w:r>
      <w:r w:rsidR="006951FD" w:rsidRPr="00D80EB6">
        <w:t xml:space="preserve"> in</w:t>
      </w:r>
      <w:r w:rsidRPr="00D80EB6">
        <w:t xml:space="preserve"> </w:t>
      </w:r>
      <w:r w:rsidRPr="00D80EB6">
        <w:rPr>
          <w:b/>
        </w:rPr>
        <w:t>Turkey</w:t>
      </w:r>
      <w:r w:rsidRPr="00D80EB6">
        <w:t xml:space="preserve"> (down 63%), </w:t>
      </w:r>
      <w:r w:rsidRPr="00D80EB6">
        <w:rPr>
          <w:b/>
        </w:rPr>
        <w:t>the U.K.</w:t>
      </w:r>
      <w:r w:rsidRPr="00D80EB6">
        <w:t xml:space="preserve"> (down 13%), </w:t>
      </w:r>
      <w:r w:rsidRPr="00D80EB6">
        <w:rPr>
          <w:b/>
        </w:rPr>
        <w:t xml:space="preserve">Germany </w:t>
      </w:r>
      <w:r w:rsidRPr="00D80EB6">
        <w:t>(down 5%)</w:t>
      </w:r>
      <w:r w:rsidR="006951FD" w:rsidRPr="00D80EB6">
        <w:t>,</w:t>
      </w:r>
      <w:r w:rsidRPr="00D80EB6">
        <w:t xml:space="preserve"> </w:t>
      </w:r>
      <w:r w:rsidRPr="00D80EB6">
        <w:rPr>
          <w:b/>
        </w:rPr>
        <w:t>Switzerland</w:t>
      </w:r>
      <w:r w:rsidRPr="00D80EB6">
        <w:t xml:space="preserve"> (down 22%)</w:t>
      </w:r>
      <w:r w:rsidR="006951FD" w:rsidRPr="00D80EB6">
        <w:t xml:space="preserve"> and</w:t>
      </w:r>
      <w:r w:rsidRPr="00D80EB6">
        <w:t xml:space="preserve"> </w:t>
      </w:r>
      <w:r w:rsidR="006951FD" w:rsidRPr="00D80EB6">
        <w:rPr>
          <w:b/>
        </w:rPr>
        <w:t>France</w:t>
      </w:r>
      <w:r w:rsidR="006951FD" w:rsidRPr="00D80EB6">
        <w:t xml:space="preserve"> (down 8%)</w:t>
      </w:r>
      <w:r w:rsidRPr="00D80EB6">
        <w:t xml:space="preserve">. </w:t>
      </w:r>
      <w:r w:rsidRPr="00D80EB6">
        <w:rPr>
          <w:b/>
        </w:rPr>
        <w:t>Ireland</w:t>
      </w:r>
      <w:r w:rsidRPr="00D80EB6">
        <w:t xml:space="preserve"> (up 10%) and </w:t>
      </w:r>
      <w:r w:rsidRPr="00D80EB6">
        <w:rPr>
          <w:b/>
        </w:rPr>
        <w:t>Poland</w:t>
      </w:r>
      <w:r w:rsidR="006951FD" w:rsidRPr="00D80EB6">
        <w:t xml:space="preserve"> (up 25%, ranked 24</w:t>
      </w:r>
      <w:r w:rsidR="006951FD" w:rsidRPr="00D80EB6">
        <w:rPr>
          <w:vertAlign w:val="superscript"/>
        </w:rPr>
        <w:t>th</w:t>
      </w:r>
      <w:r w:rsidR="008B5689" w:rsidRPr="00D80EB6">
        <w:t xml:space="preserve">) were bright spots among larger </w:t>
      </w:r>
      <w:r w:rsidRPr="00D80EB6">
        <w:t>European markets.</w:t>
      </w:r>
    </w:p>
    <w:p w:rsidR="005E4CC6" w:rsidRPr="00D80EB6" w:rsidRDefault="00D54752" w:rsidP="00FD1268">
      <w:pPr>
        <w:pStyle w:val="ListParagraph"/>
        <w:numPr>
          <w:ilvl w:val="0"/>
          <w:numId w:val="10"/>
        </w:numPr>
        <w:spacing w:before="80" w:after="0"/>
        <w:rPr>
          <w:sz w:val="24"/>
        </w:rPr>
      </w:pPr>
      <w:r w:rsidRPr="00D80EB6">
        <w:t xml:space="preserve">Exports </w:t>
      </w:r>
      <w:r w:rsidR="00A3267D" w:rsidRPr="00D80EB6">
        <w:t xml:space="preserve">rebounded </w:t>
      </w:r>
      <w:r w:rsidR="00FA384A" w:rsidRPr="00D80EB6">
        <w:t>in</w:t>
      </w:r>
      <w:r w:rsidR="00137E8C" w:rsidRPr="00D80EB6">
        <w:t xml:space="preserve"> </w:t>
      </w:r>
      <w:r w:rsidR="00137E8C" w:rsidRPr="00D80EB6">
        <w:rPr>
          <w:b/>
        </w:rPr>
        <w:t>Central and</w:t>
      </w:r>
      <w:r w:rsidRPr="00D80EB6">
        <w:rPr>
          <w:b/>
        </w:rPr>
        <w:t xml:space="preserve"> South America</w:t>
      </w:r>
      <w:r w:rsidR="00D4777B" w:rsidRPr="00D80EB6">
        <w:t xml:space="preserve"> </w:t>
      </w:r>
      <w:r w:rsidR="00FA384A" w:rsidRPr="00D80EB6">
        <w:t>($235</w:t>
      </w:r>
      <w:r w:rsidR="008E6A92" w:rsidRPr="00D80EB6">
        <w:t xml:space="preserve"> million</w:t>
      </w:r>
      <w:r w:rsidR="00FA384A" w:rsidRPr="00D80EB6">
        <w:t>, up 6</w:t>
      </w:r>
      <w:r w:rsidR="007818E5" w:rsidRPr="00D80EB6">
        <w:t>%</w:t>
      </w:r>
      <w:r w:rsidR="00FA384A" w:rsidRPr="00D80EB6">
        <w:t>)</w:t>
      </w:r>
      <w:r w:rsidR="00743C00">
        <w:t>,</w:t>
      </w:r>
      <w:r w:rsidR="007F79B4" w:rsidRPr="00D80EB6">
        <w:t xml:space="preserve"> supported by key</w:t>
      </w:r>
      <w:r w:rsidR="00C0411C" w:rsidRPr="00D80EB6">
        <w:t xml:space="preserve"> markets such as</w:t>
      </w:r>
      <w:r w:rsidR="00FA384A" w:rsidRPr="00D80EB6">
        <w:t xml:space="preserve"> </w:t>
      </w:r>
      <w:r w:rsidR="00FA384A" w:rsidRPr="00D80EB6">
        <w:rPr>
          <w:b/>
        </w:rPr>
        <w:t>Brazil</w:t>
      </w:r>
      <w:r w:rsidR="00FA384A" w:rsidRPr="00D80EB6">
        <w:t xml:space="preserve"> ($66 million, up 32%), </w:t>
      </w:r>
      <w:r w:rsidR="00FA384A" w:rsidRPr="00D80EB6">
        <w:rPr>
          <w:b/>
        </w:rPr>
        <w:t>Costa Rica</w:t>
      </w:r>
      <w:r w:rsidR="00FA384A" w:rsidRPr="00D80EB6">
        <w:t xml:space="preserve"> ($62 million, up 20%) and </w:t>
      </w:r>
      <w:r w:rsidR="00FA384A" w:rsidRPr="00D80EB6">
        <w:rPr>
          <w:b/>
        </w:rPr>
        <w:t xml:space="preserve">Peru </w:t>
      </w:r>
      <w:r w:rsidR="00FA384A" w:rsidRPr="00D80EB6">
        <w:t>(</w:t>
      </w:r>
      <w:r w:rsidR="00C0411C" w:rsidRPr="00D80EB6">
        <w:t>$13 million,</w:t>
      </w:r>
      <w:r w:rsidR="00FA384A" w:rsidRPr="00D80EB6">
        <w:t xml:space="preserve"> up 43%).</w:t>
      </w:r>
    </w:p>
    <w:p w:rsidR="003B3484" w:rsidRPr="00D80EB6" w:rsidRDefault="00A3267D" w:rsidP="00F34EB8">
      <w:pPr>
        <w:pStyle w:val="ListParagraph"/>
        <w:numPr>
          <w:ilvl w:val="0"/>
          <w:numId w:val="10"/>
        </w:numPr>
        <w:spacing w:before="80" w:after="0"/>
        <w:rPr>
          <w:sz w:val="24"/>
        </w:rPr>
      </w:pPr>
      <w:r w:rsidRPr="00D80EB6">
        <w:t>Minnesota</w:t>
      </w:r>
      <w:r w:rsidR="00606AB0" w:rsidRPr="00D80EB6">
        <w:t xml:space="preserve"> sales</w:t>
      </w:r>
      <w:r w:rsidR="008B5689" w:rsidRPr="00D80EB6">
        <w:t xml:space="preserve"> </w:t>
      </w:r>
      <w:r w:rsidR="00F646A4" w:rsidRPr="00D80EB6">
        <w:t>slumped</w:t>
      </w:r>
      <w:r w:rsidR="00606AB0" w:rsidRPr="00D80EB6">
        <w:t xml:space="preserve"> </w:t>
      </w:r>
      <w:r w:rsidR="003B3484" w:rsidRPr="00D80EB6">
        <w:t>to</w:t>
      </w:r>
      <w:r w:rsidR="00743C00">
        <w:t xml:space="preserve"> the</w:t>
      </w:r>
      <w:r w:rsidR="003B3484" w:rsidRPr="00D80EB6">
        <w:t xml:space="preserve"> </w:t>
      </w:r>
      <w:r w:rsidR="005E4CC6" w:rsidRPr="00D80EB6">
        <w:rPr>
          <w:b/>
        </w:rPr>
        <w:t xml:space="preserve">Australia-Pacific </w:t>
      </w:r>
      <w:r w:rsidR="005E4CC6" w:rsidRPr="00D80EB6">
        <w:t xml:space="preserve">region ($127 million, down 10%), the </w:t>
      </w:r>
      <w:r w:rsidR="005E4CC6" w:rsidRPr="00D80EB6">
        <w:rPr>
          <w:b/>
        </w:rPr>
        <w:t>Middle East</w:t>
      </w:r>
      <w:r w:rsidR="005E4CC6" w:rsidRPr="00D80EB6">
        <w:t xml:space="preserve"> ($88 million, down 16%) and </w:t>
      </w:r>
      <w:r w:rsidR="00D4777B" w:rsidRPr="00D80EB6">
        <w:rPr>
          <w:b/>
        </w:rPr>
        <w:t>Africa</w:t>
      </w:r>
      <w:r w:rsidR="00090B7B" w:rsidRPr="00D80EB6">
        <w:t xml:space="preserve"> </w:t>
      </w:r>
      <w:r w:rsidR="005E4CC6" w:rsidRPr="00D80EB6">
        <w:t>($41</w:t>
      </w:r>
      <w:r w:rsidR="003B3484" w:rsidRPr="00D80EB6">
        <w:t xml:space="preserve"> million</w:t>
      </w:r>
      <w:r w:rsidR="005E4CC6" w:rsidRPr="00D80EB6">
        <w:t>, down 6%</w:t>
      </w:r>
      <w:r w:rsidR="003B3484" w:rsidRPr="00D80EB6">
        <w:t>)</w:t>
      </w:r>
      <w:r w:rsidR="005E4CC6" w:rsidRPr="00D80EB6">
        <w:t xml:space="preserve">, </w:t>
      </w:r>
      <w:r w:rsidR="00FA384A" w:rsidRPr="00D80EB6">
        <w:t xml:space="preserve">as exports reversed course in </w:t>
      </w:r>
      <w:r w:rsidR="00FA384A" w:rsidRPr="00D80EB6">
        <w:rPr>
          <w:b/>
        </w:rPr>
        <w:t xml:space="preserve">Australia </w:t>
      </w:r>
      <w:r w:rsidR="00FA384A" w:rsidRPr="00D80EB6">
        <w:t xml:space="preserve">(down 11%), </w:t>
      </w:r>
      <w:r w:rsidR="003B3484" w:rsidRPr="00D80EB6">
        <w:rPr>
          <w:b/>
        </w:rPr>
        <w:t>South Africa</w:t>
      </w:r>
      <w:r w:rsidR="00FA384A" w:rsidRPr="00D80EB6">
        <w:t xml:space="preserve"> (down 32</w:t>
      </w:r>
      <w:r w:rsidR="007818E5" w:rsidRPr="00D80EB6">
        <w:t>%</w:t>
      </w:r>
      <w:r w:rsidR="00FA384A" w:rsidRPr="00D80EB6">
        <w:t>),</w:t>
      </w:r>
      <w:r w:rsidR="003B3484" w:rsidRPr="00D80EB6">
        <w:t xml:space="preserve"> </w:t>
      </w:r>
      <w:r w:rsidR="00FA384A" w:rsidRPr="00D80EB6">
        <w:rPr>
          <w:b/>
        </w:rPr>
        <w:t>Saudi Arabia</w:t>
      </w:r>
      <w:r w:rsidR="003B3484" w:rsidRPr="00D80EB6">
        <w:t xml:space="preserve"> (</w:t>
      </w:r>
      <w:r w:rsidR="00FA384A" w:rsidRPr="00D80EB6">
        <w:t>down 32</w:t>
      </w:r>
      <w:r w:rsidR="007818E5" w:rsidRPr="00D80EB6">
        <w:t>%</w:t>
      </w:r>
      <w:r w:rsidR="003B3484" w:rsidRPr="00D80EB6">
        <w:t>)</w:t>
      </w:r>
      <w:r w:rsidR="00606AB0" w:rsidRPr="00D80EB6">
        <w:t xml:space="preserve"> </w:t>
      </w:r>
      <w:r w:rsidR="00FA384A" w:rsidRPr="00D80EB6">
        <w:t>and</w:t>
      </w:r>
      <w:r w:rsidR="008E6A92" w:rsidRPr="00D80EB6">
        <w:t xml:space="preserve"> </w:t>
      </w:r>
      <w:r w:rsidR="00FA384A" w:rsidRPr="00D80EB6">
        <w:rPr>
          <w:b/>
        </w:rPr>
        <w:t>Israel</w:t>
      </w:r>
      <w:r w:rsidR="008E6A92" w:rsidRPr="00D80EB6">
        <w:rPr>
          <w:b/>
        </w:rPr>
        <w:t xml:space="preserve"> </w:t>
      </w:r>
      <w:r w:rsidR="00FA384A" w:rsidRPr="00D80EB6">
        <w:t>(down 18</w:t>
      </w:r>
      <w:r w:rsidR="007818E5" w:rsidRPr="00D80EB6">
        <w:t>%</w:t>
      </w:r>
      <w:r w:rsidR="003B3484" w:rsidRPr="00D80EB6">
        <w:t>).</w:t>
      </w:r>
      <w:r w:rsidR="0018375B" w:rsidRPr="00D80EB6">
        <w:t xml:space="preserve"> </w:t>
      </w:r>
    </w:p>
    <w:p w:rsidR="007C165F" w:rsidRPr="00D80EB6" w:rsidRDefault="007C165F" w:rsidP="006D7A33">
      <w:pPr>
        <w:pStyle w:val="Heading4"/>
        <w:spacing w:before="120" w:after="60"/>
        <w:rPr>
          <w:color w:val="auto"/>
        </w:rPr>
      </w:pPr>
      <w:r w:rsidRPr="00D80EB6">
        <w:rPr>
          <w:color w:val="auto"/>
        </w:rPr>
        <w:t xml:space="preserve">Figure </w:t>
      </w:r>
      <w:r w:rsidR="00E36364" w:rsidRPr="00D80EB6">
        <w:rPr>
          <w:color w:val="auto"/>
        </w:rPr>
        <w:fldChar w:fldCharType="begin"/>
      </w:r>
      <w:r w:rsidR="00E36364" w:rsidRPr="00D80EB6">
        <w:rPr>
          <w:color w:val="auto"/>
        </w:rPr>
        <w:instrText xml:space="preserve"> SEQ Figure \* ARABIC </w:instrText>
      </w:r>
      <w:r w:rsidR="00E36364" w:rsidRPr="00D80EB6">
        <w:rPr>
          <w:color w:val="auto"/>
        </w:rPr>
        <w:fldChar w:fldCharType="separate"/>
      </w:r>
      <w:r w:rsidR="00900302" w:rsidRPr="00D80EB6">
        <w:rPr>
          <w:noProof/>
          <w:color w:val="auto"/>
        </w:rPr>
        <w:t>2</w:t>
      </w:r>
      <w:r w:rsidR="00E36364" w:rsidRPr="00D80EB6">
        <w:rPr>
          <w:color w:val="auto"/>
        </w:rPr>
        <w:fldChar w:fldCharType="end"/>
      </w:r>
      <w:r w:rsidR="00C84D0E" w:rsidRPr="00D80EB6">
        <w:rPr>
          <w:color w:val="auto"/>
        </w:rPr>
        <w:t xml:space="preserve">. </w:t>
      </w:r>
      <w:r w:rsidR="0038665A" w:rsidRPr="00D80EB6">
        <w:rPr>
          <w:color w:val="auto"/>
        </w:rPr>
        <w:t xml:space="preserve">Exports and Trends </w:t>
      </w:r>
      <w:proofErr w:type="gramStart"/>
      <w:r w:rsidR="0038665A" w:rsidRPr="00D80EB6">
        <w:rPr>
          <w:color w:val="auto"/>
        </w:rPr>
        <w:t>Among</w:t>
      </w:r>
      <w:proofErr w:type="gramEnd"/>
      <w:r w:rsidR="0038665A" w:rsidRPr="00D80EB6">
        <w:rPr>
          <w:color w:val="auto"/>
        </w:rPr>
        <w:t xml:space="preserve"> Minnesota’s Top 10 Markets, </w:t>
      </w:r>
      <w:r w:rsidR="00606AB0" w:rsidRPr="00D80EB6">
        <w:rPr>
          <w:color w:val="auto"/>
        </w:rPr>
        <w:t xml:space="preserve">First </w:t>
      </w:r>
      <w:r w:rsidR="00A52415" w:rsidRPr="00D80EB6">
        <w:rPr>
          <w:color w:val="auto"/>
        </w:rPr>
        <w:t xml:space="preserve">Quarter </w:t>
      </w:r>
      <w:r w:rsidR="007818E5" w:rsidRPr="00D80EB6">
        <w:rPr>
          <w:color w:val="auto"/>
        </w:rPr>
        <w:t>2020</w:t>
      </w:r>
    </w:p>
    <w:p w:rsidR="00ED605B" w:rsidRPr="00D80EB6" w:rsidRDefault="003575CE" w:rsidP="00ED605B">
      <w:r w:rsidRPr="00D80EB6">
        <w:rPr>
          <w:noProof/>
        </w:rPr>
        <w:drawing>
          <wp:inline distT="0" distB="0" distL="0" distR="0">
            <wp:extent cx="5943600" cy="1866489"/>
            <wp:effectExtent l="0" t="0" r="0" b="635"/>
            <wp:docPr id="10" name="Picture 10" descr="Country (Rank)  Exports (millions)  Percent Change, 2019-Q1 to 2020--Q1&#10;WORLD  $5,646  5%&#10;Canada (1)   $1,461  43%&#10;Mexico (2)   $577  -5%&#10;China (3)   $526  -15%&#10;Japan (4)   $379  7%&#10;Germany (5)   $296  -5%&#10;Korea (6)   $288  17%&#10;Singapore (7)   $149  6%&#10;Belgium (8)   $141  -1%&#10;U.K. (9)   $139  -13%&#10;Ireland (10)   $125  10%&#10;Other  $1,566  -5%&#10;"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okim\Work from home files\wfh files_Main\Tableau, Viz\MTO Tableau files\Export Stats Reports\Newsletter &amp; Fact Sheet charts\2020-Q1 Top 10 Countries-b.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2381" cy="1872387"/>
                    </a:xfrm>
                    <a:prstGeom prst="rect">
                      <a:avLst/>
                    </a:prstGeom>
                    <a:noFill/>
                    <a:ln>
                      <a:noFill/>
                    </a:ln>
                  </pic:spPr>
                </pic:pic>
              </a:graphicData>
            </a:graphic>
          </wp:inline>
        </w:drawing>
      </w:r>
    </w:p>
    <w:p w:rsidR="00BF29E1" w:rsidRPr="00D80EB6" w:rsidRDefault="005269D3" w:rsidP="00D3214A">
      <w:pPr>
        <w:pStyle w:val="Heading2"/>
        <w:tabs>
          <w:tab w:val="left" w:pos="360"/>
        </w:tabs>
        <w:spacing w:before="0" w:after="120"/>
        <w:ind w:left="360" w:hanging="360"/>
        <w:rPr>
          <w:rFonts w:asciiTheme="minorHAnsi" w:hAnsiTheme="minorHAnsi"/>
          <w:b w:val="0"/>
          <w:i/>
          <w:color w:val="auto"/>
          <w:sz w:val="28"/>
        </w:rPr>
        <w:sectPr w:rsidR="00BF29E1" w:rsidRPr="00D80EB6" w:rsidSect="00426066">
          <w:footnotePr>
            <w:numRestart w:val="eachSect"/>
          </w:footnotePr>
          <w:endnotePr>
            <w:numFmt w:val="decimal"/>
          </w:endnotePr>
          <w:type w:val="continuous"/>
          <w:pgSz w:w="12240" w:h="15840" w:code="1"/>
          <w:pgMar w:top="1008" w:right="1296" w:bottom="1008" w:left="1080" w:header="720" w:footer="720" w:gutter="0"/>
          <w:cols w:space="720"/>
          <w:titlePg/>
          <w:docGrid w:linePitch="299"/>
        </w:sectPr>
      </w:pPr>
      <w:r w:rsidRPr="00D80EB6">
        <w:rPr>
          <w:rFonts w:asciiTheme="minorHAnsi" w:hAnsiTheme="minorHAnsi"/>
          <w:b w:val="0"/>
          <w:i/>
          <w:color w:val="auto"/>
          <w:sz w:val="28"/>
        </w:rPr>
        <w:lastRenderedPageBreak/>
        <w:t>Mineral Fuels</w:t>
      </w:r>
      <w:r w:rsidR="00BC609B" w:rsidRPr="00D80EB6">
        <w:rPr>
          <w:rFonts w:asciiTheme="minorHAnsi" w:hAnsiTheme="minorHAnsi"/>
          <w:b w:val="0"/>
          <w:i/>
          <w:color w:val="auto"/>
          <w:sz w:val="28"/>
        </w:rPr>
        <w:t>,</w:t>
      </w:r>
      <w:r w:rsidRPr="00D80EB6">
        <w:rPr>
          <w:rFonts w:asciiTheme="minorHAnsi" w:hAnsiTheme="minorHAnsi"/>
          <w:b w:val="0"/>
          <w:i/>
          <w:color w:val="auto"/>
          <w:sz w:val="28"/>
        </w:rPr>
        <w:t xml:space="preserve"> Meat, Plastics, Aircraft</w:t>
      </w:r>
      <w:r w:rsidR="00B12AB1" w:rsidRPr="00D80EB6">
        <w:rPr>
          <w:rFonts w:asciiTheme="minorHAnsi" w:hAnsiTheme="minorHAnsi"/>
          <w:b w:val="0"/>
          <w:i/>
          <w:color w:val="auto"/>
          <w:sz w:val="28"/>
        </w:rPr>
        <w:t xml:space="preserve"> and Precious Metals</w:t>
      </w:r>
      <w:r w:rsidR="00A3267D" w:rsidRPr="00D80EB6">
        <w:rPr>
          <w:rFonts w:asciiTheme="minorHAnsi" w:hAnsiTheme="minorHAnsi"/>
          <w:b w:val="0"/>
          <w:i/>
          <w:color w:val="auto"/>
          <w:sz w:val="28"/>
        </w:rPr>
        <w:t xml:space="preserve"> Lead in Gains</w:t>
      </w:r>
    </w:p>
    <w:p w:rsidR="00B12AB1" w:rsidRPr="00D80EB6" w:rsidRDefault="0006608A" w:rsidP="002F257A">
      <w:pPr>
        <w:pStyle w:val="ListParagraph"/>
        <w:numPr>
          <w:ilvl w:val="0"/>
          <w:numId w:val="7"/>
        </w:numPr>
        <w:spacing w:after="0"/>
        <w:ind w:left="360"/>
      </w:pPr>
      <w:r w:rsidRPr="00D80EB6">
        <w:t xml:space="preserve">Exports of </w:t>
      </w:r>
      <w:r w:rsidR="00B12AB1" w:rsidRPr="00D80EB6">
        <w:rPr>
          <w:b/>
        </w:rPr>
        <w:t xml:space="preserve">mineral fuels </w:t>
      </w:r>
      <w:r w:rsidRPr="00D80EB6">
        <w:t xml:space="preserve">(up 1,874%) </w:t>
      </w:r>
      <w:r w:rsidR="002F257A" w:rsidRPr="00D80EB6">
        <w:t>were</w:t>
      </w:r>
      <w:r w:rsidR="00F55D28" w:rsidRPr="00D80EB6">
        <w:t xml:space="preserve"> volatile, spiking</w:t>
      </w:r>
      <w:r w:rsidR="004C31E6" w:rsidRPr="00D80EB6">
        <w:t xml:space="preserve"> to $515</w:t>
      </w:r>
      <w:r w:rsidR="00234444" w:rsidRPr="00D80EB6">
        <w:t xml:space="preserve"> million</w:t>
      </w:r>
      <w:r w:rsidRPr="00D80EB6">
        <w:t xml:space="preserve"> to</w:t>
      </w:r>
      <w:r w:rsidR="00B12AB1" w:rsidRPr="00D80EB6">
        <w:t xml:space="preserve"> Canada.</w:t>
      </w:r>
    </w:p>
    <w:p w:rsidR="00BC609B" w:rsidRPr="00D80EB6" w:rsidRDefault="00760360" w:rsidP="00877E32">
      <w:pPr>
        <w:pStyle w:val="ListParagraph"/>
        <w:numPr>
          <w:ilvl w:val="0"/>
          <w:numId w:val="7"/>
        </w:numPr>
        <w:spacing w:after="0"/>
        <w:ind w:left="360" w:right="-72"/>
      </w:pPr>
      <w:r>
        <w:t>Global sales</w:t>
      </w:r>
      <w:r w:rsidR="00E33AF6" w:rsidRPr="00D80EB6">
        <w:t xml:space="preserve"> of</w:t>
      </w:r>
      <w:r w:rsidR="00BC609B" w:rsidRPr="00D80EB6">
        <w:t xml:space="preserve"> </w:t>
      </w:r>
      <w:r w:rsidR="0006608A" w:rsidRPr="00D80EB6">
        <w:rPr>
          <w:b/>
        </w:rPr>
        <w:t>meat</w:t>
      </w:r>
      <w:r w:rsidR="00BC609B" w:rsidRPr="00D80EB6">
        <w:rPr>
          <w:b/>
        </w:rPr>
        <w:t xml:space="preserve"> </w:t>
      </w:r>
      <w:r w:rsidR="0006608A" w:rsidRPr="00D80EB6">
        <w:t>leaped 53</w:t>
      </w:r>
      <w:r w:rsidR="007818E5" w:rsidRPr="00D80EB6">
        <w:t>%</w:t>
      </w:r>
      <w:r w:rsidR="0006608A" w:rsidRPr="00D80EB6">
        <w:t xml:space="preserve"> to $121 million,</w:t>
      </w:r>
      <w:r w:rsidR="00BC609B" w:rsidRPr="00D80EB6">
        <w:t xml:space="preserve"> </w:t>
      </w:r>
      <w:r w:rsidR="00950233" w:rsidRPr="00D80EB6">
        <w:t>propelled</w:t>
      </w:r>
      <w:r w:rsidR="00BC609B" w:rsidRPr="00D80EB6">
        <w:t xml:space="preserve"> by </w:t>
      </w:r>
      <w:r w:rsidR="0006608A" w:rsidRPr="00D80EB6">
        <w:rPr>
          <w:b/>
        </w:rPr>
        <w:t xml:space="preserve">China </w:t>
      </w:r>
      <w:r w:rsidR="00F626E0" w:rsidRPr="00D80EB6">
        <w:t>(</w:t>
      </w:r>
      <w:r w:rsidR="0006608A" w:rsidRPr="00D80EB6">
        <w:t>up 625</w:t>
      </w:r>
      <w:r w:rsidR="007818E5" w:rsidRPr="00D80EB6">
        <w:t>%</w:t>
      </w:r>
      <w:r w:rsidR="00244370" w:rsidRPr="00D80EB6">
        <w:t xml:space="preserve">) </w:t>
      </w:r>
      <w:r w:rsidR="00F626E0" w:rsidRPr="00D80EB6">
        <w:t xml:space="preserve">and </w:t>
      </w:r>
      <w:r w:rsidR="00F626E0" w:rsidRPr="00D80EB6">
        <w:rPr>
          <w:b/>
        </w:rPr>
        <w:t xml:space="preserve">Japan </w:t>
      </w:r>
      <w:r w:rsidR="00F626E0" w:rsidRPr="00D80EB6">
        <w:t xml:space="preserve">(up 45%). </w:t>
      </w:r>
      <w:r w:rsidR="004951BC">
        <w:rPr>
          <w:b/>
        </w:rPr>
        <w:t>F</w:t>
      </w:r>
      <w:r w:rsidR="004C31E6" w:rsidRPr="00D80EB6">
        <w:rPr>
          <w:b/>
        </w:rPr>
        <w:t>resh, chilled or frozen</w:t>
      </w:r>
      <w:r w:rsidR="00244370" w:rsidRPr="00D80EB6">
        <w:rPr>
          <w:b/>
        </w:rPr>
        <w:t xml:space="preserve"> pork</w:t>
      </w:r>
      <w:r w:rsidR="00244370" w:rsidRPr="00D80EB6">
        <w:t xml:space="preserve"> ($91 million, up 72%</w:t>
      </w:r>
      <w:r w:rsidR="00F626E0" w:rsidRPr="00D80EB6">
        <w:t>)</w:t>
      </w:r>
      <w:r w:rsidR="004951BC">
        <w:t xml:space="preserve"> </w:t>
      </w:r>
      <w:r w:rsidR="007F79B4" w:rsidRPr="00D80EB6">
        <w:t>steered</w:t>
      </w:r>
      <w:r w:rsidR="004C31E6" w:rsidRPr="00D80EB6">
        <w:t xml:space="preserve"> growth</w:t>
      </w:r>
      <w:r w:rsidR="004951BC">
        <w:t xml:space="preserve"> and accounted for 75% of the state’s meat exports</w:t>
      </w:r>
      <w:r w:rsidR="00F626E0" w:rsidRPr="00D80EB6">
        <w:t>.</w:t>
      </w:r>
    </w:p>
    <w:p w:rsidR="00B5170B" w:rsidRPr="00D80EB6" w:rsidRDefault="001619F1" w:rsidP="00320905">
      <w:pPr>
        <w:pStyle w:val="ListParagraph"/>
        <w:numPr>
          <w:ilvl w:val="0"/>
          <w:numId w:val="7"/>
        </w:numPr>
        <w:spacing w:after="0"/>
        <w:ind w:left="360" w:right="-396"/>
      </w:pPr>
      <w:r w:rsidRPr="00D80EB6">
        <w:t xml:space="preserve">Demand for </w:t>
      </w:r>
      <w:r w:rsidR="00CB3215" w:rsidRPr="00D80EB6">
        <w:rPr>
          <w:b/>
        </w:rPr>
        <w:t>plastics</w:t>
      </w:r>
      <w:r w:rsidR="00F646A4" w:rsidRPr="00D80EB6">
        <w:t xml:space="preserve"> expanded</w:t>
      </w:r>
      <w:r w:rsidR="00CB3215" w:rsidRPr="00D80EB6">
        <w:t xml:space="preserve"> 8</w:t>
      </w:r>
      <w:r w:rsidR="007818E5" w:rsidRPr="00D80EB6">
        <w:t>%</w:t>
      </w:r>
      <w:r w:rsidR="00E025F4" w:rsidRPr="00D80EB6">
        <w:t>,</w:t>
      </w:r>
      <w:r w:rsidR="00A46BDC" w:rsidRPr="00D80EB6">
        <w:t xml:space="preserve"> driven by </w:t>
      </w:r>
      <w:r w:rsidR="00CB3215" w:rsidRPr="00D80EB6">
        <w:rPr>
          <w:b/>
        </w:rPr>
        <w:t>the</w:t>
      </w:r>
      <w:r w:rsidR="00CB3215" w:rsidRPr="00D80EB6">
        <w:t xml:space="preserve"> </w:t>
      </w:r>
      <w:r w:rsidR="00CB3215" w:rsidRPr="00D80EB6">
        <w:rPr>
          <w:b/>
        </w:rPr>
        <w:t>Netherlands</w:t>
      </w:r>
      <w:r w:rsidR="00CB3215" w:rsidRPr="00D80EB6">
        <w:t xml:space="preserve"> (up 162%), </w:t>
      </w:r>
      <w:r w:rsidR="0025565E" w:rsidRPr="00D80EB6">
        <w:rPr>
          <w:b/>
        </w:rPr>
        <w:t>China</w:t>
      </w:r>
      <w:r w:rsidR="00E025F4" w:rsidRPr="00D80EB6">
        <w:t xml:space="preserve"> (up 21%),</w:t>
      </w:r>
      <w:r w:rsidR="00CB3215" w:rsidRPr="00D80EB6">
        <w:t xml:space="preserve"> </w:t>
      </w:r>
      <w:r w:rsidR="0025565E" w:rsidRPr="00D80EB6">
        <w:rPr>
          <w:b/>
        </w:rPr>
        <w:t>Germany</w:t>
      </w:r>
      <w:r w:rsidR="00CB3215" w:rsidRPr="00D80EB6">
        <w:t xml:space="preserve"> (up 10%) </w:t>
      </w:r>
      <w:r w:rsidR="00E025F4" w:rsidRPr="00D80EB6">
        <w:t xml:space="preserve">and </w:t>
      </w:r>
      <w:r w:rsidR="00E025F4" w:rsidRPr="00D80EB6">
        <w:rPr>
          <w:b/>
        </w:rPr>
        <w:t xml:space="preserve">Costa Rica </w:t>
      </w:r>
      <w:r w:rsidR="00E025F4" w:rsidRPr="00D80EB6">
        <w:t xml:space="preserve">(up 149%), </w:t>
      </w:r>
      <w:r w:rsidR="004951BC">
        <w:t xml:space="preserve">and despite a </w:t>
      </w:r>
      <w:r w:rsidR="00A46BDC" w:rsidRPr="00D80EB6">
        <w:t xml:space="preserve">drop </w:t>
      </w:r>
      <w:r w:rsidR="004951BC">
        <w:t xml:space="preserve">of 28% </w:t>
      </w:r>
      <w:r w:rsidR="00234444" w:rsidRPr="00D80EB6">
        <w:t>to</w:t>
      </w:r>
      <w:r w:rsidR="00CB3215" w:rsidRPr="00D80EB6">
        <w:t xml:space="preserve"> </w:t>
      </w:r>
      <w:r w:rsidR="00CB3215" w:rsidRPr="00D80EB6">
        <w:rPr>
          <w:b/>
        </w:rPr>
        <w:t>Mexico</w:t>
      </w:r>
      <w:r w:rsidR="00A46BDC" w:rsidRPr="00D80EB6">
        <w:t xml:space="preserve">. </w:t>
      </w:r>
      <w:r w:rsidR="00234444" w:rsidRPr="00D80EB6">
        <w:rPr>
          <w:b/>
        </w:rPr>
        <w:t>P</w:t>
      </w:r>
      <w:r w:rsidR="00DA4B88" w:rsidRPr="00D80EB6">
        <w:rPr>
          <w:b/>
        </w:rPr>
        <w:t>rimary polyester resins</w:t>
      </w:r>
      <w:r w:rsidR="00A46BDC" w:rsidRPr="00D80EB6">
        <w:t xml:space="preserve"> </w:t>
      </w:r>
      <w:r w:rsidR="00B5170B" w:rsidRPr="00D80EB6">
        <w:t xml:space="preserve">and </w:t>
      </w:r>
      <w:r w:rsidR="00E025F4" w:rsidRPr="00D80EB6">
        <w:rPr>
          <w:b/>
        </w:rPr>
        <w:t>adhesive</w:t>
      </w:r>
      <w:r w:rsidR="00E025F4" w:rsidRPr="00D80EB6">
        <w:t xml:space="preserve"> </w:t>
      </w:r>
      <w:r w:rsidR="00DA4B88" w:rsidRPr="00D80EB6">
        <w:rPr>
          <w:b/>
        </w:rPr>
        <w:t>plastic sheets, film</w:t>
      </w:r>
      <w:r w:rsidR="00DA4B88" w:rsidRPr="00D80EB6">
        <w:t xml:space="preserve"> </w:t>
      </w:r>
      <w:r w:rsidR="00950233" w:rsidRPr="00D80EB6">
        <w:t>jump</w:t>
      </w:r>
      <w:r w:rsidR="00E025F4" w:rsidRPr="00D80EB6">
        <w:t>ed the most</w:t>
      </w:r>
      <w:r w:rsidR="001F56E0" w:rsidRPr="00D80EB6">
        <w:t>.</w:t>
      </w:r>
    </w:p>
    <w:p w:rsidR="00573535" w:rsidRPr="00D80EB6" w:rsidRDefault="00573535" w:rsidP="00621A4A">
      <w:pPr>
        <w:spacing w:after="0"/>
        <w:rPr>
          <w:b/>
          <w:sz w:val="24"/>
        </w:rPr>
      </w:pPr>
      <w:r w:rsidRPr="00D80EB6">
        <w:rPr>
          <w:rStyle w:val="Heading4Char"/>
          <w:color w:val="auto"/>
        </w:rPr>
        <w:t xml:space="preserve">Figure </w:t>
      </w:r>
      <w:r w:rsidRPr="00D80EB6">
        <w:rPr>
          <w:rStyle w:val="Heading4Char"/>
          <w:b/>
          <w:color w:val="auto"/>
        </w:rPr>
        <w:fldChar w:fldCharType="begin"/>
      </w:r>
      <w:r w:rsidRPr="00D80EB6">
        <w:rPr>
          <w:rStyle w:val="Heading4Char"/>
          <w:color w:val="auto"/>
        </w:rPr>
        <w:instrText xml:space="preserve"> SEQ Figure \* ARABIC </w:instrText>
      </w:r>
      <w:r w:rsidRPr="00D80EB6">
        <w:rPr>
          <w:rStyle w:val="Heading4Char"/>
          <w:b/>
          <w:color w:val="auto"/>
        </w:rPr>
        <w:fldChar w:fldCharType="separate"/>
      </w:r>
      <w:r w:rsidR="00900302" w:rsidRPr="00D80EB6">
        <w:rPr>
          <w:rStyle w:val="Heading4Char"/>
          <w:noProof/>
          <w:color w:val="auto"/>
        </w:rPr>
        <w:t>3</w:t>
      </w:r>
      <w:r w:rsidRPr="00D80EB6">
        <w:rPr>
          <w:rStyle w:val="Heading4Char"/>
          <w:b/>
          <w:color w:val="auto"/>
        </w:rPr>
        <w:fldChar w:fldCharType="end"/>
      </w:r>
      <w:r w:rsidR="0021231E" w:rsidRPr="00D80EB6">
        <w:rPr>
          <w:rStyle w:val="Heading4Char"/>
          <w:color w:val="auto"/>
        </w:rPr>
        <w:t xml:space="preserve">. </w:t>
      </w:r>
      <w:r w:rsidR="003E01C9" w:rsidRPr="00D80EB6">
        <w:rPr>
          <w:rStyle w:val="Heading4Char"/>
          <w:color w:val="auto"/>
        </w:rPr>
        <w:t>Minnesota’s</w:t>
      </w:r>
      <w:r w:rsidR="00615CB4" w:rsidRPr="00D80EB6">
        <w:rPr>
          <w:rStyle w:val="Heading4Char"/>
          <w:color w:val="auto"/>
        </w:rPr>
        <w:t xml:space="preserve"> </w:t>
      </w:r>
      <w:r w:rsidR="00831997" w:rsidRPr="00D80EB6">
        <w:rPr>
          <w:rStyle w:val="Heading4Char"/>
          <w:color w:val="auto"/>
        </w:rPr>
        <w:t xml:space="preserve">Major Markets for Meat </w:t>
      </w:r>
    </w:p>
    <w:p w:rsidR="00573535" w:rsidRPr="00D80EB6" w:rsidRDefault="00573535" w:rsidP="00573535">
      <w:pPr>
        <w:spacing w:after="0"/>
      </w:pPr>
      <w:r w:rsidRPr="00D80EB6">
        <w:rPr>
          <w:noProof/>
        </w:rPr>
        <w:drawing>
          <wp:inline distT="0" distB="0" distL="0" distR="0" wp14:anchorId="3D5979D0" wp14:editId="2CA2F874">
            <wp:extent cx="2626918" cy="1881656"/>
            <wp:effectExtent l="0" t="0" r="0" b="0"/>
            <wp:docPr id="3" name="Chart 3" descr="China 31%&#10;Korea 23%&#10;Mexico 17%&#10;Japan 12%&#10;Canada 7%&#10;Other 10%" title="Figur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026CC" w:rsidRPr="00D80EB6" w:rsidRDefault="005026CC" w:rsidP="009B60BD">
      <w:pPr>
        <w:spacing w:after="0"/>
        <w:sectPr w:rsidR="005026CC" w:rsidRPr="00D80EB6" w:rsidSect="005026CC">
          <w:footerReference w:type="default" r:id="rId16"/>
          <w:footnotePr>
            <w:numRestart w:val="eachSect"/>
          </w:footnotePr>
          <w:endnotePr>
            <w:numFmt w:val="decimal"/>
          </w:endnotePr>
          <w:type w:val="continuous"/>
          <w:pgSz w:w="12240" w:h="15840" w:code="1"/>
          <w:pgMar w:top="936" w:right="1152" w:bottom="936" w:left="1080" w:header="720" w:footer="720" w:gutter="0"/>
          <w:cols w:num="2" w:space="720"/>
          <w:titlePg/>
          <w:docGrid w:linePitch="299"/>
        </w:sectPr>
      </w:pPr>
    </w:p>
    <w:p w:rsidR="00B708AD" w:rsidRPr="00D80EB6" w:rsidRDefault="00950233" w:rsidP="00B708AD">
      <w:pPr>
        <w:pStyle w:val="ListParagraph"/>
        <w:numPr>
          <w:ilvl w:val="0"/>
          <w:numId w:val="7"/>
        </w:numPr>
        <w:spacing w:after="0"/>
        <w:ind w:left="360" w:right="-396"/>
      </w:pPr>
      <w:r w:rsidRPr="00D80EB6">
        <w:t xml:space="preserve">Robust </w:t>
      </w:r>
      <w:r w:rsidR="00E704F7" w:rsidRPr="00D80EB6">
        <w:t>sales</w:t>
      </w:r>
      <w:r w:rsidR="004B0B28" w:rsidRPr="00D80EB6">
        <w:t xml:space="preserve"> of </w:t>
      </w:r>
      <w:r w:rsidR="004B0B28" w:rsidRPr="00D80EB6">
        <w:rPr>
          <w:b/>
        </w:rPr>
        <w:t>civilian aircraft and parts</w:t>
      </w:r>
      <w:r w:rsidR="004B0B28" w:rsidRPr="00D80EB6">
        <w:t xml:space="preserve"> </w:t>
      </w:r>
      <w:r w:rsidR="00C76F72" w:rsidRPr="00D80EB6">
        <w:t>in</w:t>
      </w:r>
      <w:r w:rsidR="00B708AD" w:rsidRPr="00D80EB6">
        <w:t xml:space="preserve"> </w:t>
      </w:r>
      <w:r w:rsidR="00E704F7" w:rsidRPr="00D80EB6">
        <w:rPr>
          <w:b/>
        </w:rPr>
        <w:t>China</w:t>
      </w:r>
      <w:r w:rsidR="00C76F72" w:rsidRPr="00D80EB6">
        <w:t xml:space="preserve">, </w:t>
      </w:r>
      <w:r w:rsidR="00E704F7" w:rsidRPr="00D80EB6">
        <w:rPr>
          <w:b/>
        </w:rPr>
        <w:t xml:space="preserve">Korea </w:t>
      </w:r>
      <w:r w:rsidR="00E704F7" w:rsidRPr="00D80EB6">
        <w:t xml:space="preserve">and </w:t>
      </w:r>
      <w:r w:rsidR="00E704F7" w:rsidRPr="00D80EB6">
        <w:rPr>
          <w:b/>
        </w:rPr>
        <w:t>Mexico</w:t>
      </w:r>
      <w:r w:rsidRPr="00D80EB6">
        <w:t xml:space="preserve"> lifted </w:t>
      </w:r>
      <w:r w:rsidRPr="00D80EB6">
        <w:rPr>
          <w:b/>
        </w:rPr>
        <w:t>aircraft</w:t>
      </w:r>
      <w:r w:rsidRPr="00D80EB6">
        <w:t xml:space="preserve"> </w:t>
      </w:r>
      <w:r w:rsidR="00F55D28" w:rsidRPr="00D80EB6">
        <w:t>exports by</w:t>
      </w:r>
      <w:r w:rsidRPr="00D80EB6">
        <w:t xml:space="preserve"> 19%.</w:t>
      </w:r>
    </w:p>
    <w:p w:rsidR="00447C35" w:rsidRPr="00D80EB6" w:rsidRDefault="00205F9C" w:rsidP="004D0671">
      <w:pPr>
        <w:pStyle w:val="ListParagraph"/>
        <w:numPr>
          <w:ilvl w:val="0"/>
          <w:numId w:val="7"/>
        </w:numPr>
        <w:spacing w:after="0"/>
        <w:ind w:left="360"/>
      </w:pPr>
      <w:r w:rsidRPr="00D80EB6">
        <w:t xml:space="preserve">Outreach in </w:t>
      </w:r>
      <w:r w:rsidRPr="00D80EB6">
        <w:rPr>
          <w:b/>
        </w:rPr>
        <w:t>Germany</w:t>
      </w:r>
      <w:r w:rsidRPr="00D80EB6">
        <w:t xml:space="preserve"> and </w:t>
      </w:r>
      <w:r w:rsidRPr="00D80EB6">
        <w:rPr>
          <w:b/>
        </w:rPr>
        <w:t xml:space="preserve">Taiwan </w:t>
      </w:r>
      <w:r w:rsidRPr="00D80EB6">
        <w:t>led to</w:t>
      </w:r>
      <w:r w:rsidRPr="00D80EB6">
        <w:rPr>
          <w:b/>
        </w:rPr>
        <w:t xml:space="preserve"> s</w:t>
      </w:r>
      <w:r w:rsidR="00EB74BC" w:rsidRPr="00D80EB6">
        <w:rPr>
          <w:b/>
        </w:rPr>
        <w:t>tone, plaster, cement</w:t>
      </w:r>
      <w:r w:rsidR="004D0671" w:rsidRPr="00D80EB6">
        <w:rPr>
          <w:b/>
        </w:rPr>
        <w:t xml:space="preserve"> </w:t>
      </w:r>
      <w:r w:rsidR="00176732" w:rsidRPr="00D80EB6">
        <w:t>exports increas</w:t>
      </w:r>
      <w:r w:rsidRPr="00D80EB6">
        <w:t>ing</w:t>
      </w:r>
      <w:r w:rsidR="004D0671" w:rsidRPr="00D80EB6">
        <w:t xml:space="preserve"> </w:t>
      </w:r>
      <w:r w:rsidRPr="00D80EB6">
        <w:t>10% to $106 million.</w:t>
      </w:r>
    </w:p>
    <w:p w:rsidR="00372846" w:rsidRPr="00D80EB6" w:rsidRDefault="000541A0" w:rsidP="00372846">
      <w:pPr>
        <w:pStyle w:val="ListParagraph"/>
        <w:numPr>
          <w:ilvl w:val="0"/>
          <w:numId w:val="7"/>
        </w:numPr>
        <w:spacing w:after="0"/>
        <w:ind w:left="360"/>
      </w:pPr>
      <w:r w:rsidRPr="00D80EB6">
        <w:t xml:space="preserve">Among </w:t>
      </w:r>
      <w:r w:rsidR="00A62E69" w:rsidRPr="00D80EB6">
        <w:t>food segments</w:t>
      </w:r>
      <w:r w:rsidR="00372846" w:rsidRPr="00D80EB6">
        <w:t>,</w:t>
      </w:r>
      <w:r w:rsidR="00A62E69" w:rsidRPr="00D80EB6">
        <w:t xml:space="preserve"> </w:t>
      </w:r>
      <w:r w:rsidR="00372846" w:rsidRPr="00D80EB6">
        <w:rPr>
          <w:b/>
        </w:rPr>
        <w:t>Mexico</w:t>
      </w:r>
      <w:r w:rsidR="00372846" w:rsidRPr="00D80EB6">
        <w:t xml:space="preserve"> </w:t>
      </w:r>
      <w:r w:rsidR="00F55D28" w:rsidRPr="00D80EB6">
        <w:t>generated</w:t>
      </w:r>
      <w:r w:rsidR="00A60B2E" w:rsidRPr="00D80EB6">
        <w:t xml:space="preserve"> export growth </w:t>
      </w:r>
      <w:r w:rsidR="00A62E69" w:rsidRPr="00D80EB6">
        <w:t>for</w:t>
      </w:r>
      <w:r w:rsidR="00372846" w:rsidRPr="00D80EB6">
        <w:t xml:space="preserve"> </w:t>
      </w:r>
      <w:r w:rsidR="00372846" w:rsidRPr="00D80EB6">
        <w:rPr>
          <w:b/>
        </w:rPr>
        <w:t xml:space="preserve">dairy, eggs </w:t>
      </w:r>
      <w:r w:rsidR="00372846" w:rsidRPr="00D80EB6">
        <w:t xml:space="preserve">($36 million, up 33%) and </w:t>
      </w:r>
      <w:r w:rsidR="00372846" w:rsidRPr="00D80EB6">
        <w:rPr>
          <w:b/>
        </w:rPr>
        <w:t xml:space="preserve">fats, oils </w:t>
      </w:r>
      <w:r w:rsidR="00A62E69" w:rsidRPr="00D80EB6">
        <w:t>($23 million, up 64%).</w:t>
      </w:r>
      <w:r w:rsidR="00372846" w:rsidRPr="00D80EB6">
        <w:t xml:space="preserve"> </w:t>
      </w:r>
      <w:r w:rsidR="00A60B2E" w:rsidRPr="00D80EB6">
        <w:t>S</w:t>
      </w:r>
      <w:r w:rsidR="00A62E69" w:rsidRPr="00D80EB6">
        <w:t>ales</w:t>
      </w:r>
      <w:r w:rsidR="003F6B30" w:rsidRPr="00D80EB6">
        <w:t xml:space="preserve"> of </w:t>
      </w:r>
      <w:r w:rsidR="00372846" w:rsidRPr="00D80EB6">
        <w:rPr>
          <w:b/>
        </w:rPr>
        <w:t>food by-products</w:t>
      </w:r>
      <w:r w:rsidR="00372846" w:rsidRPr="00D80EB6">
        <w:t xml:space="preserve"> (</w:t>
      </w:r>
      <w:r w:rsidR="00F646A4" w:rsidRPr="00D80EB6">
        <w:t>$146 million, up 5%) had</w:t>
      </w:r>
      <w:r w:rsidR="00176732" w:rsidRPr="00D80EB6">
        <w:t xml:space="preserve"> solid traction in</w:t>
      </w:r>
      <w:r w:rsidRPr="00D80EB6">
        <w:t xml:space="preserve"> </w:t>
      </w:r>
      <w:r w:rsidR="00D3214A" w:rsidRPr="00D80EB6">
        <w:t>markets</w:t>
      </w:r>
      <w:r w:rsidRPr="00D80EB6">
        <w:t xml:space="preserve"> such as</w:t>
      </w:r>
      <w:r w:rsidR="003F6B30" w:rsidRPr="00D80EB6">
        <w:t xml:space="preserve"> </w:t>
      </w:r>
      <w:r w:rsidR="003F6B30" w:rsidRPr="00D80EB6">
        <w:rPr>
          <w:b/>
        </w:rPr>
        <w:t>Indonesia</w:t>
      </w:r>
      <w:r w:rsidR="003575CE" w:rsidRPr="00D80EB6">
        <w:rPr>
          <w:b/>
        </w:rPr>
        <w:t xml:space="preserve"> </w:t>
      </w:r>
      <w:r w:rsidR="003575CE" w:rsidRPr="00D80EB6">
        <w:t>(up 127%)</w:t>
      </w:r>
      <w:r w:rsidRPr="00D80EB6">
        <w:t>,</w:t>
      </w:r>
      <w:r w:rsidR="003F6B30" w:rsidRPr="00D80EB6">
        <w:t xml:space="preserve"> </w:t>
      </w:r>
      <w:r w:rsidR="003F6B30" w:rsidRPr="00D80EB6">
        <w:rPr>
          <w:b/>
        </w:rPr>
        <w:t>Korea</w:t>
      </w:r>
      <w:r w:rsidR="003575CE" w:rsidRPr="00D80EB6">
        <w:rPr>
          <w:b/>
        </w:rPr>
        <w:t xml:space="preserve"> </w:t>
      </w:r>
      <w:r w:rsidR="003575CE" w:rsidRPr="00D80EB6">
        <w:t>(up 78%)</w:t>
      </w:r>
      <w:r w:rsidR="003F6B30" w:rsidRPr="00D80EB6">
        <w:t xml:space="preserve"> </w:t>
      </w:r>
      <w:r w:rsidRPr="00D80EB6">
        <w:t xml:space="preserve">and </w:t>
      </w:r>
      <w:r w:rsidRPr="00D80EB6">
        <w:rPr>
          <w:b/>
        </w:rPr>
        <w:t>Thailand</w:t>
      </w:r>
      <w:r w:rsidR="003575CE" w:rsidRPr="00D80EB6">
        <w:rPr>
          <w:b/>
        </w:rPr>
        <w:t xml:space="preserve"> </w:t>
      </w:r>
      <w:r w:rsidR="003575CE" w:rsidRPr="00D80EB6">
        <w:t>(up 59%)</w:t>
      </w:r>
      <w:r w:rsidR="00D3214A" w:rsidRPr="00D80EB6">
        <w:t>,</w:t>
      </w:r>
      <w:r w:rsidRPr="00D80EB6">
        <w:rPr>
          <w:b/>
        </w:rPr>
        <w:t xml:space="preserve"> </w:t>
      </w:r>
      <w:r w:rsidR="00A60B2E" w:rsidRPr="00D80EB6">
        <w:t>but</w:t>
      </w:r>
      <w:r w:rsidR="003F6B30" w:rsidRPr="00D80EB6">
        <w:t xml:space="preserve"> </w:t>
      </w:r>
      <w:r w:rsidR="000D1330">
        <w:t>slipped</w:t>
      </w:r>
      <w:r w:rsidR="00877E32" w:rsidRPr="00D80EB6">
        <w:t xml:space="preserve"> in</w:t>
      </w:r>
      <w:r w:rsidR="003F6B30" w:rsidRPr="00D80EB6">
        <w:t xml:space="preserve"> </w:t>
      </w:r>
      <w:r w:rsidR="003F6B30" w:rsidRPr="00D80EB6">
        <w:rPr>
          <w:b/>
        </w:rPr>
        <w:t>Japan</w:t>
      </w:r>
      <w:r w:rsidR="003F6B30" w:rsidRPr="00D80EB6">
        <w:t xml:space="preserve">, </w:t>
      </w:r>
      <w:r w:rsidR="003F6B30" w:rsidRPr="00D80EB6">
        <w:rPr>
          <w:b/>
        </w:rPr>
        <w:t xml:space="preserve">Chile </w:t>
      </w:r>
      <w:r w:rsidR="003F6B30" w:rsidRPr="00D80EB6">
        <w:t xml:space="preserve">and </w:t>
      </w:r>
      <w:r w:rsidR="003F6B30" w:rsidRPr="00D80EB6">
        <w:rPr>
          <w:b/>
        </w:rPr>
        <w:t>Vietnam</w:t>
      </w:r>
      <w:r w:rsidR="003F6B30" w:rsidRPr="00D80EB6">
        <w:t>.</w:t>
      </w:r>
    </w:p>
    <w:p w:rsidR="00372846" w:rsidRPr="00D80EB6" w:rsidRDefault="00372846" w:rsidP="00372846">
      <w:pPr>
        <w:pStyle w:val="ListParagraph"/>
        <w:numPr>
          <w:ilvl w:val="0"/>
          <w:numId w:val="7"/>
        </w:numPr>
        <w:spacing w:after="0"/>
        <w:ind w:left="360" w:right="-72"/>
      </w:pPr>
      <w:r w:rsidRPr="00D80EB6">
        <w:rPr>
          <w:b/>
        </w:rPr>
        <w:t xml:space="preserve">China </w:t>
      </w:r>
      <w:r w:rsidRPr="00D80EB6">
        <w:t>(up 43%),</w:t>
      </w:r>
      <w:r w:rsidRPr="00D80EB6">
        <w:rPr>
          <w:b/>
        </w:rPr>
        <w:t xml:space="preserve"> Japan </w:t>
      </w:r>
      <w:r w:rsidRPr="00D80EB6">
        <w:t xml:space="preserve">(up 36%), </w:t>
      </w:r>
      <w:r w:rsidRPr="00D80EB6">
        <w:rPr>
          <w:b/>
        </w:rPr>
        <w:t xml:space="preserve">Germany </w:t>
      </w:r>
      <w:r w:rsidRPr="00D80EB6">
        <w:t xml:space="preserve">(up 65%) and </w:t>
      </w:r>
      <w:r w:rsidRPr="00D80EB6">
        <w:rPr>
          <w:b/>
        </w:rPr>
        <w:t>Korea</w:t>
      </w:r>
      <w:r w:rsidRPr="00D80EB6">
        <w:t xml:space="preserve"> (up 18%) </w:t>
      </w:r>
      <w:r w:rsidR="000541A0" w:rsidRPr="00D80EB6">
        <w:t xml:space="preserve">spurred </w:t>
      </w:r>
      <w:r w:rsidR="00F646A4" w:rsidRPr="00D80EB6">
        <w:t>gains</w:t>
      </w:r>
      <w:r w:rsidR="000541A0" w:rsidRPr="00D80EB6">
        <w:t xml:space="preserve"> in</w:t>
      </w:r>
      <w:r w:rsidRPr="00D80EB6">
        <w:t xml:space="preserve"> </w:t>
      </w:r>
      <w:r w:rsidRPr="00D80EB6">
        <w:rPr>
          <w:b/>
        </w:rPr>
        <w:t>organic chemicals</w:t>
      </w:r>
      <w:r w:rsidRPr="00D80EB6">
        <w:t>.</w:t>
      </w:r>
    </w:p>
    <w:p w:rsidR="004D0671" w:rsidRPr="00D80EB6" w:rsidRDefault="00877E32" w:rsidP="00A60B2E">
      <w:pPr>
        <w:pStyle w:val="ListParagraph"/>
        <w:numPr>
          <w:ilvl w:val="0"/>
          <w:numId w:val="7"/>
        </w:numPr>
        <w:spacing w:after="0"/>
        <w:ind w:left="360"/>
      </w:pPr>
      <w:r w:rsidRPr="00D80EB6">
        <w:t xml:space="preserve">Bleak sales of </w:t>
      </w:r>
      <w:r w:rsidR="00534E9F" w:rsidRPr="00D80EB6">
        <w:rPr>
          <w:b/>
        </w:rPr>
        <w:t>blood products</w:t>
      </w:r>
      <w:r w:rsidR="00534E9F" w:rsidRPr="00D80EB6">
        <w:t xml:space="preserve"> and </w:t>
      </w:r>
      <w:r w:rsidR="00534E9F" w:rsidRPr="00D80EB6">
        <w:rPr>
          <w:b/>
        </w:rPr>
        <w:t>bandages</w:t>
      </w:r>
      <w:r w:rsidR="00D80EB6" w:rsidRPr="00D80EB6">
        <w:rPr>
          <w:b/>
        </w:rPr>
        <w:t xml:space="preserve"> </w:t>
      </w:r>
      <w:r w:rsidR="00534E9F" w:rsidRPr="00D80EB6">
        <w:t>to</w:t>
      </w:r>
      <w:r w:rsidR="00447C35" w:rsidRPr="00D80EB6">
        <w:t xml:space="preserve"> </w:t>
      </w:r>
      <w:r w:rsidR="00D80EB6" w:rsidRPr="00D80EB6">
        <w:rPr>
          <w:b/>
        </w:rPr>
        <w:t>China,</w:t>
      </w:r>
      <w:r w:rsidR="00D80EB6" w:rsidRPr="00D80EB6">
        <w:t xml:space="preserve"> </w:t>
      </w:r>
      <w:r w:rsidR="00447C35" w:rsidRPr="00D80EB6">
        <w:rPr>
          <w:b/>
        </w:rPr>
        <w:t>Germany</w:t>
      </w:r>
      <w:r w:rsidR="00447C35" w:rsidRPr="00D80EB6">
        <w:t xml:space="preserve"> </w:t>
      </w:r>
      <w:r w:rsidR="00AB6229" w:rsidRPr="00D80EB6">
        <w:t xml:space="preserve">and </w:t>
      </w:r>
      <w:r w:rsidR="00AB6229" w:rsidRPr="00D80EB6">
        <w:rPr>
          <w:b/>
        </w:rPr>
        <w:t>Singapore</w:t>
      </w:r>
      <w:r w:rsidR="00D3214A" w:rsidRPr="00D80EB6">
        <w:t xml:space="preserve"> disrupted </w:t>
      </w:r>
      <w:r w:rsidRPr="00D80EB6">
        <w:rPr>
          <w:b/>
        </w:rPr>
        <w:t>pharmaceuticals</w:t>
      </w:r>
      <w:r w:rsidR="00D80EB6" w:rsidRPr="00D80EB6">
        <w:t>.</w:t>
      </w:r>
    </w:p>
    <w:p w:rsidR="00D2478F" w:rsidRPr="00D80EB6" w:rsidRDefault="00760360" w:rsidP="004D0671">
      <w:pPr>
        <w:pStyle w:val="ListParagraph"/>
        <w:numPr>
          <w:ilvl w:val="0"/>
          <w:numId w:val="7"/>
        </w:numPr>
        <w:spacing w:after="0"/>
        <w:ind w:left="360" w:right="-72"/>
      </w:pPr>
      <w:r>
        <w:t>Demand</w:t>
      </w:r>
      <w:r w:rsidR="00621065" w:rsidRPr="00D80EB6">
        <w:t xml:space="preserve"> tu</w:t>
      </w:r>
      <w:r w:rsidR="00FA106A" w:rsidRPr="00D80EB6">
        <w:t>mbled</w:t>
      </w:r>
      <w:r w:rsidR="00621065" w:rsidRPr="00D80EB6">
        <w:t xml:space="preserve"> for</w:t>
      </w:r>
      <w:r w:rsidR="00D2478F" w:rsidRPr="00D80EB6">
        <w:t xml:space="preserve"> </w:t>
      </w:r>
      <w:r w:rsidR="00D2478F" w:rsidRPr="00D80EB6">
        <w:rPr>
          <w:b/>
        </w:rPr>
        <w:t>electrical equipment</w:t>
      </w:r>
      <w:r w:rsidR="00D2478F" w:rsidRPr="00D80EB6">
        <w:t xml:space="preserve"> (down $81 million – </w:t>
      </w:r>
      <w:r w:rsidR="00877E32" w:rsidRPr="00D80EB6">
        <w:t>influenced by</w:t>
      </w:r>
      <w:r w:rsidR="00D2478F" w:rsidRPr="00D80EB6">
        <w:t xml:space="preserve"> </w:t>
      </w:r>
      <w:r w:rsidR="00D2478F" w:rsidRPr="00D80EB6">
        <w:rPr>
          <w:b/>
        </w:rPr>
        <w:t>the Philippines, Turkey</w:t>
      </w:r>
      <w:r w:rsidR="00D2478F" w:rsidRPr="00D80EB6">
        <w:t xml:space="preserve"> and </w:t>
      </w:r>
      <w:r w:rsidR="00D2478F" w:rsidRPr="00D80EB6">
        <w:rPr>
          <w:b/>
        </w:rPr>
        <w:t>Canada</w:t>
      </w:r>
      <w:r w:rsidR="00AB6229" w:rsidRPr="00D80EB6">
        <w:t>);</w:t>
      </w:r>
      <w:r w:rsidR="00D2478F" w:rsidRPr="00D80EB6">
        <w:t xml:space="preserve"> </w:t>
      </w:r>
      <w:r w:rsidR="00D2478F" w:rsidRPr="00D80EB6">
        <w:rPr>
          <w:b/>
        </w:rPr>
        <w:t xml:space="preserve">machinery </w:t>
      </w:r>
      <w:r w:rsidR="00D2478F" w:rsidRPr="00D80EB6">
        <w:t xml:space="preserve">(down $77 million – largely </w:t>
      </w:r>
      <w:r w:rsidR="00EB74BC" w:rsidRPr="00D80EB6">
        <w:t xml:space="preserve">due to </w:t>
      </w:r>
      <w:r w:rsidR="00EB74BC" w:rsidRPr="00D80EB6">
        <w:rPr>
          <w:b/>
        </w:rPr>
        <w:t>Mexico,</w:t>
      </w:r>
      <w:r w:rsidR="00D2478F" w:rsidRPr="00D80EB6">
        <w:rPr>
          <w:b/>
        </w:rPr>
        <w:t xml:space="preserve"> China</w:t>
      </w:r>
      <w:r w:rsidR="00D2478F" w:rsidRPr="00D80EB6">
        <w:t xml:space="preserve"> and </w:t>
      </w:r>
      <w:r w:rsidR="00D2478F" w:rsidRPr="00D80EB6">
        <w:rPr>
          <w:b/>
        </w:rPr>
        <w:t>Australia</w:t>
      </w:r>
      <w:r w:rsidR="00AB6229" w:rsidRPr="00D80EB6">
        <w:t>);</w:t>
      </w:r>
      <w:r w:rsidR="00D2478F" w:rsidRPr="00D80EB6">
        <w:t xml:space="preserve"> </w:t>
      </w:r>
      <w:r w:rsidR="00EB74BC" w:rsidRPr="00D80EB6">
        <w:rPr>
          <w:b/>
        </w:rPr>
        <w:t>cereals</w:t>
      </w:r>
      <w:r w:rsidR="00877E32" w:rsidRPr="00D80EB6">
        <w:t xml:space="preserve"> (down $31 million – shaped by</w:t>
      </w:r>
      <w:r w:rsidR="00EB74BC" w:rsidRPr="00D80EB6">
        <w:t xml:space="preserve"> </w:t>
      </w:r>
      <w:r w:rsidR="00EB74BC" w:rsidRPr="00D80EB6">
        <w:rPr>
          <w:b/>
        </w:rPr>
        <w:t xml:space="preserve">Canada </w:t>
      </w:r>
      <w:r w:rsidR="00EB74BC" w:rsidRPr="00D80EB6">
        <w:t xml:space="preserve">and </w:t>
      </w:r>
      <w:r w:rsidR="00EB74BC" w:rsidRPr="00D80EB6">
        <w:rPr>
          <w:b/>
        </w:rPr>
        <w:t>Japan</w:t>
      </w:r>
      <w:r w:rsidR="00D2478F" w:rsidRPr="00D80EB6">
        <w:t>)</w:t>
      </w:r>
      <w:r w:rsidR="00AB6229" w:rsidRPr="00D80EB6">
        <w:t>;</w:t>
      </w:r>
      <w:r w:rsidR="008B5DBC" w:rsidRPr="00D80EB6">
        <w:t xml:space="preserve"> and </w:t>
      </w:r>
      <w:r w:rsidR="008B5DBC" w:rsidRPr="00D80EB6">
        <w:rPr>
          <w:b/>
        </w:rPr>
        <w:t xml:space="preserve">vehicles </w:t>
      </w:r>
      <w:r w:rsidR="00FA106A" w:rsidRPr="00D80EB6">
        <w:t>(down $25 million</w:t>
      </w:r>
      <w:r w:rsidR="008B5DBC" w:rsidRPr="00D80EB6">
        <w:t xml:space="preserve"> </w:t>
      </w:r>
      <w:r w:rsidR="00877E32" w:rsidRPr="00D80EB6">
        <w:t>–</w:t>
      </w:r>
      <w:r w:rsidR="008B5DBC" w:rsidRPr="00D80EB6">
        <w:t xml:space="preserve"> </w:t>
      </w:r>
      <w:r w:rsidR="00D80EB6" w:rsidRPr="00D80EB6">
        <w:t xml:space="preserve">dragged down by </w:t>
      </w:r>
      <w:r w:rsidR="008B5DBC" w:rsidRPr="00D80EB6">
        <w:rPr>
          <w:b/>
        </w:rPr>
        <w:t>Mexico</w:t>
      </w:r>
      <w:r w:rsidR="008B5DBC" w:rsidRPr="00D80EB6">
        <w:t>).</w:t>
      </w:r>
    </w:p>
    <w:p w:rsidR="00693229" w:rsidRPr="00D80EB6" w:rsidRDefault="00A62E69" w:rsidP="004D0671">
      <w:pPr>
        <w:pStyle w:val="ListParagraph"/>
        <w:numPr>
          <w:ilvl w:val="0"/>
          <w:numId w:val="7"/>
        </w:numPr>
        <w:spacing w:after="0"/>
        <w:ind w:left="360" w:right="-72"/>
      </w:pPr>
      <w:r w:rsidRPr="00D80EB6">
        <w:t>Also losing ground were exports of</w:t>
      </w:r>
      <w:r w:rsidR="00693229" w:rsidRPr="00D80EB6">
        <w:rPr>
          <w:b/>
        </w:rPr>
        <w:t xml:space="preserve"> wood pulp </w:t>
      </w:r>
      <w:r w:rsidR="00693229" w:rsidRPr="00D80EB6">
        <w:t>(</w:t>
      </w:r>
      <w:r w:rsidR="00372846" w:rsidRPr="00D80EB6">
        <w:t>$41</w:t>
      </w:r>
      <w:r w:rsidRPr="00D80EB6">
        <w:t xml:space="preserve"> million</w:t>
      </w:r>
      <w:r w:rsidR="00FA106A" w:rsidRPr="00D80EB6">
        <w:t>, down 36%</w:t>
      </w:r>
      <w:r w:rsidRPr="00D80EB6">
        <w:t>) in</w:t>
      </w:r>
      <w:r w:rsidR="00693229" w:rsidRPr="00D80EB6">
        <w:rPr>
          <w:b/>
        </w:rPr>
        <w:t xml:space="preserve"> Indonesia </w:t>
      </w:r>
      <w:r w:rsidR="00693229" w:rsidRPr="00D80EB6">
        <w:t>and</w:t>
      </w:r>
      <w:r w:rsidR="00693229" w:rsidRPr="00D80EB6">
        <w:rPr>
          <w:b/>
        </w:rPr>
        <w:t xml:space="preserve"> India</w:t>
      </w:r>
      <w:r w:rsidR="00693229" w:rsidRPr="00D80EB6">
        <w:t>;</w:t>
      </w:r>
      <w:r w:rsidR="00693229" w:rsidRPr="00D80EB6">
        <w:rPr>
          <w:b/>
        </w:rPr>
        <w:t xml:space="preserve"> ores, slag, ash </w:t>
      </w:r>
      <w:r w:rsidR="00693229" w:rsidRPr="00D80EB6">
        <w:t>(</w:t>
      </w:r>
      <w:r w:rsidR="00372846" w:rsidRPr="00D80EB6">
        <w:t>$17</w:t>
      </w:r>
      <w:r w:rsidRPr="00D80EB6">
        <w:t xml:space="preserve"> million</w:t>
      </w:r>
      <w:r w:rsidR="00FA106A" w:rsidRPr="00D80EB6">
        <w:t>, down 47%</w:t>
      </w:r>
      <w:r w:rsidRPr="00D80EB6">
        <w:t xml:space="preserve">) in </w:t>
      </w:r>
      <w:r w:rsidRPr="00D80EB6">
        <w:rPr>
          <w:b/>
        </w:rPr>
        <w:t>Canada</w:t>
      </w:r>
      <w:r w:rsidR="00372846" w:rsidRPr="00D80EB6">
        <w:t>; and</w:t>
      </w:r>
      <w:r w:rsidR="00693229" w:rsidRPr="00D80EB6">
        <w:t xml:space="preserve"> </w:t>
      </w:r>
      <w:r w:rsidR="00372846" w:rsidRPr="00D80EB6">
        <w:rPr>
          <w:b/>
        </w:rPr>
        <w:t>glass</w:t>
      </w:r>
      <w:r w:rsidR="00372846" w:rsidRPr="00D80EB6">
        <w:t xml:space="preserve"> ($27</w:t>
      </w:r>
      <w:r w:rsidRPr="00D80EB6">
        <w:t xml:space="preserve"> million</w:t>
      </w:r>
      <w:r w:rsidR="00FA106A" w:rsidRPr="00D80EB6">
        <w:t>, down 35%</w:t>
      </w:r>
      <w:r w:rsidRPr="00D80EB6">
        <w:t xml:space="preserve">) in </w:t>
      </w:r>
      <w:r w:rsidRPr="00D80EB6">
        <w:rPr>
          <w:b/>
        </w:rPr>
        <w:t>Canada</w:t>
      </w:r>
      <w:r w:rsidRPr="00D80EB6">
        <w:t xml:space="preserve"> and </w:t>
      </w:r>
      <w:r w:rsidRPr="00D80EB6">
        <w:rPr>
          <w:b/>
        </w:rPr>
        <w:t>Switzerland</w:t>
      </w:r>
      <w:r w:rsidR="00372846" w:rsidRPr="00D80EB6">
        <w:t>.</w:t>
      </w:r>
    </w:p>
    <w:p w:rsidR="007F1C4A" w:rsidRPr="00D80EB6" w:rsidRDefault="007F1C4A" w:rsidP="00D3214A">
      <w:pPr>
        <w:pStyle w:val="Heading4"/>
        <w:spacing w:before="120" w:after="60"/>
        <w:rPr>
          <w:color w:val="auto"/>
        </w:rPr>
      </w:pPr>
      <w:r w:rsidRPr="00D80EB6">
        <w:rPr>
          <w:color w:val="auto"/>
        </w:rPr>
        <w:t xml:space="preserve">Figure 4. Exports and Trends </w:t>
      </w:r>
      <w:proofErr w:type="gramStart"/>
      <w:r w:rsidRPr="00D80EB6">
        <w:rPr>
          <w:color w:val="auto"/>
        </w:rPr>
        <w:t>Among</w:t>
      </w:r>
      <w:proofErr w:type="gramEnd"/>
      <w:r w:rsidRPr="00D80EB6">
        <w:rPr>
          <w:color w:val="auto"/>
        </w:rPr>
        <w:t xml:space="preserve"> Minnesota’s Top 10 Products, </w:t>
      </w:r>
      <w:r w:rsidR="00A52415" w:rsidRPr="00D80EB6">
        <w:rPr>
          <w:color w:val="auto"/>
        </w:rPr>
        <w:t xml:space="preserve">First Quarter </w:t>
      </w:r>
      <w:r w:rsidR="007818E5" w:rsidRPr="00D80EB6">
        <w:rPr>
          <w:color w:val="auto"/>
        </w:rPr>
        <w:t>2020</w:t>
      </w:r>
    </w:p>
    <w:p w:rsidR="00ED605B" w:rsidRPr="00D80EB6" w:rsidRDefault="003575CE" w:rsidP="00ED605B">
      <w:pPr>
        <w:spacing w:after="0"/>
      </w:pPr>
      <w:r w:rsidRPr="00D80EB6">
        <w:rPr>
          <w:noProof/>
        </w:rPr>
        <w:drawing>
          <wp:inline distT="0" distB="0" distL="0" distR="0">
            <wp:extent cx="6210300" cy="1947858"/>
            <wp:effectExtent l="0" t="0" r="0" b="0"/>
            <wp:docPr id="11" name="Picture 11" descr="PRODUCT  Exports (billions)  Percent Change, 2019-Q1 to 2020--Q1&#10;TOTAL  $5.6  5%&#10;Optic, Medical  $1.1  -2%&#10;Machinery  $0.8  -9%&#10;Electrical Equipment  $0.6  -11%&#10;Mineral Fuels, Oils*  $0.5  0%&#10;Plastics  $0.4  8%&#10;Vehicles  $0.3  -8%&#10;Food By-Products  $0.1  5%&#10;Aircraft, Spacecraft  $0.1  19%&#10;Pharmaceuticals  $0.1  -18%&#10;Meat  $0.1  53%&#10;Other  $1.3  -6%&#10;" title="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okim\Work from home files\wfh files_Main\Tableau, Viz\MTO Tableau files\Export Stats Reports\Newsletter &amp; Fact Sheet charts\2020-Q1 Top 10 2HS-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14101" cy="1949050"/>
                    </a:xfrm>
                    <a:prstGeom prst="rect">
                      <a:avLst/>
                    </a:prstGeom>
                    <a:noFill/>
                    <a:ln>
                      <a:noFill/>
                    </a:ln>
                  </pic:spPr>
                </pic:pic>
              </a:graphicData>
            </a:graphic>
          </wp:inline>
        </w:drawing>
      </w:r>
    </w:p>
    <w:tbl>
      <w:tblPr>
        <w:tblpPr w:leftFromText="180" w:rightFromText="180" w:vertAnchor="page" w:horzAnchor="margin" w:tblpY="13281"/>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E5A6"/>
        <w:tblLook w:val="04A0" w:firstRow="1" w:lastRow="0" w:firstColumn="1" w:lastColumn="0" w:noHBand="0" w:noVBand="1"/>
        <w:tblCaption w:val="Additional information"/>
        <w:tblDescription w:val="Minnesota Quarterly Export Statistics is the most current resource available for tracking the state’s manufactured export trends and is prepared for the Minnesota Trade Office (MTO) by the Department of Employment and Economic Development’s (DEED) Economic Analysis Unit (Thu-Mai Ho-Kim).  The quarterly and annual statistics reports primarily cover export data based on the Harmonized Tariff System (Schedule B), collected by the U.S. Department of Commerce (USDOC) and distributed by IHS Maritime &amp; Trade. Reports are available on DEED’s website at “Export and Trade Statistics” (http://mn.gov/deed/data/export-stats/)."/>
      </w:tblPr>
      <w:tblGrid>
        <w:gridCol w:w="10255"/>
      </w:tblGrid>
      <w:tr w:rsidR="00D80EB6" w:rsidRPr="00D80EB6" w:rsidTr="00D80EB6">
        <w:trPr>
          <w:trHeight w:val="347"/>
        </w:trPr>
        <w:tc>
          <w:tcPr>
            <w:tcW w:w="10255" w:type="dxa"/>
            <w:shd w:val="clear" w:color="auto" w:fill="C9E5A6"/>
          </w:tcPr>
          <w:p w:rsidR="00D80EB6" w:rsidRPr="00D80EB6" w:rsidRDefault="00D80EB6" w:rsidP="00D80EB6">
            <w:pPr>
              <w:spacing w:after="0"/>
            </w:pPr>
            <w:r w:rsidRPr="00D80EB6">
              <w:rPr>
                <w:rStyle w:val="Emphasis"/>
                <w:rFonts w:cstheme="minorHAnsi"/>
                <w:sz w:val="18"/>
              </w:rPr>
              <w:t>Minnesota Quarterly Export Statistics</w:t>
            </w:r>
            <w:r w:rsidRPr="00D80EB6">
              <w:rPr>
                <w:rFonts w:ascii="Calibri" w:hAnsi="Calibri"/>
                <w:sz w:val="14"/>
              </w:rPr>
              <w:t xml:space="preserve"> </w:t>
            </w:r>
            <w:r w:rsidRPr="00D80EB6">
              <w:rPr>
                <w:rFonts w:ascii="Calibri" w:hAnsi="Calibri"/>
                <w:sz w:val="18"/>
              </w:rPr>
              <w:t xml:space="preserve">is the most current resource available for tracking the state’s manufactured export trends and is prepared for the Minnesota Trade Office (MTO) by the Department of Employment and Economic Development’s (DEED) Economic Analysis Unit (Thu-Mai Ho-Kim).  </w:t>
            </w:r>
            <w:r w:rsidRPr="00D80EB6">
              <w:rPr>
                <w:rFonts w:ascii="Calibri" w:hAnsi="Calibri" w:cs="Calibri"/>
                <w:sz w:val="18"/>
                <w:szCs w:val="18"/>
              </w:rPr>
              <w:t>The quarterly and annual statistics reports primarily cover export data based on the Harmonized Tariff System (Schedule B), collected by the U.S. Department of Commerce (USDOC) and distributed by IHS Maritime &amp; Trade. Reports are available on DEED’s website at “Export and Trade Statistics” (</w:t>
            </w:r>
            <w:hyperlink r:id="rId18" w:history="1">
              <w:r w:rsidRPr="00D80EB6">
                <w:rPr>
                  <w:rStyle w:val="Hyperlink"/>
                  <w:color w:val="auto"/>
                  <w:sz w:val="18"/>
                  <w:szCs w:val="18"/>
                </w:rPr>
                <w:t>http://mn.gov/deed/data/export-stats/</w:t>
              </w:r>
            </w:hyperlink>
            <w:r w:rsidRPr="00D80EB6">
              <w:rPr>
                <w:sz w:val="18"/>
                <w:szCs w:val="18"/>
              </w:rPr>
              <w:t>)</w:t>
            </w:r>
            <w:r w:rsidRPr="00D80EB6">
              <w:rPr>
                <w:rFonts w:ascii="Calibri" w:hAnsi="Calibri" w:cs="Calibri"/>
                <w:sz w:val="18"/>
                <w:szCs w:val="18"/>
              </w:rPr>
              <w:t>.</w:t>
            </w:r>
          </w:p>
        </w:tc>
      </w:tr>
    </w:tbl>
    <w:p w:rsidR="00817E9E" w:rsidRPr="00D80EB6" w:rsidRDefault="00D80EB6" w:rsidP="008C1F20">
      <w:pPr>
        <w:spacing w:after="120"/>
        <w:rPr>
          <w:sz w:val="18"/>
        </w:rPr>
      </w:pPr>
      <w:r w:rsidRPr="00D80EB6">
        <w:rPr>
          <w:sz w:val="18"/>
        </w:rPr>
        <w:t>*Growth in exports of mineral fuels (up 1,874%) was omitted from the chart to minimize distortion.</w:t>
      </w:r>
    </w:p>
    <w:p w:rsidR="007F1C4A" w:rsidRPr="00D80EB6" w:rsidRDefault="007F1C4A" w:rsidP="00831997">
      <w:pPr>
        <w:spacing w:after="240"/>
        <w:rPr>
          <w:rFonts w:ascii="Times New Roman" w:eastAsia="Times New Roman" w:hAnsi="Times New Roman" w:cs="Times New Roman"/>
          <w:snapToGrid w:val="0"/>
          <w:w w:val="0"/>
          <w:sz w:val="0"/>
          <w:szCs w:val="0"/>
          <w:u w:color="000000"/>
          <w:bdr w:val="none" w:sz="0" w:space="0" w:color="000000"/>
          <w:shd w:val="clear" w:color="000000" w:fill="000000"/>
          <w:lang w:eastAsia="x-none" w:bidi="x-none"/>
        </w:rPr>
      </w:pPr>
    </w:p>
    <w:sectPr w:rsidR="007F1C4A" w:rsidRPr="00D80EB6" w:rsidSect="00426066">
      <w:footnotePr>
        <w:numRestart w:val="eachSect"/>
      </w:footnotePr>
      <w:endnotePr>
        <w:numFmt w:val="decimal"/>
      </w:endnotePr>
      <w:type w:val="continuous"/>
      <w:pgSz w:w="12240" w:h="15840" w:code="1"/>
      <w:pgMar w:top="936" w:right="1152" w:bottom="936" w:left="108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499" w:rsidRDefault="00A67499">
      <w:r>
        <w:separator/>
      </w:r>
    </w:p>
  </w:endnote>
  <w:endnote w:type="continuationSeparator" w:id="0">
    <w:p w:rsidR="00A67499" w:rsidRDefault="00A67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B7D" w:rsidRDefault="00CC1B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1B7D" w:rsidRDefault="00CC1B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E15" w:rsidRPr="00A14E15" w:rsidRDefault="00A14E15" w:rsidP="00A14E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499" w:rsidRDefault="00A67499">
      <w:r>
        <w:separator/>
      </w:r>
    </w:p>
  </w:footnote>
  <w:footnote w:type="continuationSeparator" w:id="0">
    <w:p w:rsidR="00A67499" w:rsidRDefault="00A67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B7D" w:rsidRDefault="00CC1B7D" w:rsidP="00E014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1B7D" w:rsidRDefault="00CC1B7D" w:rsidP="00E014F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B7D" w:rsidRDefault="00CC1B7D" w:rsidP="00E014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76E5">
      <w:rPr>
        <w:rStyle w:val="PageNumber"/>
        <w:noProof/>
      </w:rPr>
      <w:t>2</w:t>
    </w:r>
    <w:r>
      <w:rPr>
        <w:rStyle w:val="PageNumber"/>
      </w:rPr>
      <w:fldChar w:fldCharType="end"/>
    </w:r>
  </w:p>
  <w:p w:rsidR="00CC1B7D" w:rsidRDefault="00CC1B7D" w:rsidP="00E014F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9482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AD7251"/>
    <w:multiLevelType w:val="hybridMultilevel"/>
    <w:tmpl w:val="A20C3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055FB0"/>
    <w:multiLevelType w:val="hybridMultilevel"/>
    <w:tmpl w:val="39F01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621A5E"/>
    <w:multiLevelType w:val="hybridMultilevel"/>
    <w:tmpl w:val="787C9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8E4940"/>
    <w:multiLevelType w:val="hybridMultilevel"/>
    <w:tmpl w:val="4AAE80EE"/>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1121C"/>
    <w:multiLevelType w:val="hybridMultilevel"/>
    <w:tmpl w:val="CFAA2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731D63"/>
    <w:multiLevelType w:val="hybridMultilevel"/>
    <w:tmpl w:val="0FB4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81A19"/>
    <w:multiLevelType w:val="hybridMultilevel"/>
    <w:tmpl w:val="B832D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373CB2"/>
    <w:multiLevelType w:val="hybridMultilevel"/>
    <w:tmpl w:val="641C1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1704E9"/>
    <w:multiLevelType w:val="hybridMultilevel"/>
    <w:tmpl w:val="187CA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38056F"/>
    <w:multiLevelType w:val="hybridMultilevel"/>
    <w:tmpl w:val="88CEE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DA42E3"/>
    <w:multiLevelType w:val="hybridMultilevel"/>
    <w:tmpl w:val="8A0ED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7975A35"/>
    <w:multiLevelType w:val="hybridMultilevel"/>
    <w:tmpl w:val="E5021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F11FFB"/>
    <w:multiLevelType w:val="hybridMultilevel"/>
    <w:tmpl w:val="4CDAD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BE717D2"/>
    <w:multiLevelType w:val="hybridMultilevel"/>
    <w:tmpl w:val="E334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0"/>
  </w:num>
  <w:num w:numId="4">
    <w:abstractNumId w:val="3"/>
  </w:num>
  <w:num w:numId="5">
    <w:abstractNumId w:val="1"/>
  </w:num>
  <w:num w:numId="6">
    <w:abstractNumId w:val="6"/>
  </w:num>
  <w:num w:numId="7">
    <w:abstractNumId w:val="14"/>
  </w:num>
  <w:num w:numId="8">
    <w:abstractNumId w:val="12"/>
  </w:num>
  <w:num w:numId="9">
    <w:abstractNumId w:val="8"/>
  </w:num>
  <w:num w:numId="10">
    <w:abstractNumId w:val="7"/>
  </w:num>
  <w:num w:numId="11">
    <w:abstractNumId w:val="5"/>
  </w:num>
  <w:num w:numId="12">
    <w:abstractNumId w:val="2"/>
  </w:num>
  <w:num w:numId="13">
    <w:abstractNumId w:val="13"/>
  </w:num>
  <w:num w:numId="14">
    <w:abstractNumId w:val="9"/>
  </w:num>
  <w:num w:numId="1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Formatting/>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EAB"/>
    <w:rsid w:val="000041CC"/>
    <w:rsid w:val="000115BA"/>
    <w:rsid w:val="00013717"/>
    <w:rsid w:val="00017FE0"/>
    <w:rsid w:val="000218A0"/>
    <w:rsid w:val="00024BB5"/>
    <w:rsid w:val="000350A7"/>
    <w:rsid w:val="00035328"/>
    <w:rsid w:val="00036238"/>
    <w:rsid w:val="00046117"/>
    <w:rsid w:val="00051FE0"/>
    <w:rsid w:val="00051FF7"/>
    <w:rsid w:val="000541A0"/>
    <w:rsid w:val="0005790D"/>
    <w:rsid w:val="00061093"/>
    <w:rsid w:val="0006144E"/>
    <w:rsid w:val="0006608A"/>
    <w:rsid w:val="000705F0"/>
    <w:rsid w:val="000716AC"/>
    <w:rsid w:val="000731F2"/>
    <w:rsid w:val="00073987"/>
    <w:rsid w:val="00076DF3"/>
    <w:rsid w:val="00077989"/>
    <w:rsid w:val="0008038B"/>
    <w:rsid w:val="00083199"/>
    <w:rsid w:val="000859F2"/>
    <w:rsid w:val="00085EED"/>
    <w:rsid w:val="000878A3"/>
    <w:rsid w:val="00090B7B"/>
    <w:rsid w:val="0009219A"/>
    <w:rsid w:val="000924DC"/>
    <w:rsid w:val="00092621"/>
    <w:rsid w:val="0009287F"/>
    <w:rsid w:val="00092FFB"/>
    <w:rsid w:val="00096FFD"/>
    <w:rsid w:val="000A491B"/>
    <w:rsid w:val="000A4AB3"/>
    <w:rsid w:val="000A5664"/>
    <w:rsid w:val="000A7EF0"/>
    <w:rsid w:val="000B518F"/>
    <w:rsid w:val="000C1CB0"/>
    <w:rsid w:val="000C2181"/>
    <w:rsid w:val="000C3AE5"/>
    <w:rsid w:val="000D1330"/>
    <w:rsid w:val="000D18A9"/>
    <w:rsid w:val="000D5D94"/>
    <w:rsid w:val="000D6FAF"/>
    <w:rsid w:val="000E0786"/>
    <w:rsid w:val="000E3376"/>
    <w:rsid w:val="000E6BD9"/>
    <w:rsid w:val="000E7ED0"/>
    <w:rsid w:val="000F0519"/>
    <w:rsid w:val="000F1844"/>
    <w:rsid w:val="000F1B22"/>
    <w:rsid w:val="000F3E1F"/>
    <w:rsid w:val="000F54F2"/>
    <w:rsid w:val="000F6660"/>
    <w:rsid w:val="000F6CDA"/>
    <w:rsid w:val="00107686"/>
    <w:rsid w:val="001104C3"/>
    <w:rsid w:val="001127F8"/>
    <w:rsid w:val="00112A1D"/>
    <w:rsid w:val="00112A91"/>
    <w:rsid w:val="001214D7"/>
    <w:rsid w:val="0012471B"/>
    <w:rsid w:val="001250AB"/>
    <w:rsid w:val="001263E2"/>
    <w:rsid w:val="00132366"/>
    <w:rsid w:val="00132A66"/>
    <w:rsid w:val="00134ECC"/>
    <w:rsid w:val="00134F20"/>
    <w:rsid w:val="00135A0B"/>
    <w:rsid w:val="001360E3"/>
    <w:rsid w:val="001373C3"/>
    <w:rsid w:val="00137E8C"/>
    <w:rsid w:val="00140B5F"/>
    <w:rsid w:val="00142003"/>
    <w:rsid w:val="0014228E"/>
    <w:rsid w:val="00147356"/>
    <w:rsid w:val="001619F1"/>
    <w:rsid w:val="00162EF3"/>
    <w:rsid w:val="0016340E"/>
    <w:rsid w:val="00170A9E"/>
    <w:rsid w:val="00172BF4"/>
    <w:rsid w:val="00173478"/>
    <w:rsid w:val="00173D78"/>
    <w:rsid w:val="00176732"/>
    <w:rsid w:val="00176E55"/>
    <w:rsid w:val="0018375B"/>
    <w:rsid w:val="0018461A"/>
    <w:rsid w:val="001846AE"/>
    <w:rsid w:val="00192539"/>
    <w:rsid w:val="001942D2"/>
    <w:rsid w:val="001944CA"/>
    <w:rsid w:val="001968E6"/>
    <w:rsid w:val="001978D1"/>
    <w:rsid w:val="001979B1"/>
    <w:rsid w:val="001A7229"/>
    <w:rsid w:val="001A7363"/>
    <w:rsid w:val="001B0716"/>
    <w:rsid w:val="001B0D71"/>
    <w:rsid w:val="001B1416"/>
    <w:rsid w:val="001B344A"/>
    <w:rsid w:val="001B3687"/>
    <w:rsid w:val="001B6B06"/>
    <w:rsid w:val="001C1A15"/>
    <w:rsid w:val="001C3A93"/>
    <w:rsid w:val="001C6967"/>
    <w:rsid w:val="001D0609"/>
    <w:rsid w:val="001D704D"/>
    <w:rsid w:val="001E4570"/>
    <w:rsid w:val="001E4F28"/>
    <w:rsid w:val="001E53CF"/>
    <w:rsid w:val="001E6B49"/>
    <w:rsid w:val="001E79C1"/>
    <w:rsid w:val="001F56E0"/>
    <w:rsid w:val="001F62FF"/>
    <w:rsid w:val="001F7EBF"/>
    <w:rsid w:val="002003FA"/>
    <w:rsid w:val="0020291D"/>
    <w:rsid w:val="00202963"/>
    <w:rsid w:val="00203298"/>
    <w:rsid w:val="002040F2"/>
    <w:rsid w:val="00205084"/>
    <w:rsid w:val="00205F9C"/>
    <w:rsid w:val="00211025"/>
    <w:rsid w:val="0021231E"/>
    <w:rsid w:val="002158EE"/>
    <w:rsid w:val="00215DA6"/>
    <w:rsid w:val="00216C2D"/>
    <w:rsid w:val="00217960"/>
    <w:rsid w:val="002224AE"/>
    <w:rsid w:val="0022389E"/>
    <w:rsid w:val="00226A71"/>
    <w:rsid w:val="00234444"/>
    <w:rsid w:val="00244370"/>
    <w:rsid w:val="00245025"/>
    <w:rsid w:val="0024609E"/>
    <w:rsid w:val="002538D5"/>
    <w:rsid w:val="0025565E"/>
    <w:rsid w:val="002607E0"/>
    <w:rsid w:val="0026310F"/>
    <w:rsid w:val="00267778"/>
    <w:rsid w:val="002726A4"/>
    <w:rsid w:val="00272910"/>
    <w:rsid w:val="00275F40"/>
    <w:rsid w:val="00277C67"/>
    <w:rsid w:val="0028048A"/>
    <w:rsid w:val="00284EDE"/>
    <w:rsid w:val="00287234"/>
    <w:rsid w:val="002907B4"/>
    <w:rsid w:val="00293DCF"/>
    <w:rsid w:val="002969E6"/>
    <w:rsid w:val="00297DBE"/>
    <w:rsid w:val="002A27D6"/>
    <w:rsid w:val="002A2F54"/>
    <w:rsid w:val="002A3F50"/>
    <w:rsid w:val="002A4808"/>
    <w:rsid w:val="002A52FC"/>
    <w:rsid w:val="002B1415"/>
    <w:rsid w:val="002B329E"/>
    <w:rsid w:val="002B36A6"/>
    <w:rsid w:val="002B6B53"/>
    <w:rsid w:val="002B6EBF"/>
    <w:rsid w:val="002C0C4E"/>
    <w:rsid w:val="002C164C"/>
    <w:rsid w:val="002C52C4"/>
    <w:rsid w:val="002C6521"/>
    <w:rsid w:val="002D2A7E"/>
    <w:rsid w:val="002D2EF5"/>
    <w:rsid w:val="002D6A99"/>
    <w:rsid w:val="002D6F33"/>
    <w:rsid w:val="002E54F1"/>
    <w:rsid w:val="002F0687"/>
    <w:rsid w:val="002F1C0E"/>
    <w:rsid w:val="002F257A"/>
    <w:rsid w:val="002F285F"/>
    <w:rsid w:val="002F71B1"/>
    <w:rsid w:val="002F7ABC"/>
    <w:rsid w:val="00301B16"/>
    <w:rsid w:val="003047CE"/>
    <w:rsid w:val="00304E7F"/>
    <w:rsid w:val="0031458A"/>
    <w:rsid w:val="00314865"/>
    <w:rsid w:val="00314EBD"/>
    <w:rsid w:val="00320905"/>
    <w:rsid w:val="00327817"/>
    <w:rsid w:val="0033034E"/>
    <w:rsid w:val="00330852"/>
    <w:rsid w:val="00332036"/>
    <w:rsid w:val="00332B6B"/>
    <w:rsid w:val="00337018"/>
    <w:rsid w:val="00337315"/>
    <w:rsid w:val="00340E9C"/>
    <w:rsid w:val="003413C6"/>
    <w:rsid w:val="003415A0"/>
    <w:rsid w:val="00342DD3"/>
    <w:rsid w:val="00343C68"/>
    <w:rsid w:val="0034596F"/>
    <w:rsid w:val="00352999"/>
    <w:rsid w:val="0035427F"/>
    <w:rsid w:val="003575CE"/>
    <w:rsid w:val="00361002"/>
    <w:rsid w:val="003610A2"/>
    <w:rsid w:val="00365F97"/>
    <w:rsid w:val="00370F35"/>
    <w:rsid w:val="00371C8B"/>
    <w:rsid w:val="00372846"/>
    <w:rsid w:val="00373CD5"/>
    <w:rsid w:val="00374F2A"/>
    <w:rsid w:val="00375BF0"/>
    <w:rsid w:val="0037721A"/>
    <w:rsid w:val="003833B0"/>
    <w:rsid w:val="00383D01"/>
    <w:rsid w:val="0038665A"/>
    <w:rsid w:val="00387942"/>
    <w:rsid w:val="00391815"/>
    <w:rsid w:val="00392609"/>
    <w:rsid w:val="00396483"/>
    <w:rsid w:val="003A3D11"/>
    <w:rsid w:val="003B0B33"/>
    <w:rsid w:val="003B2771"/>
    <w:rsid w:val="003B3484"/>
    <w:rsid w:val="003B62FF"/>
    <w:rsid w:val="003C316B"/>
    <w:rsid w:val="003C57B0"/>
    <w:rsid w:val="003C7165"/>
    <w:rsid w:val="003D044E"/>
    <w:rsid w:val="003D23DD"/>
    <w:rsid w:val="003D4F5D"/>
    <w:rsid w:val="003D744B"/>
    <w:rsid w:val="003D7C4C"/>
    <w:rsid w:val="003E01C9"/>
    <w:rsid w:val="003F27BF"/>
    <w:rsid w:val="003F41C6"/>
    <w:rsid w:val="003F44C1"/>
    <w:rsid w:val="003F6B30"/>
    <w:rsid w:val="0040062C"/>
    <w:rsid w:val="00402A86"/>
    <w:rsid w:val="00405F36"/>
    <w:rsid w:val="004061B1"/>
    <w:rsid w:val="00406E6D"/>
    <w:rsid w:val="00407310"/>
    <w:rsid w:val="00410BBC"/>
    <w:rsid w:val="00412776"/>
    <w:rsid w:val="00420D04"/>
    <w:rsid w:val="0042279B"/>
    <w:rsid w:val="0042285F"/>
    <w:rsid w:val="00426066"/>
    <w:rsid w:val="00426DC1"/>
    <w:rsid w:val="004303E8"/>
    <w:rsid w:val="004304CD"/>
    <w:rsid w:val="00433DBF"/>
    <w:rsid w:val="004362B0"/>
    <w:rsid w:val="00437CB6"/>
    <w:rsid w:val="0044214A"/>
    <w:rsid w:val="004430A9"/>
    <w:rsid w:val="00445385"/>
    <w:rsid w:val="00447C35"/>
    <w:rsid w:val="004527A6"/>
    <w:rsid w:val="0045332A"/>
    <w:rsid w:val="00457D79"/>
    <w:rsid w:val="00464CC9"/>
    <w:rsid w:val="0046665A"/>
    <w:rsid w:val="0047028E"/>
    <w:rsid w:val="00470FED"/>
    <w:rsid w:val="004713E0"/>
    <w:rsid w:val="004736AA"/>
    <w:rsid w:val="00475201"/>
    <w:rsid w:val="00475D79"/>
    <w:rsid w:val="0047760E"/>
    <w:rsid w:val="00480418"/>
    <w:rsid w:val="0048185B"/>
    <w:rsid w:val="00481E39"/>
    <w:rsid w:val="00482FFB"/>
    <w:rsid w:val="00484906"/>
    <w:rsid w:val="004867A4"/>
    <w:rsid w:val="00486B23"/>
    <w:rsid w:val="00487935"/>
    <w:rsid w:val="004900B8"/>
    <w:rsid w:val="004910BF"/>
    <w:rsid w:val="00491AC8"/>
    <w:rsid w:val="00493958"/>
    <w:rsid w:val="00493DF8"/>
    <w:rsid w:val="004944A7"/>
    <w:rsid w:val="004951BC"/>
    <w:rsid w:val="00497570"/>
    <w:rsid w:val="00497998"/>
    <w:rsid w:val="004A3CC9"/>
    <w:rsid w:val="004A43B9"/>
    <w:rsid w:val="004A5B9A"/>
    <w:rsid w:val="004A7FE8"/>
    <w:rsid w:val="004B0B28"/>
    <w:rsid w:val="004B4376"/>
    <w:rsid w:val="004B4BD6"/>
    <w:rsid w:val="004B74F8"/>
    <w:rsid w:val="004B7C0E"/>
    <w:rsid w:val="004C31E6"/>
    <w:rsid w:val="004D0671"/>
    <w:rsid w:val="004D1EAB"/>
    <w:rsid w:val="004D6223"/>
    <w:rsid w:val="004E1A2B"/>
    <w:rsid w:val="004E1D93"/>
    <w:rsid w:val="004E7051"/>
    <w:rsid w:val="004E7967"/>
    <w:rsid w:val="004F046B"/>
    <w:rsid w:val="004F0B2F"/>
    <w:rsid w:val="004F5A09"/>
    <w:rsid w:val="004F5CE6"/>
    <w:rsid w:val="00500A5C"/>
    <w:rsid w:val="005026CC"/>
    <w:rsid w:val="00503AD1"/>
    <w:rsid w:val="0050449A"/>
    <w:rsid w:val="005100D1"/>
    <w:rsid w:val="00513720"/>
    <w:rsid w:val="0051607A"/>
    <w:rsid w:val="005205F4"/>
    <w:rsid w:val="00521967"/>
    <w:rsid w:val="00524378"/>
    <w:rsid w:val="005269B7"/>
    <w:rsid w:val="005269D3"/>
    <w:rsid w:val="00530F70"/>
    <w:rsid w:val="005315EA"/>
    <w:rsid w:val="00532FD5"/>
    <w:rsid w:val="00534E9F"/>
    <w:rsid w:val="00535508"/>
    <w:rsid w:val="00536B13"/>
    <w:rsid w:val="00544F1F"/>
    <w:rsid w:val="00545F38"/>
    <w:rsid w:val="0054634E"/>
    <w:rsid w:val="005514BE"/>
    <w:rsid w:val="0055424F"/>
    <w:rsid w:val="00557377"/>
    <w:rsid w:val="00560599"/>
    <w:rsid w:val="00563721"/>
    <w:rsid w:val="00565776"/>
    <w:rsid w:val="00566508"/>
    <w:rsid w:val="00570ACF"/>
    <w:rsid w:val="00573535"/>
    <w:rsid w:val="00573C2D"/>
    <w:rsid w:val="00575BB7"/>
    <w:rsid w:val="00575F88"/>
    <w:rsid w:val="0057794D"/>
    <w:rsid w:val="00582DC9"/>
    <w:rsid w:val="00585250"/>
    <w:rsid w:val="005859C8"/>
    <w:rsid w:val="00587796"/>
    <w:rsid w:val="005940DB"/>
    <w:rsid w:val="005A2AAC"/>
    <w:rsid w:val="005A3C50"/>
    <w:rsid w:val="005A61AB"/>
    <w:rsid w:val="005B0E04"/>
    <w:rsid w:val="005B2781"/>
    <w:rsid w:val="005B6872"/>
    <w:rsid w:val="005B6B09"/>
    <w:rsid w:val="005C4DE0"/>
    <w:rsid w:val="005C5B41"/>
    <w:rsid w:val="005C61D6"/>
    <w:rsid w:val="005D315F"/>
    <w:rsid w:val="005E2D06"/>
    <w:rsid w:val="005E4CC6"/>
    <w:rsid w:val="005E5D9F"/>
    <w:rsid w:val="005E6921"/>
    <w:rsid w:val="005F082A"/>
    <w:rsid w:val="005F3BCE"/>
    <w:rsid w:val="005F5087"/>
    <w:rsid w:val="005F69A9"/>
    <w:rsid w:val="00600502"/>
    <w:rsid w:val="0060605E"/>
    <w:rsid w:val="00606AB0"/>
    <w:rsid w:val="006139EC"/>
    <w:rsid w:val="00613CC2"/>
    <w:rsid w:val="00615CB4"/>
    <w:rsid w:val="006177AE"/>
    <w:rsid w:val="00620C18"/>
    <w:rsid w:val="00621065"/>
    <w:rsid w:val="00621A4A"/>
    <w:rsid w:val="00624E22"/>
    <w:rsid w:val="006339F5"/>
    <w:rsid w:val="0063551B"/>
    <w:rsid w:val="00635F82"/>
    <w:rsid w:val="00636B6E"/>
    <w:rsid w:val="00640620"/>
    <w:rsid w:val="00641D3B"/>
    <w:rsid w:val="00646942"/>
    <w:rsid w:val="006519AF"/>
    <w:rsid w:val="00652A9D"/>
    <w:rsid w:val="006549A6"/>
    <w:rsid w:val="0066058B"/>
    <w:rsid w:val="006618F7"/>
    <w:rsid w:val="00662222"/>
    <w:rsid w:val="00663755"/>
    <w:rsid w:val="006674D7"/>
    <w:rsid w:val="00674A82"/>
    <w:rsid w:val="00674D0B"/>
    <w:rsid w:val="006754B7"/>
    <w:rsid w:val="00675B7D"/>
    <w:rsid w:val="00676C69"/>
    <w:rsid w:val="00680F03"/>
    <w:rsid w:val="0068122B"/>
    <w:rsid w:val="006826BB"/>
    <w:rsid w:val="006829E5"/>
    <w:rsid w:val="006830C9"/>
    <w:rsid w:val="0068364A"/>
    <w:rsid w:val="0068525B"/>
    <w:rsid w:val="00685D4F"/>
    <w:rsid w:val="00685DD6"/>
    <w:rsid w:val="00691D49"/>
    <w:rsid w:val="00692D3B"/>
    <w:rsid w:val="00693229"/>
    <w:rsid w:val="006951FD"/>
    <w:rsid w:val="006964AF"/>
    <w:rsid w:val="006A17BE"/>
    <w:rsid w:val="006A3E64"/>
    <w:rsid w:val="006A56E4"/>
    <w:rsid w:val="006B029D"/>
    <w:rsid w:val="006B2D41"/>
    <w:rsid w:val="006B6D8D"/>
    <w:rsid w:val="006C1643"/>
    <w:rsid w:val="006C3C15"/>
    <w:rsid w:val="006C7D4F"/>
    <w:rsid w:val="006D6A44"/>
    <w:rsid w:val="006D7A33"/>
    <w:rsid w:val="006E75E2"/>
    <w:rsid w:val="006F01B5"/>
    <w:rsid w:val="006F4AD5"/>
    <w:rsid w:val="006F5527"/>
    <w:rsid w:val="006F6211"/>
    <w:rsid w:val="007046F7"/>
    <w:rsid w:val="007076DF"/>
    <w:rsid w:val="007144F6"/>
    <w:rsid w:val="00716311"/>
    <w:rsid w:val="00723A6D"/>
    <w:rsid w:val="007269AB"/>
    <w:rsid w:val="00732F74"/>
    <w:rsid w:val="007332F9"/>
    <w:rsid w:val="00734ED0"/>
    <w:rsid w:val="00736085"/>
    <w:rsid w:val="00741394"/>
    <w:rsid w:val="007418D9"/>
    <w:rsid w:val="00742173"/>
    <w:rsid w:val="00742415"/>
    <w:rsid w:val="00743C00"/>
    <w:rsid w:val="00743CDA"/>
    <w:rsid w:val="00744252"/>
    <w:rsid w:val="00746FD8"/>
    <w:rsid w:val="00750FE0"/>
    <w:rsid w:val="007548E4"/>
    <w:rsid w:val="00757335"/>
    <w:rsid w:val="00760360"/>
    <w:rsid w:val="007613E1"/>
    <w:rsid w:val="00761522"/>
    <w:rsid w:val="00762E9C"/>
    <w:rsid w:val="00764F3A"/>
    <w:rsid w:val="00770689"/>
    <w:rsid w:val="00772951"/>
    <w:rsid w:val="007752C1"/>
    <w:rsid w:val="0077623A"/>
    <w:rsid w:val="007771AD"/>
    <w:rsid w:val="007818E5"/>
    <w:rsid w:val="00784103"/>
    <w:rsid w:val="00784C0B"/>
    <w:rsid w:val="007964A2"/>
    <w:rsid w:val="007970F7"/>
    <w:rsid w:val="007A0496"/>
    <w:rsid w:val="007A2D2F"/>
    <w:rsid w:val="007A6F27"/>
    <w:rsid w:val="007A7979"/>
    <w:rsid w:val="007A7D3B"/>
    <w:rsid w:val="007B0321"/>
    <w:rsid w:val="007C165F"/>
    <w:rsid w:val="007C1DCB"/>
    <w:rsid w:val="007C29FD"/>
    <w:rsid w:val="007D2377"/>
    <w:rsid w:val="007E22C2"/>
    <w:rsid w:val="007E4D02"/>
    <w:rsid w:val="007E5495"/>
    <w:rsid w:val="007F1C4A"/>
    <w:rsid w:val="007F3673"/>
    <w:rsid w:val="007F3B3E"/>
    <w:rsid w:val="007F507E"/>
    <w:rsid w:val="007F63B6"/>
    <w:rsid w:val="007F79B4"/>
    <w:rsid w:val="00800885"/>
    <w:rsid w:val="00800E2F"/>
    <w:rsid w:val="0080162F"/>
    <w:rsid w:val="0080204A"/>
    <w:rsid w:val="008022A8"/>
    <w:rsid w:val="0080286D"/>
    <w:rsid w:val="00811627"/>
    <w:rsid w:val="008117B6"/>
    <w:rsid w:val="00813F99"/>
    <w:rsid w:val="00817E9E"/>
    <w:rsid w:val="00824824"/>
    <w:rsid w:val="0082792B"/>
    <w:rsid w:val="008303A2"/>
    <w:rsid w:val="00831997"/>
    <w:rsid w:val="00831E3F"/>
    <w:rsid w:val="00831F99"/>
    <w:rsid w:val="00833913"/>
    <w:rsid w:val="00835A94"/>
    <w:rsid w:val="00836835"/>
    <w:rsid w:val="00836FB4"/>
    <w:rsid w:val="00837B67"/>
    <w:rsid w:val="00837BEB"/>
    <w:rsid w:val="0084055A"/>
    <w:rsid w:val="00851C18"/>
    <w:rsid w:val="00852D9B"/>
    <w:rsid w:val="00863EF0"/>
    <w:rsid w:val="00864F1C"/>
    <w:rsid w:val="00872803"/>
    <w:rsid w:val="00872BA2"/>
    <w:rsid w:val="00877E32"/>
    <w:rsid w:val="0088063C"/>
    <w:rsid w:val="00881039"/>
    <w:rsid w:val="00883AAA"/>
    <w:rsid w:val="00890980"/>
    <w:rsid w:val="00892EBC"/>
    <w:rsid w:val="00895418"/>
    <w:rsid w:val="008957D9"/>
    <w:rsid w:val="0089788C"/>
    <w:rsid w:val="00897AF8"/>
    <w:rsid w:val="008A5FCC"/>
    <w:rsid w:val="008B4846"/>
    <w:rsid w:val="008B5689"/>
    <w:rsid w:val="008B5DBC"/>
    <w:rsid w:val="008B749E"/>
    <w:rsid w:val="008C09B5"/>
    <w:rsid w:val="008C1F20"/>
    <w:rsid w:val="008C2D17"/>
    <w:rsid w:val="008C3E75"/>
    <w:rsid w:val="008C5F38"/>
    <w:rsid w:val="008C7870"/>
    <w:rsid w:val="008D4971"/>
    <w:rsid w:val="008D77FD"/>
    <w:rsid w:val="008E1E77"/>
    <w:rsid w:val="008E6A92"/>
    <w:rsid w:val="008F1D37"/>
    <w:rsid w:val="008F7897"/>
    <w:rsid w:val="00900302"/>
    <w:rsid w:val="0090296E"/>
    <w:rsid w:val="0090379A"/>
    <w:rsid w:val="0091354B"/>
    <w:rsid w:val="00913E49"/>
    <w:rsid w:val="009147FF"/>
    <w:rsid w:val="00916358"/>
    <w:rsid w:val="009204BB"/>
    <w:rsid w:val="009225DE"/>
    <w:rsid w:val="00922AFC"/>
    <w:rsid w:val="009237A5"/>
    <w:rsid w:val="009301DE"/>
    <w:rsid w:val="00934718"/>
    <w:rsid w:val="009370E2"/>
    <w:rsid w:val="009379AA"/>
    <w:rsid w:val="00940535"/>
    <w:rsid w:val="00945F19"/>
    <w:rsid w:val="00950233"/>
    <w:rsid w:val="00950841"/>
    <w:rsid w:val="00954414"/>
    <w:rsid w:val="00957BCF"/>
    <w:rsid w:val="009658D6"/>
    <w:rsid w:val="00975F96"/>
    <w:rsid w:val="0098324A"/>
    <w:rsid w:val="00985FFB"/>
    <w:rsid w:val="00987CAC"/>
    <w:rsid w:val="00990CFC"/>
    <w:rsid w:val="00993516"/>
    <w:rsid w:val="00995DD7"/>
    <w:rsid w:val="00995E0E"/>
    <w:rsid w:val="00996052"/>
    <w:rsid w:val="009960C9"/>
    <w:rsid w:val="00996C55"/>
    <w:rsid w:val="00997DA9"/>
    <w:rsid w:val="009A2905"/>
    <w:rsid w:val="009A38CE"/>
    <w:rsid w:val="009A5B58"/>
    <w:rsid w:val="009A6EB1"/>
    <w:rsid w:val="009A72B6"/>
    <w:rsid w:val="009B4294"/>
    <w:rsid w:val="009B430C"/>
    <w:rsid w:val="009B5295"/>
    <w:rsid w:val="009B60BD"/>
    <w:rsid w:val="009B70F4"/>
    <w:rsid w:val="009B7374"/>
    <w:rsid w:val="009C0727"/>
    <w:rsid w:val="009C1EF7"/>
    <w:rsid w:val="009C2556"/>
    <w:rsid w:val="009C6C52"/>
    <w:rsid w:val="009D162F"/>
    <w:rsid w:val="009D1776"/>
    <w:rsid w:val="009D5976"/>
    <w:rsid w:val="009D79AE"/>
    <w:rsid w:val="009E040A"/>
    <w:rsid w:val="009E2345"/>
    <w:rsid w:val="009E40AA"/>
    <w:rsid w:val="009E4E40"/>
    <w:rsid w:val="009E710F"/>
    <w:rsid w:val="009F206C"/>
    <w:rsid w:val="00A0253A"/>
    <w:rsid w:val="00A02A94"/>
    <w:rsid w:val="00A03293"/>
    <w:rsid w:val="00A03ADC"/>
    <w:rsid w:val="00A10193"/>
    <w:rsid w:val="00A10DF8"/>
    <w:rsid w:val="00A14055"/>
    <w:rsid w:val="00A14E15"/>
    <w:rsid w:val="00A24540"/>
    <w:rsid w:val="00A27388"/>
    <w:rsid w:val="00A300BF"/>
    <w:rsid w:val="00A3255E"/>
    <w:rsid w:val="00A3267D"/>
    <w:rsid w:val="00A331C8"/>
    <w:rsid w:val="00A43E28"/>
    <w:rsid w:val="00A46428"/>
    <w:rsid w:val="00A46BDC"/>
    <w:rsid w:val="00A5105C"/>
    <w:rsid w:val="00A52415"/>
    <w:rsid w:val="00A60B2E"/>
    <w:rsid w:val="00A62E69"/>
    <w:rsid w:val="00A67499"/>
    <w:rsid w:val="00A76173"/>
    <w:rsid w:val="00A762E1"/>
    <w:rsid w:val="00A77AE4"/>
    <w:rsid w:val="00A806F4"/>
    <w:rsid w:val="00A81FA6"/>
    <w:rsid w:val="00A84E31"/>
    <w:rsid w:val="00A8697D"/>
    <w:rsid w:val="00A873DD"/>
    <w:rsid w:val="00A9059D"/>
    <w:rsid w:val="00AA0175"/>
    <w:rsid w:val="00AA0A83"/>
    <w:rsid w:val="00AA25E4"/>
    <w:rsid w:val="00AA3112"/>
    <w:rsid w:val="00AA6162"/>
    <w:rsid w:val="00AA733A"/>
    <w:rsid w:val="00AA78DC"/>
    <w:rsid w:val="00AA7F1A"/>
    <w:rsid w:val="00AB25F9"/>
    <w:rsid w:val="00AB2F51"/>
    <w:rsid w:val="00AB2FDC"/>
    <w:rsid w:val="00AB6229"/>
    <w:rsid w:val="00AC1689"/>
    <w:rsid w:val="00AC1FDD"/>
    <w:rsid w:val="00AC4D72"/>
    <w:rsid w:val="00AC4F4B"/>
    <w:rsid w:val="00AC71A6"/>
    <w:rsid w:val="00AD24FE"/>
    <w:rsid w:val="00AD362B"/>
    <w:rsid w:val="00AD4B24"/>
    <w:rsid w:val="00AD6D51"/>
    <w:rsid w:val="00AE1B54"/>
    <w:rsid w:val="00AE2FF1"/>
    <w:rsid w:val="00AE36A3"/>
    <w:rsid w:val="00AE515D"/>
    <w:rsid w:val="00AF3041"/>
    <w:rsid w:val="00AF48CD"/>
    <w:rsid w:val="00AF5E69"/>
    <w:rsid w:val="00AF5FAD"/>
    <w:rsid w:val="00AF7EC8"/>
    <w:rsid w:val="00B015A7"/>
    <w:rsid w:val="00B01F89"/>
    <w:rsid w:val="00B053D9"/>
    <w:rsid w:val="00B06556"/>
    <w:rsid w:val="00B11F31"/>
    <w:rsid w:val="00B12AB1"/>
    <w:rsid w:val="00B12C14"/>
    <w:rsid w:val="00B14090"/>
    <w:rsid w:val="00B16F92"/>
    <w:rsid w:val="00B21E7A"/>
    <w:rsid w:val="00B21EA3"/>
    <w:rsid w:val="00B2296E"/>
    <w:rsid w:val="00B3388D"/>
    <w:rsid w:val="00B345D9"/>
    <w:rsid w:val="00B34DF8"/>
    <w:rsid w:val="00B37B14"/>
    <w:rsid w:val="00B43D0A"/>
    <w:rsid w:val="00B44303"/>
    <w:rsid w:val="00B47D07"/>
    <w:rsid w:val="00B5144B"/>
    <w:rsid w:val="00B5170B"/>
    <w:rsid w:val="00B53992"/>
    <w:rsid w:val="00B53D6E"/>
    <w:rsid w:val="00B67FEA"/>
    <w:rsid w:val="00B708AD"/>
    <w:rsid w:val="00B710D2"/>
    <w:rsid w:val="00B7113C"/>
    <w:rsid w:val="00B712CC"/>
    <w:rsid w:val="00B723DF"/>
    <w:rsid w:val="00B731DE"/>
    <w:rsid w:val="00B734C3"/>
    <w:rsid w:val="00B74252"/>
    <w:rsid w:val="00B7678B"/>
    <w:rsid w:val="00B77533"/>
    <w:rsid w:val="00B85149"/>
    <w:rsid w:val="00B85A12"/>
    <w:rsid w:val="00B86498"/>
    <w:rsid w:val="00B9063F"/>
    <w:rsid w:val="00B945D4"/>
    <w:rsid w:val="00B94BAD"/>
    <w:rsid w:val="00BA5870"/>
    <w:rsid w:val="00BA679F"/>
    <w:rsid w:val="00BB0399"/>
    <w:rsid w:val="00BB0CBB"/>
    <w:rsid w:val="00BB0EFB"/>
    <w:rsid w:val="00BB3223"/>
    <w:rsid w:val="00BB4344"/>
    <w:rsid w:val="00BB5D61"/>
    <w:rsid w:val="00BC2B27"/>
    <w:rsid w:val="00BC3B27"/>
    <w:rsid w:val="00BC4C9B"/>
    <w:rsid w:val="00BC609B"/>
    <w:rsid w:val="00BC7BEA"/>
    <w:rsid w:val="00BD209D"/>
    <w:rsid w:val="00BE467F"/>
    <w:rsid w:val="00BE4DAD"/>
    <w:rsid w:val="00BE5E4B"/>
    <w:rsid w:val="00BE6C2B"/>
    <w:rsid w:val="00BE716C"/>
    <w:rsid w:val="00BE7990"/>
    <w:rsid w:val="00BF1AB9"/>
    <w:rsid w:val="00BF29E1"/>
    <w:rsid w:val="00BF2F12"/>
    <w:rsid w:val="00BF30AB"/>
    <w:rsid w:val="00BF3A82"/>
    <w:rsid w:val="00BF4C9A"/>
    <w:rsid w:val="00BF58CF"/>
    <w:rsid w:val="00C0339F"/>
    <w:rsid w:val="00C0411C"/>
    <w:rsid w:val="00C057FE"/>
    <w:rsid w:val="00C07331"/>
    <w:rsid w:val="00C10955"/>
    <w:rsid w:val="00C11B85"/>
    <w:rsid w:val="00C13C70"/>
    <w:rsid w:val="00C22BC5"/>
    <w:rsid w:val="00C23063"/>
    <w:rsid w:val="00C24103"/>
    <w:rsid w:val="00C31877"/>
    <w:rsid w:val="00C31885"/>
    <w:rsid w:val="00C347A8"/>
    <w:rsid w:val="00C4222C"/>
    <w:rsid w:val="00C42BB6"/>
    <w:rsid w:val="00C43515"/>
    <w:rsid w:val="00C46BC0"/>
    <w:rsid w:val="00C53B91"/>
    <w:rsid w:val="00C5610C"/>
    <w:rsid w:val="00C60694"/>
    <w:rsid w:val="00C620D3"/>
    <w:rsid w:val="00C62687"/>
    <w:rsid w:val="00C64195"/>
    <w:rsid w:val="00C64773"/>
    <w:rsid w:val="00C73A21"/>
    <w:rsid w:val="00C76728"/>
    <w:rsid w:val="00C76F72"/>
    <w:rsid w:val="00C80771"/>
    <w:rsid w:val="00C836EC"/>
    <w:rsid w:val="00C84368"/>
    <w:rsid w:val="00C844F7"/>
    <w:rsid w:val="00C84D0E"/>
    <w:rsid w:val="00C859C7"/>
    <w:rsid w:val="00C8680A"/>
    <w:rsid w:val="00C87B56"/>
    <w:rsid w:val="00C87D7F"/>
    <w:rsid w:val="00C91002"/>
    <w:rsid w:val="00C93462"/>
    <w:rsid w:val="00C97041"/>
    <w:rsid w:val="00C97042"/>
    <w:rsid w:val="00C979F3"/>
    <w:rsid w:val="00CA0EED"/>
    <w:rsid w:val="00CA2794"/>
    <w:rsid w:val="00CB3215"/>
    <w:rsid w:val="00CB630A"/>
    <w:rsid w:val="00CB65EF"/>
    <w:rsid w:val="00CB6DBB"/>
    <w:rsid w:val="00CB72F5"/>
    <w:rsid w:val="00CC03E3"/>
    <w:rsid w:val="00CC0D0A"/>
    <w:rsid w:val="00CC1B7D"/>
    <w:rsid w:val="00CC41DA"/>
    <w:rsid w:val="00CC5AB4"/>
    <w:rsid w:val="00CC6C4E"/>
    <w:rsid w:val="00CC6EA3"/>
    <w:rsid w:val="00CE313B"/>
    <w:rsid w:val="00CE475C"/>
    <w:rsid w:val="00CE7E3D"/>
    <w:rsid w:val="00CF0ECB"/>
    <w:rsid w:val="00CF1D5A"/>
    <w:rsid w:val="00CF3C7B"/>
    <w:rsid w:val="00D02A61"/>
    <w:rsid w:val="00D02D91"/>
    <w:rsid w:val="00D038F3"/>
    <w:rsid w:val="00D06225"/>
    <w:rsid w:val="00D075C8"/>
    <w:rsid w:val="00D13636"/>
    <w:rsid w:val="00D14F5B"/>
    <w:rsid w:val="00D17713"/>
    <w:rsid w:val="00D17CB6"/>
    <w:rsid w:val="00D20FFB"/>
    <w:rsid w:val="00D2478F"/>
    <w:rsid w:val="00D260F8"/>
    <w:rsid w:val="00D26D78"/>
    <w:rsid w:val="00D3214A"/>
    <w:rsid w:val="00D32E6E"/>
    <w:rsid w:val="00D350D0"/>
    <w:rsid w:val="00D41699"/>
    <w:rsid w:val="00D445FA"/>
    <w:rsid w:val="00D4503A"/>
    <w:rsid w:val="00D4520B"/>
    <w:rsid w:val="00D4777B"/>
    <w:rsid w:val="00D54752"/>
    <w:rsid w:val="00D56B8F"/>
    <w:rsid w:val="00D5791A"/>
    <w:rsid w:val="00D60DC5"/>
    <w:rsid w:val="00D623EB"/>
    <w:rsid w:val="00D637FE"/>
    <w:rsid w:val="00D66D1C"/>
    <w:rsid w:val="00D72133"/>
    <w:rsid w:val="00D75FCF"/>
    <w:rsid w:val="00D76B66"/>
    <w:rsid w:val="00D773D0"/>
    <w:rsid w:val="00D77DC0"/>
    <w:rsid w:val="00D80073"/>
    <w:rsid w:val="00D80EB6"/>
    <w:rsid w:val="00D81A8E"/>
    <w:rsid w:val="00D8329D"/>
    <w:rsid w:val="00D84A3A"/>
    <w:rsid w:val="00D863CC"/>
    <w:rsid w:val="00D90EBF"/>
    <w:rsid w:val="00D9611D"/>
    <w:rsid w:val="00D97463"/>
    <w:rsid w:val="00D9773D"/>
    <w:rsid w:val="00D97C6C"/>
    <w:rsid w:val="00DA4B88"/>
    <w:rsid w:val="00DA7EEA"/>
    <w:rsid w:val="00DB3AAA"/>
    <w:rsid w:val="00DC2D48"/>
    <w:rsid w:val="00DC3253"/>
    <w:rsid w:val="00DC5FA6"/>
    <w:rsid w:val="00DC6760"/>
    <w:rsid w:val="00DD60C4"/>
    <w:rsid w:val="00DE5657"/>
    <w:rsid w:val="00DF0316"/>
    <w:rsid w:val="00DF0E5F"/>
    <w:rsid w:val="00DF11D0"/>
    <w:rsid w:val="00DF519C"/>
    <w:rsid w:val="00DF57DB"/>
    <w:rsid w:val="00E00339"/>
    <w:rsid w:val="00E014FE"/>
    <w:rsid w:val="00E025F4"/>
    <w:rsid w:val="00E04238"/>
    <w:rsid w:val="00E076E5"/>
    <w:rsid w:val="00E10F45"/>
    <w:rsid w:val="00E12E0B"/>
    <w:rsid w:val="00E1539A"/>
    <w:rsid w:val="00E206EA"/>
    <w:rsid w:val="00E230B4"/>
    <w:rsid w:val="00E24CCA"/>
    <w:rsid w:val="00E2702D"/>
    <w:rsid w:val="00E30182"/>
    <w:rsid w:val="00E3229A"/>
    <w:rsid w:val="00E33AF6"/>
    <w:rsid w:val="00E36364"/>
    <w:rsid w:val="00E36A70"/>
    <w:rsid w:val="00E41451"/>
    <w:rsid w:val="00E415B8"/>
    <w:rsid w:val="00E42787"/>
    <w:rsid w:val="00E427EE"/>
    <w:rsid w:val="00E45817"/>
    <w:rsid w:val="00E45BFB"/>
    <w:rsid w:val="00E46F93"/>
    <w:rsid w:val="00E6068D"/>
    <w:rsid w:val="00E61C32"/>
    <w:rsid w:val="00E704F7"/>
    <w:rsid w:val="00E70C45"/>
    <w:rsid w:val="00E73382"/>
    <w:rsid w:val="00E75ABE"/>
    <w:rsid w:val="00E7646B"/>
    <w:rsid w:val="00E76542"/>
    <w:rsid w:val="00E81560"/>
    <w:rsid w:val="00E83789"/>
    <w:rsid w:val="00E83838"/>
    <w:rsid w:val="00E850BA"/>
    <w:rsid w:val="00E8562C"/>
    <w:rsid w:val="00E86556"/>
    <w:rsid w:val="00E876CB"/>
    <w:rsid w:val="00E91310"/>
    <w:rsid w:val="00E92FA6"/>
    <w:rsid w:val="00E9477E"/>
    <w:rsid w:val="00E9694D"/>
    <w:rsid w:val="00EA1AF6"/>
    <w:rsid w:val="00EA2EEB"/>
    <w:rsid w:val="00EA5D5D"/>
    <w:rsid w:val="00EA692F"/>
    <w:rsid w:val="00EB37A8"/>
    <w:rsid w:val="00EB40B0"/>
    <w:rsid w:val="00EB4443"/>
    <w:rsid w:val="00EB74BC"/>
    <w:rsid w:val="00EC16F8"/>
    <w:rsid w:val="00EC336E"/>
    <w:rsid w:val="00ED2C08"/>
    <w:rsid w:val="00ED560D"/>
    <w:rsid w:val="00ED605B"/>
    <w:rsid w:val="00ED6B98"/>
    <w:rsid w:val="00ED6C94"/>
    <w:rsid w:val="00EE1040"/>
    <w:rsid w:val="00EE5B40"/>
    <w:rsid w:val="00EE7685"/>
    <w:rsid w:val="00EF0EA0"/>
    <w:rsid w:val="00EF35D0"/>
    <w:rsid w:val="00EF4C89"/>
    <w:rsid w:val="00EF5F9F"/>
    <w:rsid w:val="00EF64BD"/>
    <w:rsid w:val="00F05050"/>
    <w:rsid w:val="00F12FA6"/>
    <w:rsid w:val="00F141DF"/>
    <w:rsid w:val="00F15307"/>
    <w:rsid w:val="00F16041"/>
    <w:rsid w:val="00F17A7A"/>
    <w:rsid w:val="00F25611"/>
    <w:rsid w:val="00F30A87"/>
    <w:rsid w:val="00F31DA3"/>
    <w:rsid w:val="00F3371D"/>
    <w:rsid w:val="00F35CBE"/>
    <w:rsid w:val="00F406A9"/>
    <w:rsid w:val="00F40BF4"/>
    <w:rsid w:val="00F41942"/>
    <w:rsid w:val="00F43B0B"/>
    <w:rsid w:val="00F43BA6"/>
    <w:rsid w:val="00F5227C"/>
    <w:rsid w:val="00F54C78"/>
    <w:rsid w:val="00F55D28"/>
    <w:rsid w:val="00F57850"/>
    <w:rsid w:val="00F626E0"/>
    <w:rsid w:val="00F646A4"/>
    <w:rsid w:val="00F65C61"/>
    <w:rsid w:val="00F6667B"/>
    <w:rsid w:val="00F7027C"/>
    <w:rsid w:val="00F70333"/>
    <w:rsid w:val="00F73106"/>
    <w:rsid w:val="00F7494E"/>
    <w:rsid w:val="00F74B06"/>
    <w:rsid w:val="00F80AFA"/>
    <w:rsid w:val="00F8155F"/>
    <w:rsid w:val="00F82D92"/>
    <w:rsid w:val="00F860A4"/>
    <w:rsid w:val="00F86357"/>
    <w:rsid w:val="00F93C02"/>
    <w:rsid w:val="00F95C7C"/>
    <w:rsid w:val="00FA106A"/>
    <w:rsid w:val="00FA13BE"/>
    <w:rsid w:val="00FA384A"/>
    <w:rsid w:val="00FA4229"/>
    <w:rsid w:val="00FA65D1"/>
    <w:rsid w:val="00FA6CA0"/>
    <w:rsid w:val="00FA701F"/>
    <w:rsid w:val="00FB01B3"/>
    <w:rsid w:val="00FB5013"/>
    <w:rsid w:val="00FB507A"/>
    <w:rsid w:val="00FB6A28"/>
    <w:rsid w:val="00FC662C"/>
    <w:rsid w:val="00FD2F99"/>
    <w:rsid w:val="00FD3B61"/>
    <w:rsid w:val="00FD5E0B"/>
    <w:rsid w:val="00FE4B51"/>
    <w:rsid w:val="00FE752E"/>
    <w:rsid w:val="00FE7DFE"/>
    <w:rsid w:val="00FF06F1"/>
    <w:rsid w:val="00FF2C7A"/>
    <w:rsid w:val="00FF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804143-F042-4640-B650-B2CC126C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65F"/>
  </w:style>
  <w:style w:type="paragraph" w:styleId="Heading1">
    <w:name w:val="heading 1"/>
    <w:basedOn w:val="Normal"/>
    <w:next w:val="Normal"/>
    <w:link w:val="Heading1Char"/>
    <w:uiPriority w:val="9"/>
    <w:qFormat/>
    <w:rsid w:val="007C16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16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16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36A70"/>
    <w:pPr>
      <w:keepNext/>
      <w:keepLines/>
      <w:spacing w:before="200" w:after="0"/>
      <w:outlineLvl w:val="3"/>
    </w:pPr>
    <w:rPr>
      <w:rFonts w:eastAsiaTheme="majorEastAsia" w:cstheme="majorBidi"/>
      <w:bCs/>
      <w:i/>
      <w:iCs/>
      <w:color w:val="4F81BD" w:themeColor="accent1"/>
      <w:sz w:val="24"/>
    </w:rPr>
  </w:style>
  <w:style w:type="paragraph" w:styleId="Heading5">
    <w:name w:val="heading 5"/>
    <w:basedOn w:val="Normal"/>
    <w:next w:val="Normal"/>
    <w:link w:val="Heading5Char"/>
    <w:uiPriority w:val="9"/>
    <w:unhideWhenUsed/>
    <w:qFormat/>
    <w:rsid w:val="007C16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C16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C16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C16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C16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rsid w:val="00E91310"/>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rsid w:val="00E91310"/>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rsid w:val="00E913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rsid w:val="00E913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rsid w:val="00E913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rsid w:val="00E913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rsid w:val="00E913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rsid w:val="00E913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Triangles">
    <w:name w:val="1Triangles"/>
    <w:rsid w:val="00E91310"/>
    <w:pPr>
      <w:widowControl w:val="0"/>
      <w:tabs>
        <w:tab w:val="left" w:pos="720"/>
      </w:tabs>
      <w:autoSpaceDE w:val="0"/>
      <w:autoSpaceDN w:val="0"/>
      <w:adjustRightInd w:val="0"/>
      <w:ind w:left="720" w:hanging="720"/>
      <w:jc w:val="both"/>
    </w:pPr>
    <w:rPr>
      <w:sz w:val="24"/>
      <w:szCs w:val="24"/>
    </w:rPr>
  </w:style>
  <w:style w:type="paragraph" w:customStyle="1" w:styleId="2Triangles">
    <w:name w:val="2Triangles"/>
    <w:rsid w:val="00E91310"/>
    <w:pPr>
      <w:widowControl w:val="0"/>
      <w:tabs>
        <w:tab w:val="left" w:pos="720"/>
        <w:tab w:val="left" w:pos="1440"/>
      </w:tabs>
      <w:autoSpaceDE w:val="0"/>
      <w:autoSpaceDN w:val="0"/>
      <w:adjustRightInd w:val="0"/>
      <w:ind w:left="1440" w:hanging="720"/>
      <w:jc w:val="both"/>
    </w:pPr>
    <w:rPr>
      <w:sz w:val="24"/>
      <w:szCs w:val="24"/>
    </w:rPr>
  </w:style>
  <w:style w:type="paragraph" w:customStyle="1" w:styleId="3Triangles">
    <w:name w:val="3Triangles"/>
    <w:rsid w:val="00E913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Triangles">
    <w:name w:val="4Triangles"/>
    <w:rsid w:val="00E913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Triangles">
    <w:name w:val="5Triangles"/>
    <w:rsid w:val="00E913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Triangles">
    <w:name w:val="6Triangles"/>
    <w:rsid w:val="00E913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Triangles">
    <w:name w:val="7Triangles"/>
    <w:rsid w:val="00E913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Triangles">
    <w:name w:val="8Triangles"/>
    <w:rsid w:val="00E913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a">
    <w:name w:val="_"/>
    <w:rsid w:val="00E91310"/>
    <w:pPr>
      <w:widowControl w:val="0"/>
      <w:autoSpaceDE w:val="0"/>
      <w:autoSpaceDN w:val="0"/>
      <w:adjustRightInd w:val="0"/>
      <w:ind w:left="-1080"/>
    </w:pPr>
    <w:rPr>
      <w:sz w:val="24"/>
      <w:szCs w:val="24"/>
    </w:rPr>
  </w:style>
  <w:style w:type="character" w:customStyle="1" w:styleId="DefaultPara">
    <w:name w:val="Default Para"/>
    <w:rsid w:val="00E91310"/>
  </w:style>
  <w:style w:type="character" w:customStyle="1" w:styleId="SYSHYPERTEXT">
    <w:name w:val="SYS_HYPERTEXT"/>
    <w:rsid w:val="00E91310"/>
    <w:rPr>
      <w:color w:val="0000FF"/>
    </w:rPr>
  </w:style>
  <w:style w:type="paragraph" w:styleId="Header">
    <w:name w:val="header"/>
    <w:basedOn w:val="Normal"/>
    <w:rsid w:val="00E91310"/>
    <w:pPr>
      <w:tabs>
        <w:tab w:val="center" w:pos="4320"/>
        <w:tab w:val="right" w:pos="8640"/>
      </w:tabs>
    </w:pPr>
  </w:style>
  <w:style w:type="character" w:styleId="PageNumber">
    <w:name w:val="page number"/>
    <w:basedOn w:val="DefaultParagraphFont"/>
    <w:rsid w:val="00E91310"/>
  </w:style>
  <w:style w:type="paragraph" w:styleId="BodyText">
    <w:name w:val="Body Text"/>
    <w:basedOn w:val="Normal"/>
    <w:link w:val="BodyTextChar"/>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FF00FF"/>
    </w:rPr>
  </w:style>
  <w:style w:type="paragraph" w:styleId="Caption">
    <w:name w:val="caption"/>
    <w:basedOn w:val="Normal"/>
    <w:next w:val="Normal"/>
    <w:uiPriority w:val="35"/>
    <w:unhideWhenUsed/>
    <w:qFormat/>
    <w:rsid w:val="007C165F"/>
    <w:pPr>
      <w:spacing w:line="240" w:lineRule="auto"/>
    </w:pPr>
    <w:rPr>
      <w:b/>
      <w:bCs/>
      <w:color w:val="4F81BD" w:themeColor="accent1"/>
      <w:sz w:val="18"/>
      <w:szCs w:val="18"/>
    </w:rPr>
  </w:style>
  <w:style w:type="paragraph" w:styleId="BodyText2">
    <w:name w:val="Body Text 2"/>
    <w:basedOn w:val="Normal"/>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BodyText3">
    <w:name w:val="Body Text 3"/>
    <w:basedOn w:val="Normal"/>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styleId="Hyperlink">
    <w:name w:val="Hyperlink"/>
    <w:rsid w:val="00E91310"/>
    <w:rPr>
      <w:color w:val="0000FF"/>
      <w:u w:val="single"/>
    </w:rPr>
  </w:style>
  <w:style w:type="character" w:styleId="FollowedHyperlink">
    <w:name w:val="FollowedHyperlink"/>
    <w:rsid w:val="00E91310"/>
    <w:rPr>
      <w:color w:val="800080"/>
      <w:u w:val="single"/>
    </w:rPr>
  </w:style>
  <w:style w:type="paragraph" w:styleId="Footer">
    <w:name w:val="footer"/>
    <w:basedOn w:val="Normal"/>
    <w:link w:val="FooterChar"/>
    <w:uiPriority w:val="99"/>
    <w:rsid w:val="00E91310"/>
    <w:pPr>
      <w:tabs>
        <w:tab w:val="center" w:pos="4320"/>
        <w:tab w:val="right" w:pos="8640"/>
      </w:tabs>
    </w:pPr>
  </w:style>
  <w:style w:type="paragraph" w:customStyle="1" w:styleId="Default">
    <w:name w:val="Default"/>
    <w:rsid w:val="0080088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6059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4C89"/>
    <w:rPr>
      <w:rFonts w:ascii="Tahoma" w:hAnsi="Tahoma" w:cs="Tahoma"/>
      <w:sz w:val="16"/>
      <w:szCs w:val="16"/>
    </w:rPr>
  </w:style>
  <w:style w:type="paragraph" w:styleId="ListParagraph">
    <w:name w:val="List Paragraph"/>
    <w:basedOn w:val="Normal"/>
    <w:qFormat/>
    <w:rsid w:val="007C165F"/>
    <w:pPr>
      <w:ind w:left="720"/>
      <w:contextualSpacing/>
    </w:pPr>
  </w:style>
  <w:style w:type="paragraph" w:styleId="ListBullet">
    <w:name w:val="List Bullet"/>
    <w:basedOn w:val="Normal"/>
    <w:rsid w:val="00C4222C"/>
    <w:pPr>
      <w:numPr>
        <w:numId w:val="1"/>
      </w:numPr>
      <w:spacing w:after="120"/>
    </w:pPr>
  </w:style>
  <w:style w:type="character" w:customStyle="1" w:styleId="BodyTextChar">
    <w:name w:val="Body Text Char"/>
    <w:basedOn w:val="DefaultParagraphFont"/>
    <w:link w:val="BodyText"/>
    <w:rsid w:val="00CE313B"/>
    <w:rPr>
      <w:color w:val="FF00FF"/>
      <w:sz w:val="22"/>
      <w:szCs w:val="22"/>
    </w:rPr>
  </w:style>
  <w:style w:type="paragraph" w:customStyle="1" w:styleId="StyleListBulletAfter12pt">
    <w:name w:val="Style List Bullet + After:  12 pt"/>
    <w:basedOn w:val="ListBullet"/>
    <w:rsid w:val="00C4222C"/>
  </w:style>
  <w:style w:type="character" w:styleId="Strong">
    <w:name w:val="Strong"/>
    <w:basedOn w:val="DefaultParagraphFont"/>
    <w:uiPriority w:val="22"/>
    <w:qFormat/>
    <w:rsid w:val="007C165F"/>
    <w:rPr>
      <w:b/>
      <w:bCs/>
    </w:rPr>
  </w:style>
  <w:style w:type="character" w:styleId="Emphasis">
    <w:name w:val="Emphasis"/>
    <w:basedOn w:val="DefaultParagraphFont"/>
    <w:qFormat/>
    <w:rsid w:val="007C165F"/>
    <w:rPr>
      <w:i/>
      <w:iCs/>
    </w:rPr>
  </w:style>
  <w:style w:type="paragraph" w:styleId="Revision">
    <w:name w:val="Revision"/>
    <w:hidden/>
    <w:uiPriority w:val="99"/>
    <w:semiHidden/>
    <w:rsid w:val="00895418"/>
  </w:style>
  <w:style w:type="paragraph" w:styleId="NoSpacing">
    <w:name w:val="No Spacing"/>
    <w:uiPriority w:val="1"/>
    <w:qFormat/>
    <w:rsid w:val="007C165F"/>
    <w:pPr>
      <w:spacing w:after="0" w:line="240" w:lineRule="auto"/>
    </w:pPr>
  </w:style>
  <w:style w:type="character" w:customStyle="1" w:styleId="Heading1Char">
    <w:name w:val="Heading 1 Char"/>
    <w:basedOn w:val="DefaultParagraphFont"/>
    <w:link w:val="Heading1"/>
    <w:uiPriority w:val="9"/>
    <w:rsid w:val="007C16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16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16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36A70"/>
    <w:rPr>
      <w:rFonts w:eastAsiaTheme="majorEastAsia" w:cstheme="majorBidi"/>
      <w:bCs/>
      <w:i/>
      <w:iCs/>
      <w:color w:val="4F81BD" w:themeColor="accent1"/>
      <w:sz w:val="24"/>
    </w:rPr>
  </w:style>
  <w:style w:type="character" w:customStyle="1" w:styleId="Heading5Char">
    <w:name w:val="Heading 5 Char"/>
    <w:basedOn w:val="DefaultParagraphFont"/>
    <w:link w:val="Heading5"/>
    <w:uiPriority w:val="9"/>
    <w:rsid w:val="007C16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C16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C16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C16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C165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7C16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165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C16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C165F"/>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7C165F"/>
    <w:rPr>
      <w:i/>
      <w:iCs/>
      <w:color w:val="000000" w:themeColor="text1"/>
    </w:rPr>
  </w:style>
  <w:style w:type="character" w:customStyle="1" w:styleId="QuoteChar">
    <w:name w:val="Quote Char"/>
    <w:basedOn w:val="DefaultParagraphFont"/>
    <w:link w:val="Quote"/>
    <w:uiPriority w:val="29"/>
    <w:rsid w:val="007C165F"/>
    <w:rPr>
      <w:i/>
      <w:iCs/>
      <w:color w:val="000000" w:themeColor="text1"/>
    </w:rPr>
  </w:style>
  <w:style w:type="paragraph" w:styleId="IntenseQuote">
    <w:name w:val="Intense Quote"/>
    <w:basedOn w:val="Normal"/>
    <w:next w:val="Normal"/>
    <w:link w:val="IntenseQuoteChar"/>
    <w:uiPriority w:val="30"/>
    <w:qFormat/>
    <w:rsid w:val="007C16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C165F"/>
    <w:rPr>
      <w:b/>
      <w:bCs/>
      <w:i/>
      <w:iCs/>
      <w:color w:val="4F81BD" w:themeColor="accent1"/>
    </w:rPr>
  </w:style>
  <w:style w:type="character" w:styleId="SubtleEmphasis">
    <w:name w:val="Subtle Emphasis"/>
    <w:basedOn w:val="DefaultParagraphFont"/>
    <w:uiPriority w:val="19"/>
    <w:qFormat/>
    <w:rsid w:val="007C165F"/>
    <w:rPr>
      <w:i/>
      <w:iCs/>
      <w:color w:val="808080" w:themeColor="text1" w:themeTint="7F"/>
    </w:rPr>
  </w:style>
  <w:style w:type="character" w:styleId="IntenseEmphasis">
    <w:name w:val="Intense Emphasis"/>
    <w:basedOn w:val="DefaultParagraphFont"/>
    <w:uiPriority w:val="21"/>
    <w:qFormat/>
    <w:rsid w:val="007C165F"/>
    <w:rPr>
      <w:b/>
      <w:bCs/>
      <w:i/>
      <w:iCs/>
      <w:color w:val="4F81BD" w:themeColor="accent1"/>
    </w:rPr>
  </w:style>
  <w:style w:type="character" w:styleId="SubtleReference">
    <w:name w:val="Subtle Reference"/>
    <w:basedOn w:val="DefaultParagraphFont"/>
    <w:uiPriority w:val="31"/>
    <w:qFormat/>
    <w:rsid w:val="007C165F"/>
    <w:rPr>
      <w:smallCaps/>
      <w:color w:val="C0504D" w:themeColor="accent2"/>
      <w:u w:val="single"/>
    </w:rPr>
  </w:style>
  <w:style w:type="character" w:styleId="IntenseReference">
    <w:name w:val="Intense Reference"/>
    <w:basedOn w:val="DefaultParagraphFont"/>
    <w:uiPriority w:val="32"/>
    <w:qFormat/>
    <w:rsid w:val="007C165F"/>
    <w:rPr>
      <w:b/>
      <w:bCs/>
      <w:smallCaps/>
      <w:color w:val="C0504D" w:themeColor="accent2"/>
      <w:spacing w:val="5"/>
      <w:u w:val="single"/>
    </w:rPr>
  </w:style>
  <w:style w:type="character" w:styleId="BookTitle">
    <w:name w:val="Book Title"/>
    <w:basedOn w:val="DefaultParagraphFont"/>
    <w:uiPriority w:val="33"/>
    <w:qFormat/>
    <w:rsid w:val="007C165F"/>
    <w:rPr>
      <w:b/>
      <w:bCs/>
      <w:smallCaps/>
      <w:spacing w:val="5"/>
    </w:rPr>
  </w:style>
  <w:style w:type="paragraph" w:styleId="TOCHeading">
    <w:name w:val="TOC Heading"/>
    <w:basedOn w:val="Heading1"/>
    <w:next w:val="Normal"/>
    <w:uiPriority w:val="39"/>
    <w:semiHidden/>
    <w:unhideWhenUsed/>
    <w:qFormat/>
    <w:rsid w:val="007C165F"/>
    <w:pPr>
      <w:outlineLvl w:val="9"/>
    </w:pPr>
  </w:style>
  <w:style w:type="character" w:customStyle="1" w:styleId="FooterChar">
    <w:name w:val="Footer Char"/>
    <w:basedOn w:val="DefaultParagraphFont"/>
    <w:link w:val="Footer"/>
    <w:uiPriority w:val="99"/>
    <w:rsid w:val="001B6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1572">
      <w:bodyDiv w:val="1"/>
      <w:marLeft w:val="60"/>
      <w:marRight w:val="60"/>
      <w:marTop w:val="60"/>
      <w:marBottom w:val="15"/>
      <w:divBdr>
        <w:top w:val="none" w:sz="0" w:space="0" w:color="auto"/>
        <w:left w:val="none" w:sz="0" w:space="0" w:color="auto"/>
        <w:bottom w:val="none" w:sz="0" w:space="0" w:color="auto"/>
        <w:right w:val="none" w:sz="0" w:space="0" w:color="auto"/>
      </w:divBdr>
      <w:divsChild>
        <w:div w:id="130952323">
          <w:marLeft w:val="0"/>
          <w:marRight w:val="0"/>
          <w:marTop w:val="0"/>
          <w:marBottom w:val="0"/>
          <w:divBdr>
            <w:top w:val="none" w:sz="0" w:space="0" w:color="auto"/>
            <w:left w:val="none" w:sz="0" w:space="0" w:color="auto"/>
            <w:bottom w:val="none" w:sz="0" w:space="0" w:color="auto"/>
            <w:right w:val="none" w:sz="0" w:space="0" w:color="auto"/>
          </w:divBdr>
        </w:div>
        <w:div w:id="135029660">
          <w:marLeft w:val="0"/>
          <w:marRight w:val="0"/>
          <w:marTop w:val="0"/>
          <w:marBottom w:val="0"/>
          <w:divBdr>
            <w:top w:val="none" w:sz="0" w:space="0" w:color="auto"/>
            <w:left w:val="none" w:sz="0" w:space="0" w:color="auto"/>
            <w:bottom w:val="none" w:sz="0" w:space="0" w:color="auto"/>
            <w:right w:val="none" w:sz="0" w:space="0" w:color="auto"/>
          </w:divBdr>
        </w:div>
        <w:div w:id="140199586">
          <w:marLeft w:val="0"/>
          <w:marRight w:val="0"/>
          <w:marTop w:val="0"/>
          <w:marBottom w:val="0"/>
          <w:divBdr>
            <w:top w:val="none" w:sz="0" w:space="0" w:color="auto"/>
            <w:left w:val="none" w:sz="0" w:space="0" w:color="auto"/>
            <w:bottom w:val="none" w:sz="0" w:space="0" w:color="auto"/>
            <w:right w:val="none" w:sz="0" w:space="0" w:color="auto"/>
          </w:divBdr>
        </w:div>
        <w:div w:id="165025019">
          <w:marLeft w:val="0"/>
          <w:marRight w:val="0"/>
          <w:marTop w:val="0"/>
          <w:marBottom w:val="0"/>
          <w:divBdr>
            <w:top w:val="none" w:sz="0" w:space="0" w:color="auto"/>
            <w:left w:val="none" w:sz="0" w:space="0" w:color="auto"/>
            <w:bottom w:val="none" w:sz="0" w:space="0" w:color="auto"/>
            <w:right w:val="none" w:sz="0" w:space="0" w:color="auto"/>
          </w:divBdr>
        </w:div>
        <w:div w:id="233275361">
          <w:marLeft w:val="0"/>
          <w:marRight w:val="0"/>
          <w:marTop w:val="0"/>
          <w:marBottom w:val="0"/>
          <w:divBdr>
            <w:top w:val="none" w:sz="0" w:space="0" w:color="auto"/>
            <w:left w:val="none" w:sz="0" w:space="0" w:color="auto"/>
            <w:bottom w:val="none" w:sz="0" w:space="0" w:color="auto"/>
            <w:right w:val="none" w:sz="0" w:space="0" w:color="auto"/>
          </w:divBdr>
        </w:div>
        <w:div w:id="236519906">
          <w:marLeft w:val="0"/>
          <w:marRight w:val="0"/>
          <w:marTop w:val="0"/>
          <w:marBottom w:val="0"/>
          <w:divBdr>
            <w:top w:val="none" w:sz="0" w:space="0" w:color="auto"/>
            <w:left w:val="none" w:sz="0" w:space="0" w:color="auto"/>
            <w:bottom w:val="none" w:sz="0" w:space="0" w:color="auto"/>
            <w:right w:val="none" w:sz="0" w:space="0" w:color="auto"/>
          </w:divBdr>
        </w:div>
        <w:div w:id="274560804">
          <w:marLeft w:val="0"/>
          <w:marRight w:val="0"/>
          <w:marTop w:val="0"/>
          <w:marBottom w:val="0"/>
          <w:divBdr>
            <w:top w:val="none" w:sz="0" w:space="0" w:color="auto"/>
            <w:left w:val="none" w:sz="0" w:space="0" w:color="auto"/>
            <w:bottom w:val="none" w:sz="0" w:space="0" w:color="auto"/>
            <w:right w:val="none" w:sz="0" w:space="0" w:color="auto"/>
          </w:divBdr>
        </w:div>
        <w:div w:id="331493830">
          <w:marLeft w:val="0"/>
          <w:marRight w:val="0"/>
          <w:marTop w:val="0"/>
          <w:marBottom w:val="0"/>
          <w:divBdr>
            <w:top w:val="none" w:sz="0" w:space="0" w:color="auto"/>
            <w:left w:val="none" w:sz="0" w:space="0" w:color="auto"/>
            <w:bottom w:val="none" w:sz="0" w:space="0" w:color="auto"/>
            <w:right w:val="none" w:sz="0" w:space="0" w:color="auto"/>
          </w:divBdr>
        </w:div>
        <w:div w:id="444538856">
          <w:marLeft w:val="0"/>
          <w:marRight w:val="0"/>
          <w:marTop w:val="0"/>
          <w:marBottom w:val="0"/>
          <w:divBdr>
            <w:top w:val="none" w:sz="0" w:space="0" w:color="auto"/>
            <w:left w:val="none" w:sz="0" w:space="0" w:color="auto"/>
            <w:bottom w:val="none" w:sz="0" w:space="0" w:color="auto"/>
            <w:right w:val="none" w:sz="0" w:space="0" w:color="auto"/>
          </w:divBdr>
        </w:div>
        <w:div w:id="513375455">
          <w:marLeft w:val="0"/>
          <w:marRight w:val="0"/>
          <w:marTop w:val="0"/>
          <w:marBottom w:val="0"/>
          <w:divBdr>
            <w:top w:val="none" w:sz="0" w:space="0" w:color="auto"/>
            <w:left w:val="none" w:sz="0" w:space="0" w:color="auto"/>
            <w:bottom w:val="none" w:sz="0" w:space="0" w:color="auto"/>
            <w:right w:val="none" w:sz="0" w:space="0" w:color="auto"/>
          </w:divBdr>
        </w:div>
        <w:div w:id="514464967">
          <w:marLeft w:val="0"/>
          <w:marRight w:val="0"/>
          <w:marTop w:val="0"/>
          <w:marBottom w:val="0"/>
          <w:divBdr>
            <w:top w:val="none" w:sz="0" w:space="0" w:color="auto"/>
            <w:left w:val="none" w:sz="0" w:space="0" w:color="auto"/>
            <w:bottom w:val="none" w:sz="0" w:space="0" w:color="auto"/>
            <w:right w:val="none" w:sz="0" w:space="0" w:color="auto"/>
          </w:divBdr>
        </w:div>
        <w:div w:id="522091692">
          <w:marLeft w:val="0"/>
          <w:marRight w:val="0"/>
          <w:marTop w:val="0"/>
          <w:marBottom w:val="0"/>
          <w:divBdr>
            <w:top w:val="none" w:sz="0" w:space="0" w:color="auto"/>
            <w:left w:val="none" w:sz="0" w:space="0" w:color="auto"/>
            <w:bottom w:val="none" w:sz="0" w:space="0" w:color="auto"/>
            <w:right w:val="none" w:sz="0" w:space="0" w:color="auto"/>
          </w:divBdr>
        </w:div>
        <w:div w:id="549847490">
          <w:marLeft w:val="0"/>
          <w:marRight w:val="0"/>
          <w:marTop w:val="0"/>
          <w:marBottom w:val="0"/>
          <w:divBdr>
            <w:top w:val="none" w:sz="0" w:space="0" w:color="auto"/>
            <w:left w:val="none" w:sz="0" w:space="0" w:color="auto"/>
            <w:bottom w:val="none" w:sz="0" w:space="0" w:color="auto"/>
            <w:right w:val="none" w:sz="0" w:space="0" w:color="auto"/>
          </w:divBdr>
        </w:div>
        <w:div w:id="571158826">
          <w:marLeft w:val="0"/>
          <w:marRight w:val="0"/>
          <w:marTop w:val="0"/>
          <w:marBottom w:val="0"/>
          <w:divBdr>
            <w:top w:val="none" w:sz="0" w:space="0" w:color="auto"/>
            <w:left w:val="none" w:sz="0" w:space="0" w:color="auto"/>
            <w:bottom w:val="none" w:sz="0" w:space="0" w:color="auto"/>
            <w:right w:val="none" w:sz="0" w:space="0" w:color="auto"/>
          </w:divBdr>
        </w:div>
        <w:div w:id="734858534">
          <w:marLeft w:val="0"/>
          <w:marRight w:val="0"/>
          <w:marTop w:val="0"/>
          <w:marBottom w:val="0"/>
          <w:divBdr>
            <w:top w:val="none" w:sz="0" w:space="0" w:color="auto"/>
            <w:left w:val="none" w:sz="0" w:space="0" w:color="auto"/>
            <w:bottom w:val="none" w:sz="0" w:space="0" w:color="auto"/>
            <w:right w:val="none" w:sz="0" w:space="0" w:color="auto"/>
          </w:divBdr>
        </w:div>
        <w:div w:id="852917297">
          <w:marLeft w:val="0"/>
          <w:marRight w:val="0"/>
          <w:marTop w:val="0"/>
          <w:marBottom w:val="0"/>
          <w:divBdr>
            <w:top w:val="none" w:sz="0" w:space="0" w:color="auto"/>
            <w:left w:val="none" w:sz="0" w:space="0" w:color="auto"/>
            <w:bottom w:val="none" w:sz="0" w:space="0" w:color="auto"/>
            <w:right w:val="none" w:sz="0" w:space="0" w:color="auto"/>
          </w:divBdr>
        </w:div>
        <w:div w:id="885220769">
          <w:marLeft w:val="0"/>
          <w:marRight w:val="0"/>
          <w:marTop w:val="0"/>
          <w:marBottom w:val="0"/>
          <w:divBdr>
            <w:top w:val="none" w:sz="0" w:space="0" w:color="auto"/>
            <w:left w:val="none" w:sz="0" w:space="0" w:color="auto"/>
            <w:bottom w:val="none" w:sz="0" w:space="0" w:color="auto"/>
            <w:right w:val="none" w:sz="0" w:space="0" w:color="auto"/>
          </w:divBdr>
        </w:div>
        <w:div w:id="921719138">
          <w:marLeft w:val="0"/>
          <w:marRight w:val="0"/>
          <w:marTop w:val="0"/>
          <w:marBottom w:val="0"/>
          <w:divBdr>
            <w:top w:val="none" w:sz="0" w:space="0" w:color="auto"/>
            <w:left w:val="none" w:sz="0" w:space="0" w:color="auto"/>
            <w:bottom w:val="none" w:sz="0" w:space="0" w:color="auto"/>
            <w:right w:val="none" w:sz="0" w:space="0" w:color="auto"/>
          </w:divBdr>
        </w:div>
        <w:div w:id="1124808185">
          <w:marLeft w:val="0"/>
          <w:marRight w:val="0"/>
          <w:marTop w:val="0"/>
          <w:marBottom w:val="0"/>
          <w:divBdr>
            <w:top w:val="none" w:sz="0" w:space="0" w:color="auto"/>
            <w:left w:val="none" w:sz="0" w:space="0" w:color="auto"/>
            <w:bottom w:val="none" w:sz="0" w:space="0" w:color="auto"/>
            <w:right w:val="none" w:sz="0" w:space="0" w:color="auto"/>
          </w:divBdr>
        </w:div>
        <w:div w:id="1298149345">
          <w:marLeft w:val="0"/>
          <w:marRight w:val="0"/>
          <w:marTop w:val="0"/>
          <w:marBottom w:val="0"/>
          <w:divBdr>
            <w:top w:val="none" w:sz="0" w:space="0" w:color="auto"/>
            <w:left w:val="none" w:sz="0" w:space="0" w:color="auto"/>
            <w:bottom w:val="none" w:sz="0" w:space="0" w:color="auto"/>
            <w:right w:val="none" w:sz="0" w:space="0" w:color="auto"/>
          </w:divBdr>
        </w:div>
        <w:div w:id="1319269194">
          <w:marLeft w:val="0"/>
          <w:marRight w:val="0"/>
          <w:marTop w:val="0"/>
          <w:marBottom w:val="0"/>
          <w:divBdr>
            <w:top w:val="none" w:sz="0" w:space="0" w:color="auto"/>
            <w:left w:val="none" w:sz="0" w:space="0" w:color="auto"/>
            <w:bottom w:val="none" w:sz="0" w:space="0" w:color="auto"/>
            <w:right w:val="none" w:sz="0" w:space="0" w:color="auto"/>
          </w:divBdr>
        </w:div>
        <w:div w:id="1368215720">
          <w:marLeft w:val="0"/>
          <w:marRight w:val="0"/>
          <w:marTop w:val="0"/>
          <w:marBottom w:val="0"/>
          <w:divBdr>
            <w:top w:val="none" w:sz="0" w:space="0" w:color="auto"/>
            <w:left w:val="none" w:sz="0" w:space="0" w:color="auto"/>
            <w:bottom w:val="none" w:sz="0" w:space="0" w:color="auto"/>
            <w:right w:val="none" w:sz="0" w:space="0" w:color="auto"/>
          </w:divBdr>
        </w:div>
        <w:div w:id="1411851049">
          <w:marLeft w:val="0"/>
          <w:marRight w:val="0"/>
          <w:marTop w:val="0"/>
          <w:marBottom w:val="0"/>
          <w:divBdr>
            <w:top w:val="none" w:sz="0" w:space="0" w:color="auto"/>
            <w:left w:val="none" w:sz="0" w:space="0" w:color="auto"/>
            <w:bottom w:val="none" w:sz="0" w:space="0" w:color="auto"/>
            <w:right w:val="none" w:sz="0" w:space="0" w:color="auto"/>
          </w:divBdr>
        </w:div>
        <w:div w:id="1519932120">
          <w:marLeft w:val="0"/>
          <w:marRight w:val="0"/>
          <w:marTop w:val="0"/>
          <w:marBottom w:val="0"/>
          <w:divBdr>
            <w:top w:val="none" w:sz="0" w:space="0" w:color="auto"/>
            <w:left w:val="none" w:sz="0" w:space="0" w:color="auto"/>
            <w:bottom w:val="none" w:sz="0" w:space="0" w:color="auto"/>
            <w:right w:val="none" w:sz="0" w:space="0" w:color="auto"/>
          </w:divBdr>
        </w:div>
        <w:div w:id="1557472255">
          <w:marLeft w:val="0"/>
          <w:marRight w:val="0"/>
          <w:marTop w:val="0"/>
          <w:marBottom w:val="0"/>
          <w:divBdr>
            <w:top w:val="none" w:sz="0" w:space="0" w:color="auto"/>
            <w:left w:val="none" w:sz="0" w:space="0" w:color="auto"/>
            <w:bottom w:val="none" w:sz="0" w:space="0" w:color="auto"/>
            <w:right w:val="none" w:sz="0" w:space="0" w:color="auto"/>
          </w:divBdr>
        </w:div>
        <w:div w:id="1582105048">
          <w:marLeft w:val="0"/>
          <w:marRight w:val="0"/>
          <w:marTop w:val="0"/>
          <w:marBottom w:val="0"/>
          <w:divBdr>
            <w:top w:val="none" w:sz="0" w:space="0" w:color="auto"/>
            <w:left w:val="none" w:sz="0" w:space="0" w:color="auto"/>
            <w:bottom w:val="none" w:sz="0" w:space="0" w:color="auto"/>
            <w:right w:val="none" w:sz="0" w:space="0" w:color="auto"/>
          </w:divBdr>
        </w:div>
        <w:div w:id="1710063345">
          <w:marLeft w:val="0"/>
          <w:marRight w:val="0"/>
          <w:marTop w:val="0"/>
          <w:marBottom w:val="0"/>
          <w:divBdr>
            <w:top w:val="none" w:sz="0" w:space="0" w:color="auto"/>
            <w:left w:val="none" w:sz="0" w:space="0" w:color="auto"/>
            <w:bottom w:val="none" w:sz="0" w:space="0" w:color="auto"/>
            <w:right w:val="none" w:sz="0" w:space="0" w:color="auto"/>
          </w:divBdr>
        </w:div>
        <w:div w:id="1752772614">
          <w:marLeft w:val="0"/>
          <w:marRight w:val="0"/>
          <w:marTop w:val="0"/>
          <w:marBottom w:val="0"/>
          <w:divBdr>
            <w:top w:val="none" w:sz="0" w:space="0" w:color="auto"/>
            <w:left w:val="none" w:sz="0" w:space="0" w:color="auto"/>
            <w:bottom w:val="none" w:sz="0" w:space="0" w:color="auto"/>
            <w:right w:val="none" w:sz="0" w:space="0" w:color="auto"/>
          </w:divBdr>
        </w:div>
        <w:div w:id="1813214408">
          <w:marLeft w:val="0"/>
          <w:marRight w:val="0"/>
          <w:marTop w:val="0"/>
          <w:marBottom w:val="0"/>
          <w:divBdr>
            <w:top w:val="none" w:sz="0" w:space="0" w:color="auto"/>
            <w:left w:val="none" w:sz="0" w:space="0" w:color="auto"/>
            <w:bottom w:val="none" w:sz="0" w:space="0" w:color="auto"/>
            <w:right w:val="none" w:sz="0" w:space="0" w:color="auto"/>
          </w:divBdr>
        </w:div>
        <w:div w:id="1819223066">
          <w:marLeft w:val="0"/>
          <w:marRight w:val="0"/>
          <w:marTop w:val="0"/>
          <w:marBottom w:val="0"/>
          <w:divBdr>
            <w:top w:val="none" w:sz="0" w:space="0" w:color="auto"/>
            <w:left w:val="none" w:sz="0" w:space="0" w:color="auto"/>
            <w:bottom w:val="none" w:sz="0" w:space="0" w:color="auto"/>
            <w:right w:val="none" w:sz="0" w:space="0" w:color="auto"/>
          </w:divBdr>
        </w:div>
        <w:div w:id="1850943744">
          <w:marLeft w:val="0"/>
          <w:marRight w:val="0"/>
          <w:marTop w:val="0"/>
          <w:marBottom w:val="0"/>
          <w:divBdr>
            <w:top w:val="none" w:sz="0" w:space="0" w:color="auto"/>
            <w:left w:val="none" w:sz="0" w:space="0" w:color="auto"/>
            <w:bottom w:val="none" w:sz="0" w:space="0" w:color="auto"/>
            <w:right w:val="none" w:sz="0" w:space="0" w:color="auto"/>
          </w:divBdr>
        </w:div>
        <w:div w:id="1886482137">
          <w:marLeft w:val="0"/>
          <w:marRight w:val="0"/>
          <w:marTop w:val="0"/>
          <w:marBottom w:val="0"/>
          <w:divBdr>
            <w:top w:val="none" w:sz="0" w:space="0" w:color="auto"/>
            <w:left w:val="none" w:sz="0" w:space="0" w:color="auto"/>
            <w:bottom w:val="none" w:sz="0" w:space="0" w:color="auto"/>
            <w:right w:val="none" w:sz="0" w:space="0" w:color="auto"/>
          </w:divBdr>
        </w:div>
        <w:div w:id="1978029152">
          <w:marLeft w:val="0"/>
          <w:marRight w:val="0"/>
          <w:marTop w:val="0"/>
          <w:marBottom w:val="0"/>
          <w:divBdr>
            <w:top w:val="none" w:sz="0" w:space="0" w:color="auto"/>
            <w:left w:val="none" w:sz="0" w:space="0" w:color="auto"/>
            <w:bottom w:val="none" w:sz="0" w:space="0" w:color="auto"/>
            <w:right w:val="none" w:sz="0" w:space="0" w:color="auto"/>
          </w:divBdr>
        </w:div>
        <w:div w:id="2045397593">
          <w:marLeft w:val="0"/>
          <w:marRight w:val="0"/>
          <w:marTop w:val="0"/>
          <w:marBottom w:val="0"/>
          <w:divBdr>
            <w:top w:val="none" w:sz="0" w:space="0" w:color="auto"/>
            <w:left w:val="none" w:sz="0" w:space="0" w:color="auto"/>
            <w:bottom w:val="none" w:sz="0" w:space="0" w:color="auto"/>
            <w:right w:val="none" w:sz="0" w:space="0" w:color="auto"/>
          </w:divBdr>
        </w:div>
      </w:divsChild>
    </w:div>
    <w:div w:id="148258125">
      <w:bodyDiv w:val="1"/>
      <w:marLeft w:val="0"/>
      <w:marRight w:val="0"/>
      <w:marTop w:val="0"/>
      <w:marBottom w:val="0"/>
      <w:divBdr>
        <w:top w:val="none" w:sz="0" w:space="0" w:color="auto"/>
        <w:left w:val="none" w:sz="0" w:space="0" w:color="auto"/>
        <w:bottom w:val="none" w:sz="0" w:space="0" w:color="auto"/>
        <w:right w:val="none" w:sz="0" w:space="0" w:color="auto"/>
      </w:divBdr>
    </w:div>
    <w:div w:id="507446586">
      <w:bodyDiv w:val="1"/>
      <w:marLeft w:val="0"/>
      <w:marRight w:val="0"/>
      <w:marTop w:val="0"/>
      <w:marBottom w:val="0"/>
      <w:divBdr>
        <w:top w:val="none" w:sz="0" w:space="0" w:color="auto"/>
        <w:left w:val="none" w:sz="0" w:space="0" w:color="auto"/>
        <w:bottom w:val="none" w:sz="0" w:space="0" w:color="auto"/>
        <w:right w:val="none" w:sz="0" w:space="0" w:color="auto"/>
      </w:divBdr>
    </w:div>
    <w:div w:id="556091595">
      <w:bodyDiv w:val="1"/>
      <w:marLeft w:val="0"/>
      <w:marRight w:val="0"/>
      <w:marTop w:val="0"/>
      <w:marBottom w:val="0"/>
      <w:divBdr>
        <w:top w:val="none" w:sz="0" w:space="0" w:color="auto"/>
        <w:left w:val="none" w:sz="0" w:space="0" w:color="auto"/>
        <w:bottom w:val="none" w:sz="0" w:space="0" w:color="auto"/>
        <w:right w:val="none" w:sz="0" w:space="0" w:color="auto"/>
      </w:divBdr>
    </w:div>
    <w:div w:id="569192947">
      <w:bodyDiv w:val="1"/>
      <w:marLeft w:val="0"/>
      <w:marRight w:val="0"/>
      <w:marTop w:val="0"/>
      <w:marBottom w:val="0"/>
      <w:divBdr>
        <w:top w:val="none" w:sz="0" w:space="0" w:color="auto"/>
        <w:left w:val="none" w:sz="0" w:space="0" w:color="auto"/>
        <w:bottom w:val="none" w:sz="0" w:space="0" w:color="auto"/>
        <w:right w:val="none" w:sz="0" w:space="0" w:color="auto"/>
      </w:divBdr>
    </w:div>
    <w:div w:id="617833075">
      <w:bodyDiv w:val="1"/>
      <w:marLeft w:val="0"/>
      <w:marRight w:val="0"/>
      <w:marTop w:val="0"/>
      <w:marBottom w:val="0"/>
      <w:divBdr>
        <w:top w:val="none" w:sz="0" w:space="0" w:color="auto"/>
        <w:left w:val="none" w:sz="0" w:space="0" w:color="auto"/>
        <w:bottom w:val="none" w:sz="0" w:space="0" w:color="auto"/>
        <w:right w:val="none" w:sz="0" w:space="0" w:color="auto"/>
      </w:divBdr>
    </w:div>
    <w:div w:id="799149858">
      <w:bodyDiv w:val="1"/>
      <w:marLeft w:val="0"/>
      <w:marRight w:val="0"/>
      <w:marTop w:val="0"/>
      <w:marBottom w:val="0"/>
      <w:divBdr>
        <w:top w:val="none" w:sz="0" w:space="0" w:color="auto"/>
        <w:left w:val="none" w:sz="0" w:space="0" w:color="auto"/>
        <w:bottom w:val="none" w:sz="0" w:space="0" w:color="auto"/>
        <w:right w:val="none" w:sz="0" w:space="0" w:color="auto"/>
      </w:divBdr>
    </w:div>
    <w:div w:id="846596447">
      <w:bodyDiv w:val="1"/>
      <w:marLeft w:val="0"/>
      <w:marRight w:val="0"/>
      <w:marTop w:val="0"/>
      <w:marBottom w:val="0"/>
      <w:divBdr>
        <w:top w:val="none" w:sz="0" w:space="0" w:color="auto"/>
        <w:left w:val="none" w:sz="0" w:space="0" w:color="auto"/>
        <w:bottom w:val="none" w:sz="0" w:space="0" w:color="auto"/>
        <w:right w:val="none" w:sz="0" w:space="0" w:color="auto"/>
      </w:divBdr>
    </w:div>
    <w:div w:id="1491678343">
      <w:bodyDiv w:val="1"/>
      <w:marLeft w:val="60"/>
      <w:marRight w:val="60"/>
      <w:marTop w:val="60"/>
      <w:marBottom w:val="15"/>
      <w:divBdr>
        <w:top w:val="none" w:sz="0" w:space="0" w:color="auto"/>
        <w:left w:val="none" w:sz="0" w:space="0" w:color="auto"/>
        <w:bottom w:val="none" w:sz="0" w:space="0" w:color="auto"/>
        <w:right w:val="none" w:sz="0" w:space="0" w:color="auto"/>
      </w:divBdr>
      <w:divsChild>
        <w:div w:id="6180454">
          <w:marLeft w:val="0"/>
          <w:marRight w:val="0"/>
          <w:marTop w:val="0"/>
          <w:marBottom w:val="0"/>
          <w:divBdr>
            <w:top w:val="none" w:sz="0" w:space="0" w:color="auto"/>
            <w:left w:val="none" w:sz="0" w:space="0" w:color="auto"/>
            <w:bottom w:val="none" w:sz="0" w:space="0" w:color="auto"/>
            <w:right w:val="none" w:sz="0" w:space="0" w:color="auto"/>
          </w:divBdr>
        </w:div>
        <w:div w:id="48652241">
          <w:marLeft w:val="0"/>
          <w:marRight w:val="0"/>
          <w:marTop w:val="0"/>
          <w:marBottom w:val="0"/>
          <w:divBdr>
            <w:top w:val="none" w:sz="0" w:space="0" w:color="auto"/>
            <w:left w:val="none" w:sz="0" w:space="0" w:color="auto"/>
            <w:bottom w:val="none" w:sz="0" w:space="0" w:color="auto"/>
            <w:right w:val="none" w:sz="0" w:space="0" w:color="auto"/>
          </w:divBdr>
        </w:div>
        <w:div w:id="75983683">
          <w:marLeft w:val="0"/>
          <w:marRight w:val="0"/>
          <w:marTop w:val="0"/>
          <w:marBottom w:val="0"/>
          <w:divBdr>
            <w:top w:val="none" w:sz="0" w:space="0" w:color="auto"/>
            <w:left w:val="none" w:sz="0" w:space="0" w:color="auto"/>
            <w:bottom w:val="none" w:sz="0" w:space="0" w:color="auto"/>
            <w:right w:val="none" w:sz="0" w:space="0" w:color="auto"/>
          </w:divBdr>
        </w:div>
        <w:div w:id="264308144">
          <w:marLeft w:val="0"/>
          <w:marRight w:val="0"/>
          <w:marTop w:val="0"/>
          <w:marBottom w:val="0"/>
          <w:divBdr>
            <w:top w:val="none" w:sz="0" w:space="0" w:color="auto"/>
            <w:left w:val="none" w:sz="0" w:space="0" w:color="auto"/>
            <w:bottom w:val="none" w:sz="0" w:space="0" w:color="auto"/>
            <w:right w:val="none" w:sz="0" w:space="0" w:color="auto"/>
          </w:divBdr>
        </w:div>
        <w:div w:id="320622269">
          <w:marLeft w:val="0"/>
          <w:marRight w:val="0"/>
          <w:marTop w:val="0"/>
          <w:marBottom w:val="0"/>
          <w:divBdr>
            <w:top w:val="none" w:sz="0" w:space="0" w:color="auto"/>
            <w:left w:val="none" w:sz="0" w:space="0" w:color="auto"/>
            <w:bottom w:val="none" w:sz="0" w:space="0" w:color="auto"/>
            <w:right w:val="none" w:sz="0" w:space="0" w:color="auto"/>
          </w:divBdr>
        </w:div>
        <w:div w:id="379676130">
          <w:marLeft w:val="0"/>
          <w:marRight w:val="0"/>
          <w:marTop w:val="0"/>
          <w:marBottom w:val="0"/>
          <w:divBdr>
            <w:top w:val="none" w:sz="0" w:space="0" w:color="auto"/>
            <w:left w:val="none" w:sz="0" w:space="0" w:color="auto"/>
            <w:bottom w:val="none" w:sz="0" w:space="0" w:color="auto"/>
            <w:right w:val="none" w:sz="0" w:space="0" w:color="auto"/>
          </w:divBdr>
        </w:div>
        <w:div w:id="433013661">
          <w:marLeft w:val="0"/>
          <w:marRight w:val="0"/>
          <w:marTop w:val="0"/>
          <w:marBottom w:val="0"/>
          <w:divBdr>
            <w:top w:val="none" w:sz="0" w:space="0" w:color="auto"/>
            <w:left w:val="none" w:sz="0" w:space="0" w:color="auto"/>
            <w:bottom w:val="none" w:sz="0" w:space="0" w:color="auto"/>
            <w:right w:val="none" w:sz="0" w:space="0" w:color="auto"/>
          </w:divBdr>
        </w:div>
        <w:div w:id="491798577">
          <w:marLeft w:val="0"/>
          <w:marRight w:val="0"/>
          <w:marTop w:val="0"/>
          <w:marBottom w:val="0"/>
          <w:divBdr>
            <w:top w:val="none" w:sz="0" w:space="0" w:color="auto"/>
            <w:left w:val="none" w:sz="0" w:space="0" w:color="auto"/>
            <w:bottom w:val="none" w:sz="0" w:space="0" w:color="auto"/>
            <w:right w:val="none" w:sz="0" w:space="0" w:color="auto"/>
          </w:divBdr>
        </w:div>
        <w:div w:id="533082959">
          <w:marLeft w:val="0"/>
          <w:marRight w:val="0"/>
          <w:marTop w:val="0"/>
          <w:marBottom w:val="0"/>
          <w:divBdr>
            <w:top w:val="none" w:sz="0" w:space="0" w:color="auto"/>
            <w:left w:val="none" w:sz="0" w:space="0" w:color="auto"/>
            <w:bottom w:val="none" w:sz="0" w:space="0" w:color="auto"/>
            <w:right w:val="none" w:sz="0" w:space="0" w:color="auto"/>
          </w:divBdr>
        </w:div>
        <w:div w:id="549615924">
          <w:marLeft w:val="0"/>
          <w:marRight w:val="0"/>
          <w:marTop w:val="0"/>
          <w:marBottom w:val="0"/>
          <w:divBdr>
            <w:top w:val="none" w:sz="0" w:space="0" w:color="auto"/>
            <w:left w:val="none" w:sz="0" w:space="0" w:color="auto"/>
            <w:bottom w:val="none" w:sz="0" w:space="0" w:color="auto"/>
            <w:right w:val="none" w:sz="0" w:space="0" w:color="auto"/>
          </w:divBdr>
        </w:div>
        <w:div w:id="693576273">
          <w:marLeft w:val="0"/>
          <w:marRight w:val="0"/>
          <w:marTop w:val="0"/>
          <w:marBottom w:val="0"/>
          <w:divBdr>
            <w:top w:val="none" w:sz="0" w:space="0" w:color="auto"/>
            <w:left w:val="none" w:sz="0" w:space="0" w:color="auto"/>
            <w:bottom w:val="none" w:sz="0" w:space="0" w:color="auto"/>
            <w:right w:val="none" w:sz="0" w:space="0" w:color="auto"/>
          </w:divBdr>
        </w:div>
        <w:div w:id="733507878">
          <w:marLeft w:val="0"/>
          <w:marRight w:val="0"/>
          <w:marTop w:val="0"/>
          <w:marBottom w:val="0"/>
          <w:divBdr>
            <w:top w:val="none" w:sz="0" w:space="0" w:color="auto"/>
            <w:left w:val="none" w:sz="0" w:space="0" w:color="auto"/>
            <w:bottom w:val="none" w:sz="0" w:space="0" w:color="auto"/>
            <w:right w:val="none" w:sz="0" w:space="0" w:color="auto"/>
          </w:divBdr>
        </w:div>
        <w:div w:id="738329561">
          <w:marLeft w:val="0"/>
          <w:marRight w:val="0"/>
          <w:marTop w:val="0"/>
          <w:marBottom w:val="0"/>
          <w:divBdr>
            <w:top w:val="none" w:sz="0" w:space="0" w:color="auto"/>
            <w:left w:val="none" w:sz="0" w:space="0" w:color="auto"/>
            <w:bottom w:val="none" w:sz="0" w:space="0" w:color="auto"/>
            <w:right w:val="none" w:sz="0" w:space="0" w:color="auto"/>
          </w:divBdr>
        </w:div>
        <w:div w:id="766539687">
          <w:marLeft w:val="0"/>
          <w:marRight w:val="0"/>
          <w:marTop w:val="0"/>
          <w:marBottom w:val="0"/>
          <w:divBdr>
            <w:top w:val="none" w:sz="0" w:space="0" w:color="auto"/>
            <w:left w:val="none" w:sz="0" w:space="0" w:color="auto"/>
            <w:bottom w:val="none" w:sz="0" w:space="0" w:color="auto"/>
            <w:right w:val="none" w:sz="0" w:space="0" w:color="auto"/>
          </w:divBdr>
        </w:div>
        <w:div w:id="814761948">
          <w:marLeft w:val="0"/>
          <w:marRight w:val="0"/>
          <w:marTop w:val="0"/>
          <w:marBottom w:val="0"/>
          <w:divBdr>
            <w:top w:val="none" w:sz="0" w:space="0" w:color="auto"/>
            <w:left w:val="none" w:sz="0" w:space="0" w:color="auto"/>
            <w:bottom w:val="none" w:sz="0" w:space="0" w:color="auto"/>
            <w:right w:val="none" w:sz="0" w:space="0" w:color="auto"/>
          </w:divBdr>
        </w:div>
        <w:div w:id="897323485">
          <w:marLeft w:val="0"/>
          <w:marRight w:val="0"/>
          <w:marTop w:val="0"/>
          <w:marBottom w:val="0"/>
          <w:divBdr>
            <w:top w:val="none" w:sz="0" w:space="0" w:color="auto"/>
            <w:left w:val="none" w:sz="0" w:space="0" w:color="auto"/>
            <w:bottom w:val="none" w:sz="0" w:space="0" w:color="auto"/>
            <w:right w:val="none" w:sz="0" w:space="0" w:color="auto"/>
          </w:divBdr>
        </w:div>
        <w:div w:id="956451479">
          <w:marLeft w:val="0"/>
          <w:marRight w:val="0"/>
          <w:marTop w:val="0"/>
          <w:marBottom w:val="0"/>
          <w:divBdr>
            <w:top w:val="none" w:sz="0" w:space="0" w:color="auto"/>
            <w:left w:val="none" w:sz="0" w:space="0" w:color="auto"/>
            <w:bottom w:val="none" w:sz="0" w:space="0" w:color="auto"/>
            <w:right w:val="none" w:sz="0" w:space="0" w:color="auto"/>
          </w:divBdr>
        </w:div>
        <w:div w:id="1027292865">
          <w:marLeft w:val="0"/>
          <w:marRight w:val="0"/>
          <w:marTop w:val="0"/>
          <w:marBottom w:val="0"/>
          <w:divBdr>
            <w:top w:val="none" w:sz="0" w:space="0" w:color="auto"/>
            <w:left w:val="none" w:sz="0" w:space="0" w:color="auto"/>
            <w:bottom w:val="none" w:sz="0" w:space="0" w:color="auto"/>
            <w:right w:val="none" w:sz="0" w:space="0" w:color="auto"/>
          </w:divBdr>
        </w:div>
        <w:div w:id="1049381007">
          <w:marLeft w:val="0"/>
          <w:marRight w:val="0"/>
          <w:marTop w:val="0"/>
          <w:marBottom w:val="0"/>
          <w:divBdr>
            <w:top w:val="none" w:sz="0" w:space="0" w:color="auto"/>
            <w:left w:val="none" w:sz="0" w:space="0" w:color="auto"/>
            <w:bottom w:val="none" w:sz="0" w:space="0" w:color="auto"/>
            <w:right w:val="none" w:sz="0" w:space="0" w:color="auto"/>
          </w:divBdr>
        </w:div>
        <w:div w:id="1226143700">
          <w:marLeft w:val="0"/>
          <w:marRight w:val="0"/>
          <w:marTop w:val="0"/>
          <w:marBottom w:val="0"/>
          <w:divBdr>
            <w:top w:val="none" w:sz="0" w:space="0" w:color="auto"/>
            <w:left w:val="none" w:sz="0" w:space="0" w:color="auto"/>
            <w:bottom w:val="none" w:sz="0" w:space="0" w:color="auto"/>
            <w:right w:val="none" w:sz="0" w:space="0" w:color="auto"/>
          </w:divBdr>
        </w:div>
        <w:div w:id="1273366763">
          <w:marLeft w:val="0"/>
          <w:marRight w:val="0"/>
          <w:marTop w:val="0"/>
          <w:marBottom w:val="0"/>
          <w:divBdr>
            <w:top w:val="none" w:sz="0" w:space="0" w:color="auto"/>
            <w:left w:val="none" w:sz="0" w:space="0" w:color="auto"/>
            <w:bottom w:val="none" w:sz="0" w:space="0" w:color="auto"/>
            <w:right w:val="none" w:sz="0" w:space="0" w:color="auto"/>
          </w:divBdr>
        </w:div>
        <w:div w:id="1293752070">
          <w:marLeft w:val="0"/>
          <w:marRight w:val="0"/>
          <w:marTop w:val="0"/>
          <w:marBottom w:val="0"/>
          <w:divBdr>
            <w:top w:val="none" w:sz="0" w:space="0" w:color="auto"/>
            <w:left w:val="none" w:sz="0" w:space="0" w:color="auto"/>
            <w:bottom w:val="none" w:sz="0" w:space="0" w:color="auto"/>
            <w:right w:val="none" w:sz="0" w:space="0" w:color="auto"/>
          </w:divBdr>
        </w:div>
        <w:div w:id="1295713079">
          <w:marLeft w:val="0"/>
          <w:marRight w:val="0"/>
          <w:marTop w:val="0"/>
          <w:marBottom w:val="0"/>
          <w:divBdr>
            <w:top w:val="none" w:sz="0" w:space="0" w:color="auto"/>
            <w:left w:val="none" w:sz="0" w:space="0" w:color="auto"/>
            <w:bottom w:val="none" w:sz="0" w:space="0" w:color="auto"/>
            <w:right w:val="none" w:sz="0" w:space="0" w:color="auto"/>
          </w:divBdr>
        </w:div>
        <w:div w:id="1302806349">
          <w:marLeft w:val="0"/>
          <w:marRight w:val="0"/>
          <w:marTop w:val="0"/>
          <w:marBottom w:val="0"/>
          <w:divBdr>
            <w:top w:val="none" w:sz="0" w:space="0" w:color="auto"/>
            <w:left w:val="none" w:sz="0" w:space="0" w:color="auto"/>
            <w:bottom w:val="none" w:sz="0" w:space="0" w:color="auto"/>
            <w:right w:val="none" w:sz="0" w:space="0" w:color="auto"/>
          </w:divBdr>
        </w:div>
        <w:div w:id="1509902587">
          <w:marLeft w:val="0"/>
          <w:marRight w:val="0"/>
          <w:marTop w:val="0"/>
          <w:marBottom w:val="0"/>
          <w:divBdr>
            <w:top w:val="none" w:sz="0" w:space="0" w:color="auto"/>
            <w:left w:val="none" w:sz="0" w:space="0" w:color="auto"/>
            <w:bottom w:val="none" w:sz="0" w:space="0" w:color="auto"/>
            <w:right w:val="none" w:sz="0" w:space="0" w:color="auto"/>
          </w:divBdr>
        </w:div>
        <w:div w:id="1553730171">
          <w:marLeft w:val="0"/>
          <w:marRight w:val="0"/>
          <w:marTop w:val="0"/>
          <w:marBottom w:val="0"/>
          <w:divBdr>
            <w:top w:val="none" w:sz="0" w:space="0" w:color="auto"/>
            <w:left w:val="none" w:sz="0" w:space="0" w:color="auto"/>
            <w:bottom w:val="none" w:sz="0" w:space="0" w:color="auto"/>
            <w:right w:val="none" w:sz="0" w:space="0" w:color="auto"/>
          </w:divBdr>
        </w:div>
        <w:div w:id="1627736823">
          <w:marLeft w:val="0"/>
          <w:marRight w:val="0"/>
          <w:marTop w:val="0"/>
          <w:marBottom w:val="0"/>
          <w:divBdr>
            <w:top w:val="none" w:sz="0" w:space="0" w:color="auto"/>
            <w:left w:val="none" w:sz="0" w:space="0" w:color="auto"/>
            <w:bottom w:val="none" w:sz="0" w:space="0" w:color="auto"/>
            <w:right w:val="none" w:sz="0" w:space="0" w:color="auto"/>
          </w:divBdr>
        </w:div>
        <w:div w:id="1653365614">
          <w:marLeft w:val="0"/>
          <w:marRight w:val="0"/>
          <w:marTop w:val="0"/>
          <w:marBottom w:val="0"/>
          <w:divBdr>
            <w:top w:val="none" w:sz="0" w:space="0" w:color="auto"/>
            <w:left w:val="none" w:sz="0" w:space="0" w:color="auto"/>
            <w:bottom w:val="none" w:sz="0" w:space="0" w:color="auto"/>
            <w:right w:val="none" w:sz="0" w:space="0" w:color="auto"/>
          </w:divBdr>
        </w:div>
        <w:div w:id="1741712463">
          <w:marLeft w:val="0"/>
          <w:marRight w:val="0"/>
          <w:marTop w:val="0"/>
          <w:marBottom w:val="0"/>
          <w:divBdr>
            <w:top w:val="none" w:sz="0" w:space="0" w:color="auto"/>
            <w:left w:val="none" w:sz="0" w:space="0" w:color="auto"/>
            <w:bottom w:val="none" w:sz="0" w:space="0" w:color="auto"/>
            <w:right w:val="none" w:sz="0" w:space="0" w:color="auto"/>
          </w:divBdr>
        </w:div>
        <w:div w:id="1887374909">
          <w:marLeft w:val="0"/>
          <w:marRight w:val="0"/>
          <w:marTop w:val="0"/>
          <w:marBottom w:val="0"/>
          <w:divBdr>
            <w:top w:val="none" w:sz="0" w:space="0" w:color="auto"/>
            <w:left w:val="none" w:sz="0" w:space="0" w:color="auto"/>
            <w:bottom w:val="none" w:sz="0" w:space="0" w:color="auto"/>
            <w:right w:val="none" w:sz="0" w:space="0" w:color="auto"/>
          </w:divBdr>
        </w:div>
        <w:div w:id="1951157452">
          <w:marLeft w:val="0"/>
          <w:marRight w:val="0"/>
          <w:marTop w:val="0"/>
          <w:marBottom w:val="0"/>
          <w:divBdr>
            <w:top w:val="none" w:sz="0" w:space="0" w:color="auto"/>
            <w:left w:val="none" w:sz="0" w:space="0" w:color="auto"/>
            <w:bottom w:val="none" w:sz="0" w:space="0" w:color="auto"/>
            <w:right w:val="none" w:sz="0" w:space="0" w:color="auto"/>
          </w:divBdr>
        </w:div>
        <w:div w:id="2075657967">
          <w:marLeft w:val="0"/>
          <w:marRight w:val="0"/>
          <w:marTop w:val="0"/>
          <w:marBottom w:val="0"/>
          <w:divBdr>
            <w:top w:val="none" w:sz="0" w:space="0" w:color="auto"/>
            <w:left w:val="none" w:sz="0" w:space="0" w:color="auto"/>
            <w:bottom w:val="none" w:sz="0" w:space="0" w:color="auto"/>
            <w:right w:val="none" w:sz="0" w:space="0" w:color="auto"/>
          </w:divBdr>
        </w:div>
        <w:div w:id="2090153335">
          <w:marLeft w:val="0"/>
          <w:marRight w:val="0"/>
          <w:marTop w:val="0"/>
          <w:marBottom w:val="0"/>
          <w:divBdr>
            <w:top w:val="none" w:sz="0" w:space="0" w:color="auto"/>
            <w:left w:val="none" w:sz="0" w:space="0" w:color="auto"/>
            <w:bottom w:val="none" w:sz="0" w:space="0" w:color="auto"/>
            <w:right w:val="none" w:sz="0" w:space="0" w:color="auto"/>
          </w:divBdr>
        </w:div>
        <w:div w:id="2134706714">
          <w:marLeft w:val="0"/>
          <w:marRight w:val="0"/>
          <w:marTop w:val="0"/>
          <w:marBottom w:val="0"/>
          <w:divBdr>
            <w:top w:val="none" w:sz="0" w:space="0" w:color="auto"/>
            <w:left w:val="none" w:sz="0" w:space="0" w:color="auto"/>
            <w:bottom w:val="none" w:sz="0" w:space="0" w:color="auto"/>
            <w:right w:val="none" w:sz="0" w:space="0" w:color="auto"/>
          </w:divBdr>
        </w:div>
      </w:divsChild>
    </w:div>
    <w:div w:id="1580869024">
      <w:bodyDiv w:val="1"/>
      <w:marLeft w:val="0"/>
      <w:marRight w:val="0"/>
      <w:marTop w:val="0"/>
      <w:marBottom w:val="0"/>
      <w:divBdr>
        <w:top w:val="none" w:sz="0" w:space="0" w:color="auto"/>
        <w:left w:val="none" w:sz="0" w:space="0" w:color="auto"/>
        <w:bottom w:val="none" w:sz="0" w:space="0" w:color="auto"/>
        <w:right w:val="none" w:sz="0" w:space="0" w:color="auto"/>
      </w:divBdr>
    </w:div>
    <w:div w:id="1581252783">
      <w:bodyDiv w:val="1"/>
      <w:marLeft w:val="0"/>
      <w:marRight w:val="0"/>
      <w:marTop w:val="0"/>
      <w:marBottom w:val="0"/>
      <w:divBdr>
        <w:top w:val="none" w:sz="0" w:space="0" w:color="auto"/>
        <w:left w:val="none" w:sz="0" w:space="0" w:color="auto"/>
        <w:bottom w:val="none" w:sz="0" w:space="0" w:color="auto"/>
        <w:right w:val="none" w:sz="0" w:space="0" w:color="auto"/>
      </w:divBdr>
    </w:div>
    <w:div w:id="1588879076">
      <w:bodyDiv w:val="1"/>
      <w:marLeft w:val="0"/>
      <w:marRight w:val="0"/>
      <w:marTop w:val="0"/>
      <w:marBottom w:val="0"/>
      <w:divBdr>
        <w:top w:val="none" w:sz="0" w:space="0" w:color="auto"/>
        <w:left w:val="none" w:sz="0" w:space="0" w:color="auto"/>
        <w:bottom w:val="none" w:sz="0" w:space="0" w:color="auto"/>
        <w:right w:val="none" w:sz="0" w:space="0" w:color="auto"/>
      </w:divBdr>
    </w:div>
    <w:div w:id="1724938557">
      <w:bodyDiv w:val="1"/>
      <w:marLeft w:val="0"/>
      <w:marRight w:val="0"/>
      <w:marTop w:val="0"/>
      <w:marBottom w:val="0"/>
      <w:divBdr>
        <w:top w:val="none" w:sz="0" w:space="0" w:color="auto"/>
        <w:left w:val="none" w:sz="0" w:space="0" w:color="auto"/>
        <w:bottom w:val="none" w:sz="0" w:space="0" w:color="auto"/>
        <w:right w:val="none" w:sz="0" w:space="0" w:color="auto"/>
      </w:divBdr>
    </w:div>
    <w:div w:id="1728409520">
      <w:bodyDiv w:val="1"/>
      <w:marLeft w:val="0"/>
      <w:marRight w:val="0"/>
      <w:marTop w:val="0"/>
      <w:marBottom w:val="0"/>
      <w:divBdr>
        <w:top w:val="none" w:sz="0" w:space="0" w:color="auto"/>
        <w:left w:val="none" w:sz="0" w:space="0" w:color="auto"/>
        <w:bottom w:val="none" w:sz="0" w:space="0" w:color="auto"/>
        <w:right w:val="none" w:sz="0" w:space="0" w:color="auto"/>
      </w:divBdr>
    </w:div>
    <w:div w:id="19814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http://mn.gov/deed/data/export-sta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0.24837256671041119"/>
          <c:y val="0.13548967161547554"/>
          <c:w val="0.59552418752533987"/>
          <c:h val="0.82097792726096053"/>
        </c:manualLayout>
      </c:layout>
      <c:pieChart>
        <c:varyColors val="1"/>
        <c:ser>
          <c:idx val="0"/>
          <c:order val="0"/>
          <c:tx>
            <c:strRef>
              <c:f>Sheet1!$B$1</c:f>
              <c:strCache>
                <c:ptCount val="1"/>
                <c:pt idx="0">
                  <c:v>2020-Q1 Meat</c:v>
                </c:pt>
              </c:strCache>
            </c:strRef>
          </c:tx>
          <c:spPr>
            <a:ln>
              <a:solidFill>
                <a:schemeClr val="tx1"/>
              </a:solidFill>
            </a:ln>
          </c:spPr>
          <c:dPt>
            <c:idx val="0"/>
            <c:bubble3D val="0"/>
            <c:spPr>
              <a:solidFill>
                <a:schemeClr val="accent6">
                  <a:shade val="50000"/>
                </a:schemeClr>
              </a:solidFill>
              <a:ln>
                <a:solidFill>
                  <a:schemeClr val="tx1"/>
                </a:solidFill>
              </a:ln>
              <a:effectLst/>
            </c:spPr>
          </c:dPt>
          <c:dPt>
            <c:idx val="1"/>
            <c:bubble3D val="0"/>
            <c:spPr>
              <a:solidFill>
                <a:schemeClr val="accent6">
                  <a:shade val="70000"/>
                </a:schemeClr>
              </a:solidFill>
              <a:ln>
                <a:solidFill>
                  <a:schemeClr val="tx1"/>
                </a:solidFill>
              </a:ln>
              <a:effectLst/>
            </c:spPr>
          </c:dPt>
          <c:dPt>
            <c:idx val="2"/>
            <c:bubble3D val="0"/>
            <c:spPr>
              <a:solidFill>
                <a:schemeClr val="accent6">
                  <a:shade val="90000"/>
                </a:schemeClr>
              </a:solidFill>
              <a:ln>
                <a:solidFill>
                  <a:schemeClr val="tx1"/>
                </a:solidFill>
              </a:ln>
              <a:effectLst/>
            </c:spPr>
          </c:dPt>
          <c:dPt>
            <c:idx val="3"/>
            <c:bubble3D val="0"/>
            <c:spPr>
              <a:solidFill>
                <a:schemeClr val="accent6">
                  <a:tint val="90000"/>
                </a:schemeClr>
              </a:solidFill>
              <a:ln>
                <a:solidFill>
                  <a:schemeClr val="tx1"/>
                </a:solidFill>
              </a:ln>
              <a:effectLst/>
            </c:spPr>
          </c:dPt>
          <c:dPt>
            <c:idx val="4"/>
            <c:bubble3D val="0"/>
            <c:spPr>
              <a:solidFill>
                <a:schemeClr val="accent6">
                  <a:tint val="70000"/>
                </a:schemeClr>
              </a:solidFill>
              <a:ln>
                <a:solidFill>
                  <a:schemeClr val="tx1"/>
                </a:solidFill>
              </a:ln>
              <a:effectLst/>
            </c:spPr>
          </c:dPt>
          <c:dPt>
            <c:idx val="5"/>
            <c:bubble3D val="0"/>
            <c:spPr>
              <a:solidFill>
                <a:schemeClr val="accent6">
                  <a:tint val="50000"/>
                </a:schemeClr>
              </a:solidFill>
              <a:ln>
                <a:solidFill>
                  <a:schemeClr val="tx1"/>
                </a:solidFill>
              </a:ln>
              <a:effectLst/>
            </c:spPr>
          </c:dPt>
          <c:dPt>
            <c:idx val="6"/>
            <c:bubble3D val="0"/>
            <c:spPr>
              <a:solidFill>
                <a:schemeClr val="accent6">
                  <a:tint val="30000"/>
                </a:schemeClr>
              </a:solidFill>
              <a:ln>
                <a:solidFill>
                  <a:schemeClr val="tx1"/>
                </a:solidFill>
              </a:ln>
              <a:effectLst/>
            </c:spPr>
          </c:dPt>
          <c:dPt>
            <c:idx val="7"/>
            <c:bubble3D val="0"/>
            <c:spPr>
              <a:solidFill>
                <a:schemeClr val="accent6">
                  <a:tint val="10000"/>
                </a:schemeClr>
              </a:solidFill>
              <a:ln>
                <a:solidFill>
                  <a:schemeClr val="tx1"/>
                </a:solidFill>
              </a:ln>
              <a:effectLst/>
            </c:spPr>
          </c:dPt>
          <c:dPt>
            <c:idx val="8"/>
            <c:bubble3D val="0"/>
            <c:spPr>
              <a:solidFill>
                <a:schemeClr val="accent6">
                  <a:tint val="90000"/>
                </a:schemeClr>
              </a:solidFill>
              <a:ln>
                <a:solidFill>
                  <a:schemeClr val="tx1"/>
                </a:solidFill>
              </a:ln>
              <a:effectLst/>
            </c:spPr>
          </c:dPt>
          <c:dLbls>
            <c:dLbl>
              <c:idx val="0"/>
              <c:layout>
                <c:manualLayout>
                  <c:x val="-8.865145816029395E-17"/>
                  <c:y val="-0.1185981435074581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6948628520081025"/>
                      <c:h val="0.11241692156013404"/>
                    </c:manualLayout>
                  </c15:layout>
                </c:ext>
              </c:extLst>
            </c:dLbl>
            <c:dLbl>
              <c:idx val="1"/>
              <c:layout>
                <c:manualLayout>
                  <c:x val="2.5012335102230453E-2"/>
                  <c:y val="-6.5387921633758436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5025535425957934"/>
                      <c:h val="0.10414832174620761"/>
                    </c:manualLayout>
                  </c15:layout>
                </c:ext>
              </c:extLst>
            </c:dLbl>
            <c:dLbl>
              <c:idx val="2"/>
              <c:layout>
                <c:manualLayout>
                  <c:x val="-3.0944348832604815E-2"/>
                  <c:y val="-4.3874451569355384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763235047746691"/>
                      <c:h val="0.13101479932288249"/>
                    </c:manualLayout>
                  </c15:layout>
                </c:ext>
              </c:extLst>
            </c:dLbl>
            <c:dLbl>
              <c:idx val="3"/>
              <c:layout>
                <c:manualLayout>
                  <c:x val="1.5590018123943341E-3"/>
                  <c:y val="-4.4513036106733704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26227668712590807"/>
                      <c:h val="0.11759947488845364"/>
                    </c:manualLayout>
                  </c15:layout>
                </c:ext>
              </c:extLst>
            </c:dLbl>
            <c:dLbl>
              <c:idx val="4"/>
              <c:layout>
                <c:manualLayout>
                  <c:x val="4.8479644831629981E-3"/>
                  <c:y val="2.0644112027339817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a:noFill/>
                    <a:ln>
                      <a:noFill/>
                    </a:ln>
                  </c15:spPr>
                  <c15:layout>
                    <c:manualLayout>
                      <c:w val="0.23189585586134417"/>
                      <c:h val="0.12208311963029596"/>
                    </c:manualLayout>
                  </c15:layout>
                </c:ext>
              </c:extLst>
            </c:dLbl>
            <c:dLbl>
              <c:idx val="5"/>
              <c:layout>
                <c:manualLayout>
                  <c:x val="-2.5722776326677705E-2"/>
                  <c:y val="-3.6530293919802251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3543421313148236"/>
                      <c:h val="0.11008474598791924"/>
                    </c:manualLayout>
                  </c15:layout>
                </c:ext>
              </c:extLst>
            </c:dLbl>
            <c:dLbl>
              <c:idx val="6"/>
              <c:layout>
                <c:manualLayout>
                  <c:x val="-3.1823805227471566E-2"/>
                  <c:y val="2.454368776422031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26785973042432198"/>
                      <c:h val="0.17672707419206188"/>
                    </c:manualLayout>
                  </c15:layout>
                </c:ext>
              </c:extLst>
            </c:dLbl>
            <c:dLbl>
              <c:idx val="7"/>
              <c:layout>
                <c:manualLayout>
                  <c:x val="-9.9826388888888895E-2"/>
                  <c:y val="-3.4987026907896172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5421006944444446"/>
                      <c:h val="0.10159033078880406"/>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eparator> </c:separator>
            <c:showLeaderLines val="1"/>
            <c:leaderLines>
              <c:spPr>
                <a:ln w="9525" cap="flat" cmpd="sng" algn="ctr">
                  <a:solidFill>
                    <a:schemeClr val="tx1">
                      <a:lumMod val="50000"/>
                      <a:lumOff val="50000"/>
                    </a:schemeClr>
                  </a:solidFill>
                  <a:prstDash val="solid"/>
                  <a:round/>
                </a:ln>
                <a:effectLst/>
              </c:spPr>
            </c:leaderLines>
            <c:extLst>
              <c:ext xmlns:c15="http://schemas.microsoft.com/office/drawing/2012/chart" uri="{CE6537A1-D6FC-4f65-9D91-7224C49458BB}"/>
            </c:extLst>
          </c:dLbls>
          <c:cat>
            <c:strRef>
              <c:f>Sheet1!$A$2:$A$7</c:f>
              <c:strCache>
                <c:ptCount val="6"/>
                <c:pt idx="0">
                  <c:v>China</c:v>
                </c:pt>
                <c:pt idx="1">
                  <c:v>Korea</c:v>
                </c:pt>
                <c:pt idx="2">
                  <c:v>Mexico</c:v>
                </c:pt>
                <c:pt idx="3">
                  <c:v>Japan</c:v>
                </c:pt>
                <c:pt idx="4">
                  <c:v>Canada</c:v>
                </c:pt>
                <c:pt idx="5">
                  <c:v>Other</c:v>
                </c:pt>
              </c:strCache>
            </c:strRef>
          </c:cat>
          <c:val>
            <c:numRef>
              <c:f>Sheet1!$B$2:$B$7</c:f>
              <c:numCache>
                <c:formatCode>#,###</c:formatCode>
                <c:ptCount val="6"/>
                <c:pt idx="0">
                  <c:v>37015600</c:v>
                </c:pt>
                <c:pt idx="1">
                  <c:v>27291468</c:v>
                </c:pt>
                <c:pt idx="2">
                  <c:v>20664219</c:v>
                </c:pt>
                <c:pt idx="3">
                  <c:v>14503410</c:v>
                </c:pt>
                <c:pt idx="4">
                  <c:v>8730926</c:v>
                </c:pt>
                <c:pt idx="5">
                  <c:v>12704051</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3175" cap="flat" cmpd="sng" algn="ctr">
      <a:no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103">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7DC2E-B146-4ED2-A610-652371D0D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Minnesota Quarterly Export Statistics, 1st Quarter 2019</vt:lpstr>
    </vt:vector>
  </TitlesOfParts>
  <Company>MN DEED</Company>
  <LinksUpToDate>false</LinksUpToDate>
  <CharactersWithSpaces>4760</CharactersWithSpaces>
  <SharedDoc>false</SharedDoc>
  <HLinks>
    <vt:vector size="12" baseType="variant">
      <vt:variant>
        <vt:i4>6488181</vt:i4>
      </vt:variant>
      <vt:variant>
        <vt:i4>9</vt:i4>
      </vt:variant>
      <vt:variant>
        <vt:i4>0</vt:i4>
      </vt:variant>
      <vt:variant>
        <vt:i4>5</vt:i4>
      </vt:variant>
      <vt:variant>
        <vt:lpwstr>http://www.deed.state.mn.us/facts/manufacturing.htm</vt:lpwstr>
      </vt:variant>
      <vt:variant>
        <vt:lpwstr/>
      </vt:variant>
      <vt:variant>
        <vt:i4>3211383</vt:i4>
      </vt:variant>
      <vt:variant>
        <vt:i4>6</vt:i4>
      </vt:variant>
      <vt:variant>
        <vt:i4>0</vt:i4>
      </vt:variant>
      <vt:variant>
        <vt:i4>5</vt:i4>
      </vt:variant>
      <vt:variant>
        <vt:lpwstr>http://www.exportminnesota.com/itradestats.htm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Quarterly Export Statistics, 1st Quarter 2019</dc:title>
  <dc:subject>Minnesota Quarterly Export Statistics</dc:subject>
  <dc:creator>Economic Analysis Unit (T. Ho-Kim)</dc:creator>
  <dc:description>1st Quarter 2019</dc:description>
  <cp:lastModifiedBy>Thu-Mai Ho-Kim</cp:lastModifiedBy>
  <cp:revision>2</cp:revision>
  <cp:lastPrinted>2019-05-30T13:24:00Z</cp:lastPrinted>
  <dcterms:created xsi:type="dcterms:W3CDTF">2020-05-18T20:00:00Z</dcterms:created>
  <dcterms:modified xsi:type="dcterms:W3CDTF">2020-05-18T20:00:00Z</dcterms:modified>
</cp:coreProperties>
</file>