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E8978" w14:textId="77777777" w:rsidR="00CE313B" w:rsidRPr="00856B05" w:rsidRDefault="0094395B" w:rsidP="007F1C4A">
      <w:pPr>
        <w:tabs>
          <w:tab w:val="left" w:pos="360"/>
          <w:tab w:val="left" w:pos="6660"/>
        </w:tabs>
        <w:spacing w:after="240"/>
        <w:jc w:val="center"/>
        <w:rPr>
          <w:color w:val="FF0000"/>
        </w:rPr>
        <w:sectPr w:rsidR="00CE313B" w:rsidRPr="00856B05" w:rsidSect="0055424F">
          <w:headerReference w:type="even" r:id="rId8"/>
          <w:headerReference w:type="default" r:id="rId9"/>
          <w:footerReference w:type="even" r:id="rId10"/>
          <w:footnotePr>
            <w:numRestart w:val="eachSect"/>
          </w:footnotePr>
          <w:endnotePr>
            <w:numFmt w:val="decimal"/>
          </w:endnotePr>
          <w:type w:val="continuous"/>
          <w:pgSz w:w="12240" w:h="15840" w:code="1"/>
          <w:pgMar w:top="720" w:right="1008" w:bottom="547" w:left="1008" w:header="720" w:footer="720" w:gutter="0"/>
          <w:cols w:space="720"/>
          <w:titlePg/>
          <w:docGrid w:linePitch="272"/>
        </w:sectPr>
      </w:pPr>
      <w:r w:rsidRPr="00856B05">
        <w:rPr>
          <w:noProof/>
          <w:color w:val="FF0000"/>
        </w:rPr>
        <mc:AlternateContent>
          <mc:Choice Requires="wps">
            <w:drawing>
              <wp:anchor distT="0" distB="0" distL="114300" distR="114300" simplePos="0" relativeHeight="251656704" behindDoc="0" locked="0" layoutInCell="1" allowOverlap="1" wp14:anchorId="3957BDA5" wp14:editId="76133CC7">
                <wp:simplePos x="0" y="0"/>
                <wp:positionH relativeFrom="column">
                  <wp:posOffset>96520</wp:posOffset>
                </wp:positionH>
                <wp:positionV relativeFrom="paragraph">
                  <wp:posOffset>1136650</wp:posOffset>
                </wp:positionV>
                <wp:extent cx="6303010" cy="419100"/>
                <wp:effectExtent l="0" t="0" r="0" b="0"/>
                <wp:wrapNone/>
                <wp:docPr id="2" name="Text Box 2" descr="Data on Minnesota Exports for First Quarter 2020 – Published May 2020&#10;For More Information:  Eric Lightner, 651-259-7149&#10;" title="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01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B0058" w14:textId="77777777" w:rsidR="007F1C4A" w:rsidRPr="00B577E0" w:rsidRDefault="007F1C4A" w:rsidP="007F1C4A">
                            <w:pPr>
                              <w:pStyle w:val="NoSpacing"/>
                              <w:jc w:val="center"/>
                              <w:rPr>
                                <w:rStyle w:val="Emphasis"/>
                                <w:b/>
                              </w:rPr>
                            </w:pPr>
                            <w:r w:rsidRPr="00B577E0">
                              <w:rPr>
                                <w:rStyle w:val="Emphasis"/>
                                <w:b/>
                              </w:rPr>
                              <w:t>Dat</w:t>
                            </w:r>
                            <w:r w:rsidR="00B85149">
                              <w:rPr>
                                <w:rStyle w:val="Emphasis"/>
                                <w:b/>
                              </w:rPr>
                              <w:t>a</w:t>
                            </w:r>
                            <w:r w:rsidR="00856B05">
                              <w:rPr>
                                <w:rStyle w:val="Emphasis"/>
                                <w:b/>
                              </w:rPr>
                              <w:t xml:space="preserve"> on Minnesota Exports for Second</w:t>
                            </w:r>
                            <w:r w:rsidR="007818E5">
                              <w:rPr>
                                <w:rStyle w:val="Emphasis"/>
                                <w:b/>
                              </w:rPr>
                              <w:t xml:space="preserve"> Quarter 2020</w:t>
                            </w:r>
                            <w:r w:rsidR="00A43E28">
                              <w:rPr>
                                <w:rStyle w:val="Emphasis"/>
                                <w:b/>
                              </w:rPr>
                              <w:t xml:space="preserve"> – Published </w:t>
                            </w:r>
                            <w:r w:rsidR="00856B05">
                              <w:rPr>
                                <w:rStyle w:val="Emphasis"/>
                                <w:b/>
                              </w:rPr>
                              <w:t>August</w:t>
                            </w:r>
                            <w:r w:rsidR="007818E5">
                              <w:rPr>
                                <w:rStyle w:val="Emphasis"/>
                                <w:b/>
                              </w:rPr>
                              <w:t xml:space="preserve"> 2020</w:t>
                            </w:r>
                          </w:p>
                          <w:p w14:paraId="34B91C04" w14:textId="60AE1F05" w:rsidR="007F1C4A" w:rsidRPr="00B577E0" w:rsidRDefault="007F1C4A" w:rsidP="0094395B">
                            <w:pPr>
                              <w:pStyle w:val="NoSpacing"/>
                              <w:jc w:val="center"/>
                              <w:rPr>
                                <w:rStyle w:val="Emphasis"/>
                                <w:b/>
                              </w:rPr>
                            </w:pPr>
                            <w:r>
                              <w:rPr>
                                <w:rStyle w:val="Emphasis"/>
                                <w:b/>
                              </w:rPr>
                              <w:t>For More Information</w:t>
                            </w:r>
                            <w:r w:rsidRPr="007818E5">
                              <w:rPr>
                                <w:rStyle w:val="Emphasis"/>
                              </w:rPr>
                              <w:t xml:space="preserve">: </w:t>
                            </w:r>
                            <w:r w:rsidR="00D61780">
                              <w:rPr>
                                <w:rStyle w:val="Strong"/>
                                <w:i/>
                              </w:rPr>
                              <w:t>Rita Beatty 651-259-7534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7BDA5" id="_x0000_t202" coordsize="21600,21600" o:spt="202" path="m,l,21600r21600,l21600,xe">
                <v:stroke joinstyle="miter"/>
                <v:path gradientshapeok="t" o:connecttype="rect"/>
              </v:shapetype>
              <v:shape id="Text Box 2" o:spid="_x0000_s1026" type="#_x0000_t202" alt="Title: Text box - Description: Data on Minnesota Exports for First Quarter 2020 – Published May 2020&#10;For More Information:  Eric Lightner, 651-259-7149&#10;" style="position:absolute;left:0;text-align:left;margin-left:7.6pt;margin-top:89.5pt;width:496.3pt;height: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" filled="f" stroked="f">
                <v:textbox>
                  <w:txbxContent>
                    <w:p w14:paraId="482B0058" w14:textId="77777777" w:rsidR="007F1C4A" w:rsidRPr="00B577E0" w:rsidRDefault="007F1C4A" w:rsidP="007F1C4A">
                      <w:pPr>
                        <w:pStyle w:val="NoSpacing"/>
                        <w:jc w:val="center"/>
                        <w:rPr>
                          <w:rStyle w:val="Emphasis"/>
                          <w:b/>
                        </w:rPr>
                      </w:pPr>
                      <w:r w:rsidRPr="00B577E0">
                        <w:rPr>
                          <w:rStyle w:val="Emphasis"/>
                          <w:b/>
                        </w:rPr>
                        <w:t>Dat</w:t>
                      </w:r>
                      <w:r w:rsidR="00B85149">
                        <w:rPr>
                          <w:rStyle w:val="Emphasis"/>
                          <w:b/>
                        </w:rPr>
                        <w:t>a</w:t>
                      </w:r>
                      <w:r w:rsidR="00856B05">
                        <w:rPr>
                          <w:rStyle w:val="Emphasis"/>
                          <w:b/>
                        </w:rPr>
                        <w:t xml:space="preserve"> on Minnesota Exports for Second</w:t>
                      </w:r>
                      <w:r w:rsidR="007818E5">
                        <w:rPr>
                          <w:rStyle w:val="Emphasis"/>
                          <w:b/>
                        </w:rPr>
                        <w:t xml:space="preserve"> Quarter 2020</w:t>
                      </w:r>
                      <w:r w:rsidR="00A43E28">
                        <w:rPr>
                          <w:rStyle w:val="Emphasis"/>
                          <w:b/>
                        </w:rPr>
                        <w:t xml:space="preserve"> – Published </w:t>
                      </w:r>
                      <w:r w:rsidR="00856B05">
                        <w:rPr>
                          <w:rStyle w:val="Emphasis"/>
                          <w:b/>
                        </w:rPr>
                        <w:t>August</w:t>
                      </w:r>
                      <w:r w:rsidR="007818E5">
                        <w:rPr>
                          <w:rStyle w:val="Emphasis"/>
                          <w:b/>
                        </w:rPr>
                        <w:t xml:space="preserve"> 2020</w:t>
                      </w:r>
                    </w:p>
                    <w:p w14:paraId="34B91C04" w14:textId="60AE1F05" w:rsidR="007F1C4A" w:rsidRPr="00B577E0" w:rsidRDefault="007F1C4A" w:rsidP="0094395B">
                      <w:pPr>
                        <w:pStyle w:val="NoSpacing"/>
                        <w:jc w:val="center"/>
                        <w:rPr>
                          <w:rStyle w:val="Emphasis"/>
                          <w:b/>
                        </w:rPr>
                      </w:pPr>
                      <w:r>
                        <w:rPr>
                          <w:rStyle w:val="Emphasis"/>
                          <w:b/>
                        </w:rPr>
                        <w:t>For More Information</w:t>
                      </w:r>
                      <w:r w:rsidRPr="007818E5">
                        <w:rPr>
                          <w:rStyle w:val="Emphasis"/>
                        </w:rPr>
                        <w:t xml:space="preserve">: </w:t>
                      </w:r>
                      <w:r w:rsidR="00D61780">
                        <w:rPr>
                          <w:rStyle w:val="Strong"/>
                          <w:i/>
                        </w:rPr>
                        <w:t>Rita Beatty 651-259-7534</w:t>
                      </w:r>
                    </w:p>
                  </w:txbxContent>
                </v:textbox>
              </v:shape>
            </w:pict>
          </mc:Fallback>
        </mc:AlternateContent>
      </w:r>
      <w:r w:rsidR="00856B05" w:rsidRPr="003D28DD">
        <w:rPr>
          <w:noProof/>
        </w:rPr>
        <w:drawing>
          <wp:inline distT="0" distB="0" distL="0" distR="0" wp14:anchorId="5B0F9654" wp14:editId="3E4544DD">
            <wp:extent cx="6309360" cy="1104265"/>
            <wp:effectExtent l="0" t="0" r="0" b="635"/>
            <wp:docPr id="1" name="Picture 1" descr="Data on Minnesota Exports for Second Quarter 2020 – Published August 2020.&#10;For More Information: Rita Beatty 651-259-7534&#10;&#10;Minnesota Quarterly Export Statistics is the most current resource available for tracking the state’s manufactured export trends and is prepared for the Minnesota Trade Office (MTO) by the Department of Employment and Economic Development’s (DEED) Economic Analysis Unit (Thu-Mai Ho-Kim).  The quarterly and annual statistics reports primarily cover export data based on the Harmonized Tariff System (Schedule B), collected by the U.S. Department of Commerce (USDOC) and distributed by IHS Maritime &amp; Trade. Reports are available on DEED’s website at “Export and Trade Statistics” (http://mn.gov/deed/data/export-stats/).&#10;" title="DEED Logo and Export Newsletter Header, 2nd Quarter"/>
            <wp:cNvGraphicFramePr/>
            <a:graphic xmlns:a="http://schemas.openxmlformats.org/drawingml/2006/main">
              <a:graphicData uri="http://schemas.openxmlformats.org/drawingml/2006/picture">
                <pic:pic xmlns:pic="http://schemas.openxmlformats.org/drawingml/2006/picture">
                  <pic:nvPicPr>
                    <pic:cNvPr id="1" name="Picture 1" descr="Data on Minnesota Exports for Second Quarter 2017 – Published August 2017.&#10;For More Information: Shane Delaney, 651-259-7236.&#10;&#10;Minnesota Quarterly Export Statistics is the most current resource available for tracking the state’s manufactured export trends and is prepared for the Minnesota Trade Office (MTO) by the Department of Employment and Economic Development’s (DEED) Economic Analysis Unit (Thu-Mai Ho-Kim).  The quarterly and annual statistics reports primarily cover export data based on the Harmonized Tariff System (Schedule B), collected by the U.S. Department of Commerce (USDOC) and distributed by IHS Maritime &amp; Trade. Reports are available on DEED’s website at “Export and Trade Statistics” (http://mn.gov/deed/data/export-stats/).&#10;" title="DEED Logo and Export Newsletter Header, 2nd Quarte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09360" cy="1104265"/>
                    </a:xfrm>
                    <a:prstGeom prst="rect">
                      <a:avLst/>
                    </a:prstGeom>
                  </pic:spPr>
                </pic:pic>
              </a:graphicData>
            </a:graphic>
          </wp:inline>
        </w:drawing>
      </w:r>
    </w:p>
    <w:p w14:paraId="18DCA261" w14:textId="57EDD856" w:rsidR="00641D3B" w:rsidRPr="000B6338" w:rsidRDefault="00BD6641" w:rsidP="00145936">
      <w:pPr>
        <w:pStyle w:val="Heading1"/>
        <w:spacing w:before="840"/>
        <w:rPr>
          <w:rFonts w:asciiTheme="minorHAnsi" w:hAnsiTheme="minorHAnsi"/>
          <w:color w:val="000000" w:themeColor="text1"/>
          <w:sz w:val="36"/>
          <w:szCs w:val="30"/>
        </w:rPr>
        <w:sectPr w:rsidR="00641D3B" w:rsidRPr="000B6338" w:rsidSect="00641D3B">
          <w:footnotePr>
            <w:numRestart w:val="eachSect"/>
          </w:footnotePr>
          <w:endnotePr>
            <w:numFmt w:val="decimal"/>
          </w:endnotePr>
          <w:type w:val="continuous"/>
          <w:pgSz w:w="12240" w:h="15840" w:code="1"/>
          <w:pgMar w:top="720" w:right="1008" w:bottom="547" w:left="1008" w:header="720" w:footer="720" w:gutter="0"/>
          <w:cols w:space="720"/>
          <w:titlePg/>
          <w:docGrid w:linePitch="272"/>
        </w:sectPr>
      </w:pPr>
      <w:r w:rsidRPr="000B6338">
        <w:rPr>
          <w:rFonts w:asciiTheme="minorHAnsi" w:hAnsiTheme="minorHAnsi"/>
          <w:color w:val="000000" w:themeColor="text1"/>
          <w:sz w:val="36"/>
          <w:szCs w:val="30"/>
        </w:rPr>
        <w:t xml:space="preserve">State Exports </w:t>
      </w:r>
      <w:r w:rsidR="00D90D24">
        <w:rPr>
          <w:rFonts w:asciiTheme="minorHAnsi" w:hAnsiTheme="minorHAnsi"/>
          <w:color w:val="000000" w:themeColor="text1"/>
          <w:sz w:val="36"/>
          <w:szCs w:val="30"/>
        </w:rPr>
        <w:t>Fall</w:t>
      </w:r>
      <w:r w:rsidR="00D90D24" w:rsidRPr="000B6338">
        <w:rPr>
          <w:rFonts w:asciiTheme="minorHAnsi" w:hAnsiTheme="minorHAnsi"/>
          <w:color w:val="000000" w:themeColor="text1"/>
          <w:sz w:val="36"/>
          <w:szCs w:val="30"/>
        </w:rPr>
        <w:t xml:space="preserve"> </w:t>
      </w:r>
      <w:r w:rsidR="007D3342" w:rsidRPr="000B6338">
        <w:rPr>
          <w:rFonts w:asciiTheme="minorHAnsi" w:hAnsiTheme="minorHAnsi"/>
          <w:color w:val="000000" w:themeColor="text1"/>
          <w:sz w:val="36"/>
          <w:szCs w:val="30"/>
        </w:rPr>
        <w:t xml:space="preserve">18%, </w:t>
      </w:r>
      <w:r w:rsidRPr="000B6338">
        <w:rPr>
          <w:rFonts w:asciiTheme="minorHAnsi" w:hAnsiTheme="minorHAnsi"/>
          <w:color w:val="000000" w:themeColor="text1"/>
          <w:sz w:val="36"/>
          <w:szCs w:val="30"/>
        </w:rPr>
        <w:t>Down $1 Billion, in Second Quarter</w:t>
      </w:r>
    </w:p>
    <w:p w14:paraId="634E1849" w14:textId="0FA87890" w:rsidR="00BB4344" w:rsidRPr="000B6338" w:rsidRDefault="007F1C4A" w:rsidP="00575F88">
      <w:pPr>
        <w:pStyle w:val="ListParagraph"/>
        <w:numPr>
          <w:ilvl w:val="0"/>
          <w:numId w:val="9"/>
        </w:numPr>
        <w:spacing w:after="0"/>
        <w:rPr>
          <w:color w:val="000000" w:themeColor="text1"/>
        </w:rPr>
      </w:pPr>
      <w:r w:rsidRPr="000B6338">
        <w:rPr>
          <w:color w:val="000000" w:themeColor="text1"/>
        </w:rPr>
        <w:t>Minnesota exports (including agricultural, mining and manufact</w:t>
      </w:r>
      <w:r w:rsidR="00A02A94" w:rsidRPr="000B6338">
        <w:rPr>
          <w:color w:val="000000" w:themeColor="text1"/>
        </w:rPr>
        <w:t>ured products) wer</w:t>
      </w:r>
      <w:r w:rsidR="00E92FA6" w:rsidRPr="000B6338">
        <w:rPr>
          <w:color w:val="000000" w:themeColor="text1"/>
        </w:rPr>
        <w:t>e valued at $</w:t>
      </w:r>
      <w:r w:rsidR="00223F46" w:rsidRPr="000B6338">
        <w:rPr>
          <w:color w:val="000000" w:themeColor="text1"/>
        </w:rPr>
        <w:t xml:space="preserve">4.6 billion, </w:t>
      </w:r>
      <w:r w:rsidR="00D61780">
        <w:rPr>
          <w:color w:val="000000" w:themeColor="text1"/>
        </w:rPr>
        <w:t>fall</w:t>
      </w:r>
      <w:r w:rsidR="00D61780" w:rsidRPr="000B6338">
        <w:rPr>
          <w:color w:val="000000" w:themeColor="text1"/>
        </w:rPr>
        <w:t xml:space="preserve">ing </w:t>
      </w:r>
      <w:r w:rsidR="00223F46" w:rsidRPr="000B6338">
        <w:rPr>
          <w:color w:val="000000" w:themeColor="text1"/>
        </w:rPr>
        <w:t>by</w:t>
      </w:r>
      <w:r w:rsidR="00530F70" w:rsidRPr="000B6338">
        <w:rPr>
          <w:color w:val="000000" w:themeColor="text1"/>
        </w:rPr>
        <w:t xml:space="preserve"> </w:t>
      </w:r>
      <w:r w:rsidR="00223F46" w:rsidRPr="000B6338">
        <w:rPr>
          <w:color w:val="000000" w:themeColor="text1"/>
        </w:rPr>
        <w:t>18</w:t>
      </w:r>
      <w:r w:rsidR="007818E5" w:rsidRPr="000B6338">
        <w:rPr>
          <w:color w:val="000000" w:themeColor="text1"/>
        </w:rPr>
        <w:t>%</w:t>
      </w:r>
      <w:r w:rsidR="00B5144B" w:rsidRPr="000B6338">
        <w:rPr>
          <w:color w:val="000000" w:themeColor="text1"/>
        </w:rPr>
        <w:t xml:space="preserve"> (or </w:t>
      </w:r>
      <w:r w:rsidR="000D18A9" w:rsidRPr="000B6338">
        <w:rPr>
          <w:color w:val="000000" w:themeColor="text1"/>
        </w:rPr>
        <w:t xml:space="preserve">about </w:t>
      </w:r>
      <w:r w:rsidR="00B5144B" w:rsidRPr="000B6338">
        <w:rPr>
          <w:color w:val="000000" w:themeColor="text1"/>
        </w:rPr>
        <w:t>$</w:t>
      </w:r>
      <w:r w:rsidR="00223F46" w:rsidRPr="000B6338">
        <w:rPr>
          <w:color w:val="000000" w:themeColor="text1"/>
        </w:rPr>
        <w:t>1 b</w:t>
      </w:r>
      <w:r w:rsidRPr="000B6338">
        <w:rPr>
          <w:color w:val="000000" w:themeColor="text1"/>
        </w:rPr>
        <w:t xml:space="preserve">illion) between the </w:t>
      </w:r>
      <w:r w:rsidR="00223F46" w:rsidRPr="000B6338">
        <w:rPr>
          <w:color w:val="000000" w:themeColor="text1"/>
        </w:rPr>
        <w:t>second</w:t>
      </w:r>
      <w:r w:rsidRPr="000B6338">
        <w:rPr>
          <w:color w:val="000000" w:themeColor="text1"/>
        </w:rPr>
        <w:t xml:space="preserve"> qu</w:t>
      </w:r>
      <w:r w:rsidR="00957BCF" w:rsidRPr="000B6338">
        <w:rPr>
          <w:color w:val="000000" w:themeColor="text1"/>
        </w:rPr>
        <w:t xml:space="preserve">arters of </w:t>
      </w:r>
      <w:r w:rsidR="00223F46" w:rsidRPr="000B6338">
        <w:rPr>
          <w:color w:val="000000" w:themeColor="text1"/>
        </w:rPr>
        <w:t>2019</w:t>
      </w:r>
      <w:r w:rsidR="00C057FE" w:rsidRPr="000B6338">
        <w:rPr>
          <w:color w:val="000000" w:themeColor="text1"/>
        </w:rPr>
        <w:t xml:space="preserve"> and </w:t>
      </w:r>
      <w:r w:rsidR="007818E5" w:rsidRPr="000B6338">
        <w:rPr>
          <w:color w:val="000000" w:themeColor="text1"/>
        </w:rPr>
        <w:t>2020</w:t>
      </w:r>
      <w:r w:rsidR="00B85149" w:rsidRPr="000B6338">
        <w:rPr>
          <w:color w:val="000000" w:themeColor="text1"/>
        </w:rPr>
        <w:t xml:space="preserve">. </w:t>
      </w:r>
    </w:p>
    <w:p w14:paraId="46069970" w14:textId="42320C9B" w:rsidR="006D7A33" w:rsidRPr="000B6338" w:rsidRDefault="00C97041" w:rsidP="006D7A33">
      <w:pPr>
        <w:pStyle w:val="ListParagraph"/>
        <w:numPr>
          <w:ilvl w:val="0"/>
          <w:numId w:val="9"/>
        </w:numPr>
        <w:spacing w:after="0"/>
        <w:rPr>
          <w:color w:val="000000" w:themeColor="text1"/>
        </w:rPr>
      </w:pPr>
      <w:r w:rsidRPr="000B6338">
        <w:rPr>
          <w:color w:val="000000" w:themeColor="text1"/>
        </w:rPr>
        <w:t>U.S. exports</w:t>
      </w:r>
      <w:r w:rsidR="00742415" w:rsidRPr="000B6338">
        <w:rPr>
          <w:color w:val="000000" w:themeColor="text1"/>
        </w:rPr>
        <w:t xml:space="preserve"> of goods</w:t>
      </w:r>
      <w:r w:rsidR="00223F46" w:rsidRPr="000B6338">
        <w:rPr>
          <w:color w:val="000000" w:themeColor="text1"/>
        </w:rPr>
        <w:t xml:space="preserve"> </w:t>
      </w:r>
      <w:r w:rsidR="00AF6022">
        <w:rPr>
          <w:color w:val="000000" w:themeColor="text1"/>
        </w:rPr>
        <w:t>fell</w:t>
      </w:r>
      <w:r w:rsidR="00AF6022" w:rsidRPr="000B6338">
        <w:rPr>
          <w:color w:val="000000" w:themeColor="text1"/>
        </w:rPr>
        <w:t xml:space="preserve"> </w:t>
      </w:r>
      <w:r w:rsidRPr="000B6338">
        <w:rPr>
          <w:color w:val="000000" w:themeColor="text1"/>
        </w:rPr>
        <w:t>3</w:t>
      </w:r>
      <w:r w:rsidR="00223F46" w:rsidRPr="000B6338">
        <w:rPr>
          <w:color w:val="000000" w:themeColor="text1"/>
        </w:rPr>
        <w:t>0</w:t>
      </w:r>
      <w:r w:rsidR="007818E5" w:rsidRPr="000B6338">
        <w:rPr>
          <w:color w:val="000000" w:themeColor="text1"/>
        </w:rPr>
        <w:t>%</w:t>
      </w:r>
      <w:r w:rsidR="00521967" w:rsidRPr="000B6338">
        <w:rPr>
          <w:color w:val="000000" w:themeColor="text1"/>
        </w:rPr>
        <w:t xml:space="preserve"> during this period</w:t>
      </w:r>
      <w:r w:rsidR="007D3342" w:rsidRPr="000B6338">
        <w:rPr>
          <w:color w:val="000000" w:themeColor="text1"/>
        </w:rPr>
        <w:t xml:space="preserve">, reflecting the </w:t>
      </w:r>
      <w:r w:rsidR="00AE64C1" w:rsidRPr="000B6338">
        <w:rPr>
          <w:color w:val="000000" w:themeColor="text1"/>
        </w:rPr>
        <w:t>widespread</w:t>
      </w:r>
      <w:r w:rsidR="007D3342" w:rsidRPr="000B6338">
        <w:rPr>
          <w:color w:val="000000" w:themeColor="text1"/>
        </w:rPr>
        <w:t xml:space="preserve"> decline in economic and employment activity related to the pandemic</w:t>
      </w:r>
      <w:r w:rsidR="00521967" w:rsidRPr="000B6338">
        <w:rPr>
          <w:color w:val="000000" w:themeColor="text1"/>
        </w:rPr>
        <w:t>.</w:t>
      </w:r>
      <w:r w:rsidR="00223F46" w:rsidRPr="000B6338">
        <w:rPr>
          <w:color w:val="000000" w:themeColor="text1"/>
        </w:rPr>
        <w:t xml:space="preserve"> E</w:t>
      </w:r>
      <w:r w:rsidR="00716311" w:rsidRPr="000B6338">
        <w:rPr>
          <w:color w:val="000000" w:themeColor="text1"/>
        </w:rPr>
        <w:t xml:space="preserve">xports </w:t>
      </w:r>
      <w:r w:rsidR="0088063C" w:rsidRPr="000B6338">
        <w:rPr>
          <w:color w:val="000000" w:themeColor="text1"/>
        </w:rPr>
        <w:t>f</w:t>
      </w:r>
      <w:r w:rsidR="00582DC9" w:rsidRPr="000B6338">
        <w:rPr>
          <w:color w:val="000000" w:themeColor="text1"/>
        </w:rPr>
        <w:t>r</w:t>
      </w:r>
      <w:r w:rsidR="0088063C" w:rsidRPr="000B6338">
        <w:rPr>
          <w:color w:val="000000" w:themeColor="text1"/>
        </w:rPr>
        <w:t>om</w:t>
      </w:r>
      <w:r w:rsidR="00223F46" w:rsidRPr="000B6338">
        <w:rPr>
          <w:color w:val="000000" w:themeColor="text1"/>
        </w:rPr>
        <w:t xml:space="preserve"> </w:t>
      </w:r>
      <w:r w:rsidR="00092FFB" w:rsidRPr="000B6338">
        <w:rPr>
          <w:color w:val="000000" w:themeColor="text1"/>
        </w:rPr>
        <w:t>4</w:t>
      </w:r>
      <w:r w:rsidR="00223F46" w:rsidRPr="000B6338">
        <w:rPr>
          <w:color w:val="000000" w:themeColor="text1"/>
        </w:rPr>
        <w:t>8</w:t>
      </w:r>
      <w:r w:rsidR="00092FFB" w:rsidRPr="000B6338">
        <w:rPr>
          <w:color w:val="000000" w:themeColor="text1"/>
        </w:rPr>
        <w:t xml:space="preserve"> states</w:t>
      </w:r>
      <w:r w:rsidR="00223F46" w:rsidRPr="000B6338">
        <w:rPr>
          <w:color w:val="000000" w:themeColor="text1"/>
        </w:rPr>
        <w:t xml:space="preserve"> and th</w:t>
      </w:r>
      <w:r w:rsidR="00145936">
        <w:rPr>
          <w:color w:val="000000" w:themeColor="text1"/>
        </w:rPr>
        <w:t>e District of Columbia decreased</w:t>
      </w:r>
      <w:r w:rsidR="00092FFB" w:rsidRPr="000B6338">
        <w:rPr>
          <w:color w:val="000000" w:themeColor="text1"/>
        </w:rPr>
        <w:t xml:space="preserve">, </w:t>
      </w:r>
      <w:r w:rsidR="00223F46" w:rsidRPr="000B6338">
        <w:rPr>
          <w:color w:val="000000" w:themeColor="text1"/>
        </w:rPr>
        <w:t>with only Nevada (8%) and Alaska (7%)</w:t>
      </w:r>
      <w:r w:rsidR="00DD736C" w:rsidRPr="000B6338">
        <w:rPr>
          <w:color w:val="000000" w:themeColor="text1"/>
        </w:rPr>
        <w:t xml:space="preserve"> showing positive </w:t>
      </w:r>
      <w:r w:rsidR="00145936">
        <w:rPr>
          <w:color w:val="000000" w:themeColor="text1"/>
        </w:rPr>
        <w:t xml:space="preserve">export growth </w:t>
      </w:r>
      <w:r w:rsidR="00DD736C" w:rsidRPr="000B6338">
        <w:rPr>
          <w:color w:val="000000" w:themeColor="text1"/>
        </w:rPr>
        <w:t>trends.</w:t>
      </w:r>
    </w:p>
    <w:p w14:paraId="06392D44" w14:textId="77777777" w:rsidR="006D7A33" w:rsidRPr="000B6338" w:rsidRDefault="00692D3B" w:rsidP="006D7A33">
      <w:pPr>
        <w:pStyle w:val="ListParagraph"/>
        <w:numPr>
          <w:ilvl w:val="0"/>
          <w:numId w:val="9"/>
        </w:numPr>
        <w:spacing w:after="0"/>
        <w:rPr>
          <w:color w:val="000000" w:themeColor="text1"/>
        </w:rPr>
      </w:pPr>
      <w:r w:rsidRPr="000B6338">
        <w:rPr>
          <w:color w:val="000000" w:themeColor="text1"/>
        </w:rPr>
        <w:t xml:space="preserve">Minnesota </w:t>
      </w:r>
      <w:r w:rsidRPr="000B6338">
        <w:rPr>
          <w:i/>
          <w:color w:val="000000" w:themeColor="text1"/>
        </w:rPr>
        <w:t>manufactured</w:t>
      </w:r>
      <w:r w:rsidR="001F7EBF" w:rsidRPr="000B6338">
        <w:rPr>
          <w:color w:val="000000" w:themeColor="text1"/>
        </w:rPr>
        <w:t xml:space="preserve"> exports</w:t>
      </w:r>
      <w:r w:rsidR="00DD736C" w:rsidRPr="000B6338">
        <w:rPr>
          <w:color w:val="000000" w:themeColor="text1"/>
        </w:rPr>
        <w:t xml:space="preserve"> contracted</w:t>
      </w:r>
      <w:r w:rsidR="00C97041" w:rsidRPr="000B6338">
        <w:rPr>
          <w:color w:val="000000" w:themeColor="text1"/>
        </w:rPr>
        <w:t xml:space="preserve"> </w:t>
      </w:r>
      <w:r w:rsidR="00DD736C" w:rsidRPr="000B6338">
        <w:rPr>
          <w:color w:val="000000" w:themeColor="text1"/>
        </w:rPr>
        <w:t>20</w:t>
      </w:r>
      <w:r w:rsidR="00742415" w:rsidRPr="000B6338">
        <w:rPr>
          <w:color w:val="000000" w:themeColor="text1"/>
        </w:rPr>
        <w:t>%</w:t>
      </w:r>
      <w:r w:rsidR="00C97041" w:rsidRPr="000B6338">
        <w:rPr>
          <w:color w:val="000000" w:themeColor="text1"/>
        </w:rPr>
        <w:t xml:space="preserve"> to </w:t>
      </w:r>
      <w:r w:rsidR="00DD736C" w:rsidRPr="000B6338">
        <w:rPr>
          <w:color w:val="000000" w:themeColor="text1"/>
        </w:rPr>
        <w:t>$4.2</w:t>
      </w:r>
      <w:r w:rsidR="004A3CC9" w:rsidRPr="000B6338">
        <w:rPr>
          <w:color w:val="000000" w:themeColor="text1"/>
        </w:rPr>
        <w:t xml:space="preserve"> billion</w:t>
      </w:r>
      <w:r w:rsidRPr="000B6338">
        <w:rPr>
          <w:color w:val="000000" w:themeColor="text1"/>
        </w:rPr>
        <w:t xml:space="preserve"> </w:t>
      </w:r>
      <w:r w:rsidR="007F1C4A" w:rsidRPr="000B6338">
        <w:rPr>
          <w:color w:val="000000" w:themeColor="text1"/>
        </w:rPr>
        <w:t xml:space="preserve">in the </w:t>
      </w:r>
      <w:r w:rsidR="00DD736C" w:rsidRPr="000B6338">
        <w:rPr>
          <w:color w:val="000000" w:themeColor="text1"/>
        </w:rPr>
        <w:t>second</w:t>
      </w:r>
      <w:r w:rsidR="007F1C4A" w:rsidRPr="000B6338">
        <w:rPr>
          <w:color w:val="000000" w:themeColor="text1"/>
        </w:rPr>
        <w:t xml:space="preserve"> quarter of </w:t>
      </w:r>
      <w:r w:rsidR="007818E5" w:rsidRPr="000B6338">
        <w:rPr>
          <w:color w:val="000000" w:themeColor="text1"/>
        </w:rPr>
        <w:t>2020</w:t>
      </w:r>
      <w:r w:rsidR="00742415" w:rsidRPr="000B6338">
        <w:rPr>
          <w:color w:val="000000" w:themeColor="text1"/>
        </w:rPr>
        <w:t xml:space="preserve">, while </w:t>
      </w:r>
      <w:r w:rsidR="00E42787" w:rsidRPr="000B6338">
        <w:rPr>
          <w:color w:val="000000" w:themeColor="text1"/>
        </w:rPr>
        <w:t>U.S</w:t>
      </w:r>
      <w:r w:rsidR="00742415" w:rsidRPr="000B6338">
        <w:rPr>
          <w:color w:val="000000" w:themeColor="text1"/>
        </w:rPr>
        <w:t xml:space="preserve">. manufactured exports </w:t>
      </w:r>
      <w:r w:rsidR="00DD736C" w:rsidRPr="000B6338">
        <w:rPr>
          <w:color w:val="000000" w:themeColor="text1"/>
        </w:rPr>
        <w:t>sank 30</w:t>
      </w:r>
      <w:r w:rsidR="007818E5" w:rsidRPr="000B6338">
        <w:rPr>
          <w:color w:val="000000" w:themeColor="text1"/>
        </w:rPr>
        <w:t>%</w:t>
      </w:r>
      <w:r w:rsidR="00557377" w:rsidRPr="000B6338">
        <w:rPr>
          <w:color w:val="000000" w:themeColor="text1"/>
        </w:rPr>
        <w:t>.</w:t>
      </w:r>
    </w:p>
    <w:p w14:paraId="5A8A396E" w14:textId="12557032" w:rsidR="00E16ECF" w:rsidRPr="000B6338" w:rsidRDefault="00E9144E" w:rsidP="00E16ECF">
      <w:pPr>
        <w:pStyle w:val="ListParagraph"/>
        <w:numPr>
          <w:ilvl w:val="0"/>
          <w:numId w:val="9"/>
        </w:numPr>
        <w:spacing w:after="0" w:line="271" w:lineRule="auto"/>
        <w:rPr>
          <w:color w:val="000000" w:themeColor="text1"/>
        </w:rPr>
      </w:pPr>
      <w:r w:rsidRPr="000B6338">
        <w:rPr>
          <w:color w:val="000000" w:themeColor="text1"/>
        </w:rPr>
        <w:t xml:space="preserve">For first six months </w:t>
      </w:r>
      <w:r w:rsidR="00DD736C" w:rsidRPr="000B6338">
        <w:rPr>
          <w:color w:val="000000" w:themeColor="text1"/>
        </w:rPr>
        <w:t xml:space="preserve">of </w:t>
      </w:r>
      <w:r w:rsidR="00E16ECF" w:rsidRPr="000B6338">
        <w:rPr>
          <w:color w:val="000000" w:themeColor="text1"/>
        </w:rPr>
        <w:t>2020</w:t>
      </w:r>
      <w:bookmarkStart w:id="0" w:name="_GoBack"/>
      <w:bookmarkEnd w:id="0"/>
      <w:r w:rsidR="00D82516" w:rsidRPr="000B6338">
        <w:rPr>
          <w:color w:val="000000" w:themeColor="text1"/>
        </w:rPr>
        <w:t>,</w:t>
      </w:r>
      <w:r w:rsidR="00D82516">
        <w:rPr>
          <w:color w:val="000000" w:themeColor="text1"/>
        </w:rPr>
        <w:t xml:space="preserve"> total</w:t>
      </w:r>
      <w:r w:rsidR="00C105FB">
        <w:rPr>
          <w:color w:val="000000" w:themeColor="text1"/>
        </w:rPr>
        <w:t xml:space="preserve"> </w:t>
      </w:r>
      <w:r w:rsidRPr="000B6338">
        <w:rPr>
          <w:color w:val="000000" w:themeColor="text1"/>
        </w:rPr>
        <w:t>Minnesota exports fell</w:t>
      </w:r>
      <w:r w:rsidR="00E16ECF" w:rsidRPr="000B6338">
        <w:rPr>
          <w:color w:val="000000" w:themeColor="text1"/>
        </w:rPr>
        <w:t xml:space="preserve"> 7</w:t>
      </w:r>
      <w:r w:rsidR="00707559" w:rsidRPr="000B6338">
        <w:rPr>
          <w:color w:val="000000" w:themeColor="text1"/>
        </w:rPr>
        <w:t xml:space="preserve">%, while </w:t>
      </w:r>
      <w:r w:rsidRPr="000B6338">
        <w:rPr>
          <w:color w:val="000000" w:themeColor="text1"/>
        </w:rPr>
        <w:t xml:space="preserve">U.S. </w:t>
      </w:r>
      <w:r w:rsidR="00D90D24">
        <w:rPr>
          <w:color w:val="000000" w:themeColor="text1"/>
        </w:rPr>
        <w:t xml:space="preserve">exports </w:t>
      </w:r>
      <w:r w:rsidRPr="000B6338">
        <w:rPr>
          <w:color w:val="000000" w:themeColor="text1"/>
        </w:rPr>
        <w:t xml:space="preserve">dropped </w:t>
      </w:r>
      <w:r w:rsidR="00E16ECF" w:rsidRPr="000B6338">
        <w:rPr>
          <w:color w:val="000000" w:themeColor="text1"/>
        </w:rPr>
        <w:t>17</w:t>
      </w:r>
      <w:r w:rsidRPr="000B6338">
        <w:rPr>
          <w:color w:val="000000" w:themeColor="text1"/>
        </w:rPr>
        <w:t>%</w:t>
      </w:r>
      <w:r w:rsidR="00707559" w:rsidRPr="000B6338">
        <w:rPr>
          <w:color w:val="000000" w:themeColor="text1"/>
        </w:rPr>
        <w:t>.</w:t>
      </w:r>
    </w:p>
    <w:p w14:paraId="03CA25DA" w14:textId="36BA1309" w:rsidR="007F1C4A" w:rsidRPr="000B6338" w:rsidRDefault="007F1C4A" w:rsidP="00707559">
      <w:pPr>
        <w:spacing w:before="120" w:after="0" w:line="271" w:lineRule="auto"/>
        <w:rPr>
          <w:rStyle w:val="Heading4Char"/>
          <w:rFonts w:eastAsiaTheme="minorEastAsia" w:cstheme="minorBidi"/>
          <w:bCs w:val="0"/>
          <w:i w:val="0"/>
          <w:iCs w:val="0"/>
          <w:color w:val="000000" w:themeColor="text1"/>
          <w:sz w:val="22"/>
        </w:rPr>
      </w:pPr>
      <w:r w:rsidRPr="000B6338">
        <w:rPr>
          <w:rStyle w:val="Heading4Char"/>
          <w:color w:val="000000" w:themeColor="text1"/>
        </w:rPr>
        <w:t xml:space="preserve">Figure </w:t>
      </w:r>
      <w:r w:rsidRPr="000B6338">
        <w:rPr>
          <w:rStyle w:val="Heading4Char"/>
          <w:color w:val="000000" w:themeColor="text1"/>
        </w:rPr>
        <w:fldChar w:fldCharType="begin"/>
      </w:r>
      <w:r w:rsidRPr="000B6338">
        <w:rPr>
          <w:rStyle w:val="Heading4Char"/>
          <w:color w:val="000000" w:themeColor="text1"/>
        </w:rPr>
        <w:instrText xml:space="preserve"> SEQ Figure \* ARABIC </w:instrText>
      </w:r>
      <w:r w:rsidRPr="000B6338">
        <w:rPr>
          <w:rStyle w:val="Heading4Char"/>
          <w:color w:val="000000" w:themeColor="text1"/>
        </w:rPr>
        <w:fldChar w:fldCharType="separate"/>
      </w:r>
      <w:r w:rsidR="00900302" w:rsidRPr="000B6338">
        <w:rPr>
          <w:rStyle w:val="Heading4Char"/>
          <w:noProof/>
          <w:color w:val="000000" w:themeColor="text1"/>
        </w:rPr>
        <w:t>1</w:t>
      </w:r>
      <w:r w:rsidRPr="000B6338">
        <w:rPr>
          <w:rStyle w:val="Heading4Char"/>
          <w:color w:val="000000" w:themeColor="text1"/>
        </w:rPr>
        <w:fldChar w:fldCharType="end"/>
      </w:r>
      <w:r w:rsidR="00A52415" w:rsidRPr="000B6338">
        <w:rPr>
          <w:rStyle w:val="Heading4Char"/>
          <w:color w:val="000000" w:themeColor="text1"/>
        </w:rPr>
        <w:t xml:space="preserve">. </w:t>
      </w:r>
      <w:r w:rsidR="00223F46" w:rsidRPr="000B6338">
        <w:rPr>
          <w:rStyle w:val="Heading4Char"/>
          <w:color w:val="000000" w:themeColor="text1"/>
        </w:rPr>
        <w:t xml:space="preserve">Exports </w:t>
      </w:r>
      <w:r w:rsidR="00D61780">
        <w:rPr>
          <w:rStyle w:val="Heading4Char"/>
          <w:color w:val="000000" w:themeColor="text1"/>
        </w:rPr>
        <w:t>from</w:t>
      </w:r>
      <w:r w:rsidR="00223F46" w:rsidRPr="000B6338">
        <w:rPr>
          <w:rStyle w:val="Heading4Char"/>
          <w:color w:val="000000" w:themeColor="text1"/>
        </w:rPr>
        <w:t xml:space="preserve"> 48</w:t>
      </w:r>
      <w:r w:rsidR="009B70F4" w:rsidRPr="000B6338">
        <w:rPr>
          <w:rStyle w:val="Heading4Char"/>
          <w:color w:val="000000" w:themeColor="text1"/>
        </w:rPr>
        <w:t xml:space="preserve"> States,</w:t>
      </w:r>
      <w:r w:rsidR="00293DCF" w:rsidRPr="000B6338">
        <w:rPr>
          <w:rStyle w:val="Heading4Char"/>
          <w:color w:val="000000" w:themeColor="text1"/>
        </w:rPr>
        <w:t xml:space="preserve"> </w:t>
      </w:r>
      <w:r w:rsidR="00521967" w:rsidRPr="000B6338">
        <w:rPr>
          <w:rStyle w:val="Heading4Char"/>
          <w:color w:val="000000" w:themeColor="text1"/>
        </w:rPr>
        <w:t>DC</w:t>
      </w:r>
      <w:r w:rsidR="00D61780">
        <w:rPr>
          <w:rStyle w:val="Heading4Char"/>
          <w:color w:val="000000" w:themeColor="text1"/>
        </w:rPr>
        <w:t xml:space="preserve"> Decline</w:t>
      </w:r>
    </w:p>
    <w:p w14:paraId="7D1ADD74" w14:textId="77777777" w:rsidR="007F1C4A" w:rsidRPr="00856B05" w:rsidRDefault="007F1C4A" w:rsidP="007F1C4A">
      <w:pPr>
        <w:spacing w:after="0"/>
        <w:rPr>
          <w:color w:val="FF0000"/>
        </w:rPr>
      </w:pPr>
      <w:r w:rsidRPr="000B6338">
        <w:rPr>
          <w:noProof/>
          <w:color w:val="000000" w:themeColor="text1"/>
        </w:rPr>
        <mc:AlternateContent>
          <mc:Choice Requires="wps">
            <w:drawing>
              <wp:anchor distT="0" distB="0" distL="114300" distR="114300" simplePos="0" relativeHeight="251658752" behindDoc="0" locked="0" layoutInCell="1" allowOverlap="1" wp14:anchorId="24E76B40" wp14:editId="5D0A39C3">
                <wp:simplePos x="0" y="0"/>
                <wp:positionH relativeFrom="margin">
                  <wp:align>right</wp:align>
                </wp:positionH>
                <wp:positionV relativeFrom="paragraph">
                  <wp:posOffset>2082800</wp:posOffset>
                </wp:positionV>
                <wp:extent cx="752475" cy="425450"/>
                <wp:effectExtent l="0" t="0" r="0" b="0"/>
                <wp:wrapNone/>
                <wp:docPr id="307" name="Text Box 2" descr="MN: -18%&#10;U.S.: -30%&#10;" title="highlight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425450"/>
                        </a:xfrm>
                        <a:prstGeom prst="rect">
                          <a:avLst/>
                        </a:prstGeom>
                        <a:noFill/>
                        <a:ln w="9525">
                          <a:noFill/>
                          <a:miter lim="800000"/>
                          <a:headEnd/>
                          <a:tailEnd/>
                        </a:ln>
                      </wps:spPr>
                      <wps:txbx>
                        <w:txbxContent>
                          <w:p w14:paraId="60A296D5" w14:textId="77777777" w:rsidR="007F1C4A" w:rsidRPr="000B6338" w:rsidRDefault="007F1C4A" w:rsidP="007F1C4A">
                            <w:pPr>
                              <w:spacing w:after="0"/>
                              <w:rPr>
                                <w:i/>
                                <w:sz w:val="20"/>
                              </w:rPr>
                            </w:pPr>
                            <w:r w:rsidRPr="000B6338">
                              <w:rPr>
                                <w:i/>
                                <w:sz w:val="20"/>
                              </w:rPr>
                              <w:t>M</w:t>
                            </w:r>
                            <w:r w:rsidR="00707559" w:rsidRPr="000B6338">
                              <w:rPr>
                                <w:i/>
                                <w:sz w:val="20"/>
                              </w:rPr>
                              <w:t>N:  -18</w:t>
                            </w:r>
                            <w:r w:rsidRPr="000B6338">
                              <w:rPr>
                                <w:i/>
                                <w:sz w:val="20"/>
                              </w:rPr>
                              <w:t>%</w:t>
                            </w:r>
                          </w:p>
                          <w:p w14:paraId="588145EA" w14:textId="77777777" w:rsidR="007F1C4A" w:rsidRPr="000B6338" w:rsidRDefault="00293DCF" w:rsidP="007F1C4A">
                            <w:pPr>
                              <w:spacing w:after="0"/>
                              <w:rPr>
                                <w:i/>
                                <w:sz w:val="20"/>
                              </w:rPr>
                            </w:pPr>
                            <w:r w:rsidRPr="000B6338">
                              <w:rPr>
                                <w:i/>
                                <w:sz w:val="20"/>
                              </w:rPr>
                              <w:t>U.S.: -3</w:t>
                            </w:r>
                            <w:r w:rsidR="00707559" w:rsidRPr="000B6338">
                              <w:rPr>
                                <w:i/>
                                <w:sz w:val="20"/>
                              </w:rPr>
                              <w:t>0</w:t>
                            </w:r>
                            <w:r w:rsidR="007F1C4A" w:rsidRPr="000B6338">
                              <w:rPr>
                                <w:i/>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FC12E1" id="_x0000_t202" coordsize="21600,21600" o:spt="202" path="m,l,21600r21600,l21600,xe">
                <v:stroke joinstyle="miter"/>
                <v:path gradientshapeok="t" o:connecttype="rect"/>
              </v:shapetype>
              <v:shape id="_x0000_s1027" type="#_x0000_t202" alt="Title: highlight text box - Description: MN: -18%&#10;U.S.: -30%&#10;" style="position:absolute;margin-left:8.05pt;margin-top:164pt;width:59.25pt;height:33.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" filled="f" stroked="f">
                <v:textbox>
                  <w:txbxContent>
                    <w:p w:rsidR="007F1C4A" w:rsidRPr="000B6338" w:rsidRDefault="007F1C4A" w:rsidP="007F1C4A">
                      <w:pPr>
                        <w:spacing w:after="0"/>
                        <w:rPr>
                          <w:i/>
                          <w:sz w:val="20"/>
                        </w:rPr>
                      </w:pPr>
                      <w:r w:rsidRPr="000B6338">
                        <w:rPr>
                          <w:i/>
                          <w:sz w:val="20"/>
                        </w:rPr>
                        <w:t>M</w:t>
                      </w:r>
                      <w:r w:rsidR="00707559" w:rsidRPr="000B6338">
                        <w:rPr>
                          <w:i/>
                          <w:sz w:val="20"/>
                        </w:rPr>
                        <w:t>N:  -18</w:t>
                      </w:r>
                      <w:r w:rsidRPr="000B6338">
                        <w:rPr>
                          <w:i/>
                          <w:sz w:val="20"/>
                        </w:rPr>
                        <w:t>%</w:t>
                      </w:r>
                    </w:p>
                    <w:p w:rsidR="007F1C4A" w:rsidRPr="000B6338" w:rsidRDefault="00293DCF" w:rsidP="007F1C4A">
                      <w:pPr>
                        <w:spacing w:after="0"/>
                        <w:rPr>
                          <w:i/>
                          <w:sz w:val="20"/>
                        </w:rPr>
                      </w:pPr>
                      <w:r w:rsidRPr="000B6338">
                        <w:rPr>
                          <w:i/>
                          <w:sz w:val="20"/>
                        </w:rPr>
                        <w:t>U.S.: -3</w:t>
                      </w:r>
                      <w:r w:rsidR="00707559" w:rsidRPr="000B6338">
                        <w:rPr>
                          <w:i/>
                          <w:sz w:val="20"/>
                        </w:rPr>
                        <w:t>0</w:t>
                      </w:r>
                      <w:r w:rsidR="007F1C4A" w:rsidRPr="000B6338">
                        <w:rPr>
                          <w:i/>
                          <w:sz w:val="20"/>
                        </w:rPr>
                        <w:t>%</w:t>
                      </w:r>
                    </w:p>
                  </w:txbxContent>
                </v:textbox>
                <w10:wrap anchorx="margin"/>
              </v:shape>
            </w:pict>
          </mc:Fallback>
        </mc:AlternateContent>
      </w:r>
      <w:r w:rsidRPr="000B6338">
        <w:rPr>
          <w:rFonts w:ascii="Times New Roman" w:eastAsia="Times New Roman" w:hAnsi="Times New Roman" w:cs="Times New Roman"/>
          <w:snapToGrid w:val="0"/>
          <w:color w:val="000000" w:themeColor="text1"/>
          <w:w w:val="0"/>
          <w:sz w:val="0"/>
          <w:szCs w:val="0"/>
          <w:u w:color="000000"/>
          <w:bdr w:val="none" w:sz="0" w:space="0" w:color="000000"/>
          <w:shd w:val="clear" w:color="000000" w:fill="000000"/>
          <w:lang w:val="x-none" w:eastAsia="x-none" w:bidi="x-none"/>
        </w:rPr>
        <w:t xml:space="preserve"> </w:t>
      </w:r>
      <w:r w:rsidR="00707559" w:rsidRPr="00707559">
        <w:rPr>
          <w:rFonts w:ascii="Times New Roman" w:eastAsia="Times New Roman" w:hAnsi="Times New Roman" w:cs="Times New Roman"/>
          <w:noProof/>
          <w:snapToGrid w:val="0"/>
          <w:color w:val="FF0000"/>
          <w:w w:val="0"/>
          <w:sz w:val="0"/>
          <w:szCs w:val="0"/>
          <w:u w:color="000000"/>
          <w:bdr w:val="none" w:sz="0" w:space="0" w:color="000000"/>
          <w:shd w:val="clear" w:color="000000" w:fill="000000"/>
        </w:rPr>
        <w:drawing>
          <wp:inline distT="0" distB="0" distL="0" distR="0" wp14:anchorId="6C56C833" wp14:editId="584B4EFA">
            <wp:extent cx="3228975" cy="2132024"/>
            <wp:effectExtent l="0" t="0" r="0" b="1905"/>
            <wp:docPr id="12" name="Picture 12" descr="State Percent Change, 2019-Q2 to 2020--Q2&#10;MN -18%&#10;US -30%&#10;AL -36%&#10;AK 7%&#10;AR -23%&#10;AZ -24%&#10;CA -25%&#10;CO -22%&#10;CT -23%&#10;DC -13%&#10;DE -30%&#10;FL -34%&#10;GA -23%&#10;HI -50%&#10;IA -14%&#10;ID -9%&#10;IL -24%&#10;IN -33%&#10;KS -31%&#10;KY -46%&#10;LA -26%&#10;MA -18%&#10;MD -16%&#10;ME -29%&#10;MI -52%&#10;MO -24%&#10;MS -32%&#10;MT -32%&#10;NC -27%&#10;ND -43%&#10;NE -16%&#10;NH -7%&#10;NJ -13%&#10;NM -18%&#10;NV 8%&#10;NY -40%&#10;OH -41%&#10;OK -18%&#10;OR -7%&#10;PA -27%&#10;RI -19%&#10;SC -49%&#10;SD -19%&#10;TN -30%&#10;TX -34%&#10;UT -4%&#10;VA -20%&#10;VT -23%&#10;WA -43%&#10;WI -22%&#10;WV -37%&#10;WY -17%&#10;" title="US Map with state export growth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okim\Work from home files\wfh files_Main\Tableau, Viz\MTO Tableau files\Export Stats Reports\Newsletter &amp; Fact Sheet charts\2020-Q2 US Ma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28975" cy="2132024"/>
                    </a:xfrm>
                    <a:prstGeom prst="rect">
                      <a:avLst/>
                    </a:prstGeom>
                    <a:noFill/>
                    <a:ln>
                      <a:noFill/>
                    </a:ln>
                  </pic:spPr>
                </pic:pic>
              </a:graphicData>
            </a:graphic>
          </wp:inline>
        </w:drawing>
      </w:r>
    </w:p>
    <w:p w14:paraId="0AAEB35D" w14:textId="77777777" w:rsidR="007F1C4A" w:rsidRPr="000B6338" w:rsidRDefault="007F1C4A" w:rsidP="007F1C4A">
      <w:pPr>
        <w:spacing w:after="0"/>
        <w:rPr>
          <w:i/>
          <w:color w:val="000000" w:themeColor="text1"/>
          <w:sz w:val="18"/>
        </w:rPr>
      </w:pPr>
      <w:r w:rsidRPr="00856B05">
        <w:rPr>
          <w:i/>
          <w:color w:val="FF0000"/>
          <w:sz w:val="18"/>
        </w:rPr>
        <w:t xml:space="preserve"> </w:t>
      </w:r>
      <w:r w:rsidRPr="000B6338">
        <w:rPr>
          <w:i/>
          <w:color w:val="000000" w:themeColor="text1"/>
          <w:sz w:val="18"/>
        </w:rPr>
        <w:t>Decline     0%   Growth</w:t>
      </w:r>
    </w:p>
    <w:p w14:paraId="6B23B2F3" w14:textId="77777777" w:rsidR="00BE4DAD" w:rsidRPr="00856B05" w:rsidRDefault="00A52415" w:rsidP="00173D78">
      <w:pPr>
        <w:spacing w:after="0"/>
        <w:rPr>
          <w:rFonts w:ascii="Arial Narrow" w:hAnsi="Arial Narrow"/>
          <w:color w:val="FF0000"/>
          <w:sz w:val="2"/>
          <w:szCs w:val="2"/>
        </w:rPr>
        <w:sectPr w:rsidR="00BE4DAD" w:rsidRPr="00856B05" w:rsidSect="007F1C4A">
          <w:footnotePr>
            <w:numRestart w:val="eachSect"/>
          </w:footnotePr>
          <w:endnotePr>
            <w:numFmt w:val="decimal"/>
          </w:endnotePr>
          <w:type w:val="continuous"/>
          <w:pgSz w:w="12240" w:h="15840" w:code="1"/>
          <w:pgMar w:top="720" w:right="720" w:bottom="720" w:left="990" w:header="720" w:footer="720" w:gutter="0"/>
          <w:cols w:num="2" w:space="360"/>
          <w:titlePg/>
          <w:docGrid w:linePitch="299"/>
        </w:sectPr>
      </w:pPr>
      <w:r w:rsidRPr="00856B05">
        <w:rPr>
          <w:rFonts w:ascii="Arial Narrow" w:hAnsi="Arial Narrow"/>
          <w:noProof/>
          <w:color w:val="FF0000"/>
          <w:sz w:val="2"/>
          <w:szCs w:val="2"/>
        </w:rPr>
        <w:drawing>
          <wp:inline distT="0" distB="0" distL="0" distR="0" wp14:anchorId="5C21AFCD" wp14:editId="1362234B">
            <wp:extent cx="1066800" cy="152400"/>
            <wp:effectExtent l="0" t="0" r="0" b="0"/>
            <wp:docPr id="7" name="Picture 7" descr="S:\Groups\CARD\AEO\Thu-Mai\Tableau, Viz\MTO Tableau files\Export Stats Reports\Newsletter &amp; Fact Sheet charts\2018-Q4 USMap_leg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roups\CARD\AEO\Thu-Mai\Tableau, Viz\MTO Tableau files\Export Stats Reports\Newsletter &amp; Fact Sheet charts\2018-Q4 USMap_legend.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41379" b="24138"/>
                    <a:stretch/>
                  </pic:blipFill>
                  <pic:spPr bwMode="auto">
                    <a:xfrm>
                      <a:off x="0" y="0"/>
                      <a:ext cx="1066800" cy="152400"/>
                    </a:xfrm>
                    <a:prstGeom prst="rect">
                      <a:avLst/>
                    </a:prstGeom>
                    <a:noFill/>
                    <a:ln>
                      <a:noFill/>
                    </a:ln>
                    <a:extLst>
                      <a:ext uri="{53640926-AAD7-44D8-BBD7-CCE9431645EC}">
                        <a14:shadowObscured xmlns:a14="http://schemas.microsoft.com/office/drawing/2010/main"/>
                      </a:ext>
                    </a:extLst>
                  </pic:spPr>
                </pic:pic>
              </a:graphicData>
            </a:graphic>
          </wp:inline>
        </w:drawing>
      </w:r>
    </w:p>
    <w:p w14:paraId="53950F02" w14:textId="77777777" w:rsidR="00E83789" w:rsidRPr="0075548A" w:rsidRDefault="00BD6641" w:rsidP="00E9144E">
      <w:pPr>
        <w:pStyle w:val="Heading2"/>
        <w:spacing w:before="120"/>
        <w:rPr>
          <w:rFonts w:asciiTheme="minorHAnsi" w:hAnsiTheme="minorHAnsi"/>
          <w:b w:val="0"/>
          <w:i/>
          <w:color w:val="auto"/>
          <w:sz w:val="28"/>
        </w:rPr>
      </w:pPr>
      <w:r w:rsidRPr="0075548A">
        <w:rPr>
          <w:rFonts w:asciiTheme="minorHAnsi" w:hAnsiTheme="minorHAnsi"/>
          <w:b w:val="0"/>
          <w:i/>
          <w:color w:val="auto"/>
          <w:sz w:val="28"/>
        </w:rPr>
        <w:t xml:space="preserve">Exports to </w:t>
      </w:r>
      <w:r w:rsidR="007B1D69" w:rsidRPr="0075548A">
        <w:rPr>
          <w:rFonts w:asciiTheme="minorHAnsi" w:hAnsiTheme="minorHAnsi"/>
          <w:b w:val="0"/>
          <w:i/>
          <w:color w:val="auto"/>
          <w:sz w:val="28"/>
        </w:rPr>
        <w:t>Major Regions Struggle,</w:t>
      </w:r>
      <w:r w:rsidRPr="0075548A">
        <w:rPr>
          <w:rFonts w:asciiTheme="minorHAnsi" w:hAnsiTheme="minorHAnsi"/>
          <w:b w:val="0"/>
          <w:i/>
          <w:color w:val="auto"/>
          <w:sz w:val="28"/>
        </w:rPr>
        <w:t xml:space="preserve"> Selected Asian Markets </w:t>
      </w:r>
      <w:r w:rsidR="007B1D69" w:rsidRPr="0075548A">
        <w:rPr>
          <w:rFonts w:asciiTheme="minorHAnsi" w:hAnsiTheme="minorHAnsi"/>
          <w:b w:val="0"/>
          <w:i/>
          <w:color w:val="auto"/>
          <w:sz w:val="28"/>
        </w:rPr>
        <w:t xml:space="preserve">are </w:t>
      </w:r>
      <w:r w:rsidR="00707559">
        <w:rPr>
          <w:rFonts w:asciiTheme="minorHAnsi" w:hAnsiTheme="minorHAnsi"/>
          <w:b w:val="0"/>
          <w:i/>
          <w:color w:val="auto"/>
          <w:sz w:val="28"/>
        </w:rPr>
        <w:t xml:space="preserve">Among </w:t>
      </w:r>
      <w:r w:rsidR="007B1D69" w:rsidRPr="0075548A">
        <w:rPr>
          <w:rFonts w:asciiTheme="minorHAnsi" w:hAnsiTheme="minorHAnsi"/>
          <w:b w:val="0"/>
          <w:i/>
          <w:color w:val="auto"/>
          <w:sz w:val="28"/>
        </w:rPr>
        <w:t>Bright Spots</w:t>
      </w:r>
    </w:p>
    <w:p w14:paraId="186DADF3" w14:textId="10A64D71" w:rsidR="000929D8" w:rsidRDefault="008F4BDD" w:rsidP="00236C30">
      <w:pPr>
        <w:pStyle w:val="ListParagraph"/>
        <w:numPr>
          <w:ilvl w:val="0"/>
          <w:numId w:val="10"/>
        </w:numPr>
      </w:pPr>
      <w:r>
        <w:t xml:space="preserve">The state’s exports </w:t>
      </w:r>
      <w:r w:rsidR="00D90D24">
        <w:t xml:space="preserve">fell </w:t>
      </w:r>
      <w:r>
        <w:t xml:space="preserve">24% to </w:t>
      </w:r>
      <w:r w:rsidR="0075548A" w:rsidRPr="008F4BDD">
        <w:rPr>
          <w:b/>
        </w:rPr>
        <w:t>North America</w:t>
      </w:r>
      <w:r w:rsidR="0075548A" w:rsidRPr="0075548A">
        <w:t xml:space="preserve">, the </w:t>
      </w:r>
      <w:r w:rsidR="0075548A" w:rsidRPr="008F4BDD">
        <w:rPr>
          <w:b/>
        </w:rPr>
        <w:t>European Union</w:t>
      </w:r>
      <w:r w:rsidR="0075548A" w:rsidRPr="0075548A">
        <w:t xml:space="preserve">, and </w:t>
      </w:r>
      <w:r w:rsidR="0075548A" w:rsidRPr="008F4BDD">
        <w:rPr>
          <w:b/>
        </w:rPr>
        <w:t>Central and South America</w:t>
      </w:r>
      <w:r w:rsidR="006E6792">
        <w:t>, and</w:t>
      </w:r>
      <w:r w:rsidR="00387E7F">
        <w:t xml:space="preserve"> dipped 6% </w:t>
      </w:r>
      <w:r>
        <w:t>to As</w:t>
      </w:r>
      <w:r w:rsidR="00387E7F">
        <w:t>ia</w:t>
      </w:r>
      <w:r>
        <w:t>. E</w:t>
      </w:r>
      <w:r w:rsidR="00387E7F">
        <w:t xml:space="preserve">xports </w:t>
      </w:r>
      <w:r>
        <w:t xml:space="preserve">sank </w:t>
      </w:r>
      <w:r w:rsidR="006E6792">
        <w:t xml:space="preserve">at least </w:t>
      </w:r>
      <w:r w:rsidR="001B5950">
        <w:t>30% to the</w:t>
      </w:r>
      <w:r w:rsidR="000929D8">
        <w:t xml:space="preserve"> </w:t>
      </w:r>
      <w:r w:rsidR="000929D8" w:rsidRPr="008F4BDD">
        <w:rPr>
          <w:b/>
        </w:rPr>
        <w:t>Australia-Pacific</w:t>
      </w:r>
      <w:r w:rsidR="00387E7F">
        <w:rPr>
          <w:b/>
        </w:rPr>
        <w:t xml:space="preserve"> </w:t>
      </w:r>
      <w:r w:rsidR="00387E7F">
        <w:t>area,</w:t>
      </w:r>
      <w:r w:rsidR="001B5950">
        <w:t xml:space="preserve"> the </w:t>
      </w:r>
      <w:r w:rsidR="001B5950" w:rsidRPr="008F4BDD">
        <w:rPr>
          <w:b/>
        </w:rPr>
        <w:t>Middle East</w:t>
      </w:r>
      <w:r w:rsidR="00387E7F">
        <w:t xml:space="preserve"> and </w:t>
      </w:r>
      <w:r w:rsidR="001B5950" w:rsidRPr="008F4BDD">
        <w:rPr>
          <w:b/>
        </w:rPr>
        <w:t>Africa</w:t>
      </w:r>
      <w:r w:rsidR="001B5950">
        <w:t>.</w:t>
      </w:r>
    </w:p>
    <w:p w14:paraId="42B6FE2C" w14:textId="77777777" w:rsidR="00707559" w:rsidRDefault="00387E7F" w:rsidP="00625A98">
      <w:pPr>
        <w:pStyle w:val="ListParagraph"/>
        <w:numPr>
          <w:ilvl w:val="0"/>
          <w:numId w:val="10"/>
        </w:numPr>
      </w:pPr>
      <w:r>
        <w:t>Isolated bright spots with</w:t>
      </w:r>
      <w:r w:rsidR="0075548A" w:rsidRPr="00E9144E">
        <w:t xml:space="preserve"> </w:t>
      </w:r>
      <w:r w:rsidR="00F0242A">
        <w:t>surging</w:t>
      </w:r>
      <w:r w:rsidR="005B75E6">
        <w:t xml:space="preserve"> </w:t>
      </w:r>
      <w:r w:rsidR="0075548A" w:rsidRPr="00E9144E">
        <w:t>ex</w:t>
      </w:r>
      <w:r>
        <w:t>ports</w:t>
      </w:r>
      <w:r w:rsidR="00E9144E" w:rsidRPr="00E9144E">
        <w:t xml:space="preserve"> included </w:t>
      </w:r>
      <w:r w:rsidR="0075548A" w:rsidRPr="00707559">
        <w:rPr>
          <w:b/>
        </w:rPr>
        <w:t>Taiwan</w:t>
      </w:r>
      <w:r w:rsidR="0075548A" w:rsidRPr="00E9144E">
        <w:t xml:space="preserve"> (up 56%)</w:t>
      </w:r>
      <w:r w:rsidR="00E9144E" w:rsidRPr="00E9144E">
        <w:t xml:space="preserve">, </w:t>
      </w:r>
      <w:r w:rsidR="00E9144E" w:rsidRPr="00707559">
        <w:rPr>
          <w:b/>
        </w:rPr>
        <w:t>Malaysia</w:t>
      </w:r>
      <w:r w:rsidR="00E9144E" w:rsidRPr="00E9144E">
        <w:t xml:space="preserve"> (up 46%), </w:t>
      </w:r>
      <w:r w:rsidR="00E9144E" w:rsidRPr="00707559">
        <w:rPr>
          <w:b/>
        </w:rPr>
        <w:t xml:space="preserve">Japan </w:t>
      </w:r>
      <w:r w:rsidR="00E9144E" w:rsidRPr="00E9144E">
        <w:t xml:space="preserve">(up 3%), </w:t>
      </w:r>
      <w:r w:rsidR="00E9144E" w:rsidRPr="00707559">
        <w:rPr>
          <w:b/>
        </w:rPr>
        <w:t xml:space="preserve">Thailand </w:t>
      </w:r>
      <w:r w:rsidR="00E9144E" w:rsidRPr="00E9144E">
        <w:t>(up 7%</w:t>
      </w:r>
      <w:r w:rsidR="005B75E6">
        <w:t>)</w:t>
      </w:r>
      <w:r w:rsidR="00E9144E" w:rsidRPr="00E9144E">
        <w:t xml:space="preserve"> and </w:t>
      </w:r>
      <w:r w:rsidR="00E9144E" w:rsidRPr="00707559">
        <w:rPr>
          <w:b/>
        </w:rPr>
        <w:t>Vietnam</w:t>
      </w:r>
      <w:r w:rsidR="00E9144E" w:rsidRPr="00E9144E">
        <w:t xml:space="preserve"> (up 21%</w:t>
      </w:r>
      <w:r w:rsidR="005B75E6">
        <w:t>)</w:t>
      </w:r>
      <w:r w:rsidR="00E9144E" w:rsidRPr="00E9144E">
        <w:t xml:space="preserve"> in </w:t>
      </w:r>
      <w:r w:rsidR="00E9144E" w:rsidRPr="00707559">
        <w:rPr>
          <w:b/>
        </w:rPr>
        <w:t>Asia</w:t>
      </w:r>
      <w:r w:rsidRPr="00707559">
        <w:rPr>
          <w:b/>
        </w:rPr>
        <w:t>,</w:t>
      </w:r>
      <w:r w:rsidR="00E9144E" w:rsidRPr="00E9144E">
        <w:t xml:space="preserve"> as well as, </w:t>
      </w:r>
      <w:r w:rsidR="00E9144E" w:rsidRPr="00707559">
        <w:rPr>
          <w:b/>
        </w:rPr>
        <w:t xml:space="preserve">Slovakia </w:t>
      </w:r>
      <w:r w:rsidR="00E9144E" w:rsidRPr="00E9144E">
        <w:t>(up 701%</w:t>
      </w:r>
      <w:r w:rsidR="005B75E6">
        <w:t xml:space="preserve">) and </w:t>
      </w:r>
      <w:r w:rsidR="005B75E6" w:rsidRPr="00707559">
        <w:rPr>
          <w:b/>
        </w:rPr>
        <w:t xml:space="preserve">Algeria </w:t>
      </w:r>
      <w:r w:rsidR="005B75E6">
        <w:t>(up 166%</w:t>
      </w:r>
      <w:r w:rsidR="00E9144E" w:rsidRPr="00E9144E">
        <w:t>).</w:t>
      </w:r>
      <w:r w:rsidR="00F0242A">
        <w:t xml:space="preserve"> </w:t>
      </w:r>
    </w:p>
    <w:p w14:paraId="0141AEFC" w14:textId="77777777" w:rsidR="00164B97" w:rsidRPr="00E9144E" w:rsidRDefault="00707559" w:rsidP="00625A98">
      <w:pPr>
        <w:pStyle w:val="ListParagraph"/>
        <w:numPr>
          <w:ilvl w:val="0"/>
          <w:numId w:val="10"/>
        </w:numPr>
      </w:pPr>
      <w:r>
        <w:t>Driven by exports of</w:t>
      </w:r>
      <w:r w:rsidRPr="007D733B">
        <w:t xml:space="preserve"> </w:t>
      </w:r>
      <w:r w:rsidRPr="00707559">
        <w:rPr>
          <w:b/>
        </w:rPr>
        <w:t>pumps</w:t>
      </w:r>
      <w:r>
        <w:t xml:space="preserve"> and </w:t>
      </w:r>
      <w:r w:rsidRPr="00707559">
        <w:rPr>
          <w:b/>
        </w:rPr>
        <w:t>wheat</w:t>
      </w:r>
      <w:r>
        <w:t xml:space="preserve">, </w:t>
      </w:r>
      <w:r w:rsidR="007D733B" w:rsidRPr="00707559">
        <w:rPr>
          <w:b/>
        </w:rPr>
        <w:t xml:space="preserve">Algeria </w:t>
      </w:r>
      <w:r w:rsidR="00695BB1">
        <w:t>($14 million)</w:t>
      </w:r>
      <w:r>
        <w:t xml:space="preserve"> </w:t>
      </w:r>
      <w:r w:rsidR="00B328E5">
        <w:t>surpassed</w:t>
      </w:r>
      <w:r>
        <w:t xml:space="preserve"> </w:t>
      </w:r>
      <w:r w:rsidR="007D733B" w:rsidRPr="00707559">
        <w:rPr>
          <w:b/>
        </w:rPr>
        <w:t xml:space="preserve">South Africa </w:t>
      </w:r>
      <w:r w:rsidR="007D733B">
        <w:t xml:space="preserve">($10 million, down 49%) as the state’s largest market in </w:t>
      </w:r>
      <w:r w:rsidR="007D733B" w:rsidRPr="00707559">
        <w:rPr>
          <w:b/>
        </w:rPr>
        <w:t xml:space="preserve">Africa. </w:t>
      </w:r>
      <w:r w:rsidR="00695BB1">
        <w:t>Sales</w:t>
      </w:r>
      <w:r w:rsidR="00695BB1" w:rsidRPr="00695BB1">
        <w:t xml:space="preserve"> of</w:t>
      </w:r>
      <w:r w:rsidR="00695BB1" w:rsidRPr="00707559">
        <w:rPr>
          <w:b/>
        </w:rPr>
        <w:t xml:space="preserve"> centrifuges and filters</w:t>
      </w:r>
      <w:r w:rsidR="00695BB1">
        <w:t xml:space="preserve"> drove growth </w:t>
      </w:r>
      <w:r w:rsidR="007D733B" w:rsidRPr="007D733B">
        <w:t xml:space="preserve">to </w:t>
      </w:r>
      <w:r w:rsidR="007D733B" w:rsidRPr="00707559">
        <w:rPr>
          <w:b/>
        </w:rPr>
        <w:t>Angola</w:t>
      </w:r>
      <w:r w:rsidR="00695BB1">
        <w:t>.</w:t>
      </w:r>
    </w:p>
    <w:p w14:paraId="4FE2BA96" w14:textId="56F59BC0" w:rsidR="001B5950" w:rsidRPr="001B5950" w:rsidRDefault="00E9144E" w:rsidP="007D3342">
      <w:pPr>
        <w:pStyle w:val="ListParagraph"/>
        <w:numPr>
          <w:ilvl w:val="0"/>
          <w:numId w:val="10"/>
        </w:numPr>
        <w:spacing w:after="0"/>
      </w:pPr>
      <w:r w:rsidRPr="001B5950">
        <w:rPr>
          <w:b/>
        </w:rPr>
        <w:t xml:space="preserve">Mexico </w:t>
      </w:r>
      <w:r w:rsidRPr="000929D8">
        <w:t xml:space="preserve">dropped to </w:t>
      </w:r>
      <w:r w:rsidR="00055AAF">
        <w:t xml:space="preserve">the state’s </w:t>
      </w:r>
      <w:r w:rsidR="007E4D0D" w:rsidRPr="000929D8">
        <w:t>fourth</w:t>
      </w:r>
      <w:r w:rsidR="00055AAF">
        <w:t xml:space="preserve"> largest market</w:t>
      </w:r>
      <w:r w:rsidR="00F0242A">
        <w:t>,</w:t>
      </w:r>
      <w:r w:rsidRPr="001B5950">
        <w:rPr>
          <w:b/>
        </w:rPr>
        <w:t xml:space="preserve"> </w:t>
      </w:r>
      <w:r w:rsidRPr="00055AAF">
        <w:t>as</w:t>
      </w:r>
      <w:r w:rsidRPr="001B5950">
        <w:rPr>
          <w:b/>
        </w:rPr>
        <w:t xml:space="preserve"> </w:t>
      </w:r>
      <w:r w:rsidR="00BE7990" w:rsidRPr="000929D8">
        <w:t xml:space="preserve">exports </w:t>
      </w:r>
      <w:r w:rsidR="007E4D0D" w:rsidRPr="000929D8">
        <w:t xml:space="preserve">to that </w:t>
      </w:r>
      <w:r w:rsidR="00F0242A">
        <w:t xml:space="preserve">market </w:t>
      </w:r>
      <w:r w:rsidR="00D63F04">
        <w:t xml:space="preserve">fell </w:t>
      </w:r>
      <w:r w:rsidR="00F0242A">
        <w:t>40%. Other larger</w:t>
      </w:r>
      <w:r w:rsidR="007E4D0D" w:rsidRPr="000929D8">
        <w:t xml:space="preserve"> markets </w:t>
      </w:r>
      <w:r w:rsidR="00F0242A">
        <w:t>that dropped</w:t>
      </w:r>
      <w:r w:rsidR="007E4D0D" w:rsidRPr="000929D8">
        <w:t xml:space="preserve"> in </w:t>
      </w:r>
      <w:r w:rsidR="00387E7F">
        <w:t>rank this quarter included</w:t>
      </w:r>
      <w:r w:rsidR="007E4D0D" w:rsidRPr="000929D8">
        <w:t xml:space="preserve"> </w:t>
      </w:r>
      <w:r w:rsidR="007E4D0D" w:rsidRPr="00F0242A">
        <w:rPr>
          <w:b/>
        </w:rPr>
        <w:t xml:space="preserve">Belgium </w:t>
      </w:r>
      <w:r w:rsidR="007E4D0D" w:rsidRPr="000929D8">
        <w:t>(</w:t>
      </w:r>
      <w:r w:rsidR="00387E7F">
        <w:t xml:space="preserve">down 35%, </w:t>
      </w:r>
      <w:r w:rsidR="007E4D0D" w:rsidRPr="000929D8">
        <w:t>down to 13</w:t>
      </w:r>
      <w:r w:rsidR="007E4D0D" w:rsidRPr="001B5950">
        <w:rPr>
          <w:vertAlign w:val="superscript"/>
        </w:rPr>
        <w:t>th</w:t>
      </w:r>
      <w:r w:rsidR="007E4D0D" w:rsidRPr="000929D8">
        <w:t xml:space="preserve">), the </w:t>
      </w:r>
      <w:r w:rsidR="007E4D0D" w:rsidRPr="00F0242A">
        <w:rPr>
          <w:b/>
        </w:rPr>
        <w:t xml:space="preserve">Philippines </w:t>
      </w:r>
      <w:r w:rsidR="007E4D0D" w:rsidRPr="000929D8">
        <w:t>(</w:t>
      </w:r>
      <w:r w:rsidR="00387E7F">
        <w:t xml:space="preserve">down 28%, </w:t>
      </w:r>
      <w:r w:rsidR="007E4D0D" w:rsidRPr="000929D8">
        <w:t>down to 14</w:t>
      </w:r>
      <w:r w:rsidR="007E4D0D" w:rsidRPr="001B5950">
        <w:rPr>
          <w:vertAlign w:val="superscript"/>
        </w:rPr>
        <w:t>th</w:t>
      </w:r>
      <w:r w:rsidR="007E4D0D" w:rsidRPr="000929D8">
        <w:t xml:space="preserve">), </w:t>
      </w:r>
      <w:r w:rsidR="007E4D0D" w:rsidRPr="00F0242A">
        <w:rPr>
          <w:b/>
        </w:rPr>
        <w:t xml:space="preserve">Ireland </w:t>
      </w:r>
      <w:r w:rsidR="007E4D0D" w:rsidRPr="000929D8">
        <w:t>(</w:t>
      </w:r>
      <w:r w:rsidR="00387E7F">
        <w:t xml:space="preserve">down 23%, </w:t>
      </w:r>
      <w:r w:rsidR="007E4D0D" w:rsidRPr="000929D8">
        <w:t>down to 15</w:t>
      </w:r>
      <w:r w:rsidR="007E4D0D" w:rsidRPr="001B5950">
        <w:rPr>
          <w:vertAlign w:val="superscript"/>
        </w:rPr>
        <w:t>th</w:t>
      </w:r>
      <w:r w:rsidR="007E4D0D" w:rsidRPr="000929D8">
        <w:t xml:space="preserve">) and </w:t>
      </w:r>
      <w:r w:rsidR="007E4D0D" w:rsidRPr="00F0242A">
        <w:rPr>
          <w:b/>
        </w:rPr>
        <w:t xml:space="preserve">France </w:t>
      </w:r>
      <w:r w:rsidR="007E4D0D" w:rsidRPr="000929D8">
        <w:t>(</w:t>
      </w:r>
      <w:r w:rsidR="00387E7F">
        <w:t xml:space="preserve">down 28%, </w:t>
      </w:r>
      <w:r w:rsidR="007E4D0D" w:rsidRPr="000929D8">
        <w:t>down</w:t>
      </w:r>
      <w:r w:rsidR="007441D4">
        <w:t xml:space="preserve"> to</w:t>
      </w:r>
      <w:r w:rsidR="007E4D0D" w:rsidRPr="000929D8">
        <w:t xml:space="preserve"> 16</w:t>
      </w:r>
      <w:r w:rsidR="007E4D0D" w:rsidRPr="001B5950">
        <w:rPr>
          <w:vertAlign w:val="superscript"/>
        </w:rPr>
        <w:t>th</w:t>
      </w:r>
      <w:r w:rsidR="007E4D0D" w:rsidRPr="000929D8">
        <w:t>).</w:t>
      </w:r>
    </w:p>
    <w:p w14:paraId="481CD972" w14:textId="77777777" w:rsidR="007C165F" w:rsidRPr="00707559" w:rsidRDefault="007C165F" w:rsidP="00707559">
      <w:pPr>
        <w:pStyle w:val="Heading4"/>
        <w:spacing w:before="120"/>
        <w:rPr>
          <w:color w:val="000000" w:themeColor="text1"/>
        </w:rPr>
      </w:pPr>
      <w:r w:rsidRPr="00707559">
        <w:rPr>
          <w:color w:val="000000" w:themeColor="text1"/>
        </w:rPr>
        <w:t xml:space="preserve">Figure </w:t>
      </w:r>
      <w:r w:rsidR="00E36364" w:rsidRPr="00707559">
        <w:rPr>
          <w:color w:val="000000" w:themeColor="text1"/>
        </w:rPr>
        <w:fldChar w:fldCharType="begin"/>
      </w:r>
      <w:r w:rsidR="00E36364" w:rsidRPr="00707559">
        <w:rPr>
          <w:color w:val="000000" w:themeColor="text1"/>
        </w:rPr>
        <w:instrText xml:space="preserve"> SEQ Figure \* ARABIC </w:instrText>
      </w:r>
      <w:r w:rsidR="00E36364" w:rsidRPr="00707559">
        <w:rPr>
          <w:color w:val="000000" w:themeColor="text1"/>
        </w:rPr>
        <w:fldChar w:fldCharType="separate"/>
      </w:r>
      <w:r w:rsidR="00900302" w:rsidRPr="00707559">
        <w:rPr>
          <w:noProof/>
          <w:color w:val="000000" w:themeColor="text1"/>
        </w:rPr>
        <w:t>2</w:t>
      </w:r>
      <w:r w:rsidR="00E36364" w:rsidRPr="00707559">
        <w:rPr>
          <w:color w:val="000000" w:themeColor="text1"/>
        </w:rPr>
        <w:fldChar w:fldCharType="end"/>
      </w:r>
      <w:r w:rsidR="00C84D0E" w:rsidRPr="00707559">
        <w:rPr>
          <w:color w:val="000000" w:themeColor="text1"/>
        </w:rPr>
        <w:t xml:space="preserve">. </w:t>
      </w:r>
      <w:r w:rsidR="0038665A" w:rsidRPr="00707559">
        <w:rPr>
          <w:color w:val="000000" w:themeColor="text1"/>
        </w:rPr>
        <w:t xml:space="preserve">Exports and Trends Among Minnesota’s Top 10 Markets, </w:t>
      </w:r>
      <w:r w:rsidR="004550A2" w:rsidRPr="00707559">
        <w:rPr>
          <w:color w:val="000000" w:themeColor="text1"/>
        </w:rPr>
        <w:t>Second</w:t>
      </w:r>
      <w:r w:rsidR="00606AB0" w:rsidRPr="00707559">
        <w:rPr>
          <w:color w:val="000000" w:themeColor="text1"/>
        </w:rPr>
        <w:t xml:space="preserve"> </w:t>
      </w:r>
      <w:r w:rsidR="00A52415" w:rsidRPr="00707559">
        <w:rPr>
          <w:color w:val="000000" w:themeColor="text1"/>
        </w:rPr>
        <w:t xml:space="preserve">Quarter </w:t>
      </w:r>
      <w:r w:rsidR="007818E5" w:rsidRPr="00707559">
        <w:rPr>
          <w:color w:val="000000" w:themeColor="text1"/>
        </w:rPr>
        <w:t>2020</w:t>
      </w:r>
    </w:p>
    <w:p w14:paraId="15CEBE43" w14:textId="77777777" w:rsidR="00ED605B" w:rsidRPr="00856B05" w:rsidRDefault="006922C8" w:rsidP="00707559">
      <w:pPr>
        <w:rPr>
          <w:color w:val="FF0000"/>
        </w:rPr>
      </w:pPr>
      <w:r w:rsidRPr="006922C8">
        <w:rPr>
          <w:noProof/>
          <w:color w:val="FF0000"/>
        </w:rPr>
        <w:drawing>
          <wp:inline distT="0" distB="0" distL="0" distR="0" wp14:anchorId="36F0A33A" wp14:editId="48B2BDA3">
            <wp:extent cx="6163759" cy="1765300"/>
            <wp:effectExtent l="0" t="0" r="8890" b="6350"/>
            <wp:docPr id="6" name="Picture 6" descr="Country (Rank)  Exports (millions)  Percent Change, 2019-Q2 to 2020--Q2&#10;WORLD  $4,640  -18%&#10;Canada (1)   $1,023  -16%&#10;Mexico (2)   $648  -7%&#10;China (3)   $427  3%&#10;Japan (4)   $355  -40%&#10;Germany (5)   $228  -10%&#10;Korea (6)   $194  -28%&#10;Singapore (7)   $120  -19%&#10;Belgium (8)   $116  56%&#10;U.K. (9)   $115  -23%&#10;Ireland (10)   $104  -4%&#10;Other  $1,310  -25%&#10;"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okim\Work from home files\wfh files_Main\Tableau, Viz\MTO Tableau files\Export Stats Reports\Newsletter &amp; Fact Sheet charts\2020-Q2 Top 10 Countri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468" cy="1773236"/>
                    </a:xfrm>
                    <a:prstGeom prst="rect">
                      <a:avLst/>
                    </a:prstGeom>
                    <a:noFill/>
                    <a:ln>
                      <a:noFill/>
                    </a:ln>
                  </pic:spPr>
                </pic:pic>
              </a:graphicData>
            </a:graphic>
          </wp:inline>
        </w:drawing>
      </w:r>
    </w:p>
    <w:p w14:paraId="3765CDA2" w14:textId="77777777" w:rsidR="00BF29E1" w:rsidRPr="0063763A" w:rsidRDefault="00F053EF" w:rsidP="000B6338">
      <w:pPr>
        <w:pStyle w:val="Heading2"/>
        <w:tabs>
          <w:tab w:val="left" w:pos="360"/>
        </w:tabs>
        <w:spacing w:before="0" w:after="240"/>
        <w:ind w:left="360" w:hanging="360"/>
        <w:rPr>
          <w:rFonts w:asciiTheme="minorHAnsi" w:hAnsiTheme="minorHAnsi"/>
          <w:b w:val="0"/>
          <w:i/>
          <w:color w:val="000000" w:themeColor="text1"/>
          <w:sz w:val="28"/>
        </w:rPr>
        <w:sectPr w:rsidR="00BF29E1" w:rsidRPr="0063763A" w:rsidSect="00426066">
          <w:footnotePr>
            <w:numRestart w:val="eachSect"/>
          </w:footnotePr>
          <w:endnotePr>
            <w:numFmt w:val="decimal"/>
          </w:endnotePr>
          <w:type w:val="continuous"/>
          <w:pgSz w:w="12240" w:h="15840" w:code="1"/>
          <w:pgMar w:top="1008" w:right="1296" w:bottom="1008" w:left="1080" w:header="720" w:footer="720" w:gutter="0"/>
          <w:cols w:space="720"/>
          <w:titlePg/>
          <w:docGrid w:linePitch="299"/>
        </w:sectPr>
      </w:pPr>
      <w:r w:rsidRPr="0063763A">
        <w:rPr>
          <w:rFonts w:asciiTheme="minorHAnsi" w:hAnsiTheme="minorHAnsi"/>
          <w:b w:val="0"/>
          <w:i/>
          <w:color w:val="000000" w:themeColor="text1"/>
          <w:sz w:val="28"/>
        </w:rPr>
        <w:lastRenderedPageBreak/>
        <w:t>Widespread Declines for Major Exports, But Gains in Mineral Fuels, Meat, Iron Ores</w:t>
      </w:r>
    </w:p>
    <w:p w14:paraId="578E89A8" w14:textId="2764FB54" w:rsidR="0038071A" w:rsidRPr="0063763A" w:rsidRDefault="00F053EF" w:rsidP="00C216B7">
      <w:pPr>
        <w:pStyle w:val="ListParagraph"/>
        <w:numPr>
          <w:ilvl w:val="0"/>
          <w:numId w:val="7"/>
        </w:numPr>
        <w:spacing w:after="0"/>
        <w:ind w:left="360" w:right="-396"/>
        <w:rPr>
          <w:color w:val="000000" w:themeColor="text1"/>
        </w:rPr>
      </w:pPr>
      <w:r w:rsidRPr="0063763A">
        <w:rPr>
          <w:color w:val="000000" w:themeColor="text1"/>
        </w:rPr>
        <w:t xml:space="preserve">Four of the state’s major exported products, which accounted for half of exports, suffered </w:t>
      </w:r>
      <w:r w:rsidR="00AF6022">
        <w:rPr>
          <w:color w:val="000000" w:themeColor="text1"/>
        </w:rPr>
        <w:t>large</w:t>
      </w:r>
      <w:r w:rsidR="00AF6022" w:rsidRPr="0063763A">
        <w:rPr>
          <w:color w:val="000000" w:themeColor="text1"/>
        </w:rPr>
        <w:t xml:space="preserve"> </w:t>
      </w:r>
      <w:r w:rsidRPr="0063763A">
        <w:rPr>
          <w:color w:val="000000" w:themeColor="text1"/>
        </w:rPr>
        <w:t xml:space="preserve">losses: </w:t>
      </w:r>
      <w:r w:rsidRPr="0063763A">
        <w:rPr>
          <w:b/>
          <w:color w:val="000000" w:themeColor="text1"/>
        </w:rPr>
        <w:t>optics, medical</w:t>
      </w:r>
      <w:r w:rsidRPr="0063763A">
        <w:rPr>
          <w:color w:val="000000" w:themeColor="text1"/>
        </w:rPr>
        <w:t xml:space="preserve"> (down 22%), </w:t>
      </w:r>
      <w:r w:rsidRPr="0063763A">
        <w:rPr>
          <w:b/>
          <w:color w:val="000000" w:themeColor="text1"/>
        </w:rPr>
        <w:t>machinery</w:t>
      </w:r>
      <w:r w:rsidRPr="0063763A">
        <w:rPr>
          <w:color w:val="000000" w:themeColor="text1"/>
        </w:rPr>
        <w:t xml:space="preserve"> (down 21%), </w:t>
      </w:r>
      <w:r w:rsidRPr="0063763A">
        <w:rPr>
          <w:b/>
          <w:color w:val="000000" w:themeColor="text1"/>
        </w:rPr>
        <w:t>electrical equipment</w:t>
      </w:r>
      <w:r w:rsidRPr="0063763A">
        <w:rPr>
          <w:color w:val="000000" w:themeColor="text1"/>
        </w:rPr>
        <w:t xml:space="preserve"> (down 30%) and </w:t>
      </w:r>
      <w:r w:rsidRPr="0063763A">
        <w:rPr>
          <w:b/>
          <w:color w:val="000000" w:themeColor="text1"/>
        </w:rPr>
        <w:t>vehicles</w:t>
      </w:r>
      <w:r w:rsidRPr="0063763A">
        <w:rPr>
          <w:color w:val="000000" w:themeColor="text1"/>
        </w:rPr>
        <w:t xml:space="preserve"> (down 46%).</w:t>
      </w:r>
      <w:r w:rsidR="0038071A" w:rsidRPr="0063763A">
        <w:rPr>
          <w:color w:val="000000" w:themeColor="text1"/>
        </w:rPr>
        <w:t xml:space="preserve"> The</w:t>
      </w:r>
      <w:r w:rsidR="00055AAF" w:rsidRPr="0063763A">
        <w:rPr>
          <w:color w:val="000000" w:themeColor="text1"/>
        </w:rPr>
        <w:t>se</w:t>
      </w:r>
      <w:r w:rsidR="0038071A" w:rsidRPr="0063763A">
        <w:rPr>
          <w:color w:val="000000" w:themeColor="text1"/>
        </w:rPr>
        <w:t xml:space="preserve"> historic declines are similar to trends during the Great Recession.</w:t>
      </w:r>
    </w:p>
    <w:p w14:paraId="1243C8A7" w14:textId="77777777" w:rsidR="00647786" w:rsidRPr="0063763A" w:rsidRDefault="00B679D3" w:rsidP="00647786">
      <w:pPr>
        <w:pStyle w:val="ListParagraph"/>
        <w:numPr>
          <w:ilvl w:val="0"/>
          <w:numId w:val="7"/>
        </w:numPr>
        <w:spacing w:after="0"/>
        <w:ind w:left="360" w:right="-396"/>
        <w:rPr>
          <w:color w:val="000000" w:themeColor="text1"/>
        </w:rPr>
      </w:pPr>
      <w:r w:rsidRPr="0063763A">
        <w:rPr>
          <w:color w:val="000000" w:themeColor="text1"/>
        </w:rPr>
        <w:t>Generalized w</w:t>
      </w:r>
      <w:r w:rsidR="00054A6E" w:rsidRPr="0063763A">
        <w:rPr>
          <w:color w:val="000000" w:themeColor="text1"/>
        </w:rPr>
        <w:t>eak</w:t>
      </w:r>
      <w:r w:rsidR="00055AAF" w:rsidRPr="0063763A">
        <w:rPr>
          <w:color w:val="000000" w:themeColor="text1"/>
        </w:rPr>
        <w:t xml:space="preserve"> demand among the state’s major markets in </w:t>
      </w:r>
      <w:r w:rsidR="00F053EF" w:rsidRPr="0063763A">
        <w:rPr>
          <w:b/>
          <w:color w:val="000000" w:themeColor="text1"/>
        </w:rPr>
        <w:t>North Americ</w:t>
      </w:r>
      <w:r w:rsidR="00055AAF" w:rsidRPr="0063763A">
        <w:rPr>
          <w:b/>
          <w:color w:val="000000" w:themeColor="text1"/>
        </w:rPr>
        <w:t xml:space="preserve">a, </w:t>
      </w:r>
      <w:r w:rsidR="00055AAF" w:rsidRPr="0063763A">
        <w:rPr>
          <w:color w:val="000000" w:themeColor="text1"/>
        </w:rPr>
        <w:t xml:space="preserve">the </w:t>
      </w:r>
      <w:r w:rsidR="00055AAF" w:rsidRPr="0063763A">
        <w:rPr>
          <w:b/>
          <w:color w:val="000000" w:themeColor="text1"/>
        </w:rPr>
        <w:t>European Union and Asia</w:t>
      </w:r>
      <w:r w:rsidR="00F053EF" w:rsidRPr="0063763A">
        <w:rPr>
          <w:color w:val="000000" w:themeColor="text1"/>
        </w:rPr>
        <w:t xml:space="preserve"> </w:t>
      </w:r>
      <w:r w:rsidR="00055AAF" w:rsidRPr="0063763A">
        <w:rPr>
          <w:color w:val="000000" w:themeColor="text1"/>
        </w:rPr>
        <w:t>caused exports of</w:t>
      </w:r>
      <w:r w:rsidR="00F053EF" w:rsidRPr="0063763A">
        <w:rPr>
          <w:color w:val="000000" w:themeColor="text1"/>
        </w:rPr>
        <w:t xml:space="preserve"> </w:t>
      </w:r>
      <w:r w:rsidR="00F053EF" w:rsidRPr="0063763A">
        <w:rPr>
          <w:b/>
          <w:color w:val="000000" w:themeColor="text1"/>
        </w:rPr>
        <w:t>machinery, electrical eq</w:t>
      </w:r>
      <w:r w:rsidR="00055AAF" w:rsidRPr="0063763A">
        <w:rPr>
          <w:b/>
          <w:color w:val="000000" w:themeColor="text1"/>
        </w:rPr>
        <w:t>uipment, vehicles</w:t>
      </w:r>
      <w:r w:rsidR="00055AAF" w:rsidRPr="0063763A">
        <w:rPr>
          <w:color w:val="000000" w:themeColor="text1"/>
        </w:rPr>
        <w:t xml:space="preserve"> and</w:t>
      </w:r>
      <w:r w:rsidR="00F053EF" w:rsidRPr="0063763A">
        <w:rPr>
          <w:color w:val="000000" w:themeColor="text1"/>
        </w:rPr>
        <w:t xml:space="preserve"> </w:t>
      </w:r>
      <w:r w:rsidR="00F053EF" w:rsidRPr="0063763A">
        <w:rPr>
          <w:b/>
          <w:color w:val="000000" w:themeColor="text1"/>
        </w:rPr>
        <w:t>optics/medica</w:t>
      </w:r>
      <w:r w:rsidR="00055AAF" w:rsidRPr="0063763A">
        <w:rPr>
          <w:color w:val="000000" w:themeColor="text1"/>
        </w:rPr>
        <w:t>l</w:t>
      </w:r>
      <w:r w:rsidR="00F053EF" w:rsidRPr="0063763A">
        <w:rPr>
          <w:color w:val="000000" w:themeColor="text1"/>
        </w:rPr>
        <w:t xml:space="preserve"> to tumble</w:t>
      </w:r>
      <w:r w:rsidR="00055AAF" w:rsidRPr="0063763A">
        <w:rPr>
          <w:color w:val="000000" w:themeColor="text1"/>
        </w:rPr>
        <w:t>.</w:t>
      </w:r>
      <w:r w:rsidR="009B3E5B" w:rsidRPr="0063763A">
        <w:rPr>
          <w:color w:val="000000" w:themeColor="text1"/>
        </w:rPr>
        <w:t xml:space="preserve"> </w:t>
      </w:r>
    </w:p>
    <w:p w14:paraId="4D75613E" w14:textId="77777777" w:rsidR="00573535" w:rsidRPr="0063763A" w:rsidRDefault="00647786" w:rsidP="00647786">
      <w:pPr>
        <w:pStyle w:val="ListParagraph"/>
        <w:numPr>
          <w:ilvl w:val="0"/>
          <w:numId w:val="7"/>
        </w:numPr>
        <w:spacing w:after="0"/>
        <w:ind w:left="360" w:right="-396"/>
        <w:rPr>
          <w:color w:val="000000" w:themeColor="text1"/>
        </w:rPr>
      </w:pPr>
      <w:r w:rsidRPr="0063763A">
        <w:rPr>
          <w:color w:val="000000" w:themeColor="text1"/>
        </w:rPr>
        <w:t xml:space="preserve">Also losing significant ground were exports of </w:t>
      </w:r>
      <w:r w:rsidRPr="0063763A">
        <w:rPr>
          <w:b/>
          <w:color w:val="000000" w:themeColor="text1"/>
        </w:rPr>
        <w:t>pharmaceuticals</w:t>
      </w:r>
      <w:r w:rsidRPr="0063763A">
        <w:rPr>
          <w:color w:val="000000" w:themeColor="text1"/>
        </w:rPr>
        <w:t xml:space="preserve"> ($100 million, down 40%), </w:t>
      </w:r>
      <w:r w:rsidRPr="0063763A">
        <w:rPr>
          <w:b/>
          <w:color w:val="000000" w:themeColor="text1"/>
        </w:rPr>
        <w:t xml:space="preserve">aircraft, spacecraft </w:t>
      </w:r>
      <w:r w:rsidRPr="0063763A">
        <w:rPr>
          <w:color w:val="000000" w:themeColor="text1"/>
        </w:rPr>
        <w:t xml:space="preserve">($71 million, down 43%) and </w:t>
      </w:r>
      <w:r w:rsidRPr="0063763A">
        <w:rPr>
          <w:b/>
          <w:color w:val="000000" w:themeColor="text1"/>
        </w:rPr>
        <w:t xml:space="preserve">food by-products </w:t>
      </w:r>
      <w:r w:rsidRPr="0063763A">
        <w:rPr>
          <w:color w:val="000000" w:themeColor="text1"/>
        </w:rPr>
        <w:t>(</w:t>
      </w:r>
      <w:r w:rsidR="00B679D3" w:rsidRPr="0063763A">
        <w:rPr>
          <w:color w:val="000000" w:themeColor="text1"/>
        </w:rPr>
        <w:t>$118 million, down 2</w:t>
      </w:r>
      <w:r w:rsidRPr="0063763A">
        <w:rPr>
          <w:color w:val="000000" w:themeColor="text1"/>
        </w:rPr>
        <w:t>2%).</w:t>
      </w:r>
      <w:r w:rsidRPr="0063763A">
        <w:rPr>
          <w:color w:val="000000" w:themeColor="text1"/>
        </w:rPr>
        <w:br w:type="column"/>
      </w:r>
      <w:r w:rsidR="00573535" w:rsidRPr="0063763A">
        <w:rPr>
          <w:rStyle w:val="Heading4Char"/>
          <w:color w:val="000000" w:themeColor="text1"/>
        </w:rPr>
        <w:t xml:space="preserve">Figure </w:t>
      </w:r>
      <w:r w:rsidR="00573535" w:rsidRPr="0063763A">
        <w:rPr>
          <w:rStyle w:val="Heading4Char"/>
          <w:b/>
          <w:color w:val="000000" w:themeColor="text1"/>
        </w:rPr>
        <w:fldChar w:fldCharType="begin"/>
      </w:r>
      <w:r w:rsidR="00573535" w:rsidRPr="0063763A">
        <w:rPr>
          <w:rStyle w:val="Heading4Char"/>
          <w:color w:val="000000" w:themeColor="text1"/>
        </w:rPr>
        <w:instrText xml:space="preserve"> SEQ Figure \* ARABIC </w:instrText>
      </w:r>
      <w:r w:rsidR="00573535" w:rsidRPr="0063763A">
        <w:rPr>
          <w:rStyle w:val="Heading4Char"/>
          <w:b/>
          <w:color w:val="000000" w:themeColor="text1"/>
        </w:rPr>
        <w:fldChar w:fldCharType="separate"/>
      </w:r>
      <w:r w:rsidR="00900302" w:rsidRPr="0063763A">
        <w:rPr>
          <w:rStyle w:val="Heading4Char"/>
          <w:noProof/>
          <w:color w:val="000000" w:themeColor="text1"/>
        </w:rPr>
        <w:t>3</w:t>
      </w:r>
      <w:r w:rsidR="00573535" w:rsidRPr="0063763A">
        <w:rPr>
          <w:rStyle w:val="Heading4Char"/>
          <w:b/>
          <w:color w:val="000000" w:themeColor="text1"/>
        </w:rPr>
        <w:fldChar w:fldCharType="end"/>
      </w:r>
      <w:r w:rsidR="0021231E" w:rsidRPr="0063763A">
        <w:rPr>
          <w:rStyle w:val="Heading4Char"/>
          <w:color w:val="000000" w:themeColor="text1"/>
        </w:rPr>
        <w:t xml:space="preserve">. </w:t>
      </w:r>
      <w:r w:rsidR="00C53EBB" w:rsidRPr="0063763A">
        <w:rPr>
          <w:rStyle w:val="Heading4Char"/>
          <w:color w:val="000000" w:themeColor="text1"/>
        </w:rPr>
        <w:t>Minnesota Export Trends: 2020-Q2 Compared to 2009-Q2 (</w:t>
      </w:r>
      <w:r w:rsidR="0038071A" w:rsidRPr="0063763A">
        <w:rPr>
          <w:rStyle w:val="Heading4Char"/>
          <w:color w:val="000000" w:themeColor="text1"/>
        </w:rPr>
        <w:t xml:space="preserve">during </w:t>
      </w:r>
      <w:r w:rsidR="00C53EBB" w:rsidRPr="0063763A">
        <w:rPr>
          <w:rStyle w:val="Heading4Char"/>
          <w:color w:val="000000" w:themeColor="text1"/>
        </w:rPr>
        <w:t>Great Recession)</w:t>
      </w:r>
    </w:p>
    <w:p w14:paraId="2B2078AB" w14:textId="77777777" w:rsidR="00573535" w:rsidRPr="00856B05" w:rsidRDefault="001D767B" w:rsidP="00573535">
      <w:pPr>
        <w:spacing w:after="0"/>
        <w:rPr>
          <w:color w:val="FF0000"/>
        </w:rPr>
      </w:pPr>
      <w:r>
        <w:rPr>
          <w:noProof/>
          <w:color w:val="FF0000"/>
        </w:rPr>
        <w:drawing>
          <wp:inline distT="0" distB="0" distL="0" distR="0" wp14:anchorId="0C2200B1" wp14:editId="0F813E0D">
            <wp:extent cx="3088640" cy="2114550"/>
            <wp:effectExtent l="0" t="0" r="0" b="0"/>
            <wp:docPr id="4" name="Chart 4" descr="Product 2009-Q2 2020-Q2&#10;Total -23% -18%&#10;Machinery -16% -21%&#10;Optics, Medical 2% -22%&#10;Elec. Equip -32% -30%&#10;Vehicles -30% -46%&#10;" title="Figur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7C1F63D" w14:textId="77777777" w:rsidR="005026CC" w:rsidRPr="00856B05" w:rsidRDefault="005026CC" w:rsidP="009B60BD">
      <w:pPr>
        <w:spacing w:after="0"/>
        <w:rPr>
          <w:color w:val="FF0000"/>
        </w:rPr>
        <w:sectPr w:rsidR="005026CC" w:rsidRPr="00856B05" w:rsidSect="005026CC">
          <w:footerReference w:type="default" r:id="rId16"/>
          <w:footnotePr>
            <w:numRestart w:val="eachSect"/>
          </w:footnotePr>
          <w:endnotePr>
            <w:numFmt w:val="decimal"/>
          </w:endnotePr>
          <w:type w:val="continuous"/>
          <w:pgSz w:w="12240" w:h="15840" w:code="1"/>
          <w:pgMar w:top="936" w:right="1152" w:bottom="936" w:left="1080" w:header="720" w:footer="720" w:gutter="0"/>
          <w:cols w:num="2" w:space="720"/>
          <w:titlePg/>
          <w:docGrid w:linePitch="299"/>
        </w:sectPr>
      </w:pPr>
    </w:p>
    <w:p w14:paraId="07104BE5" w14:textId="77777777" w:rsidR="00647786" w:rsidRDefault="00647786" w:rsidP="000B6338">
      <w:pPr>
        <w:pStyle w:val="ListParagraph"/>
        <w:numPr>
          <w:ilvl w:val="0"/>
          <w:numId w:val="7"/>
        </w:numPr>
        <w:spacing w:before="120" w:after="0"/>
        <w:ind w:left="360" w:right="-396"/>
        <w:rPr>
          <w:color w:val="000000" w:themeColor="text1"/>
        </w:rPr>
      </w:pPr>
      <w:r>
        <w:rPr>
          <w:b/>
          <w:color w:val="000000" w:themeColor="text1"/>
        </w:rPr>
        <w:t xml:space="preserve">Taiwan </w:t>
      </w:r>
      <w:r>
        <w:rPr>
          <w:color w:val="000000" w:themeColor="text1"/>
        </w:rPr>
        <w:t xml:space="preserve">was an exceptional market, with vigorous export growth for many products: </w:t>
      </w:r>
      <w:r w:rsidRPr="00647786">
        <w:rPr>
          <w:b/>
          <w:color w:val="000000" w:themeColor="text1"/>
        </w:rPr>
        <w:t>optics, medical</w:t>
      </w:r>
      <w:r>
        <w:rPr>
          <w:color w:val="000000" w:themeColor="text1"/>
        </w:rPr>
        <w:t xml:space="preserve"> (up 66%), </w:t>
      </w:r>
      <w:r w:rsidRPr="00647786">
        <w:rPr>
          <w:b/>
          <w:color w:val="000000" w:themeColor="text1"/>
        </w:rPr>
        <w:t>plastics</w:t>
      </w:r>
      <w:r>
        <w:rPr>
          <w:color w:val="000000" w:themeColor="text1"/>
        </w:rPr>
        <w:t xml:space="preserve"> (up 148%), </w:t>
      </w:r>
      <w:r w:rsidRPr="00647786">
        <w:rPr>
          <w:b/>
          <w:color w:val="000000" w:themeColor="text1"/>
        </w:rPr>
        <w:t>stone, plaster</w:t>
      </w:r>
      <w:r>
        <w:rPr>
          <w:color w:val="000000" w:themeColor="text1"/>
        </w:rPr>
        <w:t xml:space="preserve"> (up 197</w:t>
      </w:r>
      <w:r w:rsidRPr="00B679D3">
        <w:rPr>
          <w:color w:val="000000" w:themeColor="text1"/>
        </w:rPr>
        <w:t xml:space="preserve">%), </w:t>
      </w:r>
      <w:r w:rsidRPr="00647786">
        <w:rPr>
          <w:b/>
          <w:color w:val="000000" w:themeColor="text1"/>
        </w:rPr>
        <w:t>electrical equipment</w:t>
      </w:r>
      <w:r>
        <w:rPr>
          <w:color w:val="000000" w:themeColor="text1"/>
        </w:rPr>
        <w:t xml:space="preserve"> (up 22%) and </w:t>
      </w:r>
      <w:r w:rsidRPr="00647786">
        <w:rPr>
          <w:b/>
          <w:color w:val="000000" w:themeColor="text1"/>
        </w:rPr>
        <w:t>machinery</w:t>
      </w:r>
      <w:r>
        <w:rPr>
          <w:color w:val="000000" w:themeColor="text1"/>
        </w:rPr>
        <w:t xml:space="preserve"> (up 27%).</w:t>
      </w:r>
    </w:p>
    <w:p w14:paraId="173C397B" w14:textId="77777777" w:rsidR="0038071A" w:rsidRPr="00CC3D8E" w:rsidRDefault="0038071A" w:rsidP="0038071A">
      <w:pPr>
        <w:pStyle w:val="ListParagraph"/>
        <w:numPr>
          <w:ilvl w:val="0"/>
          <w:numId w:val="7"/>
        </w:numPr>
        <w:spacing w:after="0"/>
        <w:ind w:left="360" w:right="-396"/>
        <w:rPr>
          <w:color w:val="000000" w:themeColor="text1"/>
        </w:rPr>
      </w:pPr>
      <w:r>
        <w:rPr>
          <w:color w:val="000000" w:themeColor="text1"/>
        </w:rPr>
        <w:t xml:space="preserve">Sales of </w:t>
      </w:r>
      <w:r w:rsidRPr="00054A6E">
        <w:rPr>
          <w:b/>
          <w:color w:val="000000" w:themeColor="text1"/>
        </w:rPr>
        <w:t xml:space="preserve">machinery for making semiconductors </w:t>
      </w:r>
      <w:r>
        <w:rPr>
          <w:color w:val="000000" w:themeColor="text1"/>
        </w:rPr>
        <w:t xml:space="preserve">($39 million, up 162%) </w:t>
      </w:r>
      <w:r w:rsidR="00A10AC7">
        <w:rPr>
          <w:color w:val="000000" w:themeColor="text1"/>
        </w:rPr>
        <w:t xml:space="preserve">and </w:t>
      </w:r>
      <w:r w:rsidR="00A10AC7">
        <w:rPr>
          <w:b/>
          <w:color w:val="000000" w:themeColor="text1"/>
        </w:rPr>
        <w:t xml:space="preserve">centrifuges, filters </w:t>
      </w:r>
      <w:r w:rsidR="00A10AC7">
        <w:rPr>
          <w:color w:val="000000" w:themeColor="text1"/>
        </w:rPr>
        <w:t xml:space="preserve">($84 million, up 7%) in </w:t>
      </w:r>
      <w:r w:rsidR="00A10AC7" w:rsidRPr="00054A6E">
        <w:rPr>
          <w:b/>
          <w:color w:val="000000" w:themeColor="text1"/>
        </w:rPr>
        <w:t>Asia</w:t>
      </w:r>
      <w:r w:rsidR="00A10AC7">
        <w:rPr>
          <w:b/>
          <w:color w:val="000000" w:themeColor="text1"/>
        </w:rPr>
        <w:t>,</w:t>
      </w:r>
      <w:r w:rsidR="00A10AC7">
        <w:rPr>
          <w:color w:val="000000" w:themeColor="text1"/>
        </w:rPr>
        <w:t xml:space="preserve"> </w:t>
      </w:r>
      <w:r>
        <w:rPr>
          <w:color w:val="000000" w:themeColor="text1"/>
        </w:rPr>
        <w:t xml:space="preserve">and </w:t>
      </w:r>
      <w:r w:rsidRPr="00054A6E">
        <w:rPr>
          <w:b/>
          <w:color w:val="000000" w:themeColor="text1"/>
        </w:rPr>
        <w:t>pumps</w:t>
      </w:r>
      <w:r>
        <w:rPr>
          <w:color w:val="000000" w:themeColor="text1"/>
        </w:rPr>
        <w:t xml:space="preserve"> to </w:t>
      </w:r>
      <w:r w:rsidRPr="00054A6E">
        <w:rPr>
          <w:b/>
          <w:color w:val="000000" w:themeColor="text1"/>
        </w:rPr>
        <w:t>Ireland</w:t>
      </w:r>
      <w:r w:rsidR="00A10AC7">
        <w:rPr>
          <w:color w:val="000000" w:themeColor="text1"/>
        </w:rPr>
        <w:t xml:space="preserve"> ($14 million, up from $205,000</w:t>
      </w:r>
      <w:r>
        <w:rPr>
          <w:color w:val="000000" w:themeColor="text1"/>
        </w:rPr>
        <w:t>)</w:t>
      </w:r>
      <w:r w:rsidR="00A10AC7">
        <w:rPr>
          <w:color w:val="000000" w:themeColor="text1"/>
        </w:rPr>
        <w:t>,</w:t>
      </w:r>
      <w:r>
        <w:rPr>
          <w:color w:val="000000" w:themeColor="text1"/>
        </w:rPr>
        <w:t xml:space="preserve"> </w:t>
      </w:r>
      <w:r w:rsidR="00054A6E">
        <w:rPr>
          <w:color w:val="000000" w:themeColor="text1"/>
        </w:rPr>
        <w:t xml:space="preserve">performed </w:t>
      </w:r>
      <w:r>
        <w:rPr>
          <w:color w:val="000000" w:themeColor="text1"/>
        </w:rPr>
        <w:t>surprisingly well</w:t>
      </w:r>
      <w:r w:rsidR="00054A6E">
        <w:rPr>
          <w:color w:val="000000" w:themeColor="text1"/>
        </w:rPr>
        <w:t>.</w:t>
      </w:r>
    </w:p>
    <w:p w14:paraId="7C75DA61" w14:textId="77777777" w:rsidR="00F053EF" w:rsidRPr="0053506A" w:rsidRDefault="0038071A" w:rsidP="00F053EF">
      <w:pPr>
        <w:pStyle w:val="ListParagraph"/>
        <w:numPr>
          <w:ilvl w:val="0"/>
          <w:numId w:val="7"/>
        </w:numPr>
        <w:spacing w:after="0"/>
        <w:ind w:left="360"/>
        <w:rPr>
          <w:color w:val="000000" w:themeColor="text1"/>
        </w:rPr>
      </w:pPr>
      <w:r>
        <w:rPr>
          <w:color w:val="000000" w:themeColor="text1"/>
        </w:rPr>
        <w:t xml:space="preserve">Sales of </w:t>
      </w:r>
      <w:r>
        <w:rPr>
          <w:b/>
          <w:color w:val="000000" w:themeColor="text1"/>
        </w:rPr>
        <w:t>mi</w:t>
      </w:r>
      <w:r w:rsidR="00F053EF" w:rsidRPr="0053506A">
        <w:rPr>
          <w:b/>
          <w:color w:val="000000" w:themeColor="text1"/>
        </w:rPr>
        <w:t xml:space="preserve">neral fuels </w:t>
      </w:r>
      <w:r w:rsidR="00F053EF" w:rsidRPr="0053506A">
        <w:rPr>
          <w:color w:val="000000" w:themeColor="text1"/>
        </w:rPr>
        <w:t xml:space="preserve">($183 million, up 482%) </w:t>
      </w:r>
      <w:r>
        <w:rPr>
          <w:color w:val="000000" w:themeColor="text1"/>
        </w:rPr>
        <w:t>fluctuated wildly</w:t>
      </w:r>
      <w:r w:rsidR="00F053EF" w:rsidRPr="0053506A">
        <w:rPr>
          <w:color w:val="000000" w:themeColor="text1"/>
        </w:rPr>
        <w:t xml:space="preserve">, spiking 774% to </w:t>
      </w:r>
      <w:r w:rsidR="00F053EF" w:rsidRPr="00054A6E">
        <w:rPr>
          <w:b/>
          <w:color w:val="000000" w:themeColor="text1"/>
        </w:rPr>
        <w:t>Canada</w:t>
      </w:r>
      <w:r w:rsidR="00F053EF" w:rsidRPr="00054A6E">
        <w:rPr>
          <w:color w:val="000000" w:themeColor="text1"/>
        </w:rPr>
        <w:t xml:space="preserve"> </w:t>
      </w:r>
      <w:r w:rsidR="00F053EF">
        <w:rPr>
          <w:color w:val="000000" w:themeColor="text1"/>
        </w:rPr>
        <w:t>(</w:t>
      </w:r>
      <w:r>
        <w:rPr>
          <w:color w:val="000000" w:themeColor="text1"/>
        </w:rPr>
        <w:t xml:space="preserve">to </w:t>
      </w:r>
      <w:r w:rsidR="00F053EF">
        <w:rPr>
          <w:color w:val="000000" w:themeColor="text1"/>
        </w:rPr>
        <w:t>$1</w:t>
      </w:r>
      <w:r>
        <w:rPr>
          <w:color w:val="000000" w:themeColor="text1"/>
        </w:rPr>
        <w:t>75 million)</w:t>
      </w:r>
      <w:r w:rsidR="00F053EF" w:rsidRPr="0053506A">
        <w:rPr>
          <w:color w:val="000000" w:themeColor="text1"/>
        </w:rPr>
        <w:t>.</w:t>
      </w:r>
    </w:p>
    <w:p w14:paraId="5047AC01" w14:textId="77777777" w:rsidR="00F053EF" w:rsidRPr="0063763A" w:rsidRDefault="00F053EF" w:rsidP="00F053EF">
      <w:pPr>
        <w:pStyle w:val="ListParagraph"/>
        <w:numPr>
          <w:ilvl w:val="0"/>
          <w:numId w:val="7"/>
        </w:numPr>
        <w:spacing w:after="0"/>
        <w:ind w:left="360" w:right="-72"/>
        <w:rPr>
          <w:color w:val="000000" w:themeColor="text1"/>
        </w:rPr>
      </w:pPr>
      <w:r w:rsidRPr="0063763A">
        <w:rPr>
          <w:color w:val="000000" w:themeColor="text1"/>
        </w:rPr>
        <w:t xml:space="preserve">Global sales of </w:t>
      </w:r>
      <w:r w:rsidRPr="0063763A">
        <w:rPr>
          <w:b/>
          <w:color w:val="000000" w:themeColor="text1"/>
        </w:rPr>
        <w:t xml:space="preserve">meat </w:t>
      </w:r>
      <w:r w:rsidRPr="0063763A">
        <w:rPr>
          <w:color w:val="000000" w:themeColor="text1"/>
        </w:rPr>
        <w:t xml:space="preserve">leaped 54% to $138 million, propelled by </w:t>
      </w:r>
      <w:r w:rsidRPr="0063763A">
        <w:rPr>
          <w:b/>
          <w:color w:val="000000" w:themeColor="text1"/>
        </w:rPr>
        <w:t xml:space="preserve">China </w:t>
      </w:r>
      <w:r w:rsidRPr="0063763A">
        <w:rPr>
          <w:color w:val="000000" w:themeColor="text1"/>
        </w:rPr>
        <w:t xml:space="preserve">(up 602%, or up $50 million) and </w:t>
      </w:r>
      <w:r w:rsidRPr="0063763A">
        <w:rPr>
          <w:b/>
          <w:color w:val="000000" w:themeColor="text1"/>
        </w:rPr>
        <w:t xml:space="preserve">Japan </w:t>
      </w:r>
      <w:r w:rsidRPr="0063763A">
        <w:rPr>
          <w:color w:val="000000" w:themeColor="text1"/>
        </w:rPr>
        <w:t>(up 96%, or up $10 million)</w:t>
      </w:r>
      <w:r w:rsidR="00A10AC7" w:rsidRPr="0063763A">
        <w:rPr>
          <w:color w:val="000000" w:themeColor="text1"/>
        </w:rPr>
        <w:t>,</w:t>
      </w:r>
      <w:r w:rsidRPr="0063763A">
        <w:rPr>
          <w:color w:val="000000" w:themeColor="text1"/>
        </w:rPr>
        <w:t xml:space="preserve"> and despite </w:t>
      </w:r>
      <w:r w:rsidR="0063763A" w:rsidRPr="0063763A">
        <w:rPr>
          <w:color w:val="000000" w:themeColor="text1"/>
        </w:rPr>
        <w:t>disruptions in</w:t>
      </w:r>
      <w:r w:rsidR="00A10AC7" w:rsidRPr="0063763A">
        <w:rPr>
          <w:color w:val="000000" w:themeColor="text1"/>
        </w:rPr>
        <w:t xml:space="preserve"> demand in </w:t>
      </w:r>
      <w:r w:rsidR="00A10AC7" w:rsidRPr="0063763A">
        <w:rPr>
          <w:b/>
          <w:color w:val="000000" w:themeColor="text1"/>
        </w:rPr>
        <w:t xml:space="preserve">Mexico, Colombia, </w:t>
      </w:r>
      <w:r w:rsidRPr="0063763A">
        <w:rPr>
          <w:b/>
          <w:color w:val="000000" w:themeColor="text1"/>
        </w:rPr>
        <w:t>Korea</w:t>
      </w:r>
      <w:r w:rsidR="00A10AC7" w:rsidRPr="0063763A">
        <w:rPr>
          <w:color w:val="000000" w:themeColor="text1"/>
        </w:rPr>
        <w:t xml:space="preserve"> and </w:t>
      </w:r>
      <w:r w:rsidR="00A10AC7" w:rsidRPr="0063763A">
        <w:rPr>
          <w:b/>
          <w:color w:val="000000" w:themeColor="text1"/>
        </w:rPr>
        <w:t>Canada</w:t>
      </w:r>
      <w:r w:rsidRPr="0063763A">
        <w:rPr>
          <w:color w:val="000000" w:themeColor="text1"/>
        </w:rPr>
        <w:t xml:space="preserve">.  </w:t>
      </w:r>
      <w:r w:rsidRPr="0063763A">
        <w:rPr>
          <w:b/>
          <w:color w:val="000000" w:themeColor="text1"/>
        </w:rPr>
        <w:t>Fresh, chilled or frozen pork</w:t>
      </w:r>
      <w:r w:rsidRPr="0063763A">
        <w:rPr>
          <w:color w:val="000000" w:themeColor="text1"/>
        </w:rPr>
        <w:t xml:space="preserve"> ($</w:t>
      </w:r>
      <w:r w:rsidR="0063763A" w:rsidRPr="0063763A">
        <w:rPr>
          <w:color w:val="000000" w:themeColor="text1"/>
        </w:rPr>
        <w:t>107 million, up 87</w:t>
      </w:r>
      <w:r w:rsidRPr="0063763A">
        <w:rPr>
          <w:color w:val="000000" w:themeColor="text1"/>
        </w:rPr>
        <w:t xml:space="preserve">%) </w:t>
      </w:r>
      <w:r w:rsidR="0063763A" w:rsidRPr="0063763A">
        <w:rPr>
          <w:color w:val="000000" w:themeColor="text1"/>
        </w:rPr>
        <w:t>fueled growth</w:t>
      </w:r>
      <w:r w:rsidRPr="0063763A">
        <w:rPr>
          <w:color w:val="000000" w:themeColor="text1"/>
        </w:rPr>
        <w:t xml:space="preserve"> and accounted for 77% of meat exports.</w:t>
      </w:r>
    </w:p>
    <w:p w14:paraId="689E8A70" w14:textId="77777777" w:rsidR="004D0671" w:rsidRPr="0063763A" w:rsidRDefault="00F053EF" w:rsidP="00F053EF">
      <w:pPr>
        <w:pStyle w:val="ListParagraph"/>
        <w:numPr>
          <w:ilvl w:val="0"/>
          <w:numId w:val="7"/>
        </w:numPr>
        <w:spacing w:after="0"/>
        <w:ind w:left="360" w:right="-396"/>
        <w:rPr>
          <w:color w:val="000000" w:themeColor="text1"/>
        </w:rPr>
      </w:pPr>
      <w:r w:rsidRPr="0063763A">
        <w:rPr>
          <w:b/>
          <w:color w:val="000000" w:themeColor="text1"/>
        </w:rPr>
        <w:t>Ores, slag and ash</w:t>
      </w:r>
      <w:r w:rsidRPr="0063763A">
        <w:rPr>
          <w:color w:val="000000" w:themeColor="text1"/>
        </w:rPr>
        <w:t xml:space="preserve"> (largely iron ores) were up 11%, bolstered by </w:t>
      </w:r>
      <w:r w:rsidRPr="0063763A">
        <w:rPr>
          <w:b/>
          <w:color w:val="000000" w:themeColor="text1"/>
        </w:rPr>
        <w:t>Japan</w:t>
      </w:r>
      <w:r w:rsidRPr="0063763A">
        <w:rPr>
          <w:color w:val="000000" w:themeColor="text1"/>
        </w:rPr>
        <w:t xml:space="preserve"> ($84 million, up 40%)</w:t>
      </w:r>
      <w:r w:rsidR="007D733B" w:rsidRPr="0063763A">
        <w:rPr>
          <w:color w:val="000000" w:themeColor="text1"/>
        </w:rPr>
        <w:t xml:space="preserve"> and </w:t>
      </w:r>
      <w:r w:rsidR="007D733B" w:rsidRPr="0063763A">
        <w:rPr>
          <w:b/>
          <w:color w:val="000000" w:themeColor="text1"/>
        </w:rPr>
        <w:t>Slovakia</w:t>
      </w:r>
      <w:r w:rsidR="007D733B" w:rsidRPr="0063763A">
        <w:rPr>
          <w:color w:val="000000" w:themeColor="text1"/>
        </w:rPr>
        <w:t xml:space="preserve"> ($15 million, up from none). These </w:t>
      </w:r>
      <w:r w:rsidR="0063763A" w:rsidRPr="0063763A">
        <w:rPr>
          <w:color w:val="000000" w:themeColor="text1"/>
        </w:rPr>
        <w:t>gains</w:t>
      </w:r>
      <w:r w:rsidR="007D733B" w:rsidRPr="0063763A">
        <w:rPr>
          <w:color w:val="000000" w:themeColor="text1"/>
        </w:rPr>
        <w:t xml:space="preserve"> offset the drop in</w:t>
      </w:r>
      <w:r w:rsidR="0063763A" w:rsidRPr="0063763A">
        <w:rPr>
          <w:color w:val="000000" w:themeColor="text1"/>
        </w:rPr>
        <w:t xml:space="preserve"> these</w:t>
      </w:r>
      <w:r w:rsidR="007D733B" w:rsidRPr="0063763A">
        <w:rPr>
          <w:color w:val="000000" w:themeColor="text1"/>
        </w:rPr>
        <w:t xml:space="preserve"> exports</w:t>
      </w:r>
      <w:r w:rsidRPr="0063763A">
        <w:rPr>
          <w:color w:val="000000" w:themeColor="text1"/>
        </w:rPr>
        <w:t xml:space="preserve"> to </w:t>
      </w:r>
      <w:r w:rsidRPr="0063763A">
        <w:rPr>
          <w:b/>
          <w:color w:val="000000" w:themeColor="text1"/>
        </w:rPr>
        <w:t>Canada</w:t>
      </w:r>
      <w:r w:rsidRPr="0063763A">
        <w:rPr>
          <w:color w:val="000000" w:themeColor="text1"/>
        </w:rPr>
        <w:t xml:space="preserve"> ($115 million, down 13%).</w:t>
      </w:r>
    </w:p>
    <w:p w14:paraId="2531CFFE" w14:textId="77777777" w:rsidR="007F1C4A" w:rsidRPr="0063763A" w:rsidRDefault="007F1C4A" w:rsidP="00D3214A">
      <w:pPr>
        <w:pStyle w:val="Heading4"/>
        <w:spacing w:before="120" w:after="60"/>
        <w:rPr>
          <w:color w:val="000000" w:themeColor="text1"/>
        </w:rPr>
      </w:pPr>
      <w:r w:rsidRPr="0063763A">
        <w:rPr>
          <w:color w:val="000000" w:themeColor="text1"/>
        </w:rPr>
        <w:t xml:space="preserve">Figure 4. Exports and Trends Among Minnesota’s Top 10 Products, </w:t>
      </w:r>
      <w:r w:rsidR="004550A2" w:rsidRPr="0063763A">
        <w:rPr>
          <w:color w:val="000000" w:themeColor="text1"/>
        </w:rPr>
        <w:t>Second</w:t>
      </w:r>
      <w:r w:rsidR="00A52415" w:rsidRPr="0063763A">
        <w:rPr>
          <w:color w:val="000000" w:themeColor="text1"/>
        </w:rPr>
        <w:t xml:space="preserve"> Quarter </w:t>
      </w:r>
      <w:r w:rsidR="007818E5" w:rsidRPr="0063763A">
        <w:rPr>
          <w:color w:val="000000" w:themeColor="text1"/>
        </w:rPr>
        <w:t>2020</w:t>
      </w:r>
    </w:p>
    <w:p w14:paraId="03050CEF" w14:textId="77777777" w:rsidR="00ED605B" w:rsidRDefault="00707559" w:rsidP="00ED605B">
      <w:pPr>
        <w:spacing w:after="0"/>
        <w:rPr>
          <w:color w:val="FF0000"/>
        </w:rPr>
      </w:pPr>
      <w:r w:rsidRPr="00707559">
        <w:rPr>
          <w:noProof/>
          <w:color w:val="FF0000"/>
        </w:rPr>
        <w:drawing>
          <wp:inline distT="0" distB="0" distL="0" distR="0" wp14:anchorId="6C363197" wp14:editId="761968E2">
            <wp:extent cx="6330950" cy="1813640"/>
            <wp:effectExtent l="0" t="0" r="0" b="0"/>
            <wp:docPr id="8" name="Picture 8" descr="PRODUCT  Exports (billions)  Percent Change, 2019-Q2 to 2020--Q2&#10;TOTAL  $4.6  -18%&#10;Optic, Medical  $0.9  -22%&#10;Machinery  $0.7  -21%&#10;Electrical Equipment  $0.5  -30%&#10;Plastics  $0.3  -6%&#10;Ores, Slag And Ash  $0.2  11%&#10;Mineral Fuels, Oils*  $0.2  482%&#10;Vehicles  $0.2  -46%&#10;Meat  $0.1  54%&#10;Food By-Products  $0.1  -22%&#10;Pharmaceuticals  $0.1  -40%&#10;Other  $1.2  -20%&#10;" title="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okim\Work from home files\wfh files_Main\Tableau, Viz\MTO Tableau files\Export Stats Reports\Newsletter &amp; Fact Sheet charts\2020-Q2 Top 10 2H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8210" cy="1821449"/>
                    </a:xfrm>
                    <a:prstGeom prst="rect">
                      <a:avLst/>
                    </a:prstGeom>
                    <a:noFill/>
                    <a:ln>
                      <a:noFill/>
                    </a:ln>
                  </pic:spPr>
                </pic:pic>
              </a:graphicData>
            </a:graphic>
          </wp:inline>
        </w:drawing>
      </w:r>
    </w:p>
    <w:p w14:paraId="73CDCF23" w14:textId="77777777" w:rsidR="004A4223" w:rsidRPr="0063763A" w:rsidRDefault="004A4223" w:rsidP="00ED605B">
      <w:pPr>
        <w:spacing w:after="0"/>
        <w:rPr>
          <w:color w:val="000000" w:themeColor="text1"/>
          <w:sz w:val="18"/>
        </w:rPr>
      </w:pPr>
      <w:r w:rsidRPr="0063763A">
        <w:rPr>
          <w:color w:val="000000" w:themeColor="text1"/>
          <w:sz w:val="18"/>
        </w:rPr>
        <w:t>Note: To minimize chart distortion, export growth rate of 482% for mineral fuels and oils, was omitted.</w:t>
      </w:r>
    </w:p>
    <w:tbl>
      <w:tblPr>
        <w:tblpPr w:leftFromText="180" w:rightFromText="180" w:vertAnchor="page" w:horzAnchor="margin" w:tblpY="13281"/>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9E5A6"/>
        <w:tblLook w:val="04A0" w:firstRow="1" w:lastRow="0" w:firstColumn="1" w:lastColumn="0" w:noHBand="0" w:noVBand="1"/>
        <w:tblCaption w:val="Additional information"/>
        <w:tblDescription w:val="Minnesota Quarterly Export Statistics is the most current resource available for tracking the state’s manufactured export trends and is prepared for the Minnesota Trade Office (MTO) by the Department of Employment and Economic Development’s (DEED) Economic Analysis Unit (Thu-Mai Ho-Kim).  The quarterly and annual statistics reports primarily cover export data based on the Harmonized Tariff System (Schedule B), collected by the U.S. Department of Commerce (USDOC) and distributed by IHS Maritime &amp; Trade. Reports are available on DEED’s website at “Export and Trade Statistics” (http://mn.gov/deed/data/export-stats/)."/>
      </w:tblPr>
      <w:tblGrid>
        <w:gridCol w:w="10255"/>
      </w:tblGrid>
      <w:tr w:rsidR="0063763A" w:rsidRPr="0063763A" w14:paraId="7688E05E" w14:textId="77777777" w:rsidTr="00D80EB6">
        <w:trPr>
          <w:trHeight w:val="347"/>
        </w:trPr>
        <w:tc>
          <w:tcPr>
            <w:tcW w:w="10255" w:type="dxa"/>
            <w:shd w:val="clear" w:color="auto" w:fill="C9E5A6"/>
          </w:tcPr>
          <w:p w14:paraId="39907943" w14:textId="78A4ADD8" w:rsidR="00D80EB6" w:rsidRPr="0063763A" w:rsidRDefault="00D80EB6" w:rsidP="00D63F04">
            <w:pPr>
              <w:spacing w:after="0"/>
              <w:rPr>
                <w:color w:val="000000" w:themeColor="text1"/>
              </w:rPr>
            </w:pPr>
            <w:r w:rsidRPr="0063763A">
              <w:rPr>
                <w:rStyle w:val="Emphasis"/>
                <w:rFonts w:cstheme="minorHAnsi"/>
                <w:color w:val="000000" w:themeColor="text1"/>
                <w:sz w:val="18"/>
              </w:rPr>
              <w:t>Minnesota Quarterly Export Statistics</w:t>
            </w:r>
            <w:r w:rsidRPr="0063763A">
              <w:rPr>
                <w:rFonts w:ascii="Calibri" w:hAnsi="Calibri"/>
                <w:color w:val="000000" w:themeColor="text1"/>
                <w:sz w:val="14"/>
              </w:rPr>
              <w:t xml:space="preserve"> </w:t>
            </w:r>
            <w:r w:rsidRPr="0063763A">
              <w:rPr>
                <w:rFonts w:ascii="Calibri" w:hAnsi="Calibri"/>
                <w:color w:val="000000" w:themeColor="text1"/>
                <w:sz w:val="18"/>
              </w:rPr>
              <w:t xml:space="preserve">is the most current resource available for tracking the state’s export trends and is prepared for the Minnesota Trade Office (MTO) by the Department of Employment and Economic Development’s (DEED) Economic Analysis Unit (Thu-Mai Ho-Kim).  </w:t>
            </w:r>
            <w:r w:rsidRPr="0063763A">
              <w:rPr>
                <w:rFonts w:ascii="Calibri" w:hAnsi="Calibri" w:cs="Calibri"/>
                <w:color w:val="000000" w:themeColor="text1"/>
                <w:sz w:val="18"/>
                <w:szCs w:val="18"/>
              </w:rPr>
              <w:t>The quarterly and annual statistics reports primarily cover export data based on the Harmonized Tariff System (Schedule B), collected by the U.S. Department of Commerce (USDOC) and distributed by IHS Maritime &amp; Trade. Reports are available on DEED’s website at “Export and Trade Statistics” (</w:t>
            </w:r>
            <w:hyperlink r:id="rId18" w:history="1">
              <w:r w:rsidRPr="0063763A">
                <w:rPr>
                  <w:rStyle w:val="Hyperlink"/>
                  <w:color w:val="000000" w:themeColor="text1"/>
                  <w:sz w:val="18"/>
                  <w:szCs w:val="18"/>
                </w:rPr>
                <w:t>http://mn.gov/deed/data/export-stats/</w:t>
              </w:r>
            </w:hyperlink>
            <w:r w:rsidRPr="0063763A">
              <w:rPr>
                <w:color w:val="000000" w:themeColor="text1"/>
                <w:sz w:val="18"/>
                <w:szCs w:val="18"/>
              </w:rPr>
              <w:t>)</w:t>
            </w:r>
            <w:r w:rsidRPr="0063763A">
              <w:rPr>
                <w:rFonts w:ascii="Calibri" w:hAnsi="Calibri" w:cs="Calibri"/>
                <w:color w:val="000000" w:themeColor="text1"/>
                <w:sz w:val="18"/>
                <w:szCs w:val="18"/>
              </w:rPr>
              <w:t>.</w:t>
            </w:r>
          </w:p>
        </w:tc>
      </w:tr>
    </w:tbl>
    <w:p w14:paraId="7C147EF7" w14:textId="77777777" w:rsidR="007F1C4A" w:rsidRPr="0063763A" w:rsidRDefault="007F1C4A" w:rsidP="00831997">
      <w:pPr>
        <w:spacing w:after="240"/>
        <w:rPr>
          <w:rFonts w:ascii="Times New Roman" w:eastAsia="Times New Roman" w:hAnsi="Times New Roman" w:cs="Times New Roman"/>
          <w:snapToGrid w:val="0"/>
          <w:color w:val="000000" w:themeColor="text1"/>
          <w:w w:val="0"/>
          <w:sz w:val="0"/>
          <w:szCs w:val="0"/>
          <w:u w:color="000000"/>
          <w:bdr w:val="none" w:sz="0" w:space="0" w:color="000000"/>
          <w:shd w:val="clear" w:color="000000" w:fill="000000"/>
          <w:lang w:eastAsia="x-none" w:bidi="x-none"/>
        </w:rPr>
      </w:pPr>
    </w:p>
    <w:sectPr w:rsidR="007F1C4A" w:rsidRPr="0063763A" w:rsidSect="00426066">
      <w:footnotePr>
        <w:numRestart w:val="eachSect"/>
      </w:footnotePr>
      <w:endnotePr>
        <w:numFmt w:val="decimal"/>
      </w:endnotePr>
      <w:type w:val="continuous"/>
      <w:pgSz w:w="12240" w:h="15840" w:code="1"/>
      <w:pgMar w:top="936" w:right="1152" w:bottom="936" w:left="108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304B7" w14:textId="77777777" w:rsidR="00EF1E81" w:rsidRDefault="00EF1E81">
      <w:r>
        <w:separator/>
      </w:r>
    </w:p>
  </w:endnote>
  <w:endnote w:type="continuationSeparator" w:id="0">
    <w:p w14:paraId="02E4A10D" w14:textId="77777777" w:rsidR="00EF1E81" w:rsidRDefault="00EF1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911F6" w14:textId="77777777" w:rsidR="00CC1B7D" w:rsidRDefault="00CC1B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82E195" w14:textId="77777777" w:rsidR="00CC1B7D" w:rsidRDefault="00CC1B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F6150" w14:textId="77777777" w:rsidR="00A14E15" w:rsidRPr="00A14E15" w:rsidRDefault="00A14E15" w:rsidP="00A14E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4EE6D" w14:textId="77777777" w:rsidR="00EF1E81" w:rsidRDefault="00EF1E81">
      <w:r>
        <w:separator/>
      </w:r>
    </w:p>
  </w:footnote>
  <w:footnote w:type="continuationSeparator" w:id="0">
    <w:p w14:paraId="65428B8C" w14:textId="77777777" w:rsidR="00EF1E81" w:rsidRDefault="00EF1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8B42A" w14:textId="77777777" w:rsidR="00CC1B7D" w:rsidRDefault="00CC1B7D" w:rsidP="00E014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147C6F" w14:textId="77777777" w:rsidR="00CC1B7D" w:rsidRDefault="00CC1B7D" w:rsidP="00E014F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6BEFB" w14:textId="77777777" w:rsidR="00CC1B7D" w:rsidRDefault="00CC1B7D" w:rsidP="00E014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2516">
      <w:rPr>
        <w:rStyle w:val="PageNumber"/>
        <w:noProof/>
      </w:rPr>
      <w:t>2</w:t>
    </w:r>
    <w:r>
      <w:rPr>
        <w:rStyle w:val="PageNumber"/>
      </w:rPr>
      <w:fldChar w:fldCharType="end"/>
    </w:r>
  </w:p>
  <w:p w14:paraId="4CE97ED2" w14:textId="77777777" w:rsidR="00CC1B7D" w:rsidRDefault="00CC1B7D" w:rsidP="00E014F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9482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AD7251"/>
    <w:multiLevelType w:val="hybridMultilevel"/>
    <w:tmpl w:val="A20C3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055FB0"/>
    <w:multiLevelType w:val="hybridMultilevel"/>
    <w:tmpl w:val="39F01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9B22E7"/>
    <w:multiLevelType w:val="hybridMultilevel"/>
    <w:tmpl w:val="DB8C1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621A5E"/>
    <w:multiLevelType w:val="hybridMultilevel"/>
    <w:tmpl w:val="787C9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8E4940"/>
    <w:multiLevelType w:val="hybridMultilevel"/>
    <w:tmpl w:val="4AAE80EE"/>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1121C"/>
    <w:multiLevelType w:val="hybridMultilevel"/>
    <w:tmpl w:val="CFAA2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731D63"/>
    <w:multiLevelType w:val="hybridMultilevel"/>
    <w:tmpl w:val="0FB4B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81A19"/>
    <w:multiLevelType w:val="hybridMultilevel"/>
    <w:tmpl w:val="B832D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373CB2"/>
    <w:multiLevelType w:val="hybridMultilevel"/>
    <w:tmpl w:val="641C1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1704E9"/>
    <w:multiLevelType w:val="hybridMultilevel"/>
    <w:tmpl w:val="187CA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38056F"/>
    <w:multiLevelType w:val="hybridMultilevel"/>
    <w:tmpl w:val="88CEE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DA42E3"/>
    <w:multiLevelType w:val="hybridMultilevel"/>
    <w:tmpl w:val="8A0ED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7975A35"/>
    <w:multiLevelType w:val="hybridMultilevel"/>
    <w:tmpl w:val="E5021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F11FFB"/>
    <w:multiLevelType w:val="hybridMultilevel"/>
    <w:tmpl w:val="4CDAD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E717D2"/>
    <w:multiLevelType w:val="hybridMultilevel"/>
    <w:tmpl w:val="E334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1"/>
  </w:num>
  <w:num w:numId="4">
    <w:abstractNumId w:val="4"/>
  </w:num>
  <w:num w:numId="5">
    <w:abstractNumId w:val="1"/>
  </w:num>
  <w:num w:numId="6">
    <w:abstractNumId w:val="7"/>
  </w:num>
  <w:num w:numId="7">
    <w:abstractNumId w:val="15"/>
  </w:num>
  <w:num w:numId="8">
    <w:abstractNumId w:val="13"/>
  </w:num>
  <w:num w:numId="9">
    <w:abstractNumId w:val="9"/>
  </w:num>
  <w:num w:numId="10">
    <w:abstractNumId w:val="8"/>
  </w:num>
  <w:num w:numId="11">
    <w:abstractNumId w:val="6"/>
  </w:num>
  <w:num w:numId="12">
    <w:abstractNumId w:val="2"/>
  </w:num>
  <w:num w:numId="13">
    <w:abstractNumId w:val="14"/>
  </w:num>
  <w:num w:numId="14">
    <w:abstractNumId w:val="10"/>
  </w:num>
  <w:num w:numId="15">
    <w:abstractNumId w:val="5"/>
  </w:num>
  <w:num w:numId="1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Formatting/>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EAB"/>
    <w:rsid w:val="000041CC"/>
    <w:rsid w:val="000115BA"/>
    <w:rsid w:val="00013717"/>
    <w:rsid w:val="00017FE0"/>
    <w:rsid w:val="000218A0"/>
    <w:rsid w:val="00024BB5"/>
    <w:rsid w:val="000350A7"/>
    <w:rsid w:val="00035328"/>
    <w:rsid w:val="00036238"/>
    <w:rsid w:val="00046117"/>
    <w:rsid w:val="00051FE0"/>
    <w:rsid w:val="00051FF7"/>
    <w:rsid w:val="000541A0"/>
    <w:rsid w:val="00054A6E"/>
    <w:rsid w:val="00055AAF"/>
    <w:rsid w:val="0005790D"/>
    <w:rsid w:val="00061093"/>
    <w:rsid w:val="0006144E"/>
    <w:rsid w:val="0006608A"/>
    <w:rsid w:val="000705F0"/>
    <w:rsid w:val="000716AC"/>
    <w:rsid w:val="000731F2"/>
    <w:rsid w:val="00073987"/>
    <w:rsid w:val="00076DF3"/>
    <w:rsid w:val="00077989"/>
    <w:rsid w:val="0008038B"/>
    <w:rsid w:val="00083199"/>
    <w:rsid w:val="000859F2"/>
    <w:rsid w:val="00085EED"/>
    <w:rsid w:val="000878A3"/>
    <w:rsid w:val="00090B7B"/>
    <w:rsid w:val="0009219A"/>
    <w:rsid w:val="000924DC"/>
    <w:rsid w:val="00092621"/>
    <w:rsid w:val="0009287F"/>
    <w:rsid w:val="000929D8"/>
    <w:rsid w:val="00092FFB"/>
    <w:rsid w:val="00096FFD"/>
    <w:rsid w:val="000A491B"/>
    <w:rsid w:val="000A4AB3"/>
    <w:rsid w:val="000A5664"/>
    <w:rsid w:val="000A7EF0"/>
    <w:rsid w:val="000B518F"/>
    <w:rsid w:val="000B6338"/>
    <w:rsid w:val="000C1CB0"/>
    <w:rsid w:val="000C2181"/>
    <w:rsid w:val="000C3AE5"/>
    <w:rsid w:val="000D1330"/>
    <w:rsid w:val="000D18A9"/>
    <w:rsid w:val="000D5D94"/>
    <w:rsid w:val="000D6FAF"/>
    <w:rsid w:val="000E0786"/>
    <w:rsid w:val="000E3376"/>
    <w:rsid w:val="000E6BD9"/>
    <w:rsid w:val="000E7ED0"/>
    <w:rsid w:val="000F0519"/>
    <w:rsid w:val="000F1844"/>
    <w:rsid w:val="000F1B22"/>
    <w:rsid w:val="000F3E1F"/>
    <w:rsid w:val="000F4C5E"/>
    <w:rsid w:val="000F54F2"/>
    <w:rsid w:val="000F6660"/>
    <w:rsid w:val="000F6CDA"/>
    <w:rsid w:val="00107686"/>
    <w:rsid w:val="001104C3"/>
    <w:rsid w:val="001127F8"/>
    <w:rsid w:val="00112A1D"/>
    <w:rsid w:val="00112A91"/>
    <w:rsid w:val="001214D7"/>
    <w:rsid w:val="0012471B"/>
    <w:rsid w:val="001250AB"/>
    <w:rsid w:val="001263E2"/>
    <w:rsid w:val="00132366"/>
    <w:rsid w:val="00132A66"/>
    <w:rsid w:val="00134ECC"/>
    <w:rsid w:val="00134F20"/>
    <w:rsid w:val="00135A0B"/>
    <w:rsid w:val="001360E3"/>
    <w:rsid w:val="001373C3"/>
    <w:rsid w:val="00137E8C"/>
    <w:rsid w:val="00140B5F"/>
    <w:rsid w:val="00142003"/>
    <w:rsid w:val="0014228E"/>
    <w:rsid w:val="00145936"/>
    <w:rsid w:val="00147356"/>
    <w:rsid w:val="001619F1"/>
    <w:rsid w:val="00162EF3"/>
    <w:rsid w:val="0016340E"/>
    <w:rsid w:val="00164B97"/>
    <w:rsid w:val="00170A9E"/>
    <w:rsid w:val="00172BF4"/>
    <w:rsid w:val="00173478"/>
    <w:rsid w:val="00173D78"/>
    <w:rsid w:val="00176732"/>
    <w:rsid w:val="00176E55"/>
    <w:rsid w:val="0018069A"/>
    <w:rsid w:val="0018375B"/>
    <w:rsid w:val="0018461A"/>
    <w:rsid w:val="001846AE"/>
    <w:rsid w:val="00192539"/>
    <w:rsid w:val="001942D2"/>
    <w:rsid w:val="001944CA"/>
    <w:rsid w:val="001968E6"/>
    <w:rsid w:val="001978D1"/>
    <w:rsid w:val="001979B1"/>
    <w:rsid w:val="001A7229"/>
    <w:rsid w:val="001A7363"/>
    <w:rsid w:val="001B0716"/>
    <w:rsid w:val="001B0D71"/>
    <w:rsid w:val="001B1416"/>
    <w:rsid w:val="001B344A"/>
    <w:rsid w:val="001B3687"/>
    <w:rsid w:val="001B5950"/>
    <w:rsid w:val="001B6B06"/>
    <w:rsid w:val="001C1A15"/>
    <w:rsid w:val="001C3A93"/>
    <w:rsid w:val="001C6967"/>
    <w:rsid w:val="001D0609"/>
    <w:rsid w:val="001D704D"/>
    <w:rsid w:val="001D767B"/>
    <w:rsid w:val="001E4570"/>
    <w:rsid w:val="001E4F28"/>
    <w:rsid w:val="001E53CF"/>
    <w:rsid w:val="001E6B49"/>
    <w:rsid w:val="001E79C1"/>
    <w:rsid w:val="001F56E0"/>
    <w:rsid w:val="001F62FF"/>
    <w:rsid w:val="001F7EBF"/>
    <w:rsid w:val="002003FA"/>
    <w:rsid w:val="0020291D"/>
    <w:rsid w:val="00202963"/>
    <w:rsid w:val="00203298"/>
    <w:rsid w:val="002040F2"/>
    <w:rsid w:val="00205084"/>
    <w:rsid w:val="00205F9C"/>
    <w:rsid w:val="00211025"/>
    <w:rsid w:val="0021231E"/>
    <w:rsid w:val="002158EE"/>
    <w:rsid w:val="00215DA6"/>
    <w:rsid w:val="00216C2D"/>
    <w:rsid w:val="00217960"/>
    <w:rsid w:val="002224AE"/>
    <w:rsid w:val="0022389E"/>
    <w:rsid w:val="00223F46"/>
    <w:rsid w:val="00226A71"/>
    <w:rsid w:val="00234444"/>
    <w:rsid w:val="00244370"/>
    <w:rsid w:val="00245025"/>
    <w:rsid w:val="0024609E"/>
    <w:rsid w:val="002538D5"/>
    <w:rsid w:val="0025565E"/>
    <w:rsid w:val="002607E0"/>
    <w:rsid w:val="0026310F"/>
    <w:rsid w:val="00267778"/>
    <w:rsid w:val="002726A4"/>
    <w:rsid w:val="00272910"/>
    <w:rsid w:val="00275F40"/>
    <w:rsid w:val="00277C67"/>
    <w:rsid w:val="0028048A"/>
    <w:rsid w:val="00284EDE"/>
    <w:rsid w:val="00287234"/>
    <w:rsid w:val="002907B4"/>
    <w:rsid w:val="00293DCF"/>
    <w:rsid w:val="002969E6"/>
    <w:rsid w:val="00297DBE"/>
    <w:rsid w:val="002A27D6"/>
    <w:rsid w:val="002A2F54"/>
    <w:rsid w:val="002A3F50"/>
    <w:rsid w:val="002A4808"/>
    <w:rsid w:val="002A52FC"/>
    <w:rsid w:val="002B1415"/>
    <w:rsid w:val="002B329E"/>
    <w:rsid w:val="002B36A6"/>
    <w:rsid w:val="002B6B53"/>
    <w:rsid w:val="002B6EBF"/>
    <w:rsid w:val="002C0C4E"/>
    <w:rsid w:val="002C164C"/>
    <w:rsid w:val="002C52C4"/>
    <w:rsid w:val="002C6521"/>
    <w:rsid w:val="002D2A7E"/>
    <w:rsid w:val="002D2EF5"/>
    <w:rsid w:val="002D6A99"/>
    <w:rsid w:val="002D6F33"/>
    <w:rsid w:val="002E54F1"/>
    <w:rsid w:val="002F0687"/>
    <w:rsid w:val="002F1C0E"/>
    <w:rsid w:val="002F1E64"/>
    <w:rsid w:val="002F257A"/>
    <w:rsid w:val="002F285F"/>
    <w:rsid w:val="002F71B1"/>
    <w:rsid w:val="002F7ABC"/>
    <w:rsid w:val="00301B16"/>
    <w:rsid w:val="003047CE"/>
    <w:rsid w:val="00304E7F"/>
    <w:rsid w:val="0031458A"/>
    <w:rsid w:val="00314865"/>
    <w:rsid w:val="00314EBD"/>
    <w:rsid w:val="00320905"/>
    <w:rsid w:val="00327817"/>
    <w:rsid w:val="0033034E"/>
    <w:rsid w:val="00330852"/>
    <w:rsid w:val="00332036"/>
    <w:rsid w:val="00332B6B"/>
    <w:rsid w:val="00337018"/>
    <w:rsid w:val="00337315"/>
    <w:rsid w:val="00340E9C"/>
    <w:rsid w:val="003413C6"/>
    <w:rsid w:val="003415A0"/>
    <w:rsid w:val="00342DD3"/>
    <w:rsid w:val="00343C68"/>
    <w:rsid w:val="0034596F"/>
    <w:rsid w:val="00352999"/>
    <w:rsid w:val="0035427F"/>
    <w:rsid w:val="003575CE"/>
    <w:rsid w:val="00361002"/>
    <w:rsid w:val="003610A2"/>
    <w:rsid w:val="00365F97"/>
    <w:rsid w:val="00370F35"/>
    <w:rsid w:val="00371C8B"/>
    <w:rsid w:val="00372846"/>
    <w:rsid w:val="00373CD5"/>
    <w:rsid w:val="00374F2A"/>
    <w:rsid w:val="00375BF0"/>
    <w:rsid w:val="0037721A"/>
    <w:rsid w:val="0038071A"/>
    <w:rsid w:val="003833B0"/>
    <w:rsid w:val="00383D01"/>
    <w:rsid w:val="0038665A"/>
    <w:rsid w:val="00387942"/>
    <w:rsid w:val="00387E7F"/>
    <w:rsid w:val="00391815"/>
    <w:rsid w:val="00392609"/>
    <w:rsid w:val="00396483"/>
    <w:rsid w:val="003A3D11"/>
    <w:rsid w:val="003B0B33"/>
    <w:rsid w:val="003B2771"/>
    <w:rsid w:val="003B3484"/>
    <w:rsid w:val="003B62FF"/>
    <w:rsid w:val="003C316B"/>
    <w:rsid w:val="003C53CE"/>
    <w:rsid w:val="003C57B0"/>
    <w:rsid w:val="003C7165"/>
    <w:rsid w:val="003D044E"/>
    <w:rsid w:val="003D23DD"/>
    <w:rsid w:val="003D4F5D"/>
    <w:rsid w:val="003D6202"/>
    <w:rsid w:val="003D744B"/>
    <w:rsid w:val="003D7C4C"/>
    <w:rsid w:val="003E01C9"/>
    <w:rsid w:val="003F27BF"/>
    <w:rsid w:val="003F41C6"/>
    <w:rsid w:val="003F44C1"/>
    <w:rsid w:val="003F6B30"/>
    <w:rsid w:val="0040062C"/>
    <w:rsid w:val="00402A86"/>
    <w:rsid w:val="00405F36"/>
    <w:rsid w:val="004061B1"/>
    <w:rsid w:val="00406E6D"/>
    <w:rsid w:val="00407310"/>
    <w:rsid w:val="00410BBC"/>
    <w:rsid w:val="00412776"/>
    <w:rsid w:val="00420D04"/>
    <w:rsid w:val="0042279B"/>
    <w:rsid w:val="0042285F"/>
    <w:rsid w:val="00426066"/>
    <w:rsid w:val="00426DC1"/>
    <w:rsid w:val="004303E8"/>
    <w:rsid w:val="004304CD"/>
    <w:rsid w:val="00433DBF"/>
    <w:rsid w:val="004362B0"/>
    <w:rsid w:val="00437CB6"/>
    <w:rsid w:val="0044214A"/>
    <w:rsid w:val="004430A9"/>
    <w:rsid w:val="00445385"/>
    <w:rsid w:val="00447C35"/>
    <w:rsid w:val="004527A6"/>
    <w:rsid w:val="0045332A"/>
    <w:rsid w:val="004550A2"/>
    <w:rsid w:val="00457D79"/>
    <w:rsid w:val="00464CC9"/>
    <w:rsid w:val="0046665A"/>
    <w:rsid w:val="0047028E"/>
    <w:rsid w:val="00470FED"/>
    <w:rsid w:val="004713E0"/>
    <w:rsid w:val="004736AA"/>
    <w:rsid w:val="00475201"/>
    <w:rsid w:val="00475D79"/>
    <w:rsid w:val="0047760E"/>
    <w:rsid w:val="00480418"/>
    <w:rsid w:val="0048185B"/>
    <w:rsid w:val="00481E39"/>
    <w:rsid w:val="00482FFB"/>
    <w:rsid w:val="00484906"/>
    <w:rsid w:val="004867A4"/>
    <w:rsid w:val="00486B23"/>
    <w:rsid w:val="00487935"/>
    <w:rsid w:val="004900B8"/>
    <w:rsid w:val="004910BF"/>
    <w:rsid w:val="00491AC8"/>
    <w:rsid w:val="00493958"/>
    <w:rsid w:val="00493DF8"/>
    <w:rsid w:val="004944A7"/>
    <w:rsid w:val="004951BC"/>
    <w:rsid w:val="00497570"/>
    <w:rsid w:val="00497998"/>
    <w:rsid w:val="004A3CC9"/>
    <w:rsid w:val="004A4223"/>
    <w:rsid w:val="004A43B9"/>
    <w:rsid w:val="004A5B9A"/>
    <w:rsid w:val="004A7FE8"/>
    <w:rsid w:val="004B0B28"/>
    <w:rsid w:val="004B4376"/>
    <w:rsid w:val="004B4BD6"/>
    <w:rsid w:val="004B74F8"/>
    <w:rsid w:val="004B7C0E"/>
    <w:rsid w:val="004C31E6"/>
    <w:rsid w:val="004D0671"/>
    <w:rsid w:val="004D1EAB"/>
    <w:rsid w:val="004D6223"/>
    <w:rsid w:val="004E1A2B"/>
    <w:rsid w:val="004E1D93"/>
    <w:rsid w:val="004E7051"/>
    <w:rsid w:val="004E7967"/>
    <w:rsid w:val="004F046B"/>
    <w:rsid w:val="004F0B2F"/>
    <w:rsid w:val="004F5A09"/>
    <w:rsid w:val="004F5CE6"/>
    <w:rsid w:val="004F73D4"/>
    <w:rsid w:val="00500A5C"/>
    <w:rsid w:val="005026CC"/>
    <w:rsid w:val="00503AD1"/>
    <w:rsid w:val="0050449A"/>
    <w:rsid w:val="005100D1"/>
    <w:rsid w:val="00513720"/>
    <w:rsid w:val="0051607A"/>
    <w:rsid w:val="005205F4"/>
    <w:rsid w:val="00521967"/>
    <w:rsid w:val="00524378"/>
    <w:rsid w:val="005269B7"/>
    <w:rsid w:val="005269D3"/>
    <w:rsid w:val="00530F70"/>
    <w:rsid w:val="005315EA"/>
    <w:rsid w:val="00532FD5"/>
    <w:rsid w:val="00534E9F"/>
    <w:rsid w:val="0053506A"/>
    <w:rsid w:val="00535508"/>
    <w:rsid w:val="00536B13"/>
    <w:rsid w:val="00544F1F"/>
    <w:rsid w:val="00545F38"/>
    <w:rsid w:val="0054634E"/>
    <w:rsid w:val="005514BE"/>
    <w:rsid w:val="0055424F"/>
    <w:rsid w:val="00557377"/>
    <w:rsid w:val="00560599"/>
    <w:rsid w:val="00563721"/>
    <w:rsid w:val="00565776"/>
    <w:rsid w:val="00566508"/>
    <w:rsid w:val="00570ACF"/>
    <w:rsid w:val="00573535"/>
    <w:rsid w:val="00573C2D"/>
    <w:rsid w:val="00575BB7"/>
    <w:rsid w:val="00575F88"/>
    <w:rsid w:val="0057794D"/>
    <w:rsid w:val="00582DC9"/>
    <w:rsid w:val="00585250"/>
    <w:rsid w:val="005859C8"/>
    <w:rsid w:val="00587796"/>
    <w:rsid w:val="005940DB"/>
    <w:rsid w:val="005A2AAC"/>
    <w:rsid w:val="005A3C50"/>
    <w:rsid w:val="005A61AB"/>
    <w:rsid w:val="005B0E04"/>
    <w:rsid w:val="005B2781"/>
    <w:rsid w:val="005B6872"/>
    <w:rsid w:val="005B6B09"/>
    <w:rsid w:val="005B75E6"/>
    <w:rsid w:val="005C4DE0"/>
    <w:rsid w:val="005C5B41"/>
    <w:rsid w:val="005C61D6"/>
    <w:rsid w:val="005D315F"/>
    <w:rsid w:val="005E2D06"/>
    <w:rsid w:val="005E4CC6"/>
    <w:rsid w:val="005E5D9F"/>
    <w:rsid w:val="005E6921"/>
    <w:rsid w:val="005F082A"/>
    <w:rsid w:val="005F1B29"/>
    <w:rsid w:val="005F3BCE"/>
    <w:rsid w:val="005F5087"/>
    <w:rsid w:val="005F69A9"/>
    <w:rsid w:val="00600502"/>
    <w:rsid w:val="0060605E"/>
    <w:rsid w:val="00606AB0"/>
    <w:rsid w:val="00607FAE"/>
    <w:rsid w:val="006139EC"/>
    <w:rsid w:val="00613CC2"/>
    <w:rsid w:val="00615CB4"/>
    <w:rsid w:val="006177AE"/>
    <w:rsid w:val="00620C18"/>
    <w:rsid w:val="00621065"/>
    <w:rsid w:val="00621A4A"/>
    <w:rsid w:val="00624E22"/>
    <w:rsid w:val="006339F5"/>
    <w:rsid w:val="0063551B"/>
    <w:rsid w:val="00635F82"/>
    <w:rsid w:val="00636B6E"/>
    <w:rsid w:val="0063763A"/>
    <w:rsid w:val="00640620"/>
    <w:rsid w:val="00641D3B"/>
    <w:rsid w:val="00646942"/>
    <w:rsid w:val="00647786"/>
    <w:rsid w:val="006519AF"/>
    <w:rsid w:val="00652A9D"/>
    <w:rsid w:val="006549A6"/>
    <w:rsid w:val="0066058B"/>
    <w:rsid w:val="006618F7"/>
    <w:rsid w:val="00662222"/>
    <w:rsid w:val="00663755"/>
    <w:rsid w:val="006674D7"/>
    <w:rsid w:val="00674A82"/>
    <w:rsid w:val="00674D0B"/>
    <w:rsid w:val="006754B7"/>
    <w:rsid w:val="00675B7D"/>
    <w:rsid w:val="00676C69"/>
    <w:rsid w:val="00680F03"/>
    <w:rsid w:val="0068122B"/>
    <w:rsid w:val="006826BB"/>
    <w:rsid w:val="006829E5"/>
    <w:rsid w:val="006830C9"/>
    <w:rsid w:val="0068364A"/>
    <w:rsid w:val="0068525B"/>
    <w:rsid w:val="00685D4F"/>
    <w:rsid w:val="00685DD6"/>
    <w:rsid w:val="00691D49"/>
    <w:rsid w:val="006922C8"/>
    <w:rsid w:val="00692D3B"/>
    <w:rsid w:val="00693229"/>
    <w:rsid w:val="006951FD"/>
    <w:rsid w:val="00695BB1"/>
    <w:rsid w:val="006964AF"/>
    <w:rsid w:val="006A17BE"/>
    <w:rsid w:val="006A3E64"/>
    <w:rsid w:val="006A56E4"/>
    <w:rsid w:val="006B029D"/>
    <w:rsid w:val="006B2D41"/>
    <w:rsid w:val="006B6D8D"/>
    <w:rsid w:val="006C1643"/>
    <w:rsid w:val="006C287C"/>
    <w:rsid w:val="006C3C15"/>
    <w:rsid w:val="006C7D4F"/>
    <w:rsid w:val="006D6A44"/>
    <w:rsid w:val="006D7A33"/>
    <w:rsid w:val="006E280A"/>
    <w:rsid w:val="006E6792"/>
    <w:rsid w:val="006E75E2"/>
    <w:rsid w:val="006F01B5"/>
    <w:rsid w:val="006F4AD5"/>
    <w:rsid w:val="006F5527"/>
    <w:rsid w:val="006F6211"/>
    <w:rsid w:val="00701034"/>
    <w:rsid w:val="007046F7"/>
    <w:rsid w:val="00707559"/>
    <w:rsid w:val="007076DF"/>
    <w:rsid w:val="00710701"/>
    <w:rsid w:val="007144F6"/>
    <w:rsid w:val="00716311"/>
    <w:rsid w:val="00723A6D"/>
    <w:rsid w:val="007269AB"/>
    <w:rsid w:val="00732F74"/>
    <w:rsid w:val="007332F9"/>
    <w:rsid w:val="00734ED0"/>
    <w:rsid w:val="00736085"/>
    <w:rsid w:val="00741394"/>
    <w:rsid w:val="007418D9"/>
    <w:rsid w:val="00742173"/>
    <w:rsid w:val="00742415"/>
    <w:rsid w:val="00743C00"/>
    <w:rsid w:val="00743CDA"/>
    <w:rsid w:val="007441D4"/>
    <w:rsid w:val="00744252"/>
    <w:rsid w:val="00746FD8"/>
    <w:rsid w:val="00750FE0"/>
    <w:rsid w:val="007548E4"/>
    <w:rsid w:val="0075548A"/>
    <w:rsid w:val="00757335"/>
    <w:rsid w:val="00760360"/>
    <w:rsid w:val="007613E1"/>
    <w:rsid w:val="00761522"/>
    <w:rsid w:val="00762E9C"/>
    <w:rsid w:val="00764F3A"/>
    <w:rsid w:val="00770689"/>
    <w:rsid w:val="00772951"/>
    <w:rsid w:val="007752C1"/>
    <w:rsid w:val="0077623A"/>
    <w:rsid w:val="007771AD"/>
    <w:rsid w:val="007818E5"/>
    <w:rsid w:val="00784103"/>
    <w:rsid w:val="00784C0B"/>
    <w:rsid w:val="007964A2"/>
    <w:rsid w:val="007970F7"/>
    <w:rsid w:val="007A0496"/>
    <w:rsid w:val="007A2D2F"/>
    <w:rsid w:val="007A6F27"/>
    <w:rsid w:val="007A7979"/>
    <w:rsid w:val="007A7D3B"/>
    <w:rsid w:val="007B0321"/>
    <w:rsid w:val="007B1D69"/>
    <w:rsid w:val="007C165F"/>
    <w:rsid w:val="007C1DCB"/>
    <w:rsid w:val="007C29FD"/>
    <w:rsid w:val="007D2377"/>
    <w:rsid w:val="007D3342"/>
    <w:rsid w:val="007D733B"/>
    <w:rsid w:val="007E22C2"/>
    <w:rsid w:val="007E4D02"/>
    <w:rsid w:val="007E4D0D"/>
    <w:rsid w:val="007E5495"/>
    <w:rsid w:val="007F1C4A"/>
    <w:rsid w:val="007F3673"/>
    <w:rsid w:val="007F3B3E"/>
    <w:rsid w:val="007F507E"/>
    <w:rsid w:val="007F63B6"/>
    <w:rsid w:val="007F79B4"/>
    <w:rsid w:val="00800885"/>
    <w:rsid w:val="00800E2F"/>
    <w:rsid w:val="0080162F"/>
    <w:rsid w:val="0080204A"/>
    <w:rsid w:val="008022A8"/>
    <w:rsid w:val="0080286D"/>
    <w:rsid w:val="00811627"/>
    <w:rsid w:val="008117B6"/>
    <w:rsid w:val="00813F99"/>
    <w:rsid w:val="00817E9E"/>
    <w:rsid w:val="00824824"/>
    <w:rsid w:val="0082792B"/>
    <w:rsid w:val="008303A2"/>
    <w:rsid w:val="00831997"/>
    <w:rsid w:val="00831E3F"/>
    <w:rsid w:val="00831F99"/>
    <w:rsid w:val="00833913"/>
    <w:rsid w:val="00835A94"/>
    <w:rsid w:val="00836835"/>
    <w:rsid w:val="00836FB4"/>
    <w:rsid w:val="00837B67"/>
    <w:rsid w:val="00837BEB"/>
    <w:rsid w:val="0084055A"/>
    <w:rsid w:val="00851C18"/>
    <w:rsid w:val="00852D9B"/>
    <w:rsid w:val="00856B05"/>
    <w:rsid w:val="00863EF0"/>
    <w:rsid w:val="00864F1C"/>
    <w:rsid w:val="00872803"/>
    <w:rsid w:val="00872BA2"/>
    <w:rsid w:val="00877E32"/>
    <w:rsid w:val="0088063C"/>
    <w:rsid w:val="00881039"/>
    <w:rsid w:val="00883AAA"/>
    <w:rsid w:val="00890980"/>
    <w:rsid w:val="00892EBC"/>
    <w:rsid w:val="00895418"/>
    <w:rsid w:val="008957D9"/>
    <w:rsid w:val="0089788C"/>
    <w:rsid w:val="00897AF8"/>
    <w:rsid w:val="008A5FCC"/>
    <w:rsid w:val="008B4846"/>
    <w:rsid w:val="008B5689"/>
    <w:rsid w:val="008B5DBC"/>
    <w:rsid w:val="008B749E"/>
    <w:rsid w:val="008C09B5"/>
    <w:rsid w:val="008C1F20"/>
    <w:rsid w:val="008C2D17"/>
    <w:rsid w:val="008C3E75"/>
    <w:rsid w:val="008C5F38"/>
    <w:rsid w:val="008C6FC8"/>
    <w:rsid w:val="008C7870"/>
    <w:rsid w:val="008D4971"/>
    <w:rsid w:val="008D77FD"/>
    <w:rsid w:val="008E1E77"/>
    <w:rsid w:val="008E6A92"/>
    <w:rsid w:val="008F1D37"/>
    <w:rsid w:val="008F4BDD"/>
    <w:rsid w:val="008F7897"/>
    <w:rsid w:val="00900302"/>
    <w:rsid w:val="0090296E"/>
    <w:rsid w:val="0090379A"/>
    <w:rsid w:val="0091354B"/>
    <w:rsid w:val="00913E49"/>
    <w:rsid w:val="009147FF"/>
    <w:rsid w:val="00916358"/>
    <w:rsid w:val="009204BB"/>
    <w:rsid w:val="009225DE"/>
    <w:rsid w:val="00922AFC"/>
    <w:rsid w:val="009237A5"/>
    <w:rsid w:val="009301DE"/>
    <w:rsid w:val="00934718"/>
    <w:rsid w:val="009370E2"/>
    <w:rsid w:val="009379AA"/>
    <w:rsid w:val="00940535"/>
    <w:rsid w:val="0094395B"/>
    <w:rsid w:val="00945F19"/>
    <w:rsid w:val="00950233"/>
    <w:rsid w:val="00950841"/>
    <w:rsid w:val="00954414"/>
    <w:rsid w:val="00957BCF"/>
    <w:rsid w:val="009625F6"/>
    <w:rsid w:val="009658D6"/>
    <w:rsid w:val="00975F96"/>
    <w:rsid w:val="0098324A"/>
    <w:rsid w:val="00985FFB"/>
    <w:rsid w:val="00987CAC"/>
    <w:rsid w:val="00990CFC"/>
    <w:rsid w:val="00993516"/>
    <w:rsid w:val="00995DD7"/>
    <w:rsid w:val="00995E0E"/>
    <w:rsid w:val="00996052"/>
    <w:rsid w:val="009960C9"/>
    <w:rsid w:val="00996C55"/>
    <w:rsid w:val="00997DA9"/>
    <w:rsid w:val="009A2905"/>
    <w:rsid w:val="009A38CE"/>
    <w:rsid w:val="009A5B58"/>
    <w:rsid w:val="009A6EB1"/>
    <w:rsid w:val="009A72B6"/>
    <w:rsid w:val="009B3E5B"/>
    <w:rsid w:val="009B4294"/>
    <w:rsid w:val="009B430C"/>
    <w:rsid w:val="009B5295"/>
    <w:rsid w:val="009B60BD"/>
    <w:rsid w:val="009B70F4"/>
    <w:rsid w:val="009B7374"/>
    <w:rsid w:val="009C0727"/>
    <w:rsid w:val="009C1EF7"/>
    <w:rsid w:val="009C2556"/>
    <w:rsid w:val="009C6C52"/>
    <w:rsid w:val="009D162F"/>
    <w:rsid w:val="009D1776"/>
    <w:rsid w:val="009D5976"/>
    <w:rsid w:val="009D79AE"/>
    <w:rsid w:val="009E040A"/>
    <w:rsid w:val="009E2345"/>
    <w:rsid w:val="009E40AA"/>
    <w:rsid w:val="009E4E40"/>
    <w:rsid w:val="009E710F"/>
    <w:rsid w:val="009F206C"/>
    <w:rsid w:val="00A0253A"/>
    <w:rsid w:val="00A02A94"/>
    <w:rsid w:val="00A03293"/>
    <w:rsid w:val="00A03ADC"/>
    <w:rsid w:val="00A10193"/>
    <w:rsid w:val="00A10AC7"/>
    <w:rsid w:val="00A10DF8"/>
    <w:rsid w:val="00A14055"/>
    <w:rsid w:val="00A14E15"/>
    <w:rsid w:val="00A24540"/>
    <w:rsid w:val="00A27388"/>
    <w:rsid w:val="00A300BF"/>
    <w:rsid w:val="00A3255E"/>
    <w:rsid w:val="00A3267D"/>
    <w:rsid w:val="00A331C8"/>
    <w:rsid w:val="00A43E28"/>
    <w:rsid w:val="00A46428"/>
    <w:rsid w:val="00A46BDC"/>
    <w:rsid w:val="00A5105C"/>
    <w:rsid w:val="00A52415"/>
    <w:rsid w:val="00A57B01"/>
    <w:rsid w:val="00A60B2E"/>
    <w:rsid w:val="00A62E69"/>
    <w:rsid w:val="00A67499"/>
    <w:rsid w:val="00A76173"/>
    <w:rsid w:val="00A762E1"/>
    <w:rsid w:val="00A77AE4"/>
    <w:rsid w:val="00A806F4"/>
    <w:rsid w:val="00A81FA6"/>
    <w:rsid w:val="00A84E31"/>
    <w:rsid w:val="00A8697D"/>
    <w:rsid w:val="00A873DD"/>
    <w:rsid w:val="00A9059D"/>
    <w:rsid w:val="00AA0175"/>
    <w:rsid w:val="00AA0A83"/>
    <w:rsid w:val="00AA25E4"/>
    <w:rsid w:val="00AA3112"/>
    <w:rsid w:val="00AA6162"/>
    <w:rsid w:val="00AA733A"/>
    <w:rsid w:val="00AA78DC"/>
    <w:rsid w:val="00AA7F1A"/>
    <w:rsid w:val="00AB25F9"/>
    <w:rsid w:val="00AB2F51"/>
    <w:rsid w:val="00AB2FDC"/>
    <w:rsid w:val="00AB6229"/>
    <w:rsid w:val="00AC1689"/>
    <w:rsid w:val="00AC1FDD"/>
    <w:rsid w:val="00AC4D72"/>
    <w:rsid w:val="00AC4F4B"/>
    <w:rsid w:val="00AC71A6"/>
    <w:rsid w:val="00AD15B2"/>
    <w:rsid w:val="00AD24FE"/>
    <w:rsid w:val="00AD362B"/>
    <w:rsid w:val="00AD4B24"/>
    <w:rsid w:val="00AD6D51"/>
    <w:rsid w:val="00AE1B54"/>
    <w:rsid w:val="00AE2FF1"/>
    <w:rsid w:val="00AE36A3"/>
    <w:rsid w:val="00AE515D"/>
    <w:rsid w:val="00AE64C1"/>
    <w:rsid w:val="00AF3041"/>
    <w:rsid w:val="00AF48CD"/>
    <w:rsid w:val="00AF5E69"/>
    <w:rsid w:val="00AF5FAD"/>
    <w:rsid w:val="00AF6022"/>
    <w:rsid w:val="00AF7EC8"/>
    <w:rsid w:val="00B015A7"/>
    <w:rsid w:val="00B01F89"/>
    <w:rsid w:val="00B053D9"/>
    <w:rsid w:val="00B06556"/>
    <w:rsid w:val="00B11F31"/>
    <w:rsid w:val="00B12AB1"/>
    <w:rsid w:val="00B12C14"/>
    <w:rsid w:val="00B14090"/>
    <w:rsid w:val="00B16F92"/>
    <w:rsid w:val="00B21E7A"/>
    <w:rsid w:val="00B21EA3"/>
    <w:rsid w:val="00B2296E"/>
    <w:rsid w:val="00B328E5"/>
    <w:rsid w:val="00B3388D"/>
    <w:rsid w:val="00B345D9"/>
    <w:rsid w:val="00B34DF8"/>
    <w:rsid w:val="00B37B14"/>
    <w:rsid w:val="00B43D0A"/>
    <w:rsid w:val="00B44303"/>
    <w:rsid w:val="00B47D07"/>
    <w:rsid w:val="00B5144B"/>
    <w:rsid w:val="00B5170B"/>
    <w:rsid w:val="00B53992"/>
    <w:rsid w:val="00B53D6E"/>
    <w:rsid w:val="00B679D3"/>
    <w:rsid w:val="00B67FEA"/>
    <w:rsid w:val="00B708AD"/>
    <w:rsid w:val="00B710D2"/>
    <w:rsid w:val="00B7113C"/>
    <w:rsid w:val="00B712CC"/>
    <w:rsid w:val="00B723DF"/>
    <w:rsid w:val="00B731DE"/>
    <w:rsid w:val="00B734C3"/>
    <w:rsid w:val="00B74252"/>
    <w:rsid w:val="00B7678B"/>
    <w:rsid w:val="00B77533"/>
    <w:rsid w:val="00B77B05"/>
    <w:rsid w:val="00B85149"/>
    <w:rsid w:val="00B85A12"/>
    <w:rsid w:val="00B86498"/>
    <w:rsid w:val="00B9063F"/>
    <w:rsid w:val="00B945D4"/>
    <w:rsid w:val="00B94BAD"/>
    <w:rsid w:val="00BA5870"/>
    <w:rsid w:val="00BA679F"/>
    <w:rsid w:val="00BB0399"/>
    <w:rsid w:val="00BB0CBB"/>
    <w:rsid w:val="00BB0EFB"/>
    <w:rsid w:val="00BB3223"/>
    <w:rsid w:val="00BB4344"/>
    <w:rsid w:val="00BB5D61"/>
    <w:rsid w:val="00BC2B27"/>
    <w:rsid w:val="00BC3B27"/>
    <w:rsid w:val="00BC4C9B"/>
    <w:rsid w:val="00BC609B"/>
    <w:rsid w:val="00BC7BEA"/>
    <w:rsid w:val="00BD209D"/>
    <w:rsid w:val="00BD6641"/>
    <w:rsid w:val="00BE467F"/>
    <w:rsid w:val="00BE4DAD"/>
    <w:rsid w:val="00BE5E4B"/>
    <w:rsid w:val="00BE6C2B"/>
    <w:rsid w:val="00BE716C"/>
    <w:rsid w:val="00BE7990"/>
    <w:rsid w:val="00BF1AB9"/>
    <w:rsid w:val="00BF29E1"/>
    <w:rsid w:val="00BF2F12"/>
    <w:rsid w:val="00BF30AB"/>
    <w:rsid w:val="00BF3A82"/>
    <w:rsid w:val="00BF4C9A"/>
    <w:rsid w:val="00BF58CF"/>
    <w:rsid w:val="00C0339F"/>
    <w:rsid w:val="00C0411C"/>
    <w:rsid w:val="00C057FE"/>
    <w:rsid w:val="00C07331"/>
    <w:rsid w:val="00C105FB"/>
    <w:rsid w:val="00C10955"/>
    <w:rsid w:val="00C11B85"/>
    <w:rsid w:val="00C13C70"/>
    <w:rsid w:val="00C22BC5"/>
    <w:rsid w:val="00C23063"/>
    <w:rsid w:val="00C24103"/>
    <w:rsid w:val="00C31877"/>
    <w:rsid w:val="00C31885"/>
    <w:rsid w:val="00C347A8"/>
    <w:rsid w:val="00C4222C"/>
    <w:rsid w:val="00C42BB6"/>
    <w:rsid w:val="00C43515"/>
    <w:rsid w:val="00C46BC0"/>
    <w:rsid w:val="00C53B91"/>
    <w:rsid w:val="00C53EBB"/>
    <w:rsid w:val="00C5610C"/>
    <w:rsid w:val="00C60694"/>
    <w:rsid w:val="00C620D3"/>
    <w:rsid w:val="00C62687"/>
    <w:rsid w:val="00C64195"/>
    <w:rsid w:val="00C64773"/>
    <w:rsid w:val="00C73A21"/>
    <w:rsid w:val="00C76728"/>
    <w:rsid w:val="00C76F72"/>
    <w:rsid w:val="00C80771"/>
    <w:rsid w:val="00C836EC"/>
    <w:rsid w:val="00C84368"/>
    <w:rsid w:val="00C844F7"/>
    <w:rsid w:val="00C84D0E"/>
    <w:rsid w:val="00C859C7"/>
    <w:rsid w:val="00C8680A"/>
    <w:rsid w:val="00C87B56"/>
    <w:rsid w:val="00C87D7F"/>
    <w:rsid w:val="00C91002"/>
    <w:rsid w:val="00C93462"/>
    <w:rsid w:val="00C97041"/>
    <w:rsid w:val="00C97042"/>
    <w:rsid w:val="00C979F3"/>
    <w:rsid w:val="00CA0EED"/>
    <w:rsid w:val="00CA2794"/>
    <w:rsid w:val="00CB3215"/>
    <w:rsid w:val="00CB630A"/>
    <w:rsid w:val="00CB65EF"/>
    <w:rsid w:val="00CB6DBB"/>
    <w:rsid w:val="00CB72F5"/>
    <w:rsid w:val="00CC03E3"/>
    <w:rsid w:val="00CC0D0A"/>
    <w:rsid w:val="00CC1B7D"/>
    <w:rsid w:val="00CC3D8E"/>
    <w:rsid w:val="00CC41DA"/>
    <w:rsid w:val="00CC5AB4"/>
    <w:rsid w:val="00CC6C4E"/>
    <w:rsid w:val="00CC6EA3"/>
    <w:rsid w:val="00CE313B"/>
    <w:rsid w:val="00CE475C"/>
    <w:rsid w:val="00CE7E3D"/>
    <w:rsid w:val="00CF0ECB"/>
    <w:rsid w:val="00CF1D5A"/>
    <w:rsid w:val="00CF3C7B"/>
    <w:rsid w:val="00D02A61"/>
    <w:rsid w:val="00D02D91"/>
    <w:rsid w:val="00D038F3"/>
    <w:rsid w:val="00D06225"/>
    <w:rsid w:val="00D075C8"/>
    <w:rsid w:val="00D126B7"/>
    <w:rsid w:val="00D13636"/>
    <w:rsid w:val="00D14F5B"/>
    <w:rsid w:val="00D17713"/>
    <w:rsid w:val="00D17CB6"/>
    <w:rsid w:val="00D20FFB"/>
    <w:rsid w:val="00D2478F"/>
    <w:rsid w:val="00D260F8"/>
    <w:rsid w:val="00D26D78"/>
    <w:rsid w:val="00D3214A"/>
    <w:rsid w:val="00D32E6E"/>
    <w:rsid w:val="00D350D0"/>
    <w:rsid w:val="00D41699"/>
    <w:rsid w:val="00D445FA"/>
    <w:rsid w:val="00D4503A"/>
    <w:rsid w:val="00D4520B"/>
    <w:rsid w:val="00D4777B"/>
    <w:rsid w:val="00D54752"/>
    <w:rsid w:val="00D56B8F"/>
    <w:rsid w:val="00D5791A"/>
    <w:rsid w:val="00D60DC5"/>
    <w:rsid w:val="00D61780"/>
    <w:rsid w:val="00D623EB"/>
    <w:rsid w:val="00D637FE"/>
    <w:rsid w:val="00D63F04"/>
    <w:rsid w:val="00D66D1C"/>
    <w:rsid w:val="00D72133"/>
    <w:rsid w:val="00D75FCF"/>
    <w:rsid w:val="00D76B66"/>
    <w:rsid w:val="00D773D0"/>
    <w:rsid w:val="00D77DC0"/>
    <w:rsid w:val="00D80073"/>
    <w:rsid w:val="00D80EB6"/>
    <w:rsid w:val="00D81A8E"/>
    <w:rsid w:val="00D82516"/>
    <w:rsid w:val="00D8329D"/>
    <w:rsid w:val="00D84A3A"/>
    <w:rsid w:val="00D863CC"/>
    <w:rsid w:val="00D90D24"/>
    <w:rsid w:val="00D90EBF"/>
    <w:rsid w:val="00D9611D"/>
    <w:rsid w:val="00D97463"/>
    <w:rsid w:val="00D9773D"/>
    <w:rsid w:val="00D97C6C"/>
    <w:rsid w:val="00DA4B88"/>
    <w:rsid w:val="00DA7EEA"/>
    <w:rsid w:val="00DB3AAA"/>
    <w:rsid w:val="00DC2D48"/>
    <w:rsid w:val="00DC3253"/>
    <w:rsid w:val="00DC5FA6"/>
    <w:rsid w:val="00DC6760"/>
    <w:rsid w:val="00DD30F7"/>
    <w:rsid w:val="00DD60C4"/>
    <w:rsid w:val="00DD736C"/>
    <w:rsid w:val="00DE5657"/>
    <w:rsid w:val="00DF0316"/>
    <w:rsid w:val="00DF0E5F"/>
    <w:rsid w:val="00DF11D0"/>
    <w:rsid w:val="00DF519C"/>
    <w:rsid w:val="00DF57DB"/>
    <w:rsid w:val="00E00339"/>
    <w:rsid w:val="00E014FE"/>
    <w:rsid w:val="00E025F4"/>
    <w:rsid w:val="00E04238"/>
    <w:rsid w:val="00E076E5"/>
    <w:rsid w:val="00E10F45"/>
    <w:rsid w:val="00E12E0B"/>
    <w:rsid w:val="00E1539A"/>
    <w:rsid w:val="00E16ECF"/>
    <w:rsid w:val="00E206EA"/>
    <w:rsid w:val="00E230B4"/>
    <w:rsid w:val="00E24CCA"/>
    <w:rsid w:val="00E2702D"/>
    <w:rsid w:val="00E30182"/>
    <w:rsid w:val="00E3229A"/>
    <w:rsid w:val="00E33AF6"/>
    <w:rsid w:val="00E36364"/>
    <w:rsid w:val="00E36A70"/>
    <w:rsid w:val="00E41451"/>
    <w:rsid w:val="00E415B8"/>
    <w:rsid w:val="00E42787"/>
    <w:rsid w:val="00E427EE"/>
    <w:rsid w:val="00E45817"/>
    <w:rsid w:val="00E45BFB"/>
    <w:rsid w:val="00E46F93"/>
    <w:rsid w:val="00E6068D"/>
    <w:rsid w:val="00E61C32"/>
    <w:rsid w:val="00E704F7"/>
    <w:rsid w:val="00E70C45"/>
    <w:rsid w:val="00E73382"/>
    <w:rsid w:val="00E75ABE"/>
    <w:rsid w:val="00E7646B"/>
    <w:rsid w:val="00E76542"/>
    <w:rsid w:val="00E80A93"/>
    <w:rsid w:val="00E81560"/>
    <w:rsid w:val="00E83789"/>
    <w:rsid w:val="00E83838"/>
    <w:rsid w:val="00E850BA"/>
    <w:rsid w:val="00E8562C"/>
    <w:rsid w:val="00E86556"/>
    <w:rsid w:val="00E876CB"/>
    <w:rsid w:val="00E900A3"/>
    <w:rsid w:val="00E91310"/>
    <w:rsid w:val="00E9144E"/>
    <w:rsid w:val="00E92FA6"/>
    <w:rsid w:val="00E9477E"/>
    <w:rsid w:val="00E9694D"/>
    <w:rsid w:val="00EA1AF6"/>
    <w:rsid w:val="00EA2EEB"/>
    <w:rsid w:val="00EA5D5D"/>
    <w:rsid w:val="00EA692F"/>
    <w:rsid w:val="00EB37A8"/>
    <w:rsid w:val="00EB40B0"/>
    <w:rsid w:val="00EB4443"/>
    <w:rsid w:val="00EB74BC"/>
    <w:rsid w:val="00EC16F8"/>
    <w:rsid w:val="00EC336E"/>
    <w:rsid w:val="00ED2C08"/>
    <w:rsid w:val="00ED3A64"/>
    <w:rsid w:val="00ED560D"/>
    <w:rsid w:val="00ED605B"/>
    <w:rsid w:val="00ED6B98"/>
    <w:rsid w:val="00ED6C94"/>
    <w:rsid w:val="00EE1040"/>
    <w:rsid w:val="00EE5B40"/>
    <w:rsid w:val="00EE7685"/>
    <w:rsid w:val="00EF0EA0"/>
    <w:rsid w:val="00EF1E81"/>
    <w:rsid w:val="00EF35D0"/>
    <w:rsid w:val="00EF4C89"/>
    <w:rsid w:val="00EF5F9F"/>
    <w:rsid w:val="00EF64BD"/>
    <w:rsid w:val="00F0242A"/>
    <w:rsid w:val="00F05050"/>
    <w:rsid w:val="00F053EF"/>
    <w:rsid w:val="00F12FA6"/>
    <w:rsid w:val="00F141DF"/>
    <w:rsid w:val="00F15307"/>
    <w:rsid w:val="00F16041"/>
    <w:rsid w:val="00F17A7A"/>
    <w:rsid w:val="00F25611"/>
    <w:rsid w:val="00F30A87"/>
    <w:rsid w:val="00F31DA3"/>
    <w:rsid w:val="00F3371D"/>
    <w:rsid w:val="00F35CBE"/>
    <w:rsid w:val="00F406A9"/>
    <w:rsid w:val="00F40BF4"/>
    <w:rsid w:val="00F41942"/>
    <w:rsid w:val="00F43B0B"/>
    <w:rsid w:val="00F43BA6"/>
    <w:rsid w:val="00F5227C"/>
    <w:rsid w:val="00F54C78"/>
    <w:rsid w:val="00F55D28"/>
    <w:rsid w:val="00F57850"/>
    <w:rsid w:val="00F626E0"/>
    <w:rsid w:val="00F646A4"/>
    <w:rsid w:val="00F65C61"/>
    <w:rsid w:val="00F6667B"/>
    <w:rsid w:val="00F7027C"/>
    <w:rsid w:val="00F70333"/>
    <w:rsid w:val="00F73106"/>
    <w:rsid w:val="00F7494E"/>
    <w:rsid w:val="00F74B06"/>
    <w:rsid w:val="00F80AFA"/>
    <w:rsid w:val="00F8155F"/>
    <w:rsid w:val="00F82D92"/>
    <w:rsid w:val="00F860A4"/>
    <w:rsid w:val="00F86357"/>
    <w:rsid w:val="00F93C02"/>
    <w:rsid w:val="00F95C7C"/>
    <w:rsid w:val="00FA106A"/>
    <w:rsid w:val="00FA13BE"/>
    <w:rsid w:val="00FA1B4B"/>
    <w:rsid w:val="00FA384A"/>
    <w:rsid w:val="00FA4229"/>
    <w:rsid w:val="00FA65D1"/>
    <w:rsid w:val="00FA6CA0"/>
    <w:rsid w:val="00FA701F"/>
    <w:rsid w:val="00FB01B3"/>
    <w:rsid w:val="00FB5013"/>
    <w:rsid w:val="00FB507A"/>
    <w:rsid w:val="00FB6A28"/>
    <w:rsid w:val="00FC662C"/>
    <w:rsid w:val="00FD2F99"/>
    <w:rsid w:val="00FD3B61"/>
    <w:rsid w:val="00FD5E0B"/>
    <w:rsid w:val="00FE4B51"/>
    <w:rsid w:val="00FE752E"/>
    <w:rsid w:val="00FE7DFE"/>
    <w:rsid w:val="00FF06F1"/>
    <w:rsid w:val="00FF2C7A"/>
    <w:rsid w:val="00FF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D18ACD"/>
  <w15:docId w15:val="{46804143-F042-4640-B650-B2CC126C8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65F"/>
  </w:style>
  <w:style w:type="paragraph" w:styleId="Heading1">
    <w:name w:val="heading 1"/>
    <w:basedOn w:val="Normal"/>
    <w:next w:val="Normal"/>
    <w:link w:val="Heading1Char"/>
    <w:uiPriority w:val="9"/>
    <w:qFormat/>
    <w:rsid w:val="007C16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16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16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36A70"/>
    <w:pPr>
      <w:keepNext/>
      <w:keepLines/>
      <w:spacing w:before="200" w:after="0"/>
      <w:outlineLvl w:val="3"/>
    </w:pPr>
    <w:rPr>
      <w:rFonts w:eastAsiaTheme="majorEastAsia" w:cstheme="majorBidi"/>
      <w:bCs/>
      <w:i/>
      <w:iCs/>
      <w:color w:val="4F81BD" w:themeColor="accent1"/>
      <w:sz w:val="24"/>
    </w:rPr>
  </w:style>
  <w:style w:type="paragraph" w:styleId="Heading5">
    <w:name w:val="heading 5"/>
    <w:basedOn w:val="Normal"/>
    <w:next w:val="Normal"/>
    <w:link w:val="Heading5Char"/>
    <w:uiPriority w:val="9"/>
    <w:unhideWhenUsed/>
    <w:qFormat/>
    <w:rsid w:val="007C16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C16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C16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C16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C16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rsid w:val="00E91310"/>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rsid w:val="00E91310"/>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rsid w:val="00E9131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rsid w:val="00E9131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rsid w:val="00E9131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rsid w:val="00E9131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rsid w:val="00E9131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rsid w:val="00E9131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Triangles">
    <w:name w:val="1Triangles"/>
    <w:rsid w:val="00E91310"/>
    <w:pPr>
      <w:widowControl w:val="0"/>
      <w:tabs>
        <w:tab w:val="left" w:pos="720"/>
      </w:tabs>
      <w:autoSpaceDE w:val="0"/>
      <w:autoSpaceDN w:val="0"/>
      <w:adjustRightInd w:val="0"/>
      <w:ind w:left="720" w:hanging="720"/>
      <w:jc w:val="both"/>
    </w:pPr>
    <w:rPr>
      <w:sz w:val="24"/>
      <w:szCs w:val="24"/>
    </w:rPr>
  </w:style>
  <w:style w:type="paragraph" w:customStyle="1" w:styleId="2Triangles">
    <w:name w:val="2Triangles"/>
    <w:rsid w:val="00E91310"/>
    <w:pPr>
      <w:widowControl w:val="0"/>
      <w:tabs>
        <w:tab w:val="left" w:pos="720"/>
        <w:tab w:val="left" w:pos="1440"/>
      </w:tabs>
      <w:autoSpaceDE w:val="0"/>
      <w:autoSpaceDN w:val="0"/>
      <w:adjustRightInd w:val="0"/>
      <w:ind w:left="1440" w:hanging="720"/>
      <w:jc w:val="both"/>
    </w:pPr>
    <w:rPr>
      <w:sz w:val="24"/>
      <w:szCs w:val="24"/>
    </w:rPr>
  </w:style>
  <w:style w:type="paragraph" w:customStyle="1" w:styleId="3Triangles">
    <w:name w:val="3Triangles"/>
    <w:rsid w:val="00E9131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Triangles">
    <w:name w:val="4Triangles"/>
    <w:rsid w:val="00E9131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Triangles">
    <w:name w:val="5Triangles"/>
    <w:rsid w:val="00E9131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Triangles">
    <w:name w:val="6Triangles"/>
    <w:rsid w:val="00E9131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Triangles">
    <w:name w:val="7Triangles"/>
    <w:rsid w:val="00E9131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Triangles">
    <w:name w:val="8Triangles"/>
    <w:rsid w:val="00E9131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a">
    <w:name w:val="_"/>
    <w:rsid w:val="00E91310"/>
    <w:pPr>
      <w:widowControl w:val="0"/>
      <w:autoSpaceDE w:val="0"/>
      <w:autoSpaceDN w:val="0"/>
      <w:adjustRightInd w:val="0"/>
      <w:ind w:left="-1080"/>
    </w:pPr>
    <w:rPr>
      <w:sz w:val="24"/>
      <w:szCs w:val="24"/>
    </w:rPr>
  </w:style>
  <w:style w:type="character" w:customStyle="1" w:styleId="DefaultPara">
    <w:name w:val="Default Para"/>
    <w:rsid w:val="00E91310"/>
  </w:style>
  <w:style w:type="character" w:customStyle="1" w:styleId="SYSHYPERTEXT">
    <w:name w:val="SYS_HYPERTEXT"/>
    <w:rsid w:val="00E91310"/>
    <w:rPr>
      <w:color w:val="0000FF"/>
    </w:rPr>
  </w:style>
  <w:style w:type="paragraph" w:styleId="Header">
    <w:name w:val="header"/>
    <w:basedOn w:val="Normal"/>
    <w:rsid w:val="00E91310"/>
    <w:pPr>
      <w:tabs>
        <w:tab w:val="center" w:pos="4320"/>
        <w:tab w:val="right" w:pos="8640"/>
      </w:tabs>
    </w:pPr>
  </w:style>
  <w:style w:type="character" w:styleId="PageNumber">
    <w:name w:val="page number"/>
    <w:basedOn w:val="DefaultParagraphFont"/>
    <w:rsid w:val="00E91310"/>
  </w:style>
  <w:style w:type="paragraph" w:styleId="BodyText">
    <w:name w:val="Body Text"/>
    <w:basedOn w:val="Normal"/>
    <w:link w:val="BodyTextChar"/>
    <w:rsid w:val="00E91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FF00FF"/>
    </w:rPr>
  </w:style>
  <w:style w:type="paragraph" w:styleId="Caption">
    <w:name w:val="caption"/>
    <w:basedOn w:val="Normal"/>
    <w:next w:val="Normal"/>
    <w:uiPriority w:val="35"/>
    <w:unhideWhenUsed/>
    <w:qFormat/>
    <w:rsid w:val="007C165F"/>
    <w:pPr>
      <w:spacing w:line="240" w:lineRule="auto"/>
    </w:pPr>
    <w:rPr>
      <w:b/>
      <w:bCs/>
      <w:color w:val="4F81BD" w:themeColor="accent1"/>
      <w:sz w:val="18"/>
      <w:szCs w:val="18"/>
    </w:rPr>
  </w:style>
  <w:style w:type="paragraph" w:styleId="BodyText2">
    <w:name w:val="Body Text 2"/>
    <w:basedOn w:val="Normal"/>
    <w:rsid w:val="00E91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styleId="BodyText3">
    <w:name w:val="Body Text 3"/>
    <w:basedOn w:val="Normal"/>
    <w:rsid w:val="00E91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styleId="Hyperlink">
    <w:name w:val="Hyperlink"/>
    <w:rsid w:val="00E91310"/>
    <w:rPr>
      <w:color w:val="0000FF"/>
      <w:u w:val="single"/>
    </w:rPr>
  </w:style>
  <w:style w:type="character" w:styleId="FollowedHyperlink">
    <w:name w:val="FollowedHyperlink"/>
    <w:rsid w:val="00E91310"/>
    <w:rPr>
      <w:color w:val="800080"/>
      <w:u w:val="single"/>
    </w:rPr>
  </w:style>
  <w:style w:type="paragraph" w:styleId="Footer">
    <w:name w:val="footer"/>
    <w:basedOn w:val="Normal"/>
    <w:link w:val="FooterChar"/>
    <w:uiPriority w:val="99"/>
    <w:rsid w:val="00E91310"/>
    <w:pPr>
      <w:tabs>
        <w:tab w:val="center" w:pos="4320"/>
        <w:tab w:val="right" w:pos="8640"/>
      </w:tabs>
    </w:pPr>
  </w:style>
  <w:style w:type="paragraph" w:customStyle="1" w:styleId="Default">
    <w:name w:val="Default"/>
    <w:rsid w:val="00800885"/>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6059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4C89"/>
    <w:rPr>
      <w:rFonts w:ascii="Tahoma" w:hAnsi="Tahoma" w:cs="Tahoma"/>
      <w:sz w:val="16"/>
      <w:szCs w:val="16"/>
    </w:rPr>
  </w:style>
  <w:style w:type="paragraph" w:styleId="ListParagraph">
    <w:name w:val="List Paragraph"/>
    <w:basedOn w:val="Normal"/>
    <w:qFormat/>
    <w:rsid w:val="007C165F"/>
    <w:pPr>
      <w:ind w:left="720"/>
      <w:contextualSpacing/>
    </w:pPr>
  </w:style>
  <w:style w:type="paragraph" w:styleId="ListBullet">
    <w:name w:val="List Bullet"/>
    <w:basedOn w:val="Normal"/>
    <w:rsid w:val="00C4222C"/>
    <w:pPr>
      <w:numPr>
        <w:numId w:val="1"/>
      </w:numPr>
      <w:spacing w:after="120"/>
    </w:pPr>
  </w:style>
  <w:style w:type="character" w:customStyle="1" w:styleId="BodyTextChar">
    <w:name w:val="Body Text Char"/>
    <w:basedOn w:val="DefaultParagraphFont"/>
    <w:link w:val="BodyText"/>
    <w:rsid w:val="00CE313B"/>
    <w:rPr>
      <w:color w:val="FF00FF"/>
      <w:sz w:val="22"/>
      <w:szCs w:val="22"/>
    </w:rPr>
  </w:style>
  <w:style w:type="paragraph" w:customStyle="1" w:styleId="StyleListBulletAfter12pt">
    <w:name w:val="Style List Bullet + After:  12 pt"/>
    <w:basedOn w:val="ListBullet"/>
    <w:rsid w:val="00C4222C"/>
  </w:style>
  <w:style w:type="character" w:styleId="Strong">
    <w:name w:val="Strong"/>
    <w:basedOn w:val="DefaultParagraphFont"/>
    <w:uiPriority w:val="22"/>
    <w:qFormat/>
    <w:rsid w:val="007C165F"/>
    <w:rPr>
      <w:b/>
      <w:bCs/>
    </w:rPr>
  </w:style>
  <w:style w:type="character" w:styleId="Emphasis">
    <w:name w:val="Emphasis"/>
    <w:basedOn w:val="DefaultParagraphFont"/>
    <w:qFormat/>
    <w:rsid w:val="007C165F"/>
    <w:rPr>
      <w:i/>
      <w:iCs/>
    </w:rPr>
  </w:style>
  <w:style w:type="paragraph" w:styleId="Revision">
    <w:name w:val="Revision"/>
    <w:hidden/>
    <w:uiPriority w:val="99"/>
    <w:semiHidden/>
    <w:rsid w:val="00895418"/>
  </w:style>
  <w:style w:type="paragraph" w:styleId="NoSpacing">
    <w:name w:val="No Spacing"/>
    <w:uiPriority w:val="1"/>
    <w:qFormat/>
    <w:rsid w:val="007C165F"/>
    <w:pPr>
      <w:spacing w:after="0" w:line="240" w:lineRule="auto"/>
    </w:pPr>
  </w:style>
  <w:style w:type="character" w:customStyle="1" w:styleId="Heading1Char">
    <w:name w:val="Heading 1 Char"/>
    <w:basedOn w:val="DefaultParagraphFont"/>
    <w:link w:val="Heading1"/>
    <w:uiPriority w:val="9"/>
    <w:rsid w:val="007C16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16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C16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36A70"/>
    <w:rPr>
      <w:rFonts w:eastAsiaTheme="majorEastAsia" w:cstheme="majorBidi"/>
      <w:bCs/>
      <w:i/>
      <w:iCs/>
      <w:color w:val="4F81BD" w:themeColor="accent1"/>
      <w:sz w:val="24"/>
    </w:rPr>
  </w:style>
  <w:style w:type="character" w:customStyle="1" w:styleId="Heading5Char">
    <w:name w:val="Heading 5 Char"/>
    <w:basedOn w:val="DefaultParagraphFont"/>
    <w:link w:val="Heading5"/>
    <w:uiPriority w:val="9"/>
    <w:rsid w:val="007C16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C16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C16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C165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C165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7C16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165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C16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C165F"/>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7C165F"/>
    <w:rPr>
      <w:i/>
      <w:iCs/>
      <w:color w:val="000000" w:themeColor="text1"/>
    </w:rPr>
  </w:style>
  <w:style w:type="character" w:customStyle="1" w:styleId="QuoteChar">
    <w:name w:val="Quote Char"/>
    <w:basedOn w:val="DefaultParagraphFont"/>
    <w:link w:val="Quote"/>
    <w:uiPriority w:val="29"/>
    <w:rsid w:val="007C165F"/>
    <w:rPr>
      <w:i/>
      <w:iCs/>
      <w:color w:val="000000" w:themeColor="text1"/>
    </w:rPr>
  </w:style>
  <w:style w:type="paragraph" w:styleId="IntenseQuote">
    <w:name w:val="Intense Quote"/>
    <w:basedOn w:val="Normal"/>
    <w:next w:val="Normal"/>
    <w:link w:val="IntenseQuoteChar"/>
    <w:uiPriority w:val="30"/>
    <w:qFormat/>
    <w:rsid w:val="007C16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C165F"/>
    <w:rPr>
      <w:b/>
      <w:bCs/>
      <w:i/>
      <w:iCs/>
      <w:color w:val="4F81BD" w:themeColor="accent1"/>
    </w:rPr>
  </w:style>
  <w:style w:type="character" w:styleId="SubtleEmphasis">
    <w:name w:val="Subtle Emphasis"/>
    <w:basedOn w:val="DefaultParagraphFont"/>
    <w:uiPriority w:val="19"/>
    <w:qFormat/>
    <w:rsid w:val="007C165F"/>
    <w:rPr>
      <w:i/>
      <w:iCs/>
      <w:color w:val="808080" w:themeColor="text1" w:themeTint="7F"/>
    </w:rPr>
  </w:style>
  <w:style w:type="character" w:styleId="IntenseEmphasis">
    <w:name w:val="Intense Emphasis"/>
    <w:basedOn w:val="DefaultParagraphFont"/>
    <w:uiPriority w:val="21"/>
    <w:qFormat/>
    <w:rsid w:val="007C165F"/>
    <w:rPr>
      <w:b/>
      <w:bCs/>
      <w:i/>
      <w:iCs/>
      <w:color w:val="4F81BD" w:themeColor="accent1"/>
    </w:rPr>
  </w:style>
  <w:style w:type="character" w:styleId="SubtleReference">
    <w:name w:val="Subtle Reference"/>
    <w:basedOn w:val="DefaultParagraphFont"/>
    <w:uiPriority w:val="31"/>
    <w:qFormat/>
    <w:rsid w:val="007C165F"/>
    <w:rPr>
      <w:smallCaps/>
      <w:color w:val="C0504D" w:themeColor="accent2"/>
      <w:u w:val="single"/>
    </w:rPr>
  </w:style>
  <w:style w:type="character" w:styleId="IntenseReference">
    <w:name w:val="Intense Reference"/>
    <w:basedOn w:val="DefaultParagraphFont"/>
    <w:uiPriority w:val="32"/>
    <w:qFormat/>
    <w:rsid w:val="007C165F"/>
    <w:rPr>
      <w:b/>
      <w:bCs/>
      <w:smallCaps/>
      <w:color w:val="C0504D" w:themeColor="accent2"/>
      <w:spacing w:val="5"/>
      <w:u w:val="single"/>
    </w:rPr>
  </w:style>
  <w:style w:type="character" w:styleId="BookTitle">
    <w:name w:val="Book Title"/>
    <w:basedOn w:val="DefaultParagraphFont"/>
    <w:uiPriority w:val="33"/>
    <w:qFormat/>
    <w:rsid w:val="007C165F"/>
    <w:rPr>
      <w:b/>
      <w:bCs/>
      <w:smallCaps/>
      <w:spacing w:val="5"/>
    </w:rPr>
  </w:style>
  <w:style w:type="paragraph" w:styleId="TOCHeading">
    <w:name w:val="TOC Heading"/>
    <w:basedOn w:val="Heading1"/>
    <w:next w:val="Normal"/>
    <w:uiPriority w:val="39"/>
    <w:semiHidden/>
    <w:unhideWhenUsed/>
    <w:qFormat/>
    <w:rsid w:val="007C165F"/>
    <w:pPr>
      <w:outlineLvl w:val="9"/>
    </w:pPr>
  </w:style>
  <w:style w:type="character" w:customStyle="1" w:styleId="FooterChar">
    <w:name w:val="Footer Char"/>
    <w:basedOn w:val="DefaultParagraphFont"/>
    <w:link w:val="Footer"/>
    <w:uiPriority w:val="99"/>
    <w:rsid w:val="001B6B06"/>
  </w:style>
  <w:style w:type="character" w:styleId="CommentReference">
    <w:name w:val="annotation reference"/>
    <w:basedOn w:val="DefaultParagraphFont"/>
    <w:semiHidden/>
    <w:unhideWhenUsed/>
    <w:rsid w:val="00D63F04"/>
    <w:rPr>
      <w:sz w:val="16"/>
      <w:szCs w:val="16"/>
    </w:rPr>
  </w:style>
  <w:style w:type="paragraph" w:styleId="CommentText">
    <w:name w:val="annotation text"/>
    <w:basedOn w:val="Normal"/>
    <w:link w:val="CommentTextChar"/>
    <w:semiHidden/>
    <w:unhideWhenUsed/>
    <w:rsid w:val="00D63F04"/>
    <w:pPr>
      <w:spacing w:line="240" w:lineRule="auto"/>
    </w:pPr>
    <w:rPr>
      <w:sz w:val="20"/>
      <w:szCs w:val="20"/>
    </w:rPr>
  </w:style>
  <w:style w:type="character" w:customStyle="1" w:styleId="CommentTextChar">
    <w:name w:val="Comment Text Char"/>
    <w:basedOn w:val="DefaultParagraphFont"/>
    <w:link w:val="CommentText"/>
    <w:semiHidden/>
    <w:rsid w:val="00D63F04"/>
    <w:rPr>
      <w:sz w:val="20"/>
      <w:szCs w:val="20"/>
    </w:rPr>
  </w:style>
  <w:style w:type="paragraph" w:styleId="CommentSubject">
    <w:name w:val="annotation subject"/>
    <w:basedOn w:val="CommentText"/>
    <w:next w:val="CommentText"/>
    <w:link w:val="CommentSubjectChar"/>
    <w:semiHidden/>
    <w:unhideWhenUsed/>
    <w:rsid w:val="00D63F04"/>
    <w:rPr>
      <w:b/>
      <w:bCs/>
    </w:rPr>
  </w:style>
  <w:style w:type="character" w:customStyle="1" w:styleId="CommentSubjectChar">
    <w:name w:val="Comment Subject Char"/>
    <w:basedOn w:val="CommentTextChar"/>
    <w:link w:val="CommentSubject"/>
    <w:semiHidden/>
    <w:rsid w:val="00D63F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1572">
      <w:bodyDiv w:val="1"/>
      <w:marLeft w:val="60"/>
      <w:marRight w:val="60"/>
      <w:marTop w:val="60"/>
      <w:marBottom w:val="15"/>
      <w:divBdr>
        <w:top w:val="none" w:sz="0" w:space="0" w:color="auto"/>
        <w:left w:val="none" w:sz="0" w:space="0" w:color="auto"/>
        <w:bottom w:val="none" w:sz="0" w:space="0" w:color="auto"/>
        <w:right w:val="none" w:sz="0" w:space="0" w:color="auto"/>
      </w:divBdr>
      <w:divsChild>
        <w:div w:id="130952323">
          <w:marLeft w:val="0"/>
          <w:marRight w:val="0"/>
          <w:marTop w:val="0"/>
          <w:marBottom w:val="0"/>
          <w:divBdr>
            <w:top w:val="none" w:sz="0" w:space="0" w:color="auto"/>
            <w:left w:val="none" w:sz="0" w:space="0" w:color="auto"/>
            <w:bottom w:val="none" w:sz="0" w:space="0" w:color="auto"/>
            <w:right w:val="none" w:sz="0" w:space="0" w:color="auto"/>
          </w:divBdr>
        </w:div>
        <w:div w:id="135029660">
          <w:marLeft w:val="0"/>
          <w:marRight w:val="0"/>
          <w:marTop w:val="0"/>
          <w:marBottom w:val="0"/>
          <w:divBdr>
            <w:top w:val="none" w:sz="0" w:space="0" w:color="auto"/>
            <w:left w:val="none" w:sz="0" w:space="0" w:color="auto"/>
            <w:bottom w:val="none" w:sz="0" w:space="0" w:color="auto"/>
            <w:right w:val="none" w:sz="0" w:space="0" w:color="auto"/>
          </w:divBdr>
        </w:div>
        <w:div w:id="140199586">
          <w:marLeft w:val="0"/>
          <w:marRight w:val="0"/>
          <w:marTop w:val="0"/>
          <w:marBottom w:val="0"/>
          <w:divBdr>
            <w:top w:val="none" w:sz="0" w:space="0" w:color="auto"/>
            <w:left w:val="none" w:sz="0" w:space="0" w:color="auto"/>
            <w:bottom w:val="none" w:sz="0" w:space="0" w:color="auto"/>
            <w:right w:val="none" w:sz="0" w:space="0" w:color="auto"/>
          </w:divBdr>
        </w:div>
        <w:div w:id="165025019">
          <w:marLeft w:val="0"/>
          <w:marRight w:val="0"/>
          <w:marTop w:val="0"/>
          <w:marBottom w:val="0"/>
          <w:divBdr>
            <w:top w:val="none" w:sz="0" w:space="0" w:color="auto"/>
            <w:left w:val="none" w:sz="0" w:space="0" w:color="auto"/>
            <w:bottom w:val="none" w:sz="0" w:space="0" w:color="auto"/>
            <w:right w:val="none" w:sz="0" w:space="0" w:color="auto"/>
          </w:divBdr>
        </w:div>
        <w:div w:id="233275361">
          <w:marLeft w:val="0"/>
          <w:marRight w:val="0"/>
          <w:marTop w:val="0"/>
          <w:marBottom w:val="0"/>
          <w:divBdr>
            <w:top w:val="none" w:sz="0" w:space="0" w:color="auto"/>
            <w:left w:val="none" w:sz="0" w:space="0" w:color="auto"/>
            <w:bottom w:val="none" w:sz="0" w:space="0" w:color="auto"/>
            <w:right w:val="none" w:sz="0" w:space="0" w:color="auto"/>
          </w:divBdr>
        </w:div>
        <w:div w:id="236519906">
          <w:marLeft w:val="0"/>
          <w:marRight w:val="0"/>
          <w:marTop w:val="0"/>
          <w:marBottom w:val="0"/>
          <w:divBdr>
            <w:top w:val="none" w:sz="0" w:space="0" w:color="auto"/>
            <w:left w:val="none" w:sz="0" w:space="0" w:color="auto"/>
            <w:bottom w:val="none" w:sz="0" w:space="0" w:color="auto"/>
            <w:right w:val="none" w:sz="0" w:space="0" w:color="auto"/>
          </w:divBdr>
        </w:div>
        <w:div w:id="274560804">
          <w:marLeft w:val="0"/>
          <w:marRight w:val="0"/>
          <w:marTop w:val="0"/>
          <w:marBottom w:val="0"/>
          <w:divBdr>
            <w:top w:val="none" w:sz="0" w:space="0" w:color="auto"/>
            <w:left w:val="none" w:sz="0" w:space="0" w:color="auto"/>
            <w:bottom w:val="none" w:sz="0" w:space="0" w:color="auto"/>
            <w:right w:val="none" w:sz="0" w:space="0" w:color="auto"/>
          </w:divBdr>
        </w:div>
        <w:div w:id="331493830">
          <w:marLeft w:val="0"/>
          <w:marRight w:val="0"/>
          <w:marTop w:val="0"/>
          <w:marBottom w:val="0"/>
          <w:divBdr>
            <w:top w:val="none" w:sz="0" w:space="0" w:color="auto"/>
            <w:left w:val="none" w:sz="0" w:space="0" w:color="auto"/>
            <w:bottom w:val="none" w:sz="0" w:space="0" w:color="auto"/>
            <w:right w:val="none" w:sz="0" w:space="0" w:color="auto"/>
          </w:divBdr>
        </w:div>
        <w:div w:id="444538856">
          <w:marLeft w:val="0"/>
          <w:marRight w:val="0"/>
          <w:marTop w:val="0"/>
          <w:marBottom w:val="0"/>
          <w:divBdr>
            <w:top w:val="none" w:sz="0" w:space="0" w:color="auto"/>
            <w:left w:val="none" w:sz="0" w:space="0" w:color="auto"/>
            <w:bottom w:val="none" w:sz="0" w:space="0" w:color="auto"/>
            <w:right w:val="none" w:sz="0" w:space="0" w:color="auto"/>
          </w:divBdr>
        </w:div>
        <w:div w:id="513375455">
          <w:marLeft w:val="0"/>
          <w:marRight w:val="0"/>
          <w:marTop w:val="0"/>
          <w:marBottom w:val="0"/>
          <w:divBdr>
            <w:top w:val="none" w:sz="0" w:space="0" w:color="auto"/>
            <w:left w:val="none" w:sz="0" w:space="0" w:color="auto"/>
            <w:bottom w:val="none" w:sz="0" w:space="0" w:color="auto"/>
            <w:right w:val="none" w:sz="0" w:space="0" w:color="auto"/>
          </w:divBdr>
        </w:div>
        <w:div w:id="514464967">
          <w:marLeft w:val="0"/>
          <w:marRight w:val="0"/>
          <w:marTop w:val="0"/>
          <w:marBottom w:val="0"/>
          <w:divBdr>
            <w:top w:val="none" w:sz="0" w:space="0" w:color="auto"/>
            <w:left w:val="none" w:sz="0" w:space="0" w:color="auto"/>
            <w:bottom w:val="none" w:sz="0" w:space="0" w:color="auto"/>
            <w:right w:val="none" w:sz="0" w:space="0" w:color="auto"/>
          </w:divBdr>
        </w:div>
        <w:div w:id="522091692">
          <w:marLeft w:val="0"/>
          <w:marRight w:val="0"/>
          <w:marTop w:val="0"/>
          <w:marBottom w:val="0"/>
          <w:divBdr>
            <w:top w:val="none" w:sz="0" w:space="0" w:color="auto"/>
            <w:left w:val="none" w:sz="0" w:space="0" w:color="auto"/>
            <w:bottom w:val="none" w:sz="0" w:space="0" w:color="auto"/>
            <w:right w:val="none" w:sz="0" w:space="0" w:color="auto"/>
          </w:divBdr>
        </w:div>
        <w:div w:id="549847490">
          <w:marLeft w:val="0"/>
          <w:marRight w:val="0"/>
          <w:marTop w:val="0"/>
          <w:marBottom w:val="0"/>
          <w:divBdr>
            <w:top w:val="none" w:sz="0" w:space="0" w:color="auto"/>
            <w:left w:val="none" w:sz="0" w:space="0" w:color="auto"/>
            <w:bottom w:val="none" w:sz="0" w:space="0" w:color="auto"/>
            <w:right w:val="none" w:sz="0" w:space="0" w:color="auto"/>
          </w:divBdr>
        </w:div>
        <w:div w:id="571158826">
          <w:marLeft w:val="0"/>
          <w:marRight w:val="0"/>
          <w:marTop w:val="0"/>
          <w:marBottom w:val="0"/>
          <w:divBdr>
            <w:top w:val="none" w:sz="0" w:space="0" w:color="auto"/>
            <w:left w:val="none" w:sz="0" w:space="0" w:color="auto"/>
            <w:bottom w:val="none" w:sz="0" w:space="0" w:color="auto"/>
            <w:right w:val="none" w:sz="0" w:space="0" w:color="auto"/>
          </w:divBdr>
        </w:div>
        <w:div w:id="734858534">
          <w:marLeft w:val="0"/>
          <w:marRight w:val="0"/>
          <w:marTop w:val="0"/>
          <w:marBottom w:val="0"/>
          <w:divBdr>
            <w:top w:val="none" w:sz="0" w:space="0" w:color="auto"/>
            <w:left w:val="none" w:sz="0" w:space="0" w:color="auto"/>
            <w:bottom w:val="none" w:sz="0" w:space="0" w:color="auto"/>
            <w:right w:val="none" w:sz="0" w:space="0" w:color="auto"/>
          </w:divBdr>
        </w:div>
        <w:div w:id="852917297">
          <w:marLeft w:val="0"/>
          <w:marRight w:val="0"/>
          <w:marTop w:val="0"/>
          <w:marBottom w:val="0"/>
          <w:divBdr>
            <w:top w:val="none" w:sz="0" w:space="0" w:color="auto"/>
            <w:left w:val="none" w:sz="0" w:space="0" w:color="auto"/>
            <w:bottom w:val="none" w:sz="0" w:space="0" w:color="auto"/>
            <w:right w:val="none" w:sz="0" w:space="0" w:color="auto"/>
          </w:divBdr>
        </w:div>
        <w:div w:id="885220769">
          <w:marLeft w:val="0"/>
          <w:marRight w:val="0"/>
          <w:marTop w:val="0"/>
          <w:marBottom w:val="0"/>
          <w:divBdr>
            <w:top w:val="none" w:sz="0" w:space="0" w:color="auto"/>
            <w:left w:val="none" w:sz="0" w:space="0" w:color="auto"/>
            <w:bottom w:val="none" w:sz="0" w:space="0" w:color="auto"/>
            <w:right w:val="none" w:sz="0" w:space="0" w:color="auto"/>
          </w:divBdr>
        </w:div>
        <w:div w:id="921719138">
          <w:marLeft w:val="0"/>
          <w:marRight w:val="0"/>
          <w:marTop w:val="0"/>
          <w:marBottom w:val="0"/>
          <w:divBdr>
            <w:top w:val="none" w:sz="0" w:space="0" w:color="auto"/>
            <w:left w:val="none" w:sz="0" w:space="0" w:color="auto"/>
            <w:bottom w:val="none" w:sz="0" w:space="0" w:color="auto"/>
            <w:right w:val="none" w:sz="0" w:space="0" w:color="auto"/>
          </w:divBdr>
        </w:div>
        <w:div w:id="1124808185">
          <w:marLeft w:val="0"/>
          <w:marRight w:val="0"/>
          <w:marTop w:val="0"/>
          <w:marBottom w:val="0"/>
          <w:divBdr>
            <w:top w:val="none" w:sz="0" w:space="0" w:color="auto"/>
            <w:left w:val="none" w:sz="0" w:space="0" w:color="auto"/>
            <w:bottom w:val="none" w:sz="0" w:space="0" w:color="auto"/>
            <w:right w:val="none" w:sz="0" w:space="0" w:color="auto"/>
          </w:divBdr>
        </w:div>
        <w:div w:id="1298149345">
          <w:marLeft w:val="0"/>
          <w:marRight w:val="0"/>
          <w:marTop w:val="0"/>
          <w:marBottom w:val="0"/>
          <w:divBdr>
            <w:top w:val="none" w:sz="0" w:space="0" w:color="auto"/>
            <w:left w:val="none" w:sz="0" w:space="0" w:color="auto"/>
            <w:bottom w:val="none" w:sz="0" w:space="0" w:color="auto"/>
            <w:right w:val="none" w:sz="0" w:space="0" w:color="auto"/>
          </w:divBdr>
        </w:div>
        <w:div w:id="1319269194">
          <w:marLeft w:val="0"/>
          <w:marRight w:val="0"/>
          <w:marTop w:val="0"/>
          <w:marBottom w:val="0"/>
          <w:divBdr>
            <w:top w:val="none" w:sz="0" w:space="0" w:color="auto"/>
            <w:left w:val="none" w:sz="0" w:space="0" w:color="auto"/>
            <w:bottom w:val="none" w:sz="0" w:space="0" w:color="auto"/>
            <w:right w:val="none" w:sz="0" w:space="0" w:color="auto"/>
          </w:divBdr>
        </w:div>
        <w:div w:id="1368215720">
          <w:marLeft w:val="0"/>
          <w:marRight w:val="0"/>
          <w:marTop w:val="0"/>
          <w:marBottom w:val="0"/>
          <w:divBdr>
            <w:top w:val="none" w:sz="0" w:space="0" w:color="auto"/>
            <w:left w:val="none" w:sz="0" w:space="0" w:color="auto"/>
            <w:bottom w:val="none" w:sz="0" w:space="0" w:color="auto"/>
            <w:right w:val="none" w:sz="0" w:space="0" w:color="auto"/>
          </w:divBdr>
        </w:div>
        <w:div w:id="1411851049">
          <w:marLeft w:val="0"/>
          <w:marRight w:val="0"/>
          <w:marTop w:val="0"/>
          <w:marBottom w:val="0"/>
          <w:divBdr>
            <w:top w:val="none" w:sz="0" w:space="0" w:color="auto"/>
            <w:left w:val="none" w:sz="0" w:space="0" w:color="auto"/>
            <w:bottom w:val="none" w:sz="0" w:space="0" w:color="auto"/>
            <w:right w:val="none" w:sz="0" w:space="0" w:color="auto"/>
          </w:divBdr>
        </w:div>
        <w:div w:id="1519932120">
          <w:marLeft w:val="0"/>
          <w:marRight w:val="0"/>
          <w:marTop w:val="0"/>
          <w:marBottom w:val="0"/>
          <w:divBdr>
            <w:top w:val="none" w:sz="0" w:space="0" w:color="auto"/>
            <w:left w:val="none" w:sz="0" w:space="0" w:color="auto"/>
            <w:bottom w:val="none" w:sz="0" w:space="0" w:color="auto"/>
            <w:right w:val="none" w:sz="0" w:space="0" w:color="auto"/>
          </w:divBdr>
        </w:div>
        <w:div w:id="1557472255">
          <w:marLeft w:val="0"/>
          <w:marRight w:val="0"/>
          <w:marTop w:val="0"/>
          <w:marBottom w:val="0"/>
          <w:divBdr>
            <w:top w:val="none" w:sz="0" w:space="0" w:color="auto"/>
            <w:left w:val="none" w:sz="0" w:space="0" w:color="auto"/>
            <w:bottom w:val="none" w:sz="0" w:space="0" w:color="auto"/>
            <w:right w:val="none" w:sz="0" w:space="0" w:color="auto"/>
          </w:divBdr>
        </w:div>
        <w:div w:id="1582105048">
          <w:marLeft w:val="0"/>
          <w:marRight w:val="0"/>
          <w:marTop w:val="0"/>
          <w:marBottom w:val="0"/>
          <w:divBdr>
            <w:top w:val="none" w:sz="0" w:space="0" w:color="auto"/>
            <w:left w:val="none" w:sz="0" w:space="0" w:color="auto"/>
            <w:bottom w:val="none" w:sz="0" w:space="0" w:color="auto"/>
            <w:right w:val="none" w:sz="0" w:space="0" w:color="auto"/>
          </w:divBdr>
        </w:div>
        <w:div w:id="1710063345">
          <w:marLeft w:val="0"/>
          <w:marRight w:val="0"/>
          <w:marTop w:val="0"/>
          <w:marBottom w:val="0"/>
          <w:divBdr>
            <w:top w:val="none" w:sz="0" w:space="0" w:color="auto"/>
            <w:left w:val="none" w:sz="0" w:space="0" w:color="auto"/>
            <w:bottom w:val="none" w:sz="0" w:space="0" w:color="auto"/>
            <w:right w:val="none" w:sz="0" w:space="0" w:color="auto"/>
          </w:divBdr>
        </w:div>
        <w:div w:id="1752772614">
          <w:marLeft w:val="0"/>
          <w:marRight w:val="0"/>
          <w:marTop w:val="0"/>
          <w:marBottom w:val="0"/>
          <w:divBdr>
            <w:top w:val="none" w:sz="0" w:space="0" w:color="auto"/>
            <w:left w:val="none" w:sz="0" w:space="0" w:color="auto"/>
            <w:bottom w:val="none" w:sz="0" w:space="0" w:color="auto"/>
            <w:right w:val="none" w:sz="0" w:space="0" w:color="auto"/>
          </w:divBdr>
        </w:div>
        <w:div w:id="1813214408">
          <w:marLeft w:val="0"/>
          <w:marRight w:val="0"/>
          <w:marTop w:val="0"/>
          <w:marBottom w:val="0"/>
          <w:divBdr>
            <w:top w:val="none" w:sz="0" w:space="0" w:color="auto"/>
            <w:left w:val="none" w:sz="0" w:space="0" w:color="auto"/>
            <w:bottom w:val="none" w:sz="0" w:space="0" w:color="auto"/>
            <w:right w:val="none" w:sz="0" w:space="0" w:color="auto"/>
          </w:divBdr>
        </w:div>
        <w:div w:id="1819223066">
          <w:marLeft w:val="0"/>
          <w:marRight w:val="0"/>
          <w:marTop w:val="0"/>
          <w:marBottom w:val="0"/>
          <w:divBdr>
            <w:top w:val="none" w:sz="0" w:space="0" w:color="auto"/>
            <w:left w:val="none" w:sz="0" w:space="0" w:color="auto"/>
            <w:bottom w:val="none" w:sz="0" w:space="0" w:color="auto"/>
            <w:right w:val="none" w:sz="0" w:space="0" w:color="auto"/>
          </w:divBdr>
        </w:div>
        <w:div w:id="1850943744">
          <w:marLeft w:val="0"/>
          <w:marRight w:val="0"/>
          <w:marTop w:val="0"/>
          <w:marBottom w:val="0"/>
          <w:divBdr>
            <w:top w:val="none" w:sz="0" w:space="0" w:color="auto"/>
            <w:left w:val="none" w:sz="0" w:space="0" w:color="auto"/>
            <w:bottom w:val="none" w:sz="0" w:space="0" w:color="auto"/>
            <w:right w:val="none" w:sz="0" w:space="0" w:color="auto"/>
          </w:divBdr>
        </w:div>
        <w:div w:id="1886482137">
          <w:marLeft w:val="0"/>
          <w:marRight w:val="0"/>
          <w:marTop w:val="0"/>
          <w:marBottom w:val="0"/>
          <w:divBdr>
            <w:top w:val="none" w:sz="0" w:space="0" w:color="auto"/>
            <w:left w:val="none" w:sz="0" w:space="0" w:color="auto"/>
            <w:bottom w:val="none" w:sz="0" w:space="0" w:color="auto"/>
            <w:right w:val="none" w:sz="0" w:space="0" w:color="auto"/>
          </w:divBdr>
        </w:div>
        <w:div w:id="1978029152">
          <w:marLeft w:val="0"/>
          <w:marRight w:val="0"/>
          <w:marTop w:val="0"/>
          <w:marBottom w:val="0"/>
          <w:divBdr>
            <w:top w:val="none" w:sz="0" w:space="0" w:color="auto"/>
            <w:left w:val="none" w:sz="0" w:space="0" w:color="auto"/>
            <w:bottom w:val="none" w:sz="0" w:space="0" w:color="auto"/>
            <w:right w:val="none" w:sz="0" w:space="0" w:color="auto"/>
          </w:divBdr>
        </w:div>
        <w:div w:id="2045397593">
          <w:marLeft w:val="0"/>
          <w:marRight w:val="0"/>
          <w:marTop w:val="0"/>
          <w:marBottom w:val="0"/>
          <w:divBdr>
            <w:top w:val="none" w:sz="0" w:space="0" w:color="auto"/>
            <w:left w:val="none" w:sz="0" w:space="0" w:color="auto"/>
            <w:bottom w:val="none" w:sz="0" w:space="0" w:color="auto"/>
            <w:right w:val="none" w:sz="0" w:space="0" w:color="auto"/>
          </w:divBdr>
        </w:div>
      </w:divsChild>
    </w:div>
    <w:div w:id="148258125">
      <w:bodyDiv w:val="1"/>
      <w:marLeft w:val="0"/>
      <w:marRight w:val="0"/>
      <w:marTop w:val="0"/>
      <w:marBottom w:val="0"/>
      <w:divBdr>
        <w:top w:val="none" w:sz="0" w:space="0" w:color="auto"/>
        <w:left w:val="none" w:sz="0" w:space="0" w:color="auto"/>
        <w:bottom w:val="none" w:sz="0" w:space="0" w:color="auto"/>
        <w:right w:val="none" w:sz="0" w:space="0" w:color="auto"/>
      </w:divBdr>
    </w:div>
    <w:div w:id="507446586">
      <w:bodyDiv w:val="1"/>
      <w:marLeft w:val="0"/>
      <w:marRight w:val="0"/>
      <w:marTop w:val="0"/>
      <w:marBottom w:val="0"/>
      <w:divBdr>
        <w:top w:val="none" w:sz="0" w:space="0" w:color="auto"/>
        <w:left w:val="none" w:sz="0" w:space="0" w:color="auto"/>
        <w:bottom w:val="none" w:sz="0" w:space="0" w:color="auto"/>
        <w:right w:val="none" w:sz="0" w:space="0" w:color="auto"/>
      </w:divBdr>
    </w:div>
    <w:div w:id="556091595">
      <w:bodyDiv w:val="1"/>
      <w:marLeft w:val="0"/>
      <w:marRight w:val="0"/>
      <w:marTop w:val="0"/>
      <w:marBottom w:val="0"/>
      <w:divBdr>
        <w:top w:val="none" w:sz="0" w:space="0" w:color="auto"/>
        <w:left w:val="none" w:sz="0" w:space="0" w:color="auto"/>
        <w:bottom w:val="none" w:sz="0" w:space="0" w:color="auto"/>
        <w:right w:val="none" w:sz="0" w:space="0" w:color="auto"/>
      </w:divBdr>
    </w:div>
    <w:div w:id="569192947">
      <w:bodyDiv w:val="1"/>
      <w:marLeft w:val="0"/>
      <w:marRight w:val="0"/>
      <w:marTop w:val="0"/>
      <w:marBottom w:val="0"/>
      <w:divBdr>
        <w:top w:val="none" w:sz="0" w:space="0" w:color="auto"/>
        <w:left w:val="none" w:sz="0" w:space="0" w:color="auto"/>
        <w:bottom w:val="none" w:sz="0" w:space="0" w:color="auto"/>
        <w:right w:val="none" w:sz="0" w:space="0" w:color="auto"/>
      </w:divBdr>
    </w:div>
    <w:div w:id="617833075">
      <w:bodyDiv w:val="1"/>
      <w:marLeft w:val="0"/>
      <w:marRight w:val="0"/>
      <w:marTop w:val="0"/>
      <w:marBottom w:val="0"/>
      <w:divBdr>
        <w:top w:val="none" w:sz="0" w:space="0" w:color="auto"/>
        <w:left w:val="none" w:sz="0" w:space="0" w:color="auto"/>
        <w:bottom w:val="none" w:sz="0" w:space="0" w:color="auto"/>
        <w:right w:val="none" w:sz="0" w:space="0" w:color="auto"/>
      </w:divBdr>
    </w:div>
    <w:div w:id="799149858">
      <w:bodyDiv w:val="1"/>
      <w:marLeft w:val="0"/>
      <w:marRight w:val="0"/>
      <w:marTop w:val="0"/>
      <w:marBottom w:val="0"/>
      <w:divBdr>
        <w:top w:val="none" w:sz="0" w:space="0" w:color="auto"/>
        <w:left w:val="none" w:sz="0" w:space="0" w:color="auto"/>
        <w:bottom w:val="none" w:sz="0" w:space="0" w:color="auto"/>
        <w:right w:val="none" w:sz="0" w:space="0" w:color="auto"/>
      </w:divBdr>
    </w:div>
    <w:div w:id="846596447">
      <w:bodyDiv w:val="1"/>
      <w:marLeft w:val="0"/>
      <w:marRight w:val="0"/>
      <w:marTop w:val="0"/>
      <w:marBottom w:val="0"/>
      <w:divBdr>
        <w:top w:val="none" w:sz="0" w:space="0" w:color="auto"/>
        <w:left w:val="none" w:sz="0" w:space="0" w:color="auto"/>
        <w:bottom w:val="none" w:sz="0" w:space="0" w:color="auto"/>
        <w:right w:val="none" w:sz="0" w:space="0" w:color="auto"/>
      </w:divBdr>
    </w:div>
    <w:div w:id="1491678343">
      <w:bodyDiv w:val="1"/>
      <w:marLeft w:val="60"/>
      <w:marRight w:val="60"/>
      <w:marTop w:val="60"/>
      <w:marBottom w:val="15"/>
      <w:divBdr>
        <w:top w:val="none" w:sz="0" w:space="0" w:color="auto"/>
        <w:left w:val="none" w:sz="0" w:space="0" w:color="auto"/>
        <w:bottom w:val="none" w:sz="0" w:space="0" w:color="auto"/>
        <w:right w:val="none" w:sz="0" w:space="0" w:color="auto"/>
      </w:divBdr>
      <w:divsChild>
        <w:div w:id="6180454">
          <w:marLeft w:val="0"/>
          <w:marRight w:val="0"/>
          <w:marTop w:val="0"/>
          <w:marBottom w:val="0"/>
          <w:divBdr>
            <w:top w:val="none" w:sz="0" w:space="0" w:color="auto"/>
            <w:left w:val="none" w:sz="0" w:space="0" w:color="auto"/>
            <w:bottom w:val="none" w:sz="0" w:space="0" w:color="auto"/>
            <w:right w:val="none" w:sz="0" w:space="0" w:color="auto"/>
          </w:divBdr>
        </w:div>
        <w:div w:id="48652241">
          <w:marLeft w:val="0"/>
          <w:marRight w:val="0"/>
          <w:marTop w:val="0"/>
          <w:marBottom w:val="0"/>
          <w:divBdr>
            <w:top w:val="none" w:sz="0" w:space="0" w:color="auto"/>
            <w:left w:val="none" w:sz="0" w:space="0" w:color="auto"/>
            <w:bottom w:val="none" w:sz="0" w:space="0" w:color="auto"/>
            <w:right w:val="none" w:sz="0" w:space="0" w:color="auto"/>
          </w:divBdr>
        </w:div>
        <w:div w:id="75983683">
          <w:marLeft w:val="0"/>
          <w:marRight w:val="0"/>
          <w:marTop w:val="0"/>
          <w:marBottom w:val="0"/>
          <w:divBdr>
            <w:top w:val="none" w:sz="0" w:space="0" w:color="auto"/>
            <w:left w:val="none" w:sz="0" w:space="0" w:color="auto"/>
            <w:bottom w:val="none" w:sz="0" w:space="0" w:color="auto"/>
            <w:right w:val="none" w:sz="0" w:space="0" w:color="auto"/>
          </w:divBdr>
        </w:div>
        <w:div w:id="264308144">
          <w:marLeft w:val="0"/>
          <w:marRight w:val="0"/>
          <w:marTop w:val="0"/>
          <w:marBottom w:val="0"/>
          <w:divBdr>
            <w:top w:val="none" w:sz="0" w:space="0" w:color="auto"/>
            <w:left w:val="none" w:sz="0" w:space="0" w:color="auto"/>
            <w:bottom w:val="none" w:sz="0" w:space="0" w:color="auto"/>
            <w:right w:val="none" w:sz="0" w:space="0" w:color="auto"/>
          </w:divBdr>
        </w:div>
        <w:div w:id="320622269">
          <w:marLeft w:val="0"/>
          <w:marRight w:val="0"/>
          <w:marTop w:val="0"/>
          <w:marBottom w:val="0"/>
          <w:divBdr>
            <w:top w:val="none" w:sz="0" w:space="0" w:color="auto"/>
            <w:left w:val="none" w:sz="0" w:space="0" w:color="auto"/>
            <w:bottom w:val="none" w:sz="0" w:space="0" w:color="auto"/>
            <w:right w:val="none" w:sz="0" w:space="0" w:color="auto"/>
          </w:divBdr>
        </w:div>
        <w:div w:id="379676130">
          <w:marLeft w:val="0"/>
          <w:marRight w:val="0"/>
          <w:marTop w:val="0"/>
          <w:marBottom w:val="0"/>
          <w:divBdr>
            <w:top w:val="none" w:sz="0" w:space="0" w:color="auto"/>
            <w:left w:val="none" w:sz="0" w:space="0" w:color="auto"/>
            <w:bottom w:val="none" w:sz="0" w:space="0" w:color="auto"/>
            <w:right w:val="none" w:sz="0" w:space="0" w:color="auto"/>
          </w:divBdr>
        </w:div>
        <w:div w:id="433013661">
          <w:marLeft w:val="0"/>
          <w:marRight w:val="0"/>
          <w:marTop w:val="0"/>
          <w:marBottom w:val="0"/>
          <w:divBdr>
            <w:top w:val="none" w:sz="0" w:space="0" w:color="auto"/>
            <w:left w:val="none" w:sz="0" w:space="0" w:color="auto"/>
            <w:bottom w:val="none" w:sz="0" w:space="0" w:color="auto"/>
            <w:right w:val="none" w:sz="0" w:space="0" w:color="auto"/>
          </w:divBdr>
        </w:div>
        <w:div w:id="491798577">
          <w:marLeft w:val="0"/>
          <w:marRight w:val="0"/>
          <w:marTop w:val="0"/>
          <w:marBottom w:val="0"/>
          <w:divBdr>
            <w:top w:val="none" w:sz="0" w:space="0" w:color="auto"/>
            <w:left w:val="none" w:sz="0" w:space="0" w:color="auto"/>
            <w:bottom w:val="none" w:sz="0" w:space="0" w:color="auto"/>
            <w:right w:val="none" w:sz="0" w:space="0" w:color="auto"/>
          </w:divBdr>
        </w:div>
        <w:div w:id="533082959">
          <w:marLeft w:val="0"/>
          <w:marRight w:val="0"/>
          <w:marTop w:val="0"/>
          <w:marBottom w:val="0"/>
          <w:divBdr>
            <w:top w:val="none" w:sz="0" w:space="0" w:color="auto"/>
            <w:left w:val="none" w:sz="0" w:space="0" w:color="auto"/>
            <w:bottom w:val="none" w:sz="0" w:space="0" w:color="auto"/>
            <w:right w:val="none" w:sz="0" w:space="0" w:color="auto"/>
          </w:divBdr>
        </w:div>
        <w:div w:id="549615924">
          <w:marLeft w:val="0"/>
          <w:marRight w:val="0"/>
          <w:marTop w:val="0"/>
          <w:marBottom w:val="0"/>
          <w:divBdr>
            <w:top w:val="none" w:sz="0" w:space="0" w:color="auto"/>
            <w:left w:val="none" w:sz="0" w:space="0" w:color="auto"/>
            <w:bottom w:val="none" w:sz="0" w:space="0" w:color="auto"/>
            <w:right w:val="none" w:sz="0" w:space="0" w:color="auto"/>
          </w:divBdr>
        </w:div>
        <w:div w:id="693576273">
          <w:marLeft w:val="0"/>
          <w:marRight w:val="0"/>
          <w:marTop w:val="0"/>
          <w:marBottom w:val="0"/>
          <w:divBdr>
            <w:top w:val="none" w:sz="0" w:space="0" w:color="auto"/>
            <w:left w:val="none" w:sz="0" w:space="0" w:color="auto"/>
            <w:bottom w:val="none" w:sz="0" w:space="0" w:color="auto"/>
            <w:right w:val="none" w:sz="0" w:space="0" w:color="auto"/>
          </w:divBdr>
        </w:div>
        <w:div w:id="733507878">
          <w:marLeft w:val="0"/>
          <w:marRight w:val="0"/>
          <w:marTop w:val="0"/>
          <w:marBottom w:val="0"/>
          <w:divBdr>
            <w:top w:val="none" w:sz="0" w:space="0" w:color="auto"/>
            <w:left w:val="none" w:sz="0" w:space="0" w:color="auto"/>
            <w:bottom w:val="none" w:sz="0" w:space="0" w:color="auto"/>
            <w:right w:val="none" w:sz="0" w:space="0" w:color="auto"/>
          </w:divBdr>
        </w:div>
        <w:div w:id="738329561">
          <w:marLeft w:val="0"/>
          <w:marRight w:val="0"/>
          <w:marTop w:val="0"/>
          <w:marBottom w:val="0"/>
          <w:divBdr>
            <w:top w:val="none" w:sz="0" w:space="0" w:color="auto"/>
            <w:left w:val="none" w:sz="0" w:space="0" w:color="auto"/>
            <w:bottom w:val="none" w:sz="0" w:space="0" w:color="auto"/>
            <w:right w:val="none" w:sz="0" w:space="0" w:color="auto"/>
          </w:divBdr>
        </w:div>
        <w:div w:id="766539687">
          <w:marLeft w:val="0"/>
          <w:marRight w:val="0"/>
          <w:marTop w:val="0"/>
          <w:marBottom w:val="0"/>
          <w:divBdr>
            <w:top w:val="none" w:sz="0" w:space="0" w:color="auto"/>
            <w:left w:val="none" w:sz="0" w:space="0" w:color="auto"/>
            <w:bottom w:val="none" w:sz="0" w:space="0" w:color="auto"/>
            <w:right w:val="none" w:sz="0" w:space="0" w:color="auto"/>
          </w:divBdr>
        </w:div>
        <w:div w:id="814761948">
          <w:marLeft w:val="0"/>
          <w:marRight w:val="0"/>
          <w:marTop w:val="0"/>
          <w:marBottom w:val="0"/>
          <w:divBdr>
            <w:top w:val="none" w:sz="0" w:space="0" w:color="auto"/>
            <w:left w:val="none" w:sz="0" w:space="0" w:color="auto"/>
            <w:bottom w:val="none" w:sz="0" w:space="0" w:color="auto"/>
            <w:right w:val="none" w:sz="0" w:space="0" w:color="auto"/>
          </w:divBdr>
        </w:div>
        <w:div w:id="897323485">
          <w:marLeft w:val="0"/>
          <w:marRight w:val="0"/>
          <w:marTop w:val="0"/>
          <w:marBottom w:val="0"/>
          <w:divBdr>
            <w:top w:val="none" w:sz="0" w:space="0" w:color="auto"/>
            <w:left w:val="none" w:sz="0" w:space="0" w:color="auto"/>
            <w:bottom w:val="none" w:sz="0" w:space="0" w:color="auto"/>
            <w:right w:val="none" w:sz="0" w:space="0" w:color="auto"/>
          </w:divBdr>
        </w:div>
        <w:div w:id="956451479">
          <w:marLeft w:val="0"/>
          <w:marRight w:val="0"/>
          <w:marTop w:val="0"/>
          <w:marBottom w:val="0"/>
          <w:divBdr>
            <w:top w:val="none" w:sz="0" w:space="0" w:color="auto"/>
            <w:left w:val="none" w:sz="0" w:space="0" w:color="auto"/>
            <w:bottom w:val="none" w:sz="0" w:space="0" w:color="auto"/>
            <w:right w:val="none" w:sz="0" w:space="0" w:color="auto"/>
          </w:divBdr>
        </w:div>
        <w:div w:id="1027292865">
          <w:marLeft w:val="0"/>
          <w:marRight w:val="0"/>
          <w:marTop w:val="0"/>
          <w:marBottom w:val="0"/>
          <w:divBdr>
            <w:top w:val="none" w:sz="0" w:space="0" w:color="auto"/>
            <w:left w:val="none" w:sz="0" w:space="0" w:color="auto"/>
            <w:bottom w:val="none" w:sz="0" w:space="0" w:color="auto"/>
            <w:right w:val="none" w:sz="0" w:space="0" w:color="auto"/>
          </w:divBdr>
        </w:div>
        <w:div w:id="1049381007">
          <w:marLeft w:val="0"/>
          <w:marRight w:val="0"/>
          <w:marTop w:val="0"/>
          <w:marBottom w:val="0"/>
          <w:divBdr>
            <w:top w:val="none" w:sz="0" w:space="0" w:color="auto"/>
            <w:left w:val="none" w:sz="0" w:space="0" w:color="auto"/>
            <w:bottom w:val="none" w:sz="0" w:space="0" w:color="auto"/>
            <w:right w:val="none" w:sz="0" w:space="0" w:color="auto"/>
          </w:divBdr>
        </w:div>
        <w:div w:id="1226143700">
          <w:marLeft w:val="0"/>
          <w:marRight w:val="0"/>
          <w:marTop w:val="0"/>
          <w:marBottom w:val="0"/>
          <w:divBdr>
            <w:top w:val="none" w:sz="0" w:space="0" w:color="auto"/>
            <w:left w:val="none" w:sz="0" w:space="0" w:color="auto"/>
            <w:bottom w:val="none" w:sz="0" w:space="0" w:color="auto"/>
            <w:right w:val="none" w:sz="0" w:space="0" w:color="auto"/>
          </w:divBdr>
        </w:div>
        <w:div w:id="1273366763">
          <w:marLeft w:val="0"/>
          <w:marRight w:val="0"/>
          <w:marTop w:val="0"/>
          <w:marBottom w:val="0"/>
          <w:divBdr>
            <w:top w:val="none" w:sz="0" w:space="0" w:color="auto"/>
            <w:left w:val="none" w:sz="0" w:space="0" w:color="auto"/>
            <w:bottom w:val="none" w:sz="0" w:space="0" w:color="auto"/>
            <w:right w:val="none" w:sz="0" w:space="0" w:color="auto"/>
          </w:divBdr>
        </w:div>
        <w:div w:id="1293752070">
          <w:marLeft w:val="0"/>
          <w:marRight w:val="0"/>
          <w:marTop w:val="0"/>
          <w:marBottom w:val="0"/>
          <w:divBdr>
            <w:top w:val="none" w:sz="0" w:space="0" w:color="auto"/>
            <w:left w:val="none" w:sz="0" w:space="0" w:color="auto"/>
            <w:bottom w:val="none" w:sz="0" w:space="0" w:color="auto"/>
            <w:right w:val="none" w:sz="0" w:space="0" w:color="auto"/>
          </w:divBdr>
        </w:div>
        <w:div w:id="1295713079">
          <w:marLeft w:val="0"/>
          <w:marRight w:val="0"/>
          <w:marTop w:val="0"/>
          <w:marBottom w:val="0"/>
          <w:divBdr>
            <w:top w:val="none" w:sz="0" w:space="0" w:color="auto"/>
            <w:left w:val="none" w:sz="0" w:space="0" w:color="auto"/>
            <w:bottom w:val="none" w:sz="0" w:space="0" w:color="auto"/>
            <w:right w:val="none" w:sz="0" w:space="0" w:color="auto"/>
          </w:divBdr>
        </w:div>
        <w:div w:id="1302806349">
          <w:marLeft w:val="0"/>
          <w:marRight w:val="0"/>
          <w:marTop w:val="0"/>
          <w:marBottom w:val="0"/>
          <w:divBdr>
            <w:top w:val="none" w:sz="0" w:space="0" w:color="auto"/>
            <w:left w:val="none" w:sz="0" w:space="0" w:color="auto"/>
            <w:bottom w:val="none" w:sz="0" w:space="0" w:color="auto"/>
            <w:right w:val="none" w:sz="0" w:space="0" w:color="auto"/>
          </w:divBdr>
        </w:div>
        <w:div w:id="1509902587">
          <w:marLeft w:val="0"/>
          <w:marRight w:val="0"/>
          <w:marTop w:val="0"/>
          <w:marBottom w:val="0"/>
          <w:divBdr>
            <w:top w:val="none" w:sz="0" w:space="0" w:color="auto"/>
            <w:left w:val="none" w:sz="0" w:space="0" w:color="auto"/>
            <w:bottom w:val="none" w:sz="0" w:space="0" w:color="auto"/>
            <w:right w:val="none" w:sz="0" w:space="0" w:color="auto"/>
          </w:divBdr>
        </w:div>
        <w:div w:id="1553730171">
          <w:marLeft w:val="0"/>
          <w:marRight w:val="0"/>
          <w:marTop w:val="0"/>
          <w:marBottom w:val="0"/>
          <w:divBdr>
            <w:top w:val="none" w:sz="0" w:space="0" w:color="auto"/>
            <w:left w:val="none" w:sz="0" w:space="0" w:color="auto"/>
            <w:bottom w:val="none" w:sz="0" w:space="0" w:color="auto"/>
            <w:right w:val="none" w:sz="0" w:space="0" w:color="auto"/>
          </w:divBdr>
        </w:div>
        <w:div w:id="1627736823">
          <w:marLeft w:val="0"/>
          <w:marRight w:val="0"/>
          <w:marTop w:val="0"/>
          <w:marBottom w:val="0"/>
          <w:divBdr>
            <w:top w:val="none" w:sz="0" w:space="0" w:color="auto"/>
            <w:left w:val="none" w:sz="0" w:space="0" w:color="auto"/>
            <w:bottom w:val="none" w:sz="0" w:space="0" w:color="auto"/>
            <w:right w:val="none" w:sz="0" w:space="0" w:color="auto"/>
          </w:divBdr>
        </w:div>
        <w:div w:id="1653365614">
          <w:marLeft w:val="0"/>
          <w:marRight w:val="0"/>
          <w:marTop w:val="0"/>
          <w:marBottom w:val="0"/>
          <w:divBdr>
            <w:top w:val="none" w:sz="0" w:space="0" w:color="auto"/>
            <w:left w:val="none" w:sz="0" w:space="0" w:color="auto"/>
            <w:bottom w:val="none" w:sz="0" w:space="0" w:color="auto"/>
            <w:right w:val="none" w:sz="0" w:space="0" w:color="auto"/>
          </w:divBdr>
        </w:div>
        <w:div w:id="1741712463">
          <w:marLeft w:val="0"/>
          <w:marRight w:val="0"/>
          <w:marTop w:val="0"/>
          <w:marBottom w:val="0"/>
          <w:divBdr>
            <w:top w:val="none" w:sz="0" w:space="0" w:color="auto"/>
            <w:left w:val="none" w:sz="0" w:space="0" w:color="auto"/>
            <w:bottom w:val="none" w:sz="0" w:space="0" w:color="auto"/>
            <w:right w:val="none" w:sz="0" w:space="0" w:color="auto"/>
          </w:divBdr>
        </w:div>
        <w:div w:id="1887374909">
          <w:marLeft w:val="0"/>
          <w:marRight w:val="0"/>
          <w:marTop w:val="0"/>
          <w:marBottom w:val="0"/>
          <w:divBdr>
            <w:top w:val="none" w:sz="0" w:space="0" w:color="auto"/>
            <w:left w:val="none" w:sz="0" w:space="0" w:color="auto"/>
            <w:bottom w:val="none" w:sz="0" w:space="0" w:color="auto"/>
            <w:right w:val="none" w:sz="0" w:space="0" w:color="auto"/>
          </w:divBdr>
        </w:div>
        <w:div w:id="1951157452">
          <w:marLeft w:val="0"/>
          <w:marRight w:val="0"/>
          <w:marTop w:val="0"/>
          <w:marBottom w:val="0"/>
          <w:divBdr>
            <w:top w:val="none" w:sz="0" w:space="0" w:color="auto"/>
            <w:left w:val="none" w:sz="0" w:space="0" w:color="auto"/>
            <w:bottom w:val="none" w:sz="0" w:space="0" w:color="auto"/>
            <w:right w:val="none" w:sz="0" w:space="0" w:color="auto"/>
          </w:divBdr>
        </w:div>
        <w:div w:id="2075657967">
          <w:marLeft w:val="0"/>
          <w:marRight w:val="0"/>
          <w:marTop w:val="0"/>
          <w:marBottom w:val="0"/>
          <w:divBdr>
            <w:top w:val="none" w:sz="0" w:space="0" w:color="auto"/>
            <w:left w:val="none" w:sz="0" w:space="0" w:color="auto"/>
            <w:bottom w:val="none" w:sz="0" w:space="0" w:color="auto"/>
            <w:right w:val="none" w:sz="0" w:space="0" w:color="auto"/>
          </w:divBdr>
        </w:div>
        <w:div w:id="2090153335">
          <w:marLeft w:val="0"/>
          <w:marRight w:val="0"/>
          <w:marTop w:val="0"/>
          <w:marBottom w:val="0"/>
          <w:divBdr>
            <w:top w:val="none" w:sz="0" w:space="0" w:color="auto"/>
            <w:left w:val="none" w:sz="0" w:space="0" w:color="auto"/>
            <w:bottom w:val="none" w:sz="0" w:space="0" w:color="auto"/>
            <w:right w:val="none" w:sz="0" w:space="0" w:color="auto"/>
          </w:divBdr>
        </w:div>
        <w:div w:id="2134706714">
          <w:marLeft w:val="0"/>
          <w:marRight w:val="0"/>
          <w:marTop w:val="0"/>
          <w:marBottom w:val="0"/>
          <w:divBdr>
            <w:top w:val="none" w:sz="0" w:space="0" w:color="auto"/>
            <w:left w:val="none" w:sz="0" w:space="0" w:color="auto"/>
            <w:bottom w:val="none" w:sz="0" w:space="0" w:color="auto"/>
            <w:right w:val="none" w:sz="0" w:space="0" w:color="auto"/>
          </w:divBdr>
        </w:div>
      </w:divsChild>
    </w:div>
    <w:div w:id="1580869024">
      <w:bodyDiv w:val="1"/>
      <w:marLeft w:val="0"/>
      <w:marRight w:val="0"/>
      <w:marTop w:val="0"/>
      <w:marBottom w:val="0"/>
      <w:divBdr>
        <w:top w:val="none" w:sz="0" w:space="0" w:color="auto"/>
        <w:left w:val="none" w:sz="0" w:space="0" w:color="auto"/>
        <w:bottom w:val="none" w:sz="0" w:space="0" w:color="auto"/>
        <w:right w:val="none" w:sz="0" w:space="0" w:color="auto"/>
      </w:divBdr>
    </w:div>
    <w:div w:id="1581252783">
      <w:bodyDiv w:val="1"/>
      <w:marLeft w:val="0"/>
      <w:marRight w:val="0"/>
      <w:marTop w:val="0"/>
      <w:marBottom w:val="0"/>
      <w:divBdr>
        <w:top w:val="none" w:sz="0" w:space="0" w:color="auto"/>
        <w:left w:val="none" w:sz="0" w:space="0" w:color="auto"/>
        <w:bottom w:val="none" w:sz="0" w:space="0" w:color="auto"/>
        <w:right w:val="none" w:sz="0" w:space="0" w:color="auto"/>
      </w:divBdr>
    </w:div>
    <w:div w:id="1588879076">
      <w:bodyDiv w:val="1"/>
      <w:marLeft w:val="0"/>
      <w:marRight w:val="0"/>
      <w:marTop w:val="0"/>
      <w:marBottom w:val="0"/>
      <w:divBdr>
        <w:top w:val="none" w:sz="0" w:space="0" w:color="auto"/>
        <w:left w:val="none" w:sz="0" w:space="0" w:color="auto"/>
        <w:bottom w:val="none" w:sz="0" w:space="0" w:color="auto"/>
        <w:right w:val="none" w:sz="0" w:space="0" w:color="auto"/>
      </w:divBdr>
    </w:div>
    <w:div w:id="1724938557">
      <w:bodyDiv w:val="1"/>
      <w:marLeft w:val="0"/>
      <w:marRight w:val="0"/>
      <w:marTop w:val="0"/>
      <w:marBottom w:val="0"/>
      <w:divBdr>
        <w:top w:val="none" w:sz="0" w:space="0" w:color="auto"/>
        <w:left w:val="none" w:sz="0" w:space="0" w:color="auto"/>
        <w:bottom w:val="none" w:sz="0" w:space="0" w:color="auto"/>
        <w:right w:val="none" w:sz="0" w:space="0" w:color="auto"/>
      </w:divBdr>
    </w:div>
    <w:div w:id="1728409520">
      <w:bodyDiv w:val="1"/>
      <w:marLeft w:val="0"/>
      <w:marRight w:val="0"/>
      <w:marTop w:val="0"/>
      <w:marBottom w:val="0"/>
      <w:divBdr>
        <w:top w:val="none" w:sz="0" w:space="0" w:color="auto"/>
        <w:left w:val="none" w:sz="0" w:space="0" w:color="auto"/>
        <w:bottom w:val="none" w:sz="0" w:space="0" w:color="auto"/>
        <w:right w:val="none" w:sz="0" w:space="0" w:color="auto"/>
      </w:divBdr>
    </w:div>
    <w:div w:id="198142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http://mn.gov/deed/data/export-sta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297800973891422"/>
          <c:y val="0.16670487106017196"/>
          <c:w val="0.76823909552424352"/>
          <c:h val="0.63745525052611662"/>
        </c:manualLayout>
      </c:layout>
      <c:barChart>
        <c:barDir val="col"/>
        <c:grouping val="clustered"/>
        <c:varyColors val="0"/>
        <c:ser>
          <c:idx val="0"/>
          <c:order val="0"/>
          <c:tx>
            <c:strRef>
              <c:f>Sheet1!$B$1</c:f>
              <c:strCache>
                <c:ptCount val="1"/>
                <c:pt idx="0">
                  <c:v>2009-Q2</c:v>
                </c:pt>
              </c:strCache>
            </c:strRef>
          </c:tx>
          <c:spPr>
            <a:solidFill>
              <a:schemeClr val="bg1">
                <a:lumMod val="85000"/>
              </a:schemeClr>
            </a:solidFill>
            <a:ln>
              <a:solidFill>
                <a:schemeClr val="tx1">
                  <a:lumMod val="50000"/>
                  <a:lumOff val="50000"/>
                </a:schemeClr>
              </a:solidFill>
            </a:ln>
            <a:effectLst/>
          </c:spPr>
          <c:invertIfNegative val="0"/>
          <c:cat>
            <c:strRef>
              <c:f>Sheet1!$A$2:$A$9</c:f>
              <c:strCache>
                <c:ptCount val="5"/>
                <c:pt idx="0">
                  <c:v>Total</c:v>
                </c:pt>
                <c:pt idx="1">
                  <c:v>Machinery</c:v>
                </c:pt>
                <c:pt idx="2">
                  <c:v>Optics, Medical</c:v>
                </c:pt>
                <c:pt idx="3">
                  <c:v>Elec. Equip</c:v>
                </c:pt>
                <c:pt idx="4">
                  <c:v>Vehicles</c:v>
                </c:pt>
              </c:strCache>
              <c:extLst/>
            </c:strRef>
          </c:cat>
          <c:val>
            <c:numRef>
              <c:f>Sheet1!$B$2:$B$9</c:f>
              <c:numCache>
                <c:formatCode>0%</c:formatCode>
                <c:ptCount val="5"/>
                <c:pt idx="0">
                  <c:v>-0.22826012359730197</c:v>
                </c:pt>
                <c:pt idx="1">
                  <c:v>-0.16297027669945185</c:v>
                </c:pt>
                <c:pt idx="2">
                  <c:v>1.553463742182104E-2</c:v>
                </c:pt>
                <c:pt idx="3">
                  <c:v>-0.32300512891087918</c:v>
                </c:pt>
                <c:pt idx="4">
                  <c:v>-0.30256265083124056</c:v>
                </c:pt>
              </c:numCache>
              <c:extLst/>
            </c:numRef>
          </c:val>
        </c:ser>
        <c:ser>
          <c:idx val="1"/>
          <c:order val="1"/>
          <c:tx>
            <c:strRef>
              <c:f>Sheet1!$C$1</c:f>
              <c:strCache>
                <c:ptCount val="1"/>
                <c:pt idx="0">
                  <c:v>2020-Q2</c:v>
                </c:pt>
              </c:strCache>
            </c:strRef>
          </c:tx>
          <c:spPr>
            <a:solidFill>
              <a:srgbClr val="003865"/>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5"/>
                <c:pt idx="0">
                  <c:v>Total</c:v>
                </c:pt>
                <c:pt idx="1">
                  <c:v>Machinery</c:v>
                </c:pt>
                <c:pt idx="2">
                  <c:v>Optics, Medical</c:v>
                </c:pt>
                <c:pt idx="3">
                  <c:v>Elec. Equip</c:v>
                </c:pt>
                <c:pt idx="4">
                  <c:v>Vehicles</c:v>
                </c:pt>
              </c:strCache>
              <c:extLst/>
            </c:strRef>
          </c:cat>
          <c:val>
            <c:numRef>
              <c:f>Sheet1!$C$2:$C$9</c:f>
              <c:numCache>
                <c:formatCode>0%</c:formatCode>
                <c:ptCount val="5"/>
                <c:pt idx="0">
                  <c:v>-0.18219599509246465</c:v>
                </c:pt>
                <c:pt idx="1">
                  <c:v>-0.20646866562916089</c:v>
                </c:pt>
                <c:pt idx="2">
                  <c:v>-0.22150573341603041</c:v>
                </c:pt>
                <c:pt idx="3">
                  <c:v>-0.2982592342332826</c:v>
                </c:pt>
                <c:pt idx="4">
                  <c:v>-0.46092367012592683</c:v>
                </c:pt>
              </c:numCache>
              <c:extLst/>
            </c:numRef>
          </c:val>
        </c:ser>
        <c:dLbls>
          <c:showLegendKey val="0"/>
          <c:showVal val="0"/>
          <c:showCatName val="0"/>
          <c:showSerName val="0"/>
          <c:showPercent val="0"/>
          <c:showBubbleSize val="0"/>
        </c:dLbls>
        <c:gapWidth val="219"/>
        <c:overlap val="-27"/>
        <c:axId val="675796192"/>
        <c:axId val="611217904"/>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Type</c:v>
                      </c:pt>
                    </c:strCache>
                  </c:strRef>
                </c:tx>
                <c:spPr>
                  <a:solidFill>
                    <a:schemeClr val="accent3"/>
                  </a:solidFill>
                  <a:ln>
                    <a:noFill/>
                  </a:ln>
                  <a:effectLst/>
                </c:spPr>
                <c:invertIfNegative val="0"/>
                <c:cat>
                  <c:strRef>
                    <c:extLst>
                      <c:ext uri="{02D57815-91ED-43cb-92C2-25804820EDAC}">
                        <c15:formulaRef>
                          <c15:sqref>Sheet1!$A$2:$A$9</c15:sqref>
                        </c15:formulaRef>
                      </c:ext>
                    </c:extLst>
                    <c:strCache>
                      <c:ptCount val="5"/>
                      <c:pt idx="0">
                        <c:v>Total</c:v>
                      </c:pt>
                      <c:pt idx="1">
                        <c:v>Machinery</c:v>
                      </c:pt>
                      <c:pt idx="2">
                        <c:v>Optics, Medical</c:v>
                      </c:pt>
                      <c:pt idx="3">
                        <c:v>Elec. Equip</c:v>
                      </c:pt>
                      <c:pt idx="4">
                        <c:v>Vehicles</c:v>
                      </c:pt>
                    </c:strCache>
                  </c:strRef>
                </c:cat>
                <c:val>
                  <c:numRef>
                    <c:extLst>
                      <c:ext uri="{02D57815-91ED-43cb-92C2-25804820EDAC}">
                        <c15:formulaRef>
                          <c15:sqref>Sheet1!$D$2:$D$9</c15:sqref>
                        </c15:formulaRef>
                      </c:ext>
                    </c:extLst>
                    <c:numCache>
                      <c:formatCode>General</c:formatCode>
                      <c:ptCount val="5"/>
                      <c:pt idx="0">
                        <c:v>0</c:v>
                      </c:pt>
                      <c:pt idx="1">
                        <c:v>0</c:v>
                      </c:pt>
                      <c:pt idx="2">
                        <c:v>0</c:v>
                      </c:pt>
                      <c:pt idx="3">
                        <c:v>0</c:v>
                      </c:pt>
                      <c:pt idx="4">
                        <c:v>0</c:v>
                      </c:pt>
                    </c:numCache>
                  </c:numRef>
                </c:val>
              </c15:ser>
            </c15:filteredBarSeries>
          </c:ext>
        </c:extLst>
      </c:barChart>
      <c:catAx>
        <c:axId val="67579619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crossAx val="611217904"/>
        <c:crosses val="autoZero"/>
        <c:auto val="1"/>
        <c:lblAlgn val="ctr"/>
        <c:lblOffset val="100"/>
        <c:tickLblSkip val="1"/>
        <c:noMultiLvlLbl val="0"/>
      </c:catAx>
      <c:valAx>
        <c:axId val="611217904"/>
        <c:scaling>
          <c:orientation val="minMax"/>
          <c:max val="0.2"/>
          <c:min val="-0.60000000000000009"/>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solidFill>
                      <a:schemeClr val="tx1"/>
                    </a:solidFill>
                  </a:rPr>
                  <a:t>%</a:t>
                </a:r>
                <a:r>
                  <a:rPr lang="en-US" baseline="0">
                    <a:solidFill>
                      <a:schemeClr val="tx1"/>
                    </a:solidFill>
                  </a:rPr>
                  <a:t> Ch. from Prev. Yr.</a:t>
                </a:r>
                <a:endParaRPr lang="en-US">
                  <a:solidFill>
                    <a:schemeClr val="tx1"/>
                  </a:solidFill>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675796192"/>
        <c:crosses val="autoZero"/>
        <c:crossBetween val="between"/>
        <c:majorUnit val="0.2"/>
        <c:minorUnit val="5.000000000000001E-2"/>
      </c:valAx>
      <c:spPr>
        <a:noFill/>
        <a:ln>
          <a:noFill/>
        </a:ln>
        <a:effectLst/>
      </c:spPr>
    </c:plotArea>
    <c:legend>
      <c:legendPos val="b"/>
      <c:layout>
        <c:manualLayout>
          <c:xMode val="edge"/>
          <c:yMode val="edge"/>
          <c:x val="0.31169446746788232"/>
          <c:y val="2.6503621144778104E-2"/>
          <c:w val="0.45517574077911316"/>
          <c:h val="0.1086060864013619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F028F-3675-493A-B32C-BC9DE8652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Minnesota Quarterly Export Statistics, 1st Quarter 2019</vt:lpstr>
    </vt:vector>
  </TitlesOfParts>
  <Company>MN DEED</Company>
  <LinksUpToDate>false</LinksUpToDate>
  <CharactersWithSpaces>4733</CharactersWithSpaces>
  <SharedDoc>false</SharedDoc>
  <HLinks>
    <vt:vector size="12" baseType="variant">
      <vt:variant>
        <vt:i4>6488181</vt:i4>
      </vt:variant>
      <vt:variant>
        <vt:i4>9</vt:i4>
      </vt:variant>
      <vt:variant>
        <vt:i4>0</vt:i4>
      </vt:variant>
      <vt:variant>
        <vt:i4>5</vt:i4>
      </vt:variant>
      <vt:variant>
        <vt:lpwstr>http://www.deed.state.mn.us/facts/manufacturing.htm</vt:lpwstr>
      </vt:variant>
      <vt:variant>
        <vt:lpwstr/>
      </vt:variant>
      <vt:variant>
        <vt:i4>3211383</vt:i4>
      </vt:variant>
      <vt:variant>
        <vt:i4>6</vt:i4>
      </vt:variant>
      <vt:variant>
        <vt:i4>0</vt:i4>
      </vt:variant>
      <vt:variant>
        <vt:i4>5</vt:i4>
      </vt:variant>
      <vt:variant>
        <vt:lpwstr>http://www.exportminnesota.com/itradestats.htm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Quarterly Export Statistics, 1st Quarter 2019</dc:title>
  <dc:subject>Minnesota Quarterly Export Statistics</dc:subject>
  <dc:creator>Economic Analysis Unit (T. Ho-Kim)</dc:creator>
  <dc:description>1st Quarter 2019</dc:description>
  <cp:lastModifiedBy>Beatty, Rita (DEED)</cp:lastModifiedBy>
  <cp:revision>4</cp:revision>
  <cp:lastPrinted>2019-05-30T13:24:00Z</cp:lastPrinted>
  <dcterms:created xsi:type="dcterms:W3CDTF">2020-09-10T17:29:00Z</dcterms:created>
  <dcterms:modified xsi:type="dcterms:W3CDTF">2020-09-10T17:31:00Z</dcterms:modified>
</cp:coreProperties>
</file>