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8978" w14:textId="24568D41" w:rsidR="00CE313B" w:rsidRPr="00CB1364" w:rsidRDefault="0094395B" w:rsidP="007F1C4A">
      <w:pPr>
        <w:tabs>
          <w:tab w:val="left" w:pos="360"/>
          <w:tab w:val="left" w:pos="6660"/>
        </w:tabs>
        <w:spacing w:after="240"/>
        <w:jc w:val="center"/>
        <w:sectPr w:rsidR="00CE313B" w:rsidRPr="00CB1364"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CB1364">
        <w:rPr>
          <w:noProof/>
        </w:rPr>
        <mc:AlternateContent>
          <mc:Choice Requires="wps">
            <w:drawing>
              <wp:anchor distT="0" distB="0" distL="114300" distR="114300" simplePos="0" relativeHeight="251656704" behindDoc="0" locked="0" layoutInCell="1" allowOverlap="1" wp14:anchorId="3957BDA5" wp14:editId="76133CC7">
                <wp:simplePos x="0" y="0"/>
                <wp:positionH relativeFrom="column">
                  <wp:posOffset>96520</wp:posOffset>
                </wp:positionH>
                <wp:positionV relativeFrom="paragraph">
                  <wp:posOffset>1136650</wp:posOffset>
                </wp:positionV>
                <wp:extent cx="630301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75523168"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2020</w:t>
                            </w:r>
                            <w:r w:rsidR="00A43E28">
                              <w:rPr>
                                <w:rStyle w:val="Emphasis"/>
                                <w:b/>
                              </w:rPr>
                              <w:t xml:space="preserve"> – Published </w:t>
                            </w:r>
                            <w:r w:rsidR="00A12A9B">
                              <w:rPr>
                                <w:rStyle w:val="Emphasis"/>
                                <w:b/>
                              </w:rPr>
                              <w:t>Decemb</w:t>
                            </w:r>
                            <w:r w:rsidR="00902E31">
                              <w:rPr>
                                <w:rStyle w:val="Emphasis"/>
                                <w:b/>
                              </w:rPr>
                              <w:t>er</w:t>
                            </w:r>
                            <w:r w:rsidR="007818E5">
                              <w:rPr>
                                <w:rStyle w:val="Emphasis"/>
                                <w:b/>
                              </w:rPr>
                              <w:t xml:space="preserve"> 2020</w:t>
                            </w:r>
                          </w:p>
                          <w:p w14:paraId="34B91C04" w14:textId="411FCED7" w:rsidR="007F1C4A" w:rsidRPr="00B577E0" w:rsidRDefault="007F1C4A" w:rsidP="0094395B">
                            <w:pPr>
                              <w:pStyle w:val="NoSpacing"/>
                              <w:jc w:val="center"/>
                              <w:rPr>
                                <w:rStyle w:val="Emphasis"/>
                                <w:b/>
                              </w:rPr>
                            </w:pPr>
                            <w:r>
                              <w:rPr>
                                <w:rStyle w:val="Emphasis"/>
                                <w:b/>
                              </w:rPr>
                              <w:t>For More Information</w:t>
                            </w:r>
                            <w:r w:rsidRPr="007818E5">
                              <w:rPr>
                                <w:rStyle w:val="Emphasis"/>
                              </w:rPr>
                              <w:t xml:space="preserve">: </w:t>
                            </w:r>
                            <w:r w:rsidR="000A1B8D">
                              <w:rPr>
                                <w:rStyle w:val="Strong"/>
                                <w:i/>
                              </w:rPr>
                              <w:t>Rita Beatty 651-259-7534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7.6pt;margin-top:89.5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7IwMAAFYGAAAOAAAAZHJzL2Uyb0RvYy54bWysVVtu1DAU/UdiD5aR+CLNo5lHQjPVdGaC&#10;KrVQ1LIAJ3EmFokdbM8kBSGxB3bISrh2Oo+2PwiYj8jP43vuOffO2Xnf1GhLpWKCJ9g/8TCiPBcF&#10;4+sEf7pLnSlGShNekFpwmuB7qvD57OWLs66NaSAqURdUIgDhKu7aBFdat7HrqryiDVEnoqUcNksh&#10;G6JhKtduIUkH6E3tBp43djshi1aKnCoFq8thE88sflnSXH8oS0U1qhMMsWn7lfabma87OyPxWpK2&#10;YvlDGOQvomgI4/DoHmpJNEEbyZ5BNSyXQolSn+SicUVZspxaDsDG956wua1ISy0XSI5q92lS/w82&#10;f7+9kYgVCQ4w4qQBie5or9GF6BGsFFTlkC1LR3B0zTinSgC3Vd8KqRUCZVDKpNLo44ZIDVoGXuCh&#10;Xz9+optNVjNV0QJdk3u7/PpVP3+bwo1rISm65IOs4JwYoZUEAa7YutKcyjdoPPKdYBQ5Ez+M7DXQ&#10;jul6F14meiNd16oYGNy2wEH3EDNY0Mqg2iuRf1aIi0VF+JrOpRRdRUkBqfPNTffo6oCjDEjWXYsC&#10;HiEbLSxQX8rG6ApKIUAHC93vbWPylMPi+NQ7BfEwymEv9CPfs75ySby73UKC3lHRIDNIsARbWnSy&#10;vVLaREPi3RHzGBcpq2trzZo/WoCDwwq8DVfNnonCOu1b5EWr6WoaOmEwXjmht1w683QROuPUn4yW&#10;p8vFYul/N+/6YVyxoqDcPLNzvR/+mase6m/w6973StSsMHAmJCXX2aKWaEug6lL7szmHncMx93EY&#10;NgnA5QklPwi9iyBy0vF04oRpOHKiiTd1PD+6iMZeGIXL9DGlK8bpv1NCXYKjUTAazHQI+gk3z/6e&#10;cyNxw0wt1KxJ8HR/iMTGgiteWGk1YfUwPkqFCf+QCpB7J7Q1rPHo4FbdZz2gGBdnorgH60oBzgIT&#10;QjOGQSXkV4w6aGwJVl+gNClG9SUH+0d+GJpOaCfhaBLARB7vZMc7hOcAlWCN0TBc6KF7blppinVX&#10;cFzMoWRKZt18iOqh0KB5WVIPjda0k+O5PXX4O5j9BgAA//8DAFBLAwQUAAYACAAAACEASLmqRd0A&#10;AAALAQAADwAAAGRycy9kb3ducmV2LnhtbEyPTUvDQBCG74L/YRnBm501NNbGbIooXhXrB3jbZqdJ&#10;MDsbstsm/nunJz0NL/PwfpSb2ffqSGPsAhu4XmhQxHVwHTcG3t+erm5BxWTZ2T4wGfihCJvq/Ky0&#10;hQsTv9JxmxolJhwLa6BNaSgQY92St3ERBmL57cPobRI5NuhGO4m57zHT+ga97VgSWjvQQ0v19/bg&#10;DXw8778+l/qlefT5MIVZI/s1GnN5Md/fgUo0pz8YTvWlOlTSaRcO7KLqReeZkHJXa9l0ArReyZid&#10;gWyZa8CqxP8bql8AAAD//wMAUEsBAi0AFAAGAAgAAAAhALaDOJL+AAAA4QEAABMAAAAAAAAAAAAA&#10;AAAAAAAAAFtDb250ZW50X1R5cGVzXS54bWxQSwECLQAUAAYACAAAACEAOP0h/9YAAACUAQAACwAA&#10;AAAAAAAAAAAAAAAvAQAAX3JlbHMvLnJlbHNQSwECLQAUAAYACAAAACEARo2/+yMDAABWBgAADgAA&#10;AAAAAAAAAAAAAAAuAgAAZHJzL2Uyb0RvYy54bWxQSwECLQAUAAYACAAAACEASLmqRd0AAAALAQAA&#10;DwAAAAAAAAAAAAAAAAB9BQAAZHJzL2Rvd25yZXYueG1sUEsFBgAAAAAEAAQA8wAAAIcGAAAAAA==&#10;" filled="f" stroked="f">
                <v:textbox>
                  <w:txbxContent>
                    <w:p w14:paraId="482B0058" w14:textId="75523168"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2020</w:t>
                      </w:r>
                      <w:r w:rsidR="00A43E28">
                        <w:rPr>
                          <w:rStyle w:val="Emphasis"/>
                          <w:b/>
                        </w:rPr>
                        <w:t xml:space="preserve"> – Published </w:t>
                      </w:r>
                      <w:r w:rsidR="00A12A9B">
                        <w:rPr>
                          <w:rStyle w:val="Emphasis"/>
                          <w:b/>
                        </w:rPr>
                        <w:t>Decemb</w:t>
                      </w:r>
                      <w:r w:rsidR="00902E31">
                        <w:rPr>
                          <w:rStyle w:val="Emphasis"/>
                          <w:b/>
                        </w:rPr>
                        <w:t>er</w:t>
                      </w:r>
                      <w:r w:rsidR="007818E5">
                        <w:rPr>
                          <w:rStyle w:val="Emphasis"/>
                          <w:b/>
                        </w:rPr>
                        <w:t xml:space="preserve"> 2020</w:t>
                      </w:r>
                    </w:p>
                    <w:p w14:paraId="34B91C04" w14:textId="411FCED7" w:rsidR="007F1C4A" w:rsidRPr="00B577E0" w:rsidRDefault="007F1C4A" w:rsidP="0094395B">
                      <w:pPr>
                        <w:pStyle w:val="NoSpacing"/>
                        <w:jc w:val="center"/>
                        <w:rPr>
                          <w:rStyle w:val="Emphasis"/>
                          <w:b/>
                        </w:rPr>
                      </w:pPr>
                      <w:r>
                        <w:rPr>
                          <w:rStyle w:val="Emphasis"/>
                          <w:b/>
                        </w:rPr>
                        <w:t>For More Information</w:t>
                      </w:r>
                      <w:r w:rsidRPr="007818E5">
                        <w:rPr>
                          <w:rStyle w:val="Emphasis"/>
                        </w:rPr>
                        <w:t xml:space="preserve">: </w:t>
                      </w:r>
                      <w:r w:rsidR="000A1B8D">
                        <w:rPr>
                          <w:rStyle w:val="Strong"/>
                          <w:i/>
                        </w:rPr>
                        <w:t>Rita Beatty 651-259-7534</w:t>
                      </w:r>
                    </w:p>
                  </w:txbxContent>
                </v:textbox>
              </v:shape>
            </w:pict>
          </mc:Fallback>
        </mc:AlternateContent>
      </w:r>
      <w:bookmarkStart w:id="0" w:name="_GoBack"/>
      <w:r w:rsidR="0046703D" w:rsidRPr="00CB1364">
        <w:rPr>
          <w:noProof/>
        </w:rPr>
        <w:drawing>
          <wp:inline distT="0" distB="0" distL="0" distR="0" wp14:anchorId="2775B94D" wp14:editId="41098737">
            <wp:extent cx="6309360" cy="1103630"/>
            <wp:effectExtent l="0" t="0" r="0" b="1270"/>
            <wp:docPr id="3" name="Picture 3" descr="Data on Minnesota Exports for Third Quarter 2020 – Published December 2020&#10;For More Information: Rita Beatty 651-259-7534" title="MN Export statistics 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ES Banner_3rdQtr-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bookmarkEnd w:id="0"/>
    </w:p>
    <w:p w14:paraId="18DCA261" w14:textId="468A02BA" w:rsidR="00641D3B" w:rsidRPr="00CB1364" w:rsidRDefault="00C23DAA" w:rsidP="00145936">
      <w:pPr>
        <w:pStyle w:val="Heading1"/>
        <w:spacing w:before="840"/>
        <w:rPr>
          <w:rFonts w:asciiTheme="minorHAnsi" w:hAnsiTheme="minorHAnsi"/>
          <w:color w:val="auto"/>
          <w:sz w:val="36"/>
          <w:szCs w:val="30"/>
        </w:rPr>
        <w:sectPr w:rsidR="00641D3B" w:rsidRPr="00CB1364"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CB1364">
        <w:rPr>
          <w:rFonts w:asciiTheme="minorHAnsi" w:hAnsiTheme="minorHAnsi"/>
          <w:color w:val="auto"/>
          <w:sz w:val="36"/>
          <w:szCs w:val="30"/>
        </w:rPr>
        <w:t>State Export Decline Continues, Down</w:t>
      </w:r>
      <w:r w:rsidR="007818E5" w:rsidRPr="00CB1364">
        <w:rPr>
          <w:rFonts w:asciiTheme="minorHAnsi" w:hAnsiTheme="minorHAnsi"/>
          <w:color w:val="auto"/>
          <w:sz w:val="36"/>
          <w:szCs w:val="30"/>
        </w:rPr>
        <w:t xml:space="preserve"> </w:t>
      </w:r>
      <w:r w:rsidRPr="00CB1364">
        <w:rPr>
          <w:rFonts w:asciiTheme="minorHAnsi" w:hAnsiTheme="minorHAnsi"/>
          <w:color w:val="auto"/>
          <w:sz w:val="36"/>
          <w:szCs w:val="30"/>
        </w:rPr>
        <w:t xml:space="preserve">14%, </w:t>
      </w:r>
      <w:r w:rsidR="00BD6641" w:rsidRPr="00CB1364">
        <w:rPr>
          <w:rFonts w:asciiTheme="minorHAnsi" w:hAnsiTheme="minorHAnsi"/>
          <w:color w:val="auto"/>
          <w:sz w:val="36"/>
          <w:szCs w:val="30"/>
        </w:rPr>
        <w:t xml:space="preserve">in </w:t>
      </w:r>
      <w:r w:rsidR="0046703D" w:rsidRPr="00CB1364">
        <w:rPr>
          <w:rFonts w:asciiTheme="minorHAnsi" w:hAnsiTheme="minorHAnsi"/>
          <w:color w:val="auto"/>
          <w:sz w:val="36"/>
          <w:szCs w:val="30"/>
        </w:rPr>
        <w:t>Third</w:t>
      </w:r>
      <w:r w:rsidR="00BD6641" w:rsidRPr="00CB1364">
        <w:rPr>
          <w:rFonts w:asciiTheme="minorHAnsi" w:hAnsiTheme="minorHAnsi"/>
          <w:color w:val="auto"/>
          <w:sz w:val="36"/>
          <w:szCs w:val="30"/>
        </w:rPr>
        <w:t xml:space="preserve"> Quarter</w:t>
      </w:r>
    </w:p>
    <w:p w14:paraId="634E1849" w14:textId="0141E967" w:rsidR="00BB4344" w:rsidRPr="00CB1364" w:rsidRDefault="007F1C4A" w:rsidP="00575F88">
      <w:pPr>
        <w:pStyle w:val="ListParagraph"/>
        <w:numPr>
          <w:ilvl w:val="0"/>
          <w:numId w:val="9"/>
        </w:numPr>
        <w:spacing w:after="0"/>
      </w:pPr>
      <w:r w:rsidRPr="00CB1364">
        <w:t>Minnesota exports (including agricultural, mining and manufact</w:t>
      </w:r>
      <w:r w:rsidR="00A02A94" w:rsidRPr="00CB1364">
        <w:t>ured products) wer</w:t>
      </w:r>
      <w:r w:rsidR="00E92FA6" w:rsidRPr="00CB1364">
        <w:t>e valued at $</w:t>
      </w:r>
      <w:r w:rsidR="00C23DAA" w:rsidRPr="00CB1364">
        <w:t>4.8 billion</w:t>
      </w:r>
      <w:r w:rsidR="00DB304D" w:rsidRPr="00CB1364">
        <w:t xml:space="preserve"> in the third quarter of 2020, fall</w:t>
      </w:r>
      <w:r w:rsidR="00223F46" w:rsidRPr="00CB1364">
        <w:t>ing by</w:t>
      </w:r>
      <w:r w:rsidR="00530F70" w:rsidRPr="00CB1364">
        <w:t xml:space="preserve"> </w:t>
      </w:r>
      <w:r w:rsidR="00C23DAA" w:rsidRPr="00CB1364">
        <w:t>14</w:t>
      </w:r>
      <w:r w:rsidR="007818E5" w:rsidRPr="00CB1364">
        <w:t>%</w:t>
      </w:r>
      <w:r w:rsidR="00B5144B" w:rsidRPr="00CB1364">
        <w:t xml:space="preserve"> (or $</w:t>
      </w:r>
      <w:r w:rsidR="00C23DAA" w:rsidRPr="00CB1364">
        <w:t>803 million</w:t>
      </w:r>
      <w:r w:rsidRPr="00CB1364">
        <w:t xml:space="preserve">) </w:t>
      </w:r>
      <w:r w:rsidR="00DB304D" w:rsidRPr="00CB1364">
        <w:t xml:space="preserve">since </w:t>
      </w:r>
      <w:r w:rsidRPr="00CB1364">
        <w:t xml:space="preserve">the </w:t>
      </w:r>
      <w:r w:rsidR="0046703D" w:rsidRPr="00CB1364">
        <w:t>third</w:t>
      </w:r>
      <w:r w:rsidRPr="00CB1364">
        <w:t xml:space="preserve"> qu</w:t>
      </w:r>
      <w:r w:rsidR="00DB304D" w:rsidRPr="00CB1364">
        <w:t>arter</w:t>
      </w:r>
      <w:r w:rsidR="00957BCF" w:rsidRPr="00CB1364">
        <w:t xml:space="preserve"> of </w:t>
      </w:r>
      <w:r w:rsidR="00223F46" w:rsidRPr="00CB1364">
        <w:t>2019</w:t>
      </w:r>
      <w:r w:rsidR="00B85149" w:rsidRPr="00CB1364">
        <w:t xml:space="preserve">. </w:t>
      </w:r>
    </w:p>
    <w:p w14:paraId="46069970" w14:textId="6BA94224" w:rsidR="006D7A33" w:rsidRPr="00CB1364" w:rsidRDefault="00C97041" w:rsidP="00902E31">
      <w:pPr>
        <w:pStyle w:val="ListParagraph"/>
        <w:numPr>
          <w:ilvl w:val="0"/>
          <w:numId w:val="9"/>
        </w:numPr>
        <w:spacing w:after="0"/>
      </w:pPr>
      <w:r w:rsidRPr="00CB1364">
        <w:t>U.S. exports</w:t>
      </w:r>
      <w:r w:rsidR="00742415" w:rsidRPr="00CB1364">
        <w:t xml:space="preserve"> of goods</w:t>
      </w:r>
      <w:r w:rsidR="00C23DAA" w:rsidRPr="00CB1364">
        <w:t xml:space="preserve"> fell</w:t>
      </w:r>
      <w:r w:rsidR="00C057FE" w:rsidRPr="00CB1364">
        <w:t xml:space="preserve"> </w:t>
      </w:r>
      <w:r w:rsidR="00C23DAA" w:rsidRPr="00CB1364">
        <w:t>1</w:t>
      </w:r>
      <w:r w:rsidRPr="00CB1364">
        <w:t>3</w:t>
      </w:r>
      <w:r w:rsidR="007818E5" w:rsidRPr="00CB1364">
        <w:t>%</w:t>
      </w:r>
      <w:r w:rsidR="00521967" w:rsidRPr="00CB1364">
        <w:t xml:space="preserve"> during this period</w:t>
      </w:r>
      <w:r w:rsidR="00902E31" w:rsidRPr="00CB1364">
        <w:t>. R</w:t>
      </w:r>
      <w:r w:rsidR="007D3342" w:rsidRPr="00CB1364">
        <w:t>eflecting the</w:t>
      </w:r>
      <w:r w:rsidR="0067275F">
        <w:t xml:space="preserve"> persistent</w:t>
      </w:r>
      <w:r w:rsidR="007D3342" w:rsidRPr="00CB1364">
        <w:t xml:space="preserve"> </w:t>
      </w:r>
      <w:r w:rsidR="000D02DD" w:rsidRPr="00CB1364">
        <w:t xml:space="preserve">widespread impact of </w:t>
      </w:r>
      <w:r w:rsidR="007D3342" w:rsidRPr="00CB1364">
        <w:t>the pandemic</w:t>
      </w:r>
      <w:r w:rsidR="00902E31" w:rsidRPr="00CB1364">
        <w:t>, e</w:t>
      </w:r>
      <w:r w:rsidR="00716311" w:rsidRPr="00CB1364">
        <w:t xml:space="preserve">xports </w:t>
      </w:r>
      <w:r w:rsidR="00D0438E" w:rsidRPr="00CB1364">
        <w:t xml:space="preserve">decreased </w:t>
      </w:r>
      <w:r w:rsidR="0088063C" w:rsidRPr="00CB1364">
        <w:t>f</w:t>
      </w:r>
      <w:r w:rsidR="00582DC9" w:rsidRPr="00CB1364">
        <w:t>r</w:t>
      </w:r>
      <w:r w:rsidR="0088063C" w:rsidRPr="00CB1364">
        <w:t>om</w:t>
      </w:r>
      <w:r w:rsidR="00223F46" w:rsidRPr="00CB1364">
        <w:t xml:space="preserve"> </w:t>
      </w:r>
      <w:r w:rsidR="00092FFB" w:rsidRPr="00CB1364">
        <w:t>4</w:t>
      </w:r>
      <w:r w:rsidR="00C23DAA" w:rsidRPr="00CB1364">
        <w:t>3</w:t>
      </w:r>
      <w:r w:rsidR="00092FFB" w:rsidRPr="00CB1364">
        <w:t xml:space="preserve"> states</w:t>
      </w:r>
      <w:r w:rsidR="00223F46" w:rsidRPr="00CB1364">
        <w:t xml:space="preserve"> and th</w:t>
      </w:r>
      <w:r w:rsidR="00D0438E" w:rsidRPr="00CB1364">
        <w:t>e District of Columbia</w:t>
      </w:r>
      <w:r w:rsidR="00C23DAA" w:rsidRPr="00CB1364">
        <w:t xml:space="preserve">. </w:t>
      </w:r>
      <w:r w:rsidR="00902E31" w:rsidRPr="00CB1364">
        <w:t xml:space="preserve">Exports increased from </w:t>
      </w:r>
      <w:r w:rsidR="00C23DAA" w:rsidRPr="00CB1364">
        <w:t>Nevada, Oregon</w:t>
      </w:r>
      <w:r w:rsidR="00902E31" w:rsidRPr="00CB1364">
        <w:t>, New Jersey, Idaho and Missouri</w:t>
      </w:r>
      <w:r w:rsidR="00DB304D" w:rsidRPr="00CB1364">
        <w:t>;</w:t>
      </w:r>
      <w:r w:rsidR="00C23DAA" w:rsidRPr="00CB1364">
        <w:t xml:space="preserve"> </w:t>
      </w:r>
      <w:r w:rsidR="00902E31" w:rsidRPr="00CB1364">
        <w:t>and</w:t>
      </w:r>
      <w:r w:rsidR="00C23DAA" w:rsidRPr="00CB1364">
        <w:t xml:space="preserve"> </w:t>
      </w:r>
      <w:r w:rsidR="00902E31" w:rsidRPr="00CB1364">
        <w:t xml:space="preserve">were unchanged </w:t>
      </w:r>
      <w:r w:rsidR="00C23DAA" w:rsidRPr="00CB1364">
        <w:t>from Utah and Iowa</w:t>
      </w:r>
      <w:r w:rsidR="00DD736C" w:rsidRPr="00CB1364">
        <w:t>.</w:t>
      </w:r>
    </w:p>
    <w:p w14:paraId="06392D44" w14:textId="72EDAEA3" w:rsidR="006D7A33" w:rsidRPr="00CB1364" w:rsidRDefault="00692D3B" w:rsidP="006D7A33">
      <w:pPr>
        <w:pStyle w:val="ListParagraph"/>
        <w:numPr>
          <w:ilvl w:val="0"/>
          <w:numId w:val="9"/>
        </w:numPr>
        <w:spacing w:after="0"/>
      </w:pPr>
      <w:r w:rsidRPr="00CB1364">
        <w:t xml:space="preserve">Minnesota </w:t>
      </w:r>
      <w:r w:rsidRPr="00CB1364">
        <w:rPr>
          <w:i/>
        </w:rPr>
        <w:t>manufactured</w:t>
      </w:r>
      <w:r w:rsidR="001F7EBF" w:rsidRPr="00CB1364">
        <w:t xml:space="preserve"> exports</w:t>
      </w:r>
      <w:r w:rsidR="00DD736C" w:rsidRPr="00CB1364">
        <w:t xml:space="preserve"> contracted</w:t>
      </w:r>
      <w:r w:rsidR="00C97041" w:rsidRPr="00CB1364">
        <w:t xml:space="preserve"> </w:t>
      </w:r>
      <w:r w:rsidR="00C23DAA" w:rsidRPr="00CB1364">
        <w:t>13</w:t>
      </w:r>
      <w:r w:rsidR="00742415" w:rsidRPr="00CB1364">
        <w:t>%</w:t>
      </w:r>
      <w:r w:rsidR="00C97041" w:rsidRPr="00CB1364">
        <w:t xml:space="preserve"> to </w:t>
      </w:r>
      <w:r w:rsidR="00C23DAA" w:rsidRPr="00CB1364">
        <w:t>$4.5</w:t>
      </w:r>
      <w:r w:rsidR="004A3CC9" w:rsidRPr="00CB1364">
        <w:t xml:space="preserve"> billion</w:t>
      </w:r>
      <w:r w:rsidRPr="00CB1364">
        <w:t xml:space="preserve"> </w:t>
      </w:r>
      <w:r w:rsidR="007F1C4A" w:rsidRPr="00CB1364">
        <w:t xml:space="preserve">in the </w:t>
      </w:r>
      <w:r w:rsidR="0046703D" w:rsidRPr="00CB1364">
        <w:t>third</w:t>
      </w:r>
      <w:r w:rsidR="007F1C4A" w:rsidRPr="00CB1364">
        <w:t xml:space="preserve"> quarter of </w:t>
      </w:r>
      <w:r w:rsidR="007818E5" w:rsidRPr="00CB1364">
        <w:t>2020</w:t>
      </w:r>
      <w:r w:rsidR="00902E31" w:rsidRPr="00CB1364">
        <w:t>.</w:t>
      </w:r>
      <w:r w:rsidR="00C23DAA" w:rsidRPr="00CB1364">
        <w:t xml:space="preserve"> </w:t>
      </w:r>
      <w:r w:rsidR="00E42787" w:rsidRPr="00CB1364">
        <w:t>U.S</w:t>
      </w:r>
      <w:r w:rsidR="00742415" w:rsidRPr="00CB1364">
        <w:t xml:space="preserve">. </w:t>
      </w:r>
      <w:r w:rsidR="00742415" w:rsidRPr="00CB1364">
        <w:rPr>
          <w:i/>
        </w:rPr>
        <w:t>manufactured</w:t>
      </w:r>
      <w:r w:rsidR="00742415" w:rsidRPr="00CB1364">
        <w:t xml:space="preserve"> exports </w:t>
      </w:r>
      <w:r w:rsidR="00C23DAA" w:rsidRPr="00CB1364">
        <w:t>sank 14</w:t>
      </w:r>
      <w:r w:rsidR="007818E5" w:rsidRPr="00CB1364">
        <w:t>%</w:t>
      </w:r>
      <w:r w:rsidR="00557377" w:rsidRPr="00CB1364">
        <w:t>.</w:t>
      </w:r>
    </w:p>
    <w:p w14:paraId="5A8A396E" w14:textId="1FB811DF" w:rsidR="00E16ECF" w:rsidRPr="00CB1364" w:rsidRDefault="00C23DAA" w:rsidP="00902E31">
      <w:pPr>
        <w:pStyle w:val="ListParagraph"/>
        <w:numPr>
          <w:ilvl w:val="0"/>
          <w:numId w:val="9"/>
        </w:numPr>
        <w:spacing w:after="120" w:line="271" w:lineRule="auto"/>
      </w:pPr>
      <w:r w:rsidRPr="00CB1364">
        <w:t>For first nine</w:t>
      </w:r>
      <w:r w:rsidR="00E9144E" w:rsidRPr="00CB1364">
        <w:t xml:space="preserve"> months </w:t>
      </w:r>
      <w:r w:rsidR="00DD736C" w:rsidRPr="00CB1364">
        <w:t xml:space="preserve">of </w:t>
      </w:r>
      <w:r w:rsidR="00E16ECF" w:rsidRPr="00CB1364">
        <w:t xml:space="preserve">2020, </w:t>
      </w:r>
      <w:r w:rsidR="000A1B8D" w:rsidRPr="00CB1364">
        <w:t xml:space="preserve">total </w:t>
      </w:r>
      <w:r w:rsidR="00E9144E" w:rsidRPr="00CB1364">
        <w:t>Minnesota exports fell</w:t>
      </w:r>
      <w:r w:rsidRPr="00CB1364">
        <w:t xml:space="preserve"> 9%, while </w:t>
      </w:r>
      <w:r w:rsidR="00E9144E" w:rsidRPr="00CB1364">
        <w:t xml:space="preserve">U.S. </w:t>
      </w:r>
      <w:r w:rsidRPr="00CB1364">
        <w:t xml:space="preserve">exports </w:t>
      </w:r>
      <w:r w:rsidR="00E9144E" w:rsidRPr="00CB1364">
        <w:t xml:space="preserve">dropped </w:t>
      </w:r>
      <w:r w:rsidRPr="00CB1364">
        <w:t>15</w:t>
      </w:r>
      <w:r w:rsidR="00E9144E" w:rsidRPr="00CB1364">
        <w:t>%</w:t>
      </w:r>
      <w:r w:rsidR="00707559" w:rsidRPr="00CB1364">
        <w:t>.</w:t>
      </w:r>
    </w:p>
    <w:p w14:paraId="03CA25DA" w14:textId="6BCE38EE" w:rsidR="007F1C4A" w:rsidRPr="00CB1364" w:rsidRDefault="007F1C4A" w:rsidP="00707559">
      <w:pPr>
        <w:spacing w:before="120" w:after="0" w:line="271" w:lineRule="auto"/>
        <w:rPr>
          <w:rStyle w:val="Heading4Char"/>
          <w:rFonts w:eastAsiaTheme="minorEastAsia" w:cstheme="minorBidi"/>
          <w:bCs w:val="0"/>
          <w:i w:val="0"/>
          <w:iCs w:val="0"/>
          <w:color w:val="auto"/>
          <w:sz w:val="22"/>
        </w:rPr>
      </w:pPr>
      <w:r w:rsidRPr="00CB1364">
        <w:rPr>
          <w:rStyle w:val="Heading4Char"/>
          <w:color w:val="auto"/>
        </w:rPr>
        <w:t xml:space="preserve">Figure </w:t>
      </w:r>
      <w:r w:rsidRPr="00CB1364">
        <w:rPr>
          <w:rStyle w:val="Heading4Char"/>
          <w:color w:val="auto"/>
        </w:rPr>
        <w:fldChar w:fldCharType="begin"/>
      </w:r>
      <w:r w:rsidRPr="00CB1364">
        <w:rPr>
          <w:rStyle w:val="Heading4Char"/>
          <w:color w:val="auto"/>
        </w:rPr>
        <w:instrText xml:space="preserve"> SEQ Figure \* ARABIC </w:instrText>
      </w:r>
      <w:r w:rsidRPr="00CB1364">
        <w:rPr>
          <w:rStyle w:val="Heading4Char"/>
          <w:color w:val="auto"/>
        </w:rPr>
        <w:fldChar w:fldCharType="separate"/>
      </w:r>
      <w:r w:rsidR="00900302" w:rsidRPr="00CB1364">
        <w:rPr>
          <w:rStyle w:val="Heading4Char"/>
          <w:noProof/>
          <w:color w:val="auto"/>
        </w:rPr>
        <w:t>1</w:t>
      </w:r>
      <w:r w:rsidRPr="00CB1364">
        <w:rPr>
          <w:rStyle w:val="Heading4Char"/>
          <w:color w:val="auto"/>
        </w:rPr>
        <w:fldChar w:fldCharType="end"/>
      </w:r>
      <w:r w:rsidR="00A52415" w:rsidRPr="00CB1364">
        <w:rPr>
          <w:rStyle w:val="Heading4Char"/>
          <w:color w:val="auto"/>
        </w:rPr>
        <w:t xml:space="preserve">. </w:t>
      </w:r>
      <w:r w:rsidR="00D0438E" w:rsidRPr="00CB1364">
        <w:rPr>
          <w:rStyle w:val="Heading4Char"/>
          <w:color w:val="auto"/>
        </w:rPr>
        <w:t>Exports Decline from</w:t>
      </w:r>
      <w:r w:rsidR="0046703D" w:rsidRPr="00CB1364">
        <w:rPr>
          <w:rStyle w:val="Heading4Char"/>
          <w:color w:val="auto"/>
        </w:rPr>
        <w:t xml:space="preserve"> </w:t>
      </w:r>
      <w:r w:rsidR="000D02DD" w:rsidRPr="00CB1364">
        <w:rPr>
          <w:rStyle w:val="Heading4Char"/>
          <w:color w:val="auto"/>
        </w:rPr>
        <w:t>43</w:t>
      </w:r>
      <w:r w:rsidR="00D0438E" w:rsidRPr="00CB1364">
        <w:rPr>
          <w:rStyle w:val="Heading4Char"/>
          <w:color w:val="auto"/>
        </w:rPr>
        <w:t xml:space="preserve"> States and</w:t>
      </w:r>
      <w:r w:rsidR="00293DCF" w:rsidRPr="00CB1364">
        <w:rPr>
          <w:rStyle w:val="Heading4Char"/>
          <w:color w:val="auto"/>
        </w:rPr>
        <w:t xml:space="preserve"> </w:t>
      </w:r>
      <w:r w:rsidR="00521967" w:rsidRPr="00CB1364">
        <w:rPr>
          <w:rStyle w:val="Heading4Char"/>
          <w:color w:val="auto"/>
        </w:rPr>
        <w:t>DC</w:t>
      </w:r>
    </w:p>
    <w:p w14:paraId="7D1ADD74" w14:textId="220BC5AB" w:rsidR="007F1C4A" w:rsidRPr="00CB1364" w:rsidRDefault="00D0438E" w:rsidP="007F1C4A">
      <w:pPr>
        <w:spacing w:after="0"/>
      </w:pPr>
      <w:r w:rsidRPr="00CB1364">
        <w:rPr>
          <w:noProof/>
        </w:rPr>
        <mc:AlternateContent>
          <mc:Choice Requires="wps">
            <w:drawing>
              <wp:anchor distT="0" distB="0" distL="114300" distR="114300" simplePos="0" relativeHeight="251658752" behindDoc="0" locked="0" layoutInCell="1" allowOverlap="1" wp14:anchorId="24E76B40" wp14:editId="19BCB88D">
                <wp:simplePos x="0" y="0"/>
                <wp:positionH relativeFrom="margin">
                  <wp:posOffset>6065520</wp:posOffset>
                </wp:positionH>
                <wp:positionV relativeFrom="paragraph">
                  <wp:posOffset>1513840</wp:posOffset>
                </wp:positionV>
                <wp:extent cx="688975" cy="374650"/>
                <wp:effectExtent l="0" t="0" r="0" b="635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74650"/>
                        </a:xfrm>
                        <a:prstGeom prst="rect">
                          <a:avLst/>
                        </a:prstGeom>
                        <a:noFill/>
                        <a:ln w="9525">
                          <a:noFill/>
                          <a:miter lim="800000"/>
                          <a:headEnd/>
                          <a:tailEnd/>
                        </a:ln>
                      </wps:spPr>
                      <wps:txbx>
                        <w:txbxContent>
                          <w:p w14:paraId="60A296D5" w14:textId="1ACEF682" w:rsidR="007F1C4A" w:rsidRPr="00D0438E" w:rsidRDefault="007F1C4A" w:rsidP="007F1C4A">
                            <w:pPr>
                              <w:spacing w:after="0"/>
                              <w:rPr>
                                <w:b/>
                                <w:i/>
                                <w:sz w:val="18"/>
                              </w:rPr>
                            </w:pPr>
                            <w:r w:rsidRPr="00D0438E">
                              <w:rPr>
                                <w:b/>
                                <w:i/>
                                <w:sz w:val="18"/>
                              </w:rPr>
                              <w:t>M</w:t>
                            </w:r>
                            <w:r w:rsidR="00C23DAA" w:rsidRPr="00D0438E">
                              <w:rPr>
                                <w:b/>
                                <w:i/>
                                <w:sz w:val="18"/>
                              </w:rPr>
                              <w:t>N:  -14</w:t>
                            </w:r>
                            <w:r w:rsidRPr="00D0438E">
                              <w:rPr>
                                <w:b/>
                                <w:i/>
                                <w:sz w:val="18"/>
                              </w:rPr>
                              <w:t>%</w:t>
                            </w:r>
                          </w:p>
                          <w:p w14:paraId="588145EA" w14:textId="20BAF0B1" w:rsidR="007F1C4A" w:rsidRPr="00D0438E" w:rsidRDefault="00293DCF" w:rsidP="007F1C4A">
                            <w:pPr>
                              <w:spacing w:after="0"/>
                              <w:rPr>
                                <w:b/>
                                <w:i/>
                                <w:sz w:val="18"/>
                              </w:rPr>
                            </w:pPr>
                            <w:r w:rsidRPr="00D0438E">
                              <w:rPr>
                                <w:b/>
                                <w:i/>
                                <w:sz w:val="18"/>
                              </w:rPr>
                              <w:t>U.S.: -</w:t>
                            </w:r>
                            <w:r w:rsidR="00C23DAA" w:rsidRPr="00D0438E">
                              <w:rPr>
                                <w:b/>
                                <w:i/>
                                <w:sz w:val="18"/>
                              </w:rPr>
                              <w:t>1</w:t>
                            </w:r>
                            <w:r w:rsidRPr="00D0438E">
                              <w:rPr>
                                <w:b/>
                                <w:i/>
                                <w:sz w:val="18"/>
                              </w:rPr>
                              <w:t>3</w:t>
                            </w:r>
                            <w:r w:rsidR="007F1C4A" w:rsidRPr="00D0438E">
                              <w:rPr>
                                <w:b/>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7.6pt;margin-top:119.2pt;width:54.25pt;height: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pFOwIAADoEAAAOAAAAZHJzL2Uyb0RvYy54bWysU9tu2zAMfR+wfxA0bG+NnXvixSmydh0G&#10;tN2AtB8gy3IsTBY1SYmdff0oOU2D7W2YAQuiaR7yHJKr665R5CCsk6BzOhyklAjNoZR6l9Pnp7ur&#10;BSXOM10yBVrk9CgcvV6/fbNqTSZGUIMqhSUIol3WmpzW3pssSRyvRcPcAIzQ6KzANsyjaXdJaVmL&#10;6I1KRmk6S1qwpbHAhXP49bZ30nXEryrB/beqcsITlVOszcfTxrMIZ7JesWxnmaklP5XB/qGKhkmN&#10;Sc9Qt8wzsrfyL6hGcgsOKj/g0CRQVZKLyAHZDNM/2GxrZkTkguI4c5bJ/T9Y/nj4boksczpO55Ro&#10;1mCTnkTnySfoyIiSUjiOej08ZuRquHj/4V23+fg82A7QHKe9ibJKrzCulrta4euJDwgFdEHf1rgM&#10;02wNJvIdwuKcRK2cuQf+wxENNzXTO7GxFtpasBL5DUNkchHa47gAUrQPUGI6tvcQgbrKNkF8lJMg&#10;Ovb5eO5tKITjx9lisZxPKeHoGs8ns2nsfcKyl2Bjnf8ioCHhklOLoxPB2eHe+VAMy15+Cbk03Eml&#10;4vgoTdqcLqejaQy48DTS43Qr2eR0kYann7fA8bMuY7BnUvV3TKD0iXTg2TP2XdHF/kRFgiAFlEdU&#10;wUI/zLh8eKnB/qKkxUHOqfu5Z1ZQor5qVHI5nEzC5EdjMp2P0LCXnuLSwzRHqJx6SvrrjY/b0lPe&#10;oOKVjGq8VnIqGQc0inRaprABl3b863Xl178BAAD//wMAUEsDBBQABgAIAAAAIQAuUcN74AAAAAwB&#10;AAAPAAAAZHJzL2Rvd25yZXYueG1sTI9NT8MwDIbvSPyHyEjcWELXbmtpOiEQVxDjQ+LmNV5b0ThV&#10;k63l35Od4Gj70evnLbez7cWJRt851nC7UCCIa2c6bjS8vz3dbED4gGywd0wafsjDtrq8KLEwbuJX&#10;Ou1CI2II+wI1tCEMhZS+bsmiX7iBON4ObrQY4jg20ow4xXDby0SplbTYcfzQ4kAPLdXfu6PV8PF8&#10;+PpM1UvzaLNhcrOSbHOp9fXVfH8HItAc/mA460d1qKLT3h3ZeNFryLMsiaiGZLlJQZwJtVquQezj&#10;Kl+nIKtS/i9R/QIAAP//AwBQSwECLQAUAAYACAAAACEAtoM4kv4AAADhAQAAEwAAAAAAAAAAAAAA&#10;AAAAAAAAW0NvbnRlbnRfVHlwZXNdLnhtbFBLAQItABQABgAIAAAAIQA4/SH/1gAAAJQBAAALAAAA&#10;AAAAAAAAAAAAAC8BAABfcmVscy8ucmVsc1BLAQItABQABgAIAAAAIQDkJRpFOwIAADoEAAAOAAAA&#10;AAAAAAAAAAAAAC4CAABkcnMvZTJvRG9jLnhtbFBLAQItABQABgAIAAAAIQAuUcN74AAAAAwBAAAP&#10;AAAAAAAAAAAAAAAAAJUEAABkcnMvZG93bnJldi54bWxQSwUGAAAAAAQABADzAAAAogUAAAAA&#10;" filled="f" stroked="f">
                <v:textbox>
                  <w:txbxContent>
                    <w:p w14:paraId="60A296D5" w14:textId="1ACEF682" w:rsidR="007F1C4A" w:rsidRPr="00D0438E" w:rsidRDefault="007F1C4A" w:rsidP="007F1C4A">
                      <w:pPr>
                        <w:spacing w:after="0"/>
                        <w:rPr>
                          <w:b/>
                          <w:i/>
                          <w:sz w:val="18"/>
                        </w:rPr>
                      </w:pPr>
                      <w:r w:rsidRPr="00D0438E">
                        <w:rPr>
                          <w:b/>
                          <w:i/>
                          <w:sz w:val="18"/>
                        </w:rPr>
                        <w:t>M</w:t>
                      </w:r>
                      <w:r w:rsidR="00C23DAA" w:rsidRPr="00D0438E">
                        <w:rPr>
                          <w:b/>
                          <w:i/>
                          <w:sz w:val="18"/>
                        </w:rPr>
                        <w:t>N:  -14</w:t>
                      </w:r>
                      <w:r w:rsidRPr="00D0438E">
                        <w:rPr>
                          <w:b/>
                          <w:i/>
                          <w:sz w:val="18"/>
                        </w:rPr>
                        <w:t>%</w:t>
                      </w:r>
                    </w:p>
                    <w:p w14:paraId="588145EA" w14:textId="20BAF0B1" w:rsidR="007F1C4A" w:rsidRPr="00D0438E" w:rsidRDefault="00293DCF" w:rsidP="007F1C4A">
                      <w:pPr>
                        <w:spacing w:after="0"/>
                        <w:rPr>
                          <w:b/>
                          <w:i/>
                          <w:sz w:val="18"/>
                        </w:rPr>
                      </w:pPr>
                      <w:r w:rsidRPr="00D0438E">
                        <w:rPr>
                          <w:b/>
                          <w:i/>
                          <w:sz w:val="18"/>
                        </w:rPr>
                        <w:t>U.S.: -</w:t>
                      </w:r>
                      <w:r w:rsidR="00C23DAA" w:rsidRPr="00D0438E">
                        <w:rPr>
                          <w:b/>
                          <w:i/>
                          <w:sz w:val="18"/>
                        </w:rPr>
                        <w:t>1</w:t>
                      </w:r>
                      <w:r w:rsidRPr="00D0438E">
                        <w:rPr>
                          <w:b/>
                          <w:i/>
                          <w:sz w:val="18"/>
                        </w:rPr>
                        <w:t>3</w:t>
                      </w:r>
                      <w:r w:rsidR="007F1C4A" w:rsidRPr="00D0438E">
                        <w:rPr>
                          <w:b/>
                          <w:i/>
                          <w:sz w:val="18"/>
                        </w:rPr>
                        <w:t>%</w:t>
                      </w:r>
                    </w:p>
                  </w:txbxContent>
                </v:textbox>
                <w10:wrap anchorx="margin"/>
              </v:shape>
            </w:pict>
          </mc:Fallback>
        </mc:AlternateContent>
      </w:r>
      <w:r w:rsidR="007F1C4A" w:rsidRPr="00CB1364">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CB1364">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14:anchorId="5E288F40" wp14:editId="33007DB7">
            <wp:extent cx="3308350" cy="1876583"/>
            <wp:effectExtent l="0" t="0" r="6350" b="9525"/>
            <wp:docPr id="1" name="Picture 1" descr=" State  Percent Change&#10;MN -14%&#10;US -13%&#10;AL -23%&#10;AK -29%&#10;AR -17%&#10;AZ -28%&#10;CA -7%&#10;CO -2%&#10;CT -12%&#10;DC -45%&#10;DE -17%&#10;FL -22%&#10;GA -6%&#10;HI -43%&#10;IA 0%&#10;ID 7%&#10;IL -12%&#10;IN -5%&#10;KS -14%&#10;KY -29%&#10;LA -13%&#10;MA -6%&#10;MD -9%&#10;ME -20%&#10;MI -14%&#10;MO 3%&#10;MS -15%&#10;MT -27%&#10;NC -16%&#10;ND -36%&#10;NE -2%&#10;NH -16%&#10;NJ 10%&#10;NM -32%&#10;NV 22%&#10;NY -7%&#10;OH -15%&#10;OK -20%&#10;OR 16%&#10;PA -8%&#10;RI -24%&#10;SC -27%&#10;SD -6%&#10;TN -10%&#10;TX -18%&#10;UT 0%&#10;VA -17%&#10;VT -23%&#10;WA -31%&#10;WI -2%&#10;WV -26%&#10;WY -22%&#10;" title="Figure 1 US Map of States. Exports decline from 43 states and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kim\Work from home files\wfh files_Main\Tableau, Viz\MTO Tableau files\Export Stats Reports\Newsletter &amp; Fact Sheet charts\2020-Q3 US 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261" b="13143"/>
                    <a:stretch/>
                  </pic:blipFill>
                  <pic:spPr bwMode="auto">
                    <a:xfrm>
                      <a:off x="0" y="0"/>
                      <a:ext cx="3328263" cy="1887878"/>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F8CA7BD" w:rsidR="007F1C4A" w:rsidRPr="00CB1364" w:rsidRDefault="007F1C4A" w:rsidP="007F1C4A">
      <w:pPr>
        <w:spacing w:after="0"/>
        <w:rPr>
          <w:i/>
          <w:sz w:val="18"/>
        </w:rPr>
      </w:pPr>
      <w:r w:rsidRPr="00CB1364">
        <w:rPr>
          <w:i/>
          <w:sz w:val="18"/>
        </w:rPr>
        <w:t xml:space="preserve"> Decline     0%   Growth</w:t>
      </w:r>
    </w:p>
    <w:p w14:paraId="6B23B2F3" w14:textId="4330A419" w:rsidR="00BE4DAD" w:rsidRPr="00CB1364" w:rsidRDefault="00A52415" w:rsidP="00173D78">
      <w:pPr>
        <w:spacing w:after="0"/>
        <w:rPr>
          <w:rFonts w:ascii="Arial Narrow" w:hAnsi="Arial Narrow"/>
          <w:sz w:val="2"/>
          <w:szCs w:val="2"/>
        </w:rPr>
        <w:sectPr w:rsidR="00BE4DAD" w:rsidRPr="00CB1364"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CB1364">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0A6B949F" w:rsidR="00E83789" w:rsidRPr="00CB1364" w:rsidRDefault="007D2D9B" w:rsidP="00902E31">
      <w:pPr>
        <w:pStyle w:val="Heading2"/>
        <w:spacing w:before="0"/>
        <w:rPr>
          <w:rFonts w:asciiTheme="minorHAnsi" w:hAnsiTheme="minorHAnsi"/>
          <w:b w:val="0"/>
          <w:i/>
          <w:color w:val="auto"/>
          <w:sz w:val="28"/>
        </w:rPr>
      </w:pPr>
      <w:r w:rsidRPr="00CB1364">
        <w:rPr>
          <w:rFonts w:asciiTheme="minorHAnsi" w:hAnsiTheme="minorHAnsi"/>
          <w:b w:val="0"/>
          <w:i/>
          <w:color w:val="auto"/>
          <w:sz w:val="28"/>
        </w:rPr>
        <w:t xml:space="preserve">Global </w:t>
      </w:r>
      <w:r w:rsidR="00A745E3" w:rsidRPr="00CB1364">
        <w:rPr>
          <w:rFonts w:asciiTheme="minorHAnsi" w:hAnsiTheme="minorHAnsi"/>
          <w:b w:val="0"/>
          <w:i/>
          <w:color w:val="auto"/>
          <w:sz w:val="28"/>
        </w:rPr>
        <w:t xml:space="preserve">Exports </w:t>
      </w:r>
      <w:r w:rsidR="00DB304D" w:rsidRPr="00CB1364">
        <w:rPr>
          <w:rFonts w:asciiTheme="minorHAnsi" w:hAnsiTheme="minorHAnsi"/>
          <w:b w:val="0"/>
          <w:i/>
          <w:color w:val="auto"/>
          <w:sz w:val="28"/>
        </w:rPr>
        <w:t>Still</w:t>
      </w:r>
      <w:r w:rsidRPr="00CB1364">
        <w:rPr>
          <w:rFonts w:asciiTheme="minorHAnsi" w:hAnsiTheme="minorHAnsi"/>
          <w:b w:val="0"/>
          <w:i/>
          <w:color w:val="auto"/>
          <w:sz w:val="28"/>
        </w:rPr>
        <w:t xml:space="preserve"> Largely</w:t>
      </w:r>
      <w:r w:rsidR="00DB304D" w:rsidRPr="00CB1364">
        <w:rPr>
          <w:rFonts w:asciiTheme="minorHAnsi" w:hAnsiTheme="minorHAnsi"/>
          <w:b w:val="0"/>
          <w:i/>
          <w:color w:val="auto"/>
          <w:sz w:val="28"/>
        </w:rPr>
        <w:t xml:space="preserve"> i</w:t>
      </w:r>
      <w:r w:rsidRPr="00CB1364">
        <w:rPr>
          <w:rFonts w:asciiTheme="minorHAnsi" w:hAnsiTheme="minorHAnsi"/>
          <w:b w:val="0"/>
          <w:i/>
          <w:color w:val="auto"/>
          <w:sz w:val="28"/>
        </w:rPr>
        <w:t>n Decline –</w:t>
      </w:r>
      <w:r w:rsidR="00A44451" w:rsidRPr="00CB1364">
        <w:rPr>
          <w:rFonts w:asciiTheme="minorHAnsi" w:hAnsiTheme="minorHAnsi"/>
          <w:b w:val="0"/>
          <w:i/>
          <w:color w:val="auto"/>
          <w:sz w:val="28"/>
        </w:rPr>
        <w:t xml:space="preserve"> Some</w:t>
      </w:r>
      <w:r w:rsidRPr="00CB1364">
        <w:rPr>
          <w:rFonts w:asciiTheme="minorHAnsi" w:hAnsiTheme="minorHAnsi"/>
          <w:b w:val="0"/>
          <w:i/>
          <w:color w:val="auto"/>
          <w:sz w:val="28"/>
        </w:rPr>
        <w:t xml:space="preserve"> Markets Show Resilience and Growth</w:t>
      </w:r>
    </w:p>
    <w:p w14:paraId="35AF9AEA" w14:textId="1259D642" w:rsidR="000D02DD" w:rsidRPr="00CB1364" w:rsidRDefault="000D02DD" w:rsidP="00236C30">
      <w:pPr>
        <w:pStyle w:val="ListParagraph"/>
        <w:numPr>
          <w:ilvl w:val="0"/>
          <w:numId w:val="10"/>
        </w:numPr>
      </w:pPr>
      <w:r w:rsidRPr="00CB1364">
        <w:t xml:space="preserve">The state’s exports fell sharply to all regions. Exports sank 10% to </w:t>
      </w:r>
      <w:r w:rsidRPr="00CB1364">
        <w:rPr>
          <w:b/>
        </w:rPr>
        <w:t>North America</w:t>
      </w:r>
      <w:r w:rsidRPr="00CB1364">
        <w:t xml:space="preserve">, 18% to </w:t>
      </w:r>
      <w:r w:rsidRPr="00CB1364">
        <w:rPr>
          <w:b/>
        </w:rPr>
        <w:t>Asia</w:t>
      </w:r>
      <w:r w:rsidRPr="00CB1364">
        <w:t xml:space="preserve"> and 14% to</w:t>
      </w:r>
      <w:r w:rsidR="001E7B61" w:rsidRPr="00CB1364">
        <w:t xml:space="preserve"> the</w:t>
      </w:r>
      <w:r w:rsidRPr="00CB1364">
        <w:t xml:space="preserve"> </w:t>
      </w:r>
      <w:r w:rsidRPr="00CB1364">
        <w:rPr>
          <w:b/>
        </w:rPr>
        <w:t>Europe</w:t>
      </w:r>
      <w:r w:rsidR="001E7B61" w:rsidRPr="00CB1364">
        <w:rPr>
          <w:b/>
        </w:rPr>
        <w:t>an Union</w:t>
      </w:r>
      <w:r w:rsidR="007D2D9B" w:rsidRPr="00CB1364">
        <w:t>. T</w:t>
      </w:r>
      <w:r w:rsidR="001E7B61" w:rsidRPr="00CB1364">
        <w:t>hese three regions accounted for 89% of the state’s exports in the third quarter.</w:t>
      </w:r>
    </w:p>
    <w:p w14:paraId="26190D69" w14:textId="663BE905" w:rsidR="007D2D9B" w:rsidRPr="00CB1364" w:rsidRDefault="0067275F" w:rsidP="0085725F">
      <w:pPr>
        <w:pStyle w:val="ListParagraph"/>
        <w:numPr>
          <w:ilvl w:val="0"/>
          <w:numId w:val="10"/>
        </w:numPr>
        <w:spacing w:before="120" w:after="0"/>
      </w:pPr>
      <w:r>
        <w:t>Major markets,</w:t>
      </w:r>
      <w:r w:rsidR="007D2D9B" w:rsidRPr="00CB1364">
        <w:t xml:space="preserve"> such as </w:t>
      </w:r>
      <w:r w:rsidR="00F216B1" w:rsidRPr="00CB1364">
        <w:rPr>
          <w:b/>
        </w:rPr>
        <w:t xml:space="preserve">Mexico </w:t>
      </w:r>
      <w:r w:rsidR="00F216B1" w:rsidRPr="00CB1364">
        <w:t>(down $146 million)</w:t>
      </w:r>
      <w:r w:rsidR="00F216B1" w:rsidRPr="00CB1364">
        <w:rPr>
          <w:b/>
        </w:rPr>
        <w:t xml:space="preserve">, </w:t>
      </w:r>
      <w:r w:rsidR="00F216B1" w:rsidRPr="0067275F">
        <w:rPr>
          <w:b/>
        </w:rPr>
        <w:t>Japan</w:t>
      </w:r>
      <w:r w:rsidR="00F216B1" w:rsidRPr="00CB1364">
        <w:t xml:space="preserve"> ($</w:t>
      </w:r>
      <w:r w:rsidR="003C43EB" w:rsidRPr="00CB1364">
        <w:t xml:space="preserve">117 million), </w:t>
      </w:r>
      <w:r w:rsidR="003C43EB" w:rsidRPr="00CB1364">
        <w:rPr>
          <w:b/>
        </w:rPr>
        <w:t>Germany</w:t>
      </w:r>
      <w:r w:rsidR="003C43EB" w:rsidRPr="00CB1364">
        <w:t xml:space="preserve"> (down $93 million), </w:t>
      </w:r>
      <w:r w:rsidR="003C43EB" w:rsidRPr="00CB1364">
        <w:rPr>
          <w:b/>
        </w:rPr>
        <w:t>France</w:t>
      </w:r>
      <w:r w:rsidR="003C43EB" w:rsidRPr="00CB1364">
        <w:t xml:space="preserve"> (down $51 million) and </w:t>
      </w:r>
      <w:r w:rsidR="003C43EB" w:rsidRPr="00CB1364">
        <w:rPr>
          <w:b/>
        </w:rPr>
        <w:t>the</w:t>
      </w:r>
      <w:r w:rsidR="007D2D9B" w:rsidRPr="00CB1364">
        <w:rPr>
          <w:b/>
        </w:rPr>
        <w:t xml:space="preserve"> Philippines</w:t>
      </w:r>
      <w:r>
        <w:t xml:space="preserve"> (down $48 million),</w:t>
      </w:r>
      <w:r w:rsidR="007D2D9B" w:rsidRPr="00CB1364">
        <w:t xml:space="preserve"> experienced sharp declines.</w:t>
      </w:r>
    </w:p>
    <w:p w14:paraId="21407398" w14:textId="689F0629" w:rsidR="003C43EB" w:rsidRPr="00CB1364" w:rsidRDefault="00A745E3" w:rsidP="003C43EB">
      <w:pPr>
        <w:pStyle w:val="ListParagraph"/>
        <w:numPr>
          <w:ilvl w:val="0"/>
          <w:numId w:val="10"/>
        </w:numPr>
      </w:pPr>
      <w:r w:rsidRPr="00CB1364">
        <w:t>Exports surged to</w:t>
      </w:r>
      <w:r w:rsidR="00052D34" w:rsidRPr="00CB1364">
        <w:t xml:space="preserve"> markets such as</w:t>
      </w:r>
      <w:r w:rsidR="003C43EB" w:rsidRPr="00CB1364">
        <w:t xml:space="preserve"> </w:t>
      </w:r>
      <w:r w:rsidR="003C43EB" w:rsidRPr="00CB1364">
        <w:rPr>
          <w:b/>
        </w:rPr>
        <w:t xml:space="preserve">Slovakia </w:t>
      </w:r>
      <w:r w:rsidR="003C43EB" w:rsidRPr="00CB1364">
        <w:t>(up $37 million</w:t>
      </w:r>
      <w:r w:rsidRPr="00CB1364">
        <w:t xml:space="preserve"> – fueled by </w:t>
      </w:r>
      <w:r w:rsidRPr="00CB1364">
        <w:rPr>
          <w:b/>
        </w:rPr>
        <w:t>iron ores</w:t>
      </w:r>
      <w:r w:rsidR="003C43EB" w:rsidRPr="00CB1364">
        <w:t xml:space="preserve">), </w:t>
      </w:r>
      <w:r w:rsidR="003C43EB" w:rsidRPr="00CB1364">
        <w:rPr>
          <w:b/>
        </w:rPr>
        <w:t>Taiwan</w:t>
      </w:r>
      <w:r w:rsidR="003C43EB" w:rsidRPr="00CB1364">
        <w:t xml:space="preserve"> (up $19 million</w:t>
      </w:r>
      <w:r w:rsidR="007E5EA9" w:rsidRPr="00CB1364">
        <w:t xml:space="preserve"> –</w:t>
      </w:r>
      <w:r w:rsidR="003C43EB" w:rsidRPr="00CB1364">
        <w:t xml:space="preserve"> led by </w:t>
      </w:r>
      <w:r w:rsidR="003C43EB" w:rsidRPr="00CB1364">
        <w:rPr>
          <w:b/>
        </w:rPr>
        <w:t>plastics</w:t>
      </w:r>
      <w:r w:rsidR="003C43EB" w:rsidRPr="00CB1364">
        <w:t xml:space="preserve"> and </w:t>
      </w:r>
      <w:r w:rsidR="003C43EB" w:rsidRPr="00CB1364">
        <w:rPr>
          <w:b/>
        </w:rPr>
        <w:t>optic, medical</w:t>
      </w:r>
      <w:r w:rsidR="003C43EB" w:rsidRPr="00CB1364">
        <w:t xml:space="preserve"> goods), </w:t>
      </w:r>
      <w:r w:rsidR="003C43EB" w:rsidRPr="00CB1364">
        <w:rPr>
          <w:b/>
        </w:rPr>
        <w:t>the Netherlands</w:t>
      </w:r>
      <w:r w:rsidR="003C43EB" w:rsidRPr="00CB1364">
        <w:t xml:space="preserve"> (up $17 million</w:t>
      </w:r>
      <w:r w:rsidR="007E5EA9" w:rsidRPr="00CB1364">
        <w:t xml:space="preserve"> –</w:t>
      </w:r>
      <w:r w:rsidR="003C43EB" w:rsidRPr="00CB1364">
        <w:t xml:space="preserve"> led by </w:t>
      </w:r>
      <w:r w:rsidR="003C43EB" w:rsidRPr="00CB1364">
        <w:rPr>
          <w:b/>
        </w:rPr>
        <w:t>plastics</w:t>
      </w:r>
      <w:r w:rsidR="003C43EB" w:rsidRPr="00CB1364">
        <w:t xml:space="preserve"> and </w:t>
      </w:r>
      <w:r w:rsidR="003C43EB" w:rsidRPr="00CB1364">
        <w:rPr>
          <w:b/>
        </w:rPr>
        <w:t>electrical equipment</w:t>
      </w:r>
      <w:r w:rsidR="003C43EB" w:rsidRPr="00CB1364">
        <w:t xml:space="preserve">) and </w:t>
      </w:r>
      <w:r w:rsidR="003C43EB" w:rsidRPr="00CB1364">
        <w:rPr>
          <w:b/>
        </w:rPr>
        <w:t xml:space="preserve">Switzerland </w:t>
      </w:r>
      <w:r w:rsidR="00052D34" w:rsidRPr="00CB1364">
        <w:t>(up $13 million – driven</w:t>
      </w:r>
      <w:r w:rsidR="003C43EB" w:rsidRPr="00CB1364">
        <w:t xml:space="preserve"> by </w:t>
      </w:r>
      <w:r w:rsidR="003C43EB" w:rsidRPr="00CB1364">
        <w:rPr>
          <w:b/>
        </w:rPr>
        <w:t>vehicles</w:t>
      </w:r>
      <w:r w:rsidR="00052D34" w:rsidRPr="00CB1364">
        <w:rPr>
          <w:b/>
        </w:rPr>
        <w:t xml:space="preserve"> </w:t>
      </w:r>
      <w:r w:rsidR="00052D34" w:rsidRPr="00CB1364">
        <w:t>and</w:t>
      </w:r>
      <w:r w:rsidR="00052D34" w:rsidRPr="00CB1364">
        <w:rPr>
          <w:b/>
        </w:rPr>
        <w:t xml:space="preserve"> electrical equipment</w:t>
      </w:r>
      <w:r w:rsidR="003C43EB" w:rsidRPr="00CB1364">
        <w:t xml:space="preserve">). </w:t>
      </w:r>
    </w:p>
    <w:p w14:paraId="71DA5DF0" w14:textId="7534E98D" w:rsidR="00A745E3" w:rsidRPr="00CB1364" w:rsidRDefault="00052D34" w:rsidP="00902E31">
      <w:pPr>
        <w:pStyle w:val="ListParagraph"/>
        <w:numPr>
          <w:ilvl w:val="0"/>
          <w:numId w:val="10"/>
        </w:numPr>
        <w:spacing w:after="120"/>
      </w:pPr>
      <w:r w:rsidRPr="00CB1364">
        <w:t>Although</w:t>
      </w:r>
      <w:r w:rsidR="00A12A9B">
        <w:t xml:space="preserve"> third</w:t>
      </w:r>
      <w:r w:rsidRPr="00CB1364">
        <w:t xml:space="preserve"> </w:t>
      </w:r>
      <w:r w:rsidR="00A12A9B">
        <w:t>quarter</w:t>
      </w:r>
      <w:r w:rsidR="00A745E3" w:rsidRPr="00CB1364">
        <w:t xml:space="preserve"> trends among major mar</w:t>
      </w:r>
      <w:r w:rsidR="00A44451" w:rsidRPr="00CB1364">
        <w:t xml:space="preserve">kets were largely negative, </w:t>
      </w:r>
      <w:r w:rsidR="00A745E3" w:rsidRPr="00CB1364">
        <w:t xml:space="preserve">monthly trends showed </w:t>
      </w:r>
      <w:r w:rsidRPr="00CB1364">
        <w:t xml:space="preserve">some </w:t>
      </w:r>
      <w:r w:rsidR="0067275F">
        <w:t>signs of recovery</w:t>
      </w:r>
      <w:r w:rsidRPr="00CB1364">
        <w:t xml:space="preserve">, with </w:t>
      </w:r>
      <w:r w:rsidR="009407A8">
        <w:t>export gains</w:t>
      </w:r>
      <w:r w:rsidRPr="00CB1364">
        <w:t xml:space="preserve"> to some markets by September, at </w:t>
      </w:r>
      <w:r w:rsidR="00A745E3" w:rsidRPr="00CB1364">
        <w:t>the</w:t>
      </w:r>
      <w:r w:rsidR="00015A9D" w:rsidRPr="00CB1364">
        <w:t xml:space="preserve"> end of the</w:t>
      </w:r>
      <w:r w:rsidRPr="00CB1364">
        <w:t xml:space="preserve"> </w:t>
      </w:r>
      <w:proofErr w:type="gramStart"/>
      <w:r w:rsidRPr="00CB1364">
        <w:t>quarter</w:t>
      </w:r>
      <w:r w:rsidR="00A745E3" w:rsidRPr="00CB1364">
        <w:t>.</w:t>
      </w:r>
      <w:proofErr w:type="gramEnd"/>
    </w:p>
    <w:p w14:paraId="481CD972" w14:textId="6F84FA22" w:rsidR="007C165F" w:rsidRPr="00CB1364" w:rsidRDefault="007C165F" w:rsidP="00A44451">
      <w:pPr>
        <w:pStyle w:val="Heading4"/>
        <w:spacing w:before="120"/>
        <w:rPr>
          <w:color w:val="auto"/>
        </w:rPr>
      </w:pPr>
      <w:r w:rsidRPr="00CB1364">
        <w:rPr>
          <w:color w:val="auto"/>
        </w:rPr>
        <w:t xml:space="preserve">Figure </w:t>
      </w:r>
      <w:r w:rsidR="00E36364" w:rsidRPr="00CB1364">
        <w:rPr>
          <w:color w:val="auto"/>
        </w:rPr>
        <w:fldChar w:fldCharType="begin"/>
      </w:r>
      <w:r w:rsidR="00E36364" w:rsidRPr="00CB1364">
        <w:rPr>
          <w:color w:val="auto"/>
        </w:rPr>
        <w:instrText xml:space="preserve"> SEQ Figure \* ARABIC </w:instrText>
      </w:r>
      <w:r w:rsidR="00E36364" w:rsidRPr="00CB1364">
        <w:rPr>
          <w:color w:val="auto"/>
        </w:rPr>
        <w:fldChar w:fldCharType="separate"/>
      </w:r>
      <w:r w:rsidR="00900302" w:rsidRPr="00CB1364">
        <w:rPr>
          <w:noProof/>
          <w:color w:val="auto"/>
        </w:rPr>
        <w:t>2</w:t>
      </w:r>
      <w:r w:rsidR="00E36364" w:rsidRPr="00CB1364">
        <w:rPr>
          <w:color w:val="auto"/>
        </w:rPr>
        <w:fldChar w:fldCharType="end"/>
      </w:r>
      <w:r w:rsidR="00C84D0E" w:rsidRPr="00CB1364">
        <w:rPr>
          <w:color w:val="auto"/>
        </w:rPr>
        <w:t xml:space="preserve">. </w:t>
      </w:r>
      <w:r w:rsidR="00A44451" w:rsidRPr="00CB1364">
        <w:rPr>
          <w:color w:val="auto"/>
        </w:rPr>
        <w:t>Export Trends for</w:t>
      </w:r>
      <w:r w:rsidR="0038665A" w:rsidRPr="00CB1364">
        <w:rPr>
          <w:color w:val="auto"/>
        </w:rPr>
        <w:t xml:space="preserve"> Minnesota’s Top 10 Markets, </w:t>
      </w:r>
      <w:r w:rsidR="0046703D" w:rsidRPr="00CB1364">
        <w:rPr>
          <w:color w:val="auto"/>
        </w:rPr>
        <w:t>Third</w:t>
      </w:r>
      <w:r w:rsidR="00606AB0" w:rsidRPr="00CB1364">
        <w:rPr>
          <w:color w:val="auto"/>
        </w:rPr>
        <w:t xml:space="preserve"> </w:t>
      </w:r>
      <w:r w:rsidR="00A52415" w:rsidRPr="00CB1364">
        <w:rPr>
          <w:color w:val="auto"/>
        </w:rPr>
        <w:t xml:space="preserve">Quarter </w:t>
      </w:r>
      <w:r w:rsidR="007818E5" w:rsidRPr="00CB1364">
        <w:rPr>
          <w:color w:val="auto"/>
        </w:rPr>
        <w:t>2020</w:t>
      </w:r>
    </w:p>
    <w:p w14:paraId="15CEBE43" w14:textId="58BDF2B4" w:rsidR="00ED605B" w:rsidRPr="00CB1364" w:rsidRDefault="00902E31" w:rsidP="00902E31">
      <w:pPr>
        <w:spacing w:after="0"/>
      </w:pPr>
      <w:r w:rsidRPr="00CB1364">
        <w:rPr>
          <w:noProof/>
        </w:rPr>
        <w:drawing>
          <wp:inline distT="0" distB="0" distL="0" distR="0" wp14:anchorId="1075A377" wp14:editId="17A758AA">
            <wp:extent cx="6178550" cy="1841684"/>
            <wp:effectExtent l="0" t="0" r="0" b="6350"/>
            <wp:docPr id="5" name="Picture 5" descr="Country (Rank)  Exports (millions)  Percent Change, 2019-Q3 to 2020--Q3&#10;WORLD  $4,807  -14%&#10;Canada (1)   $1,170  -4%&#10;Mexico (2)   $614  -6%&#10;China (3)   $513  -22%&#10;Japan (4)   $288  -29%&#10;Germany (5)   $236  -9%&#10;Korea (6)   $186  -33%&#10;Singapore (7)   $140  -9%&#10;Belgium (8)   $125  -3%&#10;U.K. (9)   $116  17%&#10;Ireland (10)   $114  -7%&#10;Other  $1,305  -20%&#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kim\Work from home files\wfh files_Main\Tableau, Viz\MTO Tableau files\Export Stats Reports\Newsletter &amp; Fact Sheet charts\2020-Q3 Top 10 Countr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5062" cy="1843625"/>
                    </a:xfrm>
                    <a:prstGeom prst="rect">
                      <a:avLst/>
                    </a:prstGeom>
                    <a:noFill/>
                    <a:ln>
                      <a:noFill/>
                    </a:ln>
                  </pic:spPr>
                </pic:pic>
              </a:graphicData>
            </a:graphic>
          </wp:inline>
        </w:drawing>
      </w:r>
    </w:p>
    <w:p w14:paraId="3765CDA2" w14:textId="5532F866" w:rsidR="00BF29E1" w:rsidRPr="00CB1364" w:rsidRDefault="00F053EF" w:rsidP="00953B35">
      <w:pPr>
        <w:pStyle w:val="Heading2"/>
        <w:tabs>
          <w:tab w:val="left" w:pos="360"/>
        </w:tabs>
        <w:spacing w:before="0" w:after="120"/>
        <w:ind w:left="360" w:hanging="360"/>
        <w:rPr>
          <w:rFonts w:asciiTheme="minorHAnsi" w:hAnsiTheme="minorHAnsi"/>
          <w:b w:val="0"/>
          <w:i/>
          <w:color w:val="auto"/>
          <w:sz w:val="28"/>
        </w:rPr>
        <w:sectPr w:rsidR="00BF29E1" w:rsidRPr="00CB1364"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CB1364">
        <w:rPr>
          <w:rFonts w:asciiTheme="minorHAnsi" w:hAnsiTheme="minorHAnsi"/>
          <w:b w:val="0"/>
          <w:i/>
          <w:color w:val="auto"/>
          <w:sz w:val="28"/>
        </w:rPr>
        <w:lastRenderedPageBreak/>
        <w:t>Gains i</w:t>
      </w:r>
      <w:r w:rsidR="00E83A19" w:rsidRPr="00CB1364">
        <w:rPr>
          <w:rFonts w:asciiTheme="minorHAnsi" w:hAnsiTheme="minorHAnsi"/>
          <w:b w:val="0"/>
          <w:i/>
          <w:color w:val="auto"/>
          <w:sz w:val="28"/>
        </w:rPr>
        <w:t>n Mineral Fuels, Meat and Bevera</w:t>
      </w:r>
      <w:r w:rsidR="00540B35">
        <w:rPr>
          <w:rFonts w:asciiTheme="minorHAnsi" w:hAnsiTheme="minorHAnsi"/>
          <w:b w:val="0"/>
          <w:i/>
          <w:color w:val="auto"/>
          <w:sz w:val="28"/>
        </w:rPr>
        <w:t xml:space="preserve">ges Help Offset General </w:t>
      </w:r>
      <w:r w:rsidR="00A44451" w:rsidRPr="00CB1364">
        <w:rPr>
          <w:rFonts w:asciiTheme="minorHAnsi" w:hAnsiTheme="minorHAnsi"/>
          <w:b w:val="0"/>
          <w:i/>
          <w:color w:val="auto"/>
          <w:sz w:val="28"/>
        </w:rPr>
        <w:t>Widespread</w:t>
      </w:r>
      <w:r w:rsidR="00E83A19" w:rsidRPr="00CB1364">
        <w:rPr>
          <w:rFonts w:asciiTheme="minorHAnsi" w:hAnsiTheme="minorHAnsi"/>
          <w:b w:val="0"/>
          <w:i/>
          <w:color w:val="auto"/>
          <w:sz w:val="28"/>
        </w:rPr>
        <w:t xml:space="preserve"> Declines</w:t>
      </w:r>
    </w:p>
    <w:p w14:paraId="243FC245" w14:textId="597BB059" w:rsidR="00E76FF1" w:rsidRPr="00CB1364" w:rsidRDefault="00952DBF" w:rsidP="00E76FF1">
      <w:pPr>
        <w:pStyle w:val="ListParagraph"/>
        <w:numPr>
          <w:ilvl w:val="0"/>
          <w:numId w:val="7"/>
        </w:numPr>
        <w:spacing w:after="0"/>
        <w:ind w:left="360" w:right="-396"/>
      </w:pPr>
      <w:r w:rsidRPr="00CB1364">
        <w:t>Large declines in exports continued due to generalized weak demand among the state’s major markets.</w:t>
      </w:r>
      <w:r w:rsidR="00F053EF" w:rsidRPr="00CB1364">
        <w:t xml:space="preserve"> </w:t>
      </w:r>
      <w:r w:rsidR="00A44451" w:rsidRPr="00CB1364">
        <w:t xml:space="preserve">The state’s top five exported products accounted for about 60% of exports. Exports of </w:t>
      </w:r>
      <w:r w:rsidR="00A44451" w:rsidRPr="00CB1364">
        <w:rPr>
          <w:b/>
        </w:rPr>
        <w:t>o</w:t>
      </w:r>
      <w:r w:rsidR="00F053EF" w:rsidRPr="00CB1364">
        <w:rPr>
          <w:b/>
        </w:rPr>
        <w:t>ptics, medical</w:t>
      </w:r>
      <w:r w:rsidR="00A44451" w:rsidRPr="00CB1364">
        <w:t xml:space="preserve"> were</w:t>
      </w:r>
      <w:r w:rsidRPr="00CB1364">
        <w:t xml:space="preserve"> </w:t>
      </w:r>
      <w:r w:rsidR="00FB76CD" w:rsidRPr="00CB1364">
        <w:t>down 18</w:t>
      </w:r>
      <w:r w:rsidR="00A44451" w:rsidRPr="00CB1364">
        <w:t>%;</w:t>
      </w:r>
      <w:r w:rsidR="00F053EF" w:rsidRPr="00CB1364">
        <w:t xml:space="preserve"> </w:t>
      </w:r>
      <w:r w:rsidR="00F053EF" w:rsidRPr="00CB1364">
        <w:rPr>
          <w:b/>
        </w:rPr>
        <w:t>machinery</w:t>
      </w:r>
      <w:r w:rsidRPr="00CB1364">
        <w:t xml:space="preserve"> was </w:t>
      </w:r>
      <w:r w:rsidR="00FB76CD" w:rsidRPr="00CB1364">
        <w:t>down 1</w:t>
      </w:r>
      <w:r w:rsidR="003975D0" w:rsidRPr="00CB1364">
        <w:t>1%;</w:t>
      </w:r>
      <w:r w:rsidR="00F053EF" w:rsidRPr="00CB1364">
        <w:t xml:space="preserve"> </w:t>
      </w:r>
      <w:r w:rsidR="00F053EF" w:rsidRPr="00CB1364">
        <w:rPr>
          <w:b/>
        </w:rPr>
        <w:t>electrical equipment</w:t>
      </w:r>
      <w:r w:rsidRPr="00CB1364">
        <w:t xml:space="preserve"> was </w:t>
      </w:r>
      <w:r w:rsidR="00FB76CD" w:rsidRPr="00CB1364">
        <w:t>down 23</w:t>
      </w:r>
      <w:r w:rsidR="003975D0" w:rsidRPr="00CB1364">
        <w:t>%;</w:t>
      </w:r>
      <w:r w:rsidR="00F053EF" w:rsidRPr="00CB1364">
        <w:t xml:space="preserve"> </w:t>
      </w:r>
      <w:r w:rsidR="00F053EF" w:rsidRPr="00CB1364">
        <w:rPr>
          <w:b/>
        </w:rPr>
        <w:t>vehicles</w:t>
      </w:r>
      <w:r w:rsidR="003975D0" w:rsidRPr="00CB1364">
        <w:t xml:space="preserve"> were</w:t>
      </w:r>
      <w:r w:rsidRPr="00CB1364">
        <w:t xml:space="preserve"> </w:t>
      </w:r>
      <w:r w:rsidR="00B34168" w:rsidRPr="00CB1364">
        <w:t>down 18</w:t>
      </w:r>
      <w:r w:rsidR="003975D0" w:rsidRPr="00CB1364">
        <w:t>%;</w:t>
      </w:r>
      <w:r w:rsidR="008A202D" w:rsidRPr="00CB1364">
        <w:t xml:space="preserve"> </w:t>
      </w:r>
      <w:r w:rsidRPr="00CB1364">
        <w:t xml:space="preserve">and </w:t>
      </w:r>
      <w:r w:rsidRPr="00CB1364">
        <w:rPr>
          <w:b/>
        </w:rPr>
        <w:t>plastics</w:t>
      </w:r>
      <w:r w:rsidR="003975D0" w:rsidRPr="00CB1364">
        <w:t xml:space="preserve"> were</w:t>
      </w:r>
      <w:r w:rsidRPr="00CB1364">
        <w:t xml:space="preserve"> down 13%.</w:t>
      </w:r>
      <w:r w:rsidR="00D60BDF" w:rsidRPr="00CB1364">
        <w:t xml:space="preserve"> T</w:t>
      </w:r>
      <w:r w:rsidR="008A202D" w:rsidRPr="00CB1364">
        <w:t>he</w:t>
      </w:r>
      <w:r w:rsidR="00D60BDF" w:rsidRPr="00CB1364">
        <w:t>se</w:t>
      </w:r>
      <w:r w:rsidR="008A202D" w:rsidRPr="00CB1364">
        <w:t xml:space="preserve"> </w:t>
      </w:r>
      <w:r w:rsidRPr="00CB1364">
        <w:t>downward tr</w:t>
      </w:r>
      <w:r w:rsidR="00D60BDF" w:rsidRPr="00CB1364">
        <w:t xml:space="preserve">ends </w:t>
      </w:r>
      <w:r w:rsidR="009407A8">
        <w:t>tended to be</w:t>
      </w:r>
      <w:r w:rsidRPr="00CB1364">
        <w:t xml:space="preserve"> le</w:t>
      </w:r>
      <w:r w:rsidR="008A202D" w:rsidRPr="00CB1364">
        <w:t>ss severe</w:t>
      </w:r>
      <w:r w:rsidRPr="00CB1364">
        <w:t xml:space="preserve"> than in the second quarter.</w:t>
      </w:r>
      <w:r w:rsidR="008A202D" w:rsidRPr="00CB1364">
        <w:t xml:space="preserve"> </w:t>
      </w:r>
    </w:p>
    <w:p w14:paraId="6BA2F72E" w14:textId="488C7379" w:rsidR="00E76FF1" w:rsidRPr="00CB1364" w:rsidRDefault="00647786" w:rsidP="00E76FF1">
      <w:pPr>
        <w:pStyle w:val="ListParagraph"/>
        <w:numPr>
          <w:ilvl w:val="0"/>
          <w:numId w:val="7"/>
        </w:numPr>
        <w:spacing w:after="0"/>
        <w:ind w:left="360" w:right="-396"/>
      </w:pPr>
      <w:r w:rsidRPr="00CB1364">
        <w:t>Also losing si</w:t>
      </w:r>
      <w:r w:rsidR="003975D0" w:rsidRPr="00CB1364">
        <w:t>gnificant ground</w:t>
      </w:r>
      <w:r w:rsidR="005C0164" w:rsidRPr="00CB1364">
        <w:t xml:space="preserve"> were</w:t>
      </w:r>
      <w:r w:rsidRPr="00CB1364">
        <w:t xml:space="preserve"> </w:t>
      </w:r>
      <w:r w:rsidR="00952DBF" w:rsidRPr="00CB1364">
        <w:rPr>
          <w:b/>
        </w:rPr>
        <w:t>ores, slag, ash</w:t>
      </w:r>
      <w:r w:rsidR="00D60BDF" w:rsidRPr="00CB1364">
        <w:t xml:space="preserve"> ($140 million, down 38</w:t>
      </w:r>
      <w:r w:rsidRPr="00CB1364">
        <w:t xml:space="preserve">%), </w:t>
      </w:r>
      <w:r w:rsidR="005C0164" w:rsidRPr="00CB1364">
        <w:rPr>
          <w:b/>
        </w:rPr>
        <w:t>pharmaceuticals</w:t>
      </w:r>
      <w:r w:rsidRPr="00CB1364">
        <w:rPr>
          <w:b/>
        </w:rPr>
        <w:t xml:space="preserve"> </w:t>
      </w:r>
      <w:r w:rsidR="005C0164" w:rsidRPr="00CB1364">
        <w:t xml:space="preserve">($116 million, down </w:t>
      </w:r>
      <w:r w:rsidRPr="00CB1364">
        <w:t>3</w:t>
      </w:r>
      <w:r w:rsidR="005C0164" w:rsidRPr="00CB1364">
        <w:t>0</w:t>
      </w:r>
      <w:r w:rsidRPr="00CB1364">
        <w:t xml:space="preserve">%) and </w:t>
      </w:r>
      <w:r w:rsidRPr="00CB1364">
        <w:rPr>
          <w:b/>
        </w:rPr>
        <w:t xml:space="preserve">food by-products </w:t>
      </w:r>
      <w:r w:rsidRPr="00CB1364">
        <w:t>(</w:t>
      </w:r>
      <w:r w:rsidR="005C0164" w:rsidRPr="00CB1364">
        <w:t>$125</w:t>
      </w:r>
      <w:r w:rsidR="00B679D3" w:rsidRPr="00CB1364">
        <w:t xml:space="preserve"> million, down 2</w:t>
      </w:r>
      <w:r w:rsidR="005C0164" w:rsidRPr="00CB1364">
        <w:t>7</w:t>
      </w:r>
      <w:r w:rsidRPr="00CB1364">
        <w:t>%).</w:t>
      </w:r>
      <w:r w:rsidRPr="00CB1364">
        <w:br w:type="column"/>
      </w:r>
      <w:r w:rsidR="00E76FF1" w:rsidRPr="00CB1364">
        <w:rPr>
          <w:rStyle w:val="Heading4Char"/>
          <w:color w:val="auto"/>
        </w:rPr>
        <w:t xml:space="preserve">Figure </w:t>
      </w:r>
      <w:r w:rsidR="00E76FF1" w:rsidRPr="00CB1364">
        <w:rPr>
          <w:rStyle w:val="Heading4Char"/>
          <w:b/>
          <w:color w:val="auto"/>
        </w:rPr>
        <w:fldChar w:fldCharType="begin"/>
      </w:r>
      <w:r w:rsidR="00E76FF1" w:rsidRPr="00CB1364">
        <w:rPr>
          <w:rStyle w:val="Heading4Char"/>
          <w:color w:val="auto"/>
        </w:rPr>
        <w:instrText xml:space="preserve"> SEQ Figure \* ARABIC </w:instrText>
      </w:r>
      <w:r w:rsidR="00E76FF1" w:rsidRPr="00CB1364">
        <w:rPr>
          <w:rStyle w:val="Heading4Char"/>
          <w:b/>
          <w:color w:val="auto"/>
        </w:rPr>
        <w:fldChar w:fldCharType="separate"/>
      </w:r>
      <w:r w:rsidR="00E76FF1" w:rsidRPr="00CB1364">
        <w:rPr>
          <w:rStyle w:val="Heading4Char"/>
          <w:noProof/>
          <w:color w:val="auto"/>
        </w:rPr>
        <w:t>3</w:t>
      </w:r>
      <w:r w:rsidR="00E76FF1" w:rsidRPr="00CB1364">
        <w:rPr>
          <w:rStyle w:val="Heading4Char"/>
          <w:b/>
          <w:color w:val="auto"/>
        </w:rPr>
        <w:fldChar w:fldCharType="end"/>
      </w:r>
      <w:r w:rsidR="00E76FF1" w:rsidRPr="00CB1364">
        <w:rPr>
          <w:rStyle w:val="Heading4Char"/>
          <w:color w:val="auto"/>
        </w:rPr>
        <w:t xml:space="preserve">. Minnesota’s Major Markets for Meat </w:t>
      </w:r>
    </w:p>
    <w:p w14:paraId="008551DC" w14:textId="58C60470" w:rsidR="00E76FF1" w:rsidRPr="00CB1364" w:rsidRDefault="00E76FF1" w:rsidP="00A11201">
      <w:pPr>
        <w:spacing w:after="0"/>
        <w:ind w:left="180" w:hanging="180"/>
        <w:sectPr w:rsidR="00E76FF1" w:rsidRPr="00CB1364" w:rsidSect="005026CC">
          <w:footerReference w:type="default" r:id="rId15"/>
          <w:footnotePr>
            <w:numRestart w:val="eachSect"/>
          </w:footnotePr>
          <w:endnotePr>
            <w:numFmt w:val="decimal"/>
          </w:endnotePr>
          <w:type w:val="continuous"/>
          <w:pgSz w:w="12240" w:h="15840" w:code="1"/>
          <w:pgMar w:top="936" w:right="1152" w:bottom="936" w:left="1080" w:header="720" w:footer="720" w:gutter="0"/>
          <w:cols w:num="2" w:space="720"/>
          <w:titlePg/>
          <w:docGrid w:linePitch="299"/>
        </w:sectPr>
      </w:pPr>
      <w:r w:rsidRPr="00CB1364">
        <w:rPr>
          <w:noProof/>
        </w:rPr>
        <w:drawing>
          <wp:inline distT="0" distB="0" distL="0" distR="0" wp14:anchorId="15A22583" wp14:editId="372573FE">
            <wp:extent cx="3162300" cy="1881505"/>
            <wp:effectExtent l="0" t="0" r="0" b="0"/>
            <wp:docPr id="10" name="Chart 10" descr="Frozen pork 39%&#10;fresh, chilled pork 26%&#10;fresh chilled or frozen poultry 15%&#10;meat by products 12%&#10;other 8%"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D6E6B3" w14:textId="3CE753FE" w:rsidR="005C0164" w:rsidRPr="00CB1364" w:rsidRDefault="005C0164" w:rsidP="005C0164">
      <w:pPr>
        <w:pStyle w:val="ListParagraph"/>
        <w:numPr>
          <w:ilvl w:val="0"/>
          <w:numId w:val="7"/>
        </w:numPr>
        <w:spacing w:after="0"/>
        <w:ind w:left="360" w:right="-72"/>
      </w:pPr>
      <w:r w:rsidRPr="00CB1364">
        <w:t xml:space="preserve">Global sales of </w:t>
      </w:r>
      <w:r w:rsidRPr="00CB1364">
        <w:rPr>
          <w:b/>
        </w:rPr>
        <w:t xml:space="preserve">meat </w:t>
      </w:r>
      <w:r w:rsidR="003975D0" w:rsidRPr="00CB1364">
        <w:t>lea</w:t>
      </w:r>
      <w:r w:rsidRPr="00CB1364">
        <w:t>ped 22% to $101 million, propelled</w:t>
      </w:r>
      <w:r w:rsidR="009676D8" w:rsidRPr="00CB1364">
        <w:t xml:space="preserve"> by demand</w:t>
      </w:r>
      <w:r w:rsidR="009627F9" w:rsidRPr="00CB1364">
        <w:t xml:space="preserve"> in</w:t>
      </w:r>
      <w:r w:rsidRPr="00CB1364">
        <w:t xml:space="preserve"> </w:t>
      </w:r>
      <w:r w:rsidRPr="00CB1364">
        <w:rPr>
          <w:b/>
        </w:rPr>
        <w:t xml:space="preserve">China </w:t>
      </w:r>
      <w:r w:rsidRPr="00CB1364">
        <w:t>(up 526%</w:t>
      </w:r>
      <w:r w:rsidR="00615BC9" w:rsidRPr="00CB1364">
        <w:t>, or up $29 million</w:t>
      </w:r>
      <w:r w:rsidR="003975D0" w:rsidRPr="00CB1364">
        <w:t>) and</w:t>
      </w:r>
      <w:r w:rsidRPr="00CB1364">
        <w:t xml:space="preserve"> </w:t>
      </w:r>
      <w:r w:rsidRPr="00CB1364">
        <w:rPr>
          <w:b/>
        </w:rPr>
        <w:t xml:space="preserve">Japan </w:t>
      </w:r>
      <w:r w:rsidRPr="00CB1364">
        <w:t>(up 63%</w:t>
      </w:r>
      <w:r w:rsidR="00615BC9" w:rsidRPr="00CB1364">
        <w:t>, or up $8 million</w:t>
      </w:r>
      <w:r w:rsidRPr="00CB1364">
        <w:t>)</w:t>
      </w:r>
      <w:r w:rsidR="009676D8" w:rsidRPr="00CB1364">
        <w:t>. These gains</w:t>
      </w:r>
      <w:r w:rsidR="009627F9" w:rsidRPr="00CB1364">
        <w:t xml:space="preserve"> </w:t>
      </w:r>
      <w:r w:rsidR="009676D8" w:rsidRPr="00CB1364">
        <w:t>offset</w:t>
      </w:r>
      <w:r w:rsidR="009627F9" w:rsidRPr="00CB1364">
        <w:t xml:space="preserve"> large</w:t>
      </w:r>
      <w:r w:rsidR="009676D8" w:rsidRPr="00CB1364">
        <w:t xml:space="preserve"> losses</w:t>
      </w:r>
      <w:r w:rsidRPr="00CB1364">
        <w:t xml:space="preserve"> in </w:t>
      </w:r>
      <w:r w:rsidRPr="00CB1364">
        <w:rPr>
          <w:b/>
        </w:rPr>
        <w:t xml:space="preserve">Mexico </w:t>
      </w:r>
      <w:r w:rsidR="009627F9" w:rsidRPr="00CB1364">
        <w:t>(down 40%</w:t>
      </w:r>
      <w:r w:rsidR="00615BC9" w:rsidRPr="00CB1364">
        <w:rPr>
          <w:b/>
        </w:rPr>
        <w:t xml:space="preserve">) </w:t>
      </w:r>
      <w:r w:rsidRPr="00CB1364">
        <w:t xml:space="preserve">and </w:t>
      </w:r>
      <w:r w:rsidRPr="00CB1364">
        <w:rPr>
          <w:b/>
        </w:rPr>
        <w:t>Korea</w:t>
      </w:r>
      <w:r w:rsidR="00615BC9" w:rsidRPr="00CB1364">
        <w:rPr>
          <w:b/>
        </w:rPr>
        <w:t xml:space="preserve"> </w:t>
      </w:r>
      <w:r w:rsidR="009627F9" w:rsidRPr="00CB1364">
        <w:t>(down 59%</w:t>
      </w:r>
      <w:r w:rsidR="00615BC9" w:rsidRPr="00CB1364">
        <w:t>)</w:t>
      </w:r>
      <w:r w:rsidR="009627F9" w:rsidRPr="00CB1364">
        <w:t xml:space="preserve">. </w:t>
      </w:r>
      <w:r w:rsidR="009676D8" w:rsidRPr="00CB1364">
        <w:rPr>
          <w:b/>
        </w:rPr>
        <w:t xml:space="preserve">Frozen </w:t>
      </w:r>
      <w:r w:rsidRPr="00CB1364">
        <w:rPr>
          <w:b/>
        </w:rPr>
        <w:t>pork</w:t>
      </w:r>
      <w:r w:rsidR="009676D8" w:rsidRPr="00CB1364">
        <w:t xml:space="preserve"> ($39 million, up 29</w:t>
      </w:r>
      <w:r w:rsidRPr="00CB1364">
        <w:t xml:space="preserve">%) </w:t>
      </w:r>
      <w:r w:rsidR="009676D8" w:rsidRPr="00CB1364">
        <w:t xml:space="preserve">and </w:t>
      </w:r>
      <w:r w:rsidR="009676D8" w:rsidRPr="00CB1364">
        <w:rPr>
          <w:b/>
        </w:rPr>
        <w:t xml:space="preserve">fresh, chilled pork </w:t>
      </w:r>
      <w:r w:rsidR="009676D8" w:rsidRPr="00CB1364">
        <w:t xml:space="preserve">($27 million, up 77%) </w:t>
      </w:r>
      <w:r w:rsidR="009627F9" w:rsidRPr="00CB1364">
        <w:t>drove the gains</w:t>
      </w:r>
      <w:r w:rsidRPr="00CB1364">
        <w:t>.</w:t>
      </w:r>
    </w:p>
    <w:p w14:paraId="6C3F4A56" w14:textId="76F527D0" w:rsidR="00E83A19" w:rsidRPr="00CB1364" w:rsidRDefault="005078AA" w:rsidP="005078AA">
      <w:pPr>
        <w:pStyle w:val="ListParagraph"/>
        <w:numPr>
          <w:ilvl w:val="0"/>
          <w:numId w:val="7"/>
        </w:numPr>
        <w:spacing w:after="0"/>
        <w:ind w:left="360"/>
      </w:pPr>
      <w:r w:rsidRPr="00CB1364">
        <w:rPr>
          <w:b/>
        </w:rPr>
        <w:t>Canad</w:t>
      </w:r>
      <w:r w:rsidR="00E83A19" w:rsidRPr="00CB1364">
        <w:rPr>
          <w:b/>
        </w:rPr>
        <w:t>a</w:t>
      </w:r>
      <w:r w:rsidR="00E83A19" w:rsidRPr="00CB1364">
        <w:t xml:space="preserve"> </w:t>
      </w:r>
      <w:r w:rsidR="00666745" w:rsidRPr="00CB1364">
        <w:t xml:space="preserve">drove </w:t>
      </w:r>
      <w:r w:rsidR="0053512A" w:rsidRPr="00CB1364">
        <w:t>growth in</w:t>
      </w:r>
      <w:r w:rsidR="005C0164" w:rsidRPr="00CB1364">
        <w:t xml:space="preserve"> </w:t>
      </w:r>
      <w:r w:rsidR="005C0164" w:rsidRPr="00CB1364">
        <w:rPr>
          <w:b/>
        </w:rPr>
        <w:t>mineral fuels</w:t>
      </w:r>
      <w:r w:rsidR="007B183D" w:rsidRPr="00CB1364">
        <w:rPr>
          <w:b/>
        </w:rPr>
        <w:t>, oils</w:t>
      </w:r>
      <w:r w:rsidR="005C0164" w:rsidRPr="00CB1364">
        <w:rPr>
          <w:b/>
        </w:rPr>
        <w:t xml:space="preserve"> </w:t>
      </w:r>
      <w:r w:rsidR="005C0164" w:rsidRPr="00CB1364">
        <w:t>($192 million, up 544</w:t>
      </w:r>
      <w:r w:rsidR="0053512A" w:rsidRPr="00CB1364">
        <w:t>%</w:t>
      </w:r>
      <w:r w:rsidR="00E254A0" w:rsidRPr="00CB1364">
        <w:t>) and</w:t>
      </w:r>
      <w:r w:rsidR="00E83A19" w:rsidRPr="00CB1364">
        <w:t xml:space="preserve"> </w:t>
      </w:r>
      <w:r w:rsidR="00E83A19" w:rsidRPr="00CB1364">
        <w:rPr>
          <w:b/>
        </w:rPr>
        <w:t xml:space="preserve">beverages </w:t>
      </w:r>
      <w:r w:rsidR="00E83A19" w:rsidRPr="00CB1364">
        <w:t>($52 million, up 42</w:t>
      </w:r>
      <w:r w:rsidR="0053512A" w:rsidRPr="00CB1364">
        <w:t>%</w:t>
      </w:r>
      <w:r w:rsidR="00666745" w:rsidRPr="00CB1364">
        <w:t xml:space="preserve"> </w:t>
      </w:r>
      <w:r w:rsidRPr="00CB1364">
        <w:t>–</w:t>
      </w:r>
      <w:r w:rsidR="00CB1364" w:rsidRPr="00CB1364">
        <w:t>mainly food-</w:t>
      </w:r>
      <w:r w:rsidR="00666745" w:rsidRPr="00CB1364">
        <w:t>safe alcohols and water products</w:t>
      </w:r>
      <w:r w:rsidR="00E83A19" w:rsidRPr="00CB1364">
        <w:t>)</w:t>
      </w:r>
      <w:r w:rsidR="00E254A0" w:rsidRPr="00CB1364">
        <w:t>.</w:t>
      </w:r>
      <w:r w:rsidR="00147EEF" w:rsidRPr="00CB1364">
        <w:t xml:space="preserve"> </w:t>
      </w:r>
      <w:r w:rsidR="0053512A" w:rsidRPr="00CB1364">
        <w:t xml:space="preserve">Canada accounted for over 95% of </w:t>
      </w:r>
      <w:r w:rsidR="00666745" w:rsidRPr="00CB1364">
        <w:t xml:space="preserve">these </w:t>
      </w:r>
      <w:r w:rsidR="0053512A" w:rsidRPr="00CB1364">
        <w:t>exports</w:t>
      </w:r>
      <w:r w:rsidR="00666745" w:rsidRPr="00CB1364">
        <w:t>.</w:t>
      </w:r>
      <w:r w:rsidR="00147EEF" w:rsidRPr="00CB1364">
        <w:t xml:space="preserve"> </w:t>
      </w:r>
    </w:p>
    <w:p w14:paraId="07104BE5" w14:textId="4E52AE6A" w:rsidR="00647786" w:rsidRPr="00CB1364" w:rsidRDefault="00E254A0" w:rsidP="006D4F41">
      <w:pPr>
        <w:pStyle w:val="ListParagraph"/>
        <w:numPr>
          <w:ilvl w:val="0"/>
          <w:numId w:val="7"/>
        </w:numPr>
        <w:spacing w:before="120" w:after="0"/>
        <w:ind w:left="360" w:right="-396"/>
      </w:pPr>
      <w:r w:rsidRPr="00CB1364">
        <w:t xml:space="preserve">Despite broad declines in most product groups, </w:t>
      </w:r>
      <w:r w:rsidR="006D4F41" w:rsidRPr="00CB1364">
        <w:t>selected markets and</w:t>
      </w:r>
      <w:r w:rsidR="00562F8A" w:rsidRPr="00CB1364">
        <w:t xml:space="preserve"> product segments had promising gains</w:t>
      </w:r>
      <w:r w:rsidRPr="00CB1364">
        <w:t>.</w:t>
      </w:r>
      <w:r w:rsidR="006D4F41" w:rsidRPr="00CB1364">
        <w:t xml:space="preserve"> </w:t>
      </w:r>
      <w:r w:rsidR="00562F8A" w:rsidRPr="00CB1364">
        <w:t xml:space="preserve">Demand for </w:t>
      </w:r>
      <w:r w:rsidR="00562F8A" w:rsidRPr="00CB1364">
        <w:rPr>
          <w:b/>
        </w:rPr>
        <w:t xml:space="preserve">plastics </w:t>
      </w:r>
      <w:r w:rsidR="00562F8A" w:rsidRPr="00CB1364">
        <w:t xml:space="preserve">grew in </w:t>
      </w:r>
      <w:r w:rsidR="00A23BB2" w:rsidRPr="00CB1364">
        <w:t xml:space="preserve">markets such as </w:t>
      </w:r>
      <w:r w:rsidR="00A23BB2" w:rsidRPr="00CB1364">
        <w:rPr>
          <w:b/>
        </w:rPr>
        <w:t xml:space="preserve">the </w:t>
      </w:r>
      <w:r w:rsidR="0047084F" w:rsidRPr="00CB1364">
        <w:rPr>
          <w:b/>
        </w:rPr>
        <w:t>Netherlands</w:t>
      </w:r>
      <w:r w:rsidR="0047084F" w:rsidRPr="00CB1364">
        <w:t xml:space="preserve"> ($26 million, up 195%) and </w:t>
      </w:r>
      <w:r w:rsidR="0047084F" w:rsidRPr="00CB1364">
        <w:rPr>
          <w:b/>
        </w:rPr>
        <w:t>Taiw</w:t>
      </w:r>
      <w:r w:rsidR="00A23BB2" w:rsidRPr="00CB1364">
        <w:rPr>
          <w:b/>
        </w:rPr>
        <w:t>an</w:t>
      </w:r>
      <w:r w:rsidR="00A23BB2" w:rsidRPr="00CB1364">
        <w:t xml:space="preserve"> ($14 million, up 75%), and in segments such as </w:t>
      </w:r>
      <w:proofErr w:type="spellStart"/>
      <w:r w:rsidR="00A23BB2" w:rsidRPr="00CB1364">
        <w:rPr>
          <w:b/>
        </w:rPr>
        <w:t>p</w:t>
      </w:r>
      <w:r w:rsidR="0047084F" w:rsidRPr="00CB1364">
        <w:rPr>
          <w:b/>
        </w:rPr>
        <w:t>olyacetals</w:t>
      </w:r>
      <w:proofErr w:type="spellEnd"/>
      <w:r w:rsidR="0047084F" w:rsidRPr="00CB1364">
        <w:rPr>
          <w:b/>
        </w:rPr>
        <w:t xml:space="preserve"> (primary </w:t>
      </w:r>
      <w:r w:rsidR="00562F8A" w:rsidRPr="00CB1364">
        <w:rPr>
          <w:b/>
        </w:rPr>
        <w:t>polyesters</w:t>
      </w:r>
      <w:r w:rsidR="00562F8A" w:rsidRPr="009407A8">
        <w:rPr>
          <w:b/>
        </w:rPr>
        <w:t>)</w:t>
      </w:r>
      <w:r w:rsidR="00562F8A" w:rsidRPr="00CB1364">
        <w:t xml:space="preserve"> (up 147%) and </w:t>
      </w:r>
      <w:r w:rsidR="009407A8">
        <w:rPr>
          <w:b/>
        </w:rPr>
        <w:t>tubes,</w:t>
      </w:r>
      <w:r w:rsidR="0047084F" w:rsidRPr="00CB1364">
        <w:rPr>
          <w:b/>
        </w:rPr>
        <w:t xml:space="preserve"> pipes</w:t>
      </w:r>
      <w:r w:rsidR="009407A8">
        <w:rPr>
          <w:b/>
        </w:rPr>
        <w:t>, hoses</w:t>
      </w:r>
      <w:r w:rsidR="0047084F" w:rsidRPr="00CB1364">
        <w:t xml:space="preserve"> (up 51%</w:t>
      </w:r>
      <w:r w:rsidR="00A23BB2" w:rsidRPr="00CB1364">
        <w:t>).</w:t>
      </w:r>
      <w:r w:rsidR="00647786" w:rsidRPr="00CB1364">
        <w:t xml:space="preserve"> </w:t>
      </w:r>
    </w:p>
    <w:p w14:paraId="173C397B" w14:textId="0FD770CE" w:rsidR="0038071A" w:rsidRPr="00CB1364" w:rsidRDefault="006D4F41" w:rsidP="0038071A">
      <w:pPr>
        <w:pStyle w:val="ListParagraph"/>
        <w:numPr>
          <w:ilvl w:val="0"/>
          <w:numId w:val="7"/>
        </w:numPr>
        <w:spacing w:after="0"/>
        <w:ind w:left="360" w:right="-396"/>
      </w:pPr>
      <w:r w:rsidRPr="00CB1364">
        <w:rPr>
          <w:b/>
        </w:rPr>
        <w:t>China</w:t>
      </w:r>
      <w:r w:rsidRPr="00CB1364">
        <w:t xml:space="preserve"> (up 13%), </w:t>
      </w:r>
      <w:r w:rsidRPr="00CB1364">
        <w:rPr>
          <w:b/>
        </w:rPr>
        <w:t>the Netherlands</w:t>
      </w:r>
      <w:r w:rsidRPr="00CB1364">
        <w:t xml:space="preserve"> (up 86%) and </w:t>
      </w:r>
      <w:r w:rsidRPr="00CB1364">
        <w:rPr>
          <w:b/>
        </w:rPr>
        <w:t>Switzerland</w:t>
      </w:r>
      <w:r w:rsidRPr="00CB1364">
        <w:t xml:space="preserve"> (up 47%) contributed to recovering</w:t>
      </w:r>
      <w:r w:rsidR="00562F8A" w:rsidRPr="00CB1364">
        <w:t xml:space="preserve"> segments of</w:t>
      </w:r>
      <w:r w:rsidRPr="00CB1364">
        <w:t xml:space="preserve"> </w:t>
      </w:r>
      <w:r w:rsidRPr="00CB1364">
        <w:rPr>
          <w:b/>
        </w:rPr>
        <w:t xml:space="preserve">electrical equipment </w:t>
      </w:r>
      <w:r w:rsidRPr="00CB1364">
        <w:t>exports,</w:t>
      </w:r>
      <w:r w:rsidR="00562F8A" w:rsidRPr="00CB1364">
        <w:t xml:space="preserve"> such as </w:t>
      </w:r>
      <w:r w:rsidR="00A23BB2" w:rsidRPr="00CB1364">
        <w:rPr>
          <w:b/>
        </w:rPr>
        <w:t>industrial furnaces</w:t>
      </w:r>
      <w:r w:rsidR="0038071A" w:rsidRPr="00CB1364">
        <w:rPr>
          <w:b/>
        </w:rPr>
        <w:t xml:space="preserve"> </w:t>
      </w:r>
      <w:r w:rsidR="00A23BB2" w:rsidRPr="00CB1364">
        <w:t>($25 million, up 66</w:t>
      </w:r>
      <w:r w:rsidR="0038071A" w:rsidRPr="00CB1364">
        <w:t>%)</w:t>
      </w:r>
      <w:r w:rsidR="007910B2" w:rsidRPr="00CB1364">
        <w:t xml:space="preserve">, </w:t>
      </w:r>
      <w:r w:rsidR="00A23BB2" w:rsidRPr="00CB1364">
        <w:rPr>
          <w:b/>
        </w:rPr>
        <w:t>household appliances</w:t>
      </w:r>
      <w:r w:rsidR="00A23BB2" w:rsidRPr="00CB1364">
        <w:t xml:space="preserve"> ($18 million, up 106</w:t>
      </w:r>
      <w:r w:rsidR="00A10AC7" w:rsidRPr="00CB1364">
        <w:t>%)</w:t>
      </w:r>
      <w:r w:rsidR="00A23BB2" w:rsidRPr="00CB1364">
        <w:t xml:space="preserve"> </w:t>
      </w:r>
      <w:r w:rsidR="007910B2" w:rsidRPr="00CB1364">
        <w:t xml:space="preserve">and </w:t>
      </w:r>
      <w:r w:rsidR="007910B2" w:rsidRPr="00CB1364">
        <w:rPr>
          <w:b/>
        </w:rPr>
        <w:t>electric g</w:t>
      </w:r>
      <w:r w:rsidRPr="00CB1364">
        <w:rPr>
          <w:b/>
        </w:rPr>
        <w:t>enerators</w:t>
      </w:r>
      <w:r w:rsidRPr="00CB1364">
        <w:t xml:space="preserve"> ($27 million, up 18%).</w:t>
      </w:r>
    </w:p>
    <w:p w14:paraId="2531CFFE" w14:textId="397EA8B7" w:rsidR="007F1C4A" w:rsidRPr="00CB1364" w:rsidRDefault="007F1C4A" w:rsidP="00953B35">
      <w:pPr>
        <w:pStyle w:val="Heading4"/>
        <w:spacing w:before="120" w:after="120"/>
        <w:rPr>
          <w:color w:val="auto"/>
        </w:rPr>
      </w:pPr>
      <w:r w:rsidRPr="00CB1364">
        <w:rPr>
          <w:color w:val="auto"/>
        </w:rPr>
        <w:t>Fi</w:t>
      </w:r>
      <w:r w:rsidR="00A44451" w:rsidRPr="00CB1364">
        <w:rPr>
          <w:color w:val="auto"/>
        </w:rPr>
        <w:t>gure 4. Export Trends for</w:t>
      </w:r>
      <w:r w:rsidRPr="00CB1364">
        <w:rPr>
          <w:color w:val="auto"/>
        </w:rPr>
        <w:t xml:space="preserve"> Minnesota’s Top 10 Products, </w:t>
      </w:r>
      <w:r w:rsidR="0046703D" w:rsidRPr="00CB1364">
        <w:rPr>
          <w:color w:val="auto"/>
        </w:rPr>
        <w:t>Third</w:t>
      </w:r>
      <w:r w:rsidR="00A52415" w:rsidRPr="00CB1364">
        <w:rPr>
          <w:color w:val="auto"/>
        </w:rPr>
        <w:t xml:space="preserve"> Quarter </w:t>
      </w:r>
      <w:r w:rsidR="007818E5" w:rsidRPr="00CB1364">
        <w:rPr>
          <w:color w:val="auto"/>
        </w:rPr>
        <w:t>2020</w:t>
      </w:r>
    </w:p>
    <w:p w14:paraId="03050CEF" w14:textId="78D8C9BB" w:rsidR="00ED605B" w:rsidRPr="00CB1364" w:rsidRDefault="00902E31" w:rsidP="00ED605B">
      <w:pPr>
        <w:spacing w:after="0"/>
      </w:pPr>
      <w:r w:rsidRPr="00CB1364">
        <w:rPr>
          <w:noProof/>
        </w:rPr>
        <w:drawing>
          <wp:inline distT="0" distB="0" distL="0" distR="0" wp14:anchorId="3397D6F0" wp14:editId="777FCA23">
            <wp:extent cx="6512559" cy="1866900"/>
            <wp:effectExtent l="0" t="0" r="3175" b="0"/>
            <wp:docPr id="9" name="Picture 9" descr="PRODUCT  Exports (millions)  Percent Change, 2019-Q3 to 2020--Q3&#10;TOTAL  $4,807  -14%&#10;Optic, Medical  $956  -18%&#10;Machinery  $739  -11%&#10;Electrical Equipment  $556  -23%&#10;Vehicles  $307  -18%&#10;Plastics  $305  -13%&#10;Mineral Fuels, Oils*  $192  544%&#10;Ores, Slag And Ash  $140  -38%&#10;Food By-Products  $125  -27%&#10;Pharmaceuticals  $116  -30%&#10;Meat  $101  22%&#10;Other  $1,270  -15%&#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kim\Work from home files\wfh files_Main\Tableau, Viz\MTO Tableau files\Export Stats Reports\Newsletter &amp; Fact Sheet charts\2020-Q3 Top 10 2H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6802" cy="1873850"/>
                    </a:xfrm>
                    <a:prstGeom prst="rect">
                      <a:avLst/>
                    </a:prstGeom>
                    <a:noFill/>
                    <a:ln>
                      <a:noFill/>
                    </a:ln>
                  </pic:spPr>
                </pic:pic>
              </a:graphicData>
            </a:graphic>
          </wp:inline>
        </w:drawing>
      </w:r>
    </w:p>
    <w:p w14:paraId="720730BD" w14:textId="111D4E4E" w:rsidR="005E139A" w:rsidRPr="00CB1364" w:rsidRDefault="005E139A" w:rsidP="004A6B80">
      <w:pPr>
        <w:spacing w:after="60"/>
        <w:rPr>
          <w:i/>
          <w:sz w:val="18"/>
          <w:szCs w:val="18"/>
        </w:rPr>
      </w:pPr>
      <w:r w:rsidRPr="00CB1364">
        <w:rPr>
          <w:i/>
          <w:sz w:val="18"/>
          <w:szCs w:val="18"/>
        </w:rPr>
        <w:t>* Note: To minimize chart distortion, the export growth rate of 544% for mineral fuels and oils, was omitted.</w:t>
      </w:r>
    </w:p>
    <w:p w14:paraId="73CDCF23" w14:textId="570F51AC" w:rsidR="004A4223" w:rsidRPr="00CB1364" w:rsidRDefault="004A4223" w:rsidP="00ED605B">
      <w:pPr>
        <w:spacing w:after="0"/>
        <w:rPr>
          <w:sz w:val="18"/>
        </w:rPr>
      </w:pPr>
    </w:p>
    <w:tbl>
      <w:tblPr>
        <w:tblpPr w:leftFromText="180" w:rightFromText="180" w:vertAnchor="page" w:horzAnchor="margin" w:tblpY="13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CB1364" w:rsidRPr="00CB1364" w14:paraId="7688E05E" w14:textId="77777777" w:rsidTr="00540B35">
        <w:trPr>
          <w:trHeight w:val="1070"/>
        </w:trPr>
        <w:tc>
          <w:tcPr>
            <w:tcW w:w="10255" w:type="dxa"/>
            <w:shd w:val="clear" w:color="auto" w:fill="C9E5A6"/>
          </w:tcPr>
          <w:p w14:paraId="39907943" w14:textId="7AC3BEB6" w:rsidR="00D80EB6" w:rsidRPr="00CB1364" w:rsidRDefault="00D80EB6" w:rsidP="004A6B80">
            <w:pPr>
              <w:spacing w:after="0"/>
            </w:pPr>
            <w:r w:rsidRPr="00CB1364">
              <w:rPr>
                <w:rStyle w:val="Emphasis"/>
                <w:rFonts w:cstheme="minorHAnsi"/>
                <w:sz w:val="18"/>
              </w:rPr>
              <w:t>Minnesota Quarterly Export Statistics</w:t>
            </w:r>
            <w:r w:rsidRPr="00CB1364">
              <w:rPr>
                <w:rFonts w:ascii="Calibri" w:hAnsi="Calibri"/>
                <w:sz w:val="14"/>
              </w:rPr>
              <w:t xml:space="preserve"> </w:t>
            </w:r>
            <w:r w:rsidRPr="00CB1364">
              <w:rPr>
                <w:rFonts w:ascii="Calibri" w:hAnsi="Calibri"/>
                <w:sz w:val="18"/>
              </w:rPr>
              <w:t>is the most current resource available for tracking the state’s</w:t>
            </w:r>
            <w:r w:rsidR="004A6B80" w:rsidRPr="00CB1364">
              <w:rPr>
                <w:rFonts w:ascii="Calibri" w:hAnsi="Calibri"/>
                <w:sz w:val="18"/>
              </w:rPr>
              <w:t xml:space="preserve"> export</w:t>
            </w:r>
            <w:r w:rsidR="008A202D" w:rsidRPr="00CB1364">
              <w:rPr>
                <w:rFonts w:ascii="Calibri" w:hAnsi="Calibri"/>
                <w:sz w:val="18"/>
              </w:rPr>
              <w:t xml:space="preserve"> trends in man</w:t>
            </w:r>
            <w:r w:rsidR="004A6B80" w:rsidRPr="00CB1364">
              <w:rPr>
                <w:rFonts w:ascii="Calibri" w:hAnsi="Calibri"/>
                <w:sz w:val="18"/>
              </w:rPr>
              <w:t>ufactured and other goods,</w:t>
            </w:r>
            <w:r w:rsidRPr="00CB1364">
              <w:rPr>
                <w:rFonts w:ascii="Calibri" w:hAnsi="Calibri"/>
                <w:sz w:val="18"/>
              </w:rPr>
              <w:t xml:space="preserve"> and is prepared for the Minnesota Trade Office (MTO) by the Department of Employment and Economic Development’s (DEED) Economic Analysis Unit (Thu-Mai Ho-Kim).  </w:t>
            </w:r>
            <w:r w:rsidRPr="00CB1364">
              <w:rPr>
                <w:rFonts w:ascii="Calibri" w:hAnsi="Calibri" w:cs="Calibri"/>
                <w:sz w:val="18"/>
                <w:szCs w:val="18"/>
              </w:rPr>
              <w:t xml:space="preserve">The quarterly and annual statistics reports primarily cover export data based on the Harmonized Tariff System (Schedule B), collected by the U.S. Department of Commerce (USDOC) and distributed by IHS </w:t>
            </w:r>
            <w:proofErr w:type="spellStart"/>
            <w:r w:rsidR="004A6B80" w:rsidRPr="00CB1364">
              <w:rPr>
                <w:rFonts w:ascii="Calibri" w:hAnsi="Calibri" w:cs="Calibri"/>
                <w:sz w:val="18"/>
                <w:szCs w:val="18"/>
              </w:rPr>
              <w:t>Markit</w:t>
            </w:r>
            <w:proofErr w:type="spellEnd"/>
            <w:r w:rsidR="004A6B80" w:rsidRPr="00CB1364">
              <w:rPr>
                <w:rFonts w:ascii="Calibri" w:hAnsi="Calibri" w:cs="Calibri"/>
                <w:sz w:val="18"/>
                <w:szCs w:val="18"/>
              </w:rPr>
              <w:t>.</w:t>
            </w:r>
            <w:r w:rsidRPr="00CB1364">
              <w:rPr>
                <w:rFonts w:ascii="Calibri" w:hAnsi="Calibri" w:cs="Calibri"/>
                <w:sz w:val="18"/>
                <w:szCs w:val="18"/>
              </w:rPr>
              <w:t xml:space="preserve"> Reports are available on DEED’s website at “Export and Trade Statistics” (</w:t>
            </w:r>
            <w:hyperlink r:id="rId18" w:history="1">
              <w:r w:rsidRPr="00CB1364">
                <w:rPr>
                  <w:rStyle w:val="Hyperlink"/>
                  <w:color w:val="auto"/>
                  <w:sz w:val="18"/>
                  <w:szCs w:val="18"/>
                </w:rPr>
                <w:t>http://mn.gov/deed/data/export-stats/</w:t>
              </w:r>
            </w:hyperlink>
            <w:r w:rsidRPr="00CB1364">
              <w:rPr>
                <w:sz w:val="18"/>
                <w:szCs w:val="18"/>
              </w:rPr>
              <w:t>)</w:t>
            </w:r>
            <w:r w:rsidRPr="00CB1364">
              <w:rPr>
                <w:rFonts w:ascii="Calibri" w:hAnsi="Calibri" w:cs="Calibri"/>
                <w:sz w:val="18"/>
                <w:szCs w:val="18"/>
              </w:rPr>
              <w:t>.</w:t>
            </w:r>
          </w:p>
        </w:tc>
      </w:tr>
    </w:tbl>
    <w:p w14:paraId="7C147EF7" w14:textId="77777777" w:rsidR="007F1C4A" w:rsidRPr="00CB1364"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CB1364" w:rsidSect="00426066">
      <w:footerReference w:type="default" r:id="rId19"/>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A392" w14:textId="77777777" w:rsidR="00172FA7" w:rsidRDefault="00172FA7">
      <w:r>
        <w:separator/>
      </w:r>
    </w:p>
  </w:endnote>
  <w:endnote w:type="continuationSeparator" w:id="0">
    <w:p w14:paraId="14AF0C03" w14:textId="77777777" w:rsidR="00172FA7" w:rsidRDefault="0017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EB89" w14:textId="77777777" w:rsidR="00172FA7" w:rsidRDefault="00172FA7">
      <w:r>
        <w:separator/>
      </w:r>
    </w:p>
  </w:footnote>
  <w:footnote w:type="continuationSeparator" w:id="0">
    <w:p w14:paraId="3C7C3097" w14:textId="77777777" w:rsidR="00172FA7" w:rsidRDefault="0017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A9B">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B"/>
    <w:rsid w:val="000041CC"/>
    <w:rsid w:val="000115BA"/>
    <w:rsid w:val="00013717"/>
    <w:rsid w:val="00015A9D"/>
    <w:rsid w:val="00017FE0"/>
    <w:rsid w:val="000218A0"/>
    <w:rsid w:val="00024BB5"/>
    <w:rsid w:val="000350A7"/>
    <w:rsid w:val="00035328"/>
    <w:rsid w:val="00036238"/>
    <w:rsid w:val="00046117"/>
    <w:rsid w:val="00051FE0"/>
    <w:rsid w:val="00051FF7"/>
    <w:rsid w:val="00052D34"/>
    <w:rsid w:val="000541A0"/>
    <w:rsid w:val="00054A6E"/>
    <w:rsid w:val="00055AAF"/>
    <w:rsid w:val="0005790D"/>
    <w:rsid w:val="00061093"/>
    <w:rsid w:val="0006144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9D8"/>
    <w:rsid w:val="00092FFB"/>
    <w:rsid w:val="00096FFD"/>
    <w:rsid w:val="000A1B8D"/>
    <w:rsid w:val="000A491B"/>
    <w:rsid w:val="000A4AB3"/>
    <w:rsid w:val="000A5664"/>
    <w:rsid w:val="000A7EF0"/>
    <w:rsid w:val="000B518F"/>
    <w:rsid w:val="000B6338"/>
    <w:rsid w:val="000C1CB0"/>
    <w:rsid w:val="000C2181"/>
    <w:rsid w:val="000C3AE5"/>
    <w:rsid w:val="000D02DD"/>
    <w:rsid w:val="000D1330"/>
    <w:rsid w:val="000D18A9"/>
    <w:rsid w:val="000D5D94"/>
    <w:rsid w:val="000D6FAF"/>
    <w:rsid w:val="000E0786"/>
    <w:rsid w:val="000E3376"/>
    <w:rsid w:val="000E6BD9"/>
    <w:rsid w:val="000E7ED0"/>
    <w:rsid w:val="000F0519"/>
    <w:rsid w:val="000F1844"/>
    <w:rsid w:val="000F1B22"/>
    <w:rsid w:val="000F3E1F"/>
    <w:rsid w:val="000F4C5E"/>
    <w:rsid w:val="000F54F2"/>
    <w:rsid w:val="000F6660"/>
    <w:rsid w:val="000F6CDA"/>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73C3"/>
    <w:rsid w:val="00137E8C"/>
    <w:rsid w:val="00140B5F"/>
    <w:rsid w:val="00142003"/>
    <w:rsid w:val="0014228E"/>
    <w:rsid w:val="00145936"/>
    <w:rsid w:val="00147356"/>
    <w:rsid w:val="00147EEF"/>
    <w:rsid w:val="001619F1"/>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92539"/>
    <w:rsid w:val="001942D2"/>
    <w:rsid w:val="001944CA"/>
    <w:rsid w:val="001968E6"/>
    <w:rsid w:val="001978D1"/>
    <w:rsid w:val="001979B1"/>
    <w:rsid w:val="001A7229"/>
    <w:rsid w:val="001A7363"/>
    <w:rsid w:val="001B0716"/>
    <w:rsid w:val="001B0D71"/>
    <w:rsid w:val="001B1416"/>
    <w:rsid w:val="001B344A"/>
    <w:rsid w:val="001B3687"/>
    <w:rsid w:val="001B5950"/>
    <w:rsid w:val="001B6B06"/>
    <w:rsid w:val="001C1A15"/>
    <w:rsid w:val="001C3A93"/>
    <w:rsid w:val="001C6967"/>
    <w:rsid w:val="001D0609"/>
    <w:rsid w:val="001D704D"/>
    <w:rsid w:val="001D767B"/>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3F46"/>
    <w:rsid w:val="00226A71"/>
    <w:rsid w:val="00234444"/>
    <w:rsid w:val="00244370"/>
    <w:rsid w:val="00245025"/>
    <w:rsid w:val="0024609E"/>
    <w:rsid w:val="002538D5"/>
    <w:rsid w:val="0025565E"/>
    <w:rsid w:val="002607E0"/>
    <w:rsid w:val="00262FF7"/>
    <w:rsid w:val="0026310F"/>
    <w:rsid w:val="00267778"/>
    <w:rsid w:val="002726A4"/>
    <w:rsid w:val="00272910"/>
    <w:rsid w:val="00275F40"/>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D2A7E"/>
    <w:rsid w:val="002D2EF5"/>
    <w:rsid w:val="002D6A99"/>
    <w:rsid w:val="002D6F33"/>
    <w:rsid w:val="002E54F1"/>
    <w:rsid w:val="002F0687"/>
    <w:rsid w:val="002F1C0E"/>
    <w:rsid w:val="002F1E64"/>
    <w:rsid w:val="002F257A"/>
    <w:rsid w:val="002F285F"/>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071A"/>
    <w:rsid w:val="003833B0"/>
    <w:rsid w:val="00383D01"/>
    <w:rsid w:val="0038665A"/>
    <w:rsid w:val="00387942"/>
    <w:rsid w:val="00387E7F"/>
    <w:rsid w:val="00391815"/>
    <w:rsid w:val="00392609"/>
    <w:rsid w:val="00396483"/>
    <w:rsid w:val="003975D0"/>
    <w:rsid w:val="003A3D11"/>
    <w:rsid w:val="003B0B33"/>
    <w:rsid w:val="003B2771"/>
    <w:rsid w:val="003B3484"/>
    <w:rsid w:val="003B62FF"/>
    <w:rsid w:val="003C316B"/>
    <w:rsid w:val="003C43EB"/>
    <w:rsid w:val="003C53CE"/>
    <w:rsid w:val="003C57B0"/>
    <w:rsid w:val="003C7165"/>
    <w:rsid w:val="003D044E"/>
    <w:rsid w:val="003D23DD"/>
    <w:rsid w:val="003D4F5D"/>
    <w:rsid w:val="003D6202"/>
    <w:rsid w:val="003D744B"/>
    <w:rsid w:val="003D7C4C"/>
    <w:rsid w:val="003E01C9"/>
    <w:rsid w:val="003F27BF"/>
    <w:rsid w:val="003F41C6"/>
    <w:rsid w:val="003F44C1"/>
    <w:rsid w:val="003F6B30"/>
    <w:rsid w:val="0040062C"/>
    <w:rsid w:val="00402A86"/>
    <w:rsid w:val="00405F36"/>
    <w:rsid w:val="004061B1"/>
    <w:rsid w:val="00406E6D"/>
    <w:rsid w:val="00407310"/>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31E6"/>
    <w:rsid w:val="004D0671"/>
    <w:rsid w:val="004D1EAB"/>
    <w:rsid w:val="004D6223"/>
    <w:rsid w:val="004E1A2B"/>
    <w:rsid w:val="004E1D93"/>
    <w:rsid w:val="004E7051"/>
    <w:rsid w:val="004E7967"/>
    <w:rsid w:val="004F046B"/>
    <w:rsid w:val="004F0B2F"/>
    <w:rsid w:val="004F19B8"/>
    <w:rsid w:val="004F5A09"/>
    <w:rsid w:val="004F5CE6"/>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F38"/>
    <w:rsid w:val="0054634E"/>
    <w:rsid w:val="005514BE"/>
    <w:rsid w:val="0055424F"/>
    <w:rsid w:val="00557377"/>
    <w:rsid w:val="00560599"/>
    <w:rsid w:val="00562F8A"/>
    <w:rsid w:val="00563721"/>
    <w:rsid w:val="00565776"/>
    <w:rsid w:val="00566508"/>
    <w:rsid w:val="00566C4E"/>
    <w:rsid w:val="00570ACF"/>
    <w:rsid w:val="00573535"/>
    <w:rsid w:val="00573C2D"/>
    <w:rsid w:val="00575BB7"/>
    <w:rsid w:val="00575F88"/>
    <w:rsid w:val="0057794D"/>
    <w:rsid w:val="00582DC9"/>
    <w:rsid w:val="00585250"/>
    <w:rsid w:val="005859C8"/>
    <w:rsid w:val="00587796"/>
    <w:rsid w:val="005940DB"/>
    <w:rsid w:val="005A2AAC"/>
    <w:rsid w:val="005A3C50"/>
    <w:rsid w:val="005A61AB"/>
    <w:rsid w:val="005B0E04"/>
    <w:rsid w:val="005B2781"/>
    <w:rsid w:val="005B6872"/>
    <w:rsid w:val="005B6B09"/>
    <w:rsid w:val="005B75E6"/>
    <w:rsid w:val="005C0164"/>
    <w:rsid w:val="005C4DE0"/>
    <w:rsid w:val="005C5B41"/>
    <w:rsid w:val="005C61D6"/>
    <w:rsid w:val="005D315F"/>
    <w:rsid w:val="005E139A"/>
    <w:rsid w:val="005E2D06"/>
    <w:rsid w:val="005E4CC6"/>
    <w:rsid w:val="005E5D9F"/>
    <w:rsid w:val="005E6921"/>
    <w:rsid w:val="005F082A"/>
    <w:rsid w:val="005F1B29"/>
    <w:rsid w:val="005F3BCE"/>
    <w:rsid w:val="005F5087"/>
    <w:rsid w:val="005F69A9"/>
    <w:rsid w:val="00600502"/>
    <w:rsid w:val="0060605E"/>
    <w:rsid w:val="00606AB0"/>
    <w:rsid w:val="00607FAE"/>
    <w:rsid w:val="006139EC"/>
    <w:rsid w:val="00613CC2"/>
    <w:rsid w:val="00615BC9"/>
    <w:rsid w:val="00615CB4"/>
    <w:rsid w:val="006177AE"/>
    <w:rsid w:val="00620C18"/>
    <w:rsid w:val="00621065"/>
    <w:rsid w:val="00621A4A"/>
    <w:rsid w:val="00624E22"/>
    <w:rsid w:val="006339F5"/>
    <w:rsid w:val="0063551B"/>
    <w:rsid w:val="00635F82"/>
    <w:rsid w:val="00636B6E"/>
    <w:rsid w:val="0063763A"/>
    <w:rsid w:val="00640620"/>
    <w:rsid w:val="00641D3B"/>
    <w:rsid w:val="00646942"/>
    <w:rsid w:val="00647786"/>
    <w:rsid w:val="006519AF"/>
    <w:rsid w:val="00652A9D"/>
    <w:rsid w:val="006549A6"/>
    <w:rsid w:val="0066058B"/>
    <w:rsid w:val="006618F7"/>
    <w:rsid w:val="00662222"/>
    <w:rsid w:val="00663755"/>
    <w:rsid w:val="00666745"/>
    <w:rsid w:val="006674D7"/>
    <w:rsid w:val="0067275F"/>
    <w:rsid w:val="00674A82"/>
    <w:rsid w:val="00674D0B"/>
    <w:rsid w:val="006754B7"/>
    <w:rsid w:val="00675B7D"/>
    <w:rsid w:val="00676C69"/>
    <w:rsid w:val="00680F03"/>
    <w:rsid w:val="0068122B"/>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4F41"/>
    <w:rsid w:val="006D6A44"/>
    <w:rsid w:val="006D7A33"/>
    <w:rsid w:val="006E280A"/>
    <w:rsid w:val="006E6792"/>
    <w:rsid w:val="006E75E2"/>
    <w:rsid w:val="006F01B5"/>
    <w:rsid w:val="006F4AD5"/>
    <w:rsid w:val="006F5527"/>
    <w:rsid w:val="006F6211"/>
    <w:rsid w:val="00701034"/>
    <w:rsid w:val="007046F7"/>
    <w:rsid w:val="00707559"/>
    <w:rsid w:val="007076DF"/>
    <w:rsid w:val="00710701"/>
    <w:rsid w:val="007144F6"/>
    <w:rsid w:val="00716311"/>
    <w:rsid w:val="00723A6D"/>
    <w:rsid w:val="007269AB"/>
    <w:rsid w:val="00732F74"/>
    <w:rsid w:val="007332F9"/>
    <w:rsid w:val="00734ED0"/>
    <w:rsid w:val="00736085"/>
    <w:rsid w:val="00736171"/>
    <w:rsid w:val="00741394"/>
    <w:rsid w:val="007418D9"/>
    <w:rsid w:val="00742173"/>
    <w:rsid w:val="00742415"/>
    <w:rsid w:val="00743C00"/>
    <w:rsid w:val="00743CDA"/>
    <w:rsid w:val="007441D4"/>
    <w:rsid w:val="00744252"/>
    <w:rsid w:val="00746FD8"/>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D2F"/>
    <w:rsid w:val="007A6F27"/>
    <w:rsid w:val="007A7979"/>
    <w:rsid w:val="007A7D3B"/>
    <w:rsid w:val="007B0321"/>
    <w:rsid w:val="007B183D"/>
    <w:rsid w:val="007B1D69"/>
    <w:rsid w:val="007C165F"/>
    <w:rsid w:val="007C1DCB"/>
    <w:rsid w:val="007C29FD"/>
    <w:rsid w:val="007D2377"/>
    <w:rsid w:val="007D2D9B"/>
    <w:rsid w:val="007D3342"/>
    <w:rsid w:val="007D733B"/>
    <w:rsid w:val="007E22C2"/>
    <w:rsid w:val="007E3EFB"/>
    <w:rsid w:val="007E4D02"/>
    <w:rsid w:val="007E4D0D"/>
    <w:rsid w:val="007E5495"/>
    <w:rsid w:val="007E5EA9"/>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C"/>
    <w:rsid w:val="00872803"/>
    <w:rsid w:val="00872BA2"/>
    <w:rsid w:val="00877E32"/>
    <w:rsid w:val="0088063C"/>
    <w:rsid w:val="00881039"/>
    <w:rsid w:val="00883AAA"/>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FC8"/>
    <w:rsid w:val="008C7870"/>
    <w:rsid w:val="008D4971"/>
    <w:rsid w:val="008D77FD"/>
    <w:rsid w:val="008E1E77"/>
    <w:rsid w:val="008E6A92"/>
    <w:rsid w:val="008F1D37"/>
    <w:rsid w:val="008F4BDD"/>
    <w:rsid w:val="008F7897"/>
    <w:rsid w:val="00900302"/>
    <w:rsid w:val="0090296E"/>
    <w:rsid w:val="00902E31"/>
    <w:rsid w:val="0090379A"/>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70F4"/>
    <w:rsid w:val="009B7374"/>
    <w:rsid w:val="009C0727"/>
    <w:rsid w:val="009C1EF7"/>
    <w:rsid w:val="009C2556"/>
    <w:rsid w:val="009C6C52"/>
    <w:rsid w:val="009D162F"/>
    <w:rsid w:val="009D1776"/>
    <w:rsid w:val="009D5976"/>
    <w:rsid w:val="009D5A80"/>
    <w:rsid w:val="009D79AE"/>
    <w:rsid w:val="009E040A"/>
    <w:rsid w:val="009E2345"/>
    <w:rsid w:val="009E40AA"/>
    <w:rsid w:val="009E4E40"/>
    <w:rsid w:val="009E710F"/>
    <w:rsid w:val="009F206C"/>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3E28"/>
    <w:rsid w:val="00A44451"/>
    <w:rsid w:val="00A46428"/>
    <w:rsid w:val="00A46BDC"/>
    <w:rsid w:val="00A5105C"/>
    <w:rsid w:val="00A52415"/>
    <w:rsid w:val="00A57B01"/>
    <w:rsid w:val="00A60B2E"/>
    <w:rsid w:val="00A6188E"/>
    <w:rsid w:val="00A62E69"/>
    <w:rsid w:val="00A67499"/>
    <w:rsid w:val="00A716CD"/>
    <w:rsid w:val="00A745E3"/>
    <w:rsid w:val="00A76173"/>
    <w:rsid w:val="00A762E1"/>
    <w:rsid w:val="00A77AE4"/>
    <w:rsid w:val="00A806F4"/>
    <w:rsid w:val="00A81FA6"/>
    <w:rsid w:val="00A84E31"/>
    <w:rsid w:val="00A8697D"/>
    <w:rsid w:val="00A873DD"/>
    <w:rsid w:val="00A9059D"/>
    <w:rsid w:val="00AA0175"/>
    <w:rsid w:val="00AA0A83"/>
    <w:rsid w:val="00AA25E4"/>
    <w:rsid w:val="00AA3112"/>
    <w:rsid w:val="00AA6162"/>
    <w:rsid w:val="00AA733A"/>
    <w:rsid w:val="00AA78DC"/>
    <w:rsid w:val="00AA7F1A"/>
    <w:rsid w:val="00AB25F9"/>
    <w:rsid w:val="00AB2F51"/>
    <w:rsid w:val="00AB2FDC"/>
    <w:rsid w:val="00AB6229"/>
    <w:rsid w:val="00AC1689"/>
    <w:rsid w:val="00AC1FDD"/>
    <w:rsid w:val="00AC4D72"/>
    <w:rsid w:val="00AC4F4B"/>
    <w:rsid w:val="00AC71A6"/>
    <w:rsid w:val="00AD15B2"/>
    <w:rsid w:val="00AD24FE"/>
    <w:rsid w:val="00AD362B"/>
    <w:rsid w:val="00AD4B24"/>
    <w:rsid w:val="00AD6D51"/>
    <w:rsid w:val="00AE1B54"/>
    <w:rsid w:val="00AE2FF1"/>
    <w:rsid w:val="00AE36A3"/>
    <w:rsid w:val="00AE515D"/>
    <w:rsid w:val="00AE64C1"/>
    <w:rsid w:val="00AF3041"/>
    <w:rsid w:val="00AF48CD"/>
    <w:rsid w:val="00AF5E69"/>
    <w:rsid w:val="00AF5FAD"/>
    <w:rsid w:val="00AF6022"/>
    <w:rsid w:val="00AF7EC8"/>
    <w:rsid w:val="00B015A7"/>
    <w:rsid w:val="00B01F89"/>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4303"/>
    <w:rsid w:val="00B47D07"/>
    <w:rsid w:val="00B5144B"/>
    <w:rsid w:val="00B5170B"/>
    <w:rsid w:val="00B53992"/>
    <w:rsid w:val="00B53D6E"/>
    <w:rsid w:val="00B679D3"/>
    <w:rsid w:val="00B67FEA"/>
    <w:rsid w:val="00B708AD"/>
    <w:rsid w:val="00B710D2"/>
    <w:rsid w:val="00B7113C"/>
    <w:rsid w:val="00B712CC"/>
    <w:rsid w:val="00B723DF"/>
    <w:rsid w:val="00B731DE"/>
    <w:rsid w:val="00B734C3"/>
    <w:rsid w:val="00B74252"/>
    <w:rsid w:val="00B7678B"/>
    <w:rsid w:val="00B77533"/>
    <w:rsid w:val="00B77B05"/>
    <w:rsid w:val="00B85149"/>
    <w:rsid w:val="00B85A12"/>
    <w:rsid w:val="00B86498"/>
    <w:rsid w:val="00B9063F"/>
    <w:rsid w:val="00B945D4"/>
    <w:rsid w:val="00B94BAD"/>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31877"/>
    <w:rsid w:val="00C31885"/>
    <w:rsid w:val="00C347A8"/>
    <w:rsid w:val="00C4222C"/>
    <w:rsid w:val="00C42BB6"/>
    <w:rsid w:val="00C43515"/>
    <w:rsid w:val="00C46BC0"/>
    <w:rsid w:val="00C53B91"/>
    <w:rsid w:val="00C53EBB"/>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462"/>
    <w:rsid w:val="00C97041"/>
    <w:rsid w:val="00C97042"/>
    <w:rsid w:val="00C979F3"/>
    <w:rsid w:val="00CA0EED"/>
    <w:rsid w:val="00CA2794"/>
    <w:rsid w:val="00CB1364"/>
    <w:rsid w:val="00CB3215"/>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E3D"/>
    <w:rsid w:val="00CF0ECB"/>
    <w:rsid w:val="00CF1D5A"/>
    <w:rsid w:val="00CF3C7B"/>
    <w:rsid w:val="00D02A61"/>
    <w:rsid w:val="00D02D91"/>
    <w:rsid w:val="00D038F3"/>
    <w:rsid w:val="00D0438E"/>
    <w:rsid w:val="00D06225"/>
    <w:rsid w:val="00D075C8"/>
    <w:rsid w:val="00D126B7"/>
    <w:rsid w:val="00D13636"/>
    <w:rsid w:val="00D14F5B"/>
    <w:rsid w:val="00D17713"/>
    <w:rsid w:val="00D17CB6"/>
    <w:rsid w:val="00D20FFB"/>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BDF"/>
    <w:rsid w:val="00D60DC5"/>
    <w:rsid w:val="00D61780"/>
    <w:rsid w:val="00D623EB"/>
    <w:rsid w:val="00D637FE"/>
    <w:rsid w:val="00D63F04"/>
    <w:rsid w:val="00D66D1C"/>
    <w:rsid w:val="00D72133"/>
    <w:rsid w:val="00D73FB9"/>
    <w:rsid w:val="00D75FCF"/>
    <w:rsid w:val="00D76B66"/>
    <w:rsid w:val="00D773D0"/>
    <w:rsid w:val="00D77DC0"/>
    <w:rsid w:val="00D80073"/>
    <w:rsid w:val="00D80EB6"/>
    <w:rsid w:val="00D81A8E"/>
    <w:rsid w:val="00D8329D"/>
    <w:rsid w:val="00D84A3A"/>
    <w:rsid w:val="00D863CC"/>
    <w:rsid w:val="00D90D24"/>
    <w:rsid w:val="00D90EBF"/>
    <w:rsid w:val="00D9611D"/>
    <w:rsid w:val="00D97463"/>
    <w:rsid w:val="00D9773D"/>
    <w:rsid w:val="00D97C6C"/>
    <w:rsid w:val="00DA4B88"/>
    <w:rsid w:val="00DA7EEA"/>
    <w:rsid w:val="00DB304D"/>
    <w:rsid w:val="00DB3AAA"/>
    <w:rsid w:val="00DC2D48"/>
    <w:rsid w:val="00DC3253"/>
    <w:rsid w:val="00DC5FA6"/>
    <w:rsid w:val="00DC6760"/>
    <w:rsid w:val="00DD30F7"/>
    <w:rsid w:val="00DD60C4"/>
    <w:rsid w:val="00DD736C"/>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B98"/>
    <w:rsid w:val="00ED6C94"/>
    <w:rsid w:val="00EE1040"/>
    <w:rsid w:val="00EE5B40"/>
    <w:rsid w:val="00EE7685"/>
    <w:rsid w:val="00EF0EA0"/>
    <w:rsid w:val="00EF35D0"/>
    <w:rsid w:val="00EF4C89"/>
    <w:rsid w:val="00EF5F9F"/>
    <w:rsid w:val="00EF64BD"/>
    <w:rsid w:val="00F0242A"/>
    <w:rsid w:val="00F05050"/>
    <w:rsid w:val="00F053EF"/>
    <w:rsid w:val="00F12FA6"/>
    <w:rsid w:val="00F141DF"/>
    <w:rsid w:val="00F15307"/>
    <w:rsid w:val="00F16041"/>
    <w:rsid w:val="00F17A7A"/>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D28"/>
    <w:rsid w:val="00F5785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1B4B"/>
    <w:rsid w:val="00FA384A"/>
    <w:rsid w:val="00FA4229"/>
    <w:rsid w:val="00FA65D1"/>
    <w:rsid w:val="00FA6CA0"/>
    <w:rsid w:val="00FA701F"/>
    <w:rsid w:val="00FB01B3"/>
    <w:rsid w:val="00FB5013"/>
    <w:rsid w:val="00FB507A"/>
    <w:rsid w:val="00FB6A28"/>
    <w:rsid w:val="00FB76CD"/>
    <w:rsid w:val="00FC662C"/>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8421781614647568"/>
          <c:y val="0.10848974624037672"/>
          <c:w val="0.59552418752533987"/>
          <c:h val="0.82097792726096053"/>
        </c:manualLayout>
      </c:layout>
      <c:pieChart>
        <c:varyColors val="1"/>
        <c:ser>
          <c:idx val="0"/>
          <c:order val="0"/>
          <c:tx>
            <c:strRef>
              <c:f>Sheet1!$B$1</c:f>
              <c:strCache>
                <c:ptCount val="1"/>
                <c:pt idx="0">
                  <c:v>2020-Q3</c:v>
                </c:pt>
              </c:strCache>
            </c:strRef>
          </c:tx>
          <c:spPr>
            <a:ln w="6350">
              <a:solidFill>
                <a:schemeClr val="tx1">
                  <a:lumMod val="65000"/>
                  <a:lumOff val="35000"/>
                </a:schemeClr>
              </a:solidFill>
            </a:ln>
          </c:spPr>
          <c:dPt>
            <c:idx val="0"/>
            <c:bubble3D val="0"/>
            <c:spPr>
              <a:solidFill>
                <a:schemeClr val="accent6">
                  <a:shade val="53000"/>
                </a:schemeClr>
              </a:solidFill>
              <a:ln w="6350">
                <a:solidFill>
                  <a:schemeClr val="tx1">
                    <a:lumMod val="65000"/>
                    <a:lumOff val="35000"/>
                  </a:schemeClr>
                </a:solidFill>
              </a:ln>
              <a:effectLst/>
            </c:spPr>
          </c:dPt>
          <c:dPt>
            <c:idx val="1"/>
            <c:bubble3D val="0"/>
            <c:spPr>
              <a:solidFill>
                <a:schemeClr val="accent6">
                  <a:shade val="76000"/>
                </a:schemeClr>
              </a:solidFill>
              <a:ln w="6350">
                <a:solidFill>
                  <a:schemeClr val="tx1">
                    <a:lumMod val="65000"/>
                    <a:lumOff val="35000"/>
                  </a:schemeClr>
                </a:solidFill>
              </a:ln>
              <a:effectLst/>
            </c:spPr>
          </c:dPt>
          <c:dPt>
            <c:idx val="2"/>
            <c:bubble3D val="0"/>
            <c:spPr>
              <a:solidFill>
                <a:schemeClr val="accent6"/>
              </a:solidFill>
              <a:ln w="6350">
                <a:solidFill>
                  <a:schemeClr val="tx1">
                    <a:lumMod val="65000"/>
                    <a:lumOff val="35000"/>
                  </a:schemeClr>
                </a:solidFill>
              </a:ln>
              <a:effectLst/>
            </c:spPr>
          </c:dPt>
          <c:dPt>
            <c:idx val="3"/>
            <c:bubble3D val="0"/>
            <c:spPr>
              <a:solidFill>
                <a:schemeClr val="accent6">
                  <a:tint val="77000"/>
                </a:schemeClr>
              </a:solidFill>
              <a:ln w="6350">
                <a:solidFill>
                  <a:schemeClr val="tx1">
                    <a:lumMod val="65000"/>
                    <a:lumOff val="35000"/>
                  </a:schemeClr>
                </a:solidFill>
              </a:ln>
              <a:effectLst/>
            </c:spPr>
          </c:dPt>
          <c:dPt>
            <c:idx val="4"/>
            <c:bubble3D val="0"/>
            <c:spPr>
              <a:solidFill>
                <a:schemeClr val="accent6">
                  <a:tint val="54000"/>
                </a:schemeClr>
              </a:solidFill>
              <a:ln w="6350">
                <a:solidFill>
                  <a:schemeClr val="tx1">
                    <a:lumMod val="65000"/>
                    <a:lumOff val="35000"/>
                  </a:schemeClr>
                </a:solidFill>
              </a:ln>
              <a:effectLst/>
            </c:spPr>
          </c:dPt>
          <c:dPt>
            <c:idx val="5"/>
            <c:bubble3D val="0"/>
            <c:spPr>
              <a:solidFill>
                <a:schemeClr val="accent6">
                  <a:tint val="30000"/>
                </a:schemeClr>
              </a:solidFill>
              <a:ln w="6350">
                <a:solidFill>
                  <a:schemeClr val="tx1">
                    <a:lumMod val="65000"/>
                    <a:lumOff val="35000"/>
                  </a:schemeClr>
                </a:solidFill>
              </a:ln>
              <a:effectLst/>
            </c:spPr>
          </c:dPt>
          <c:dPt>
            <c:idx val="6"/>
            <c:bubble3D val="0"/>
            <c:spPr>
              <a:solidFill>
                <a:schemeClr val="accent6">
                  <a:tint val="7000"/>
                </a:schemeClr>
              </a:solidFill>
              <a:ln w="6350">
                <a:solidFill>
                  <a:schemeClr val="tx1">
                    <a:lumMod val="65000"/>
                    <a:lumOff val="35000"/>
                  </a:schemeClr>
                </a:solidFill>
              </a:ln>
              <a:effectLst/>
            </c:spPr>
          </c:dPt>
          <c:dPt>
            <c:idx val="7"/>
            <c:bubble3D val="0"/>
            <c:spPr>
              <a:solidFill>
                <a:schemeClr val="accent6">
                  <a:tint val="84000"/>
                </a:schemeClr>
              </a:solidFill>
              <a:ln w="6350">
                <a:solidFill>
                  <a:schemeClr val="tx1">
                    <a:lumMod val="65000"/>
                    <a:lumOff val="35000"/>
                  </a:schemeClr>
                </a:solidFill>
              </a:ln>
              <a:effectLst/>
            </c:spPr>
          </c:dPt>
          <c:dPt>
            <c:idx val="8"/>
            <c:bubble3D val="0"/>
            <c:spPr>
              <a:solidFill>
                <a:schemeClr val="accent6">
                  <a:tint val="60000"/>
                </a:schemeClr>
              </a:solidFill>
              <a:ln w="6350">
                <a:solidFill>
                  <a:schemeClr val="tx1">
                    <a:lumMod val="65000"/>
                    <a:lumOff val="35000"/>
                  </a:schemeClr>
                </a:solidFill>
              </a:ln>
              <a:effectLst/>
            </c:spPr>
          </c:dPt>
          <c:dLbls>
            <c:dLbl>
              <c:idx val="0"/>
              <c:layout>
                <c:manualLayout>
                  <c:x val="-2.4096543654934698E-2"/>
                  <c:y val="-0.121973101320485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26123391202603"/>
                      <c:h val="0.17316616219462611"/>
                    </c:manualLayout>
                  </c15:layout>
                </c:ext>
              </c:extLst>
            </c:dLbl>
            <c:dLbl>
              <c:idx val="1"/>
              <c:layout>
                <c:manualLayout>
                  <c:x val="0.35313521803750436"/>
                  <c:y val="-5.694377639177148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443343639105067"/>
                      <c:h val="0.16953608946029908"/>
                    </c:manualLayout>
                  </c15:layout>
                </c:ext>
              </c:extLst>
            </c:dLbl>
            <c:dLbl>
              <c:idx val="2"/>
              <c:layout>
                <c:manualLayout>
                  <c:x val="-1.1561521677260222E-2"/>
                  <c:y val="0.1046234264591377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48784112829272"/>
                      <c:h val="0.26601311184397591"/>
                    </c:manualLayout>
                  </c15:layout>
                </c:ext>
              </c:extLst>
            </c:dLbl>
            <c:dLbl>
              <c:idx val="3"/>
              <c:layout>
                <c:manualLayout>
                  <c:x val="-2.2249757647076533E-2"/>
                  <c:y val="3.986064347424002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367232710369036"/>
                      <c:h val="0.21884820927927373"/>
                    </c:manualLayout>
                  </c15:layout>
                </c:ext>
              </c:extLst>
            </c:dLbl>
            <c:dLbl>
              <c:idx val="4"/>
              <c:layout>
                <c:manualLayout>
                  <c:x val="6.9105081744300037E-2"/>
                  <c:y val="3.9436514917579139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3189585586134417"/>
                      <c:h val="0.12208311963029596"/>
                    </c:manualLayout>
                  </c15:layout>
                </c:ext>
              </c:extLst>
            </c:dLbl>
            <c:dLbl>
              <c:idx val="5"/>
              <c:layout>
                <c:manualLayout>
                  <c:x val="-2.5722776326677705E-2"/>
                  <c:y val="-3.653029391980225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43421313148236"/>
                      <c:h val="0.11008474598791924"/>
                    </c:manualLayout>
                  </c15:layout>
                </c:ext>
              </c:extLst>
            </c:dLbl>
            <c:dLbl>
              <c:idx val="6"/>
              <c:layout>
                <c:manualLayout>
                  <c:x val="-3.1823805227471566E-2"/>
                  <c:y val="2.45436877642203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785973042432198"/>
                      <c:h val="0.17672707419206188"/>
                    </c:manualLayout>
                  </c15:layout>
                </c:ext>
              </c:extLst>
            </c:dLbl>
            <c:dLbl>
              <c:idx val="7"/>
              <c:layout>
                <c:manualLayout>
                  <c:x val="-9.9826388888888895E-2"/>
                  <c:y val="-3.49870269078961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421006944444446"/>
                      <c:h val="0.1015903307888040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Sheet1!$A$2:$A$6</c:f>
              <c:strCache>
                <c:ptCount val="5"/>
                <c:pt idx="0">
                  <c:v>Frozen Pork</c:v>
                </c:pt>
                <c:pt idx="1">
                  <c:v>Fresh Chilled Pork</c:v>
                </c:pt>
                <c:pt idx="2">
                  <c:v>Fresh, Chilled Or Frozen Poultry</c:v>
                </c:pt>
                <c:pt idx="3">
                  <c:v>Meat By-Products</c:v>
                </c:pt>
                <c:pt idx="4">
                  <c:v>Other</c:v>
                </c:pt>
              </c:strCache>
            </c:strRef>
          </c:cat>
          <c:val>
            <c:numRef>
              <c:f>Sheet1!$B$2:$B$6</c:f>
              <c:numCache>
                <c:formatCode>#,###</c:formatCode>
                <c:ptCount val="5"/>
                <c:pt idx="0">
                  <c:v>39231047</c:v>
                </c:pt>
                <c:pt idx="1">
                  <c:v>26986853</c:v>
                </c:pt>
                <c:pt idx="2">
                  <c:v>15012290</c:v>
                </c:pt>
                <c:pt idx="3">
                  <c:v>11820487</c:v>
                </c:pt>
                <c:pt idx="4">
                  <c:v>8107188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41E-C408-459D-B989-CEB014E9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1st Quarter 2019</vt:lpstr>
    </vt:vector>
  </TitlesOfParts>
  <Company>MN DEED</Company>
  <LinksUpToDate>false</LinksUpToDate>
  <CharactersWithSpaces>4679</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2019</dc:title>
  <dc:subject>Minnesota Quarterly Export Statistics</dc:subject>
  <dc:creator>Economic Analysis Unit (T. Ho-Kim)</dc:creator>
  <dc:description>1st Quarter 2019</dc:description>
  <cp:lastModifiedBy>Thu-Mai Ho-Kim</cp:lastModifiedBy>
  <cp:revision>16</cp:revision>
  <cp:lastPrinted>2019-05-30T13:24:00Z</cp:lastPrinted>
  <dcterms:created xsi:type="dcterms:W3CDTF">2020-11-05T18:41:00Z</dcterms:created>
  <dcterms:modified xsi:type="dcterms:W3CDTF">2020-11-30T15:14:00Z</dcterms:modified>
</cp:coreProperties>
</file>