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8978" w14:textId="2A412022" w:rsidR="00CE313B" w:rsidRPr="00C267D7" w:rsidRDefault="0094395B" w:rsidP="007F1C4A">
      <w:pPr>
        <w:tabs>
          <w:tab w:val="left" w:pos="360"/>
          <w:tab w:val="left" w:pos="6660"/>
        </w:tabs>
        <w:spacing w:after="240"/>
        <w:jc w:val="center"/>
        <w:sectPr w:rsidR="00CE313B" w:rsidRPr="00C267D7" w:rsidSect="0055424F">
          <w:headerReference w:type="even" r:id="rId8"/>
          <w:headerReference w:type="default" r:id="rId9"/>
          <w:footerReference w:type="even" r:id="rId10"/>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C267D7">
        <w:rPr>
          <w:noProof/>
        </w:rPr>
        <mc:AlternateContent>
          <mc:Choice Requires="wps">
            <w:drawing>
              <wp:anchor distT="0" distB="0" distL="114300" distR="114300" simplePos="0" relativeHeight="251656704" behindDoc="0" locked="0" layoutInCell="1" allowOverlap="1" wp14:anchorId="3957BDA5" wp14:editId="76133CC7">
                <wp:simplePos x="0" y="0"/>
                <wp:positionH relativeFrom="column">
                  <wp:posOffset>96520</wp:posOffset>
                </wp:positionH>
                <wp:positionV relativeFrom="paragraph">
                  <wp:posOffset>1136650</wp:posOffset>
                </wp:positionV>
                <wp:extent cx="6303010" cy="419100"/>
                <wp:effectExtent l="0" t="0" r="0" b="0"/>
                <wp:wrapNone/>
                <wp:docPr id="2" name="Text Box 2" descr="Data on Minnesota Exports for First Quarter 2020 – Published May 2020&#10;For More Information:  Eric Lightner, 651-259-7149&#10;"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2551B7BA"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00470B">
                              <w:rPr>
                                <w:rStyle w:val="Emphasis"/>
                                <w:b/>
                              </w:rPr>
                              <w:t>Fourth</w:t>
                            </w:r>
                            <w:r w:rsidR="007818E5">
                              <w:rPr>
                                <w:rStyle w:val="Emphasis"/>
                                <w:b/>
                              </w:rPr>
                              <w:t xml:space="preserve"> Quarter 2020</w:t>
                            </w:r>
                            <w:r w:rsidR="00A43E28">
                              <w:rPr>
                                <w:rStyle w:val="Emphasis"/>
                                <w:b/>
                              </w:rPr>
                              <w:t xml:space="preserve"> – Published </w:t>
                            </w:r>
                            <w:r w:rsidR="0000470B">
                              <w:rPr>
                                <w:rStyle w:val="Emphasis"/>
                                <w:b/>
                              </w:rPr>
                              <w:t>February 2021</w:t>
                            </w:r>
                          </w:p>
                          <w:p w14:paraId="3EE065DE" w14:textId="77777777" w:rsidR="007C542D" w:rsidRPr="00B577E0" w:rsidRDefault="007F1C4A" w:rsidP="007C542D">
                            <w:pPr>
                              <w:pStyle w:val="NoSpacing"/>
                              <w:jc w:val="center"/>
                              <w:rPr>
                                <w:rStyle w:val="Emphasis"/>
                                <w:b/>
                              </w:rPr>
                            </w:pPr>
                            <w:r>
                              <w:rPr>
                                <w:rStyle w:val="Emphasis"/>
                                <w:b/>
                              </w:rPr>
                              <w:t>For More Information</w:t>
                            </w:r>
                            <w:r w:rsidRPr="007818E5">
                              <w:rPr>
                                <w:rStyle w:val="Emphasis"/>
                              </w:rPr>
                              <w:t xml:space="preserve">: </w:t>
                            </w:r>
                            <w:r w:rsidR="007C542D">
                              <w:rPr>
                                <w:rStyle w:val="Strong"/>
                                <w:i/>
                              </w:rPr>
                              <w:t>Jen Gates 651-358-0300</w:t>
                            </w:r>
                          </w:p>
                          <w:p w14:paraId="34B91C04" w14:textId="03ED3A40" w:rsidR="007F1C4A" w:rsidRPr="00B577E0" w:rsidRDefault="007F1C4A" w:rsidP="0094395B">
                            <w:pPr>
                              <w:pStyle w:val="NoSpacing"/>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Title: Text box - Description: Data on Minnesota Exports for First Quarter 2020 – Published May 2020&#10;For More Information:  Eric Lightner, 651-259-7149&#10;" style="position:absolute;left:0;text-align:left;margin-left:7.6pt;margin-top:89.5pt;width:496.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" filled="f" stroked="f">
                <v:textbox>
                  <w:txbxContent>
                    <w:p w14:paraId="482B0058" w14:textId="2551B7BA"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00470B">
                        <w:rPr>
                          <w:rStyle w:val="Emphasis"/>
                          <w:b/>
                        </w:rPr>
                        <w:t>Fourth</w:t>
                      </w:r>
                      <w:r w:rsidR="007818E5">
                        <w:rPr>
                          <w:rStyle w:val="Emphasis"/>
                          <w:b/>
                        </w:rPr>
                        <w:t xml:space="preserve"> Quarter 2020</w:t>
                      </w:r>
                      <w:r w:rsidR="00A43E28">
                        <w:rPr>
                          <w:rStyle w:val="Emphasis"/>
                          <w:b/>
                        </w:rPr>
                        <w:t xml:space="preserve"> – Published </w:t>
                      </w:r>
                      <w:r w:rsidR="0000470B">
                        <w:rPr>
                          <w:rStyle w:val="Emphasis"/>
                          <w:b/>
                        </w:rPr>
                        <w:t>February 2021</w:t>
                      </w:r>
                    </w:p>
                    <w:p w14:paraId="3EE065DE" w14:textId="77777777" w:rsidR="007C542D" w:rsidRPr="00B577E0" w:rsidRDefault="007F1C4A" w:rsidP="007C542D">
                      <w:pPr>
                        <w:pStyle w:val="NoSpacing"/>
                        <w:jc w:val="center"/>
                        <w:rPr>
                          <w:rStyle w:val="Emphasis"/>
                          <w:b/>
                        </w:rPr>
                      </w:pPr>
                      <w:r>
                        <w:rPr>
                          <w:rStyle w:val="Emphasis"/>
                          <w:b/>
                        </w:rPr>
                        <w:t>For More Information</w:t>
                      </w:r>
                      <w:r w:rsidRPr="007818E5">
                        <w:rPr>
                          <w:rStyle w:val="Emphasis"/>
                        </w:rPr>
                        <w:t xml:space="preserve">: </w:t>
                      </w:r>
                      <w:r w:rsidR="007C542D">
                        <w:rPr>
                          <w:rStyle w:val="Strong"/>
                          <w:i/>
                        </w:rPr>
                        <w:t>Jen Gates 651-358-0300</w:t>
                      </w:r>
                    </w:p>
                    <w:p w14:paraId="34B91C04" w14:textId="03ED3A40" w:rsidR="007F1C4A" w:rsidRPr="00B577E0" w:rsidRDefault="007F1C4A" w:rsidP="0094395B">
                      <w:pPr>
                        <w:pStyle w:val="NoSpacing"/>
                        <w:jc w:val="center"/>
                        <w:rPr>
                          <w:rStyle w:val="Emphasis"/>
                          <w:b/>
                        </w:rPr>
                      </w:pPr>
                    </w:p>
                  </w:txbxContent>
                </v:textbox>
              </v:shape>
            </w:pict>
          </mc:Fallback>
        </mc:AlternateContent>
      </w:r>
      <w:r w:rsidR="0000470B" w:rsidRPr="00C267D7">
        <w:rPr>
          <w:noProof/>
        </w:rPr>
        <w:drawing>
          <wp:inline distT="0" distB="0" distL="0" distR="0" wp14:anchorId="1F7A92F1" wp14:editId="47B57B91">
            <wp:extent cx="6494828" cy="1136072"/>
            <wp:effectExtent l="0" t="0" r="1270" b="6985"/>
            <wp:docPr id="8" name="Picture 8" descr="Title Banner&#10;&#10;4th Quarter Minnesota Export Statistics Newsletter &#10;Minnesota Department of Employment and Economic Development&#10;&#10;Data on Minnesota Exports for Fourth Quarter 2020 – Published February 2021&#10;For More Information: Jen Gates 651-358-03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ES Banner_4thQt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2882" cy="1140979"/>
                    </a:xfrm>
                    <a:prstGeom prst="rect">
                      <a:avLst/>
                    </a:prstGeom>
                  </pic:spPr>
                </pic:pic>
              </a:graphicData>
            </a:graphic>
          </wp:inline>
        </w:drawing>
      </w:r>
    </w:p>
    <w:p w14:paraId="18DCA261" w14:textId="05CBFEF9" w:rsidR="00641D3B" w:rsidRPr="00C267D7" w:rsidRDefault="00373858" w:rsidP="00145936">
      <w:pPr>
        <w:pStyle w:val="Heading1"/>
        <w:spacing w:before="840"/>
        <w:rPr>
          <w:rFonts w:asciiTheme="minorHAnsi" w:hAnsiTheme="minorHAnsi"/>
          <w:color w:val="auto"/>
          <w:sz w:val="36"/>
          <w:szCs w:val="30"/>
        </w:rPr>
        <w:sectPr w:rsidR="00641D3B" w:rsidRPr="00C267D7"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C267D7">
        <w:rPr>
          <w:rFonts w:asciiTheme="minorHAnsi" w:hAnsiTheme="minorHAnsi"/>
          <w:color w:val="auto"/>
          <w:sz w:val="36"/>
          <w:szCs w:val="30"/>
        </w:rPr>
        <w:t xml:space="preserve">State Export Slide 10% </w:t>
      </w:r>
      <w:r w:rsidR="00BD6641" w:rsidRPr="00C267D7">
        <w:rPr>
          <w:rFonts w:asciiTheme="minorHAnsi" w:hAnsiTheme="minorHAnsi"/>
          <w:color w:val="auto"/>
          <w:sz w:val="36"/>
          <w:szCs w:val="30"/>
        </w:rPr>
        <w:t xml:space="preserve">in </w:t>
      </w:r>
      <w:r w:rsidR="0000470B" w:rsidRPr="00C267D7">
        <w:rPr>
          <w:rFonts w:asciiTheme="minorHAnsi" w:hAnsiTheme="minorHAnsi"/>
          <w:color w:val="auto"/>
          <w:sz w:val="36"/>
          <w:szCs w:val="30"/>
        </w:rPr>
        <w:t>Fourth</w:t>
      </w:r>
      <w:r w:rsidR="00BD6641" w:rsidRPr="00C267D7">
        <w:rPr>
          <w:rFonts w:asciiTheme="minorHAnsi" w:hAnsiTheme="minorHAnsi"/>
          <w:color w:val="auto"/>
          <w:sz w:val="36"/>
          <w:szCs w:val="30"/>
        </w:rPr>
        <w:t xml:space="preserve"> Quarter</w:t>
      </w:r>
    </w:p>
    <w:p w14:paraId="46AF4887" w14:textId="77777777" w:rsidR="00D33037" w:rsidRPr="00C267D7" w:rsidRDefault="007F1C4A" w:rsidP="00575F88">
      <w:pPr>
        <w:pStyle w:val="ListParagraph"/>
        <w:numPr>
          <w:ilvl w:val="0"/>
          <w:numId w:val="9"/>
        </w:numPr>
        <w:spacing w:after="0"/>
      </w:pPr>
      <w:r w:rsidRPr="00C267D7">
        <w:t>Minnesota exports (including agricultural, mining and manufact</w:t>
      </w:r>
      <w:r w:rsidR="00A02A94" w:rsidRPr="00C267D7">
        <w:t>ured products) wer</w:t>
      </w:r>
      <w:r w:rsidR="00E92FA6" w:rsidRPr="00C267D7">
        <w:t>e valued at $</w:t>
      </w:r>
      <w:r w:rsidR="0000470B" w:rsidRPr="00C267D7">
        <w:t>5.0</w:t>
      </w:r>
      <w:r w:rsidR="00C23DAA" w:rsidRPr="00C267D7">
        <w:t xml:space="preserve"> billion</w:t>
      </w:r>
      <w:r w:rsidR="00DB304D" w:rsidRPr="00C267D7">
        <w:t xml:space="preserve"> in the </w:t>
      </w:r>
      <w:r w:rsidR="0000470B" w:rsidRPr="00C267D7">
        <w:t>fourth</w:t>
      </w:r>
      <w:r w:rsidR="00DB304D" w:rsidRPr="00C267D7">
        <w:t xml:space="preserve"> quarter of 2020, fall</w:t>
      </w:r>
      <w:r w:rsidR="00223F46" w:rsidRPr="00C267D7">
        <w:t>ing by</w:t>
      </w:r>
      <w:r w:rsidR="00530F70" w:rsidRPr="00C267D7">
        <w:t xml:space="preserve"> </w:t>
      </w:r>
      <w:r w:rsidR="0000470B" w:rsidRPr="00C267D7">
        <w:t>10</w:t>
      </w:r>
      <w:r w:rsidR="007818E5" w:rsidRPr="00C267D7">
        <w:t>%</w:t>
      </w:r>
      <w:r w:rsidR="00B5144B" w:rsidRPr="00C267D7">
        <w:t xml:space="preserve"> (or $</w:t>
      </w:r>
      <w:r w:rsidR="0000470B" w:rsidRPr="00C267D7">
        <w:t>566</w:t>
      </w:r>
      <w:r w:rsidR="00C23DAA" w:rsidRPr="00C267D7">
        <w:t xml:space="preserve"> million</w:t>
      </w:r>
      <w:r w:rsidRPr="00C267D7">
        <w:t xml:space="preserve">) </w:t>
      </w:r>
      <w:r w:rsidR="00DB304D" w:rsidRPr="00C267D7">
        <w:t xml:space="preserve">since </w:t>
      </w:r>
      <w:r w:rsidRPr="00C267D7">
        <w:t xml:space="preserve">the </w:t>
      </w:r>
      <w:r w:rsidR="0000470B" w:rsidRPr="00C267D7">
        <w:t>fourth</w:t>
      </w:r>
      <w:r w:rsidRPr="00C267D7">
        <w:t xml:space="preserve"> qu</w:t>
      </w:r>
      <w:r w:rsidR="00DB304D" w:rsidRPr="00C267D7">
        <w:t>arter</w:t>
      </w:r>
      <w:r w:rsidR="00957BCF" w:rsidRPr="00C267D7">
        <w:t xml:space="preserve"> of </w:t>
      </w:r>
      <w:r w:rsidR="00223F46" w:rsidRPr="00C267D7">
        <w:t>2019</w:t>
      </w:r>
      <w:r w:rsidR="00B85149" w:rsidRPr="00C267D7">
        <w:t xml:space="preserve">. </w:t>
      </w:r>
    </w:p>
    <w:p w14:paraId="46069970" w14:textId="122192BA" w:rsidR="006D7A33" w:rsidRPr="00C267D7" w:rsidRDefault="00C97041" w:rsidP="003B0D48">
      <w:pPr>
        <w:pStyle w:val="ListParagraph"/>
        <w:numPr>
          <w:ilvl w:val="0"/>
          <w:numId w:val="9"/>
        </w:numPr>
        <w:spacing w:after="0"/>
      </w:pPr>
      <w:r w:rsidRPr="00C267D7">
        <w:t>U.S. exports</w:t>
      </w:r>
      <w:r w:rsidR="00742415" w:rsidRPr="00C267D7">
        <w:t xml:space="preserve"> of goods</w:t>
      </w:r>
      <w:r w:rsidR="00C23DAA" w:rsidRPr="00C267D7">
        <w:t xml:space="preserve"> fell</w:t>
      </w:r>
      <w:r w:rsidR="00C057FE" w:rsidRPr="00C267D7">
        <w:t xml:space="preserve"> </w:t>
      </w:r>
      <w:r w:rsidR="0000470B" w:rsidRPr="00C267D7">
        <w:t>5</w:t>
      </w:r>
      <w:r w:rsidR="007818E5" w:rsidRPr="00C267D7">
        <w:t>%</w:t>
      </w:r>
      <w:r w:rsidR="00521967" w:rsidRPr="00C267D7">
        <w:t xml:space="preserve"> during this period</w:t>
      </w:r>
      <w:r w:rsidR="00956763" w:rsidRPr="00C267D7">
        <w:t xml:space="preserve">. </w:t>
      </w:r>
      <w:r w:rsidR="004F6DBE">
        <w:t>A</w:t>
      </w:r>
      <w:r w:rsidR="001625A3" w:rsidRPr="00C267D7">
        <w:t xml:space="preserve"> larger number of states had</w:t>
      </w:r>
      <w:r w:rsidR="00954A83" w:rsidRPr="00C267D7">
        <w:t xml:space="preserve"> positive or flat export growth</w:t>
      </w:r>
      <w:r w:rsidR="00CA0F8C" w:rsidRPr="00C267D7">
        <w:t xml:space="preserve"> compared to the previous two quarters.</w:t>
      </w:r>
      <w:r w:rsidR="00C23DAA" w:rsidRPr="00C267D7">
        <w:t xml:space="preserve"> </w:t>
      </w:r>
    </w:p>
    <w:p w14:paraId="06392D44" w14:textId="215E7083" w:rsidR="006D7A33" w:rsidRPr="00C267D7" w:rsidRDefault="00692D3B" w:rsidP="006D7A33">
      <w:pPr>
        <w:pStyle w:val="ListParagraph"/>
        <w:numPr>
          <w:ilvl w:val="0"/>
          <w:numId w:val="9"/>
        </w:numPr>
        <w:spacing w:after="0"/>
      </w:pPr>
      <w:r w:rsidRPr="00C267D7">
        <w:t xml:space="preserve">Minnesota </w:t>
      </w:r>
      <w:r w:rsidRPr="00C267D7">
        <w:rPr>
          <w:i/>
        </w:rPr>
        <w:t>manufactured</w:t>
      </w:r>
      <w:r w:rsidR="001F7EBF" w:rsidRPr="00C267D7">
        <w:t xml:space="preserve"> exports</w:t>
      </w:r>
      <w:r w:rsidR="00DD736C" w:rsidRPr="00C267D7">
        <w:t xml:space="preserve"> contracted</w:t>
      </w:r>
      <w:r w:rsidR="00C97041" w:rsidRPr="00C267D7">
        <w:t xml:space="preserve"> </w:t>
      </w:r>
      <w:r w:rsidR="00956763" w:rsidRPr="00C267D7">
        <w:t>11</w:t>
      </w:r>
      <w:r w:rsidR="00742415" w:rsidRPr="00C267D7">
        <w:t>%</w:t>
      </w:r>
      <w:r w:rsidR="00C97041" w:rsidRPr="00C267D7">
        <w:t xml:space="preserve"> to </w:t>
      </w:r>
      <w:r w:rsidR="00956763" w:rsidRPr="00C267D7">
        <w:t>$4.7</w:t>
      </w:r>
      <w:r w:rsidR="004A3CC9" w:rsidRPr="00C267D7">
        <w:t xml:space="preserve"> billion</w:t>
      </w:r>
      <w:r w:rsidRPr="00C267D7">
        <w:t xml:space="preserve"> </w:t>
      </w:r>
      <w:r w:rsidR="007F1C4A" w:rsidRPr="00C267D7">
        <w:t xml:space="preserve">in the </w:t>
      </w:r>
      <w:r w:rsidR="0000470B" w:rsidRPr="00C267D7">
        <w:t>fourth</w:t>
      </w:r>
      <w:r w:rsidR="007F1C4A" w:rsidRPr="00C267D7">
        <w:t xml:space="preserve"> quarter of </w:t>
      </w:r>
      <w:r w:rsidR="007818E5" w:rsidRPr="00C267D7">
        <w:t>2020</w:t>
      </w:r>
      <w:r w:rsidR="00D33037" w:rsidRPr="00C267D7">
        <w:t>.</w:t>
      </w:r>
      <w:r w:rsidR="00C23DAA" w:rsidRPr="00C267D7">
        <w:t xml:space="preserve"> </w:t>
      </w:r>
      <w:r w:rsidR="00E42787" w:rsidRPr="00C267D7">
        <w:t>U.S</w:t>
      </w:r>
      <w:r w:rsidR="00742415" w:rsidRPr="00C267D7">
        <w:t xml:space="preserve">. </w:t>
      </w:r>
      <w:r w:rsidR="00742415" w:rsidRPr="00C267D7">
        <w:rPr>
          <w:i/>
        </w:rPr>
        <w:t>manufactured</w:t>
      </w:r>
      <w:r w:rsidR="00742415" w:rsidRPr="00C267D7">
        <w:t xml:space="preserve"> exports </w:t>
      </w:r>
      <w:r w:rsidR="00956763" w:rsidRPr="00C267D7">
        <w:t>sank 8</w:t>
      </w:r>
      <w:r w:rsidR="007818E5" w:rsidRPr="00C267D7">
        <w:t>%</w:t>
      </w:r>
      <w:r w:rsidR="00557377" w:rsidRPr="00C267D7">
        <w:t>.</w:t>
      </w:r>
    </w:p>
    <w:p w14:paraId="5A8A396E" w14:textId="55C75550" w:rsidR="00E16ECF" w:rsidRPr="00C267D7" w:rsidRDefault="007C542D" w:rsidP="00902E31">
      <w:pPr>
        <w:pStyle w:val="ListParagraph"/>
        <w:numPr>
          <w:ilvl w:val="0"/>
          <w:numId w:val="9"/>
        </w:numPr>
        <w:spacing w:after="120" w:line="271" w:lineRule="auto"/>
      </w:pPr>
      <w:r>
        <w:t>For the year</w:t>
      </w:r>
      <w:r w:rsidR="0065603B" w:rsidRPr="00C267D7">
        <w:t xml:space="preserve">, </w:t>
      </w:r>
      <w:r w:rsidR="00E9144E" w:rsidRPr="00C267D7">
        <w:t>Minnesota exports fell</w:t>
      </w:r>
      <w:r w:rsidR="001625A3" w:rsidRPr="00C267D7">
        <w:t xml:space="preserve"> </w:t>
      </w:r>
      <w:r w:rsidR="00956763" w:rsidRPr="00C267D7">
        <w:t>10</w:t>
      </w:r>
      <w:r w:rsidR="00C23DAA" w:rsidRPr="00C267D7">
        <w:t>%</w:t>
      </w:r>
      <w:r w:rsidR="001625A3" w:rsidRPr="00C267D7">
        <w:t xml:space="preserve"> between 2019 and 2020</w:t>
      </w:r>
      <w:r w:rsidR="0065603B" w:rsidRPr="00C267D7">
        <w:t>,</w:t>
      </w:r>
      <w:r w:rsidR="00C23DAA" w:rsidRPr="00C267D7">
        <w:t xml:space="preserve"> while </w:t>
      </w:r>
      <w:r w:rsidR="00E9144E" w:rsidRPr="00C267D7">
        <w:t xml:space="preserve">U.S. </w:t>
      </w:r>
      <w:r w:rsidR="00C23DAA" w:rsidRPr="00C267D7">
        <w:t xml:space="preserve">exports </w:t>
      </w:r>
      <w:r w:rsidR="00E9144E" w:rsidRPr="00C267D7">
        <w:t xml:space="preserve">dropped </w:t>
      </w:r>
      <w:r w:rsidR="00956763" w:rsidRPr="00C267D7">
        <w:t>13</w:t>
      </w:r>
      <w:r w:rsidR="00E9144E" w:rsidRPr="00C267D7">
        <w:t>%</w:t>
      </w:r>
      <w:r w:rsidR="00707559" w:rsidRPr="00C267D7">
        <w:t>.</w:t>
      </w:r>
    </w:p>
    <w:p w14:paraId="03CA25DA" w14:textId="2AD35FE5" w:rsidR="007F1C4A" w:rsidRPr="00C267D7" w:rsidRDefault="007F1C4A" w:rsidP="00707559">
      <w:pPr>
        <w:spacing w:before="120" w:after="0" w:line="271" w:lineRule="auto"/>
        <w:rPr>
          <w:rStyle w:val="Heading4Char"/>
          <w:rFonts w:eastAsiaTheme="minorEastAsia" w:cstheme="minorBidi"/>
          <w:bCs w:val="0"/>
          <w:i w:val="0"/>
          <w:iCs w:val="0"/>
          <w:color w:val="auto"/>
          <w:sz w:val="22"/>
        </w:rPr>
      </w:pPr>
      <w:r w:rsidRPr="00C267D7">
        <w:rPr>
          <w:rStyle w:val="Heading4Char"/>
          <w:color w:val="auto"/>
        </w:rPr>
        <w:t xml:space="preserve">Figure </w:t>
      </w:r>
      <w:r w:rsidRPr="00C267D7">
        <w:rPr>
          <w:rStyle w:val="Heading4Char"/>
          <w:color w:val="auto"/>
        </w:rPr>
        <w:fldChar w:fldCharType="begin"/>
      </w:r>
      <w:r w:rsidRPr="00C267D7">
        <w:rPr>
          <w:rStyle w:val="Heading4Char"/>
          <w:color w:val="auto"/>
        </w:rPr>
        <w:instrText xml:space="preserve"> SEQ Figure \* ARABIC </w:instrText>
      </w:r>
      <w:r w:rsidRPr="00C267D7">
        <w:rPr>
          <w:rStyle w:val="Heading4Char"/>
          <w:color w:val="auto"/>
        </w:rPr>
        <w:fldChar w:fldCharType="separate"/>
      </w:r>
      <w:r w:rsidR="00C430F8">
        <w:rPr>
          <w:rStyle w:val="Heading4Char"/>
          <w:noProof/>
          <w:color w:val="auto"/>
        </w:rPr>
        <w:t>1</w:t>
      </w:r>
      <w:r w:rsidRPr="00C267D7">
        <w:rPr>
          <w:rStyle w:val="Heading4Char"/>
          <w:color w:val="auto"/>
        </w:rPr>
        <w:fldChar w:fldCharType="end"/>
      </w:r>
      <w:r w:rsidR="00A52415" w:rsidRPr="00C267D7">
        <w:rPr>
          <w:rStyle w:val="Heading4Char"/>
          <w:color w:val="auto"/>
        </w:rPr>
        <w:t xml:space="preserve">. </w:t>
      </w:r>
      <w:r w:rsidR="00CA0F8C" w:rsidRPr="00C267D7">
        <w:rPr>
          <w:rStyle w:val="Heading4Char"/>
          <w:color w:val="auto"/>
        </w:rPr>
        <w:t>Exports Increase</w:t>
      </w:r>
      <w:r w:rsidR="00954A83" w:rsidRPr="00C267D7">
        <w:rPr>
          <w:rStyle w:val="Heading4Char"/>
          <w:color w:val="auto"/>
        </w:rPr>
        <w:t xml:space="preserve"> or Flat in</w:t>
      </w:r>
      <w:r w:rsidR="0046703D" w:rsidRPr="00C267D7">
        <w:rPr>
          <w:rStyle w:val="Heading4Char"/>
          <w:color w:val="auto"/>
        </w:rPr>
        <w:t xml:space="preserve"> </w:t>
      </w:r>
      <w:r w:rsidR="00954A83" w:rsidRPr="00C267D7">
        <w:rPr>
          <w:rStyle w:val="Heading4Char"/>
          <w:color w:val="auto"/>
        </w:rPr>
        <w:t>23</w:t>
      </w:r>
      <w:r w:rsidR="00CA0F8C" w:rsidRPr="00C267D7">
        <w:rPr>
          <w:rStyle w:val="Heading4Char"/>
          <w:color w:val="auto"/>
        </w:rPr>
        <w:t xml:space="preserve"> States</w:t>
      </w:r>
    </w:p>
    <w:p w14:paraId="7D1ADD74" w14:textId="316D987D" w:rsidR="007F1C4A" w:rsidRPr="00C267D7" w:rsidRDefault="00D0438E" w:rsidP="007F1C4A">
      <w:pPr>
        <w:spacing w:after="0"/>
      </w:pPr>
      <w:r w:rsidRPr="00C267D7">
        <w:rPr>
          <w:noProof/>
        </w:rPr>
        <mc:AlternateContent>
          <mc:Choice Requires="wps">
            <w:drawing>
              <wp:anchor distT="0" distB="0" distL="114300" distR="114300" simplePos="0" relativeHeight="251658752" behindDoc="0" locked="0" layoutInCell="1" allowOverlap="1" wp14:anchorId="24E76B40" wp14:editId="638A50DF">
                <wp:simplePos x="0" y="0"/>
                <wp:positionH relativeFrom="margin">
                  <wp:posOffset>5974080</wp:posOffset>
                </wp:positionH>
                <wp:positionV relativeFrom="paragraph">
                  <wp:posOffset>1292225</wp:posOffset>
                </wp:positionV>
                <wp:extent cx="780415" cy="435610"/>
                <wp:effectExtent l="0" t="0" r="0" b="2540"/>
                <wp:wrapNone/>
                <wp:docPr id="307" name="Text Box 2" descr="MN: -18%&#10;U.S.: -30%&#10;"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35610"/>
                        </a:xfrm>
                        <a:prstGeom prst="rect">
                          <a:avLst/>
                        </a:prstGeom>
                        <a:noFill/>
                        <a:ln w="9525">
                          <a:noFill/>
                          <a:miter lim="800000"/>
                          <a:headEnd/>
                          <a:tailEnd/>
                        </a:ln>
                      </wps:spPr>
                      <wps:txbx>
                        <w:txbxContent>
                          <w:p w14:paraId="60A296D5" w14:textId="6253B39C" w:rsidR="007F1C4A" w:rsidRPr="00681236" w:rsidRDefault="007F1C4A" w:rsidP="007F1C4A">
                            <w:pPr>
                              <w:spacing w:after="0"/>
                              <w:rPr>
                                <w:b/>
                                <w:i/>
                                <w:sz w:val="20"/>
                              </w:rPr>
                            </w:pPr>
                            <w:r w:rsidRPr="00681236">
                              <w:rPr>
                                <w:b/>
                                <w:i/>
                                <w:sz w:val="20"/>
                              </w:rPr>
                              <w:t>M</w:t>
                            </w:r>
                            <w:r w:rsidR="0065603B" w:rsidRPr="00681236">
                              <w:rPr>
                                <w:b/>
                                <w:i/>
                                <w:sz w:val="20"/>
                              </w:rPr>
                              <w:t>N:  -10</w:t>
                            </w:r>
                            <w:r w:rsidRPr="00681236">
                              <w:rPr>
                                <w:b/>
                                <w:i/>
                                <w:sz w:val="20"/>
                              </w:rPr>
                              <w:t>%</w:t>
                            </w:r>
                          </w:p>
                          <w:p w14:paraId="588145EA" w14:textId="0712F3B1" w:rsidR="007F1C4A" w:rsidRPr="00681236" w:rsidRDefault="00293DCF" w:rsidP="007F1C4A">
                            <w:pPr>
                              <w:spacing w:after="0"/>
                              <w:rPr>
                                <w:b/>
                                <w:i/>
                                <w:sz w:val="20"/>
                              </w:rPr>
                            </w:pPr>
                            <w:r w:rsidRPr="00681236">
                              <w:rPr>
                                <w:b/>
                                <w:i/>
                                <w:sz w:val="20"/>
                              </w:rPr>
                              <w:t>U.S.: -</w:t>
                            </w:r>
                            <w:r w:rsidR="0065603B" w:rsidRPr="00681236">
                              <w:rPr>
                                <w:b/>
                                <w:i/>
                                <w:sz w:val="20"/>
                              </w:rPr>
                              <w:t>5</w:t>
                            </w:r>
                            <w:r w:rsidR="007F1C4A" w:rsidRPr="00681236">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Title: highlight text box - Description: MN: -18%&#10;U.S.: -30%&#10;" style="position:absolute;margin-left:470.4pt;margin-top:101.75pt;width:61.45pt;height:3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" filled="f" stroked="f">
                <v:textbox>
                  <w:txbxContent>
                    <w:p w14:paraId="60A296D5" w14:textId="6253B39C" w:rsidR="007F1C4A" w:rsidRPr="00681236" w:rsidRDefault="007F1C4A" w:rsidP="007F1C4A">
                      <w:pPr>
                        <w:spacing w:after="0"/>
                        <w:rPr>
                          <w:b/>
                          <w:i/>
                          <w:sz w:val="20"/>
                        </w:rPr>
                      </w:pPr>
                      <w:r w:rsidRPr="00681236">
                        <w:rPr>
                          <w:b/>
                          <w:i/>
                          <w:sz w:val="20"/>
                        </w:rPr>
                        <w:t>M</w:t>
                      </w:r>
                      <w:r w:rsidR="0065603B" w:rsidRPr="00681236">
                        <w:rPr>
                          <w:b/>
                          <w:i/>
                          <w:sz w:val="20"/>
                        </w:rPr>
                        <w:t>N:  -10</w:t>
                      </w:r>
                      <w:r w:rsidRPr="00681236">
                        <w:rPr>
                          <w:b/>
                          <w:i/>
                          <w:sz w:val="20"/>
                        </w:rPr>
                        <w:t>%</w:t>
                      </w:r>
                    </w:p>
                    <w:p w14:paraId="588145EA" w14:textId="0712F3B1" w:rsidR="007F1C4A" w:rsidRPr="00681236" w:rsidRDefault="00293DCF" w:rsidP="007F1C4A">
                      <w:pPr>
                        <w:spacing w:after="0"/>
                        <w:rPr>
                          <w:b/>
                          <w:i/>
                          <w:sz w:val="20"/>
                        </w:rPr>
                      </w:pPr>
                      <w:r w:rsidRPr="00681236">
                        <w:rPr>
                          <w:b/>
                          <w:i/>
                          <w:sz w:val="20"/>
                        </w:rPr>
                        <w:t>U.S.: -</w:t>
                      </w:r>
                      <w:r w:rsidR="0065603B" w:rsidRPr="00681236">
                        <w:rPr>
                          <w:b/>
                          <w:i/>
                          <w:sz w:val="20"/>
                        </w:rPr>
                        <w:t>5</w:t>
                      </w:r>
                      <w:r w:rsidR="007F1C4A" w:rsidRPr="00681236">
                        <w:rPr>
                          <w:b/>
                          <w:i/>
                          <w:sz w:val="20"/>
                        </w:rPr>
                        <w:t>%</w:t>
                      </w:r>
                    </w:p>
                  </w:txbxContent>
                </v:textbox>
                <w10:wrap anchorx="margin"/>
              </v:shape>
            </w:pict>
          </mc:Fallback>
        </mc:AlternateContent>
      </w:r>
      <w:r w:rsidR="007F1C4A" w:rsidRPr="00C267D7">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CB38A0" w:rsidRPr="00C267D7">
        <w:rPr>
          <w:rFonts w:ascii="Times New Roman" w:eastAsia="Times New Roman" w:hAnsi="Times New Roman" w:cs="Times New Roman"/>
          <w:noProof/>
          <w:snapToGrid w:val="0"/>
          <w:w w:val="0"/>
          <w:sz w:val="0"/>
          <w:szCs w:val="0"/>
          <w:u w:color="000000"/>
          <w:bdr w:val="none" w:sz="0" w:space="0" w:color="000000"/>
          <w:shd w:val="clear" w:color="000000" w:fill="000000"/>
        </w:rPr>
        <w:drawing>
          <wp:inline distT="0" distB="0" distL="0" distR="0" wp14:anchorId="53010DA9" wp14:editId="53C29B4A">
            <wp:extent cx="3108960" cy="1705062"/>
            <wp:effectExtent l="0" t="0" r="0" b="9525"/>
            <wp:docPr id="6" name="Picture 6" descr=" State  Percent Change 2019-Q4 to 2020-Q4&#10;MN -10%&#10;US -5%&#10;AK 20%&#10;AL -17%&#10;AR -27%&#10;AZ -21%&#10;CA -3%&#10;CO 7%&#10;CT -20%&#10;DC -44%&#10;DE 18%&#10;FL -15%&#10;GA 6%&#10;HI 9%&#10;IA 1%&#10;ID 34%&#10;IL 2%&#10;IN 2%&#10;KS 0%&#10;KY -22%&#10;LA 9%&#10;MA 7%&#10;MD 7%&#10;ME -12%&#10;MI -6%&#10;MO 8%&#10;MS -12%&#10;MT 10%&#10;NC -11%&#10;ND -32%&#10;NE -3%&#10;NH -7%&#10;NJ 20%&#10;NM -39%&#10;NV 6%&#10;NY -5%&#10;OH -1%&#10;OK -12%&#10;OR 16%&#10;PA -4%&#10;RI -8%&#10;SC -30%&#10;SD 12%&#10;TN 5%&#10;TX -13%&#10;UT 12%&#10;VA 7%&#10;VT -13%&#10;WA -18%&#10;WI 3%&#10;WV -13%&#10;WY -29%&#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kim\Work from home files\wfh files_Main\Tableau, Viz\MTO Tableau files\Export Stats Reports\Newsletter &amp; Fact Sheet charts\2020-Q4 US Ma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395" b="13117"/>
                    <a:stretch/>
                  </pic:blipFill>
                  <pic:spPr bwMode="auto">
                    <a:xfrm>
                      <a:off x="0" y="0"/>
                      <a:ext cx="3114853" cy="1708294"/>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0F8CA7BD" w:rsidR="007F1C4A" w:rsidRPr="00C267D7" w:rsidRDefault="007F1C4A" w:rsidP="007F1C4A">
      <w:pPr>
        <w:spacing w:after="0"/>
        <w:rPr>
          <w:i/>
          <w:sz w:val="18"/>
        </w:rPr>
      </w:pPr>
      <w:r w:rsidRPr="00C267D7">
        <w:rPr>
          <w:i/>
          <w:sz w:val="18"/>
        </w:rPr>
        <w:t xml:space="preserve"> Decline     0%   Growth</w:t>
      </w:r>
    </w:p>
    <w:p w14:paraId="6B23B2F3" w14:textId="4330A419" w:rsidR="00BE4DAD" w:rsidRPr="00C267D7" w:rsidRDefault="00A52415" w:rsidP="00173D78">
      <w:pPr>
        <w:spacing w:after="0"/>
        <w:rPr>
          <w:rFonts w:ascii="Arial Narrow" w:hAnsi="Arial Narrow"/>
          <w:sz w:val="2"/>
          <w:szCs w:val="2"/>
        </w:rPr>
        <w:sectPr w:rsidR="00BE4DAD" w:rsidRPr="00C267D7" w:rsidSect="007F1C4A">
          <w:footnotePr>
            <w:numRestart w:val="eachSect"/>
          </w:footnotePr>
          <w:endnotePr>
            <w:numFmt w:val="decimal"/>
          </w:endnotePr>
          <w:type w:val="continuous"/>
          <w:pgSz w:w="12240" w:h="15840" w:code="1"/>
          <w:pgMar w:top="720" w:right="720" w:bottom="720" w:left="990" w:header="720" w:footer="720" w:gutter="0"/>
          <w:cols w:num="2" w:space="360"/>
          <w:titlePg/>
          <w:docGrid w:linePitch="299"/>
        </w:sectPr>
      </w:pPr>
      <w:r w:rsidRPr="00C267D7">
        <w:rPr>
          <w:rFonts w:ascii="Arial Narrow" w:hAnsi="Arial Narrow"/>
          <w:noProof/>
          <w:sz w:val="2"/>
          <w:szCs w:val="2"/>
        </w:rPr>
        <w:drawing>
          <wp:inline distT="0" distB="0" distL="0" distR="0" wp14:anchorId="5C21AFCD" wp14:editId="1362234B">
            <wp:extent cx="1066800" cy="152400"/>
            <wp:effectExtent l="0" t="0" r="0" b="0"/>
            <wp:docPr id="7" name="Picture 7" descr="S:\Groups\CARD\AEO\Thu-Mai\Tableau, Viz\MTO Tableau files\Export Stats Reports\Newsletter &amp; Fact Sheet charts\2018-Q4 USMap_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2C28D481" w:rsidR="00E83789" w:rsidRPr="00C267D7" w:rsidRDefault="00A745E3" w:rsidP="00902E31">
      <w:pPr>
        <w:pStyle w:val="Heading2"/>
        <w:spacing w:before="0"/>
        <w:rPr>
          <w:rFonts w:asciiTheme="minorHAnsi" w:hAnsiTheme="minorHAnsi"/>
          <w:b w:val="0"/>
          <w:i/>
          <w:color w:val="auto"/>
          <w:sz w:val="28"/>
        </w:rPr>
      </w:pPr>
      <w:r w:rsidRPr="00C267D7">
        <w:rPr>
          <w:rFonts w:asciiTheme="minorHAnsi" w:hAnsiTheme="minorHAnsi"/>
          <w:b w:val="0"/>
          <w:i/>
          <w:color w:val="auto"/>
          <w:sz w:val="28"/>
        </w:rPr>
        <w:t xml:space="preserve">Exports </w:t>
      </w:r>
      <w:r w:rsidR="00A943AF" w:rsidRPr="00C267D7">
        <w:rPr>
          <w:rFonts w:asciiTheme="minorHAnsi" w:hAnsiTheme="minorHAnsi"/>
          <w:b w:val="0"/>
          <w:i/>
          <w:color w:val="auto"/>
          <w:sz w:val="28"/>
        </w:rPr>
        <w:t>Increase to Smaller Regions, Selected Countries – Despite Widespread Declines</w:t>
      </w:r>
    </w:p>
    <w:p w14:paraId="38C3CADD" w14:textId="185FB6FB" w:rsidR="007E6CE7" w:rsidRPr="00C267D7" w:rsidRDefault="00136664" w:rsidP="00CB38A0">
      <w:pPr>
        <w:pStyle w:val="ListParagraph"/>
        <w:numPr>
          <w:ilvl w:val="0"/>
          <w:numId w:val="10"/>
        </w:numPr>
        <w:spacing w:after="0"/>
      </w:pPr>
      <w:r w:rsidRPr="00C267D7">
        <w:t>The state’s e</w:t>
      </w:r>
      <w:r w:rsidR="000D02DD" w:rsidRPr="00C267D7">
        <w:t xml:space="preserve">xports </w:t>
      </w:r>
      <w:r w:rsidR="00277E66" w:rsidRPr="00C267D7">
        <w:t xml:space="preserve">fell </w:t>
      </w:r>
      <w:r w:rsidRPr="00C267D7">
        <w:t>to its</w:t>
      </w:r>
      <w:r w:rsidR="00A943AF" w:rsidRPr="00C267D7">
        <w:t xml:space="preserve"> top three </w:t>
      </w:r>
      <w:r w:rsidR="00A61566" w:rsidRPr="00C267D7">
        <w:t>regional markets</w:t>
      </w:r>
      <w:r w:rsidR="00A943AF" w:rsidRPr="00C267D7">
        <w:t>, which</w:t>
      </w:r>
      <w:r w:rsidR="00277E66" w:rsidRPr="00C267D7">
        <w:t xml:space="preserve"> accounted for 87% of exports</w:t>
      </w:r>
      <w:r w:rsidR="00FA1A86" w:rsidRPr="00C267D7">
        <w:t>. Sales</w:t>
      </w:r>
      <w:r w:rsidR="00CE7AEB" w:rsidRPr="00C267D7">
        <w:t xml:space="preserve"> sank </w:t>
      </w:r>
      <w:r w:rsidR="00A61566" w:rsidRPr="00C267D7">
        <w:t xml:space="preserve">7% to </w:t>
      </w:r>
      <w:r w:rsidR="00A61566" w:rsidRPr="00C267D7">
        <w:rPr>
          <w:b/>
        </w:rPr>
        <w:t>North America,</w:t>
      </w:r>
      <w:r w:rsidR="00A61566" w:rsidRPr="00C267D7">
        <w:t xml:space="preserve"> 11</w:t>
      </w:r>
      <w:r w:rsidR="000D02DD" w:rsidRPr="00C267D7">
        <w:t xml:space="preserve">% to </w:t>
      </w:r>
      <w:r w:rsidR="000D02DD" w:rsidRPr="00C267D7">
        <w:rPr>
          <w:b/>
        </w:rPr>
        <w:t>Asia</w:t>
      </w:r>
      <w:r w:rsidR="00CE7AEB" w:rsidRPr="00C267D7">
        <w:t xml:space="preserve"> </w:t>
      </w:r>
      <w:r w:rsidR="00A61566" w:rsidRPr="00C267D7">
        <w:t>and 19</w:t>
      </w:r>
      <w:r w:rsidR="000D02DD" w:rsidRPr="00C267D7">
        <w:t>% to</w:t>
      </w:r>
      <w:r w:rsidR="001E7B61" w:rsidRPr="00C267D7">
        <w:t xml:space="preserve"> the</w:t>
      </w:r>
      <w:r w:rsidR="000D02DD" w:rsidRPr="00C267D7">
        <w:t xml:space="preserve"> </w:t>
      </w:r>
      <w:r w:rsidR="000D02DD" w:rsidRPr="00C267D7">
        <w:rPr>
          <w:b/>
        </w:rPr>
        <w:t>Europe</w:t>
      </w:r>
      <w:r w:rsidR="001E7B61" w:rsidRPr="00C267D7">
        <w:rPr>
          <w:b/>
        </w:rPr>
        <w:t>an Union</w:t>
      </w:r>
      <w:r w:rsidR="00CE7AEB" w:rsidRPr="00C267D7">
        <w:t xml:space="preserve">. </w:t>
      </w:r>
      <w:r w:rsidR="00D33037" w:rsidRPr="00C267D7">
        <w:t>Markets with the largest</w:t>
      </w:r>
      <w:r w:rsidR="007E6CE7" w:rsidRPr="00C267D7">
        <w:t xml:space="preserve"> declines included </w:t>
      </w:r>
      <w:r w:rsidR="007E6CE7" w:rsidRPr="00C267D7">
        <w:rPr>
          <w:b/>
        </w:rPr>
        <w:t xml:space="preserve">Canada </w:t>
      </w:r>
      <w:r w:rsidR="007E6CE7" w:rsidRPr="00C267D7">
        <w:t>(down $124 million)</w:t>
      </w:r>
      <w:r w:rsidR="007E6CE7" w:rsidRPr="00C267D7">
        <w:rPr>
          <w:b/>
        </w:rPr>
        <w:t>, Germany</w:t>
      </w:r>
      <w:r w:rsidR="007E6CE7" w:rsidRPr="00C267D7">
        <w:t xml:space="preserve"> (down $97 million), </w:t>
      </w:r>
      <w:r w:rsidR="007E6CE7" w:rsidRPr="00C267D7">
        <w:rPr>
          <w:b/>
        </w:rPr>
        <w:t>Japan</w:t>
      </w:r>
      <w:r w:rsidR="00F566C7" w:rsidRPr="00C267D7">
        <w:t xml:space="preserve"> (down $94</w:t>
      </w:r>
      <w:r w:rsidR="007E6CE7" w:rsidRPr="00C267D7">
        <w:t xml:space="preserve"> million), </w:t>
      </w:r>
      <w:r w:rsidR="007E6CE7" w:rsidRPr="00C267D7">
        <w:rPr>
          <w:b/>
        </w:rPr>
        <w:t>Korea</w:t>
      </w:r>
      <w:r w:rsidR="007E6CE7" w:rsidRPr="00C267D7">
        <w:t xml:space="preserve"> (down $62 million), </w:t>
      </w:r>
      <w:r w:rsidR="007E6CE7" w:rsidRPr="00C267D7">
        <w:rPr>
          <w:b/>
        </w:rPr>
        <w:t>Singapore</w:t>
      </w:r>
      <w:r w:rsidR="007E6CE7" w:rsidRPr="00C267D7">
        <w:t xml:space="preserve"> (down $55 million) and </w:t>
      </w:r>
      <w:r w:rsidR="007E6CE7" w:rsidRPr="00C267D7">
        <w:rPr>
          <w:b/>
        </w:rPr>
        <w:t>France</w:t>
      </w:r>
      <w:r w:rsidR="007E6CE7" w:rsidRPr="00C267D7">
        <w:t xml:space="preserve"> (down $51 million).</w:t>
      </w:r>
    </w:p>
    <w:p w14:paraId="21407398" w14:textId="03413257" w:rsidR="003C43EB" w:rsidRPr="00C267D7" w:rsidRDefault="00F566C7" w:rsidP="007E6CE7">
      <w:pPr>
        <w:pStyle w:val="ListParagraph"/>
        <w:numPr>
          <w:ilvl w:val="0"/>
          <w:numId w:val="10"/>
        </w:numPr>
      </w:pPr>
      <w:r w:rsidRPr="00C267D7">
        <w:t>With regional export growth of 15%, the outlook brightened in</w:t>
      </w:r>
      <w:r w:rsidR="001C13C5" w:rsidRPr="00C267D7">
        <w:t xml:space="preserve"> </w:t>
      </w:r>
      <w:r w:rsidR="001C13C5" w:rsidRPr="00C267D7">
        <w:rPr>
          <w:b/>
        </w:rPr>
        <w:t>European markets not in the European Union</w:t>
      </w:r>
      <w:r w:rsidR="001C13C5" w:rsidRPr="00C267D7">
        <w:t xml:space="preserve"> </w:t>
      </w:r>
      <w:r w:rsidR="00A744D1" w:rsidRPr="00C267D7">
        <w:t>(</w:t>
      </w:r>
      <w:r w:rsidR="00A943AF" w:rsidRPr="00C267D7">
        <w:t>led by</w:t>
      </w:r>
      <w:r w:rsidR="00A744D1" w:rsidRPr="00C267D7">
        <w:t xml:space="preserve"> </w:t>
      </w:r>
      <w:r w:rsidR="00A744D1" w:rsidRPr="00C267D7">
        <w:rPr>
          <w:b/>
        </w:rPr>
        <w:t xml:space="preserve">Switzerland </w:t>
      </w:r>
      <w:r w:rsidR="00A744D1" w:rsidRPr="00C267D7">
        <w:t>and</w:t>
      </w:r>
      <w:r w:rsidRPr="00C267D7">
        <w:rPr>
          <w:b/>
        </w:rPr>
        <w:t xml:space="preserve"> Norway</w:t>
      </w:r>
      <w:r w:rsidR="001C13C5" w:rsidRPr="00C267D7">
        <w:t xml:space="preserve">) and the </w:t>
      </w:r>
      <w:r w:rsidR="001C13C5" w:rsidRPr="00C267D7">
        <w:rPr>
          <w:b/>
        </w:rPr>
        <w:t>Middle East</w:t>
      </w:r>
      <w:r w:rsidR="00A744D1" w:rsidRPr="00C267D7">
        <w:t xml:space="preserve"> (</w:t>
      </w:r>
      <w:r w:rsidR="00A943AF" w:rsidRPr="00C267D7">
        <w:t>led by</w:t>
      </w:r>
      <w:r w:rsidR="00A96B58" w:rsidRPr="00C267D7">
        <w:t xml:space="preserve"> </w:t>
      </w:r>
      <w:r w:rsidR="001C13C5" w:rsidRPr="00C267D7">
        <w:rPr>
          <w:b/>
        </w:rPr>
        <w:t>Saudi Arabia</w:t>
      </w:r>
      <w:r w:rsidR="00A96B58" w:rsidRPr="00C267D7">
        <w:rPr>
          <w:b/>
        </w:rPr>
        <w:t xml:space="preserve">, Kuwait </w:t>
      </w:r>
      <w:r w:rsidR="00A96B58" w:rsidRPr="00C267D7">
        <w:t xml:space="preserve">and </w:t>
      </w:r>
      <w:r w:rsidR="00A96B58" w:rsidRPr="00C267D7">
        <w:rPr>
          <w:b/>
        </w:rPr>
        <w:t>UAE</w:t>
      </w:r>
      <w:r w:rsidR="00A744D1" w:rsidRPr="00C267D7">
        <w:t>).</w:t>
      </w:r>
      <w:r w:rsidR="007E6CE7" w:rsidRPr="00C267D7">
        <w:t xml:space="preserve"> E</w:t>
      </w:r>
      <w:r w:rsidR="00A745E3" w:rsidRPr="00C267D7">
        <w:t xml:space="preserve">xports </w:t>
      </w:r>
      <w:r w:rsidR="007E6CE7" w:rsidRPr="00C267D7">
        <w:t xml:space="preserve">also </w:t>
      </w:r>
      <w:r w:rsidR="00A745E3" w:rsidRPr="00C267D7">
        <w:t>surged to</w:t>
      </w:r>
      <w:r w:rsidR="007E6CE7" w:rsidRPr="00C267D7">
        <w:t xml:space="preserve"> </w:t>
      </w:r>
      <w:r w:rsidR="00A00B50" w:rsidRPr="00C267D7">
        <w:rPr>
          <w:b/>
        </w:rPr>
        <w:t>Taiwan</w:t>
      </w:r>
      <w:r w:rsidR="003C43EB" w:rsidRPr="00C267D7">
        <w:rPr>
          <w:b/>
        </w:rPr>
        <w:t xml:space="preserve"> </w:t>
      </w:r>
      <w:r w:rsidR="003C43EB" w:rsidRPr="00C267D7">
        <w:t>(up</w:t>
      </w:r>
      <w:r w:rsidR="00A00B50" w:rsidRPr="00C267D7">
        <w:t xml:space="preserve"> </w:t>
      </w:r>
      <w:r w:rsidR="007E6CE7" w:rsidRPr="00C267D7">
        <w:t>$31 million</w:t>
      </w:r>
      <w:r w:rsidR="003C43EB" w:rsidRPr="00C267D7">
        <w:t xml:space="preserve">), </w:t>
      </w:r>
      <w:r w:rsidR="00A00B50" w:rsidRPr="00C267D7">
        <w:rPr>
          <w:b/>
        </w:rPr>
        <w:t>Indonesia</w:t>
      </w:r>
      <w:r w:rsidR="003C43EB" w:rsidRPr="00C267D7">
        <w:t xml:space="preserve"> (up </w:t>
      </w:r>
      <w:r w:rsidR="007E6CE7" w:rsidRPr="00C267D7">
        <w:t>$10 million</w:t>
      </w:r>
      <w:r w:rsidR="003C43EB" w:rsidRPr="00C267D7">
        <w:t xml:space="preserve">) and </w:t>
      </w:r>
      <w:r w:rsidR="007E6CE7" w:rsidRPr="00C267D7">
        <w:rPr>
          <w:b/>
        </w:rPr>
        <w:t>Ecuador</w:t>
      </w:r>
      <w:r w:rsidR="003C43EB" w:rsidRPr="00C267D7">
        <w:rPr>
          <w:b/>
        </w:rPr>
        <w:t xml:space="preserve"> </w:t>
      </w:r>
      <w:r w:rsidR="007E6CE7" w:rsidRPr="00C267D7">
        <w:t>(up $10 million</w:t>
      </w:r>
      <w:r w:rsidR="003C43EB" w:rsidRPr="00C267D7">
        <w:t xml:space="preserve">). </w:t>
      </w:r>
    </w:p>
    <w:p w14:paraId="44A8C9D3" w14:textId="356FDD73" w:rsidR="00136664" w:rsidRPr="00C267D7" w:rsidRDefault="00136664" w:rsidP="00CB38A0">
      <w:pPr>
        <w:pStyle w:val="ListParagraph"/>
        <w:numPr>
          <w:ilvl w:val="0"/>
          <w:numId w:val="10"/>
        </w:numPr>
        <w:spacing w:after="120"/>
      </w:pPr>
      <w:r w:rsidRPr="00C267D7">
        <w:t xml:space="preserve">Minnesota businesses expanded sales to two Top 10 markets: </w:t>
      </w:r>
      <w:r w:rsidRPr="00C267D7">
        <w:rPr>
          <w:b/>
        </w:rPr>
        <w:t>China</w:t>
      </w:r>
      <w:r w:rsidRPr="00C267D7">
        <w:t xml:space="preserve"> (up 2%) and the </w:t>
      </w:r>
      <w:r w:rsidRPr="00C267D7">
        <w:rPr>
          <w:b/>
        </w:rPr>
        <w:t xml:space="preserve">U.K. </w:t>
      </w:r>
      <w:r w:rsidRPr="00C267D7">
        <w:t>(up 2%).</w:t>
      </w:r>
    </w:p>
    <w:p w14:paraId="481CD972" w14:textId="652FD75F" w:rsidR="007C165F" w:rsidRDefault="007C165F" w:rsidP="00D83715">
      <w:pPr>
        <w:pStyle w:val="Heading4"/>
        <w:spacing w:before="120" w:after="60"/>
        <w:rPr>
          <w:color w:val="auto"/>
        </w:rPr>
      </w:pPr>
      <w:r w:rsidRPr="00C267D7">
        <w:rPr>
          <w:color w:val="auto"/>
        </w:rPr>
        <w:t xml:space="preserve">Figure </w:t>
      </w:r>
      <w:r w:rsidR="00E36364" w:rsidRPr="00C267D7">
        <w:rPr>
          <w:color w:val="auto"/>
        </w:rPr>
        <w:fldChar w:fldCharType="begin"/>
      </w:r>
      <w:r w:rsidR="00E36364" w:rsidRPr="00C267D7">
        <w:rPr>
          <w:color w:val="auto"/>
        </w:rPr>
        <w:instrText xml:space="preserve"> SEQ Figure \* ARABIC </w:instrText>
      </w:r>
      <w:r w:rsidR="00E36364" w:rsidRPr="00C267D7">
        <w:rPr>
          <w:color w:val="auto"/>
        </w:rPr>
        <w:fldChar w:fldCharType="separate"/>
      </w:r>
      <w:r w:rsidR="00C430F8">
        <w:rPr>
          <w:noProof/>
          <w:color w:val="auto"/>
        </w:rPr>
        <w:t>2</w:t>
      </w:r>
      <w:r w:rsidR="00E36364" w:rsidRPr="00C267D7">
        <w:rPr>
          <w:color w:val="auto"/>
        </w:rPr>
        <w:fldChar w:fldCharType="end"/>
      </w:r>
      <w:r w:rsidR="00C84D0E" w:rsidRPr="00C267D7">
        <w:rPr>
          <w:color w:val="auto"/>
        </w:rPr>
        <w:t xml:space="preserve">. </w:t>
      </w:r>
      <w:r w:rsidR="00A44451" w:rsidRPr="00C267D7">
        <w:rPr>
          <w:color w:val="auto"/>
        </w:rPr>
        <w:t>Export Trends for</w:t>
      </w:r>
      <w:r w:rsidR="0038665A" w:rsidRPr="00C267D7">
        <w:rPr>
          <w:color w:val="auto"/>
        </w:rPr>
        <w:t xml:space="preserve"> Minnesota’s Top 10 Markets, </w:t>
      </w:r>
      <w:r w:rsidR="0000470B" w:rsidRPr="00C267D7">
        <w:rPr>
          <w:color w:val="auto"/>
        </w:rPr>
        <w:t>Fourth</w:t>
      </w:r>
      <w:r w:rsidR="00606AB0" w:rsidRPr="00C267D7">
        <w:rPr>
          <w:color w:val="auto"/>
        </w:rPr>
        <w:t xml:space="preserve"> </w:t>
      </w:r>
      <w:r w:rsidR="00A52415" w:rsidRPr="00C267D7">
        <w:rPr>
          <w:color w:val="auto"/>
        </w:rPr>
        <w:t xml:space="preserve">Quarter </w:t>
      </w:r>
      <w:r w:rsidR="007818E5" w:rsidRPr="00C267D7">
        <w:rPr>
          <w:color w:val="auto"/>
        </w:rPr>
        <w:t>2020</w:t>
      </w:r>
    </w:p>
    <w:p w14:paraId="15CEBE43" w14:textId="24F20EB8" w:rsidR="00ED605B" w:rsidRPr="00C267D7" w:rsidRDefault="001E36FD" w:rsidP="001E36FD">
      <w:r>
        <w:rPr>
          <w:noProof/>
        </w:rPr>
        <w:drawing>
          <wp:inline distT="0" distB="0" distL="0" distR="0" wp14:anchorId="6171BDD4" wp14:editId="40C0F4C7">
            <wp:extent cx="6263640" cy="1840230"/>
            <wp:effectExtent l="0" t="0" r="3810" b="7620"/>
            <wp:docPr id="1" name="Picture 1" descr="figure 2&#10;&#10;Country (Rank)  Exports (millions)  Percent Change, 2019-Q4 to 2020-Q4&#10;WORLD  $4,983  -10%&#10;Canada (1)   $1,174  -10%&#10;Mexico (2)   $604  2%&#10;China (3)   $539  -3%&#10;Japan (4)   $265  -26%&#10;Germany (5)   $187  -25%&#10;Korea (6)   $171  -36%&#10;Singapore (7)   $153  -4%&#10;Belgium (8)   $141  -4%&#10;U.K. (9)   $119  2%&#10;Ireland (10)   $117  -3%&#10;Other  $1,513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1840230"/>
                    </a:xfrm>
                    <a:prstGeom prst="rect">
                      <a:avLst/>
                    </a:prstGeom>
                    <a:noFill/>
                    <a:ln>
                      <a:noFill/>
                    </a:ln>
                  </pic:spPr>
                </pic:pic>
              </a:graphicData>
            </a:graphic>
          </wp:inline>
        </w:drawing>
      </w:r>
      <w:bookmarkStart w:id="0" w:name="_GoBack"/>
      <w:bookmarkEnd w:id="0"/>
    </w:p>
    <w:p w14:paraId="114AC3EC" w14:textId="77777777" w:rsidR="00CA06CE" w:rsidRDefault="00CA06CE">
      <w:pPr>
        <w:rPr>
          <w:rFonts w:eastAsiaTheme="majorEastAsia" w:cstheme="majorBidi"/>
          <w:bCs/>
          <w:i/>
          <w:sz w:val="28"/>
          <w:szCs w:val="26"/>
        </w:rPr>
      </w:pPr>
      <w:r>
        <w:rPr>
          <w:b/>
          <w:i/>
          <w:sz w:val="28"/>
        </w:rPr>
        <w:br w:type="page"/>
      </w:r>
    </w:p>
    <w:p w14:paraId="3765CDA2" w14:textId="5F1DB237" w:rsidR="00BF29E1" w:rsidRPr="00C267D7" w:rsidRDefault="00F053EF" w:rsidP="00953B35">
      <w:pPr>
        <w:pStyle w:val="Heading2"/>
        <w:tabs>
          <w:tab w:val="left" w:pos="360"/>
        </w:tabs>
        <w:spacing w:before="0" w:after="120"/>
        <w:ind w:left="360" w:hanging="360"/>
        <w:rPr>
          <w:rFonts w:asciiTheme="minorHAnsi" w:hAnsiTheme="minorHAnsi"/>
          <w:b w:val="0"/>
          <w:i/>
          <w:color w:val="auto"/>
          <w:sz w:val="28"/>
        </w:rPr>
        <w:sectPr w:rsidR="00BF29E1" w:rsidRPr="00C267D7" w:rsidSect="00426066">
          <w:footnotePr>
            <w:numRestart w:val="eachSect"/>
          </w:footnotePr>
          <w:endnotePr>
            <w:numFmt w:val="decimal"/>
          </w:endnotePr>
          <w:type w:val="continuous"/>
          <w:pgSz w:w="12240" w:h="15840" w:code="1"/>
          <w:pgMar w:top="1008" w:right="1296" w:bottom="1008" w:left="1080" w:header="720" w:footer="720" w:gutter="0"/>
          <w:cols w:space="720"/>
          <w:titlePg/>
          <w:docGrid w:linePitch="299"/>
        </w:sectPr>
      </w:pPr>
      <w:r w:rsidRPr="00C267D7">
        <w:rPr>
          <w:rFonts w:asciiTheme="minorHAnsi" w:hAnsiTheme="minorHAnsi"/>
          <w:b w:val="0"/>
          <w:i/>
          <w:color w:val="auto"/>
          <w:sz w:val="28"/>
        </w:rPr>
        <w:lastRenderedPageBreak/>
        <w:t>Gains i</w:t>
      </w:r>
      <w:r w:rsidR="00FE5772" w:rsidRPr="00C267D7">
        <w:rPr>
          <w:rFonts w:asciiTheme="minorHAnsi" w:hAnsiTheme="minorHAnsi"/>
          <w:b w:val="0"/>
          <w:i/>
          <w:color w:val="auto"/>
          <w:sz w:val="28"/>
        </w:rPr>
        <w:t>n Machinery</w:t>
      </w:r>
      <w:r w:rsidR="00E83A19" w:rsidRPr="00C267D7">
        <w:rPr>
          <w:rFonts w:asciiTheme="minorHAnsi" w:hAnsiTheme="minorHAnsi"/>
          <w:b w:val="0"/>
          <w:i/>
          <w:color w:val="auto"/>
          <w:sz w:val="28"/>
        </w:rPr>
        <w:t>,</w:t>
      </w:r>
      <w:r w:rsidR="00FE5772" w:rsidRPr="00C267D7">
        <w:rPr>
          <w:rFonts w:asciiTheme="minorHAnsi" w:hAnsiTheme="minorHAnsi"/>
          <w:b w:val="0"/>
          <w:i/>
          <w:color w:val="auto"/>
          <w:sz w:val="28"/>
        </w:rPr>
        <w:t xml:space="preserve"> Vehicles, and</w:t>
      </w:r>
      <w:r w:rsidR="00E83A19" w:rsidRPr="00C267D7">
        <w:rPr>
          <w:rFonts w:asciiTheme="minorHAnsi" w:hAnsiTheme="minorHAnsi"/>
          <w:b w:val="0"/>
          <w:i/>
          <w:color w:val="auto"/>
          <w:sz w:val="28"/>
        </w:rPr>
        <w:t xml:space="preserve"> Meat </w:t>
      </w:r>
      <w:r w:rsidR="00FE5772" w:rsidRPr="00C267D7">
        <w:rPr>
          <w:rFonts w:asciiTheme="minorHAnsi" w:hAnsiTheme="minorHAnsi"/>
          <w:b w:val="0"/>
          <w:i/>
          <w:color w:val="auto"/>
          <w:sz w:val="28"/>
        </w:rPr>
        <w:t xml:space="preserve">Help Offset </w:t>
      </w:r>
      <w:r w:rsidR="00A44451" w:rsidRPr="00C267D7">
        <w:rPr>
          <w:rFonts w:asciiTheme="minorHAnsi" w:hAnsiTheme="minorHAnsi"/>
          <w:b w:val="0"/>
          <w:i/>
          <w:color w:val="auto"/>
          <w:sz w:val="28"/>
        </w:rPr>
        <w:t>Widespread</w:t>
      </w:r>
      <w:r w:rsidR="00E83A19" w:rsidRPr="00C267D7">
        <w:rPr>
          <w:rFonts w:asciiTheme="minorHAnsi" w:hAnsiTheme="minorHAnsi"/>
          <w:b w:val="0"/>
          <w:i/>
          <w:color w:val="auto"/>
          <w:sz w:val="28"/>
        </w:rPr>
        <w:t xml:space="preserve"> Declines</w:t>
      </w:r>
    </w:p>
    <w:p w14:paraId="243FC245" w14:textId="4298F1B4" w:rsidR="00E76FF1" w:rsidRPr="00C267D7" w:rsidRDefault="00D6151B" w:rsidP="00E76FF1">
      <w:pPr>
        <w:pStyle w:val="ListParagraph"/>
        <w:numPr>
          <w:ilvl w:val="0"/>
          <w:numId w:val="7"/>
        </w:numPr>
        <w:spacing w:after="0"/>
        <w:ind w:left="360" w:right="-396"/>
      </w:pPr>
      <w:r w:rsidRPr="00C267D7">
        <w:t>S</w:t>
      </w:r>
      <w:r w:rsidR="0061064A" w:rsidRPr="00C267D7">
        <w:t>ignaling</w:t>
      </w:r>
      <w:r w:rsidR="00FE5772" w:rsidRPr="00C267D7">
        <w:t xml:space="preserve"> resilience</w:t>
      </w:r>
      <w:r w:rsidR="0061064A" w:rsidRPr="00C267D7">
        <w:t>,</w:t>
      </w:r>
      <w:r w:rsidRPr="00C267D7">
        <w:t xml:space="preserve"> exports</w:t>
      </w:r>
      <w:r w:rsidR="00FE5772" w:rsidRPr="00C267D7">
        <w:t xml:space="preserve"> of thr</w:t>
      </w:r>
      <w:r w:rsidR="00FA1A86" w:rsidRPr="00C267D7">
        <w:t>ee of the state’s top 10 products</w:t>
      </w:r>
      <w:r w:rsidR="00FE5772" w:rsidRPr="00C267D7">
        <w:t xml:space="preserve"> increased</w:t>
      </w:r>
      <w:r w:rsidRPr="00C267D7">
        <w:t>:</w:t>
      </w:r>
      <w:r w:rsidR="00A44451" w:rsidRPr="00C267D7">
        <w:t xml:space="preserve"> </w:t>
      </w:r>
      <w:r w:rsidR="00F053EF" w:rsidRPr="00C267D7">
        <w:rPr>
          <w:b/>
        </w:rPr>
        <w:t>machinery</w:t>
      </w:r>
      <w:r w:rsidR="0061064A" w:rsidRPr="00C267D7">
        <w:t xml:space="preserve"> (</w:t>
      </w:r>
      <w:r w:rsidRPr="00C267D7">
        <w:t>up</w:t>
      </w:r>
      <w:r w:rsidR="009B6D4C" w:rsidRPr="00C267D7">
        <w:t xml:space="preserve"> 4</w:t>
      </w:r>
      <w:r w:rsidR="0061064A" w:rsidRPr="00C267D7">
        <w:t>%),</w:t>
      </w:r>
      <w:r w:rsidR="00F053EF" w:rsidRPr="00C267D7">
        <w:t xml:space="preserve"> </w:t>
      </w:r>
      <w:r w:rsidR="00F053EF" w:rsidRPr="00C267D7">
        <w:rPr>
          <w:b/>
        </w:rPr>
        <w:t>vehicles</w:t>
      </w:r>
      <w:r w:rsidR="0061064A" w:rsidRPr="00C267D7">
        <w:t xml:space="preserve"> (up </w:t>
      </w:r>
      <w:r w:rsidR="009B6D4C" w:rsidRPr="00C267D7">
        <w:t>4</w:t>
      </w:r>
      <w:r w:rsidR="0061064A" w:rsidRPr="00C267D7">
        <w:t>%)</w:t>
      </w:r>
      <w:r w:rsidR="008A202D" w:rsidRPr="00C267D7">
        <w:t xml:space="preserve"> </w:t>
      </w:r>
      <w:r w:rsidR="00952DBF" w:rsidRPr="00C267D7">
        <w:t xml:space="preserve">and </w:t>
      </w:r>
      <w:r w:rsidR="009B6D4C" w:rsidRPr="00C267D7">
        <w:rPr>
          <w:b/>
        </w:rPr>
        <w:t>meat</w:t>
      </w:r>
      <w:r w:rsidR="0061064A" w:rsidRPr="00C267D7">
        <w:t xml:space="preserve"> (</w:t>
      </w:r>
      <w:r w:rsidRPr="00C267D7">
        <w:t>up</w:t>
      </w:r>
      <w:r w:rsidR="009B6D4C" w:rsidRPr="00C267D7">
        <w:t xml:space="preserve"> 10</w:t>
      </w:r>
      <w:r w:rsidR="00952DBF" w:rsidRPr="00C267D7">
        <w:t>%</w:t>
      </w:r>
      <w:r w:rsidR="0061064A" w:rsidRPr="00C267D7">
        <w:t>)</w:t>
      </w:r>
      <w:r w:rsidR="00952DBF" w:rsidRPr="00C267D7">
        <w:t>.</w:t>
      </w:r>
      <w:r w:rsidR="00D60BDF" w:rsidRPr="00C267D7">
        <w:t xml:space="preserve"> </w:t>
      </w:r>
    </w:p>
    <w:p w14:paraId="6A0E450A" w14:textId="2F18B4CE" w:rsidR="00D6151B" w:rsidRPr="00C267D7" w:rsidRDefault="00D6151B" w:rsidP="006B4C4D">
      <w:pPr>
        <w:pStyle w:val="ListParagraph"/>
        <w:numPr>
          <w:ilvl w:val="0"/>
          <w:numId w:val="7"/>
        </w:numPr>
        <w:spacing w:after="0"/>
        <w:ind w:left="360" w:right="-396"/>
      </w:pPr>
      <w:r w:rsidRPr="00C267D7">
        <w:t xml:space="preserve">However, </w:t>
      </w:r>
      <w:r w:rsidR="0061064A" w:rsidRPr="00C267D7">
        <w:t>large losses persisted for other major products,</w:t>
      </w:r>
      <w:r w:rsidRPr="00C267D7">
        <w:t xml:space="preserve"> such as in</w:t>
      </w:r>
      <w:r w:rsidR="001C1112" w:rsidRPr="00C267D7">
        <w:rPr>
          <w:b/>
        </w:rPr>
        <w:t xml:space="preserve"> optic, medical </w:t>
      </w:r>
      <w:r w:rsidR="001C1112" w:rsidRPr="00C267D7">
        <w:t xml:space="preserve">(down $187 million), </w:t>
      </w:r>
      <w:r w:rsidR="001C1112" w:rsidRPr="00C267D7">
        <w:rPr>
          <w:b/>
        </w:rPr>
        <w:t xml:space="preserve">mineral fuels, oils </w:t>
      </w:r>
      <w:r w:rsidR="001C1112" w:rsidRPr="00C267D7">
        <w:t xml:space="preserve">(down $74 million), </w:t>
      </w:r>
      <w:r w:rsidR="001C1112" w:rsidRPr="00C267D7">
        <w:rPr>
          <w:b/>
        </w:rPr>
        <w:t>plastics</w:t>
      </w:r>
      <w:r w:rsidR="001C1112" w:rsidRPr="00C267D7">
        <w:t xml:space="preserve"> (down $56 million) and </w:t>
      </w:r>
      <w:r w:rsidR="001C1112" w:rsidRPr="00C267D7">
        <w:rPr>
          <w:b/>
        </w:rPr>
        <w:t xml:space="preserve">aircraft, spacecraft </w:t>
      </w:r>
      <w:r w:rsidR="0061064A" w:rsidRPr="00C267D7">
        <w:t>(down $52 million</w:t>
      </w:r>
      <w:r w:rsidR="001C1112" w:rsidRPr="00C267D7">
        <w:t>).</w:t>
      </w:r>
      <w:r w:rsidR="00D73FB7" w:rsidRPr="00C267D7">
        <w:t xml:space="preserve"> </w:t>
      </w:r>
    </w:p>
    <w:p w14:paraId="7C62AB39" w14:textId="2BA31772" w:rsidR="00D6151B" w:rsidRPr="00C267D7" w:rsidRDefault="00597ABF" w:rsidP="00250B75">
      <w:pPr>
        <w:pStyle w:val="ListParagraph"/>
        <w:numPr>
          <w:ilvl w:val="0"/>
          <w:numId w:val="7"/>
        </w:numPr>
        <w:spacing w:after="0"/>
        <w:ind w:left="360" w:right="-396"/>
      </w:pPr>
      <w:r w:rsidRPr="00C267D7">
        <w:t>Slumping</w:t>
      </w:r>
      <w:r w:rsidR="003C3D13" w:rsidRPr="00C267D7">
        <w:t xml:space="preserve"> demand </w:t>
      </w:r>
      <w:r w:rsidR="00250B75" w:rsidRPr="00C267D7">
        <w:t>for</w:t>
      </w:r>
      <w:r w:rsidR="00731691" w:rsidRPr="00C267D7">
        <w:t xml:space="preserve"> </w:t>
      </w:r>
      <w:r w:rsidR="00731691" w:rsidRPr="00C267D7">
        <w:rPr>
          <w:b/>
        </w:rPr>
        <w:t>mineral fuels, oils</w:t>
      </w:r>
      <w:r w:rsidR="003C3D13" w:rsidRPr="00C267D7">
        <w:t xml:space="preserve"> and </w:t>
      </w:r>
      <w:r w:rsidR="003C3D13" w:rsidRPr="00C267D7">
        <w:rPr>
          <w:b/>
        </w:rPr>
        <w:t>ores, slag, and ash</w:t>
      </w:r>
      <w:r w:rsidR="00250B75" w:rsidRPr="00C267D7">
        <w:rPr>
          <w:b/>
        </w:rPr>
        <w:t xml:space="preserve"> </w:t>
      </w:r>
      <w:r w:rsidR="00250B75" w:rsidRPr="00C267D7">
        <w:t xml:space="preserve">in </w:t>
      </w:r>
      <w:r w:rsidR="00250B75" w:rsidRPr="00C267D7">
        <w:rPr>
          <w:b/>
        </w:rPr>
        <w:t>Canada</w:t>
      </w:r>
      <w:r w:rsidR="00250B75" w:rsidRPr="00C267D7">
        <w:t xml:space="preserve"> – the dominant market for these products – triggered their overall declines.</w:t>
      </w:r>
    </w:p>
    <w:p w14:paraId="6BA2F72E" w14:textId="1402528B" w:rsidR="00E76FF1" w:rsidRPr="00C267D7" w:rsidRDefault="00E76FF1" w:rsidP="00D6151B">
      <w:pPr>
        <w:spacing w:after="0"/>
        <w:ind w:right="-396"/>
      </w:pPr>
      <w:r w:rsidRPr="00C267D7">
        <w:rPr>
          <w:rStyle w:val="Heading4Char"/>
          <w:color w:val="auto"/>
        </w:rPr>
        <w:t xml:space="preserve">Figure </w:t>
      </w:r>
      <w:r w:rsidRPr="00C267D7">
        <w:rPr>
          <w:rStyle w:val="Heading4Char"/>
          <w:b/>
          <w:color w:val="auto"/>
        </w:rPr>
        <w:fldChar w:fldCharType="begin"/>
      </w:r>
      <w:r w:rsidRPr="00C267D7">
        <w:rPr>
          <w:rStyle w:val="Heading4Char"/>
          <w:color w:val="auto"/>
        </w:rPr>
        <w:instrText xml:space="preserve"> SEQ Figure \* ARABIC </w:instrText>
      </w:r>
      <w:r w:rsidRPr="00C267D7">
        <w:rPr>
          <w:rStyle w:val="Heading4Char"/>
          <w:b/>
          <w:color w:val="auto"/>
        </w:rPr>
        <w:fldChar w:fldCharType="separate"/>
      </w:r>
      <w:r w:rsidR="00C430F8">
        <w:rPr>
          <w:rStyle w:val="Heading4Char"/>
          <w:noProof/>
          <w:color w:val="auto"/>
        </w:rPr>
        <w:t>3</w:t>
      </w:r>
      <w:r w:rsidRPr="00C267D7">
        <w:rPr>
          <w:rStyle w:val="Heading4Char"/>
          <w:b/>
          <w:color w:val="auto"/>
        </w:rPr>
        <w:fldChar w:fldCharType="end"/>
      </w:r>
      <w:r w:rsidRPr="00C267D7">
        <w:rPr>
          <w:rStyle w:val="Heading4Char"/>
          <w:color w:val="auto"/>
        </w:rPr>
        <w:t xml:space="preserve">. </w:t>
      </w:r>
      <w:r w:rsidR="003823B0" w:rsidRPr="00C267D7">
        <w:rPr>
          <w:rStyle w:val="Heading4Char"/>
          <w:color w:val="auto"/>
        </w:rPr>
        <w:t>Minnesota Vehicles Exports, by Segment</w:t>
      </w:r>
    </w:p>
    <w:p w14:paraId="008551DC" w14:textId="58C60470" w:rsidR="00E76FF1" w:rsidRPr="00C267D7" w:rsidRDefault="00E76FF1" w:rsidP="00A11201">
      <w:pPr>
        <w:spacing w:after="0"/>
        <w:ind w:left="180" w:hanging="180"/>
        <w:sectPr w:rsidR="00E76FF1" w:rsidRPr="00C267D7" w:rsidSect="005026CC">
          <w:footerReference w:type="default" r:id="rId15"/>
          <w:footnotePr>
            <w:numRestart w:val="eachSect"/>
          </w:footnotePr>
          <w:endnotePr>
            <w:numFmt w:val="decimal"/>
          </w:endnotePr>
          <w:type w:val="continuous"/>
          <w:pgSz w:w="12240" w:h="15840" w:code="1"/>
          <w:pgMar w:top="936" w:right="1152" w:bottom="936" w:left="1080" w:header="720" w:footer="720" w:gutter="0"/>
          <w:cols w:num="2" w:space="720"/>
          <w:titlePg/>
          <w:docGrid w:linePitch="299"/>
        </w:sectPr>
      </w:pPr>
      <w:r w:rsidRPr="00C267D7">
        <w:rPr>
          <w:noProof/>
        </w:rPr>
        <w:drawing>
          <wp:inline distT="0" distB="0" distL="0" distR="0" wp14:anchorId="15A22583" wp14:editId="381ED0EC">
            <wp:extent cx="3162300" cy="1881505"/>
            <wp:effectExtent l="0" t="0" r="0" b="0"/>
            <wp:docPr id="10" name="Chart 10" descr="Passgr Veh., incl. Snowmobiles, ATVs 37%&#10;Parts, Accessories 30%&#10;Special Purpose 10%&#10;Veh. for 10+ Passgr 7%&#10;Tractors 4%&#10;Other 12%&#10;"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E332FC" w14:textId="67290EDA" w:rsidR="00003FDB" w:rsidRPr="00C267D7" w:rsidRDefault="004E06B6" w:rsidP="00003FDB">
      <w:pPr>
        <w:pStyle w:val="ListParagraph"/>
        <w:numPr>
          <w:ilvl w:val="0"/>
          <w:numId w:val="7"/>
        </w:numPr>
        <w:spacing w:after="0"/>
        <w:ind w:left="360"/>
      </w:pPr>
      <w:r w:rsidRPr="00C267D7">
        <w:t>Global sale</w:t>
      </w:r>
      <w:r w:rsidR="00003FDB" w:rsidRPr="00C267D7">
        <w:t xml:space="preserve">s of </w:t>
      </w:r>
      <w:r w:rsidR="00003FDB" w:rsidRPr="00C267D7">
        <w:rPr>
          <w:b/>
        </w:rPr>
        <w:t xml:space="preserve">machinery </w:t>
      </w:r>
      <w:r w:rsidRPr="00C267D7">
        <w:t>began to rebound</w:t>
      </w:r>
      <w:r w:rsidR="00250B75" w:rsidRPr="00C267D7">
        <w:t xml:space="preserve">, fueled by </w:t>
      </w:r>
      <w:r w:rsidR="00003FDB" w:rsidRPr="00C267D7">
        <w:t xml:space="preserve">markets such as </w:t>
      </w:r>
      <w:r w:rsidR="00003FDB" w:rsidRPr="00C267D7">
        <w:rPr>
          <w:b/>
        </w:rPr>
        <w:t xml:space="preserve">the Philippines </w:t>
      </w:r>
      <w:r w:rsidR="00003FDB" w:rsidRPr="00C267D7">
        <w:t xml:space="preserve">($41 million, up 152%), </w:t>
      </w:r>
      <w:r w:rsidR="00003FDB" w:rsidRPr="00C267D7">
        <w:rPr>
          <w:b/>
        </w:rPr>
        <w:t xml:space="preserve">Singapore </w:t>
      </w:r>
      <w:r w:rsidR="00003FDB" w:rsidRPr="00C267D7">
        <w:t xml:space="preserve">($37 million, up 93%) and </w:t>
      </w:r>
      <w:r w:rsidR="00003FDB" w:rsidRPr="00C267D7">
        <w:rPr>
          <w:b/>
        </w:rPr>
        <w:t xml:space="preserve">Australia </w:t>
      </w:r>
      <w:r w:rsidR="00003FDB" w:rsidRPr="00C267D7">
        <w:t xml:space="preserve">($44 million, up 41%). </w:t>
      </w:r>
      <w:r w:rsidR="00FA1A86" w:rsidRPr="00C267D7">
        <w:t>Sales</w:t>
      </w:r>
      <w:r w:rsidRPr="00C267D7">
        <w:t xml:space="preserve"> of </w:t>
      </w:r>
      <w:r w:rsidRPr="00C267D7">
        <w:rPr>
          <w:b/>
        </w:rPr>
        <w:t>machinery for mak</w:t>
      </w:r>
      <w:r w:rsidR="00EF0BF1" w:rsidRPr="00C267D7">
        <w:rPr>
          <w:b/>
        </w:rPr>
        <w:t>ing semiconductors</w:t>
      </w:r>
      <w:r w:rsidR="00EF0BF1" w:rsidRPr="00C267D7">
        <w:t xml:space="preserve"> ($80 million, up 234%</w:t>
      </w:r>
      <w:r w:rsidR="002D63BC" w:rsidRPr="00C267D7">
        <w:t xml:space="preserve"> - boosted by </w:t>
      </w:r>
      <w:r w:rsidR="002D63BC" w:rsidRPr="00C267D7">
        <w:rPr>
          <w:b/>
        </w:rPr>
        <w:t>Philippines</w:t>
      </w:r>
      <w:r w:rsidR="002D63BC" w:rsidRPr="00C267D7">
        <w:t xml:space="preserve"> and </w:t>
      </w:r>
      <w:r w:rsidR="002D63BC" w:rsidRPr="00C267D7">
        <w:rPr>
          <w:b/>
        </w:rPr>
        <w:t>Australia</w:t>
      </w:r>
      <w:r w:rsidR="00EF0BF1" w:rsidRPr="00C267D7">
        <w:t xml:space="preserve">) and </w:t>
      </w:r>
      <w:r w:rsidR="00EF0BF1" w:rsidRPr="00C267D7">
        <w:rPr>
          <w:b/>
        </w:rPr>
        <w:t xml:space="preserve">spraying </w:t>
      </w:r>
      <w:r w:rsidR="002D63BC" w:rsidRPr="00C267D7">
        <w:rPr>
          <w:b/>
        </w:rPr>
        <w:t>equipment</w:t>
      </w:r>
      <w:r w:rsidR="002D63BC" w:rsidRPr="00C267D7">
        <w:t xml:space="preserve"> ($64 million, up </w:t>
      </w:r>
      <w:r w:rsidRPr="00C267D7">
        <w:t xml:space="preserve">19% - strengthened by </w:t>
      </w:r>
      <w:r w:rsidR="002D63BC" w:rsidRPr="00C267D7">
        <w:rPr>
          <w:b/>
        </w:rPr>
        <w:t>Canada</w:t>
      </w:r>
      <w:r w:rsidR="002D63BC" w:rsidRPr="00C267D7">
        <w:t xml:space="preserve">, </w:t>
      </w:r>
      <w:r w:rsidR="002D63BC" w:rsidRPr="00C267D7">
        <w:rPr>
          <w:b/>
        </w:rPr>
        <w:t>Belgium</w:t>
      </w:r>
      <w:r w:rsidR="002D63BC" w:rsidRPr="00C267D7">
        <w:t xml:space="preserve">, </w:t>
      </w:r>
      <w:r w:rsidR="002D63BC" w:rsidRPr="00C267D7">
        <w:rPr>
          <w:b/>
        </w:rPr>
        <w:t xml:space="preserve">Australia </w:t>
      </w:r>
      <w:r w:rsidR="002D63BC" w:rsidRPr="00C267D7">
        <w:t xml:space="preserve">and </w:t>
      </w:r>
      <w:r w:rsidR="002D63BC" w:rsidRPr="00C267D7">
        <w:rPr>
          <w:b/>
        </w:rPr>
        <w:t>China</w:t>
      </w:r>
      <w:r w:rsidR="002D63BC" w:rsidRPr="00C267D7">
        <w:t>) grew vigorously.</w:t>
      </w:r>
    </w:p>
    <w:p w14:paraId="673AC8B4" w14:textId="437D7CA1" w:rsidR="004C0132" w:rsidRPr="00C267D7" w:rsidRDefault="00731691" w:rsidP="00716405">
      <w:pPr>
        <w:pStyle w:val="ListParagraph"/>
        <w:numPr>
          <w:ilvl w:val="0"/>
          <w:numId w:val="7"/>
        </w:numPr>
        <w:spacing w:before="120" w:after="120"/>
        <w:ind w:left="360" w:right="-396"/>
      </w:pPr>
      <w:r w:rsidRPr="00C267D7">
        <w:t>Exports of</w:t>
      </w:r>
      <w:r w:rsidRPr="00C267D7">
        <w:rPr>
          <w:b/>
        </w:rPr>
        <w:t xml:space="preserve"> vehicles </w:t>
      </w:r>
      <w:r w:rsidRPr="00C267D7">
        <w:t>gained traction in</w:t>
      </w:r>
      <w:r w:rsidRPr="00C267D7">
        <w:rPr>
          <w:b/>
        </w:rPr>
        <w:t xml:space="preserve"> </w:t>
      </w:r>
      <w:r w:rsidR="00560495" w:rsidRPr="00C267D7">
        <w:rPr>
          <w:b/>
        </w:rPr>
        <w:t>Switzer</w:t>
      </w:r>
      <w:r w:rsidR="008C6B0E" w:rsidRPr="00C267D7">
        <w:rPr>
          <w:b/>
        </w:rPr>
        <w:t>land</w:t>
      </w:r>
      <w:r w:rsidR="00560495" w:rsidRPr="00C267D7">
        <w:t xml:space="preserve"> ($15 million, up from $295,000</w:t>
      </w:r>
      <w:r w:rsidR="004C0132" w:rsidRPr="00C267D7">
        <w:t>)</w:t>
      </w:r>
      <w:r w:rsidR="006D4F41" w:rsidRPr="00C267D7">
        <w:t xml:space="preserve">, </w:t>
      </w:r>
      <w:r w:rsidR="00560495" w:rsidRPr="00C267D7">
        <w:rPr>
          <w:b/>
        </w:rPr>
        <w:t>India</w:t>
      </w:r>
      <w:r w:rsidR="006D4F41" w:rsidRPr="00C267D7">
        <w:t xml:space="preserve"> (</w:t>
      </w:r>
      <w:r w:rsidR="00560495" w:rsidRPr="00C267D7">
        <w:t>$7 million, up from $77,000</w:t>
      </w:r>
      <w:r w:rsidR="004C0132" w:rsidRPr="00C267D7">
        <w:t xml:space="preserve">), </w:t>
      </w:r>
      <w:r w:rsidR="004C0132" w:rsidRPr="00C267D7">
        <w:rPr>
          <w:b/>
        </w:rPr>
        <w:t>Germany</w:t>
      </w:r>
      <w:r w:rsidR="006D4F41" w:rsidRPr="00C267D7">
        <w:t xml:space="preserve"> (</w:t>
      </w:r>
      <w:r w:rsidR="00560495" w:rsidRPr="00C267D7">
        <w:t xml:space="preserve">$10 million, </w:t>
      </w:r>
      <w:r w:rsidR="006D4F41" w:rsidRPr="00C267D7">
        <w:t>u</w:t>
      </w:r>
      <w:r w:rsidR="00560495" w:rsidRPr="00C267D7">
        <w:t>p 138%</w:t>
      </w:r>
      <w:r w:rsidR="004C0132" w:rsidRPr="00C267D7">
        <w:t xml:space="preserve">) and </w:t>
      </w:r>
      <w:r w:rsidR="004C0132" w:rsidRPr="00C267D7">
        <w:rPr>
          <w:b/>
        </w:rPr>
        <w:t>Saudi Arabia</w:t>
      </w:r>
      <w:r w:rsidR="004C0132" w:rsidRPr="00C267D7">
        <w:t xml:space="preserve"> ($8 million, up 209%</w:t>
      </w:r>
      <w:r w:rsidRPr="00C267D7">
        <w:t>).</w:t>
      </w:r>
      <w:r w:rsidR="000E6F54" w:rsidRPr="00C267D7">
        <w:rPr>
          <w:b/>
        </w:rPr>
        <w:t xml:space="preserve"> </w:t>
      </w:r>
      <w:r w:rsidR="000E6F54" w:rsidRPr="00C267D7">
        <w:t xml:space="preserve">High-growth segments included </w:t>
      </w:r>
      <w:r w:rsidR="00073109" w:rsidRPr="00C267D7">
        <w:rPr>
          <w:b/>
        </w:rPr>
        <w:t>specialty</w:t>
      </w:r>
      <w:r w:rsidR="000E6F54" w:rsidRPr="00C267D7">
        <w:rPr>
          <w:b/>
        </w:rPr>
        <w:t xml:space="preserve"> vehicles such as snowmobiles and ATVs</w:t>
      </w:r>
      <w:r w:rsidR="000E6F54" w:rsidRPr="00C267D7">
        <w:t xml:space="preserve"> (particu</w:t>
      </w:r>
      <w:r w:rsidR="00073109" w:rsidRPr="00C267D7">
        <w:t>larly in</w:t>
      </w:r>
      <w:r w:rsidR="000E6F54" w:rsidRPr="00C267D7">
        <w:t xml:space="preserve"> </w:t>
      </w:r>
      <w:r w:rsidR="000E6F54" w:rsidRPr="00C267D7">
        <w:rPr>
          <w:b/>
        </w:rPr>
        <w:t>Switzerland</w:t>
      </w:r>
      <w:r w:rsidR="000E6F54" w:rsidRPr="00C267D7">
        <w:t xml:space="preserve"> and </w:t>
      </w:r>
      <w:r w:rsidR="000E6F54" w:rsidRPr="00C267D7">
        <w:rPr>
          <w:b/>
        </w:rPr>
        <w:t>Canada</w:t>
      </w:r>
      <w:r w:rsidR="00073109" w:rsidRPr="00C267D7">
        <w:t>),</w:t>
      </w:r>
      <w:r w:rsidR="000E6F54" w:rsidRPr="00C267D7">
        <w:t xml:space="preserve"> </w:t>
      </w:r>
      <w:r w:rsidR="000E6F54" w:rsidRPr="00C267D7">
        <w:rPr>
          <w:b/>
        </w:rPr>
        <w:t>vehicle parts</w:t>
      </w:r>
      <w:r w:rsidR="000E6F54" w:rsidRPr="00C267D7">
        <w:t xml:space="preserve"> (</w:t>
      </w:r>
      <w:r w:rsidR="00073109" w:rsidRPr="00C267D7">
        <w:t xml:space="preserve">including in </w:t>
      </w:r>
      <w:r w:rsidR="000E6F54" w:rsidRPr="00C267D7">
        <w:rPr>
          <w:b/>
        </w:rPr>
        <w:t>India</w:t>
      </w:r>
      <w:r w:rsidR="00073109" w:rsidRPr="00C267D7">
        <w:t xml:space="preserve"> and </w:t>
      </w:r>
      <w:r w:rsidR="00073109" w:rsidRPr="00C267D7">
        <w:rPr>
          <w:b/>
        </w:rPr>
        <w:t>Mexico</w:t>
      </w:r>
      <w:r w:rsidR="00073109" w:rsidRPr="00C267D7">
        <w:t>)</w:t>
      </w:r>
      <w:r w:rsidR="003D2CFC" w:rsidRPr="00C267D7">
        <w:t>,</w:t>
      </w:r>
      <w:r w:rsidR="000E6F54" w:rsidRPr="00C267D7">
        <w:t xml:space="preserve"> </w:t>
      </w:r>
      <w:r w:rsidR="000919F2" w:rsidRPr="00C267D7">
        <w:t xml:space="preserve">and </w:t>
      </w:r>
      <w:r w:rsidR="000E6F54" w:rsidRPr="00C267D7">
        <w:rPr>
          <w:b/>
        </w:rPr>
        <w:t>fire-fighting vehicles</w:t>
      </w:r>
      <w:r w:rsidR="000919F2" w:rsidRPr="00C267D7">
        <w:t xml:space="preserve"> (especially to </w:t>
      </w:r>
      <w:r w:rsidR="000919F2" w:rsidRPr="00C267D7">
        <w:rPr>
          <w:b/>
        </w:rPr>
        <w:t>Saudi Arabia</w:t>
      </w:r>
      <w:r w:rsidR="000919F2" w:rsidRPr="00C267D7">
        <w:t>).</w:t>
      </w:r>
    </w:p>
    <w:p w14:paraId="2C4FDD09" w14:textId="3CEAB667" w:rsidR="003823B0" w:rsidRPr="00C267D7" w:rsidRDefault="00385E7F" w:rsidP="003823B0">
      <w:pPr>
        <w:pStyle w:val="ListParagraph"/>
        <w:numPr>
          <w:ilvl w:val="0"/>
          <w:numId w:val="7"/>
        </w:numPr>
        <w:spacing w:after="0"/>
        <w:ind w:left="360" w:right="-72"/>
      </w:pPr>
      <w:r w:rsidRPr="00C267D7">
        <w:t xml:space="preserve">Robust growth in </w:t>
      </w:r>
      <w:r w:rsidR="004E06B6" w:rsidRPr="00C267D7">
        <w:t>demand for</w:t>
      </w:r>
      <w:r w:rsidR="003823B0" w:rsidRPr="00C267D7">
        <w:t xml:space="preserve"> </w:t>
      </w:r>
      <w:r w:rsidR="003823B0" w:rsidRPr="00C267D7">
        <w:rPr>
          <w:b/>
        </w:rPr>
        <w:t xml:space="preserve">meat </w:t>
      </w:r>
      <w:r w:rsidRPr="00C267D7">
        <w:t>continued</w:t>
      </w:r>
      <w:r w:rsidR="003823B0" w:rsidRPr="00C267D7">
        <w:t xml:space="preserve">, primarily propelled by </w:t>
      </w:r>
      <w:r w:rsidR="003823B0" w:rsidRPr="00C267D7">
        <w:rPr>
          <w:b/>
        </w:rPr>
        <w:t xml:space="preserve">China </w:t>
      </w:r>
      <w:r w:rsidR="003823B0" w:rsidRPr="00C267D7">
        <w:t xml:space="preserve">($49 million, up 82%) and </w:t>
      </w:r>
      <w:r w:rsidR="003823B0" w:rsidRPr="00C267D7">
        <w:rPr>
          <w:b/>
        </w:rPr>
        <w:t xml:space="preserve">Japan </w:t>
      </w:r>
      <w:r w:rsidR="003823B0" w:rsidRPr="00C267D7">
        <w:t xml:space="preserve">($19 million, up 82%). </w:t>
      </w:r>
      <w:r w:rsidR="003823B0" w:rsidRPr="00C267D7">
        <w:rPr>
          <w:b/>
        </w:rPr>
        <w:t>Frozen and</w:t>
      </w:r>
      <w:r w:rsidR="003823B0" w:rsidRPr="00C267D7">
        <w:t xml:space="preserve"> </w:t>
      </w:r>
      <w:r w:rsidR="003823B0" w:rsidRPr="00C267D7">
        <w:rPr>
          <w:b/>
        </w:rPr>
        <w:t xml:space="preserve">fresh, chilled pork </w:t>
      </w:r>
      <w:r w:rsidRPr="00C267D7">
        <w:t>($86</w:t>
      </w:r>
      <w:r w:rsidR="003823B0" w:rsidRPr="00C267D7">
        <w:t xml:space="preserve"> million, up 11%) spurred exports.</w:t>
      </w:r>
    </w:p>
    <w:p w14:paraId="0EDF6C74" w14:textId="0BE5F728" w:rsidR="003823B0" w:rsidRPr="00C267D7" w:rsidRDefault="003823B0" w:rsidP="003823B0">
      <w:pPr>
        <w:pStyle w:val="ListParagraph"/>
        <w:numPr>
          <w:ilvl w:val="0"/>
          <w:numId w:val="7"/>
        </w:numPr>
        <w:spacing w:after="0"/>
        <w:ind w:left="360" w:right="-396"/>
      </w:pPr>
      <w:r w:rsidRPr="00C267D7">
        <w:t>Other fo</w:t>
      </w:r>
      <w:r w:rsidR="00385E7F" w:rsidRPr="00C267D7">
        <w:t>od and agricultural products initiat</w:t>
      </w:r>
      <w:r w:rsidRPr="00C267D7">
        <w:t xml:space="preserve">ing strong comebacks were </w:t>
      </w:r>
      <w:r w:rsidRPr="00C267D7">
        <w:rPr>
          <w:b/>
        </w:rPr>
        <w:t xml:space="preserve">oil seeds, misc. grain </w:t>
      </w:r>
      <w:r w:rsidRPr="00C267D7">
        <w:t xml:space="preserve">(up 47%), </w:t>
      </w:r>
      <w:r w:rsidRPr="00C267D7">
        <w:rPr>
          <w:b/>
        </w:rPr>
        <w:t xml:space="preserve">dairy, eggs </w:t>
      </w:r>
      <w:r w:rsidRPr="00C267D7">
        <w:t xml:space="preserve">(up 25%), </w:t>
      </w:r>
      <w:r w:rsidRPr="00C267D7">
        <w:rPr>
          <w:b/>
        </w:rPr>
        <w:t xml:space="preserve">prepared meat, fish </w:t>
      </w:r>
      <w:r w:rsidRPr="00C267D7">
        <w:t xml:space="preserve">(up 38%), </w:t>
      </w:r>
      <w:r w:rsidRPr="00C267D7">
        <w:rPr>
          <w:b/>
        </w:rPr>
        <w:t>vegetables</w:t>
      </w:r>
      <w:r w:rsidRPr="00C267D7">
        <w:t xml:space="preserve"> (up 69%) and </w:t>
      </w:r>
      <w:r w:rsidRPr="00C267D7">
        <w:rPr>
          <w:b/>
        </w:rPr>
        <w:t xml:space="preserve">beverages </w:t>
      </w:r>
      <w:r w:rsidRPr="00C267D7">
        <w:t>(up 22%).</w:t>
      </w:r>
    </w:p>
    <w:p w14:paraId="2C504AE0" w14:textId="4F54F523" w:rsidR="003823B0" w:rsidRPr="00C267D7" w:rsidRDefault="00D0254C" w:rsidP="003823B0">
      <w:pPr>
        <w:pStyle w:val="ListParagraph"/>
        <w:numPr>
          <w:ilvl w:val="0"/>
          <w:numId w:val="7"/>
        </w:numPr>
        <w:spacing w:after="0"/>
        <w:ind w:left="360" w:right="-72"/>
      </w:pPr>
      <w:r>
        <w:t>E</w:t>
      </w:r>
      <w:r w:rsidR="007A2054" w:rsidRPr="00C267D7">
        <w:t>xporters</w:t>
      </w:r>
      <w:r>
        <w:t xml:space="preserve"> made notable inroads</w:t>
      </w:r>
      <w:r w:rsidR="007A2054" w:rsidRPr="00C267D7">
        <w:t xml:space="preserve"> of </w:t>
      </w:r>
      <w:r w:rsidR="007A2054" w:rsidRPr="00C267D7">
        <w:rPr>
          <w:b/>
        </w:rPr>
        <w:t>o</w:t>
      </w:r>
      <w:r w:rsidR="00712602" w:rsidRPr="00C267D7">
        <w:rPr>
          <w:b/>
        </w:rPr>
        <w:t xml:space="preserve">res, slag, </w:t>
      </w:r>
      <w:r w:rsidR="003823B0" w:rsidRPr="00C267D7">
        <w:rPr>
          <w:b/>
        </w:rPr>
        <w:t>ash</w:t>
      </w:r>
      <w:r w:rsidR="00712602" w:rsidRPr="00C267D7">
        <w:rPr>
          <w:b/>
        </w:rPr>
        <w:t xml:space="preserve"> </w:t>
      </w:r>
      <w:r w:rsidR="003823B0" w:rsidRPr="00C267D7">
        <w:t>in</w:t>
      </w:r>
      <w:r w:rsidR="003823B0" w:rsidRPr="00C267D7">
        <w:rPr>
          <w:b/>
        </w:rPr>
        <w:t xml:space="preserve"> Slovakia</w:t>
      </w:r>
      <w:r w:rsidR="00712602" w:rsidRPr="00C267D7">
        <w:t xml:space="preserve"> and of</w:t>
      </w:r>
      <w:r w:rsidR="00385E7F" w:rsidRPr="00C267D7">
        <w:t xml:space="preserve"> </w:t>
      </w:r>
      <w:r w:rsidR="00712602" w:rsidRPr="00C267D7">
        <w:rPr>
          <w:b/>
        </w:rPr>
        <w:t xml:space="preserve">arms, ammunition </w:t>
      </w:r>
      <w:r w:rsidR="00712602" w:rsidRPr="00C267D7">
        <w:t xml:space="preserve">in </w:t>
      </w:r>
      <w:r w:rsidR="00712602" w:rsidRPr="00C267D7">
        <w:rPr>
          <w:b/>
        </w:rPr>
        <w:t>Taiwan</w:t>
      </w:r>
      <w:r w:rsidR="003823B0" w:rsidRPr="00C267D7">
        <w:t>.</w:t>
      </w:r>
      <w:r w:rsidR="005E41A6" w:rsidRPr="00C267D7">
        <w:t xml:space="preserve"> </w:t>
      </w:r>
    </w:p>
    <w:p w14:paraId="1BD35DAA" w14:textId="647D25FB" w:rsidR="00C77A75" w:rsidRPr="00C267D7" w:rsidRDefault="003D2CFC" w:rsidP="00C56FD9">
      <w:pPr>
        <w:pStyle w:val="ListParagraph"/>
        <w:numPr>
          <w:ilvl w:val="0"/>
          <w:numId w:val="7"/>
        </w:numPr>
        <w:spacing w:before="120" w:after="120"/>
        <w:ind w:left="360" w:right="-396"/>
      </w:pPr>
      <w:r w:rsidRPr="00C267D7">
        <w:t xml:space="preserve">Other products </w:t>
      </w:r>
      <w:r w:rsidR="00597ABF" w:rsidRPr="00C267D7">
        <w:t>bolstering the state’s exports</w:t>
      </w:r>
      <w:r w:rsidRPr="00C267D7">
        <w:t xml:space="preserve"> </w:t>
      </w:r>
      <w:r w:rsidR="00FA1A86" w:rsidRPr="00C267D7">
        <w:t>included</w:t>
      </w:r>
      <w:r w:rsidRPr="00C267D7">
        <w:t xml:space="preserve"> </w:t>
      </w:r>
      <w:r w:rsidRPr="00C267D7">
        <w:rPr>
          <w:b/>
        </w:rPr>
        <w:t>precious metals</w:t>
      </w:r>
      <w:r w:rsidRPr="00C267D7">
        <w:t xml:space="preserve"> ($19 million, up 52%</w:t>
      </w:r>
      <w:r w:rsidR="0027681D" w:rsidRPr="00C267D7">
        <w:t>; i.e.</w:t>
      </w:r>
      <w:r w:rsidR="00C77A75" w:rsidRPr="00C267D7">
        <w:t xml:space="preserve"> </w:t>
      </w:r>
      <w:r w:rsidR="001873D8">
        <w:t>metal waste</w:t>
      </w:r>
      <w:r w:rsidRPr="00C267D7">
        <w:t xml:space="preserve">), </w:t>
      </w:r>
      <w:r w:rsidRPr="00C267D7">
        <w:rPr>
          <w:b/>
        </w:rPr>
        <w:t xml:space="preserve">aluminum </w:t>
      </w:r>
      <w:r w:rsidRPr="00C267D7">
        <w:t>($30 million, up 14%)</w:t>
      </w:r>
      <w:r w:rsidR="00FA1A86" w:rsidRPr="00C267D7">
        <w:t xml:space="preserve">, </w:t>
      </w:r>
      <w:r w:rsidR="00FA1A86" w:rsidRPr="00C267D7">
        <w:rPr>
          <w:b/>
        </w:rPr>
        <w:t xml:space="preserve">animal hides, skins </w:t>
      </w:r>
      <w:r w:rsidR="00FA1A86" w:rsidRPr="00C267D7">
        <w:t>($16 million, up 17%) and</w:t>
      </w:r>
      <w:r w:rsidR="00C77A75" w:rsidRPr="00C267D7">
        <w:t xml:space="preserve"> </w:t>
      </w:r>
      <w:r w:rsidR="00FA1A86" w:rsidRPr="00C267D7">
        <w:rPr>
          <w:b/>
        </w:rPr>
        <w:t>rubber</w:t>
      </w:r>
      <w:r w:rsidR="00C77A75" w:rsidRPr="00C267D7">
        <w:rPr>
          <w:b/>
        </w:rPr>
        <w:t xml:space="preserve"> </w:t>
      </w:r>
      <w:r w:rsidR="00FA1A86" w:rsidRPr="00C267D7">
        <w:t>($20 million, up 11</w:t>
      </w:r>
      <w:r w:rsidR="00C77A75" w:rsidRPr="00C267D7">
        <w:t>%).</w:t>
      </w:r>
    </w:p>
    <w:p w14:paraId="2531CFFE" w14:textId="329790A5" w:rsidR="007F1C4A" w:rsidRPr="00C267D7" w:rsidRDefault="007F1C4A" w:rsidP="00D83715">
      <w:pPr>
        <w:pStyle w:val="Heading4"/>
        <w:spacing w:before="120" w:after="60"/>
        <w:rPr>
          <w:color w:val="auto"/>
        </w:rPr>
      </w:pPr>
      <w:r w:rsidRPr="00C267D7">
        <w:rPr>
          <w:color w:val="auto"/>
        </w:rPr>
        <w:t>Fi</w:t>
      </w:r>
      <w:r w:rsidR="00A44451" w:rsidRPr="00C267D7">
        <w:rPr>
          <w:color w:val="auto"/>
        </w:rPr>
        <w:t>gure 4. Export Trends for</w:t>
      </w:r>
      <w:r w:rsidRPr="00C267D7">
        <w:rPr>
          <w:color w:val="auto"/>
        </w:rPr>
        <w:t xml:space="preserve"> Minnesota’s Top 10 Products, </w:t>
      </w:r>
      <w:r w:rsidR="0000470B" w:rsidRPr="00C267D7">
        <w:rPr>
          <w:color w:val="auto"/>
        </w:rPr>
        <w:t>Fourth</w:t>
      </w:r>
      <w:r w:rsidR="00A52415" w:rsidRPr="00C267D7">
        <w:rPr>
          <w:color w:val="auto"/>
        </w:rPr>
        <w:t xml:space="preserve"> Quarter </w:t>
      </w:r>
      <w:r w:rsidR="007818E5" w:rsidRPr="00C267D7">
        <w:rPr>
          <w:color w:val="auto"/>
        </w:rPr>
        <w:t>2020</w:t>
      </w:r>
    </w:p>
    <w:p w14:paraId="73CDCF23" w14:textId="17479F2A" w:rsidR="004A4223" w:rsidRPr="00C267D7" w:rsidRDefault="00CB38A0" w:rsidP="0027681D">
      <w:pPr>
        <w:spacing w:after="120"/>
        <w:rPr>
          <w:sz w:val="18"/>
        </w:rPr>
      </w:pPr>
      <w:r w:rsidRPr="00C267D7">
        <w:rPr>
          <w:noProof/>
          <w:sz w:val="18"/>
        </w:rPr>
        <w:drawing>
          <wp:inline distT="0" distB="0" distL="0" distR="0" wp14:anchorId="10B24BC3" wp14:editId="491E06CC">
            <wp:extent cx="6355080" cy="1820019"/>
            <wp:effectExtent l="0" t="0" r="7620" b="8890"/>
            <wp:docPr id="4" name="Picture 4" descr="PRODUCT  Exports (millions)  Percent Change, 2019-Q4 to 2020-Q4&#10;Total  $4,983  -10%&#10;Optic, Medical  $941  -17%&#10;Machinery  $827  4%&#10;Electrical Equipment  $620  -5%&#10;Vehicles  $372  4%&#10;Plastics  $299  -16%&#10;Mineral Fuels, Oils  $159  0%&#10;Food By-Products  $149  -12%&#10;Pharmaceuticals  $132  -17%&#10;Meat  $124  10%&#10;Ores, Slag And Ash  $109  -14%&#10;Other  $1,250  -14%&#10;"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kim\Work from home files\wfh files_Main\Tableau, Viz\MTO Tableau files\Export Stats Reports\Newsletter &amp; Fact Sheet charts\2020-Q4 Top 10 2H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5080" cy="1820019"/>
                    </a:xfrm>
                    <a:prstGeom prst="rect">
                      <a:avLst/>
                    </a:prstGeom>
                    <a:noFill/>
                    <a:ln>
                      <a:noFill/>
                    </a:ln>
                  </pic:spPr>
                </pic:pic>
              </a:graphicData>
            </a:graphic>
          </wp:inline>
        </w:drawing>
      </w:r>
    </w:p>
    <w:tbl>
      <w:tblPr>
        <w:tblpPr w:leftFromText="180" w:rightFromText="180" w:vertAnchor="page" w:horzAnchor="margin" w:tblpY="13405"/>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w:tblPr>
      <w:tblGrid>
        <w:gridCol w:w="10255"/>
      </w:tblGrid>
      <w:tr w:rsidR="00C267D7" w:rsidRPr="00C267D7" w14:paraId="7688E05E" w14:textId="77777777" w:rsidTr="0027681D">
        <w:trPr>
          <w:trHeight w:val="1070"/>
        </w:trPr>
        <w:tc>
          <w:tcPr>
            <w:tcW w:w="10255" w:type="dxa"/>
            <w:shd w:val="clear" w:color="auto" w:fill="C9E5A6"/>
          </w:tcPr>
          <w:p w14:paraId="39907943" w14:textId="7AC3BEB6" w:rsidR="00D80EB6" w:rsidRPr="00C267D7" w:rsidRDefault="00D80EB6" w:rsidP="0027681D">
            <w:pPr>
              <w:spacing w:after="0"/>
            </w:pPr>
            <w:r w:rsidRPr="00C267D7">
              <w:rPr>
                <w:rStyle w:val="Emphasis"/>
                <w:rFonts w:cstheme="minorHAnsi"/>
                <w:sz w:val="18"/>
              </w:rPr>
              <w:t>Minnesota Quarterly Export Statistics</w:t>
            </w:r>
            <w:r w:rsidRPr="00C267D7">
              <w:rPr>
                <w:rFonts w:ascii="Calibri" w:hAnsi="Calibri"/>
                <w:sz w:val="14"/>
              </w:rPr>
              <w:t xml:space="preserve"> </w:t>
            </w:r>
            <w:r w:rsidRPr="00C267D7">
              <w:rPr>
                <w:rFonts w:ascii="Calibri" w:hAnsi="Calibri"/>
                <w:sz w:val="18"/>
              </w:rPr>
              <w:t>is the most current resource available for tracking the state’s</w:t>
            </w:r>
            <w:r w:rsidR="004A6B80" w:rsidRPr="00C267D7">
              <w:rPr>
                <w:rFonts w:ascii="Calibri" w:hAnsi="Calibri"/>
                <w:sz w:val="18"/>
              </w:rPr>
              <w:t xml:space="preserve"> export</w:t>
            </w:r>
            <w:r w:rsidR="008A202D" w:rsidRPr="00C267D7">
              <w:rPr>
                <w:rFonts w:ascii="Calibri" w:hAnsi="Calibri"/>
                <w:sz w:val="18"/>
              </w:rPr>
              <w:t xml:space="preserve"> trends in man</w:t>
            </w:r>
            <w:r w:rsidR="004A6B80" w:rsidRPr="00C267D7">
              <w:rPr>
                <w:rFonts w:ascii="Calibri" w:hAnsi="Calibri"/>
                <w:sz w:val="18"/>
              </w:rPr>
              <w:t xml:space="preserve">ufactured and other </w:t>
            </w:r>
            <w:proofErr w:type="gramStart"/>
            <w:r w:rsidR="004A6B80" w:rsidRPr="00C267D7">
              <w:rPr>
                <w:rFonts w:ascii="Calibri" w:hAnsi="Calibri"/>
                <w:sz w:val="18"/>
              </w:rPr>
              <w:t>goods,</w:t>
            </w:r>
            <w:r w:rsidRPr="00C267D7">
              <w:rPr>
                <w:rFonts w:ascii="Calibri" w:hAnsi="Calibri"/>
                <w:sz w:val="18"/>
              </w:rPr>
              <w:t xml:space="preserve"> and</w:t>
            </w:r>
            <w:proofErr w:type="gramEnd"/>
            <w:r w:rsidRPr="00C267D7">
              <w:rPr>
                <w:rFonts w:ascii="Calibri" w:hAnsi="Calibri"/>
                <w:sz w:val="18"/>
              </w:rPr>
              <w:t xml:space="preserve"> is prepared for the Minnesota Trade Office (MTO) by the Department of Employment and Economic Development’s (DEED) Economic Analysis Unit (Thu-Mai Ho-Kim).  </w:t>
            </w:r>
            <w:r w:rsidRPr="00C267D7">
              <w:rPr>
                <w:rFonts w:ascii="Calibri" w:hAnsi="Calibri" w:cs="Calibri"/>
                <w:sz w:val="18"/>
                <w:szCs w:val="18"/>
              </w:rPr>
              <w:t xml:space="preserve">The quarterly and annual statistics reports primarily cover export data based on the Harmonized Tariff System (Schedule B), collected by the U.S. Department of Commerce (USDOC) and distributed by IHS </w:t>
            </w:r>
            <w:r w:rsidR="004A6B80" w:rsidRPr="00C267D7">
              <w:rPr>
                <w:rFonts w:ascii="Calibri" w:hAnsi="Calibri" w:cs="Calibri"/>
                <w:sz w:val="18"/>
                <w:szCs w:val="18"/>
              </w:rPr>
              <w:t>Markit.</w:t>
            </w:r>
            <w:r w:rsidRPr="00C267D7">
              <w:rPr>
                <w:rFonts w:ascii="Calibri" w:hAnsi="Calibri" w:cs="Calibri"/>
                <w:sz w:val="18"/>
                <w:szCs w:val="18"/>
              </w:rPr>
              <w:t xml:space="preserve"> Reports are available on DEED’s website at “Export and Trade Statistics” (</w:t>
            </w:r>
            <w:hyperlink r:id="rId18" w:history="1">
              <w:r w:rsidRPr="00C267D7">
                <w:rPr>
                  <w:rStyle w:val="Hyperlink"/>
                  <w:color w:val="auto"/>
                  <w:sz w:val="18"/>
                  <w:szCs w:val="18"/>
                </w:rPr>
                <w:t>http://mn.gov/deed/data/export-stats/</w:t>
              </w:r>
            </w:hyperlink>
            <w:r w:rsidRPr="00C267D7">
              <w:rPr>
                <w:sz w:val="18"/>
                <w:szCs w:val="18"/>
              </w:rPr>
              <w:t>)</w:t>
            </w:r>
            <w:r w:rsidRPr="00C267D7">
              <w:rPr>
                <w:rFonts w:ascii="Calibri" w:hAnsi="Calibri" w:cs="Calibri"/>
                <w:sz w:val="18"/>
                <w:szCs w:val="18"/>
              </w:rPr>
              <w:t>.</w:t>
            </w:r>
          </w:p>
        </w:tc>
      </w:tr>
    </w:tbl>
    <w:p w14:paraId="7C147EF7" w14:textId="77777777" w:rsidR="007F1C4A" w:rsidRPr="00C267D7" w:rsidRDefault="007F1C4A" w:rsidP="00831997">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7F1C4A" w:rsidRPr="00C267D7" w:rsidSect="00426066">
      <w:footerReference w:type="default" r:id="rId19"/>
      <w:footnotePr>
        <w:numRestart w:val="eachSect"/>
      </w:footnotePr>
      <w:endnotePr>
        <w:numFmt w:val="decimal"/>
      </w:endnotePr>
      <w:type w:val="continuous"/>
      <w:pgSz w:w="12240" w:h="15840" w:code="1"/>
      <w:pgMar w:top="936" w:right="1152" w:bottom="936"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1CCE" w14:textId="77777777" w:rsidR="00AA33FB" w:rsidRDefault="00AA33FB">
      <w:r>
        <w:separator/>
      </w:r>
    </w:p>
  </w:endnote>
  <w:endnote w:type="continuationSeparator" w:id="0">
    <w:p w14:paraId="4A52881E" w14:textId="77777777" w:rsidR="00AA33FB" w:rsidRDefault="00AA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7155" w14:textId="77777777" w:rsidR="00E76FF1" w:rsidRPr="00A14E15" w:rsidRDefault="00E76FF1" w:rsidP="00A1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6150" w14:textId="77777777"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73A27" w14:textId="77777777" w:rsidR="00AA33FB" w:rsidRDefault="00AA33FB">
      <w:r>
        <w:separator/>
      </w:r>
    </w:p>
  </w:footnote>
  <w:footnote w:type="continuationSeparator" w:id="0">
    <w:p w14:paraId="4B5FCDF3" w14:textId="77777777" w:rsidR="00AA33FB" w:rsidRDefault="00AA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
  </w:num>
  <w:num w:numId="6">
    <w:abstractNumId w:val="7"/>
  </w:num>
  <w:num w:numId="7">
    <w:abstractNumId w:val="15"/>
  </w:num>
  <w:num w:numId="8">
    <w:abstractNumId w:val="13"/>
  </w:num>
  <w:num w:numId="9">
    <w:abstractNumId w:val="9"/>
  </w:num>
  <w:num w:numId="10">
    <w:abstractNumId w:val="8"/>
  </w:num>
  <w:num w:numId="11">
    <w:abstractNumId w:val="6"/>
  </w:num>
  <w:num w:numId="12">
    <w:abstractNumId w:val="2"/>
  </w:num>
  <w:num w:numId="13">
    <w:abstractNumId w:val="14"/>
  </w:num>
  <w:num w:numId="14">
    <w:abstractNumId w:val="10"/>
  </w:num>
  <w:num w:numId="15">
    <w:abstractNumId w:val="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FDB"/>
    <w:rsid w:val="000041CC"/>
    <w:rsid w:val="0000470B"/>
    <w:rsid w:val="000115BA"/>
    <w:rsid w:val="00013717"/>
    <w:rsid w:val="00015A9D"/>
    <w:rsid w:val="00017FE0"/>
    <w:rsid w:val="000218A0"/>
    <w:rsid w:val="00024BB5"/>
    <w:rsid w:val="000350A7"/>
    <w:rsid w:val="00035328"/>
    <w:rsid w:val="00036238"/>
    <w:rsid w:val="00046117"/>
    <w:rsid w:val="00051FE0"/>
    <w:rsid w:val="00051FF7"/>
    <w:rsid w:val="00052D34"/>
    <w:rsid w:val="000541A0"/>
    <w:rsid w:val="00054A6E"/>
    <w:rsid w:val="00055AAF"/>
    <w:rsid w:val="0005790D"/>
    <w:rsid w:val="00061093"/>
    <w:rsid w:val="0006144E"/>
    <w:rsid w:val="0006608A"/>
    <w:rsid w:val="000705F0"/>
    <w:rsid w:val="000716AC"/>
    <w:rsid w:val="00073109"/>
    <w:rsid w:val="000731F2"/>
    <w:rsid w:val="00073987"/>
    <w:rsid w:val="00076DF3"/>
    <w:rsid w:val="00077989"/>
    <w:rsid w:val="0008038B"/>
    <w:rsid w:val="00083199"/>
    <w:rsid w:val="000859F2"/>
    <w:rsid w:val="00085EED"/>
    <w:rsid w:val="000878A3"/>
    <w:rsid w:val="00090B7B"/>
    <w:rsid w:val="000919F2"/>
    <w:rsid w:val="0009219A"/>
    <w:rsid w:val="000924DC"/>
    <w:rsid w:val="00092621"/>
    <w:rsid w:val="0009287F"/>
    <w:rsid w:val="000929D8"/>
    <w:rsid w:val="00092FFB"/>
    <w:rsid w:val="00096FFD"/>
    <w:rsid w:val="000A1B8D"/>
    <w:rsid w:val="000A491B"/>
    <w:rsid w:val="000A4AB3"/>
    <w:rsid w:val="000A5664"/>
    <w:rsid w:val="000A7EF0"/>
    <w:rsid w:val="000B518F"/>
    <w:rsid w:val="000B6338"/>
    <w:rsid w:val="000C1CB0"/>
    <w:rsid w:val="000C2181"/>
    <w:rsid w:val="000C3AE5"/>
    <w:rsid w:val="000D02DD"/>
    <w:rsid w:val="000D1330"/>
    <w:rsid w:val="000D18A9"/>
    <w:rsid w:val="000D5D94"/>
    <w:rsid w:val="000D6FAF"/>
    <w:rsid w:val="000E0786"/>
    <w:rsid w:val="000E3376"/>
    <w:rsid w:val="000E6BD9"/>
    <w:rsid w:val="000E6F54"/>
    <w:rsid w:val="000E7ED0"/>
    <w:rsid w:val="000F0519"/>
    <w:rsid w:val="000F1844"/>
    <w:rsid w:val="000F1B22"/>
    <w:rsid w:val="000F3E1F"/>
    <w:rsid w:val="000F4C5E"/>
    <w:rsid w:val="000F54F2"/>
    <w:rsid w:val="000F6660"/>
    <w:rsid w:val="000F6CDA"/>
    <w:rsid w:val="00106910"/>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6664"/>
    <w:rsid w:val="001373C3"/>
    <w:rsid w:val="00137E8C"/>
    <w:rsid w:val="00140B5F"/>
    <w:rsid w:val="00142003"/>
    <w:rsid w:val="0014228E"/>
    <w:rsid w:val="00145936"/>
    <w:rsid w:val="00147356"/>
    <w:rsid w:val="00147EEF"/>
    <w:rsid w:val="001619F1"/>
    <w:rsid w:val="001625A3"/>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8D1"/>
    <w:rsid w:val="001979B1"/>
    <w:rsid w:val="001A7229"/>
    <w:rsid w:val="001A7363"/>
    <w:rsid w:val="001A787E"/>
    <w:rsid w:val="001B0716"/>
    <w:rsid w:val="001B0D71"/>
    <w:rsid w:val="001B1416"/>
    <w:rsid w:val="001B344A"/>
    <w:rsid w:val="001B3687"/>
    <w:rsid w:val="001B5950"/>
    <w:rsid w:val="001B6B06"/>
    <w:rsid w:val="001C1112"/>
    <w:rsid w:val="001C13C5"/>
    <w:rsid w:val="001C1A15"/>
    <w:rsid w:val="001C3A93"/>
    <w:rsid w:val="001C6967"/>
    <w:rsid w:val="001D0609"/>
    <w:rsid w:val="001D704D"/>
    <w:rsid w:val="001D767B"/>
    <w:rsid w:val="001E36FD"/>
    <w:rsid w:val="001E4570"/>
    <w:rsid w:val="001E4F28"/>
    <w:rsid w:val="001E53CF"/>
    <w:rsid w:val="001E6B4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231E"/>
    <w:rsid w:val="002158EE"/>
    <w:rsid w:val="00215DA6"/>
    <w:rsid w:val="00216C2D"/>
    <w:rsid w:val="00217960"/>
    <w:rsid w:val="002224AE"/>
    <w:rsid w:val="0022389E"/>
    <w:rsid w:val="00223F46"/>
    <w:rsid w:val="00226A71"/>
    <w:rsid w:val="00234444"/>
    <w:rsid w:val="00244370"/>
    <w:rsid w:val="00245025"/>
    <w:rsid w:val="0024609E"/>
    <w:rsid w:val="00250B75"/>
    <w:rsid w:val="002538D5"/>
    <w:rsid w:val="0025565E"/>
    <w:rsid w:val="002607E0"/>
    <w:rsid w:val="00262FF7"/>
    <w:rsid w:val="0026310F"/>
    <w:rsid w:val="00267778"/>
    <w:rsid w:val="002726A4"/>
    <w:rsid w:val="00272910"/>
    <w:rsid w:val="00275F40"/>
    <w:rsid w:val="0027681D"/>
    <w:rsid w:val="00277C67"/>
    <w:rsid w:val="00277E66"/>
    <w:rsid w:val="0028048A"/>
    <w:rsid w:val="00284EDE"/>
    <w:rsid w:val="00287234"/>
    <w:rsid w:val="002907B4"/>
    <w:rsid w:val="00293DCF"/>
    <w:rsid w:val="002969E6"/>
    <w:rsid w:val="00297DBE"/>
    <w:rsid w:val="002A27D6"/>
    <w:rsid w:val="002A2F54"/>
    <w:rsid w:val="002A3F50"/>
    <w:rsid w:val="002A4808"/>
    <w:rsid w:val="002A52FC"/>
    <w:rsid w:val="002B1415"/>
    <w:rsid w:val="002B329E"/>
    <w:rsid w:val="002B36A6"/>
    <w:rsid w:val="002B6B53"/>
    <w:rsid w:val="002B6EBF"/>
    <w:rsid w:val="002C0C4E"/>
    <w:rsid w:val="002C164C"/>
    <w:rsid w:val="002C52C4"/>
    <w:rsid w:val="002C6521"/>
    <w:rsid w:val="002D2A7E"/>
    <w:rsid w:val="002D2EF5"/>
    <w:rsid w:val="002D63BC"/>
    <w:rsid w:val="002D6A99"/>
    <w:rsid w:val="002D6F33"/>
    <w:rsid w:val="002E54F1"/>
    <w:rsid w:val="002F0687"/>
    <w:rsid w:val="002F1C0E"/>
    <w:rsid w:val="002F1E64"/>
    <w:rsid w:val="002F257A"/>
    <w:rsid w:val="002F285F"/>
    <w:rsid w:val="002F71B1"/>
    <w:rsid w:val="002F7ABC"/>
    <w:rsid w:val="00301B16"/>
    <w:rsid w:val="003047CE"/>
    <w:rsid w:val="00304E7F"/>
    <w:rsid w:val="0031458A"/>
    <w:rsid w:val="00314865"/>
    <w:rsid w:val="00314EBD"/>
    <w:rsid w:val="00320905"/>
    <w:rsid w:val="00327817"/>
    <w:rsid w:val="0033034E"/>
    <w:rsid w:val="00330852"/>
    <w:rsid w:val="00332036"/>
    <w:rsid w:val="00332B6B"/>
    <w:rsid w:val="00335273"/>
    <w:rsid w:val="00337018"/>
    <w:rsid w:val="00337315"/>
    <w:rsid w:val="00340E9C"/>
    <w:rsid w:val="003413C6"/>
    <w:rsid w:val="003415A0"/>
    <w:rsid w:val="00342DD3"/>
    <w:rsid w:val="00343C68"/>
    <w:rsid w:val="0034514F"/>
    <w:rsid w:val="0034596F"/>
    <w:rsid w:val="00352999"/>
    <w:rsid w:val="0035427F"/>
    <w:rsid w:val="003575CE"/>
    <w:rsid w:val="00361002"/>
    <w:rsid w:val="003610A2"/>
    <w:rsid w:val="00365F97"/>
    <w:rsid w:val="00370F35"/>
    <w:rsid w:val="00371C8B"/>
    <w:rsid w:val="00372846"/>
    <w:rsid w:val="00373858"/>
    <w:rsid w:val="00373CD5"/>
    <w:rsid w:val="00374F2A"/>
    <w:rsid w:val="00375BF0"/>
    <w:rsid w:val="0037721A"/>
    <w:rsid w:val="0038071A"/>
    <w:rsid w:val="003823B0"/>
    <w:rsid w:val="003833B0"/>
    <w:rsid w:val="00383D01"/>
    <w:rsid w:val="00385E7F"/>
    <w:rsid w:val="0038665A"/>
    <w:rsid w:val="00387942"/>
    <w:rsid w:val="00387E7F"/>
    <w:rsid w:val="00391815"/>
    <w:rsid w:val="00392609"/>
    <w:rsid w:val="00396483"/>
    <w:rsid w:val="003975D0"/>
    <w:rsid w:val="003A3D11"/>
    <w:rsid w:val="003B0B33"/>
    <w:rsid w:val="003B2771"/>
    <w:rsid w:val="003B3484"/>
    <w:rsid w:val="003B62FF"/>
    <w:rsid w:val="003C316B"/>
    <w:rsid w:val="003C3D13"/>
    <w:rsid w:val="003C43EB"/>
    <w:rsid w:val="003C53CE"/>
    <w:rsid w:val="003C57B0"/>
    <w:rsid w:val="003C7165"/>
    <w:rsid w:val="003D044E"/>
    <w:rsid w:val="003D23DD"/>
    <w:rsid w:val="003D2CFC"/>
    <w:rsid w:val="003D49DF"/>
    <w:rsid w:val="003D4F5D"/>
    <w:rsid w:val="003D6202"/>
    <w:rsid w:val="003D744B"/>
    <w:rsid w:val="003D7C4C"/>
    <w:rsid w:val="003E01C9"/>
    <w:rsid w:val="003E21CA"/>
    <w:rsid w:val="003F27BF"/>
    <w:rsid w:val="003F41C6"/>
    <w:rsid w:val="003F44C1"/>
    <w:rsid w:val="003F6B30"/>
    <w:rsid w:val="0040062C"/>
    <w:rsid w:val="00402A86"/>
    <w:rsid w:val="00405F36"/>
    <w:rsid w:val="004061B1"/>
    <w:rsid w:val="00406E6D"/>
    <w:rsid w:val="00407310"/>
    <w:rsid w:val="00410BBC"/>
    <w:rsid w:val="00412776"/>
    <w:rsid w:val="00420D04"/>
    <w:rsid w:val="0042279B"/>
    <w:rsid w:val="0042285F"/>
    <w:rsid w:val="00426066"/>
    <w:rsid w:val="00426DC1"/>
    <w:rsid w:val="004303E8"/>
    <w:rsid w:val="004304CD"/>
    <w:rsid w:val="00433DBF"/>
    <w:rsid w:val="004362B0"/>
    <w:rsid w:val="00437CB6"/>
    <w:rsid w:val="0044214A"/>
    <w:rsid w:val="004430A9"/>
    <w:rsid w:val="00445385"/>
    <w:rsid w:val="00447C35"/>
    <w:rsid w:val="004527A6"/>
    <w:rsid w:val="0045332A"/>
    <w:rsid w:val="004550A2"/>
    <w:rsid w:val="00457D79"/>
    <w:rsid w:val="00464CC9"/>
    <w:rsid w:val="0046665A"/>
    <w:rsid w:val="00466D65"/>
    <w:rsid w:val="0046703D"/>
    <w:rsid w:val="0047028E"/>
    <w:rsid w:val="0047084F"/>
    <w:rsid w:val="00470FED"/>
    <w:rsid w:val="004713E0"/>
    <w:rsid w:val="004736AA"/>
    <w:rsid w:val="00475201"/>
    <w:rsid w:val="00475D79"/>
    <w:rsid w:val="0047760E"/>
    <w:rsid w:val="00480418"/>
    <w:rsid w:val="0048185B"/>
    <w:rsid w:val="00481E39"/>
    <w:rsid w:val="00482FFB"/>
    <w:rsid w:val="00484906"/>
    <w:rsid w:val="004867A4"/>
    <w:rsid w:val="00486B23"/>
    <w:rsid w:val="00487935"/>
    <w:rsid w:val="004900B8"/>
    <w:rsid w:val="004910BF"/>
    <w:rsid w:val="00491AC8"/>
    <w:rsid w:val="00493958"/>
    <w:rsid w:val="00493DF8"/>
    <w:rsid w:val="004944A7"/>
    <w:rsid w:val="004951BC"/>
    <w:rsid w:val="00497570"/>
    <w:rsid w:val="00497998"/>
    <w:rsid w:val="004A3CC9"/>
    <w:rsid w:val="004A4223"/>
    <w:rsid w:val="004A43B9"/>
    <w:rsid w:val="004A5B9A"/>
    <w:rsid w:val="004A6B80"/>
    <w:rsid w:val="004A7FE8"/>
    <w:rsid w:val="004B0B28"/>
    <w:rsid w:val="004B4376"/>
    <w:rsid w:val="004B4BD6"/>
    <w:rsid w:val="004B74F8"/>
    <w:rsid w:val="004B7C0E"/>
    <w:rsid w:val="004C0132"/>
    <w:rsid w:val="004C31E6"/>
    <w:rsid w:val="004D0671"/>
    <w:rsid w:val="004D1EAB"/>
    <w:rsid w:val="004D6223"/>
    <w:rsid w:val="004E06B6"/>
    <w:rsid w:val="004E1A2B"/>
    <w:rsid w:val="004E1D93"/>
    <w:rsid w:val="004E7051"/>
    <w:rsid w:val="004E7967"/>
    <w:rsid w:val="004F046B"/>
    <w:rsid w:val="004F0B2F"/>
    <w:rsid w:val="004F19B8"/>
    <w:rsid w:val="004F5A09"/>
    <w:rsid w:val="004F5CE6"/>
    <w:rsid w:val="004F6DBE"/>
    <w:rsid w:val="004F73D4"/>
    <w:rsid w:val="00500A5C"/>
    <w:rsid w:val="005026CC"/>
    <w:rsid w:val="00503AD1"/>
    <w:rsid w:val="0050449A"/>
    <w:rsid w:val="005078AA"/>
    <w:rsid w:val="005100D1"/>
    <w:rsid w:val="00513720"/>
    <w:rsid w:val="0051607A"/>
    <w:rsid w:val="005205F4"/>
    <w:rsid w:val="00521967"/>
    <w:rsid w:val="00524378"/>
    <w:rsid w:val="005269B7"/>
    <w:rsid w:val="005269D3"/>
    <w:rsid w:val="00530F70"/>
    <w:rsid w:val="005315EA"/>
    <w:rsid w:val="00532FD5"/>
    <w:rsid w:val="00534E9F"/>
    <w:rsid w:val="0053506A"/>
    <w:rsid w:val="0053512A"/>
    <w:rsid w:val="00535508"/>
    <w:rsid w:val="00536B13"/>
    <w:rsid w:val="00540B35"/>
    <w:rsid w:val="00544F1F"/>
    <w:rsid w:val="00545DDF"/>
    <w:rsid w:val="00545F38"/>
    <w:rsid w:val="0054634E"/>
    <w:rsid w:val="005514BE"/>
    <w:rsid w:val="0055424F"/>
    <w:rsid w:val="00557377"/>
    <w:rsid w:val="00560495"/>
    <w:rsid w:val="00560599"/>
    <w:rsid w:val="00562F8A"/>
    <w:rsid w:val="00563721"/>
    <w:rsid w:val="00565776"/>
    <w:rsid w:val="00566508"/>
    <w:rsid w:val="00566C4E"/>
    <w:rsid w:val="00570ACF"/>
    <w:rsid w:val="00573535"/>
    <w:rsid w:val="00573C2D"/>
    <w:rsid w:val="00575BB7"/>
    <w:rsid w:val="00575F88"/>
    <w:rsid w:val="0057794D"/>
    <w:rsid w:val="00582DC9"/>
    <w:rsid w:val="00585250"/>
    <w:rsid w:val="005859C8"/>
    <w:rsid w:val="00587796"/>
    <w:rsid w:val="005940DB"/>
    <w:rsid w:val="00597ABF"/>
    <w:rsid w:val="005A2AAC"/>
    <w:rsid w:val="005A3C50"/>
    <w:rsid w:val="005A61AB"/>
    <w:rsid w:val="005B0E04"/>
    <w:rsid w:val="005B2781"/>
    <w:rsid w:val="005B6872"/>
    <w:rsid w:val="005B6B09"/>
    <w:rsid w:val="005B75E6"/>
    <w:rsid w:val="005C0164"/>
    <w:rsid w:val="005C4DE0"/>
    <w:rsid w:val="005C5B41"/>
    <w:rsid w:val="005C61D6"/>
    <w:rsid w:val="005D315F"/>
    <w:rsid w:val="005E139A"/>
    <w:rsid w:val="005E2D06"/>
    <w:rsid w:val="005E41A6"/>
    <w:rsid w:val="005E4CC6"/>
    <w:rsid w:val="005E5D9F"/>
    <w:rsid w:val="005E6921"/>
    <w:rsid w:val="005F082A"/>
    <w:rsid w:val="005F1B29"/>
    <w:rsid w:val="005F3BCE"/>
    <w:rsid w:val="005F5087"/>
    <w:rsid w:val="005F69A9"/>
    <w:rsid w:val="00600502"/>
    <w:rsid w:val="0060605E"/>
    <w:rsid w:val="00606AB0"/>
    <w:rsid w:val="00607FAE"/>
    <w:rsid w:val="0061064A"/>
    <w:rsid w:val="006139EC"/>
    <w:rsid w:val="00613CC2"/>
    <w:rsid w:val="00615BC9"/>
    <w:rsid w:val="00615CB4"/>
    <w:rsid w:val="006177AE"/>
    <w:rsid w:val="00620C18"/>
    <w:rsid w:val="00621065"/>
    <w:rsid w:val="00621A4A"/>
    <w:rsid w:val="00624E22"/>
    <w:rsid w:val="006339F5"/>
    <w:rsid w:val="0063551B"/>
    <w:rsid w:val="00635F82"/>
    <w:rsid w:val="00636B6E"/>
    <w:rsid w:val="0063763A"/>
    <w:rsid w:val="00640620"/>
    <w:rsid w:val="00641D3B"/>
    <w:rsid w:val="00646942"/>
    <w:rsid w:val="00647786"/>
    <w:rsid w:val="006519AF"/>
    <w:rsid w:val="00652A9D"/>
    <w:rsid w:val="006549A6"/>
    <w:rsid w:val="0065603B"/>
    <w:rsid w:val="0066058B"/>
    <w:rsid w:val="006618F7"/>
    <w:rsid w:val="00662222"/>
    <w:rsid w:val="00663755"/>
    <w:rsid w:val="00664A6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91D49"/>
    <w:rsid w:val="006922C8"/>
    <w:rsid w:val="00692D3B"/>
    <w:rsid w:val="00693229"/>
    <w:rsid w:val="006951FD"/>
    <w:rsid w:val="00695BB1"/>
    <w:rsid w:val="006964AF"/>
    <w:rsid w:val="006A17BE"/>
    <w:rsid w:val="006A3E64"/>
    <w:rsid w:val="006A56E4"/>
    <w:rsid w:val="006B029D"/>
    <w:rsid w:val="006B2D41"/>
    <w:rsid w:val="006B6D8D"/>
    <w:rsid w:val="006C1643"/>
    <w:rsid w:val="006C287C"/>
    <w:rsid w:val="006C3C15"/>
    <w:rsid w:val="006C7D4F"/>
    <w:rsid w:val="006D4F41"/>
    <w:rsid w:val="006D6A44"/>
    <w:rsid w:val="006D7A33"/>
    <w:rsid w:val="006E280A"/>
    <w:rsid w:val="006E6792"/>
    <w:rsid w:val="006E75E2"/>
    <w:rsid w:val="006F01B5"/>
    <w:rsid w:val="006F4AD5"/>
    <w:rsid w:val="006F5527"/>
    <w:rsid w:val="006F6211"/>
    <w:rsid w:val="00701034"/>
    <w:rsid w:val="007046F7"/>
    <w:rsid w:val="00707559"/>
    <w:rsid w:val="007076DF"/>
    <w:rsid w:val="00710701"/>
    <w:rsid w:val="00712602"/>
    <w:rsid w:val="007144F6"/>
    <w:rsid w:val="00716311"/>
    <w:rsid w:val="00723A6D"/>
    <w:rsid w:val="007269AB"/>
    <w:rsid w:val="00731691"/>
    <w:rsid w:val="00732F74"/>
    <w:rsid w:val="007332F9"/>
    <w:rsid w:val="00734ED0"/>
    <w:rsid w:val="00736085"/>
    <w:rsid w:val="00736171"/>
    <w:rsid w:val="00741394"/>
    <w:rsid w:val="007418D9"/>
    <w:rsid w:val="00742173"/>
    <w:rsid w:val="00742415"/>
    <w:rsid w:val="00743C00"/>
    <w:rsid w:val="00743CDA"/>
    <w:rsid w:val="007441D4"/>
    <w:rsid w:val="00744252"/>
    <w:rsid w:val="00746FD8"/>
    <w:rsid w:val="00750FE0"/>
    <w:rsid w:val="007548E4"/>
    <w:rsid w:val="0075548A"/>
    <w:rsid w:val="00757335"/>
    <w:rsid w:val="00760360"/>
    <w:rsid w:val="007613E1"/>
    <w:rsid w:val="00761522"/>
    <w:rsid w:val="00762E9C"/>
    <w:rsid w:val="00764F3A"/>
    <w:rsid w:val="00770689"/>
    <w:rsid w:val="00772951"/>
    <w:rsid w:val="007752C1"/>
    <w:rsid w:val="0077623A"/>
    <w:rsid w:val="007771AD"/>
    <w:rsid w:val="007818E5"/>
    <w:rsid w:val="00784103"/>
    <w:rsid w:val="00784C0B"/>
    <w:rsid w:val="007910B2"/>
    <w:rsid w:val="007964A2"/>
    <w:rsid w:val="007970F7"/>
    <w:rsid w:val="007A0496"/>
    <w:rsid w:val="007A2054"/>
    <w:rsid w:val="007A2D2F"/>
    <w:rsid w:val="007A6F27"/>
    <w:rsid w:val="007A7979"/>
    <w:rsid w:val="007A7D3B"/>
    <w:rsid w:val="007B0321"/>
    <w:rsid w:val="007B183D"/>
    <w:rsid w:val="007B1D69"/>
    <w:rsid w:val="007C165F"/>
    <w:rsid w:val="007C1DCB"/>
    <w:rsid w:val="007C29FD"/>
    <w:rsid w:val="007C542D"/>
    <w:rsid w:val="007D2377"/>
    <w:rsid w:val="007D2D9B"/>
    <w:rsid w:val="007D3342"/>
    <w:rsid w:val="007D733B"/>
    <w:rsid w:val="007E22C2"/>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824"/>
    <w:rsid w:val="0082792B"/>
    <w:rsid w:val="008303A2"/>
    <w:rsid w:val="00831997"/>
    <w:rsid w:val="00831E3F"/>
    <w:rsid w:val="00831F99"/>
    <w:rsid w:val="00833913"/>
    <w:rsid w:val="00835A94"/>
    <w:rsid w:val="00836835"/>
    <w:rsid w:val="00836FB4"/>
    <w:rsid w:val="00837B67"/>
    <w:rsid w:val="00837BEB"/>
    <w:rsid w:val="0084055A"/>
    <w:rsid w:val="00851C18"/>
    <w:rsid w:val="00852D9B"/>
    <w:rsid w:val="00856B05"/>
    <w:rsid w:val="00863EF0"/>
    <w:rsid w:val="00864F1C"/>
    <w:rsid w:val="00872803"/>
    <w:rsid w:val="00872BA2"/>
    <w:rsid w:val="00877E32"/>
    <w:rsid w:val="0088063C"/>
    <w:rsid w:val="00881039"/>
    <w:rsid w:val="00883AAA"/>
    <w:rsid w:val="00890980"/>
    <w:rsid w:val="00892EBC"/>
    <w:rsid w:val="00894E39"/>
    <w:rsid w:val="00895418"/>
    <w:rsid w:val="008957D9"/>
    <w:rsid w:val="0089788C"/>
    <w:rsid w:val="00897AF8"/>
    <w:rsid w:val="008A202D"/>
    <w:rsid w:val="008A5FCC"/>
    <w:rsid w:val="008B4846"/>
    <w:rsid w:val="008B5689"/>
    <w:rsid w:val="008B5DBC"/>
    <w:rsid w:val="008B749E"/>
    <w:rsid w:val="008C09B5"/>
    <w:rsid w:val="008C1F20"/>
    <w:rsid w:val="008C2D17"/>
    <w:rsid w:val="008C3E75"/>
    <w:rsid w:val="008C5F38"/>
    <w:rsid w:val="008C6B0E"/>
    <w:rsid w:val="008C6FC8"/>
    <w:rsid w:val="008C7870"/>
    <w:rsid w:val="008D4971"/>
    <w:rsid w:val="008D77FD"/>
    <w:rsid w:val="008E16CE"/>
    <w:rsid w:val="008E1E77"/>
    <w:rsid w:val="008E6A92"/>
    <w:rsid w:val="008F1D37"/>
    <w:rsid w:val="008F4BDD"/>
    <w:rsid w:val="008F7897"/>
    <w:rsid w:val="00900302"/>
    <w:rsid w:val="0090296E"/>
    <w:rsid w:val="00902E31"/>
    <w:rsid w:val="0090379A"/>
    <w:rsid w:val="00906C03"/>
    <w:rsid w:val="0091354B"/>
    <w:rsid w:val="00913E49"/>
    <w:rsid w:val="009147FF"/>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6763"/>
    <w:rsid w:val="00957BCF"/>
    <w:rsid w:val="009625F6"/>
    <w:rsid w:val="009627F9"/>
    <w:rsid w:val="009658D6"/>
    <w:rsid w:val="009676D8"/>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5B58"/>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162F"/>
    <w:rsid w:val="009D1776"/>
    <w:rsid w:val="009D5976"/>
    <w:rsid w:val="009D5A80"/>
    <w:rsid w:val="009D79AE"/>
    <w:rsid w:val="009E040A"/>
    <w:rsid w:val="009E2345"/>
    <w:rsid w:val="009E40AA"/>
    <w:rsid w:val="009E4E40"/>
    <w:rsid w:val="009E710F"/>
    <w:rsid w:val="009F206C"/>
    <w:rsid w:val="00A00B50"/>
    <w:rsid w:val="00A00E20"/>
    <w:rsid w:val="00A0253A"/>
    <w:rsid w:val="00A02A94"/>
    <w:rsid w:val="00A03293"/>
    <w:rsid w:val="00A03ADC"/>
    <w:rsid w:val="00A10193"/>
    <w:rsid w:val="00A10AC7"/>
    <w:rsid w:val="00A10DF8"/>
    <w:rsid w:val="00A11201"/>
    <w:rsid w:val="00A12A9B"/>
    <w:rsid w:val="00A14055"/>
    <w:rsid w:val="00A14E15"/>
    <w:rsid w:val="00A23BB2"/>
    <w:rsid w:val="00A24540"/>
    <w:rsid w:val="00A27388"/>
    <w:rsid w:val="00A300BF"/>
    <w:rsid w:val="00A3255E"/>
    <w:rsid w:val="00A3267D"/>
    <w:rsid w:val="00A331C8"/>
    <w:rsid w:val="00A43E28"/>
    <w:rsid w:val="00A44451"/>
    <w:rsid w:val="00A46428"/>
    <w:rsid w:val="00A46BDC"/>
    <w:rsid w:val="00A5105C"/>
    <w:rsid w:val="00A52415"/>
    <w:rsid w:val="00A57B01"/>
    <w:rsid w:val="00A60B2E"/>
    <w:rsid w:val="00A61566"/>
    <w:rsid w:val="00A6188E"/>
    <w:rsid w:val="00A62E69"/>
    <w:rsid w:val="00A67499"/>
    <w:rsid w:val="00A716CD"/>
    <w:rsid w:val="00A744D1"/>
    <w:rsid w:val="00A745E3"/>
    <w:rsid w:val="00A76173"/>
    <w:rsid w:val="00A762E1"/>
    <w:rsid w:val="00A77AE4"/>
    <w:rsid w:val="00A806F4"/>
    <w:rsid w:val="00A81FA6"/>
    <w:rsid w:val="00A84E31"/>
    <w:rsid w:val="00A8697D"/>
    <w:rsid w:val="00A873DD"/>
    <w:rsid w:val="00A9059D"/>
    <w:rsid w:val="00A943AF"/>
    <w:rsid w:val="00A96B58"/>
    <w:rsid w:val="00AA0175"/>
    <w:rsid w:val="00AA0A83"/>
    <w:rsid w:val="00AA25E4"/>
    <w:rsid w:val="00AA3112"/>
    <w:rsid w:val="00AA33FB"/>
    <w:rsid w:val="00AA6162"/>
    <w:rsid w:val="00AA733A"/>
    <w:rsid w:val="00AA78DC"/>
    <w:rsid w:val="00AA7F1A"/>
    <w:rsid w:val="00AB25F9"/>
    <w:rsid w:val="00AB2F51"/>
    <w:rsid w:val="00AB2FDC"/>
    <w:rsid w:val="00AB6229"/>
    <w:rsid w:val="00AC1689"/>
    <w:rsid w:val="00AC1FDD"/>
    <w:rsid w:val="00AC4D72"/>
    <w:rsid w:val="00AC4F4B"/>
    <w:rsid w:val="00AC71A6"/>
    <w:rsid w:val="00AD15B2"/>
    <w:rsid w:val="00AD24FE"/>
    <w:rsid w:val="00AD362B"/>
    <w:rsid w:val="00AD4B24"/>
    <w:rsid w:val="00AD6D51"/>
    <w:rsid w:val="00AE1B54"/>
    <w:rsid w:val="00AE2FF1"/>
    <w:rsid w:val="00AE36A3"/>
    <w:rsid w:val="00AE515D"/>
    <w:rsid w:val="00AE64C1"/>
    <w:rsid w:val="00AF3041"/>
    <w:rsid w:val="00AF48CD"/>
    <w:rsid w:val="00AF5E69"/>
    <w:rsid w:val="00AF5FAD"/>
    <w:rsid w:val="00AF6022"/>
    <w:rsid w:val="00AF7EC8"/>
    <w:rsid w:val="00B015A7"/>
    <w:rsid w:val="00B01F89"/>
    <w:rsid w:val="00B053D9"/>
    <w:rsid w:val="00B06556"/>
    <w:rsid w:val="00B06B85"/>
    <w:rsid w:val="00B11F31"/>
    <w:rsid w:val="00B12AB1"/>
    <w:rsid w:val="00B12C14"/>
    <w:rsid w:val="00B14090"/>
    <w:rsid w:val="00B16F92"/>
    <w:rsid w:val="00B21E7A"/>
    <w:rsid w:val="00B21EA3"/>
    <w:rsid w:val="00B2296E"/>
    <w:rsid w:val="00B328E5"/>
    <w:rsid w:val="00B3388D"/>
    <w:rsid w:val="00B34168"/>
    <w:rsid w:val="00B345D9"/>
    <w:rsid w:val="00B34DF8"/>
    <w:rsid w:val="00B37B14"/>
    <w:rsid w:val="00B43D0A"/>
    <w:rsid w:val="00B44303"/>
    <w:rsid w:val="00B47D07"/>
    <w:rsid w:val="00B5144B"/>
    <w:rsid w:val="00B5170B"/>
    <w:rsid w:val="00B53992"/>
    <w:rsid w:val="00B53D6E"/>
    <w:rsid w:val="00B679D3"/>
    <w:rsid w:val="00B67FEA"/>
    <w:rsid w:val="00B708AD"/>
    <w:rsid w:val="00B710D2"/>
    <w:rsid w:val="00B7113C"/>
    <w:rsid w:val="00B712CC"/>
    <w:rsid w:val="00B723DF"/>
    <w:rsid w:val="00B731DE"/>
    <w:rsid w:val="00B734C3"/>
    <w:rsid w:val="00B74252"/>
    <w:rsid w:val="00B7678B"/>
    <w:rsid w:val="00B77533"/>
    <w:rsid w:val="00B77B05"/>
    <w:rsid w:val="00B85149"/>
    <w:rsid w:val="00B85A12"/>
    <w:rsid w:val="00B86498"/>
    <w:rsid w:val="00B9063F"/>
    <w:rsid w:val="00B945D4"/>
    <w:rsid w:val="00B94BAD"/>
    <w:rsid w:val="00BA1325"/>
    <w:rsid w:val="00BA5870"/>
    <w:rsid w:val="00BA679F"/>
    <w:rsid w:val="00BB0399"/>
    <w:rsid w:val="00BB0CBB"/>
    <w:rsid w:val="00BB0EFB"/>
    <w:rsid w:val="00BB3223"/>
    <w:rsid w:val="00BB4344"/>
    <w:rsid w:val="00BB5D61"/>
    <w:rsid w:val="00BC2B27"/>
    <w:rsid w:val="00BC3B27"/>
    <w:rsid w:val="00BC4C9B"/>
    <w:rsid w:val="00BC609B"/>
    <w:rsid w:val="00BC7BEA"/>
    <w:rsid w:val="00BD209D"/>
    <w:rsid w:val="00BD6641"/>
    <w:rsid w:val="00BE467F"/>
    <w:rsid w:val="00BE4DAD"/>
    <w:rsid w:val="00BE5E4B"/>
    <w:rsid w:val="00BE6C2B"/>
    <w:rsid w:val="00BE716C"/>
    <w:rsid w:val="00BE7990"/>
    <w:rsid w:val="00BF1AB9"/>
    <w:rsid w:val="00BF29E1"/>
    <w:rsid w:val="00BF2F12"/>
    <w:rsid w:val="00BF30AB"/>
    <w:rsid w:val="00BF3A82"/>
    <w:rsid w:val="00BF4C9A"/>
    <w:rsid w:val="00BF58CF"/>
    <w:rsid w:val="00C0339F"/>
    <w:rsid w:val="00C0411C"/>
    <w:rsid w:val="00C057FE"/>
    <w:rsid w:val="00C07331"/>
    <w:rsid w:val="00C10955"/>
    <w:rsid w:val="00C11B85"/>
    <w:rsid w:val="00C13C70"/>
    <w:rsid w:val="00C22BC5"/>
    <w:rsid w:val="00C23063"/>
    <w:rsid w:val="00C23DAA"/>
    <w:rsid w:val="00C24103"/>
    <w:rsid w:val="00C267D7"/>
    <w:rsid w:val="00C31877"/>
    <w:rsid w:val="00C31885"/>
    <w:rsid w:val="00C347A8"/>
    <w:rsid w:val="00C4222C"/>
    <w:rsid w:val="00C42BB6"/>
    <w:rsid w:val="00C430F8"/>
    <w:rsid w:val="00C43515"/>
    <w:rsid w:val="00C46BC0"/>
    <w:rsid w:val="00C53B91"/>
    <w:rsid w:val="00C53EBB"/>
    <w:rsid w:val="00C5610C"/>
    <w:rsid w:val="00C60694"/>
    <w:rsid w:val="00C620D3"/>
    <w:rsid w:val="00C62687"/>
    <w:rsid w:val="00C64195"/>
    <w:rsid w:val="00C64773"/>
    <w:rsid w:val="00C73A21"/>
    <w:rsid w:val="00C76728"/>
    <w:rsid w:val="00C76F72"/>
    <w:rsid w:val="00C77A75"/>
    <w:rsid w:val="00C80771"/>
    <w:rsid w:val="00C836EC"/>
    <w:rsid w:val="00C84368"/>
    <w:rsid w:val="00C844F7"/>
    <w:rsid w:val="00C84D0E"/>
    <w:rsid w:val="00C859C7"/>
    <w:rsid w:val="00C8680A"/>
    <w:rsid w:val="00C87B56"/>
    <w:rsid w:val="00C87D7F"/>
    <w:rsid w:val="00C91002"/>
    <w:rsid w:val="00C93462"/>
    <w:rsid w:val="00C97041"/>
    <w:rsid w:val="00C97042"/>
    <w:rsid w:val="00C979F3"/>
    <w:rsid w:val="00CA06CE"/>
    <w:rsid w:val="00CA0EED"/>
    <w:rsid w:val="00CA0F8C"/>
    <w:rsid w:val="00CA2794"/>
    <w:rsid w:val="00CB1364"/>
    <w:rsid w:val="00CB3215"/>
    <w:rsid w:val="00CB38A0"/>
    <w:rsid w:val="00CB630A"/>
    <w:rsid w:val="00CB65EF"/>
    <w:rsid w:val="00CB6DBB"/>
    <w:rsid w:val="00CB72F5"/>
    <w:rsid w:val="00CC03E3"/>
    <w:rsid w:val="00CC0D0A"/>
    <w:rsid w:val="00CC1B7D"/>
    <w:rsid w:val="00CC3D8E"/>
    <w:rsid w:val="00CC41DA"/>
    <w:rsid w:val="00CC5AB4"/>
    <w:rsid w:val="00CC6C4E"/>
    <w:rsid w:val="00CC6EA3"/>
    <w:rsid w:val="00CD49EC"/>
    <w:rsid w:val="00CE313B"/>
    <w:rsid w:val="00CE475C"/>
    <w:rsid w:val="00CE7AEB"/>
    <w:rsid w:val="00CE7E3D"/>
    <w:rsid w:val="00CF0ECB"/>
    <w:rsid w:val="00CF1D5A"/>
    <w:rsid w:val="00CF3C7B"/>
    <w:rsid w:val="00D0254C"/>
    <w:rsid w:val="00D02A61"/>
    <w:rsid w:val="00D02D91"/>
    <w:rsid w:val="00D038F3"/>
    <w:rsid w:val="00D0438E"/>
    <w:rsid w:val="00D06225"/>
    <w:rsid w:val="00D075C8"/>
    <w:rsid w:val="00D126B7"/>
    <w:rsid w:val="00D13636"/>
    <w:rsid w:val="00D14F5B"/>
    <w:rsid w:val="00D17713"/>
    <w:rsid w:val="00D17CB6"/>
    <w:rsid w:val="00D20356"/>
    <w:rsid w:val="00D20FFB"/>
    <w:rsid w:val="00D2478F"/>
    <w:rsid w:val="00D260F8"/>
    <w:rsid w:val="00D26D78"/>
    <w:rsid w:val="00D3214A"/>
    <w:rsid w:val="00D32E6E"/>
    <w:rsid w:val="00D33037"/>
    <w:rsid w:val="00D350D0"/>
    <w:rsid w:val="00D41699"/>
    <w:rsid w:val="00D445FA"/>
    <w:rsid w:val="00D4503A"/>
    <w:rsid w:val="00D4520B"/>
    <w:rsid w:val="00D4777B"/>
    <w:rsid w:val="00D54752"/>
    <w:rsid w:val="00D56B8F"/>
    <w:rsid w:val="00D5791A"/>
    <w:rsid w:val="00D60BDF"/>
    <w:rsid w:val="00D60DC5"/>
    <w:rsid w:val="00D6151B"/>
    <w:rsid w:val="00D61780"/>
    <w:rsid w:val="00D623EB"/>
    <w:rsid w:val="00D637FE"/>
    <w:rsid w:val="00D63F04"/>
    <w:rsid w:val="00D66D1C"/>
    <w:rsid w:val="00D72133"/>
    <w:rsid w:val="00D73FB7"/>
    <w:rsid w:val="00D73FB9"/>
    <w:rsid w:val="00D75FCF"/>
    <w:rsid w:val="00D76B66"/>
    <w:rsid w:val="00D773D0"/>
    <w:rsid w:val="00D77DC0"/>
    <w:rsid w:val="00D80073"/>
    <w:rsid w:val="00D80EB6"/>
    <w:rsid w:val="00D81A8E"/>
    <w:rsid w:val="00D8329D"/>
    <w:rsid w:val="00D83715"/>
    <w:rsid w:val="00D84A3A"/>
    <w:rsid w:val="00D863CC"/>
    <w:rsid w:val="00D87B9A"/>
    <w:rsid w:val="00D90D24"/>
    <w:rsid w:val="00D90EBF"/>
    <w:rsid w:val="00D956BD"/>
    <w:rsid w:val="00D9611D"/>
    <w:rsid w:val="00D97463"/>
    <w:rsid w:val="00D9773D"/>
    <w:rsid w:val="00D97C6C"/>
    <w:rsid w:val="00DA09EB"/>
    <w:rsid w:val="00DA4B88"/>
    <w:rsid w:val="00DA7EEA"/>
    <w:rsid w:val="00DB304D"/>
    <w:rsid w:val="00DB3AAA"/>
    <w:rsid w:val="00DC2D48"/>
    <w:rsid w:val="00DC3253"/>
    <w:rsid w:val="00DC5FA6"/>
    <w:rsid w:val="00DC6760"/>
    <w:rsid w:val="00DD30F7"/>
    <w:rsid w:val="00DD388E"/>
    <w:rsid w:val="00DD60C4"/>
    <w:rsid w:val="00DD736C"/>
    <w:rsid w:val="00DE5657"/>
    <w:rsid w:val="00DF0316"/>
    <w:rsid w:val="00DF0E5F"/>
    <w:rsid w:val="00DF11D0"/>
    <w:rsid w:val="00DF519C"/>
    <w:rsid w:val="00DF57DB"/>
    <w:rsid w:val="00E00339"/>
    <w:rsid w:val="00E014FE"/>
    <w:rsid w:val="00E025F4"/>
    <w:rsid w:val="00E04238"/>
    <w:rsid w:val="00E076E5"/>
    <w:rsid w:val="00E10F45"/>
    <w:rsid w:val="00E12E0B"/>
    <w:rsid w:val="00E1539A"/>
    <w:rsid w:val="00E16ECF"/>
    <w:rsid w:val="00E206EA"/>
    <w:rsid w:val="00E230B4"/>
    <w:rsid w:val="00E24CCA"/>
    <w:rsid w:val="00E254A0"/>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6068D"/>
    <w:rsid w:val="00E61C32"/>
    <w:rsid w:val="00E704F7"/>
    <w:rsid w:val="00E70C45"/>
    <w:rsid w:val="00E73382"/>
    <w:rsid w:val="00E75ABE"/>
    <w:rsid w:val="00E7646B"/>
    <w:rsid w:val="00E76542"/>
    <w:rsid w:val="00E76FF1"/>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D5D"/>
    <w:rsid w:val="00EA692F"/>
    <w:rsid w:val="00EB37A8"/>
    <w:rsid w:val="00EB40B0"/>
    <w:rsid w:val="00EB4443"/>
    <w:rsid w:val="00EB74BC"/>
    <w:rsid w:val="00EC16F8"/>
    <w:rsid w:val="00EC336E"/>
    <w:rsid w:val="00ED2C08"/>
    <w:rsid w:val="00ED3A64"/>
    <w:rsid w:val="00ED560D"/>
    <w:rsid w:val="00ED605B"/>
    <w:rsid w:val="00ED6B98"/>
    <w:rsid w:val="00ED6C94"/>
    <w:rsid w:val="00EE1040"/>
    <w:rsid w:val="00EE5B40"/>
    <w:rsid w:val="00EE7685"/>
    <w:rsid w:val="00EF0BF1"/>
    <w:rsid w:val="00EF0EA0"/>
    <w:rsid w:val="00EF35D0"/>
    <w:rsid w:val="00EF4C89"/>
    <w:rsid w:val="00EF5F9F"/>
    <w:rsid w:val="00EF64BD"/>
    <w:rsid w:val="00F0242A"/>
    <w:rsid w:val="00F05050"/>
    <w:rsid w:val="00F053EF"/>
    <w:rsid w:val="00F12FA6"/>
    <w:rsid w:val="00F141DF"/>
    <w:rsid w:val="00F15307"/>
    <w:rsid w:val="00F16041"/>
    <w:rsid w:val="00F17A7A"/>
    <w:rsid w:val="00F216B1"/>
    <w:rsid w:val="00F25611"/>
    <w:rsid w:val="00F30A87"/>
    <w:rsid w:val="00F31DA3"/>
    <w:rsid w:val="00F3371D"/>
    <w:rsid w:val="00F35CBE"/>
    <w:rsid w:val="00F406A9"/>
    <w:rsid w:val="00F40BF4"/>
    <w:rsid w:val="00F41942"/>
    <w:rsid w:val="00F4261F"/>
    <w:rsid w:val="00F43B0B"/>
    <w:rsid w:val="00F43BA6"/>
    <w:rsid w:val="00F51C02"/>
    <w:rsid w:val="00F5227C"/>
    <w:rsid w:val="00F54C78"/>
    <w:rsid w:val="00F55D28"/>
    <w:rsid w:val="00F566C7"/>
    <w:rsid w:val="00F57850"/>
    <w:rsid w:val="00F626E0"/>
    <w:rsid w:val="00F646A4"/>
    <w:rsid w:val="00F65C61"/>
    <w:rsid w:val="00F6667B"/>
    <w:rsid w:val="00F7027C"/>
    <w:rsid w:val="00F70333"/>
    <w:rsid w:val="00F73106"/>
    <w:rsid w:val="00F7494E"/>
    <w:rsid w:val="00F74B06"/>
    <w:rsid w:val="00F80AFA"/>
    <w:rsid w:val="00F8155F"/>
    <w:rsid w:val="00F82D92"/>
    <w:rsid w:val="00F860A4"/>
    <w:rsid w:val="00F86357"/>
    <w:rsid w:val="00F93C02"/>
    <w:rsid w:val="00F95C7C"/>
    <w:rsid w:val="00FA106A"/>
    <w:rsid w:val="00FA13BE"/>
    <w:rsid w:val="00FA1A86"/>
    <w:rsid w:val="00FA1B4B"/>
    <w:rsid w:val="00FA384A"/>
    <w:rsid w:val="00FA4229"/>
    <w:rsid w:val="00FA65D1"/>
    <w:rsid w:val="00FA6CA0"/>
    <w:rsid w:val="00FA701F"/>
    <w:rsid w:val="00FB01B3"/>
    <w:rsid w:val="00FB5013"/>
    <w:rsid w:val="00FB507A"/>
    <w:rsid w:val="00FB6A28"/>
    <w:rsid w:val="00FB76CD"/>
    <w:rsid w:val="00FC662C"/>
    <w:rsid w:val="00FD2F99"/>
    <w:rsid w:val="00FD3B61"/>
    <w:rsid w:val="00FD5E0B"/>
    <w:rsid w:val="00FE4B51"/>
    <w:rsid w:val="00FE5772"/>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5605097555576639"/>
          <c:y val="0.10173983061432204"/>
          <c:w val="0.59552418752533987"/>
          <c:h val="0.82097792726096053"/>
        </c:manualLayout>
      </c:layout>
      <c:pieChart>
        <c:varyColors val="1"/>
        <c:ser>
          <c:idx val="0"/>
          <c:order val="0"/>
          <c:tx>
            <c:strRef>
              <c:f>Sheet1!$B$1</c:f>
              <c:strCache>
                <c:ptCount val="1"/>
                <c:pt idx="0">
                  <c:v>2020-Q4</c:v>
                </c:pt>
              </c:strCache>
            </c:strRef>
          </c:tx>
          <c:spPr>
            <a:ln w="6350">
              <a:solidFill>
                <a:schemeClr val="tx1">
                  <a:lumMod val="65000"/>
                  <a:lumOff val="35000"/>
                </a:schemeClr>
              </a:solidFill>
            </a:ln>
          </c:spPr>
          <c:dPt>
            <c:idx val="0"/>
            <c:bubble3D val="0"/>
            <c:spPr>
              <a:solidFill>
                <a:schemeClr val="accent6">
                  <a:shade val="53000"/>
                </a:schemeClr>
              </a:solidFill>
              <a:ln w="6350">
                <a:solidFill>
                  <a:schemeClr val="tx1">
                    <a:lumMod val="65000"/>
                    <a:lumOff val="35000"/>
                  </a:schemeClr>
                </a:solidFill>
              </a:ln>
              <a:effectLst/>
            </c:spPr>
            <c:extLst>
              <c:ext xmlns:c16="http://schemas.microsoft.com/office/drawing/2014/chart" uri="{C3380CC4-5D6E-409C-BE32-E72D297353CC}">
                <c16:uniqueId val="{00000001-1B88-468F-B926-1611BD07E22A}"/>
              </c:ext>
            </c:extLst>
          </c:dPt>
          <c:dPt>
            <c:idx val="1"/>
            <c:bubble3D val="0"/>
            <c:spPr>
              <a:solidFill>
                <a:schemeClr val="accent6">
                  <a:shade val="76000"/>
                </a:schemeClr>
              </a:solidFill>
              <a:ln w="6350">
                <a:solidFill>
                  <a:schemeClr val="tx1">
                    <a:lumMod val="65000"/>
                    <a:lumOff val="35000"/>
                  </a:schemeClr>
                </a:solidFill>
              </a:ln>
              <a:effectLst/>
            </c:spPr>
            <c:extLst>
              <c:ext xmlns:c16="http://schemas.microsoft.com/office/drawing/2014/chart" uri="{C3380CC4-5D6E-409C-BE32-E72D297353CC}">
                <c16:uniqueId val="{00000003-1B88-468F-B926-1611BD07E22A}"/>
              </c:ext>
            </c:extLst>
          </c:dPt>
          <c:dPt>
            <c:idx val="2"/>
            <c:bubble3D val="0"/>
            <c:spPr>
              <a:solidFill>
                <a:schemeClr val="accent6"/>
              </a:solidFill>
              <a:ln w="6350">
                <a:solidFill>
                  <a:schemeClr val="tx1">
                    <a:lumMod val="65000"/>
                    <a:lumOff val="35000"/>
                  </a:schemeClr>
                </a:solidFill>
              </a:ln>
              <a:effectLst/>
            </c:spPr>
            <c:extLst>
              <c:ext xmlns:c16="http://schemas.microsoft.com/office/drawing/2014/chart" uri="{C3380CC4-5D6E-409C-BE32-E72D297353CC}">
                <c16:uniqueId val="{00000005-1B88-468F-B926-1611BD07E22A}"/>
              </c:ext>
            </c:extLst>
          </c:dPt>
          <c:dPt>
            <c:idx val="3"/>
            <c:bubble3D val="0"/>
            <c:spPr>
              <a:solidFill>
                <a:schemeClr val="accent6">
                  <a:tint val="77000"/>
                </a:schemeClr>
              </a:solidFill>
              <a:ln w="6350">
                <a:solidFill>
                  <a:schemeClr val="tx1">
                    <a:lumMod val="65000"/>
                    <a:lumOff val="35000"/>
                  </a:schemeClr>
                </a:solidFill>
              </a:ln>
              <a:effectLst/>
            </c:spPr>
            <c:extLst>
              <c:ext xmlns:c16="http://schemas.microsoft.com/office/drawing/2014/chart" uri="{C3380CC4-5D6E-409C-BE32-E72D297353CC}">
                <c16:uniqueId val="{00000007-1B88-468F-B926-1611BD07E22A}"/>
              </c:ext>
            </c:extLst>
          </c:dPt>
          <c:dPt>
            <c:idx val="4"/>
            <c:bubble3D val="0"/>
            <c:spPr>
              <a:solidFill>
                <a:schemeClr val="accent6">
                  <a:tint val="54000"/>
                </a:schemeClr>
              </a:solidFill>
              <a:ln w="6350">
                <a:solidFill>
                  <a:schemeClr val="tx1">
                    <a:lumMod val="65000"/>
                    <a:lumOff val="35000"/>
                  </a:schemeClr>
                </a:solidFill>
              </a:ln>
              <a:effectLst/>
            </c:spPr>
            <c:extLst>
              <c:ext xmlns:c16="http://schemas.microsoft.com/office/drawing/2014/chart" uri="{C3380CC4-5D6E-409C-BE32-E72D297353CC}">
                <c16:uniqueId val="{00000009-1B88-468F-B926-1611BD07E22A}"/>
              </c:ext>
            </c:extLst>
          </c:dPt>
          <c:dPt>
            <c:idx val="5"/>
            <c:bubble3D val="0"/>
            <c:spPr>
              <a:solidFill>
                <a:schemeClr val="accent6">
                  <a:tint val="30000"/>
                </a:schemeClr>
              </a:solidFill>
              <a:ln w="6350">
                <a:solidFill>
                  <a:schemeClr val="tx1">
                    <a:lumMod val="65000"/>
                    <a:lumOff val="35000"/>
                  </a:schemeClr>
                </a:solidFill>
              </a:ln>
              <a:effectLst/>
            </c:spPr>
            <c:extLst>
              <c:ext xmlns:c16="http://schemas.microsoft.com/office/drawing/2014/chart" uri="{C3380CC4-5D6E-409C-BE32-E72D297353CC}">
                <c16:uniqueId val="{0000000B-1B88-468F-B926-1611BD07E22A}"/>
              </c:ext>
            </c:extLst>
          </c:dPt>
          <c:dPt>
            <c:idx val="6"/>
            <c:bubble3D val="0"/>
            <c:spPr>
              <a:solidFill>
                <a:schemeClr val="accent6">
                  <a:tint val="7000"/>
                </a:schemeClr>
              </a:solidFill>
              <a:ln w="6350">
                <a:solidFill>
                  <a:schemeClr val="tx1">
                    <a:lumMod val="65000"/>
                    <a:lumOff val="35000"/>
                  </a:schemeClr>
                </a:solidFill>
              </a:ln>
              <a:effectLst/>
            </c:spPr>
            <c:extLst>
              <c:ext xmlns:c16="http://schemas.microsoft.com/office/drawing/2014/chart" uri="{C3380CC4-5D6E-409C-BE32-E72D297353CC}">
                <c16:uniqueId val="{0000000D-1B88-468F-B926-1611BD07E22A}"/>
              </c:ext>
            </c:extLst>
          </c:dPt>
          <c:dPt>
            <c:idx val="7"/>
            <c:bubble3D val="0"/>
            <c:spPr>
              <a:solidFill>
                <a:schemeClr val="accent6">
                  <a:tint val="84000"/>
                </a:schemeClr>
              </a:solidFill>
              <a:ln w="6350">
                <a:solidFill>
                  <a:schemeClr val="tx1">
                    <a:lumMod val="65000"/>
                    <a:lumOff val="35000"/>
                  </a:schemeClr>
                </a:solidFill>
              </a:ln>
              <a:effectLst/>
            </c:spPr>
            <c:extLst>
              <c:ext xmlns:c16="http://schemas.microsoft.com/office/drawing/2014/chart" uri="{C3380CC4-5D6E-409C-BE32-E72D297353CC}">
                <c16:uniqueId val="{0000000F-1B88-468F-B926-1611BD07E22A}"/>
              </c:ext>
            </c:extLst>
          </c:dPt>
          <c:dPt>
            <c:idx val="8"/>
            <c:bubble3D val="0"/>
            <c:spPr>
              <a:solidFill>
                <a:schemeClr val="accent6">
                  <a:tint val="60000"/>
                </a:schemeClr>
              </a:solidFill>
              <a:ln w="6350">
                <a:solidFill>
                  <a:schemeClr val="tx1">
                    <a:lumMod val="65000"/>
                    <a:lumOff val="35000"/>
                  </a:schemeClr>
                </a:solidFill>
              </a:ln>
              <a:effectLst/>
            </c:spPr>
            <c:extLst>
              <c:ext xmlns:c16="http://schemas.microsoft.com/office/drawing/2014/chart" uri="{C3380CC4-5D6E-409C-BE32-E72D297353CC}">
                <c16:uniqueId val="{00000011-1B88-468F-B926-1611BD07E22A}"/>
              </c:ext>
            </c:extLst>
          </c:dPt>
          <c:dLbls>
            <c:dLbl>
              <c:idx val="0"/>
              <c:layout>
                <c:manualLayout>
                  <c:x val="-6.0242544983081792E-3"/>
                  <c:y val="-0.17597242632892285"/>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759858330961642"/>
                      <c:h val="0.26766498095939156"/>
                    </c:manualLayout>
                  </c15:layout>
                </c:ext>
                <c:ext xmlns:c16="http://schemas.microsoft.com/office/drawing/2014/chart" uri="{C3380CC4-5D6E-409C-BE32-E72D297353CC}">
                  <c16:uniqueId val="{00000001-1B88-468F-B926-1611BD07E22A}"/>
                </c:ext>
              </c:extLst>
            </c:dLbl>
            <c:dLbl>
              <c:idx val="1"/>
              <c:layout>
                <c:manualLayout>
                  <c:x val="0.37120766530689675"/>
                  <c:y val="-2.256916670431383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254593175853017"/>
                      <c:h val="0.23028533009479116"/>
                    </c:manualLayout>
                  </c15:layout>
                </c:ext>
                <c:ext xmlns:c16="http://schemas.microsoft.com/office/drawing/2014/chart" uri="{C3380CC4-5D6E-409C-BE32-E72D297353CC}">
                  <c16:uniqueId val="{00000003-1B88-468F-B926-1611BD07E22A}"/>
                </c:ext>
              </c:extLst>
            </c:dLbl>
            <c:dLbl>
              <c:idx val="2"/>
              <c:layout>
                <c:manualLayout>
                  <c:x val="-2.360971444834456E-2"/>
                  <c:y val="-2.3624970435901109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148784112829272"/>
                      <c:h val="0.18501412433131983"/>
                    </c:manualLayout>
                  </c15:layout>
                </c:ext>
                <c:ext xmlns:c16="http://schemas.microsoft.com/office/drawing/2014/chart" uri="{C3380CC4-5D6E-409C-BE32-E72D297353CC}">
                  <c16:uniqueId val="{00000005-1B88-468F-B926-1611BD07E22A}"/>
                </c:ext>
              </c:extLst>
            </c:dLbl>
            <c:dLbl>
              <c:idx val="3"/>
              <c:layout>
                <c:manualLayout>
                  <c:x val="-2.2249757647076533E-2"/>
                  <c:y val="3.986064347424002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367232710369036"/>
                      <c:h val="0.21884820927927373"/>
                    </c:manualLayout>
                  </c15:layout>
                </c:ext>
                <c:ext xmlns:c16="http://schemas.microsoft.com/office/drawing/2014/chart" uri="{C3380CC4-5D6E-409C-BE32-E72D297353CC}">
                  <c16:uniqueId val="{00000007-1B88-468F-B926-1611BD07E22A}"/>
                </c:ext>
              </c:extLst>
            </c:dLbl>
            <c:dLbl>
              <c:idx val="4"/>
              <c:layout>
                <c:manualLayout>
                  <c:x val="-3.9328653195459001E-2"/>
                  <c:y val="-2.660529735504290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23189585586134417"/>
                      <c:h val="0.12208311963029596"/>
                    </c:manualLayout>
                  </c15:layout>
                </c:ext>
                <c:ext xmlns:c16="http://schemas.microsoft.com/office/drawing/2014/chart" uri="{C3380CC4-5D6E-409C-BE32-E72D297353CC}">
                  <c16:uniqueId val="{00000009-1B88-468F-B926-1611BD07E22A}"/>
                </c:ext>
              </c:extLst>
            </c:dLbl>
            <c:dLbl>
              <c:idx val="5"/>
              <c:layout>
                <c:manualLayout>
                  <c:x val="-2.5722776326677705E-2"/>
                  <c:y val="-3.6530293919802251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543421313148236"/>
                      <c:h val="0.11008474598791924"/>
                    </c:manualLayout>
                  </c15:layout>
                </c:ext>
                <c:ext xmlns:c16="http://schemas.microsoft.com/office/drawing/2014/chart" uri="{C3380CC4-5D6E-409C-BE32-E72D297353CC}">
                  <c16:uniqueId val="{0000000B-1B88-468F-B926-1611BD07E22A}"/>
                </c:ext>
              </c:extLst>
            </c:dLbl>
            <c:dLbl>
              <c:idx val="6"/>
              <c:layout>
                <c:manualLayout>
                  <c:x val="-3.1823805227471566E-2"/>
                  <c:y val="2.454368776422031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6785973042432198"/>
                      <c:h val="0.17672707419206188"/>
                    </c:manualLayout>
                  </c15:layout>
                </c:ext>
                <c:ext xmlns:c16="http://schemas.microsoft.com/office/drawing/2014/chart" uri="{C3380CC4-5D6E-409C-BE32-E72D297353CC}">
                  <c16:uniqueId val="{0000000D-1B88-468F-B926-1611BD07E22A}"/>
                </c:ext>
              </c:extLst>
            </c:dLbl>
            <c:dLbl>
              <c:idx val="7"/>
              <c:layout>
                <c:manualLayout>
                  <c:x val="-9.9826388888888895E-2"/>
                  <c:y val="-3.498702690789617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421006944444446"/>
                      <c:h val="0.10159033078880406"/>
                    </c:manualLayout>
                  </c15:layout>
                </c:ext>
                <c:ext xmlns:c16="http://schemas.microsoft.com/office/drawing/2014/chart" uri="{C3380CC4-5D6E-409C-BE32-E72D297353CC}">
                  <c16:uniqueId val="{0000000F-1B88-468F-B926-1611BD07E22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Sheet1!$A$2:$A$7</c:f>
              <c:strCache>
                <c:ptCount val="6"/>
                <c:pt idx="0">
                  <c:v>Passgr Veh., incl. Snowmobiles, ATVs</c:v>
                </c:pt>
                <c:pt idx="1">
                  <c:v>Parts, Accessories</c:v>
                </c:pt>
                <c:pt idx="2">
                  <c:v>Special Purpose</c:v>
                </c:pt>
                <c:pt idx="3">
                  <c:v>Veh. for 10+ Passgr</c:v>
                </c:pt>
                <c:pt idx="4">
                  <c:v>Tractors</c:v>
                </c:pt>
                <c:pt idx="5">
                  <c:v>Other</c:v>
                </c:pt>
              </c:strCache>
            </c:strRef>
          </c:cat>
          <c:val>
            <c:numRef>
              <c:f>Sheet1!$B$2:$B$7</c:f>
              <c:numCache>
                <c:formatCode>#,##0</c:formatCode>
                <c:ptCount val="6"/>
                <c:pt idx="0">
                  <c:v>138212965</c:v>
                </c:pt>
                <c:pt idx="1">
                  <c:v>113365202</c:v>
                </c:pt>
                <c:pt idx="2">
                  <c:v>38436804</c:v>
                </c:pt>
                <c:pt idx="3">
                  <c:v>24116233</c:v>
                </c:pt>
                <c:pt idx="4">
                  <c:v>14783796</c:v>
                </c:pt>
                <c:pt idx="5">
                  <c:v>43503669</c:v>
                </c:pt>
              </c:numCache>
            </c:numRef>
          </c:val>
          <c:extLst>
            <c:ext xmlns:c16="http://schemas.microsoft.com/office/drawing/2014/chart" uri="{C3380CC4-5D6E-409C-BE32-E72D297353CC}">
              <c16:uniqueId val="{00000012-1B88-468F-B926-1611BD07E22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0D10-ADD4-42E9-9B0B-D34B407B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Minnesota Quarterly Export Statistics, 1st Quarter 2019</vt:lpstr>
    </vt:vector>
  </TitlesOfParts>
  <Company>MN DEED</Company>
  <LinksUpToDate>false</LinksUpToDate>
  <CharactersWithSpaces>4643</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1st Quarter 2019</dc:title>
  <dc:subject>Minnesota Quarterly Export Statistics</dc:subject>
  <dc:creator>Economic Analysis Unit (T. Ho-Kim)</dc:creator>
  <dc:description>1st Quarter 2019</dc:description>
  <cp:lastModifiedBy>Ho-Kim, Thu-Mai (DEED)</cp:lastModifiedBy>
  <cp:revision>3</cp:revision>
  <cp:lastPrinted>2021-02-10T19:09:00Z</cp:lastPrinted>
  <dcterms:created xsi:type="dcterms:W3CDTF">2021-02-23T21:47:00Z</dcterms:created>
  <dcterms:modified xsi:type="dcterms:W3CDTF">2021-02-24T20:52:00Z</dcterms:modified>
</cp:coreProperties>
</file>