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07434" w14:textId="77777777" w:rsidR="001631FC" w:rsidRDefault="00D52CFB" w:rsidP="00AB6F70">
      <w:r>
        <w:br/>
      </w:r>
      <w:r w:rsidR="000055EB">
        <w:rPr>
          <w:noProof/>
        </w:rPr>
        <w:drawing>
          <wp:inline distT="0" distB="0" distL="0" distR="0" wp14:anchorId="6B4E940A" wp14:editId="409238F9">
            <wp:extent cx="6858000" cy="1292860"/>
            <wp:effectExtent l="0" t="0" r="0" b="2540"/>
            <wp:docPr id="3" name="Picture 3" descr="Banner with Minnesota Department of Employment and Economic Development logo  and title &quot;Survey of Minnesota Business Services Firms&quot;"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 Services New Header.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292860"/>
                    </a:xfrm>
                    <a:prstGeom prst="rect">
                      <a:avLst/>
                    </a:prstGeom>
                  </pic:spPr>
                </pic:pic>
              </a:graphicData>
            </a:graphic>
          </wp:inline>
        </w:drawing>
      </w:r>
    </w:p>
    <w:p w14:paraId="6896AFB4" w14:textId="64319D80" w:rsidR="008B388C" w:rsidRPr="00D60273" w:rsidRDefault="00AB6F70" w:rsidP="00E55E81">
      <w:pPr>
        <w:pStyle w:val="Heading1"/>
        <w:jc w:val="center"/>
        <w:rPr>
          <w:b/>
          <w:sz w:val="28"/>
          <w:szCs w:val="28"/>
        </w:rPr>
        <w:sectPr w:rsidR="008B388C" w:rsidRPr="00D60273" w:rsidSect="0070375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D60273">
        <w:rPr>
          <w:b/>
          <w:sz w:val="28"/>
          <w:szCs w:val="28"/>
        </w:rPr>
        <w:t>Minnesot</w:t>
      </w:r>
      <w:r w:rsidR="004A770C" w:rsidRPr="00D60273">
        <w:rPr>
          <w:b/>
          <w:sz w:val="28"/>
          <w:szCs w:val="28"/>
        </w:rPr>
        <w:t>a Business Services Firms</w:t>
      </w:r>
      <w:r w:rsidR="00E55E81" w:rsidRPr="00D60273">
        <w:rPr>
          <w:b/>
          <w:sz w:val="28"/>
          <w:szCs w:val="28"/>
        </w:rPr>
        <w:t xml:space="preserve"> Expect </w:t>
      </w:r>
      <w:r w:rsidR="00FC06ED">
        <w:rPr>
          <w:b/>
          <w:sz w:val="28"/>
          <w:szCs w:val="28"/>
        </w:rPr>
        <w:t xml:space="preserve">Recovery </w:t>
      </w:r>
    </w:p>
    <w:p w14:paraId="77DF6ACC" w14:textId="0FB16581" w:rsidR="00C067E2" w:rsidRPr="00B8390B" w:rsidRDefault="00396DC1" w:rsidP="00C067E2">
      <w:pPr>
        <w:spacing w:after="0" w:line="240" w:lineRule="auto"/>
      </w:pPr>
      <w:r w:rsidRPr="00B8390B">
        <w:t>Thanks to</w:t>
      </w:r>
      <w:r w:rsidR="00E55E81" w:rsidRPr="00B8390B">
        <w:t xml:space="preserve"> </w:t>
      </w:r>
      <w:r w:rsidR="001D69C4" w:rsidRPr="00B8390B">
        <w:t>recent COVID-19 vaccinations and business activity rebounding</w:t>
      </w:r>
      <w:r w:rsidR="00E55E81" w:rsidRPr="00B8390B">
        <w:t xml:space="preserve">, </w:t>
      </w:r>
      <w:r w:rsidR="004A770C" w:rsidRPr="00B8390B">
        <w:t xml:space="preserve">Minnesota business service firms </w:t>
      </w:r>
      <w:r w:rsidR="00BC5DD8" w:rsidRPr="00B8390B">
        <w:t>(</w:t>
      </w:r>
      <w:r w:rsidR="004A770C" w:rsidRPr="00B8390B">
        <w:t>such as engineers, accountants a</w:t>
      </w:r>
      <w:r w:rsidR="00E55E81" w:rsidRPr="00B8390B">
        <w:t>nd architects)</w:t>
      </w:r>
      <w:r w:rsidR="001D69C4" w:rsidRPr="00B8390B">
        <w:t xml:space="preserve"> expect recovery</w:t>
      </w:r>
      <w:r w:rsidR="00093843" w:rsidRPr="00B8390B">
        <w:t xml:space="preserve">. </w:t>
      </w:r>
      <w:r w:rsidRPr="00B8390B">
        <w:t>Fifty-five percent of respondents expect increase in consumer spending and 46% anticipate growth in employment.</w:t>
      </w:r>
    </w:p>
    <w:p w14:paraId="320085DB" w14:textId="6496A569" w:rsidR="007E666B" w:rsidRPr="00B8390B" w:rsidRDefault="00C067E2" w:rsidP="003F62BE">
      <w:pPr>
        <w:spacing w:after="0" w:line="240" w:lineRule="auto"/>
      </w:pPr>
      <w:r w:rsidRPr="00B8390B">
        <w:br/>
      </w:r>
      <w:r w:rsidR="00BC5DD8" w:rsidRPr="00B8390B">
        <w:t>These results come from a random sample of Minnesota businesse</w:t>
      </w:r>
      <w:r w:rsidR="006B6F5E" w:rsidRPr="00B8390B">
        <w:t xml:space="preserve">s service firms conducted in </w:t>
      </w:r>
      <w:r w:rsidR="00396DC1" w:rsidRPr="00B8390B">
        <w:t>May and June 2021,</w:t>
      </w:r>
      <w:r w:rsidR="00BC5DD8" w:rsidRPr="00B8390B">
        <w:t xml:space="preserve"> by the Minnesota Department of Employment and Economic </w:t>
      </w:r>
      <w:r w:rsidR="009B07B0" w:rsidRPr="00B8390B">
        <w:t>Development and the Federal Reserve Ban</w:t>
      </w:r>
      <w:r w:rsidR="006309E6" w:rsidRPr="00B8390B">
        <w:t>k in Minne</w:t>
      </w:r>
      <w:r w:rsidR="00D53E18" w:rsidRPr="00B8390B">
        <w:t>apolis</w:t>
      </w:r>
      <w:r w:rsidR="00CA4F8E" w:rsidRPr="00B8390B">
        <w:t>.</w:t>
      </w:r>
      <w:r w:rsidR="00CA4F8E" w:rsidRPr="00B8390B">
        <w:br/>
      </w:r>
      <w:r w:rsidR="003F62BE">
        <w:br/>
      </w:r>
      <w:r w:rsidRPr="00D60273">
        <w:rPr>
          <w:rStyle w:val="Heading2Char"/>
          <w:b/>
        </w:rPr>
        <w:t>Business Services Firms</w:t>
      </w:r>
      <w:r w:rsidR="008D3F64">
        <w:rPr>
          <w:rStyle w:val="Heading2Char"/>
          <w:b/>
        </w:rPr>
        <w:t xml:space="preserve">: </w:t>
      </w:r>
      <w:r w:rsidR="003368D3" w:rsidRPr="00D60273">
        <w:rPr>
          <w:rStyle w:val="Heading2Char"/>
          <w:b/>
        </w:rPr>
        <w:t>Previous Four Quarters</w:t>
      </w:r>
      <w:r w:rsidR="00855892" w:rsidRPr="003F62BE">
        <w:rPr>
          <w:rStyle w:val="Heading2Char"/>
        </w:rPr>
        <w:br/>
      </w:r>
      <w:r w:rsidR="001215A7" w:rsidRPr="00B8390B">
        <w:t>Mi</w:t>
      </w:r>
      <w:r w:rsidRPr="00B8390B">
        <w:t>nnesota business services firms</w:t>
      </w:r>
      <w:r w:rsidR="000715D1" w:rsidRPr="00B8390B">
        <w:t xml:space="preserve"> described</w:t>
      </w:r>
      <w:r w:rsidR="00C174D5" w:rsidRPr="00B8390B">
        <w:t xml:space="preserve"> </w:t>
      </w:r>
      <w:r w:rsidR="009C5EDC" w:rsidRPr="00B8390B">
        <w:t>unchanged</w:t>
      </w:r>
      <w:r w:rsidR="00C174D5" w:rsidRPr="00B8390B">
        <w:t xml:space="preserve"> and </w:t>
      </w:r>
      <w:r w:rsidR="009C5EDC" w:rsidRPr="00B8390B">
        <w:t>declining</w:t>
      </w:r>
      <w:r w:rsidR="00C174D5" w:rsidRPr="00B8390B">
        <w:t xml:space="preserve"> conditions</w:t>
      </w:r>
      <w:r w:rsidR="006449F7" w:rsidRPr="00B8390B">
        <w:t xml:space="preserve">. </w:t>
      </w:r>
      <w:r w:rsidR="00C174D5" w:rsidRPr="00B8390B">
        <w:t xml:space="preserve">Seventy </w:t>
      </w:r>
      <w:r w:rsidR="00C834D1" w:rsidRPr="00B8390B">
        <w:t xml:space="preserve">percent </w:t>
      </w:r>
      <w:r w:rsidR="00C174D5" w:rsidRPr="00B8390B">
        <w:t>reported unchanged sales prices</w:t>
      </w:r>
      <w:r w:rsidR="00C834D1" w:rsidRPr="00B8390B">
        <w:t xml:space="preserve"> and </w:t>
      </w:r>
      <w:r w:rsidR="00C174D5" w:rsidRPr="00B8390B">
        <w:t xml:space="preserve">65% </w:t>
      </w:r>
      <w:r w:rsidR="00B8390B">
        <w:t>constant</w:t>
      </w:r>
      <w:r w:rsidR="00C174D5" w:rsidRPr="00B8390B">
        <w:t xml:space="preserve"> employment.  However, close to 50%</w:t>
      </w:r>
      <w:r w:rsidR="00413D79" w:rsidRPr="00B8390B">
        <w:t xml:space="preserve"> </w:t>
      </w:r>
      <w:r w:rsidR="006B6F5E" w:rsidRPr="00B8390B">
        <w:t xml:space="preserve">of respondents </w:t>
      </w:r>
      <w:r w:rsidR="00413D79" w:rsidRPr="00B8390B">
        <w:t xml:space="preserve">indicated </w:t>
      </w:r>
      <w:r w:rsidR="00C174D5" w:rsidRPr="00B8390B">
        <w:t>a decline in sales revenue and profits</w:t>
      </w:r>
      <w:r w:rsidR="0063644F" w:rsidRPr="00B8390B">
        <w:t xml:space="preserve">. </w:t>
      </w:r>
    </w:p>
    <w:p w14:paraId="21D1252D" w14:textId="77777777" w:rsidR="007E666B" w:rsidRPr="009C5EDC" w:rsidRDefault="007E666B" w:rsidP="003F62BE">
      <w:pPr>
        <w:spacing w:after="0" w:line="240" w:lineRule="auto"/>
        <w:rPr>
          <w:b/>
          <w:bCs/>
        </w:rPr>
      </w:pPr>
    </w:p>
    <w:p w14:paraId="6596EAEC" w14:textId="678E4A7F" w:rsidR="007E666B" w:rsidRPr="00B8390B" w:rsidRDefault="00C174D5" w:rsidP="003F62BE">
      <w:pPr>
        <w:spacing w:after="0" w:line="240" w:lineRule="auto"/>
      </w:pPr>
      <w:r w:rsidRPr="00B8390B">
        <w:t>Contracting</w:t>
      </w:r>
      <w:r w:rsidR="00AB54BD" w:rsidRPr="00B8390B">
        <w:t xml:space="preserve"> conditions</w:t>
      </w:r>
      <w:r w:rsidR="00AD5C32" w:rsidRPr="00B8390B">
        <w:t xml:space="preserve"> were </w:t>
      </w:r>
      <w:r w:rsidRPr="00B8390B">
        <w:t xml:space="preserve">particularly </w:t>
      </w:r>
      <w:r w:rsidR="00C834D1" w:rsidRPr="00B8390B">
        <w:t>severe</w:t>
      </w:r>
      <w:r w:rsidR="00AD5C32" w:rsidRPr="00B8390B">
        <w:t xml:space="preserve"> </w:t>
      </w:r>
      <w:r w:rsidR="00C834D1" w:rsidRPr="00B8390B">
        <w:t xml:space="preserve">for labor availability. Fifty-six percent </w:t>
      </w:r>
      <w:r w:rsidR="00B8390B" w:rsidRPr="00B8390B">
        <w:t xml:space="preserve">of respondents </w:t>
      </w:r>
      <w:r w:rsidR="00C834D1" w:rsidRPr="00B8390B">
        <w:t>experience</w:t>
      </w:r>
      <w:r w:rsidR="00FB2467" w:rsidRPr="00B8390B">
        <w:t>d</w:t>
      </w:r>
      <w:r w:rsidR="00C834D1" w:rsidRPr="00B8390B">
        <w:t xml:space="preserve"> unchanged conditions, while 38</w:t>
      </w:r>
      <w:r w:rsidR="00FB2467" w:rsidRPr="00B8390B">
        <w:t>%</w:t>
      </w:r>
      <w:r w:rsidR="00C834D1" w:rsidRPr="00B8390B">
        <w:t xml:space="preserve"> indicated a decrease. Only 6% </w:t>
      </w:r>
      <w:r w:rsidR="00B8390B" w:rsidRPr="00B8390B">
        <w:t>reported</w:t>
      </w:r>
      <w:r w:rsidR="00C834D1" w:rsidRPr="00B8390B">
        <w:t xml:space="preserve"> an increased level, resulting in a diffusion index of 34</w:t>
      </w:r>
      <w:r w:rsidR="009C5EDC" w:rsidRPr="00B8390B">
        <w:t>, the lowest among all diffusion indexes for the previous four quarters</w:t>
      </w:r>
      <w:r w:rsidR="00BE7561" w:rsidRPr="00B8390B">
        <w:t>,</w:t>
      </w:r>
      <w:r w:rsidR="00AB54BD" w:rsidRPr="00B8390B">
        <w:t xml:space="preserve"> </w:t>
      </w:r>
      <w:r w:rsidR="00C834D1" w:rsidRPr="00B8390B">
        <w:t xml:space="preserve">significantly </w:t>
      </w:r>
      <w:r w:rsidR="00AB54BD" w:rsidRPr="00B8390B">
        <w:t>below 50</w:t>
      </w:r>
      <w:r w:rsidR="0051195F" w:rsidRPr="00B8390B">
        <w:t>,</w:t>
      </w:r>
      <w:r w:rsidR="00AB54BD" w:rsidRPr="00B8390B">
        <w:t xml:space="preserve"> </w:t>
      </w:r>
      <w:r w:rsidR="007E666B" w:rsidRPr="00B8390B">
        <w:t>suggesting</w:t>
      </w:r>
      <w:r w:rsidR="00AB54BD" w:rsidRPr="00B8390B">
        <w:t xml:space="preserve"> contraction</w:t>
      </w:r>
      <w:r w:rsidR="00AD5C32" w:rsidRPr="00B8390B">
        <w:t>.</w:t>
      </w:r>
      <w:r w:rsidR="007E666B" w:rsidRPr="00B8390B">
        <w:t xml:space="preserve"> </w:t>
      </w:r>
    </w:p>
    <w:p w14:paraId="51110F37" w14:textId="2BC5FD66" w:rsidR="00AB6F70" w:rsidRDefault="007E666B" w:rsidP="003F62BE">
      <w:pPr>
        <w:spacing w:after="0" w:line="240" w:lineRule="auto"/>
      </w:pPr>
      <w:r>
        <w:br/>
      </w:r>
      <w:r w:rsidR="00814F86">
        <w:rPr>
          <w:noProof/>
          <w:color w:val="C00000"/>
        </w:rPr>
        <w:drawing>
          <wp:inline distT="0" distB="0" distL="0" distR="0" wp14:anchorId="44A06D51" wp14:editId="63BC1988">
            <wp:extent cx="3223260" cy="2004060"/>
            <wp:effectExtent l="0" t="0" r="0" b="0"/>
            <wp:docPr id="1" name="Chart 1" descr="Business Services Firms - Previous Four Quarters&#10;&#10;Bart chart showing declining and unchanged conditions. Seventy percent reported unchanged sales prices and 65% stable employment.  However, close to 50% of respondents indicated a decline in sales revenue and profits. Contracting conditions were particularly severe for labor availability. Fifty-six percent experienced unchanged conditions, while 38% indicated a decrease. Only 6% experienced an increased level, resulting in a diffusion index of 34, significantly below 50, indicating contrac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215A7">
        <w:t xml:space="preserve"> </w:t>
      </w:r>
    </w:p>
    <w:p w14:paraId="16819B9B" w14:textId="33778EF4" w:rsidR="00D21E21" w:rsidRPr="00B8390B" w:rsidRDefault="003368D3" w:rsidP="00A66699">
      <w:r>
        <w:rPr>
          <w:rStyle w:val="Heading2Char"/>
        </w:rPr>
        <w:t>Business Services Firms</w:t>
      </w:r>
      <w:r w:rsidR="008D3F64">
        <w:rPr>
          <w:rStyle w:val="Heading2Char"/>
        </w:rPr>
        <w:t>: T</w:t>
      </w:r>
      <w:r>
        <w:rPr>
          <w:rStyle w:val="Heading2Char"/>
        </w:rPr>
        <w:t>he Coming Year</w:t>
      </w:r>
      <w:r>
        <w:rPr>
          <w:rStyle w:val="Heading2Char"/>
        </w:rPr>
        <w:br/>
      </w:r>
      <w:r w:rsidRPr="00B8390B">
        <w:t>Minnesota business ser</w:t>
      </w:r>
      <w:r w:rsidR="006327BB" w:rsidRPr="00B8390B">
        <w:t>vices firms expect</w:t>
      </w:r>
      <w:r w:rsidR="00C633BF" w:rsidRPr="00B8390B">
        <w:t xml:space="preserve"> unchanged</w:t>
      </w:r>
      <w:r w:rsidRPr="00B8390B">
        <w:t xml:space="preserve"> </w:t>
      </w:r>
      <w:r w:rsidR="006327BB" w:rsidRPr="00B8390B">
        <w:t xml:space="preserve">or </w:t>
      </w:r>
      <w:r w:rsidR="009C5EDC" w:rsidRPr="00B8390B">
        <w:t>improving</w:t>
      </w:r>
      <w:r w:rsidR="00D21E21" w:rsidRPr="00B8390B">
        <w:t xml:space="preserve"> conditions </w:t>
      </w:r>
      <w:r w:rsidRPr="00B8390B">
        <w:t>for the coming year</w:t>
      </w:r>
      <w:r w:rsidR="00093843" w:rsidRPr="00B8390B">
        <w:t xml:space="preserve">. </w:t>
      </w:r>
      <w:r w:rsidR="006327BB" w:rsidRPr="00B8390B">
        <w:t>Sixty-</w:t>
      </w:r>
      <w:r w:rsidR="009C5EDC" w:rsidRPr="00B8390B">
        <w:t>five</w:t>
      </w:r>
      <w:r w:rsidR="006327BB" w:rsidRPr="00B8390B">
        <w:t xml:space="preserve"> percent </w:t>
      </w:r>
      <w:r w:rsidR="009C5EDC" w:rsidRPr="00B8390B">
        <w:t>anticipate</w:t>
      </w:r>
      <w:r w:rsidR="006327BB" w:rsidRPr="00B8390B">
        <w:t xml:space="preserve"> unchanged labor availability</w:t>
      </w:r>
      <w:r w:rsidR="009C5EDC" w:rsidRPr="00B8390B">
        <w:t xml:space="preserve"> while 62% expect the same employment level. </w:t>
      </w:r>
      <w:r w:rsidR="00783BB1" w:rsidRPr="00B8390B">
        <w:t>Furthermore</w:t>
      </w:r>
      <w:r w:rsidR="006327BB" w:rsidRPr="00B8390B">
        <w:t xml:space="preserve">, </w:t>
      </w:r>
      <w:r w:rsidR="00FF56F5">
        <w:t>4</w:t>
      </w:r>
      <w:r w:rsidR="009C5EDC" w:rsidRPr="00B8390B">
        <w:t>2% of</w:t>
      </w:r>
      <w:r w:rsidR="006327BB" w:rsidRPr="00B8390B">
        <w:t xml:space="preserve"> respondents expect a</w:t>
      </w:r>
      <w:r w:rsidR="009C5EDC" w:rsidRPr="00B8390B">
        <w:t>n increase</w:t>
      </w:r>
      <w:r w:rsidR="006327BB" w:rsidRPr="00B8390B">
        <w:t xml:space="preserve"> in</w:t>
      </w:r>
      <w:r w:rsidR="009C5EDC" w:rsidRPr="00B8390B">
        <w:t xml:space="preserve"> </w:t>
      </w:r>
      <w:r w:rsidR="006327BB" w:rsidRPr="00B8390B">
        <w:t>s</w:t>
      </w:r>
      <w:r w:rsidR="009C5EDC" w:rsidRPr="00B8390B">
        <w:t xml:space="preserve">ales revenue </w:t>
      </w:r>
      <w:r w:rsidR="006327BB" w:rsidRPr="00B8390B">
        <w:t>while</w:t>
      </w:r>
      <w:r w:rsidR="0093302A" w:rsidRPr="00B8390B">
        <w:t xml:space="preserve"> 4</w:t>
      </w:r>
      <w:r w:rsidR="009C5EDC" w:rsidRPr="00B8390B">
        <w:t>0</w:t>
      </w:r>
      <w:r w:rsidR="0093302A" w:rsidRPr="00B8390B">
        <w:t>%</w:t>
      </w:r>
      <w:r w:rsidR="005C5C85" w:rsidRPr="00B8390B">
        <w:t xml:space="preserve"> </w:t>
      </w:r>
      <w:r w:rsidR="00B8390B" w:rsidRPr="00B8390B">
        <w:t>predict</w:t>
      </w:r>
      <w:r w:rsidR="005C5C85" w:rsidRPr="00B8390B">
        <w:t xml:space="preserve"> </w:t>
      </w:r>
      <w:r w:rsidR="009C5EDC" w:rsidRPr="00B8390B">
        <w:t>growth in profits</w:t>
      </w:r>
      <w:r w:rsidR="006327BB" w:rsidRPr="00B8390B">
        <w:t>.</w:t>
      </w:r>
    </w:p>
    <w:p w14:paraId="053B4EFF" w14:textId="7B726565" w:rsidR="003368D3" w:rsidRPr="00B8390B" w:rsidRDefault="000102FA" w:rsidP="00A66699">
      <w:pPr>
        <w:rPr>
          <w:rStyle w:val="Heading2Char"/>
          <w:color w:val="auto"/>
        </w:rPr>
      </w:pPr>
      <w:r w:rsidRPr="00B8390B">
        <w:t xml:space="preserve"> </w:t>
      </w:r>
      <w:r w:rsidR="00783BB1" w:rsidRPr="00B8390B">
        <w:t>Although several</w:t>
      </w:r>
      <w:r w:rsidR="006327BB" w:rsidRPr="00B8390B">
        <w:t xml:space="preserve"> diffusion indexes</w:t>
      </w:r>
      <w:r w:rsidR="00783BB1" w:rsidRPr="00B8390B">
        <w:t xml:space="preserve"> are</w:t>
      </w:r>
      <w:r w:rsidR="006327BB" w:rsidRPr="00B8390B">
        <w:t xml:space="preserve"> </w:t>
      </w:r>
      <w:r w:rsidR="00783BB1" w:rsidRPr="00B8390B">
        <w:t>above</w:t>
      </w:r>
      <w:r w:rsidR="006327BB" w:rsidRPr="00B8390B">
        <w:t xml:space="preserve"> 50</w:t>
      </w:r>
      <w:r w:rsidR="0093302A" w:rsidRPr="00B8390B">
        <w:t>,</w:t>
      </w:r>
      <w:r w:rsidR="006327BB" w:rsidRPr="00B8390B">
        <w:t xml:space="preserve"> indicating </w:t>
      </w:r>
      <w:r w:rsidR="00783BB1" w:rsidRPr="00B8390B">
        <w:t>expansion, labor availability has the lowest (37), suggesting optimism for business services firms but with tight labor availability.</w:t>
      </w:r>
    </w:p>
    <w:p w14:paraId="63788C2C" w14:textId="77777777" w:rsidR="00623F4F" w:rsidRDefault="00A66699" w:rsidP="00E7356E">
      <w:pPr>
        <w:rPr>
          <w:b/>
          <w:bCs/>
        </w:rPr>
      </w:pPr>
      <w:r w:rsidRPr="00D60273">
        <w:rPr>
          <w:rStyle w:val="Heading2Char"/>
          <w:b/>
        </w:rPr>
        <w:t>Outlook on the State Economy</w:t>
      </w:r>
      <w:r w:rsidR="00E7356E" w:rsidRPr="00D60273">
        <w:rPr>
          <w:rStyle w:val="Heading2Char"/>
          <w:b/>
        </w:rPr>
        <w:br/>
      </w:r>
      <w:r w:rsidRPr="00B8390B">
        <w:t>Mi</w:t>
      </w:r>
      <w:r w:rsidR="006A387C" w:rsidRPr="00B8390B">
        <w:t>nnesota business services firms</w:t>
      </w:r>
      <w:r w:rsidR="000B7992" w:rsidRPr="00B8390B">
        <w:t xml:space="preserve"> </w:t>
      </w:r>
      <w:r w:rsidR="00A82DA5" w:rsidRPr="00B8390B">
        <w:t>are optimistic about the economy</w:t>
      </w:r>
      <w:r w:rsidR="000B7992" w:rsidRPr="00B8390B">
        <w:t>. Fifty-</w:t>
      </w:r>
      <w:r w:rsidR="00A82DA5" w:rsidRPr="00B8390B">
        <w:t>five</w:t>
      </w:r>
      <w:r w:rsidR="000B7992" w:rsidRPr="00B8390B">
        <w:t xml:space="preserve"> percent expect </w:t>
      </w:r>
      <w:r w:rsidR="00B42CDA" w:rsidRPr="00B8390B">
        <w:t>a</w:t>
      </w:r>
      <w:r w:rsidR="00A82DA5" w:rsidRPr="00B8390B">
        <w:t>n</w:t>
      </w:r>
      <w:r w:rsidR="00B42CDA" w:rsidRPr="00B8390B">
        <w:t xml:space="preserve"> </w:t>
      </w:r>
      <w:r w:rsidR="00A82DA5" w:rsidRPr="00B8390B">
        <w:t>increase</w:t>
      </w:r>
      <w:r w:rsidR="000B7992" w:rsidRPr="00B8390B">
        <w:t xml:space="preserve"> in consumer spending</w:t>
      </w:r>
      <w:r w:rsidR="00392665" w:rsidRPr="00B8390B">
        <w:t xml:space="preserve"> while</w:t>
      </w:r>
      <w:r w:rsidR="000B7992" w:rsidRPr="00B8390B">
        <w:t xml:space="preserve"> </w:t>
      </w:r>
      <w:r w:rsidR="00A82DA5" w:rsidRPr="00B8390B">
        <w:t xml:space="preserve">46% anticipate growth </w:t>
      </w:r>
      <w:r w:rsidR="000B7992" w:rsidRPr="00B8390B">
        <w:t>in employment</w:t>
      </w:r>
      <w:r w:rsidR="00F82F8E" w:rsidRPr="00B8390B">
        <w:t>.</w:t>
      </w:r>
      <w:r w:rsidR="00F82F8E" w:rsidRPr="00A82DA5">
        <w:rPr>
          <w:b/>
          <w:bCs/>
        </w:rPr>
        <w:t xml:space="preserve">  </w:t>
      </w:r>
    </w:p>
    <w:p w14:paraId="21052F20" w14:textId="515FCE42" w:rsidR="00B86180" w:rsidRPr="00B8390B" w:rsidRDefault="00392665" w:rsidP="00E7356E">
      <w:r w:rsidRPr="00B8390B">
        <w:t>Overall, diffusion indexes are above 50 indicating expansion, with the highest index in consumer spending (72)</w:t>
      </w:r>
      <w:r w:rsidR="00623F4F" w:rsidRPr="00B8390B">
        <w:t xml:space="preserve"> and the lowest in corporate profits (54)</w:t>
      </w:r>
      <w:r w:rsidRPr="00B8390B">
        <w:t>.</w:t>
      </w:r>
      <w:r w:rsidR="00623F4F" w:rsidRPr="00B8390B">
        <w:t xml:space="preserve"> Nonetheless</w:t>
      </w:r>
      <w:r w:rsidRPr="00B8390B">
        <w:t xml:space="preserve">, </w:t>
      </w:r>
      <w:r w:rsidR="00623F4F" w:rsidRPr="00B8390B">
        <w:t>business services firms are concerned about inflation. N</w:t>
      </w:r>
      <w:r w:rsidRPr="00B8390B">
        <w:t xml:space="preserve">early three-quarters expect </w:t>
      </w:r>
      <w:r w:rsidR="00623F4F" w:rsidRPr="00B8390B">
        <w:t>an increase</w:t>
      </w:r>
      <w:r w:rsidRPr="00B8390B">
        <w:t>.</w:t>
      </w:r>
    </w:p>
    <w:p w14:paraId="4886595A" w14:textId="5A1BF6DE" w:rsidR="00B86180" w:rsidRPr="00623F4F" w:rsidRDefault="00F10ED0" w:rsidP="00814ED5">
      <w:pPr>
        <w:sectPr w:rsidR="00B86180" w:rsidRPr="00623F4F" w:rsidSect="009B07B0">
          <w:type w:val="continuous"/>
          <w:pgSz w:w="12240" w:h="15840"/>
          <w:pgMar w:top="720" w:right="720" w:bottom="720" w:left="720" w:header="720" w:footer="720" w:gutter="0"/>
          <w:cols w:num="2" w:space="720"/>
          <w:docGrid w:linePitch="360"/>
        </w:sectPr>
      </w:pPr>
      <w:r>
        <w:rPr>
          <w:noProof/>
          <w:color w:val="C00000"/>
        </w:rPr>
        <w:drawing>
          <wp:inline distT="0" distB="0" distL="0" distR="0" wp14:anchorId="4DBD2529" wp14:editId="79AC8315">
            <wp:extent cx="3223260" cy="2148840"/>
            <wp:effectExtent l="0" t="0" r="0" b="3810"/>
            <wp:docPr id="5" name="Chart 5" descr="Outlook on Economic Performance for The coming year&#10;&#10;Bart chart showing expanding conditions. Fifty-five percent expect an increase in consumer spending while 46% anticipate growth in employment.  &#10;&#10;Overall, diffusion indexes are above 50 indicating expansion, with the highest index in consumer spending (72) and the lowest in corporate profits (54).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1EAD68" w14:textId="77777777" w:rsidR="009969EB" w:rsidRDefault="009969EB" w:rsidP="009B3DF5">
      <w:pPr>
        <w:spacing w:line="240" w:lineRule="auto"/>
        <w:rPr>
          <w:rFonts w:asciiTheme="majorHAnsi" w:eastAsiaTheme="majorEastAsia" w:hAnsiTheme="majorHAnsi" w:cstheme="majorBidi"/>
          <w:color w:val="1F4D78" w:themeColor="accent1" w:themeShade="7F"/>
          <w:sz w:val="24"/>
          <w:szCs w:val="24"/>
        </w:rPr>
        <w:sectPr w:rsidR="009969EB" w:rsidSect="009B07B0">
          <w:type w:val="continuous"/>
          <w:pgSz w:w="12240" w:h="15840"/>
          <w:pgMar w:top="720" w:right="720" w:bottom="720" w:left="720" w:header="720" w:footer="720" w:gutter="0"/>
          <w:cols w:num="2" w:space="720"/>
          <w:docGrid w:linePitch="360"/>
        </w:sectPr>
      </w:pPr>
    </w:p>
    <w:p w14:paraId="64EF5535" w14:textId="51DCA204" w:rsidR="007F61A9" w:rsidRPr="0086126B" w:rsidRDefault="00825F3C" w:rsidP="00D60273">
      <w:pPr>
        <w:pStyle w:val="Title"/>
        <w:ind w:left="180"/>
        <w:jc w:val="both"/>
        <w:rPr>
          <w:b/>
          <w:color w:val="1F4E79" w:themeColor="accent1" w:themeShade="80"/>
          <w:sz w:val="22"/>
          <w:szCs w:val="22"/>
        </w:rPr>
      </w:pPr>
      <w:r w:rsidRPr="0086126B">
        <w:rPr>
          <w:b/>
          <w:color w:val="1F4E79" w:themeColor="accent1" w:themeShade="80"/>
          <w:sz w:val="22"/>
          <w:szCs w:val="22"/>
        </w:rPr>
        <w:lastRenderedPageBreak/>
        <w:t xml:space="preserve">Table 1. </w:t>
      </w:r>
      <w:r w:rsidR="00F86309" w:rsidRPr="0086126B">
        <w:rPr>
          <w:b/>
          <w:color w:val="1F4E79" w:themeColor="accent1" w:themeShade="80"/>
          <w:sz w:val="22"/>
          <w:szCs w:val="22"/>
        </w:rPr>
        <w:t>Minnesota 202</w:t>
      </w:r>
      <w:r w:rsidR="00EC7FDA" w:rsidRPr="0086126B">
        <w:rPr>
          <w:b/>
          <w:color w:val="1F4E79" w:themeColor="accent1" w:themeShade="80"/>
          <w:sz w:val="22"/>
          <w:szCs w:val="22"/>
        </w:rPr>
        <w:t>1</w:t>
      </w:r>
      <w:r w:rsidR="009969EB" w:rsidRPr="0086126B">
        <w:rPr>
          <w:b/>
          <w:color w:val="1F4E79" w:themeColor="accent1" w:themeShade="80"/>
          <w:sz w:val="22"/>
          <w:szCs w:val="22"/>
        </w:rPr>
        <w:t xml:space="preserve"> Business </w:t>
      </w:r>
      <w:r w:rsidR="00EC6FBE" w:rsidRPr="0086126B">
        <w:rPr>
          <w:b/>
          <w:color w:val="1F4E79" w:themeColor="accent1" w:themeShade="80"/>
          <w:sz w:val="22"/>
          <w:szCs w:val="22"/>
        </w:rPr>
        <w:t xml:space="preserve">Services </w:t>
      </w:r>
      <w:r w:rsidR="003F5F27" w:rsidRPr="0086126B">
        <w:rPr>
          <w:b/>
          <w:color w:val="1F4E79" w:themeColor="accent1" w:themeShade="80"/>
          <w:sz w:val="22"/>
          <w:szCs w:val="22"/>
        </w:rPr>
        <w:t xml:space="preserve">Firms </w:t>
      </w:r>
      <w:r w:rsidR="009969EB" w:rsidRPr="0086126B">
        <w:rPr>
          <w:b/>
          <w:color w:val="1F4E79" w:themeColor="accent1" w:themeShade="80"/>
          <w:sz w:val="22"/>
          <w:szCs w:val="22"/>
        </w:rPr>
        <w:t>Condition Survey Results</w:t>
      </w:r>
      <w:r w:rsidR="009713A3" w:rsidRPr="0086126B">
        <w:rPr>
          <w:b/>
          <w:color w:val="1F4E79" w:themeColor="accent1" w:themeShade="80"/>
          <w:sz w:val="22"/>
          <w:szCs w:val="22"/>
          <w:vertAlign w:val="superscript"/>
        </w:rPr>
        <w:t>1</w:t>
      </w:r>
    </w:p>
    <w:tbl>
      <w:tblPr>
        <w:tblStyle w:val="PlainTable5"/>
        <w:tblW w:w="10525"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Business Comparison Indicators: 2020"/>
        <w:tblDescription w:val="Minnesota business services firms described unchanged or declining conditions. Seventy-nine percent of respondents indicated no changes in selling prices and 70 percent experienced stable labor availability. Additionally, 62 percent reported unchanged employment level. However, 53 percent indicated decline in sales revenue and 52 percent reported a drop in profits. Declining conditions were confirmed by diffusion indices, most of which were below 50 indicating contraction."/>
      </w:tblPr>
      <w:tblGrid>
        <w:gridCol w:w="3897"/>
        <w:gridCol w:w="1338"/>
        <w:gridCol w:w="1338"/>
        <w:gridCol w:w="1338"/>
        <w:gridCol w:w="1338"/>
        <w:gridCol w:w="1276"/>
      </w:tblGrid>
      <w:tr w:rsidR="001D0139" w:rsidRPr="00623BC4" w14:paraId="01C96E47"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single" w:sz="4" w:space="0" w:color="auto"/>
              <w:right w:val="nil"/>
            </w:tcBorders>
            <w:shd w:val="clear" w:color="auto" w:fill="BDD6EE" w:themeFill="accent1" w:themeFillTint="66"/>
            <w:noWrap/>
            <w:hideMark/>
          </w:tcPr>
          <w:p w14:paraId="4CA4B7B5" w14:textId="77777777" w:rsidR="00A97C01" w:rsidRPr="000A28AD" w:rsidRDefault="00722892" w:rsidP="001631FC">
            <w:pPr>
              <w:rPr>
                <w:rFonts w:asciiTheme="minorHAnsi" w:eastAsia="Times New Roman" w:hAnsiTheme="minorHAnsi" w:cs="Times New Roman"/>
                <w:b/>
                <w:bCs/>
                <w:i w:val="0"/>
                <w:color w:val="000000"/>
                <w:sz w:val="18"/>
                <w:szCs w:val="18"/>
              </w:rPr>
            </w:pPr>
            <w:bookmarkStart w:id="0" w:name="_Hlk76110608"/>
            <w:r w:rsidRPr="000A28AD">
              <w:rPr>
                <w:rFonts w:asciiTheme="minorHAnsi" w:eastAsia="Times New Roman" w:hAnsiTheme="minorHAnsi" w:cs="Times New Roman"/>
                <w:b/>
                <w:bCs/>
                <w:i w:val="0"/>
                <w:color w:val="000000"/>
                <w:sz w:val="18"/>
                <w:szCs w:val="18"/>
              </w:rPr>
              <w:t>Business i</w:t>
            </w:r>
            <w:r w:rsidR="0043194C">
              <w:rPr>
                <w:rFonts w:asciiTheme="minorHAnsi" w:eastAsia="Times New Roman" w:hAnsiTheme="minorHAnsi" w:cs="Times New Roman"/>
                <w:b/>
                <w:bCs/>
                <w:i w:val="0"/>
                <w:color w:val="000000"/>
                <w:sz w:val="18"/>
                <w:szCs w:val="18"/>
              </w:rPr>
              <w:t>ndicators in the last 4 quarters</w:t>
            </w:r>
            <w:r w:rsidR="007B16BB" w:rsidRPr="000A28AD">
              <w:rPr>
                <w:rFonts w:asciiTheme="minorHAnsi" w:eastAsia="Times New Roman" w:hAnsiTheme="minorHAnsi" w:cs="Times New Roman"/>
                <w:b/>
                <w:bCs/>
                <w:i w:val="0"/>
                <w:color w:val="000000"/>
                <w:sz w:val="18"/>
                <w:szCs w:val="18"/>
              </w:rPr>
              <w:t>:</w:t>
            </w:r>
          </w:p>
        </w:tc>
        <w:tc>
          <w:tcPr>
            <w:tcW w:w="1338" w:type="dxa"/>
            <w:tcBorders>
              <w:top w:val="single" w:sz="4" w:space="0" w:color="auto"/>
              <w:left w:val="nil"/>
              <w:bottom w:val="single" w:sz="4" w:space="0" w:color="auto"/>
            </w:tcBorders>
            <w:shd w:val="clear" w:color="auto" w:fill="BDD6EE" w:themeFill="accent1" w:themeFillTint="66"/>
            <w:noWrap/>
            <w:hideMark/>
          </w:tcPr>
          <w:p w14:paraId="66287258" w14:textId="77777777" w:rsidR="00A97C01" w:rsidRPr="000A28AD" w:rsidRDefault="00A97C01" w:rsidP="001631F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Up</w:t>
            </w:r>
          </w:p>
        </w:tc>
        <w:tc>
          <w:tcPr>
            <w:tcW w:w="1338" w:type="dxa"/>
            <w:tcBorders>
              <w:top w:val="single" w:sz="4" w:space="0" w:color="auto"/>
              <w:bottom w:val="single" w:sz="4" w:space="0" w:color="auto"/>
            </w:tcBorders>
            <w:shd w:val="clear" w:color="auto" w:fill="BDD6EE" w:themeFill="accent1" w:themeFillTint="66"/>
            <w:noWrap/>
            <w:hideMark/>
          </w:tcPr>
          <w:p w14:paraId="38B780C5" w14:textId="77777777" w:rsidR="00A97C01" w:rsidRPr="000A28AD" w:rsidRDefault="00A97C01" w:rsidP="001631F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Same</w:t>
            </w:r>
          </w:p>
        </w:tc>
        <w:tc>
          <w:tcPr>
            <w:tcW w:w="1338" w:type="dxa"/>
            <w:tcBorders>
              <w:top w:val="single" w:sz="4" w:space="0" w:color="auto"/>
              <w:bottom w:val="single" w:sz="4" w:space="0" w:color="auto"/>
            </w:tcBorders>
            <w:shd w:val="clear" w:color="auto" w:fill="BDD6EE" w:themeFill="accent1" w:themeFillTint="66"/>
            <w:noWrap/>
            <w:hideMark/>
          </w:tcPr>
          <w:p w14:paraId="72D3E77F" w14:textId="77777777" w:rsidR="00A97C01" w:rsidRPr="000A28AD" w:rsidRDefault="00A97C01" w:rsidP="001631F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Down</w:t>
            </w:r>
          </w:p>
        </w:tc>
        <w:tc>
          <w:tcPr>
            <w:tcW w:w="1338" w:type="dxa"/>
            <w:tcBorders>
              <w:top w:val="single" w:sz="4" w:space="0" w:color="auto"/>
              <w:bottom w:val="single" w:sz="4" w:space="0" w:color="auto"/>
            </w:tcBorders>
            <w:shd w:val="clear" w:color="auto" w:fill="BDD6EE" w:themeFill="accent1" w:themeFillTint="66"/>
            <w:noWrap/>
            <w:hideMark/>
          </w:tcPr>
          <w:p w14:paraId="4664DC7C" w14:textId="2238C337" w:rsidR="00A97C01" w:rsidRPr="00A72C89" w:rsidRDefault="00A97C01" w:rsidP="00367060">
            <w:pPr>
              <w:jc w:val="center"/>
              <w:rPr>
                <w:rFonts w:asciiTheme="minorHAnsi" w:eastAsia="Times New Roman" w:hAnsiTheme="minorHAnsi" w:cs="Times New Roman"/>
                <w:b/>
                <w:bCs/>
                <w:i w:val="0"/>
                <w:sz w:val="18"/>
                <w:szCs w:val="18"/>
              </w:rPr>
            </w:pPr>
            <w:r w:rsidRPr="00A72C89">
              <w:rPr>
                <w:rFonts w:asciiTheme="minorHAnsi" w:eastAsia="Times New Roman" w:hAnsiTheme="minorHAnsi" w:cs="Times New Roman"/>
                <w:b/>
                <w:bCs/>
                <w:i w:val="0"/>
                <w:sz w:val="18"/>
                <w:szCs w:val="18"/>
              </w:rPr>
              <w:t>Diffusion Index</w:t>
            </w:r>
            <w:r w:rsidR="000631E3" w:rsidRPr="00A72C89">
              <w:rPr>
                <w:rFonts w:asciiTheme="minorHAnsi" w:eastAsia="Times New Roman" w:hAnsiTheme="minorHAnsi" w:cs="Times New Roman"/>
                <w:b/>
                <w:bCs/>
                <w:i w:val="0"/>
                <w:sz w:val="18"/>
                <w:szCs w:val="18"/>
              </w:rPr>
              <w:t xml:space="preserve"> 202</w:t>
            </w:r>
            <w:r w:rsidR="0089607A">
              <w:rPr>
                <w:rFonts w:asciiTheme="minorHAnsi" w:eastAsia="Times New Roman" w:hAnsiTheme="minorHAnsi" w:cs="Times New Roman"/>
                <w:b/>
                <w:bCs/>
                <w:i w:val="0"/>
                <w:sz w:val="18"/>
                <w:szCs w:val="18"/>
              </w:rPr>
              <w:t>1</w:t>
            </w:r>
            <w:r w:rsidR="008E7E58" w:rsidRPr="00A72C89">
              <w:rPr>
                <w:rFonts w:asciiTheme="minorHAnsi" w:eastAsia="Times New Roman" w:hAnsiTheme="minorHAnsi" w:cs="Times New Roman"/>
                <w:b/>
                <w:bCs/>
                <w:i w:val="0"/>
                <w:sz w:val="18"/>
                <w:szCs w:val="18"/>
                <w:vertAlign w:val="superscript"/>
              </w:rPr>
              <w:t>(</w:t>
            </w:r>
            <w:r w:rsidR="00C80C65" w:rsidRPr="00A72C89">
              <w:rPr>
                <w:rFonts w:asciiTheme="minorHAnsi" w:eastAsia="Times New Roman" w:hAnsiTheme="minorHAnsi" w:cs="Times New Roman"/>
                <w:b/>
                <w:bCs/>
                <w:i w:val="0"/>
                <w:sz w:val="18"/>
                <w:szCs w:val="18"/>
                <w:vertAlign w:val="superscript"/>
              </w:rPr>
              <w:t>2)</w:t>
            </w:r>
          </w:p>
        </w:tc>
        <w:tc>
          <w:tcPr>
            <w:tcW w:w="1276" w:type="dxa"/>
            <w:tcBorders>
              <w:top w:val="single" w:sz="4" w:space="0" w:color="auto"/>
              <w:bottom w:val="single" w:sz="4" w:space="0" w:color="auto"/>
            </w:tcBorders>
            <w:shd w:val="clear" w:color="auto" w:fill="BDD6EE" w:themeFill="accent1" w:themeFillTint="66"/>
            <w:noWrap/>
            <w:hideMark/>
          </w:tcPr>
          <w:p w14:paraId="266B69E0" w14:textId="721EB4CF" w:rsidR="00A97C01" w:rsidRPr="00A2685D" w:rsidRDefault="0089194E" w:rsidP="001631FC">
            <w:pPr>
              <w:jc w:val="center"/>
              <w:rPr>
                <w:rFonts w:asciiTheme="minorHAnsi" w:eastAsia="Times New Roman" w:hAnsiTheme="minorHAnsi" w:cs="Times New Roman"/>
                <w:b/>
                <w:bCs/>
                <w:i w:val="0"/>
                <w:color w:val="FF0000"/>
                <w:sz w:val="18"/>
                <w:szCs w:val="18"/>
              </w:rPr>
            </w:pPr>
            <w:r w:rsidRPr="00A72C89">
              <w:rPr>
                <w:rFonts w:asciiTheme="minorHAnsi" w:eastAsia="Times New Roman" w:hAnsiTheme="minorHAnsi" w:cs="Times New Roman"/>
                <w:b/>
                <w:bCs/>
                <w:i w:val="0"/>
                <w:sz w:val="18"/>
                <w:szCs w:val="18"/>
              </w:rPr>
              <w:t>D</w:t>
            </w:r>
            <w:r w:rsidR="000631E3" w:rsidRPr="00A72C89">
              <w:rPr>
                <w:rFonts w:asciiTheme="minorHAnsi" w:eastAsia="Times New Roman" w:hAnsiTheme="minorHAnsi" w:cs="Times New Roman"/>
                <w:b/>
                <w:bCs/>
                <w:i w:val="0"/>
                <w:sz w:val="18"/>
                <w:szCs w:val="18"/>
              </w:rPr>
              <w:t>iffusion Index 20</w:t>
            </w:r>
            <w:r w:rsidR="003B7BDF">
              <w:rPr>
                <w:rFonts w:asciiTheme="minorHAnsi" w:eastAsia="Times New Roman" w:hAnsiTheme="minorHAnsi" w:cs="Times New Roman"/>
                <w:b/>
                <w:bCs/>
                <w:i w:val="0"/>
                <w:sz w:val="18"/>
                <w:szCs w:val="18"/>
              </w:rPr>
              <w:t>20</w:t>
            </w:r>
            <w:r w:rsidRPr="00A72C89">
              <w:rPr>
                <w:rFonts w:asciiTheme="minorHAnsi" w:eastAsia="Times New Roman" w:hAnsiTheme="minorHAnsi" w:cs="Times New Roman"/>
                <w:b/>
                <w:bCs/>
                <w:i w:val="0"/>
                <w:sz w:val="18"/>
                <w:szCs w:val="18"/>
                <w:vertAlign w:val="superscript"/>
              </w:rPr>
              <w:t>(</w:t>
            </w:r>
            <w:r w:rsidR="00C80C65" w:rsidRPr="00A72C89">
              <w:rPr>
                <w:rFonts w:asciiTheme="minorHAnsi" w:eastAsia="Times New Roman" w:hAnsiTheme="minorHAnsi" w:cs="Times New Roman"/>
                <w:b/>
                <w:bCs/>
                <w:i w:val="0"/>
                <w:sz w:val="18"/>
                <w:szCs w:val="18"/>
                <w:vertAlign w:val="superscript"/>
              </w:rPr>
              <w:t>2)</w:t>
            </w:r>
          </w:p>
        </w:tc>
      </w:tr>
      <w:tr w:rsidR="001D0139" w:rsidRPr="00C2294E" w14:paraId="2BE5ACED"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none" w:sz="0" w:space="0" w:color="auto"/>
              <w:right w:val="nil"/>
            </w:tcBorders>
            <w:noWrap/>
            <w:hideMark/>
          </w:tcPr>
          <w:p w14:paraId="27983A3D" w14:textId="77777777" w:rsidR="00A97C01" w:rsidRPr="000A28AD" w:rsidRDefault="0043194C"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Sales revenue</w:t>
            </w:r>
          </w:p>
        </w:tc>
        <w:tc>
          <w:tcPr>
            <w:tcW w:w="1338" w:type="dxa"/>
            <w:tcBorders>
              <w:top w:val="single" w:sz="4" w:space="0" w:color="auto"/>
              <w:left w:val="nil"/>
              <w:bottom w:val="none" w:sz="0" w:space="0" w:color="auto"/>
            </w:tcBorders>
            <w:noWrap/>
            <w:hideMark/>
          </w:tcPr>
          <w:p w14:paraId="15FF0298" w14:textId="7A6A62E9" w:rsidR="00A97C01" w:rsidRPr="00A87222" w:rsidRDefault="001C1605"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31</w:t>
            </w:r>
            <w:r w:rsidR="00A97C01" w:rsidRPr="00A87222">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73132FD2" w14:textId="04C43122"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2</w:t>
            </w:r>
            <w:r w:rsidR="004861F4" w:rsidRPr="00A87222">
              <w:rPr>
                <w:rFonts w:asciiTheme="minorHAnsi" w:eastAsia="Times New Roman" w:hAnsiTheme="minorHAnsi" w:cs="Times New Roman"/>
                <w:i w:val="0"/>
                <w:color w:val="000000"/>
                <w:sz w:val="18"/>
                <w:szCs w:val="18"/>
              </w:rPr>
              <w:t>1</w:t>
            </w:r>
            <w:r w:rsidR="00A97C01" w:rsidRPr="00A87222">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421E8ABE" w14:textId="1076EB63" w:rsidR="00A97C01" w:rsidRPr="00A87222" w:rsidRDefault="001C1605"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48</w:t>
            </w:r>
            <w:r w:rsidR="00A97C01" w:rsidRPr="00A87222">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28BD73D1" w14:textId="0BC4BCF3"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42</w:t>
            </w:r>
          </w:p>
        </w:tc>
        <w:tc>
          <w:tcPr>
            <w:tcW w:w="1276" w:type="dxa"/>
            <w:tcBorders>
              <w:top w:val="single" w:sz="4" w:space="0" w:color="auto"/>
              <w:bottom w:val="none" w:sz="0" w:space="0" w:color="auto"/>
            </w:tcBorders>
            <w:noWrap/>
            <w:hideMark/>
          </w:tcPr>
          <w:p w14:paraId="0710D5C5" w14:textId="1855A79D"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34</w:t>
            </w:r>
          </w:p>
        </w:tc>
      </w:tr>
      <w:tr w:rsidR="001D0139" w:rsidRPr="00C2294E" w14:paraId="38AE6A5D"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2527C914" w14:textId="77777777" w:rsidR="00A97C01" w:rsidRPr="000A28AD" w:rsidRDefault="0043194C"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Profits</w:t>
            </w:r>
          </w:p>
        </w:tc>
        <w:tc>
          <w:tcPr>
            <w:tcW w:w="1338" w:type="dxa"/>
            <w:tcBorders>
              <w:left w:val="nil"/>
              <w:bottom w:val="none" w:sz="0" w:space="0" w:color="auto"/>
            </w:tcBorders>
            <w:noWrap/>
            <w:hideMark/>
          </w:tcPr>
          <w:p w14:paraId="0259DAF6" w14:textId="6D5D08A3"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27</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C31C8E9" w14:textId="06CBEA2E"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2</w:t>
            </w:r>
            <w:r w:rsidR="00EC7FDA" w:rsidRPr="00A87222">
              <w:rPr>
                <w:rFonts w:asciiTheme="minorHAnsi" w:eastAsia="Times New Roman" w:hAnsiTheme="minorHAnsi" w:cs="Times New Roman"/>
                <w:i w:val="0"/>
                <w:color w:val="000000"/>
                <w:sz w:val="18"/>
                <w:szCs w:val="18"/>
              </w:rPr>
              <w:t>5</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CF57FAB" w14:textId="6FEE1405"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48</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12F989D" w14:textId="069A0AB7"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40</w:t>
            </w:r>
          </w:p>
        </w:tc>
        <w:tc>
          <w:tcPr>
            <w:tcW w:w="1276" w:type="dxa"/>
            <w:tcBorders>
              <w:bottom w:val="none" w:sz="0" w:space="0" w:color="auto"/>
            </w:tcBorders>
            <w:noWrap/>
            <w:hideMark/>
          </w:tcPr>
          <w:p w14:paraId="79FEA289" w14:textId="6ED250DF"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33</w:t>
            </w:r>
          </w:p>
        </w:tc>
      </w:tr>
      <w:tr w:rsidR="001D0139" w:rsidRPr="00C2294E" w14:paraId="7FEA755F"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163350B9" w14:textId="77777777"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Productivity</w:t>
            </w:r>
          </w:p>
        </w:tc>
        <w:tc>
          <w:tcPr>
            <w:tcW w:w="1338" w:type="dxa"/>
            <w:tcBorders>
              <w:left w:val="nil"/>
              <w:bottom w:val="none" w:sz="0" w:space="0" w:color="auto"/>
            </w:tcBorders>
            <w:noWrap/>
            <w:hideMark/>
          </w:tcPr>
          <w:p w14:paraId="49AC8201" w14:textId="232715C1"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20</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7A042E10" w14:textId="287F5E1E"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41</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D680384" w14:textId="57873CD9"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39</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A5BA16A" w14:textId="5C6970A1"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41</w:t>
            </w:r>
          </w:p>
        </w:tc>
        <w:tc>
          <w:tcPr>
            <w:tcW w:w="1276" w:type="dxa"/>
            <w:tcBorders>
              <w:bottom w:val="none" w:sz="0" w:space="0" w:color="auto"/>
            </w:tcBorders>
            <w:noWrap/>
            <w:hideMark/>
          </w:tcPr>
          <w:p w14:paraId="584C3DC4" w14:textId="7358BFF7"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33</w:t>
            </w:r>
          </w:p>
        </w:tc>
      </w:tr>
      <w:tr w:rsidR="001D0139" w:rsidRPr="00C2294E" w14:paraId="1AB7E379"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60A5B04D" w14:textId="77777777"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Employment level</w:t>
            </w:r>
          </w:p>
        </w:tc>
        <w:tc>
          <w:tcPr>
            <w:tcW w:w="1338" w:type="dxa"/>
            <w:tcBorders>
              <w:left w:val="nil"/>
              <w:bottom w:val="none" w:sz="0" w:space="0" w:color="auto"/>
            </w:tcBorders>
            <w:noWrap/>
            <w:hideMark/>
          </w:tcPr>
          <w:p w14:paraId="4F695E4D" w14:textId="00726FAB"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1</w:t>
            </w:r>
            <w:r w:rsidR="00EC7FDA" w:rsidRPr="00A87222">
              <w:rPr>
                <w:rFonts w:asciiTheme="minorHAnsi" w:eastAsia="Times New Roman" w:hAnsiTheme="minorHAnsi" w:cs="Times New Roman"/>
                <w:i w:val="0"/>
                <w:color w:val="000000"/>
                <w:sz w:val="18"/>
                <w:szCs w:val="18"/>
              </w:rPr>
              <w:t>3</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8539222" w14:textId="494E4D06" w:rsidR="00A97C01" w:rsidRPr="00A87222" w:rsidRDefault="000631E3" w:rsidP="00367060">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6</w:t>
            </w:r>
            <w:r w:rsidR="00EC7FDA" w:rsidRPr="00A87222">
              <w:rPr>
                <w:rFonts w:asciiTheme="minorHAnsi" w:eastAsia="Times New Roman" w:hAnsiTheme="minorHAnsi" w:cs="Times New Roman"/>
                <w:i w:val="0"/>
                <w:color w:val="000000"/>
                <w:sz w:val="18"/>
                <w:szCs w:val="18"/>
              </w:rPr>
              <w:t>5</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5919D3E1" w14:textId="48EE515A"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2</w:t>
            </w:r>
            <w:r w:rsidR="00EC7FDA" w:rsidRPr="00A87222">
              <w:rPr>
                <w:rFonts w:asciiTheme="minorHAnsi" w:eastAsia="Times New Roman" w:hAnsiTheme="minorHAnsi" w:cs="Times New Roman"/>
                <w:i w:val="0"/>
                <w:color w:val="000000"/>
                <w:sz w:val="18"/>
                <w:szCs w:val="18"/>
              </w:rPr>
              <w:t>2</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EE23B0D" w14:textId="30A5B2CE"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46</w:t>
            </w:r>
          </w:p>
        </w:tc>
        <w:tc>
          <w:tcPr>
            <w:tcW w:w="1276" w:type="dxa"/>
            <w:tcBorders>
              <w:bottom w:val="none" w:sz="0" w:space="0" w:color="auto"/>
            </w:tcBorders>
            <w:noWrap/>
            <w:hideMark/>
          </w:tcPr>
          <w:p w14:paraId="5800332B" w14:textId="00B1021D"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42</w:t>
            </w:r>
          </w:p>
        </w:tc>
      </w:tr>
      <w:tr w:rsidR="001D0139" w:rsidRPr="00C2294E" w14:paraId="74DD30A1"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1B9E4D2F" w14:textId="77777777"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Labor availability</w:t>
            </w:r>
          </w:p>
        </w:tc>
        <w:tc>
          <w:tcPr>
            <w:tcW w:w="1338" w:type="dxa"/>
            <w:tcBorders>
              <w:left w:val="nil"/>
              <w:bottom w:val="none" w:sz="0" w:space="0" w:color="auto"/>
            </w:tcBorders>
            <w:noWrap/>
            <w:hideMark/>
          </w:tcPr>
          <w:p w14:paraId="2303CEB4" w14:textId="552B25E7"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6</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41DA5EE" w14:textId="709BF47C"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56</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07393CB" w14:textId="4692724B"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38</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CF9C802" w14:textId="542D37C8"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34</w:t>
            </w:r>
          </w:p>
        </w:tc>
        <w:tc>
          <w:tcPr>
            <w:tcW w:w="1276" w:type="dxa"/>
            <w:tcBorders>
              <w:bottom w:val="none" w:sz="0" w:space="0" w:color="auto"/>
            </w:tcBorders>
            <w:noWrap/>
            <w:hideMark/>
          </w:tcPr>
          <w:p w14:paraId="257AD8D5" w14:textId="0A412336"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43</w:t>
            </w:r>
          </w:p>
        </w:tc>
      </w:tr>
      <w:tr w:rsidR="001D0139" w:rsidRPr="00C2294E" w14:paraId="187D85BC"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649F74BE" w14:textId="5216D4B8"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 xml:space="preserve">Selling </w:t>
            </w:r>
            <w:r w:rsidR="00097993">
              <w:rPr>
                <w:rFonts w:asciiTheme="minorHAnsi" w:eastAsia="Times New Roman" w:hAnsiTheme="minorHAnsi" w:cs="Times New Roman"/>
                <w:i w:val="0"/>
                <w:color w:val="000000"/>
                <w:sz w:val="18"/>
                <w:szCs w:val="18"/>
              </w:rPr>
              <w:t>p</w:t>
            </w:r>
            <w:r>
              <w:rPr>
                <w:rFonts w:asciiTheme="minorHAnsi" w:eastAsia="Times New Roman" w:hAnsiTheme="minorHAnsi" w:cs="Times New Roman"/>
                <w:i w:val="0"/>
                <w:color w:val="000000"/>
                <w:sz w:val="18"/>
                <w:szCs w:val="18"/>
              </w:rPr>
              <w:t>rices</w:t>
            </w:r>
          </w:p>
        </w:tc>
        <w:tc>
          <w:tcPr>
            <w:tcW w:w="1338" w:type="dxa"/>
            <w:tcBorders>
              <w:left w:val="nil"/>
              <w:bottom w:val="none" w:sz="0" w:space="0" w:color="auto"/>
            </w:tcBorders>
            <w:noWrap/>
            <w:hideMark/>
          </w:tcPr>
          <w:p w14:paraId="544E785C" w14:textId="5388160E"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17</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16C4B5E" w14:textId="5BC76633"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7</w:t>
            </w:r>
            <w:r w:rsidR="00EC7FDA" w:rsidRPr="00A87222">
              <w:rPr>
                <w:rFonts w:asciiTheme="minorHAnsi" w:eastAsia="Times New Roman" w:hAnsiTheme="minorHAnsi" w:cs="Times New Roman"/>
                <w:i w:val="0"/>
                <w:color w:val="000000"/>
                <w:sz w:val="18"/>
                <w:szCs w:val="18"/>
              </w:rPr>
              <w:t>0</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2944F36" w14:textId="1F3CEA4C"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1</w:t>
            </w:r>
            <w:r w:rsidR="00EC7FDA" w:rsidRPr="00A87222">
              <w:rPr>
                <w:rFonts w:asciiTheme="minorHAnsi" w:eastAsia="Times New Roman" w:hAnsiTheme="minorHAnsi" w:cs="Times New Roman"/>
                <w:i w:val="0"/>
                <w:color w:val="000000"/>
                <w:sz w:val="18"/>
                <w:szCs w:val="18"/>
              </w:rPr>
              <w:t>3</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5EAF79F8" w14:textId="36484362"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52</w:t>
            </w:r>
          </w:p>
        </w:tc>
        <w:tc>
          <w:tcPr>
            <w:tcW w:w="1276" w:type="dxa"/>
            <w:tcBorders>
              <w:bottom w:val="none" w:sz="0" w:space="0" w:color="auto"/>
            </w:tcBorders>
            <w:noWrap/>
            <w:hideMark/>
          </w:tcPr>
          <w:p w14:paraId="0CE71782" w14:textId="79308FD1"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46</w:t>
            </w:r>
          </w:p>
        </w:tc>
      </w:tr>
      <w:tr w:rsidR="001D0139" w:rsidRPr="00C2294E" w14:paraId="3D7C383F"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228036EB" w14:textId="743790C5"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 xml:space="preserve">Input </w:t>
            </w:r>
            <w:r w:rsidR="00097993">
              <w:rPr>
                <w:rFonts w:asciiTheme="minorHAnsi" w:eastAsia="Times New Roman" w:hAnsiTheme="minorHAnsi" w:cs="Times New Roman"/>
                <w:i w:val="0"/>
                <w:color w:val="000000"/>
                <w:sz w:val="18"/>
                <w:szCs w:val="18"/>
              </w:rPr>
              <w:t>c</w:t>
            </w:r>
            <w:r>
              <w:rPr>
                <w:rFonts w:asciiTheme="minorHAnsi" w:eastAsia="Times New Roman" w:hAnsiTheme="minorHAnsi" w:cs="Times New Roman"/>
                <w:i w:val="0"/>
                <w:color w:val="000000"/>
                <w:sz w:val="18"/>
                <w:szCs w:val="18"/>
              </w:rPr>
              <w:t>osts</w:t>
            </w:r>
          </w:p>
        </w:tc>
        <w:tc>
          <w:tcPr>
            <w:tcW w:w="1338" w:type="dxa"/>
            <w:tcBorders>
              <w:left w:val="nil"/>
              <w:bottom w:val="none" w:sz="0" w:space="0" w:color="auto"/>
            </w:tcBorders>
            <w:noWrap/>
            <w:hideMark/>
          </w:tcPr>
          <w:p w14:paraId="2BC7A300" w14:textId="7AEC486C"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41</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4C4F15F" w14:textId="70E0C68F"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50</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26C9018" w14:textId="3930F807"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9</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9E0C69C" w14:textId="493677A7"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66</w:t>
            </w:r>
          </w:p>
        </w:tc>
        <w:tc>
          <w:tcPr>
            <w:tcW w:w="1276" w:type="dxa"/>
            <w:tcBorders>
              <w:bottom w:val="none" w:sz="0" w:space="0" w:color="auto"/>
            </w:tcBorders>
            <w:noWrap/>
            <w:hideMark/>
          </w:tcPr>
          <w:p w14:paraId="0F2FF2A4" w14:textId="58F70A7B"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55</w:t>
            </w:r>
          </w:p>
        </w:tc>
      </w:tr>
      <w:tr w:rsidR="001D0139" w:rsidRPr="00C2294E" w14:paraId="23245E2D" w14:textId="77777777" w:rsidTr="009A1D8F">
        <w:trPr>
          <w:cnfStyle w:val="100000000000" w:firstRow="1" w:lastRow="0" w:firstColumn="0" w:lastColumn="0" w:oddVBand="0" w:evenVBand="0" w:oddHBand="0" w:evenHBand="0" w:firstRowFirstColumn="0" w:firstRowLastColumn="0" w:lastRowFirstColumn="0" w:lastRowLastColumn="0"/>
          <w:trHeight w:val="477"/>
          <w:tblHeader/>
          <w:jc w:val="center"/>
        </w:trPr>
        <w:tc>
          <w:tcPr>
            <w:tcW w:w="3897" w:type="dxa"/>
            <w:tcBorders>
              <w:bottom w:val="single" w:sz="4" w:space="0" w:color="auto"/>
              <w:right w:val="nil"/>
            </w:tcBorders>
            <w:noWrap/>
            <w:hideMark/>
          </w:tcPr>
          <w:p w14:paraId="6186AB57" w14:textId="336C2CB6" w:rsidR="00A97C01" w:rsidRPr="000A28AD" w:rsidRDefault="00174C4B" w:rsidP="001631FC">
            <w:pPr>
              <w:rPr>
                <w:rFonts w:asciiTheme="minorHAnsi" w:eastAsia="Times New Roman" w:hAnsiTheme="minorHAnsi" w:cs="Times New Roman"/>
                <w:i w:val="0"/>
                <w:color w:val="000000"/>
                <w:sz w:val="18"/>
                <w:szCs w:val="18"/>
              </w:rPr>
            </w:pPr>
            <w:r w:rsidRPr="00174C4B">
              <w:rPr>
                <w:rFonts w:ascii="Calibri" w:eastAsia="Times New Roman" w:hAnsi="Calibri" w:cs="Times New Roman"/>
                <w:i w:val="0"/>
                <w:color w:val="000000"/>
                <w:sz w:val="18"/>
                <w:szCs w:val="18"/>
              </w:rPr>
              <w:t>Space occupied (</w:t>
            </w:r>
            <w:r w:rsidR="00097993">
              <w:rPr>
                <w:rFonts w:ascii="Calibri" w:eastAsia="Times New Roman" w:hAnsi="Calibri" w:cs="Times New Roman"/>
                <w:i w:val="0"/>
                <w:color w:val="000000"/>
                <w:sz w:val="18"/>
                <w:szCs w:val="18"/>
              </w:rPr>
              <w:t>s</w:t>
            </w:r>
            <w:r w:rsidRPr="00174C4B">
              <w:rPr>
                <w:rFonts w:ascii="Calibri" w:eastAsia="Times New Roman" w:hAnsi="Calibri" w:cs="Times New Roman"/>
                <w:i w:val="0"/>
                <w:color w:val="000000"/>
                <w:sz w:val="18"/>
                <w:szCs w:val="18"/>
              </w:rPr>
              <w:t>quare footage)</w:t>
            </w:r>
            <w:r w:rsidR="009A1D8F">
              <w:rPr>
                <w:rFonts w:asciiTheme="minorHAnsi" w:eastAsia="Times New Roman" w:hAnsiTheme="minorHAnsi" w:cs="Times New Roman"/>
                <w:i w:val="0"/>
                <w:color w:val="000000"/>
                <w:sz w:val="18"/>
                <w:szCs w:val="18"/>
              </w:rPr>
              <w:br/>
              <w:t>Exports (sales for foreign clients)</w:t>
            </w:r>
          </w:p>
        </w:tc>
        <w:tc>
          <w:tcPr>
            <w:tcW w:w="1338" w:type="dxa"/>
            <w:tcBorders>
              <w:left w:val="nil"/>
              <w:bottom w:val="none" w:sz="0" w:space="0" w:color="auto"/>
            </w:tcBorders>
            <w:noWrap/>
            <w:hideMark/>
          </w:tcPr>
          <w:p w14:paraId="06681C60" w14:textId="28AC8C34"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5</w:t>
            </w:r>
            <w:r w:rsidR="00A97C01" w:rsidRPr="00A87222">
              <w:rPr>
                <w:rFonts w:asciiTheme="minorHAnsi" w:eastAsia="Times New Roman" w:hAnsiTheme="minorHAnsi" w:cs="Times New Roman"/>
                <w:i w:val="0"/>
                <w:color w:val="000000"/>
                <w:sz w:val="18"/>
                <w:szCs w:val="18"/>
              </w:rPr>
              <w:t>%</w:t>
            </w:r>
            <w:r w:rsidR="000631E3" w:rsidRPr="00A87222">
              <w:rPr>
                <w:rFonts w:asciiTheme="minorHAnsi" w:eastAsia="Times New Roman" w:hAnsiTheme="minorHAnsi" w:cs="Times New Roman"/>
                <w:i w:val="0"/>
                <w:color w:val="000000"/>
                <w:sz w:val="18"/>
                <w:szCs w:val="18"/>
              </w:rPr>
              <w:br/>
            </w:r>
            <w:r w:rsidRPr="00A87222">
              <w:rPr>
                <w:rFonts w:asciiTheme="minorHAnsi" w:eastAsia="Times New Roman" w:hAnsiTheme="minorHAnsi" w:cs="Times New Roman"/>
                <w:i w:val="0"/>
                <w:color w:val="000000"/>
                <w:sz w:val="18"/>
                <w:szCs w:val="18"/>
              </w:rPr>
              <w:t>2</w:t>
            </w:r>
            <w:r w:rsidR="009A1D8F"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3153456" w14:textId="74441A8A"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8</w:t>
            </w:r>
            <w:r w:rsidR="00EC7FDA" w:rsidRPr="00A87222">
              <w:rPr>
                <w:rFonts w:asciiTheme="minorHAnsi" w:eastAsia="Times New Roman" w:hAnsiTheme="minorHAnsi" w:cs="Times New Roman"/>
                <w:i w:val="0"/>
                <w:color w:val="000000"/>
                <w:sz w:val="18"/>
                <w:szCs w:val="18"/>
              </w:rPr>
              <w:t>6</w:t>
            </w:r>
            <w:r w:rsidR="00A97C01" w:rsidRPr="00A87222">
              <w:rPr>
                <w:rFonts w:asciiTheme="minorHAnsi" w:eastAsia="Times New Roman" w:hAnsiTheme="minorHAnsi" w:cs="Times New Roman"/>
                <w:i w:val="0"/>
                <w:color w:val="000000"/>
                <w:sz w:val="18"/>
                <w:szCs w:val="18"/>
              </w:rPr>
              <w:t>%</w:t>
            </w:r>
            <w:r w:rsidRPr="00A87222">
              <w:rPr>
                <w:rFonts w:asciiTheme="minorHAnsi" w:eastAsia="Times New Roman" w:hAnsiTheme="minorHAnsi" w:cs="Times New Roman"/>
                <w:i w:val="0"/>
                <w:color w:val="000000"/>
                <w:sz w:val="18"/>
                <w:szCs w:val="18"/>
              </w:rPr>
              <w:br/>
              <w:t>8</w:t>
            </w:r>
            <w:r w:rsidR="00EC7FDA" w:rsidRPr="00A87222">
              <w:rPr>
                <w:rFonts w:asciiTheme="minorHAnsi" w:eastAsia="Times New Roman" w:hAnsiTheme="minorHAnsi" w:cs="Times New Roman"/>
                <w:i w:val="0"/>
                <w:color w:val="000000"/>
                <w:sz w:val="18"/>
                <w:szCs w:val="18"/>
              </w:rPr>
              <w:t>5</w:t>
            </w:r>
            <w:r w:rsidR="009A1D8F"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F85C08D" w14:textId="52643EAC"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1</w:t>
            </w:r>
            <w:r w:rsidR="00EC7FDA" w:rsidRPr="00A87222">
              <w:rPr>
                <w:rFonts w:asciiTheme="minorHAnsi" w:eastAsia="Times New Roman" w:hAnsiTheme="minorHAnsi" w:cs="Times New Roman"/>
                <w:i w:val="0"/>
                <w:color w:val="000000"/>
                <w:sz w:val="18"/>
                <w:szCs w:val="18"/>
              </w:rPr>
              <w:t>0</w:t>
            </w:r>
            <w:r w:rsidR="00A97C01" w:rsidRPr="00A87222">
              <w:rPr>
                <w:rFonts w:asciiTheme="minorHAnsi" w:eastAsia="Times New Roman" w:hAnsiTheme="minorHAnsi" w:cs="Times New Roman"/>
                <w:i w:val="0"/>
                <w:color w:val="000000"/>
                <w:sz w:val="18"/>
                <w:szCs w:val="18"/>
              </w:rPr>
              <w:t>%</w:t>
            </w:r>
            <w:r w:rsidRPr="00A87222">
              <w:rPr>
                <w:rFonts w:asciiTheme="minorHAnsi" w:eastAsia="Times New Roman" w:hAnsiTheme="minorHAnsi" w:cs="Times New Roman"/>
                <w:i w:val="0"/>
                <w:color w:val="000000"/>
                <w:sz w:val="18"/>
                <w:szCs w:val="18"/>
              </w:rPr>
              <w:br/>
              <w:t>1</w:t>
            </w:r>
            <w:r w:rsidR="00EC7FDA" w:rsidRPr="00A87222">
              <w:rPr>
                <w:rFonts w:asciiTheme="minorHAnsi" w:eastAsia="Times New Roman" w:hAnsiTheme="minorHAnsi" w:cs="Times New Roman"/>
                <w:i w:val="0"/>
                <w:color w:val="000000"/>
                <w:sz w:val="18"/>
                <w:szCs w:val="18"/>
              </w:rPr>
              <w:t>4</w:t>
            </w:r>
            <w:r w:rsidR="009A1D8F"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938BDFD" w14:textId="10488CD8" w:rsidR="00A97C01" w:rsidRPr="00A87222" w:rsidRDefault="000631E3"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w:t>
            </w:r>
            <w:r w:rsidR="00A72C89" w:rsidRPr="00A87222">
              <w:rPr>
                <w:rFonts w:asciiTheme="minorHAnsi" w:eastAsia="Times New Roman" w:hAnsiTheme="minorHAnsi" w:cs="Times New Roman"/>
                <w:i w:val="0"/>
                <w:sz w:val="18"/>
                <w:szCs w:val="18"/>
              </w:rPr>
              <w:t>8</w:t>
            </w:r>
            <w:r w:rsidRPr="00A87222">
              <w:rPr>
                <w:rFonts w:asciiTheme="minorHAnsi" w:eastAsia="Times New Roman" w:hAnsiTheme="minorHAnsi" w:cs="Times New Roman"/>
                <w:i w:val="0"/>
                <w:sz w:val="18"/>
                <w:szCs w:val="18"/>
              </w:rPr>
              <w:br/>
              <w:t>45</w:t>
            </w:r>
          </w:p>
        </w:tc>
        <w:tc>
          <w:tcPr>
            <w:tcW w:w="1276" w:type="dxa"/>
            <w:tcBorders>
              <w:bottom w:val="none" w:sz="0" w:space="0" w:color="auto"/>
            </w:tcBorders>
            <w:noWrap/>
            <w:hideMark/>
          </w:tcPr>
          <w:p w14:paraId="60DD4170" w14:textId="5A4CD153"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45</w:t>
            </w:r>
            <w:r w:rsidR="00DD0D08" w:rsidRPr="00A87222">
              <w:rPr>
                <w:rFonts w:asciiTheme="minorHAnsi" w:eastAsia="Times New Roman" w:hAnsiTheme="minorHAnsi" w:cs="Times New Roman"/>
                <w:i w:val="0"/>
                <w:sz w:val="18"/>
                <w:szCs w:val="18"/>
              </w:rPr>
              <w:br/>
            </w:r>
            <w:r w:rsidRPr="00A87222">
              <w:rPr>
                <w:rFonts w:asciiTheme="minorHAnsi" w:eastAsia="Times New Roman" w:hAnsiTheme="minorHAnsi" w:cs="Times New Roman"/>
                <w:i w:val="0"/>
                <w:sz w:val="18"/>
                <w:szCs w:val="18"/>
              </w:rPr>
              <w:t>45</w:t>
            </w:r>
          </w:p>
        </w:tc>
      </w:tr>
    </w:tbl>
    <w:p w14:paraId="453D9AD2" w14:textId="77777777" w:rsidR="00A97C01" w:rsidRDefault="00A97C01" w:rsidP="009B3DF5">
      <w:pPr>
        <w:spacing w:after="0" w:line="72" w:lineRule="auto"/>
        <w:contextualSpacing/>
      </w:pPr>
    </w:p>
    <w:tbl>
      <w:tblPr>
        <w:tblStyle w:val="PlainTable4"/>
        <w:tblW w:w="10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omparison Worker's Indicators"/>
        <w:tblDescription w:val="Table showing labor indicators. Forty-seven percent of respondents indicated no changes for wages per worker while 59 percent specified no changes for benefirs per worker."/>
      </w:tblPr>
      <w:tblGrid>
        <w:gridCol w:w="2880"/>
        <w:gridCol w:w="902"/>
        <w:gridCol w:w="1334"/>
        <w:gridCol w:w="1350"/>
        <w:gridCol w:w="1350"/>
        <w:gridCol w:w="1350"/>
        <w:gridCol w:w="1355"/>
      </w:tblGrid>
      <w:tr w:rsidR="00E647F4" w:rsidRPr="000F78D4" w14:paraId="15C0300A"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right w:val="nil"/>
            </w:tcBorders>
            <w:shd w:val="clear" w:color="auto" w:fill="BDD6EE" w:themeFill="accent1" w:themeFillTint="66"/>
            <w:noWrap/>
            <w:hideMark/>
          </w:tcPr>
          <w:p w14:paraId="67694626" w14:textId="77777777" w:rsidR="00A97C01" w:rsidRPr="000A28AD" w:rsidRDefault="00722892"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Labor i</w:t>
            </w:r>
            <w:r w:rsidR="00531B2D" w:rsidRPr="000A28AD">
              <w:rPr>
                <w:rFonts w:ascii="Calibri" w:eastAsia="Times New Roman" w:hAnsi="Calibri" w:cs="Times New Roman"/>
                <w:color w:val="000000"/>
                <w:sz w:val="18"/>
                <w:szCs w:val="18"/>
              </w:rPr>
              <w:t>ndic</w:t>
            </w:r>
            <w:r w:rsidR="0043194C">
              <w:rPr>
                <w:rFonts w:ascii="Calibri" w:eastAsia="Times New Roman" w:hAnsi="Calibri" w:cs="Times New Roman"/>
                <w:color w:val="000000"/>
                <w:sz w:val="18"/>
                <w:szCs w:val="18"/>
              </w:rPr>
              <w:t>ators in the last 4 quarters</w:t>
            </w:r>
          </w:p>
        </w:tc>
        <w:tc>
          <w:tcPr>
            <w:tcW w:w="902" w:type="dxa"/>
            <w:tcBorders>
              <w:top w:val="single" w:sz="4" w:space="0" w:color="auto"/>
              <w:left w:val="nil"/>
              <w:bottom w:val="single" w:sz="4" w:space="0" w:color="auto"/>
            </w:tcBorders>
            <w:shd w:val="clear" w:color="auto" w:fill="BDD6EE" w:themeFill="accent1" w:themeFillTint="66"/>
            <w:noWrap/>
            <w:hideMark/>
          </w:tcPr>
          <w:p w14:paraId="4CB5142B"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59D392D5"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r w:rsidR="00933559">
              <w:rPr>
                <w:rFonts w:ascii="Calibri" w:eastAsia="Times New Roman" w:hAnsi="Calibri" w:cs="Times New Roman"/>
                <w:color w:val="000000"/>
                <w:sz w:val="18"/>
                <w:szCs w:val="18"/>
              </w:rPr>
              <w:t>%</w:t>
            </w:r>
          </w:p>
        </w:tc>
        <w:tc>
          <w:tcPr>
            <w:tcW w:w="1350" w:type="dxa"/>
            <w:tcBorders>
              <w:top w:val="single" w:sz="4" w:space="0" w:color="auto"/>
              <w:bottom w:val="single" w:sz="4" w:space="0" w:color="auto"/>
            </w:tcBorders>
            <w:shd w:val="clear" w:color="auto" w:fill="BDD6EE" w:themeFill="accent1" w:themeFillTint="66"/>
            <w:noWrap/>
            <w:hideMark/>
          </w:tcPr>
          <w:p w14:paraId="24B4CDB9"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350" w:type="dxa"/>
            <w:tcBorders>
              <w:top w:val="single" w:sz="4" w:space="0" w:color="auto"/>
              <w:bottom w:val="single" w:sz="4" w:space="0" w:color="auto"/>
            </w:tcBorders>
            <w:shd w:val="clear" w:color="auto" w:fill="BDD6EE" w:themeFill="accent1" w:themeFillTint="66"/>
            <w:noWrap/>
            <w:hideMark/>
          </w:tcPr>
          <w:p w14:paraId="4744EB9A"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3A0F5208"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355" w:type="dxa"/>
            <w:tcBorders>
              <w:top w:val="single" w:sz="4" w:space="0" w:color="auto"/>
              <w:bottom w:val="single" w:sz="4" w:space="0" w:color="auto"/>
            </w:tcBorders>
            <w:shd w:val="clear" w:color="auto" w:fill="BDD6EE" w:themeFill="accent1" w:themeFillTint="66"/>
            <w:noWrap/>
            <w:hideMark/>
          </w:tcPr>
          <w:p w14:paraId="78CAC3A3"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1D0139" w:rsidRPr="000F78D4" w14:paraId="7DF943B6"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right w:val="nil"/>
            </w:tcBorders>
            <w:noWrap/>
            <w:hideMark/>
          </w:tcPr>
          <w:p w14:paraId="08FFB1CC" w14:textId="77777777" w:rsidR="00A97C01" w:rsidRPr="000A28AD" w:rsidRDefault="00A97C01" w:rsidP="001631F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Wages per worker</w:t>
            </w:r>
          </w:p>
        </w:tc>
        <w:tc>
          <w:tcPr>
            <w:tcW w:w="902" w:type="dxa"/>
            <w:tcBorders>
              <w:top w:val="single" w:sz="4" w:space="0" w:color="auto"/>
              <w:left w:val="nil"/>
            </w:tcBorders>
            <w:noWrap/>
            <w:hideMark/>
          </w:tcPr>
          <w:p w14:paraId="5454A17F" w14:textId="77777777" w:rsidR="00A97C01" w:rsidRPr="00A87222" w:rsidRDefault="00391C6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11</w:t>
            </w:r>
            <w:r w:rsidR="00A97C01" w:rsidRPr="00A87222">
              <w:rPr>
                <w:rFonts w:ascii="Calibri" w:eastAsia="Times New Roman" w:hAnsi="Calibri" w:cs="Times New Roman"/>
                <w:b w:val="0"/>
                <w:color w:val="000000"/>
                <w:sz w:val="18"/>
                <w:szCs w:val="18"/>
              </w:rPr>
              <w:t>%</w:t>
            </w:r>
          </w:p>
        </w:tc>
        <w:tc>
          <w:tcPr>
            <w:tcW w:w="1334" w:type="dxa"/>
            <w:tcBorders>
              <w:top w:val="single" w:sz="4" w:space="0" w:color="auto"/>
            </w:tcBorders>
            <w:noWrap/>
            <w:hideMark/>
          </w:tcPr>
          <w:p w14:paraId="4DC45C6D" w14:textId="0F3D1560" w:rsidR="00A97C01" w:rsidRPr="00A87222" w:rsidRDefault="00EC7FD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38</w:t>
            </w:r>
            <w:r w:rsidR="00A97C01" w:rsidRPr="00A87222">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011AB2E5" w14:textId="0C01B3D8" w:rsidR="00A97C01" w:rsidRPr="00A87222" w:rsidRDefault="00391C6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1</w:t>
            </w:r>
            <w:r w:rsidR="00EC7FDA" w:rsidRPr="00A87222">
              <w:rPr>
                <w:rFonts w:ascii="Calibri" w:eastAsia="Times New Roman" w:hAnsi="Calibri" w:cs="Times New Roman"/>
                <w:b w:val="0"/>
                <w:color w:val="000000"/>
                <w:sz w:val="18"/>
                <w:szCs w:val="18"/>
              </w:rPr>
              <w:t>5</w:t>
            </w:r>
            <w:r w:rsidR="00A97C01" w:rsidRPr="00A87222">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784DA0E1" w14:textId="57833094" w:rsidR="00A97C01" w:rsidRPr="00A87222" w:rsidRDefault="00EC7FD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24</w:t>
            </w:r>
            <w:r w:rsidR="00A97C01" w:rsidRPr="00A87222">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5521BF97" w14:textId="2AA831A8" w:rsidR="00A97C01" w:rsidRPr="00A87222" w:rsidRDefault="00EC7FD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4</w:t>
            </w:r>
            <w:r w:rsidR="00A97C01" w:rsidRPr="00A87222">
              <w:rPr>
                <w:rFonts w:ascii="Calibri" w:eastAsia="Times New Roman" w:hAnsi="Calibri" w:cs="Times New Roman"/>
                <w:b w:val="0"/>
                <w:color w:val="000000"/>
                <w:sz w:val="18"/>
                <w:szCs w:val="18"/>
              </w:rPr>
              <w:t>%</w:t>
            </w:r>
          </w:p>
        </w:tc>
        <w:tc>
          <w:tcPr>
            <w:tcW w:w="1355" w:type="dxa"/>
            <w:tcBorders>
              <w:top w:val="single" w:sz="4" w:space="0" w:color="auto"/>
            </w:tcBorders>
            <w:noWrap/>
            <w:hideMark/>
          </w:tcPr>
          <w:p w14:paraId="0ABFDFCC" w14:textId="671707A3" w:rsidR="00A97C01" w:rsidRPr="00A87222" w:rsidRDefault="00EC7FD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8</w:t>
            </w:r>
            <w:r w:rsidR="00A97C01" w:rsidRPr="00A87222">
              <w:rPr>
                <w:rFonts w:ascii="Calibri" w:eastAsia="Times New Roman" w:hAnsi="Calibri" w:cs="Times New Roman"/>
                <w:b w:val="0"/>
                <w:color w:val="000000"/>
                <w:sz w:val="18"/>
                <w:szCs w:val="18"/>
              </w:rPr>
              <w:t>%</w:t>
            </w:r>
          </w:p>
        </w:tc>
      </w:tr>
      <w:tr w:rsidR="00E647F4" w:rsidRPr="000F78D4" w14:paraId="0B4135D7"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right w:val="nil"/>
            </w:tcBorders>
            <w:noWrap/>
            <w:hideMark/>
          </w:tcPr>
          <w:p w14:paraId="5EA79C92" w14:textId="77777777" w:rsidR="00A97C01" w:rsidRPr="000A28AD" w:rsidRDefault="00A97C01" w:rsidP="001631F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Benefits per worker</w:t>
            </w:r>
          </w:p>
        </w:tc>
        <w:tc>
          <w:tcPr>
            <w:tcW w:w="902" w:type="dxa"/>
            <w:tcBorders>
              <w:left w:val="nil"/>
            </w:tcBorders>
            <w:noWrap/>
            <w:hideMark/>
          </w:tcPr>
          <w:p w14:paraId="5F2E65D4" w14:textId="5C25694F" w:rsidR="00A97C01" w:rsidRPr="00A87222" w:rsidRDefault="00EC7FD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8</w:t>
            </w:r>
            <w:r w:rsidR="00A97C01" w:rsidRPr="00A87222">
              <w:rPr>
                <w:rFonts w:ascii="Calibri" w:eastAsia="Times New Roman" w:hAnsi="Calibri" w:cs="Times New Roman"/>
                <w:b w:val="0"/>
                <w:color w:val="000000"/>
                <w:sz w:val="18"/>
                <w:szCs w:val="18"/>
              </w:rPr>
              <w:t>%</w:t>
            </w:r>
          </w:p>
        </w:tc>
        <w:tc>
          <w:tcPr>
            <w:tcW w:w="1334" w:type="dxa"/>
            <w:noWrap/>
            <w:hideMark/>
          </w:tcPr>
          <w:p w14:paraId="12055939" w14:textId="52BF8A7B" w:rsidR="00A97C01" w:rsidRPr="00A87222" w:rsidRDefault="00391C6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5</w:t>
            </w:r>
            <w:r w:rsidR="00EC7FDA" w:rsidRPr="00A87222">
              <w:rPr>
                <w:rFonts w:ascii="Calibri" w:eastAsia="Times New Roman" w:hAnsi="Calibri" w:cs="Times New Roman"/>
                <w:b w:val="0"/>
                <w:color w:val="000000"/>
                <w:sz w:val="18"/>
                <w:szCs w:val="18"/>
              </w:rPr>
              <w:t>7</w:t>
            </w:r>
            <w:r w:rsidR="00A97C01" w:rsidRPr="00A87222">
              <w:rPr>
                <w:rFonts w:ascii="Calibri" w:eastAsia="Times New Roman" w:hAnsi="Calibri" w:cs="Times New Roman"/>
                <w:b w:val="0"/>
                <w:color w:val="000000"/>
                <w:sz w:val="18"/>
                <w:szCs w:val="18"/>
              </w:rPr>
              <w:t>%</w:t>
            </w:r>
          </w:p>
        </w:tc>
        <w:tc>
          <w:tcPr>
            <w:tcW w:w="1350" w:type="dxa"/>
            <w:noWrap/>
            <w:hideMark/>
          </w:tcPr>
          <w:p w14:paraId="723CA610" w14:textId="55B89E0F" w:rsidR="00A97C01" w:rsidRPr="00A87222" w:rsidRDefault="00EC7FD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14</w:t>
            </w:r>
            <w:r w:rsidR="00A97C01" w:rsidRPr="00A87222">
              <w:rPr>
                <w:rFonts w:ascii="Calibri" w:eastAsia="Times New Roman" w:hAnsi="Calibri" w:cs="Times New Roman"/>
                <w:b w:val="0"/>
                <w:color w:val="000000"/>
                <w:sz w:val="18"/>
                <w:szCs w:val="18"/>
              </w:rPr>
              <w:t>%</w:t>
            </w:r>
          </w:p>
        </w:tc>
        <w:tc>
          <w:tcPr>
            <w:tcW w:w="1350" w:type="dxa"/>
            <w:noWrap/>
            <w:hideMark/>
          </w:tcPr>
          <w:p w14:paraId="1BBBA329" w14:textId="28969A8F" w:rsidR="00A97C01" w:rsidRPr="00A87222" w:rsidRDefault="00391C6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1</w:t>
            </w:r>
            <w:r w:rsidR="00EC7FDA" w:rsidRPr="00A87222">
              <w:rPr>
                <w:rFonts w:ascii="Calibri" w:eastAsia="Times New Roman" w:hAnsi="Calibri" w:cs="Times New Roman"/>
                <w:b w:val="0"/>
                <w:color w:val="000000"/>
                <w:sz w:val="18"/>
                <w:szCs w:val="18"/>
              </w:rPr>
              <w:t>1</w:t>
            </w:r>
            <w:r w:rsidR="00A97C01" w:rsidRPr="00A87222">
              <w:rPr>
                <w:rFonts w:ascii="Calibri" w:eastAsia="Times New Roman" w:hAnsi="Calibri" w:cs="Times New Roman"/>
                <w:b w:val="0"/>
                <w:color w:val="000000"/>
                <w:sz w:val="18"/>
                <w:szCs w:val="18"/>
              </w:rPr>
              <w:t>%</w:t>
            </w:r>
          </w:p>
        </w:tc>
        <w:tc>
          <w:tcPr>
            <w:tcW w:w="1350" w:type="dxa"/>
            <w:noWrap/>
            <w:hideMark/>
          </w:tcPr>
          <w:p w14:paraId="086F0C60" w14:textId="79386D92" w:rsidR="00A97C01" w:rsidRPr="00A87222" w:rsidRDefault="00A2685D"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5</w:t>
            </w:r>
            <w:r w:rsidR="00A97C01" w:rsidRPr="00A87222">
              <w:rPr>
                <w:rFonts w:ascii="Calibri" w:eastAsia="Times New Roman" w:hAnsi="Calibri" w:cs="Times New Roman"/>
                <w:b w:val="0"/>
                <w:color w:val="000000"/>
                <w:sz w:val="18"/>
                <w:szCs w:val="18"/>
              </w:rPr>
              <w:t>%</w:t>
            </w:r>
          </w:p>
        </w:tc>
        <w:tc>
          <w:tcPr>
            <w:tcW w:w="1355" w:type="dxa"/>
            <w:noWrap/>
            <w:hideMark/>
          </w:tcPr>
          <w:p w14:paraId="273A865C" w14:textId="6BCD646C" w:rsidR="00A97C01" w:rsidRPr="00A87222" w:rsidRDefault="00EC7FD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5</w:t>
            </w:r>
            <w:r w:rsidR="00A97C01" w:rsidRPr="00A87222">
              <w:rPr>
                <w:rFonts w:ascii="Calibri" w:eastAsia="Times New Roman" w:hAnsi="Calibri" w:cs="Times New Roman"/>
                <w:b w:val="0"/>
                <w:color w:val="000000"/>
                <w:sz w:val="18"/>
                <w:szCs w:val="18"/>
              </w:rPr>
              <w:t>%</w:t>
            </w:r>
          </w:p>
        </w:tc>
      </w:tr>
    </w:tbl>
    <w:p w14:paraId="5FBB3858" w14:textId="77777777" w:rsidR="00A97C01" w:rsidRDefault="00A97C01" w:rsidP="009B3DF5">
      <w:pPr>
        <w:spacing w:after="0" w:line="72" w:lineRule="auto"/>
      </w:pPr>
    </w:p>
    <w:tbl>
      <w:tblPr>
        <w:tblStyle w:val="PlainTable4"/>
        <w:tblW w:w="10530"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Business Expectations for 2020"/>
        <w:tblDescription w:val="Minnesota business services firms expect unchanged or declining conditions for the coming year. Seventy-eight percent anticipate unchanged space occupied and 74 expect constant selling prices. Sixty-seven percent foresee unchanged labor availability. Nonetheless, nearly half of respondents expect a decline in profits while 43 percent anticipate a decline in sales revenue. All diffusion indexes were below 50 indicating contraction with profits showing the greatest decline at 34, compared to 62 the year before.&#10;"/>
      </w:tblPr>
      <w:tblGrid>
        <w:gridCol w:w="3775"/>
        <w:gridCol w:w="1440"/>
        <w:gridCol w:w="1350"/>
        <w:gridCol w:w="1260"/>
        <w:gridCol w:w="1350"/>
        <w:gridCol w:w="1355"/>
      </w:tblGrid>
      <w:tr w:rsidR="00A97C01" w:rsidRPr="000A28AD" w14:paraId="2A762DD6"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BDD6EE" w:themeFill="accent1" w:themeFillTint="66"/>
            <w:noWrap/>
            <w:hideMark/>
          </w:tcPr>
          <w:p w14:paraId="2C6D6D80" w14:textId="77777777" w:rsidR="00A97C01" w:rsidRPr="000A28AD" w:rsidRDefault="00722892"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 business i</w:t>
            </w:r>
            <w:r w:rsidR="00584451">
              <w:rPr>
                <w:rFonts w:ascii="Calibri" w:eastAsia="Times New Roman" w:hAnsi="Calibri" w:cs="Times New Roman"/>
                <w:color w:val="000000"/>
                <w:sz w:val="18"/>
                <w:szCs w:val="18"/>
              </w:rPr>
              <w:t>ndicators during the next four quarters</w:t>
            </w:r>
          </w:p>
        </w:tc>
        <w:tc>
          <w:tcPr>
            <w:tcW w:w="1440" w:type="dxa"/>
            <w:tcBorders>
              <w:top w:val="single" w:sz="4" w:space="0" w:color="auto"/>
              <w:bottom w:val="single" w:sz="4" w:space="0" w:color="auto"/>
            </w:tcBorders>
            <w:shd w:val="clear" w:color="auto" w:fill="BDD6EE" w:themeFill="accent1" w:themeFillTint="66"/>
            <w:noWrap/>
            <w:hideMark/>
          </w:tcPr>
          <w:p w14:paraId="7D0E7FB1"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350" w:type="dxa"/>
            <w:tcBorders>
              <w:top w:val="single" w:sz="4" w:space="0" w:color="auto"/>
              <w:bottom w:val="single" w:sz="4" w:space="0" w:color="auto"/>
            </w:tcBorders>
            <w:shd w:val="clear" w:color="auto" w:fill="BDD6EE" w:themeFill="accent1" w:themeFillTint="66"/>
            <w:noWrap/>
            <w:hideMark/>
          </w:tcPr>
          <w:p w14:paraId="3045B259"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260" w:type="dxa"/>
            <w:tcBorders>
              <w:top w:val="single" w:sz="4" w:space="0" w:color="auto"/>
              <w:bottom w:val="single" w:sz="4" w:space="0" w:color="auto"/>
            </w:tcBorders>
            <w:shd w:val="clear" w:color="auto" w:fill="BDD6EE" w:themeFill="accent1" w:themeFillTint="66"/>
            <w:noWrap/>
            <w:hideMark/>
          </w:tcPr>
          <w:p w14:paraId="7CD7BC59"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350" w:type="dxa"/>
            <w:tcBorders>
              <w:top w:val="single" w:sz="4" w:space="0" w:color="auto"/>
              <w:bottom w:val="single" w:sz="4" w:space="0" w:color="auto"/>
            </w:tcBorders>
            <w:shd w:val="clear" w:color="auto" w:fill="BDD6EE" w:themeFill="accent1" w:themeFillTint="66"/>
            <w:noWrap/>
            <w:hideMark/>
          </w:tcPr>
          <w:p w14:paraId="7B618F20" w14:textId="555210C6" w:rsidR="00A97C01" w:rsidRPr="00A72C89" w:rsidRDefault="00391C6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72C89">
              <w:rPr>
                <w:rFonts w:ascii="Calibri" w:eastAsia="Times New Roman" w:hAnsi="Calibri" w:cs="Times New Roman"/>
                <w:sz w:val="18"/>
                <w:szCs w:val="18"/>
              </w:rPr>
              <w:t>Diffusion Index 202</w:t>
            </w:r>
            <w:r w:rsidR="0089607A">
              <w:rPr>
                <w:rFonts w:ascii="Calibri" w:eastAsia="Times New Roman" w:hAnsi="Calibri" w:cs="Times New Roman"/>
                <w:sz w:val="18"/>
                <w:szCs w:val="18"/>
              </w:rPr>
              <w:t>1</w:t>
            </w:r>
            <w:r w:rsidR="00AE0EFF" w:rsidRPr="00A72C89">
              <w:rPr>
                <w:rFonts w:ascii="Calibri" w:eastAsia="Times New Roman" w:hAnsi="Calibri" w:cs="Times New Roman"/>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68BCB4EF" w14:textId="4195231E" w:rsidR="00A97C01" w:rsidRPr="00A72C89" w:rsidRDefault="00391C6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72C89">
              <w:rPr>
                <w:rFonts w:ascii="Calibri" w:eastAsia="Times New Roman" w:hAnsi="Calibri" w:cs="Times New Roman"/>
                <w:sz w:val="18"/>
                <w:szCs w:val="18"/>
              </w:rPr>
              <w:t>Diffusion Index 20</w:t>
            </w:r>
            <w:r w:rsidR="00A72C89" w:rsidRPr="00A72C89">
              <w:rPr>
                <w:rFonts w:ascii="Calibri" w:eastAsia="Times New Roman" w:hAnsi="Calibri" w:cs="Times New Roman"/>
                <w:sz w:val="18"/>
                <w:szCs w:val="18"/>
              </w:rPr>
              <w:t>20</w:t>
            </w:r>
            <w:r w:rsidR="00AE0EFF" w:rsidRPr="00A72C89">
              <w:rPr>
                <w:rFonts w:ascii="Calibri" w:eastAsia="Times New Roman" w:hAnsi="Calibri" w:cs="Times New Roman"/>
                <w:sz w:val="18"/>
                <w:szCs w:val="18"/>
                <w:vertAlign w:val="superscript"/>
              </w:rPr>
              <w:t>(2)</w:t>
            </w:r>
          </w:p>
        </w:tc>
      </w:tr>
      <w:tr w:rsidR="00391C69" w:rsidRPr="000A28AD" w14:paraId="4C9ED75D"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noWrap/>
            <w:hideMark/>
          </w:tcPr>
          <w:p w14:paraId="12C92BA2"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Sales revenue</w:t>
            </w:r>
          </w:p>
        </w:tc>
        <w:tc>
          <w:tcPr>
            <w:tcW w:w="1440" w:type="dxa"/>
            <w:tcBorders>
              <w:top w:val="single" w:sz="4" w:space="0" w:color="auto"/>
            </w:tcBorders>
            <w:noWrap/>
            <w:hideMark/>
          </w:tcPr>
          <w:p w14:paraId="4A9BA4DE" w14:textId="0E10B1DC"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42</w:t>
            </w:r>
            <w:r w:rsidR="00391C69"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5010A945" w14:textId="77777777"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38%</w:t>
            </w:r>
          </w:p>
        </w:tc>
        <w:tc>
          <w:tcPr>
            <w:tcW w:w="1260" w:type="dxa"/>
            <w:tcBorders>
              <w:top w:val="single" w:sz="4" w:space="0" w:color="auto"/>
            </w:tcBorders>
            <w:noWrap/>
            <w:hideMark/>
          </w:tcPr>
          <w:p w14:paraId="2A3AA6FE" w14:textId="0E1E5770"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19</w:t>
            </w:r>
            <w:r w:rsidR="00391C69"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27251978" w14:textId="3A12E0BB"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61</w:t>
            </w:r>
          </w:p>
        </w:tc>
        <w:tc>
          <w:tcPr>
            <w:tcW w:w="1355" w:type="dxa"/>
            <w:tcBorders>
              <w:top w:val="single" w:sz="4" w:space="0" w:color="auto"/>
            </w:tcBorders>
            <w:noWrap/>
            <w:hideMark/>
          </w:tcPr>
          <w:p w14:paraId="554ED71A" w14:textId="4C2FEC05"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38</w:t>
            </w:r>
          </w:p>
        </w:tc>
      </w:tr>
      <w:tr w:rsidR="00391C69" w:rsidRPr="000A28AD" w14:paraId="0E714465"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4B8D93D"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Profits</w:t>
            </w:r>
          </w:p>
        </w:tc>
        <w:tc>
          <w:tcPr>
            <w:tcW w:w="1440" w:type="dxa"/>
            <w:noWrap/>
            <w:hideMark/>
          </w:tcPr>
          <w:p w14:paraId="4272B374" w14:textId="397B7864"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40</w:t>
            </w:r>
            <w:r w:rsidR="00391C69" w:rsidRPr="00A87222">
              <w:rPr>
                <w:rFonts w:ascii="Calibri" w:eastAsia="Times New Roman" w:hAnsi="Calibri" w:cs="Times New Roman"/>
                <w:color w:val="000000"/>
                <w:sz w:val="18"/>
                <w:szCs w:val="18"/>
              </w:rPr>
              <w:t>%</w:t>
            </w:r>
          </w:p>
        </w:tc>
        <w:tc>
          <w:tcPr>
            <w:tcW w:w="1350" w:type="dxa"/>
            <w:noWrap/>
            <w:hideMark/>
          </w:tcPr>
          <w:p w14:paraId="455B4F1E" w14:textId="68D3555D"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w:t>
            </w:r>
            <w:r w:rsidR="00A2685D" w:rsidRPr="00A87222">
              <w:rPr>
                <w:rFonts w:ascii="Calibri" w:eastAsia="Times New Roman" w:hAnsi="Calibri" w:cs="Times New Roman"/>
                <w:color w:val="000000"/>
                <w:sz w:val="18"/>
                <w:szCs w:val="18"/>
              </w:rPr>
              <w:t>6</w:t>
            </w:r>
            <w:r w:rsidRPr="00A87222">
              <w:rPr>
                <w:rFonts w:ascii="Calibri" w:eastAsia="Times New Roman" w:hAnsi="Calibri" w:cs="Times New Roman"/>
                <w:color w:val="000000"/>
                <w:sz w:val="18"/>
                <w:szCs w:val="18"/>
              </w:rPr>
              <w:t>%</w:t>
            </w:r>
          </w:p>
        </w:tc>
        <w:tc>
          <w:tcPr>
            <w:tcW w:w="1260" w:type="dxa"/>
            <w:noWrap/>
            <w:hideMark/>
          </w:tcPr>
          <w:p w14:paraId="5AF713E7" w14:textId="47DB5823"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24</w:t>
            </w:r>
            <w:r w:rsidR="00391C69" w:rsidRPr="00A87222">
              <w:rPr>
                <w:rFonts w:ascii="Calibri" w:eastAsia="Times New Roman" w:hAnsi="Calibri" w:cs="Times New Roman"/>
                <w:color w:val="000000"/>
                <w:sz w:val="18"/>
                <w:szCs w:val="18"/>
              </w:rPr>
              <w:t>%</w:t>
            </w:r>
          </w:p>
        </w:tc>
        <w:tc>
          <w:tcPr>
            <w:tcW w:w="1350" w:type="dxa"/>
            <w:noWrap/>
            <w:hideMark/>
          </w:tcPr>
          <w:p w14:paraId="53C3753C" w14:textId="3E238A2C"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58</w:t>
            </w:r>
          </w:p>
        </w:tc>
        <w:tc>
          <w:tcPr>
            <w:tcW w:w="1355" w:type="dxa"/>
            <w:noWrap/>
            <w:hideMark/>
          </w:tcPr>
          <w:p w14:paraId="0C75635B" w14:textId="5EEDAD93"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34</w:t>
            </w:r>
          </w:p>
        </w:tc>
      </w:tr>
      <w:tr w:rsidR="00391C69" w:rsidRPr="000A28AD" w14:paraId="70306819"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2A59A239"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Productivity</w:t>
            </w:r>
          </w:p>
        </w:tc>
        <w:tc>
          <w:tcPr>
            <w:tcW w:w="1440" w:type="dxa"/>
            <w:noWrap/>
            <w:hideMark/>
          </w:tcPr>
          <w:p w14:paraId="4BB11BC7" w14:textId="7870DC48"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35</w:t>
            </w:r>
            <w:r w:rsidR="00391C69" w:rsidRPr="00A87222">
              <w:rPr>
                <w:rFonts w:ascii="Calibri" w:eastAsia="Times New Roman" w:hAnsi="Calibri" w:cs="Times New Roman"/>
                <w:color w:val="000000"/>
                <w:sz w:val="18"/>
                <w:szCs w:val="18"/>
              </w:rPr>
              <w:t>%</w:t>
            </w:r>
          </w:p>
        </w:tc>
        <w:tc>
          <w:tcPr>
            <w:tcW w:w="1350" w:type="dxa"/>
            <w:noWrap/>
            <w:hideMark/>
          </w:tcPr>
          <w:p w14:paraId="64838E89" w14:textId="1A360B51"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51</w:t>
            </w:r>
            <w:r w:rsidR="00391C69" w:rsidRPr="00A87222">
              <w:rPr>
                <w:rFonts w:ascii="Calibri" w:eastAsia="Times New Roman" w:hAnsi="Calibri" w:cs="Times New Roman"/>
                <w:color w:val="000000"/>
                <w:sz w:val="18"/>
                <w:szCs w:val="18"/>
              </w:rPr>
              <w:t>%</w:t>
            </w:r>
          </w:p>
        </w:tc>
        <w:tc>
          <w:tcPr>
            <w:tcW w:w="1260" w:type="dxa"/>
            <w:noWrap/>
            <w:hideMark/>
          </w:tcPr>
          <w:p w14:paraId="26001788" w14:textId="508AEFF1"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14</w:t>
            </w:r>
            <w:r w:rsidR="00391C69" w:rsidRPr="00A87222">
              <w:rPr>
                <w:rFonts w:ascii="Calibri" w:eastAsia="Times New Roman" w:hAnsi="Calibri" w:cs="Times New Roman"/>
                <w:color w:val="000000"/>
                <w:sz w:val="18"/>
                <w:szCs w:val="18"/>
              </w:rPr>
              <w:t>%</w:t>
            </w:r>
          </w:p>
        </w:tc>
        <w:tc>
          <w:tcPr>
            <w:tcW w:w="1350" w:type="dxa"/>
            <w:noWrap/>
            <w:hideMark/>
          </w:tcPr>
          <w:p w14:paraId="6C937640" w14:textId="7891F357"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61</w:t>
            </w:r>
          </w:p>
        </w:tc>
        <w:tc>
          <w:tcPr>
            <w:tcW w:w="1355" w:type="dxa"/>
            <w:noWrap/>
            <w:hideMark/>
          </w:tcPr>
          <w:p w14:paraId="702C57C7" w14:textId="454952F6"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40</w:t>
            </w:r>
          </w:p>
        </w:tc>
      </w:tr>
      <w:tr w:rsidR="00391C69" w:rsidRPr="000A28AD" w14:paraId="3D45BA6C"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C167C33"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Employment level</w:t>
            </w:r>
          </w:p>
        </w:tc>
        <w:tc>
          <w:tcPr>
            <w:tcW w:w="1440" w:type="dxa"/>
            <w:noWrap/>
            <w:hideMark/>
          </w:tcPr>
          <w:p w14:paraId="55A76068" w14:textId="269CC188"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24</w:t>
            </w:r>
            <w:r w:rsidR="00391C69" w:rsidRPr="00A87222">
              <w:rPr>
                <w:rFonts w:ascii="Calibri" w:eastAsia="Times New Roman" w:hAnsi="Calibri" w:cs="Times New Roman"/>
                <w:color w:val="000000"/>
                <w:sz w:val="18"/>
                <w:szCs w:val="18"/>
              </w:rPr>
              <w:t>%</w:t>
            </w:r>
          </w:p>
        </w:tc>
        <w:tc>
          <w:tcPr>
            <w:tcW w:w="1350" w:type="dxa"/>
            <w:noWrap/>
            <w:hideMark/>
          </w:tcPr>
          <w:p w14:paraId="112A523F" w14:textId="6151AD69"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6</w:t>
            </w:r>
            <w:r w:rsidR="00A2685D" w:rsidRPr="00A87222">
              <w:rPr>
                <w:rFonts w:ascii="Calibri" w:eastAsia="Times New Roman" w:hAnsi="Calibri" w:cs="Times New Roman"/>
                <w:color w:val="000000"/>
                <w:sz w:val="18"/>
                <w:szCs w:val="18"/>
              </w:rPr>
              <w:t>2</w:t>
            </w:r>
            <w:r w:rsidRPr="00A87222">
              <w:rPr>
                <w:rFonts w:ascii="Calibri" w:eastAsia="Times New Roman" w:hAnsi="Calibri" w:cs="Times New Roman"/>
                <w:color w:val="000000"/>
                <w:sz w:val="18"/>
                <w:szCs w:val="18"/>
              </w:rPr>
              <w:t>%</w:t>
            </w:r>
          </w:p>
        </w:tc>
        <w:tc>
          <w:tcPr>
            <w:tcW w:w="1260" w:type="dxa"/>
            <w:noWrap/>
            <w:hideMark/>
          </w:tcPr>
          <w:p w14:paraId="1FA1F3E9" w14:textId="6EE0018A"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w:t>
            </w:r>
            <w:r w:rsidR="00391C69" w:rsidRPr="00A87222">
              <w:rPr>
                <w:rFonts w:ascii="Calibri" w:eastAsia="Times New Roman" w:hAnsi="Calibri" w:cs="Times New Roman"/>
                <w:color w:val="000000"/>
                <w:sz w:val="18"/>
                <w:szCs w:val="18"/>
              </w:rPr>
              <w:t>5%</w:t>
            </w:r>
          </w:p>
        </w:tc>
        <w:tc>
          <w:tcPr>
            <w:tcW w:w="1350" w:type="dxa"/>
            <w:noWrap/>
            <w:hideMark/>
          </w:tcPr>
          <w:p w14:paraId="2316EDE4" w14:textId="23555460"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55</w:t>
            </w:r>
          </w:p>
        </w:tc>
        <w:tc>
          <w:tcPr>
            <w:tcW w:w="1355" w:type="dxa"/>
            <w:noWrap/>
            <w:hideMark/>
          </w:tcPr>
          <w:p w14:paraId="41B0F8CD" w14:textId="7529E994"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43</w:t>
            </w:r>
          </w:p>
        </w:tc>
      </w:tr>
      <w:tr w:rsidR="00391C69" w:rsidRPr="000A28AD" w14:paraId="6260106F"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70D94EE"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Labor availability</w:t>
            </w:r>
          </w:p>
        </w:tc>
        <w:tc>
          <w:tcPr>
            <w:tcW w:w="1440" w:type="dxa"/>
            <w:noWrap/>
            <w:hideMark/>
          </w:tcPr>
          <w:p w14:paraId="1F17442E" w14:textId="5EC535DE"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w:t>
            </w:r>
          </w:p>
        </w:tc>
        <w:tc>
          <w:tcPr>
            <w:tcW w:w="1350" w:type="dxa"/>
            <w:noWrap/>
            <w:hideMark/>
          </w:tcPr>
          <w:p w14:paraId="5A9F6AC2" w14:textId="229141F5"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6</w:t>
            </w:r>
            <w:r w:rsidR="00A2685D" w:rsidRPr="00A87222">
              <w:rPr>
                <w:rFonts w:ascii="Calibri" w:eastAsia="Times New Roman" w:hAnsi="Calibri" w:cs="Times New Roman"/>
                <w:color w:val="000000"/>
                <w:sz w:val="18"/>
                <w:szCs w:val="18"/>
              </w:rPr>
              <w:t>5</w:t>
            </w:r>
            <w:r w:rsidRPr="00A87222">
              <w:rPr>
                <w:rFonts w:ascii="Calibri" w:eastAsia="Times New Roman" w:hAnsi="Calibri" w:cs="Times New Roman"/>
                <w:color w:val="000000"/>
                <w:sz w:val="18"/>
                <w:szCs w:val="18"/>
              </w:rPr>
              <w:t>%</w:t>
            </w:r>
          </w:p>
        </w:tc>
        <w:tc>
          <w:tcPr>
            <w:tcW w:w="1260" w:type="dxa"/>
            <w:noWrap/>
            <w:hideMark/>
          </w:tcPr>
          <w:p w14:paraId="30CF6A58" w14:textId="61323918"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31</w:t>
            </w:r>
            <w:r w:rsidR="00391C69" w:rsidRPr="00A87222">
              <w:rPr>
                <w:rFonts w:ascii="Calibri" w:eastAsia="Times New Roman" w:hAnsi="Calibri" w:cs="Times New Roman"/>
                <w:color w:val="000000"/>
                <w:sz w:val="18"/>
                <w:szCs w:val="18"/>
              </w:rPr>
              <w:t>%</w:t>
            </w:r>
          </w:p>
        </w:tc>
        <w:tc>
          <w:tcPr>
            <w:tcW w:w="1350" w:type="dxa"/>
            <w:noWrap/>
            <w:hideMark/>
          </w:tcPr>
          <w:p w14:paraId="202F91F4" w14:textId="345BE477"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37</w:t>
            </w:r>
          </w:p>
        </w:tc>
        <w:tc>
          <w:tcPr>
            <w:tcW w:w="1355" w:type="dxa"/>
            <w:noWrap/>
            <w:hideMark/>
          </w:tcPr>
          <w:p w14:paraId="5BFF0B44" w14:textId="72108E64"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4</w:t>
            </w:r>
            <w:r w:rsidR="00A72C89" w:rsidRPr="00A87222">
              <w:rPr>
                <w:rFonts w:ascii="Calibri" w:eastAsia="Times New Roman" w:hAnsi="Calibri" w:cs="Times New Roman"/>
                <w:sz w:val="18"/>
                <w:szCs w:val="18"/>
              </w:rPr>
              <w:t>8</w:t>
            </w:r>
          </w:p>
        </w:tc>
      </w:tr>
      <w:tr w:rsidR="00391C69" w:rsidRPr="00A2685D" w14:paraId="10EABF7A"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A635F46" w14:textId="1D70ED70"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Selling prices</w:t>
            </w:r>
            <w:r>
              <w:rPr>
                <w:rFonts w:ascii="Calibri" w:eastAsia="Times New Roman" w:hAnsi="Calibri" w:cs="Times New Roman"/>
                <w:b w:val="0"/>
                <w:color w:val="000000"/>
                <w:sz w:val="18"/>
                <w:szCs w:val="18"/>
              </w:rPr>
              <w:br/>
              <w:t xml:space="preserve">Input </w:t>
            </w:r>
            <w:r w:rsidR="00097993">
              <w:rPr>
                <w:rFonts w:ascii="Calibri" w:eastAsia="Times New Roman" w:hAnsi="Calibri" w:cs="Times New Roman"/>
                <w:b w:val="0"/>
                <w:color w:val="000000"/>
                <w:sz w:val="18"/>
                <w:szCs w:val="18"/>
              </w:rPr>
              <w:t>c</w:t>
            </w:r>
            <w:r>
              <w:rPr>
                <w:rFonts w:ascii="Calibri" w:eastAsia="Times New Roman" w:hAnsi="Calibri" w:cs="Times New Roman"/>
                <w:b w:val="0"/>
                <w:color w:val="000000"/>
                <w:sz w:val="18"/>
                <w:szCs w:val="18"/>
              </w:rPr>
              <w:t>ost</w:t>
            </w:r>
            <w:r w:rsidR="00FA15BD">
              <w:rPr>
                <w:rFonts w:ascii="Calibri" w:eastAsia="Times New Roman" w:hAnsi="Calibri" w:cs="Times New Roman"/>
                <w:b w:val="0"/>
                <w:color w:val="000000"/>
                <w:sz w:val="18"/>
                <w:szCs w:val="18"/>
              </w:rPr>
              <w:t>s</w:t>
            </w:r>
          </w:p>
        </w:tc>
        <w:tc>
          <w:tcPr>
            <w:tcW w:w="1440" w:type="dxa"/>
            <w:noWrap/>
            <w:hideMark/>
          </w:tcPr>
          <w:p w14:paraId="714AB7F3" w14:textId="4A84C178"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35</w:t>
            </w:r>
            <w:r w:rsidR="00391C69" w:rsidRPr="00A87222">
              <w:rPr>
                <w:rFonts w:ascii="Calibri" w:eastAsia="Times New Roman" w:hAnsi="Calibri" w:cs="Times New Roman"/>
                <w:color w:val="000000"/>
                <w:sz w:val="18"/>
                <w:szCs w:val="18"/>
              </w:rPr>
              <w:t>%</w:t>
            </w:r>
            <w:r w:rsidR="00391C69" w:rsidRPr="00A87222">
              <w:rPr>
                <w:rFonts w:ascii="Calibri" w:eastAsia="Times New Roman" w:hAnsi="Calibri" w:cs="Times New Roman"/>
                <w:color w:val="000000"/>
                <w:sz w:val="18"/>
                <w:szCs w:val="18"/>
              </w:rPr>
              <w:br/>
            </w:r>
            <w:r w:rsidRPr="00A87222">
              <w:rPr>
                <w:rFonts w:ascii="Calibri" w:eastAsia="Times New Roman" w:hAnsi="Calibri" w:cs="Times New Roman"/>
                <w:color w:val="000000"/>
                <w:sz w:val="18"/>
                <w:szCs w:val="18"/>
              </w:rPr>
              <w:t>50</w:t>
            </w:r>
            <w:r w:rsidR="00391C69" w:rsidRPr="00A87222">
              <w:rPr>
                <w:rFonts w:ascii="Calibri" w:eastAsia="Times New Roman" w:hAnsi="Calibri" w:cs="Times New Roman"/>
                <w:color w:val="000000"/>
                <w:sz w:val="18"/>
                <w:szCs w:val="18"/>
              </w:rPr>
              <w:t>%</w:t>
            </w:r>
          </w:p>
        </w:tc>
        <w:tc>
          <w:tcPr>
            <w:tcW w:w="1350" w:type="dxa"/>
            <w:noWrap/>
            <w:hideMark/>
          </w:tcPr>
          <w:p w14:paraId="5A7FD5F8" w14:textId="3D7B3BF4"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57</w:t>
            </w:r>
            <w:r w:rsidR="00391C69" w:rsidRPr="00A87222">
              <w:rPr>
                <w:rFonts w:ascii="Calibri" w:eastAsia="Times New Roman" w:hAnsi="Calibri" w:cs="Times New Roman"/>
                <w:color w:val="000000"/>
                <w:sz w:val="18"/>
                <w:szCs w:val="18"/>
              </w:rPr>
              <w:t>%</w:t>
            </w:r>
            <w:r w:rsidR="00391C69" w:rsidRPr="00A87222">
              <w:rPr>
                <w:rFonts w:ascii="Calibri" w:eastAsia="Times New Roman" w:hAnsi="Calibri" w:cs="Times New Roman"/>
                <w:color w:val="000000"/>
                <w:sz w:val="18"/>
                <w:szCs w:val="18"/>
              </w:rPr>
              <w:br/>
            </w:r>
            <w:r w:rsidRPr="00A87222">
              <w:rPr>
                <w:rFonts w:ascii="Calibri" w:eastAsia="Times New Roman" w:hAnsi="Calibri" w:cs="Times New Roman"/>
                <w:color w:val="000000"/>
                <w:sz w:val="18"/>
                <w:szCs w:val="18"/>
              </w:rPr>
              <w:t>48</w:t>
            </w:r>
            <w:r w:rsidR="00391C69" w:rsidRPr="00A87222">
              <w:rPr>
                <w:rFonts w:ascii="Calibri" w:eastAsia="Times New Roman" w:hAnsi="Calibri" w:cs="Times New Roman"/>
                <w:color w:val="000000"/>
                <w:sz w:val="18"/>
                <w:szCs w:val="18"/>
              </w:rPr>
              <w:t>%</w:t>
            </w:r>
          </w:p>
        </w:tc>
        <w:tc>
          <w:tcPr>
            <w:tcW w:w="1260" w:type="dxa"/>
            <w:noWrap/>
            <w:hideMark/>
          </w:tcPr>
          <w:p w14:paraId="75406C1F" w14:textId="0CE8A473"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8</w:t>
            </w:r>
            <w:r w:rsidR="00391C69" w:rsidRPr="00A87222">
              <w:rPr>
                <w:rFonts w:ascii="Calibri" w:eastAsia="Times New Roman" w:hAnsi="Calibri" w:cs="Times New Roman"/>
                <w:color w:val="000000"/>
                <w:sz w:val="18"/>
                <w:szCs w:val="18"/>
              </w:rPr>
              <w:t>%</w:t>
            </w:r>
            <w:r w:rsidR="00391C69" w:rsidRPr="00A87222">
              <w:rPr>
                <w:rFonts w:ascii="Calibri" w:eastAsia="Times New Roman" w:hAnsi="Calibri" w:cs="Times New Roman"/>
                <w:color w:val="000000"/>
                <w:sz w:val="18"/>
                <w:szCs w:val="18"/>
              </w:rPr>
              <w:br/>
            </w:r>
            <w:r w:rsidRPr="00A87222">
              <w:rPr>
                <w:rFonts w:ascii="Calibri" w:eastAsia="Times New Roman" w:hAnsi="Calibri" w:cs="Times New Roman"/>
                <w:color w:val="000000"/>
                <w:sz w:val="18"/>
                <w:szCs w:val="18"/>
              </w:rPr>
              <w:t>3</w:t>
            </w:r>
            <w:r w:rsidR="00391C69" w:rsidRPr="00A87222">
              <w:rPr>
                <w:rFonts w:ascii="Calibri" w:eastAsia="Times New Roman" w:hAnsi="Calibri" w:cs="Times New Roman"/>
                <w:color w:val="000000"/>
                <w:sz w:val="18"/>
                <w:szCs w:val="18"/>
              </w:rPr>
              <w:t>%</w:t>
            </w:r>
          </w:p>
        </w:tc>
        <w:tc>
          <w:tcPr>
            <w:tcW w:w="1350" w:type="dxa"/>
            <w:noWrap/>
            <w:hideMark/>
          </w:tcPr>
          <w:p w14:paraId="4380EA15" w14:textId="4EE88CEF"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64</w:t>
            </w:r>
            <w:r w:rsidR="00391C69" w:rsidRPr="00A87222">
              <w:rPr>
                <w:rFonts w:ascii="Calibri" w:eastAsia="Times New Roman" w:hAnsi="Calibri" w:cs="Times New Roman"/>
                <w:sz w:val="18"/>
                <w:szCs w:val="18"/>
              </w:rPr>
              <w:br/>
            </w:r>
            <w:r w:rsidRPr="00A87222">
              <w:rPr>
                <w:rFonts w:ascii="Calibri" w:eastAsia="Times New Roman" w:hAnsi="Calibri" w:cs="Times New Roman"/>
                <w:sz w:val="18"/>
                <w:szCs w:val="18"/>
              </w:rPr>
              <w:t>74</w:t>
            </w:r>
          </w:p>
        </w:tc>
        <w:tc>
          <w:tcPr>
            <w:tcW w:w="1355" w:type="dxa"/>
            <w:noWrap/>
            <w:hideMark/>
          </w:tcPr>
          <w:p w14:paraId="43A0F52E" w14:textId="64F523CF"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46</w:t>
            </w:r>
            <w:r w:rsidR="00391C69" w:rsidRPr="00A87222">
              <w:rPr>
                <w:rFonts w:ascii="Calibri" w:eastAsia="Times New Roman" w:hAnsi="Calibri" w:cs="Times New Roman"/>
                <w:sz w:val="18"/>
                <w:szCs w:val="18"/>
              </w:rPr>
              <w:br/>
            </w:r>
            <w:r w:rsidRPr="00A87222">
              <w:rPr>
                <w:rFonts w:ascii="Calibri" w:eastAsia="Times New Roman" w:hAnsi="Calibri" w:cs="Times New Roman"/>
                <w:sz w:val="18"/>
                <w:szCs w:val="18"/>
              </w:rPr>
              <w:t>56</w:t>
            </w:r>
          </w:p>
        </w:tc>
      </w:tr>
      <w:tr w:rsidR="00391C69" w:rsidRPr="000A28AD" w14:paraId="3EBEBA0D"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8C07607" w14:textId="7E19D40D"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Space occupied (</w:t>
            </w:r>
            <w:r w:rsidR="00097993">
              <w:rPr>
                <w:rFonts w:ascii="Calibri" w:eastAsia="Times New Roman" w:hAnsi="Calibri" w:cs="Times New Roman"/>
                <w:b w:val="0"/>
                <w:color w:val="000000"/>
                <w:sz w:val="18"/>
                <w:szCs w:val="18"/>
              </w:rPr>
              <w:t>s</w:t>
            </w:r>
            <w:r>
              <w:rPr>
                <w:rFonts w:ascii="Calibri" w:eastAsia="Times New Roman" w:hAnsi="Calibri" w:cs="Times New Roman"/>
                <w:b w:val="0"/>
                <w:color w:val="000000"/>
                <w:sz w:val="18"/>
                <w:szCs w:val="18"/>
              </w:rPr>
              <w:t>quare footage)</w:t>
            </w:r>
          </w:p>
        </w:tc>
        <w:tc>
          <w:tcPr>
            <w:tcW w:w="1440" w:type="dxa"/>
            <w:noWrap/>
            <w:hideMark/>
          </w:tcPr>
          <w:p w14:paraId="2A7CA1B1" w14:textId="609A6F4E"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w:t>
            </w:r>
            <w:r w:rsidR="00391C69" w:rsidRPr="00A87222">
              <w:rPr>
                <w:rFonts w:ascii="Calibri" w:eastAsia="Times New Roman" w:hAnsi="Calibri" w:cs="Times New Roman"/>
                <w:color w:val="000000"/>
                <w:sz w:val="18"/>
                <w:szCs w:val="18"/>
              </w:rPr>
              <w:t>%</w:t>
            </w:r>
          </w:p>
        </w:tc>
        <w:tc>
          <w:tcPr>
            <w:tcW w:w="1350" w:type="dxa"/>
            <w:noWrap/>
            <w:hideMark/>
          </w:tcPr>
          <w:p w14:paraId="0A53D128" w14:textId="26978180"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8</w:t>
            </w:r>
            <w:r w:rsidR="00391C69" w:rsidRPr="00A87222">
              <w:rPr>
                <w:rFonts w:ascii="Calibri" w:eastAsia="Times New Roman" w:hAnsi="Calibri" w:cs="Times New Roman"/>
                <w:color w:val="000000"/>
                <w:sz w:val="18"/>
                <w:szCs w:val="18"/>
              </w:rPr>
              <w:t>8%</w:t>
            </w:r>
          </w:p>
        </w:tc>
        <w:tc>
          <w:tcPr>
            <w:tcW w:w="1260" w:type="dxa"/>
            <w:noWrap/>
            <w:hideMark/>
          </w:tcPr>
          <w:p w14:paraId="4C8B9471" w14:textId="28B6BE6B"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8</w:t>
            </w:r>
            <w:r w:rsidR="00391C69" w:rsidRPr="00A87222">
              <w:rPr>
                <w:rFonts w:ascii="Calibri" w:eastAsia="Times New Roman" w:hAnsi="Calibri" w:cs="Times New Roman"/>
                <w:color w:val="000000"/>
                <w:sz w:val="18"/>
                <w:szCs w:val="18"/>
              </w:rPr>
              <w:t>%</w:t>
            </w:r>
          </w:p>
        </w:tc>
        <w:tc>
          <w:tcPr>
            <w:tcW w:w="1350" w:type="dxa"/>
            <w:noWrap/>
            <w:hideMark/>
          </w:tcPr>
          <w:p w14:paraId="21CA93A3" w14:textId="506BD21D"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4</w:t>
            </w:r>
            <w:r w:rsidR="00A72C89" w:rsidRPr="00A87222">
              <w:rPr>
                <w:rFonts w:ascii="Calibri" w:eastAsia="Times New Roman" w:hAnsi="Calibri" w:cs="Times New Roman"/>
                <w:sz w:val="18"/>
                <w:szCs w:val="18"/>
              </w:rPr>
              <w:t>9</w:t>
            </w:r>
          </w:p>
        </w:tc>
        <w:tc>
          <w:tcPr>
            <w:tcW w:w="1355" w:type="dxa"/>
            <w:noWrap/>
            <w:hideMark/>
          </w:tcPr>
          <w:p w14:paraId="738E8CDC" w14:textId="572DB028"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42</w:t>
            </w:r>
          </w:p>
        </w:tc>
      </w:tr>
      <w:tr w:rsidR="00391C69" w:rsidRPr="000A28AD" w14:paraId="7665DD09"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5F44E61" w14:textId="77777777" w:rsidR="00391C69" w:rsidRPr="00174C4B" w:rsidRDefault="00391C69" w:rsidP="00391C69">
            <w:pPr>
              <w:rPr>
                <w:rFonts w:ascii="Calibri" w:eastAsia="Times New Roman" w:hAnsi="Calibri" w:cs="Times New Roman"/>
                <w:b w:val="0"/>
                <w:color w:val="000000"/>
                <w:sz w:val="18"/>
                <w:szCs w:val="18"/>
              </w:rPr>
            </w:pPr>
            <w:r w:rsidRPr="00174C4B">
              <w:rPr>
                <w:rFonts w:eastAsia="Times New Roman" w:cs="Times New Roman"/>
                <w:b w:val="0"/>
                <w:color w:val="000000"/>
                <w:sz w:val="18"/>
                <w:szCs w:val="18"/>
              </w:rPr>
              <w:t>Exports (sales for foreign clients)</w:t>
            </w:r>
          </w:p>
        </w:tc>
        <w:tc>
          <w:tcPr>
            <w:tcW w:w="1440" w:type="dxa"/>
            <w:noWrap/>
            <w:hideMark/>
          </w:tcPr>
          <w:p w14:paraId="786FA7EA" w14:textId="2B3B5F56" w:rsidR="00391C69" w:rsidRPr="00A87222" w:rsidRDefault="00532ED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w:t>
            </w:r>
            <w:r w:rsidR="00391C69" w:rsidRPr="00A87222">
              <w:rPr>
                <w:rFonts w:ascii="Calibri" w:eastAsia="Times New Roman" w:hAnsi="Calibri" w:cs="Times New Roman"/>
                <w:color w:val="000000"/>
                <w:sz w:val="18"/>
                <w:szCs w:val="18"/>
              </w:rPr>
              <w:t>%</w:t>
            </w:r>
          </w:p>
        </w:tc>
        <w:tc>
          <w:tcPr>
            <w:tcW w:w="1350" w:type="dxa"/>
            <w:noWrap/>
            <w:hideMark/>
          </w:tcPr>
          <w:p w14:paraId="6E89C38D" w14:textId="0C9D0954"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8</w:t>
            </w:r>
            <w:r w:rsidR="00532ED4" w:rsidRPr="00A87222">
              <w:rPr>
                <w:rFonts w:ascii="Calibri" w:eastAsia="Times New Roman" w:hAnsi="Calibri" w:cs="Times New Roman"/>
                <w:color w:val="000000"/>
                <w:sz w:val="18"/>
                <w:szCs w:val="18"/>
              </w:rPr>
              <w:t>9</w:t>
            </w:r>
            <w:r w:rsidRPr="00A87222">
              <w:rPr>
                <w:rFonts w:ascii="Calibri" w:eastAsia="Times New Roman" w:hAnsi="Calibri" w:cs="Times New Roman"/>
                <w:color w:val="000000"/>
                <w:sz w:val="18"/>
                <w:szCs w:val="18"/>
              </w:rPr>
              <w:t>%</w:t>
            </w:r>
          </w:p>
        </w:tc>
        <w:tc>
          <w:tcPr>
            <w:tcW w:w="1260" w:type="dxa"/>
            <w:noWrap/>
            <w:hideMark/>
          </w:tcPr>
          <w:p w14:paraId="361FE8B1" w14:textId="41C4DC79"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w:t>
            </w:r>
            <w:r w:rsidR="00532ED4" w:rsidRPr="00A87222">
              <w:rPr>
                <w:rFonts w:ascii="Calibri" w:eastAsia="Times New Roman" w:hAnsi="Calibri" w:cs="Times New Roman"/>
                <w:color w:val="000000"/>
                <w:sz w:val="18"/>
                <w:szCs w:val="18"/>
              </w:rPr>
              <w:t>0</w:t>
            </w:r>
            <w:r w:rsidRPr="00A87222">
              <w:rPr>
                <w:rFonts w:ascii="Calibri" w:eastAsia="Times New Roman" w:hAnsi="Calibri" w:cs="Times New Roman"/>
                <w:color w:val="000000"/>
                <w:sz w:val="18"/>
                <w:szCs w:val="18"/>
              </w:rPr>
              <w:t>%</w:t>
            </w:r>
          </w:p>
        </w:tc>
        <w:tc>
          <w:tcPr>
            <w:tcW w:w="1350" w:type="dxa"/>
            <w:noWrap/>
            <w:hideMark/>
          </w:tcPr>
          <w:p w14:paraId="012E9A82" w14:textId="77777777"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46</w:t>
            </w:r>
          </w:p>
        </w:tc>
        <w:tc>
          <w:tcPr>
            <w:tcW w:w="1355" w:type="dxa"/>
            <w:noWrap/>
            <w:hideMark/>
          </w:tcPr>
          <w:p w14:paraId="73EA1649" w14:textId="7D9C46BE"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46</w:t>
            </w:r>
          </w:p>
        </w:tc>
      </w:tr>
    </w:tbl>
    <w:p w14:paraId="3CDDAB04" w14:textId="77777777" w:rsidR="00A97C01" w:rsidRPr="000A28AD" w:rsidRDefault="00A97C01" w:rsidP="009B3DF5">
      <w:pPr>
        <w:spacing w:after="0" w:line="72" w:lineRule="auto"/>
        <w:rPr>
          <w:sz w:val="18"/>
          <w:szCs w:val="18"/>
        </w:rPr>
      </w:pPr>
    </w:p>
    <w:tbl>
      <w:tblPr>
        <w:tblStyle w:val="PlainTable4"/>
        <w:tblW w:w="10526"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ndicators for Labor Indicators Expectations Following Year"/>
        <w:tblDescription w:val="Table showing that 42 percent of respondents expecting no changes in wages per worker. Sixty-three percent expect no changes in benefits per worker."/>
      </w:tblPr>
      <w:tblGrid>
        <w:gridCol w:w="2885"/>
        <w:gridCol w:w="902"/>
        <w:gridCol w:w="1334"/>
        <w:gridCol w:w="1440"/>
        <w:gridCol w:w="1170"/>
        <w:gridCol w:w="1350"/>
        <w:gridCol w:w="1445"/>
      </w:tblGrid>
      <w:tr w:rsidR="00E647F4" w:rsidRPr="00C2294E" w14:paraId="04A3E3C5"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2885" w:type="dxa"/>
            <w:tcBorders>
              <w:top w:val="single" w:sz="4" w:space="0" w:color="auto"/>
              <w:bottom w:val="single" w:sz="4" w:space="0" w:color="auto"/>
            </w:tcBorders>
            <w:shd w:val="clear" w:color="auto" w:fill="BDD6EE" w:themeFill="accent1" w:themeFillTint="66"/>
            <w:noWrap/>
            <w:hideMark/>
          </w:tcPr>
          <w:p w14:paraId="1EF67EF7" w14:textId="77777777" w:rsidR="00A97C01" w:rsidRPr="000A28AD" w:rsidRDefault="000A28AD" w:rsidP="000A28A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Expected l</w:t>
            </w:r>
            <w:r w:rsidR="00722892" w:rsidRPr="000A28AD">
              <w:rPr>
                <w:rFonts w:ascii="Calibri" w:eastAsia="Times New Roman" w:hAnsi="Calibri" w:cs="Times New Roman"/>
                <w:color w:val="000000"/>
                <w:sz w:val="18"/>
                <w:szCs w:val="18"/>
              </w:rPr>
              <w:t>abor i</w:t>
            </w:r>
            <w:r w:rsidR="0023223B">
              <w:rPr>
                <w:rFonts w:ascii="Calibri" w:eastAsia="Times New Roman" w:hAnsi="Calibri" w:cs="Times New Roman"/>
                <w:color w:val="000000"/>
                <w:sz w:val="18"/>
                <w:szCs w:val="18"/>
              </w:rPr>
              <w:t>ndi</w:t>
            </w:r>
            <w:r w:rsidR="00391C69">
              <w:rPr>
                <w:rFonts w:ascii="Calibri" w:eastAsia="Times New Roman" w:hAnsi="Calibri" w:cs="Times New Roman"/>
                <w:color w:val="000000"/>
                <w:sz w:val="18"/>
                <w:szCs w:val="18"/>
              </w:rPr>
              <w:t>cators during next four quarters</w:t>
            </w:r>
            <w:r w:rsidR="00531B2D" w:rsidRPr="000A28AD">
              <w:rPr>
                <w:rFonts w:ascii="Calibri" w:eastAsia="Times New Roman" w:hAnsi="Calibri" w:cs="Times New Roman"/>
                <w:color w:val="000000"/>
                <w:sz w:val="18"/>
                <w:szCs w:val="18"/>
              </w:rPr>
              <w:t>:</w:t>
            </w:r>
          </w:p>
        </w:tc>
        <w:tc>
          <w:tcPr>
            <w:tcW w:w="902" w:type="dxa"/>
            <w:tcBorders>
              <w:top w:val="single" w:sz="4" w:space="0" w:color="auto"/>
              <w:bottom w:val="single" w:sz="4" w:space="0" w:color="auto"/>
            </w:tcBorders>
            <w:shd w:val="clear" w:color="auto" w:fill="BDD6EE" w:themeFill="accent1" w:themeFillTint="66"/>
            <w:noWrap/>
            <w:hideMark/>
          </w:tcPr>
          <w:p w14:paraId="71717A48"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296D10F9"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p>
        </w:tc>
        <w:tc>
          <w:tcPr>
            <w:tcW w:w="1440" w:type="dxa"/>
            <w:tcBorders>
              <w:top w:val="single" w:sz="4" w:space="0" w:color="auto"/>
              <w:bottom w:val="single" w:sz="4" w:space="0" w:color="auto"/>
            </w:tcBorders>
            <w:shd w:val="clear" w:color="auto" w:fill="BDD6EE" w:themeFill="accent1" w:themeFillTint="66"/>
            <w:noWrap/>
            <w:hideMark/>
          </w:tcPr>
          <w:p w14:paraId="5830DAD3"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170" w:type="dxa"/>
            <w:tcBorders>
              <w:top w:val="single" w:sz="4" w:space="0" w:color="auto"/>
              <w:bottom w:val="single" w:sz="4" w:space="0" w:color="auto"/>
            </w:tcBorders>
            <w:shd w:val="clear" w:color="auto" w:fill="BDD6EE" w:themeFill="accent1" w:themeFillTint="66"/>
            <w:noWrap/>
            <w:hideMark/>
          </w:tcPr>
          <w:p w14:paraId="6547BD99"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0C417478"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445" w:type="dxa"/>
            <w:tcBorders>
              <w:top w:val="single" w:sz="4" w:space="0" w:color="auto"/>
              <w:bottom w:val="single" w:sz="4" w:space="0" w:color="auto"/>
            </w:tcBorders>
            <w:shd w:val="clear" w:color="auto" w:fill="BDD6EE" w:themeFill="accent1" w:themeFillTint="66"/>
            <w:noWrap/>
            <w:hideMark/>
          </w:tcPr>
          <w:p w14:paraId="461DE9EC"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E647F4" w:rsidRPr="00C2294E" w14:paraId="16B28540" w14:textId="77777777" w:rsidTr="000A28AD">
        <w:trPr>
          <w:trHeight w:val="144"/>
          <w:jc w:val="center"/>
        </w:trPr>
        <w:tc>
          <w:tcPr>
            <w:tcW w:w="2885" w:type="dxa"/>
            <w:tcBorders>
              <w:top w:val="single" w:sz="4" w:space="0" w:color="auto"/>
            </w:tcBorders>
            <w:noWrap/>
            <w:hideMark/>
          </w:tcPr>
          <w:p w14:paraId="1E65B8A9" w14:textId="77777777" w:rsidR="00A97C01" w:rsidRPr="000A28AD" w:rsidRDefault="00A97C01"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Wages per worker</w:t>
            </w:r>
          </w:p>
        </w:tc>
        <w:tc>
          <w:tcPr>
            <w:tcW w:w="902" w:type="dxa"/>
            <w:tcBorders>
              <w:top w:val="single" w:sz="4" w:space="0" w:color="auto"/>
            </w:tcBorders>
            <w:noWrap/>
            <w:hideMark/>
          </w:tcPr>
          <w:p w14:paraId="3F69F8CC" w14:textId="5A1D0BDA" w:rsidR="00A97C01"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w:t>
            </w:r>
            <w:r w:rsidR="00A97C01" w:rsidRPr="00A87222">
              <w:rPr>
                <w:rFonts w:ascii="Calibri" w:eastAsia="Times New Roman" w:hAnsi="Calibri" w:cs="Times New Roman"/>
                <w:color w:val="000000"/>
                <w:sz w:val="18"/>
                <w:szCs w:val="18"/>
              </w:rPr>
              <w:t>%</w:t>
            </w:r>
          </w:p>
        </w:tc>
        <w:tc>
          <w:tcPr>
            <w:tcW w:w="1334" w:type="dxa"/>
            <w:tcBorders>
              <w:top w:val="single" w:sz="4" w:space="0" w:color="auto"/>
            </w:tcBorders>
            <w:noWrap/>
            <w:hideMark/>
          </w:tcPr>
          <w:p w14:paraId="5F7A75EF" w14:textId="2274E8EB"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35</w:t>
            </w:r>
            <w:r w:rsidR="00A97C01" w:rsidRPr="00A87222">
              <w:rPr>
                <w:rFonts w:ascii="Calibri" w:eastAsia="Times New Roman" w:hAnsi="Calibri" w:cs="Times New Roman"/>
                <w:color w:val="000000"/>
                <w:sz w:val="18"/>
                <w:szCs w:val="18"/>
              </w:rPr>
              <w:t>%</w:t>
            </w:r>
          </w:p>
        </w:tc>
        <w:tc>
          <w:tcPr>
            <w:tcW w:w="1440" w:type="dxa"/>
            <w:tcBorders>
              <w:top w:val="single" w:sz="4" w:space="0" w:color="auto"/>
            </w:tcBorders>
            <w:noWrap/>
            <w:hideMark/>
          </w:tcPr>
          <w:p w14:paraId="780B4B21" w14:textId="0666D778"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20</w:t>
            </w:r>
            <w:r w:rsidR="00A97C01" w:rsidRPr="00A87222">
              <w:rPr>
                <w:rFonts w:ascii="Calibri" w:eastAsia="Times New Roman" w:hAnsi="Calibri" w:cs="Times New Roman"/>
                <w:color w:val="000000"/>
                <w:sz w:val="18"/>
                <w:szCs w:val="18"/>
              </w:rPr>
              <w:t>%</w:t>
            </w:r>
          </w:p>
        </w:tc>
        <w:tc>
          <w:tcPr>
            <w:tcW w:w="1170" w:type="dxa"/>
            <w:tcBorders>
              <w:top w:val="single" w:sz="4" w:space="0" w:color="auto"/>
            </w:tcBorders>
            <w:noWrap/>
            <w:hideMark/>
          </w:tcPr>
          <w:p w14:paraId="644E341C" w14:textId="77D41DAB"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27</w:t>
            </w:r>
            <w:r w:rsidR="00A97C01"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27321195" w14:textId="47C21244"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7</w:t>
            </w:r>
            <w:r w:rsidR="00A97C01" w:rsidRPr="00A87222">
              <w:rPr>
                <w:rFonts w:ascii="Calibri" w:eastAsia="Times New Roman" w:hAnsi="Calibri" w:cs="Times New Roman"/>
                <w:color w:val="000000"/>
                <w:sz w:val="18"/>
                <w:szCs w:val="18"/>
              </w:rPr>
              <w:t>%</w:t>
            </w:r>
          </w:p>
        </w:tc>
        <w:tc>
          <w:tcPr>
            <w:tcW w:w="1445" w:type="dxa"/>
            <w:tcBorders>
              <w:top w:val="single" w:sz="4" w:space="0" w:color="auto"/>
            </w:tcBorders>
            <w:noWrap/>
            <w:hideMark/>
          </w:tcPr>
          <w:p w14:paraId="46D93AD3" w14:textId="628E84D8"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7</w:t>
            </w:r>
            <w:r w:rsidR="00A97C01" w:rsidRPr="00A87222">
              <w:rPr>
                <w:rFonts w:ascii="Calibri" w:eastAsia="Times New Roman" w:hAnsi="Calibri" w:cs="Times New Roman"/>
                <w:color w:val="000000"/>
                <w:sz w:val="18"/>
                <w:szCs w:val="18"/>
              </w:rPr>
              <w:t>%</w:t>
            </w:r>
          </w:p>
        </w:tc>
      </w:tr>
      <w:tr w:rsidR="00E647F4" w:rsidRPr="00C2294E" w14:paraId="1AE1A806" w14:textId="77777777" w:rsidTr="000A28AD">
        <w:trPr>
          <w:trHeight w:val="144"/>
          <w:jc w:val="center"/>
        </w:trPr>
        <w:tc>
          <w:tcPr>
            <w:tcW w:w="2885" w:type="dxa"/>
            <w:noWrap/>
            <w:hideMark/>
          </w:tcPr>
          <w:p w14:paraId="59AE9E7F" w14:textId="77777777" w:rsidR="00A97C01" w:rsidRPr="000A28AD" w:rsidRDefault="00A97C01"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Benefits per worker</w:t>
            </w:r>
          </w:p>
        </w:tc>
        <w:tc>
          <w:tcPr>
            <w:tcW w:w="902" w:type="dxa"/>
            <w:noWrap/>
            <w:hideMark/>
          </w:tcPr>
          <w:p w14:paraId="1B035B76" w14:textId="267EB8BA"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w:t>
            </w:r>
            <w:r w:rsidR="00A97C01" w:rsidRPr="00A87222">
              <w:rPr>
                <w:rFonts w:ascii="Calibri" w:eastAsia="Times New Roman" w:hAnsi="Calibri" w:cs="Times New Roman"/>
                <w:color w:val="000000"/>
                <w:sz w:val="18"/>
                <w:szCs w:val="18"/>
              </w:rPr>
              <w:t>%</w:t>
            </w:r>
          </w:p>
        </w:tc>
        <w:tc>
          <w:tcPr>
            <w:tcW w:w="1334" w:type="dxa"/>
            <w:noWrap/>
            <w:hideMark/>
          </w:tcPr>
          <w:p w14:paraId="6AD871DD" w14:textId="0E38F5CF"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48</w:t>
            </w:r>
            <w:r w:rsidR="00A97C01" w:rsidRPr="00A87222">
              <w:rPr>
                <w:rFonts w:ascii="Calibri" w:eastAsia="Times New Roman" w:hAnsi="Calibri" w:cs="Times New Roman"/>
                <w:color w:val="000000"/>
                <w:sz w:val="18"/>
                <w:szCs w:val="18"/>
              </w:rPr>
              <w:t>%</w:t>
            </w:r>
          </w:p>
        </w:tc>
        <w:tc>
          <w:tcPr>
            <w:tcW w:w="1440" w:type="dxa"/>
            <w:noWrap/>
            <w:hideMark/>
          </w:tcPr>
          <w:p w14:paraId="0C952DBD" w14:textId="1AA9187C"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23</w:t>
            </w:r>
            <w:r w:rsidR="00A97C01" w:rsidRPr="00A87222">
              <w:rPr>
                <w:rFonts w:ascii="Calibri" w:eastAsia="Times New Roman" w:hAnsi="Calibri" w:cs="Times New Roman"/>
                <w:color w:val="000000"/>
                <w:sz w:val="18"/>
                <w:szCs w:val="18"/>
              </w:rPr>
              <w:t>%</w:t>
            </w:r>
          </w:p>
        </w:tc>
        <w:tc>
          <w:tcPr>
            <w:tcW w:w="1170" w:type="dxa"/>
            <w:noWrap/>
            <w:hideMark/>
          </w:tcPr>
          <w:p w14:paraId="52086847" w14:textId="4BA93850" w:rsidR="00A97C01" w:rsidRPr="00A87222" w:rsidRDefault="00391C69"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w:t>
            </w:r>
            <w:r w:rsidR="00532ED4" w:rsidRPr="00A87222">
              <w:rPr>
                <w:rFonts w:ascii="Calibri" w:eastAsia="Times New Roman" w:hAnsi="Calibri" w:cs="Times New Roman"/>
                <w:color w:val="000000"/>
                <w:sz w:val="18"/>
                <w:szCs w:val="18"/>
              </w:rPr>
              <w:t>5</w:t>
            </w:r>
            <w:r w:rsidR="00A97C01" w:rsidRPr="00A87222">
              <w:rPr>
                <w:rFonts w:ascii="Calibri" w:eastAsia="Times New Roman" w:hAnsi="Calibri" w:cs="Times New Roman"/>
                <w:color w:val="000000"/>
                <w:sz w:val="18"/>
                <w:szCs w:val="18"/>
              </w:rPr>
              <w:t>%</w:t>
            </w:r>
          </w:p>
        </w:tc>
        <w:tc>
          <w:tcPr>
            <w:tcW w:w="1350" w:type="dxa"/>
            <w:noWrap/>
            <w:hideMark/>
          </w:tcPr>
          <w:p w14:paraId="2795439C" w14:textId="3FB87667"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6</w:t>
            </w:r>
            <w:r w:rsidR="00A97C01" w:rsidRPr="00A87222">
              <w:rPr>
                <w:rFonts w:ascii="Calibri" w:eastAsia="Times New Roman" w:hAnsi="Calibri" w:cs="Times New Roman"/>
                <w:color w:val="000000"/>
                <w:sz w:val="18"/>
                <w:szCs w:val="18"/>
              </w:rPr>
              <w:t>%</w:t>
            </w:r>
          </w:p>
        </w:tc>
        <w:tc>
          <w:tcPr>
            <w:tcW w:w="1445" w:type="dxa"/>
            <w:noWrap/>
            <w:hideMark/>
          </w:tcPr>
          <w:p w14:paraId="244F8D04" w14:textId="67E0E3C0"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w:t>
            </w:r>
            <w:r w:rsidR="00A97C01" w:rsidRPr="00A87222">
              <w:rPr>
                <w:rFonts w:ascii="Calibri" w:eastAsia="Times New Roman" w:hAnsi="Calibri" w:cs="Times New Roman"/>
                <w:color w:val="000000"/>
                <w:sz w:val="18"/>
                <w:szCs w:val="18"/>
              </w:rPr>
              <w:t>%</w:t>
            </w:r>
          </w:p>
        </w:tc>
      </w:tr>
    </w:tbl>
    <w:p w14:paraId="5DF7B24A" w14:textId="77777777" w:rsidR="00A97C01" w:rsidRDefault="00A97C01" w:rsidP="009B3DF5">
      <w:pPr>
        <w:spacing w:after="0" w:line="72" w:lineRule="auto"/>
      </w:pPr>
    </w:p>
    <w:tbl>
      <w:tblPr>
        <w:tblStyle w:val="PlainTable4"/>
        <w:tblW w:w="10540"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Economic outlook for the next year"/>
        <w:tblDescription w:val="Minnesota business services firms expect mostly contracting conditions. Fifty-two percent expect a decline in consumer spending and corporate profits. Additionally, 44 percent anticipate a drop in employment.  &#10;Nearly half of respondents indicated they expect unchanged inflation while a similar percentage (46 percent) expect an increase.&#10;"/>
      </w:tblPr>
      <w:tblGrid>
        <w:gridCol w:w="3875"/>
        <w:gridCol w:w="1252"/>
        <w:gridCol w:w="1293"/>
        <w:gridCol w:w="1561"/>
        <w:gridCol w:w="1204"/>
        <w:gridCol w:w="1355"/>
      </w:tblGrid>
      <w:tr w:rsidR="001D0139" w:rsidRPr="00623BC4" w14:paraId="458BD290" w14:textId="77777777" w:rsidTr="00B86180">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75" w:type="dxa"/>
            <w:tcBorders>
              <w:top w:val="single" w:sz="4" w:space="0" w:color="auto"/>
              <w:bottom w:val="single" w:sz="4" w:space="0" w:color="auto"/>
            </w:tcBorders>
            <w:shd w:val="clear" w:color="auto" w:fill="BDD6EE" w:themeFill="accent1" w:themeFillTint="66"/>
            <w:noWrap/>
            <w:hideMark/>
          </w:tcPr>
          <w:p w14:paraId="027F9EFF" w14:textId="77777777" w:rsidR="00A97C01" w:rsidRPr="000A28AD" w:rsidRDefault="00531B2D"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w:t>
            </w:r>
            <w:r w:rsidR="00BE474F" w:rsidRPr="000A28AD">
              <w:rPr>
                <w:rFonts w:ascii="Calibri" w:eastAsia="Times New Roman" w:hAnsi="Calibri" w:cs="Times New Roman"/>
                <w:color w:val="000000"/>
                <w:sz w:val="18"/>
                <w:szCs w:val="18"/>
              </w:rPr>
              <w:t xml:space="preserve"> outlook on the following state economic indicators during the next year: </w:t>
            </w:r>
          </w:p>
        </w:tc>
        <w:tc>
          <w:tcPr>
            <w:tcW w:w="1252" w:type="dxa"/>
            <w:tcBorders>
              <w:top w:val="single" w:sz="4" w:space="0" w:color="auto"/>
              <w:bottom w:val="single" w:sz="4" w:space="0" w:color="auto"/>
            </w:tcBorders>
            <w:shd w:val="clear" w:color="auto" w:fill="BDD6EE" w:themeFill="accent1" w:themeFillTint="66"/>
            <w:noWrap/>
            <w:hideMark/>
          </w:tcPr>
          <w:p w14:paraId="75035581"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293" w:type="dxa"/>
            <w:tcBorders>
              <w:top w:val="single" w:sz="4" w:space="0" w:color="auto"/>
              <w:bottom w:val="single" w:sz="4" w:space="0" w:color="auto"/>
            </w:tcBorders>
            <w:shd w:val="clear" w:color="auto" w:fill="BDD6EE" w:themeFill="accent1" w:themeFillTint="66"/>
            <w:noWrap/>
            <w:hideMark/>
          </w:tcPr>
          <w:p w14:paraId="1BF430E7"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561" w:type="dxa"/>
            <w:tcBorders>
              <w:top w:val="single" w:sz="4" w:space="0" w:color="auto"/>
              <w:bottom w:val="single" w:sz="4" w:space="0" w:color="auto"/>
            </w:tcBorders>
            <w:shd w:val="clear" w:color="auto" w:fill="BDD6EE" w:themeFill="accent1" w:themeFillTint="66"/>
            <w:noWrap/>
            <w:hideMark/>
          </w:tcPr>
          <w:p w14:paraId="0204BBDA"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204" w:type="dxa"/>
            <w:tcBorders>
              <w:top w:val="single" w:sz="4" w:space="0" w:color="auto"/>
              <w:bottom w:val="single" w:sz="4" w:space="0" w:color="auto"/>
            </w:tcBorders>
            <w:shd w:val="clear" w:color="auto" w:fill="BDD6EE" w:themeFill="accent1" w:themeFillTint="66"/>
            <w:noWrap/>
            <w:hideMark/>
          </w:tcPr>
          <w:p w14:paraId="0AA75AF0" w14:textId="61BCE2DB" w:rsidR="00A97C01" w:rsidRPr="00A72C89" w:rsidRDefault="00391C69" w:rsidP="001631FC">
            <w:pPr>
              <w:jc w:val="center"/>
              <w:rPr>
                <w:rFonts w:ascii="Calibri" w:eastAsia="Times New Roman" w:hAnsi="Calibri" w:cs="Times New Roman"/>
                <w:sz w:val="18"/>
                <w:szCs w:val="18"/>
              </w:rPr>
            </w:pPr>
            <w:r w:rsidRPr="00A72C89">
              <w:rPr>
                <w:rFonts w:ascii="Calibri" w:eastAsia="Times New Roman" w:hAnsi="Calibri" w:cs="Times New Roman"/>
                <w:sz w:val="18"/>
                <w:szCs w:val="18"/>
              </w:rPr>
              <w:t>Diffusion Index 202</w:t>
            </w:r>
            <w:r w:rsidR="00A72C89" w:rsidRPr="00A72C89">
              <w:rPr>
                <w:rFonts w:ascii="Calibri" w:eastAsia="Times New Roman" w:hAnsi="Calibri" w:cs="Times New Roman"/>
                <w:sz w:val="18"/>
                <w:szCs w:val="18"/>
              </w:rPr>
              <w:t>1</w:t>
            </w:r>
            <w:r w:rsidR="00AE0EFF" w:rsidRPr="00A72C89">
              <w:rPr>
                <w:rFonts w:ascii="Calibri" w:eastAsia="Times New Roman" w:hAnsi="Calibri" w:cs="Times New Roman"/>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51585A44" w14:textId="305988C8" w:rsidR="00A97C01" w:rsidRPr="003B7BDF" w:rsidRDefault="00AE0EFF" w:rsidP="001631FC">
            <w:pPr>
              <w:jc w:val="center"/>
              <w:rPr>
                <w:rFonts w:ascii="Calibri" w:eastAsia="Times New Roman" w:hAnsi="Calibri" w:cs="Times New Roman"/>
                <w:sz w:val="18"/>
                <w:szCs w:val="18"/>
              </w:rPr>
            </w:pPr>
            <w:r w:rsidRPr="003B7BDF">
              <w:rPr>
                <w:rFonts w:ascii="Calibri" w:eastAsia="Times New Roman" w:hAnsi="Calibri" w:cs="Times New Roman"/>
                <w:sz w:val="18"/>
                <w:szCs w:val="18"/>
              </w:rPr>
              <w:t xml:space="preserve">Diffusion </w:t>
            </w:r>
            <w:r w:rsidR="00391C69" w:rsidRPr="003B7BDF">
              <w:rPr>
                <w:rFonts w:ascii="Calibri" w:eastAsia="Times New Roman" w:hAnsi="Calibri" w:cs="Times New Roman"/>
                <w:sz w:val="18"/>
                <w:szCs w:val="18"/>
              </w:rPr>
              <w:t>Index 20</w:t>
            </w:r>
            <w:r w:rsidR="003B7BDF" w:rsidRPr="003B7BDF">
              <w:rPr>
                <w:rFonts w:ascii="Calibri" w:eastAsia="Times New Roman" w:hAnsi="Calibri" w:cs="Times New Roman"/>
                <w:sz w:val="18"/>
                <w:szCs w:val="18"/>
              </w:rPr>
              <w:t>20</w:t>
            </w:r>
            <w:r w:rsidRPr="003B7BDF">
              <w:rPr>
                <w:rFonts w:ascii="Calibri" w:eastAsia="Times New Roman" w:hAnsi="Calibri" w:cs="Times New Roman"/>
                <w:sz w:val="18"/>
                <w:szCs w:val="18"/>
                <w:vertAlign w:val="superscript"/>
              </w:rPr>
              <w:t>(2)</w:t>
            </w:r>
          </w:p>
        </w:tc>
      </w:tr>
      <w:tr w:rsidR="00391C69" w:rsidRPr="00623BC4" w14:paraId="028C6388" w14:textId="77777777" w:rsidTr="00B86180">
        <w:trPr>
          <w:trHeight w:val="144"/>
          <w:jc w:val="center"/>
        </w:trPr>
        <w:tc>
          <w:tcPr>
            <w:tcW w:w="3875" w:type="dxa"/>
            <w:tcBorders>
              <w:top w:val="single" w:sz="4" w:space="0" w:color="auto"/>
            </w:tcBorders>
            <w:noWrap/>
            <w:hideMark/>
          </w:tcPr>
          <w:p w14:paraId="2019B023"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Employment</w:t>
            </w:r>
          </w:p>
        </w:tc>
        <w:tc>
          <w:tcPr>
            <w:tcW w:w="1252" w:type="dxa"/>
            <w:tcBorders>
              <w:top w:val="single" w:sz="4" w:space="0" w:color="auto"/>
            </w:tcBorders>
            <w:noWrap/>
            <w:hideMark/>
          </w:tcPr>
          <w:p w14:paraId="1486EFAE" w14:textId="1AF1AF01"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46</w:t>
            </w:r>
            <w:r w:rsidR="00391C69" w:rsidRPr="00A87222">
              <w:rPr>
                <w:rFonts w:ascii="Calibri" w:eastAsia="Times New Roman" w:hAnsi="Calibri" w:cs="Times New Roman"/>
                <w:color w:val="000000"/>
                <w:sz w:val="18"/>
                <w:szCs w:val="18"/>
              </w:rPr>
              <w:t>%</w:t>
            </w:r>
          </w:p>
        </w:tc>
        <w:tc>
          <w:tcPr>
            <w:tcW w:w="1293" w:type="dxa"/>
            <w:tcBorders>
              <w:top w:val="single" w:sz="4" w:space="0" w:color="auto"/>
            </w:tcBorders>
            <w:noWrap/>
            <w:hideMark/>
          </w:tcPr>
          <w:p w14:paraId="17A5AC32" w14:textId="248B53E0"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42</w:t>
            </w:r>
            <w:r w:rsidR="00391C69" w:rsidRPr="00A87222">
              <w:rPr>
                <w:rFonts w:ascii="Calibri" w:eastAsia="Times New Roman" w:hAnsi="Calibri" w:cs="Times New Roman"/>
                <w:color w:val="000000"/>
                <w:sz w:val="18"/>
                <w:szCs w:val="18"/>
              </w:rPr>
              <w:t>%</w:t>
            </w:r>
          </w:p>
        </w:tc>
        <w:tc>
          <w:tcPr>
            <w:tcW w:w="1561" w:type="dxa"/>
            <w:tcBorders>
              <w:top w:val="single" w:sz="4" w:space="0" w:color="auto"/>
            </w:tcBorders>
            <w:noWrap/>
            <w:hideMark/>
          </w:tcPr>
          <w:p w14:paraId="49CBC6AA" w14:textId="1EFF4B6A"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12</w:t>
            </w:r>
            <w:r w:rsidR="00391C69" w:rsidRPr="00A87222">
              <w:rPr>
                <w:rFonts w:ascii="Calibri" w:eastAsia="Times New Roman" w:hAnsi="Calibri" w:cs="Times New Roman"/>
                <w:color w:val="000000"/>
                <w:sz w:val="18"/>
                <w:szCs w:val="18"/>
              </w:rPr>
              <w:t>%</w:t>
            </w:r>
          </w:p>
        </w:tc>
        <w:tc>
          <w:tcPr>
            <w:tcW w:w="1204" w:type="dxa"/>
            <w:tcBorders>
              <w:top w:val="single" w:sz="4" w:space="0" w:color="auto"/>
            </w:tcBorders>
            <w:noWrap/>
            <w:hideMark/>
          </w:tcPr>
          <w:p w14:paraId="2991530F" w14:textId="7E765FC3" w:rsidR="00391C69" w:rsidRPr="00A87222" w:rsidRDefault="00A72C89" w:rsidP="00391C69">
            <w:pPr>
              <w:jc w:val="center"/>
              <w:rPr>
                <w:rFonts w:ascii="Calibri" w:eastAsia="Times New Roman" w:hAnsi="Calibri" w:cs="Times New Roman"/>
                <w:sz w:val="18"/>
                <w:szCs w:val="18"/>
              </w:rPr>
            </w:pPr>
            <w:r w:rsidRPr="00A87222">
              <w:rPr>
                <w:rFonts w:ascii="Calibri" w:eastAsia="Times New Roman" w:hAnsi="Calibri" w:cs="Times New Roman"/>
                <w:sz w:val="18"/>
                <w:szCs w:val="18"/>
              </w:rPr>
              <w:t>67</w:t>
            </w:r>
          </w:p>
        </w:tc>
        <w:tc>
          <w:tcPr>
            <w:tcW w:w="1355" w:type="dxa"/>
            <w:tcBorders>
              <w:top w:val="single" w:sz="4" w:space="0" w:color="auto"/>
            </w:tcBorders>
            <w:noWrap/>
            <w:hideMark/>
          </w:tcPr>
          <w:p w14:paraId="472C1E1F" w14:textId="0CC1C8EB" w:rsidR="00391C69" w:rsidRPr="00A87222" w:rsidRDefault="00A72C89" w:rsidP="00391C69">
            <w:pPr>
              <w:jc w:val="center"/>
              <w:rPr>
                <w:rFonts w:ascii="Calibri" w:eastAsia="Times New Roman" w:hAnsi="Calibri" w:cs="Times New Roman"/>
                <w:sz w:val="18"/>
                <w:szCs w:val="18"/>
              </w:rPr>
            </w:pPr>
            <w:r w:rsidRPr="00A87222">
              <w:rPr>
                <w:rFonts w:ascii="Calibri" w:eastAsia="Times New Roman" w:hAnsi="Calibri" w:cs="Times New Roman"/>
                <w:sz w:val="18"/>
                <w:szCs w:val="18"/>
              </w:rPr>
              <w:t>39</w:t>
            </w:r>
          </w:p>
        </w:tc>
      </w:tr>
      <w:tr w:rsidR="00391C69" w:rsidRPr="00623BC4" w14:paraId="64409582" w14:textId="77777777" w:rsidTr="00B86180">
        <w:trPr>
          <w:trHeight w:val="144"/>
          <w:jc w:val="center"/>
        </w:trPr>
        <w:tc>
          <w:tcPr>
            <w:tcW w:w="3875" w:type="dxa"/>
            <w:noWrap/>
            <w:hideMark/>
          </w:tcPr>
          <w:p w14:paraId="5ED30AD5"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Consumer spending</w:t>
            </w:r>
          </w:p>
        </w:tc>
        <w:tc>
          <w:tcPr>
            <w:tcW w:w="1252" w:type="dxa"/>
            <w:noWrap/>
            <w:hideMark/>
          </w:tcPr>
          <w:p w14:paraId="61537096" w14:textId="5C2AF95F"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55</w:t>
            </w:r>
            <w:r w:rsidR="00391C69" w:rsidRPr="00A87222">
              <w:rPr>
                <w:rFonts w:ascii="Calibri" w:eastAsia="Times New Roman" w:hAnsi="Calibri" w:cs="Times New Roman"/>
                <w:color w:val="000000"/>
                <w:sz w:val="18"/>
                <w:szCs w:val="18"/>
              </w:rPr>
              <w:t>%</w:t>
            </w:r>
          </w:p>
        </w:tc>
        <w:tc>
          <w:tcPr>
            <w:tcW w:w="1293" w:type="dxa"/>
            <w:noWrap/>
            <w:hideMark/>
          </w:tcPr>
          <w:p w14:paraId="591307DA" w14:textId="59F85426" w:rsidR="00391C69" w:rsidRPr="00A87222" w:rsidRDefault="00391C69"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w:t>
            </w:r>
            <w:r w:rsidR="00532ED4" w:rsidRPr="00A87222">
              <w:rPr>
                <w:rFonts w:ascii="Calibri" w:eastAsia="Times New Roman" w:hAnsi="Calibri" w:cs="Times New Roman"/>
                <w:color w:val="000000"/>
                <w:sz w:val="18"/>
                <w:szCs w:val="18"/>
              </w:rPr>
              <w:t>3</w:t>
            </w:r>
            <w:r w:rsidRPr="00A87222">
              <w:rPr>
                <w:rFonts w:ascii="Calibri" w:eastAsia="Times New Roman" w:hAnsi="Calibri" w:cs="Times New Roman"/>
                <w:color w:val="000000"/>
                <w:sz w:val="18"/>
                <w:szCs w:val="18"/>
              </w:rPr>
              <w:t>%</w:t>
            </w:r>
          </w:p>
        </w:tc>
        <w:tc>
          <w:tcPr>
            <w:tcW w:w="1561" w:type="dxa"/>
            <w:noWrap/>
            <w:hideMark/>
          </w:tcPr>
          <w:p w14:paraId="4A211C79" w14:textId="55B95648"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w:t>
            </w:r>
            <w:r w:rsidR="00391C69" w:rsidRPr="00A87222">
              <w:rPr>
                <w:rFonts w:ascii="Calibri" w:eastAsia="Times New Roman" w:hAnsi="Calibri" w:cs="Times New Roman"/>
                <w:color w:val="000000"/>
                <w:sz w:val="18"/>
                <w:szCs w:val="18"/>
              </w:rPr>
              <w:t>2%</w:t>
            </w:r>
          </w:p>
        </w:tc>
        <w:tc>
          <w:tcPr>
            <w:tcW w:w="1204" w:type="dxa"/>
            <w:noWrap/>
            <w:hideMark/>
          </w:tcPr>
          <w:p w14:paraId="734E2578" w14:textId="0FC71F12" w:rsidR="00391C69" w:rsidRPr="00A87222" w:rsidRDefault="00A72C89" w:rsidP="00391C69">
            <w:pPr>
              <w:jc w:val="center"/>
              <w:rPr>
                <w:rFonts w:ascii="Calibri" w:eastAsia="Times New Roman" w:hAnsi="Calibri" w:cs="Times New Roman"/>
                <w:sz w:val="18"/>
                <w:szCs w:val="18"/>
              </w:rPr>
            </w:pPr>
            <w:r w:rsidRPr="00A87222">
              <w:rPr>
                <w:rFonts w:ascii="Calibri" w:eastAsia="Times New Roman" w:hAnsi="Calibri" w:cs="Times New Roman"/>
                <w:sz w:val="18"/>
                <w:szCs w:val="18"/>
              </w:rPr>
              <w:t>72</w:t>
            </w:r>
          </w:p>
        </w:tc>
        <w:tc>
          <w:tcPr>
            <w:tcW w:w="1355" w:type="dxa"/>
            <w:noWrap/>
            <w:hideMark/>
          </w:tcPr>
          <w:p w14:paraId="180072CB" w14:textId="32255CCC" w:rsidR="00391C69" w:rsidRPr="00A87222" w:rsidRDefault="00A72C89" w:rsidP="00391C69">
            <w:pPr>
              <w:jc w:val="center"/>
              <w:rPr>
                <w:rFonts w:ascii="Calibri" w:eastAsia="Times New Roman" w:hAnsi="Calibri" w:cs="Times New Roman"/>
                <w:sz w:val="18"/>
                <w:szCs w:val="18"/>
              </w:rPr>
            </w:pPr>
            <w:r w:rsidRPr="00A87222">
              <w:rPr>
                <w:rFonts w:ascii="Calibri" w:eastAsia="Times New Roman" w:hAnsi="Calibri" w:cs="Times New Roman"/>
                <w:sz w:val="18"/>
                <w:szCs w:val="18"/>
              </w:rPr>
              <w:t>31</w:t>
            </w:r>
          </w:p>
        </w:tc>
      </w:tr>
      <w:tr w:rsidR="00391C69" w:rsidRPr="00623BC4" w14:paraId="511ECD78" w14:textId="77777777" w:rsidTr="00B86180">
        <w:trPr>
          <w:trHeight w:val="144"/>
          <w:jc w:val="center"/>
        </w:trPr>
        <w:tc>
          <w:tcPr>
            <w:tcW w:w="3875" w:type="dxa"/>
            <w:noWrap/>
            <w:hideMark/>
          </w:tcPr>
          <w:p w14:paraId="1CB48C2C"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Inflation</w:t>
            </w:r>
          </w:p>
        </w:tc>
        <w:tc>
          <w:tcPr>
            <w:tcW w:w="1252" w:type="dxa"/>
            <w:noWrap/>
            <w:hideMark/>
          </w:tcPr>
          <w:p w14:paraId="557235B2" w14:textId="4E733D40"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73</w:t>
            </w:r>
            <w:r w:rsidR="00391C69" w:rsidRPr="00A87222">
              <w:rPr>
                <w:rFonts w:ascii="Calibri" w:eastAsia="Times New Roman" w:hAnsi="Calibri" w:cs="Times New Roman"/>
                <w:color w:val="000000"/>
                <w:sz w:val="18"/>
                <w:szCs w:val="18"/>
              </w:rPr>
              <w:t>%</w:t>
            </w:r>
          </w:p>
        </w:tc>
        <w:tc>
          <w:tcPr>
            <w:tcW w:w="1293" w:type="dxa"/>
            <w:noWrap/>
            <w:hideMark/>
          </w:tcPr>
          <w:p w14:paraId="1982D2F8" w14:textId="34C67EC3"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25</w:t>
            </w:r>
            <w:r w:rsidR="00391C69" w:rsidRPr="00A87222">
              <w:rPr>
                <w:rFonts w:ascii="Calibri" w:eastAsia="Times New Roman" w:hAnsi="Calibri" w:cs="Times New Roman"/>
                <w:color w:val="000000"/>
                <w:sz w:val="18"/>
                <w:szCs w:val="18"/>
              </w:rPr>
              <w:t>%</w:t>
            </w:r>
          </w:p>
        </w:tc>
        <w:tc>
          <w:tcPr>
            <w:tcW w:w="1561" w:type="dxa"/>
            <w:noWrap/>
            <w:hideMark/>
          </w:tcPr>
          <w:p w14:paraId="4AE43DBF" w14:textId="34EBFD88" w:rsidR="00391C69" w:rsidRPr="00A87222" w:rsidRDefault="00532ED4" w:rsidP="00391C69">
            <w:pPr>
              <w:jc w:val="center"/>
              <w:rPr>
                <w:rFonts w:ascii="Calibri" w:eastAsia="Times New Roman" w:hAnsi="Calibri" w:cs="Times New Roman"/>
                <w:i/>
                <w:iCs/>
                <w:color w:val="000000"/>
                <w:sz w:val="18"/>
                <w:szCs w:val="18"/>
              </w:rPr>
            </w:pPr>
            <w:r w:rsidRPr="00A87222">
              <w:rPr>
                <w:rFonts w:ascii="Calibri" w:eastAsia="Times New Roman" w:hAnsi="Calibri" w:cs="Times New Roman"/>
                <w:i/>
                <w:iCs/>
                <w:color w:val="000000"/>
                <w:sz w:val="18"/>
                <w:szCs w:val="18"/>
              </w:rPr>
              <w:t>2</w:t>
            </w:r>
            <w:r w:rsidR="00391C69" w:rsidRPr="00A87222">
              <w:rPr>
                <w:rFonts w:ascii="Calibri" w:eastAsia="Times New Roman" w:hAnsi="Calibri" w:cs="Times New Roman"/>
                <w:i/>
                <w:iCs/>
                <w:color w:val="000000"/>
                <w:sz w:val="18"/>
                <w:szCs w:val="18"/>
              </w:rPr>
              <w:t>%</w:t>
            </w:r>
          </w:p>
        </w:tc>
        <w:tc>
          <w:tcPr>
            <w:tcW w:w="1204" w:type="dxa"/>
            <w:noWrap/>
            <w:hideMark/>
          </w:tcPr>
          <w:p w14:paraId="3121B76F" w14:textId="77C4A7D8" w:rsidR="00391C69" w:rsidRPr="00A87222" w:rsidRDefault="00A72C89" w:rsidP="00391C69">
            <w:pPr>
              <w:jc w:val="center"/>
              <w:rPr>
                <w:rFonts w:ascii="Calibri" w:eastAsia="Times New Roman" w:hAnsi="Calibri" w:cs="Times New Roman"/>
                <w:sz w:val="18"/>
                <w:szCs w:val="18"/>
              </w:rPr>
            </w:pPr>
            <w:r w:rsidRPr="00A87222">
              <w:rPr>
                <w:rFonts w:ascii="Calibri" w:eastAsia="Times New Roman" w:hAnsi="Calibri" w:cs="Times New Roman"/>
                <w:sz w:val="18"/>
                <w:szCs w:val="18"/>
              </w:rPr>
              <w:t>86</w:t>
            </w:r>
          </w:p>
        </w:tc>
        <w:tc>
          <w:tcPr>
            <w:tcW w:w="1355" w:type="dxa"/>
            <w:noWrap/>
            <w:hideMark/>
          </w:tcPr>
          <w:p w14:paraId="7586D824" w14:textId="03933D08" w:rsidR="00391C69" w:rsidRPr="00A87222" w:rsidRDefault="00391C69" w:rsidP="00391C69">
            <w:pPr>
              <w:jc w:val="center"/>
              <w:rPr>
                <w:rFonts w:ascii="Calibri" w:eastAsia="Times New Roman" w:hAnsi="Calibri" w:cs="Times New Roman"/>
                <w:sz w:val="18"/>
                <w:szCs w:val="18"/>
              </w:rPr>
            </w:pPr>
            <w:r w:rsidRPr="00A87222">
              <w:rPr>
                <w:rFonts w:ascii="Calibri" w:eastAsia="Times New Roman" w:hAnsi="Calibri" w:cs="Times New Roman"/>
                <w:sz w:val="18"/>
                <w:szCs w:val="18"/>
              </w:rPr>
              <w:t>7</w:t>
            </w:r>
            <w:r w:rsidR="00A72C89" w:rsidRPr="00A87222">
              <w:rPr>
                <w:rFonts w:ascii="Calibri" w:eastAsia="Times New Roman" w:hAnsi="Calibri" w:cs="Times New Roman"/>
                <w:sz w:val="18"/>
                <w:szCs w:val="18"/>
              </w:rPr>
              <w:t>0</w:t>
            </w:r>
          </w:p>
        </w:tc>
      </w:tr>
      <w:tr w:rsidR="00391C69" w:rsidRPr="00623BC4" w14:paraId="592255BD" w14:textId="77777777" w:rsidTr="00B86180">
        <w:trPr>
          <w:trHeight w:val="144"/>
          <w:jc w:val="center"/>
        </w:trPr>
        <w:tc>
          <w:tcPr>
            <w:tcW w:w="3875" w:type="dxa"/>
            <w:noWrap/>
            <w:hideMark/>
          </w:tcPr>
          <w:p w14:paraId="25BD601E"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Corporate profits</w:t>
            </w:r>
          </w:p>
        </w:tc>
        <w:tc>
          <w:tcPr>
            <w:tcW w:w="1252" w:type="dxa"/>
            <w:noWrap/>
            <w:hideMark/>
          </w:tcPr>
          <w:p w14:paraId="6D1D2B79" w14:textId="33B52200"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33</w:t>
            </w:r>
            <w:r w:rsidR="00391C69" w:rsidRPr="00A87222">
              <w:rPr>
                <w:rFonts w:ascii="Calibri" w:eastAsia="Times New Roman" w:hAnsi="Calibri" w:cs="Times New Roman"/>
                <w:color w:val="000000"/>
                <w:sz w:val="18"/>
                <w:szCs w:val="18"/>
              </w:rPr>
              <w:t>%</w:t>
            </w:r>
          </w:p>
        </w:tc>
        <w:tc>
          <w:tcPr>
            <w:tcW w:w="1293" w:type="dxa"/>
            <w:noWrap/>
            <w:hideMark/>
          </w:tcPr>
          <w:p w14:paraId="1319B33A" w14:textId="430E07B5"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42</w:t>
            </w:r>
            <w:r w:rsidR="00391C69" w:rsidRPr="00A87222">
              <w:rPr>
                <w:rFonts w:ascii="Calibri" w:eastAsia="Times New Roman" w:hAnsi="Calibri" w:cs="Times New Roman"/>
                <w:color w:val="000000"/>
                <w:sz w:val="18"/>
                <w:szCs w:val="18"/>
              </w:rPr>
              <w:t>%</w:t>
            </w:r>
          </w:p>
        </w:tc>
        <w:tc>
          <w:tcPr>
            <w:tcW w:w="1561" w:type="dxa"/>
            <w:noWrap/>
            <w:hideMark/>
          </w:tcPr>
          <w:p w14:paraId="5BFD6BB2" w14:textId="7175A8F4"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25</w:t>
            </w:r>
            <w:r w:rsidR="00391C69" w:rsidRPr="00A87222">
              <w:rPr>
                <w:rFonts w:ascii="Calibri" w:eastAsia="Times New Roman" w:hAnsi="Calibri" w:cs="Times New Roman"/>
                <w:color w:val="000000"/>
                <w:sz w:val="18"/>
                <w:szCs w:val="18"/>
              </w:rPr>
              <w:t>%</w:t>
            </w:r>
          </w:p>
        </w:tc>
        <w:tc>
          <w:tcPr>
            <w:tcW w:w="1204" w:type="dxa"/>
            <w:noWrap/>
            <w:hideMark/>
          </w:tcPr>
          <w:p w14:paraId="24196B46" w14:textId="57FC361E" w:rsidR="00391C69" w:rsidRPr="00A87222" w:rsidRDefault="00A72C89" w:rsidP="00391C69">
            <w:pPr>
              <w:jc w:val="center"/>
              <w:rPr>
                <w:rFonts w:ascii="Calibri" w:eastAsia="Times New Roman" w:hAnsi="Calibri" w:cs="Times New Roman"/>
                <w:sz w:val="18"/>
                <w:szCs w:val="18"/>
              </w:rPr>
            </w:pPr>
            <w:r w:rsidRPr="00A87222">
              <w:rPr>
                <w:rFonts w:ascii="Calibri" w:eastAsia="Times New Roman" w:hAnsi="Calibri" w:cs="Times New Roman"/>
                <w:sz w:val="18"/>
                <w:szCs w:val="18"/>
              </w:rPr>
              <w:t>54</w:t>
            </w:r>
          </w:p>
        </w:tc>
        <w:tc>
          <w:tcPr>
            <w:tcW w:w="1355" w:type="dxa"/>
            <w:noWrap/>
            <w:hideMark/>
          </w:tcPr>
          <w:p w14:paraId="7E352D93" w14:textId="228E21F5" w:rsidR="00391C69" w:rsidRPr="00A87222" w:rsidRDefault="00A72C89" w:rsidP="00391C69">
            <w:pPr>
              <w:jc w:val="center"/>
              <w:rPr>
                <w:rFonts w:ascii="Calibri" w:eastAsia="Times New Roman" w:hAnsi="Calibri" w:cs="Times New Roman"/>
                <w:sz w:val="18"/>
                <w:szCs w:val="18"/>
              </w:rPr>
            </w:pPr>
            <w:r w:rsidRPr="00A87222">
              <w:rPr>
                <w:rFonts w:ascii="Calibri" w:eastAsia="Times New Roman" w:hAnsi="Calibri" w:cs="Times New Roman"/>
                <w:sz w:val="18"/>
                <w:szCs w:val="18"/>
              </w:rPr>
              <w:t>34</w:t>
            </w:r>
          </w:p>
        </w:tc>
      </w:tr>
      <w:tr w:rsidR="00391C69" w:rsidRPr="00623BC4" w14:paraId="585A7D94" w14:textId="77777777" w:rsidTr="00B86180">
        <w:trPr>
          <w:trHeight w:val="144"/>
          <w:jc w:val="center"/>
        </w:trPr>
        <w:tc>
          <w:tcPr>
            <w:tcW w:w="3875" w:type="dxa"/>
            <w:noWrap/>
            <w:hideMark/>
          </w:tcPr>
          <w:p w14:paraId="15401EE3" w14:textId="6738F523"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Mergers and </w:t>
            </w:r>
            <w:r w:rsidR="00097993">
              <w:rPr>
                <w:rFonts w:ascii="Calibri" w:eastAsia="Times New Roman" w:hAnsi="Calibri" w:cs="Times New Roman"/>
                <w:color w:val="000000"/>
                <w:sz w:val="18"/>
                <w:szCs w:val="18"/>
              </w:rPr>
              <w:t>a</w:t>
            </w:r>
            <w:r>
              <w:rPr>
                <w:rFonts w:ascii="Calibri" w:eastAsia="Times New Roman" w:hAnsi="Calibri" w:cs="Times New Roman"/>
                <w:color w:val="000000"/>
                <w:sz w:val="18"/>
                <w:szCs w:val="18"/>
              </w:rPr>
              <w:t>cquisitions</w:t>
            </w:r>
          </w:p>
        </w:tc>
        <w:tc>
          <w:tcPr>
            <w:tcW w:w="1252" w:type="dxa"/>
            <w:noWrap/>
            <w:hideMark/>
          </w:tcPr>
          <w:p w14:paraId="57ED9B2B" w14:textId="77777777" w:rsidR="00391C69" w:rsidRPr="00A87222" w:rsidRDefault="00F6539A"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34</w:t>
            </w:r>
            <w:r w:rsidR="00391C69" w:rsidRPr="00A87222">
              <w:rPr>
                <w:rFonts w:ascii="Calibri" w:eastAsia="Times New Roman" w:hAnsi="Calibri" w:cs="Times New Roman"/>
                <w:color w:val="000000"/>
                <w:sz w:val="18"/>
                <w:szCs w:val="18"/>
              </w:rPr>
              <w:t>%</w:t>
            </w:r>
          </w:p>
        </w:tc>
        <w:tc>
          <w:tcPr>
            <w:tcW w:w="1293" w:type="dxa"/>
            <w:noWrap/>
            <w:hideMark/>
          </w:tcPr>
          <w:p w14:paraId="51669D02" w14:textId="13377B98"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58</w:t>
            </w:r>
            <w:r w:rsidR="00391C69" w:rsidRPr="00A87222">
              <w:rPr>
                <w:rFonts w:ascii="Calibri" w:eastAsia="Times New Roman" w:hAnsi="Calibri" w:cs="Times New Roman"/>
                <w:color w:val="000000"/>
                <w:sz w:val="18"/>
                <w:szCs w:val="18"/>
              </w:rPr>
              <w:t>%</w:t>
            </w:r>
          </w:p>
        </w:tc>
        <w:tc>
          <w:tcPr>
            <w:tcW w:w="1561" w:type="dxa"/>
            <w:noWrap/>
            <w:hideMark/>
          </w:tcPr>
          <w:p w14:paraId="68A22E24" w14:textId="7C399B34"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8</w:t>
            </w:r>
            <w:r w:rsidR="00391C69" w:rsidRPr="00A87222">
              <w:rPr>
                <w:rFonts w:ascii="Calibri" w:eastAsia="Times New Roman" w:hAnsi="Calibri" w:cs="Times New Roman"/>
                <w:color w:val="000000"/>
                <w:sz w:val="18"/>
                <w:szCs w:val="18"/>
              </w:rPr>
              <w:t>%</w:t>
            </w:r>
          </w:p>
        </w:tc>
        <w:tc>
          <w:tcPr>
            <w:tcW w:w="1204" w:type="dxa"/>
            <w:noWrap/>
            <w:hideMark/>
          </w:tcPr>
          <w:p w14:paraId="30D101CE" w14:textId="185B469A" w:rsidR="00391C69" w:rsidRPr="00A87222" w:rsidRDefault="00A72C89" w:rsidP="00391C69">
            <w:pPr>
              <w:jc w:val="center"/>
              <w:rPr>
                <w:rFonts w:ascii="Calibri" w:eastAsia="Times New Roman" w:hAnsi="Calibri" w:cs="Times New Roman"/>
                <w:sz w:val="18"/>
                <w:szCs w:val="18"/>
              </w:rPr>
            </w:pPr>
            <w:r w:rsidRPr="00A87222">
              <w:rPr>
                <w:rFonts w:ascii="Calibri" w:eastAsia="Times New Roman" w:hAnsi="Calibri" w:cs="Times New Roman"/>
                <w:sz w:val="18"/>
                <w:szCs w:val="18"/>
              </w:rPr>
              <w:t>63</w:t>
            </w:r>
          </w:p>
        </w:tc>
        <w:tc>
          <w:tcPr>
            <w:tcW w:w="1355" w:type="dxa"/>
            <w:noWrap/>
            <w:hideMark/>
          </w:tcPr>
          <w:p w14:paraId="5D3F16CC" w14:textId="42033490" w:rsidR="00391C69" w:rsidRPr="00A87222" w:rsidRDefault="00A72C89" w:rsidP="00391C69">
            <w:pPr>
              <w:jc w:val="center"/>
              <w:rPr>
                <w:rFonts w:ascii="Calibri" w:eastAsia="Times New Roman" w:hAnsi="Calibri" w:cs="Times New Roman"/>
                <w:sz w:val="18"/>
                <w:szCs w:val="18"/>
              </w:rPr>
            </w:pPr>
            <w:r w:rsidRPr="00A87222">
              <w:rPr>
                <w:rFonts w:ascii="Calibri" w:eastAsia="Times New Roman" w:hAnsi="Calibri" w:cs="Times New Roman"/>
                <w:sz w:val="18"/>
                <w:szCs w:val="18"/>
              </w:rPr>
              <w:t>55</w:t>
            </w:r>
          </w:p>
        </w:tc>
      </w:tr>
    </w:tbl>
    <w:p w14:paraId="22907F11" w14:textId="77777777" w:rsidR="00C2607A" w:rsidRDefault="00C2607A" w:rsidP="009B3DF5">
      <w:pPr>
        <w:spacing w:after="0" w:line="72" w:lineRule="auto"/>
      </w:pPr>
    </w:p>
    <w:tbl>
      <w:tblPr>
        <w:tblStyle w:val="PlainTable4"/>
        <w:tblW w:w="10525"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Changes in credit conditions"/>
        <w:tblDescription w:val="Table showing that 68 percent of respondents did not experience changes in credit conditions."/>
      </w:tblPr>
      <w:tblGrid>
        <w:gridCol w:w="3870"/>
        <w:gridCol w:w="1440"/>
        <w:gridCol w:w="1350"/>
        <w:gridCol w:w="1260"/>
        <w:gridCol w:w="1350"/>
        <w:gridCol w:w="1255"/>
      </w:tblGrid>
      <w:tr w:rsidR="00C2607A" w:rsidRPr="000A28AD" w14:paraId="52D09CE3" w14:textId="77777777" w:rsidTr="003B7BDF">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auto"/>
            </w:tcBorders>
            <w:shd w:val="clear" w:color="auto" w:fill="BDD6EE" w:themeFill="accent1" w:themeFillTint="66"/>
            <w:noWrap/>
            <w:hideMark/>
          </w:tcPr>
          <w:p w14:paraId="1C678306" w14:textId="77777777" w:rsidR="00C2607A" w:rsidRPr="000A28AD" w:rsidRDefault="00C2607A"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Have changes in credit conditions in the last</w:t>
            </w:r>
            <w:r>
              <w:rPr>
                <w:rFonts w:ascii="Calibri" w:eastAsia="Times New Roman" w:hAnsi="Calibri" w:cs="Times New Roman"/>
                <w:color w:val="000000"/>
                <w:sz w:val="18"/>
                <w:szCs w:val="18"/>
              </w:rPr>
              <w:br/>
              <w:t>4 quarters affected your firm?</w:t>
            </w:r>
            <w:r w:rsidRPr="000A28AD">
              <w:rPr>
                <w:rFonts w:ascii="Calibri" w:eastAsia="Times New Roman" w:hAnsi="Calibri" w:cs="Times New Roman"/>
                <w:color w:val="000000"/>
                <w:sz w:val="18"/>
                <w:szCs w:val="18"/>
              </w:rPr>
              <w:t>:</w:t>
            </w:r>
          </w:p>
        </w:tc>
        <w:tc>
          <w:tcPr>
            <w:tcW w:w="1440" w:type="dxa"/>
            <w:tcBorders>
              <w:top w:val="single" w:sz="4" w:space="0" w:color="auto"/>
              <w:bottom w:val="single" w:sz="4" w:space="0" w:color="auto"/>
            </w:tcBorders>
            <w:shd w:val="clear" w:color="auto" w:fill="BDD6EE" w:themeFill="accent1" w:themeFillTint="66"/>
            <w:noWrap/>
            <w:hideMark/>
          </w:tcPr>
          <w:p w14:paraId="4A1A3A79" w14:textId="77777777" w:rsidR="00C2607A" w:rsidRPr="000A28AD" w:rsidRDefault="002E4C76" w:rsidP="002E4C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br/>
              <w:t xml:space="preserve">No </w:t>
            </w:r>
            <w:r>
              <w:rPr>
                <w:rFonts w:ascii="Calibri" w:eastAsia="Times New Roman" w:hAnsi="Calibri" w:cs="Times New Roman"/>
                <w:color w:val="000000"/>
                <w:sz w:val="18"/>
                <w:szCs w:val="18"/>
              </w:rPr>
              <w:br/>
              <w:t>Changes</w:t>
            </w:r>
          </w:p>
        </w:tc>
        <w:tc>
          <w:tcPr>
            <w:tcW w:w="1350" w:type="dxa"/>
            <w:tcBorders>
              <w:top w:val="single" w:sz="4" w:space="0" w:color="auto"/>
              <w:bottom w:val="single" w:sz="4" w:space="0" w:color="auto"/>
            </w:tcBorders>
            <w:shd w:val="clear" w:color="auto" w:fill="BDD6EE" w:themeFill="accent1" w:themeFillTint="66"/>
            <w:noWrap/>
            <w:hideMark/>
          </w:tcPr>
          <w:p w14:paraId="6B41FDC2" w14:textId="77777777" w:rsidR="00C2607A" w:rsidRPr="000A28AD" w:rsidRDefault="002E4C76" w:rsidP="002E4C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br/>
              <w:t>Increased Hiring</w:t>
            </w:r>
          </w:p>
        </w:tc>
        <w:tc>
          <w:tcPr>
            <w:tcW w:w="1260" w:type="dxa"/>
            <w:tcBorders>
              <w:top w:val="single" w:sz="4" w:space="0" w:color="auto"/>
              <w:bottom w:val="single" w:sz="4" w:space="0" w:color="auto"/>
            </w:tcBorders>
            <w:shd w:val="clear" w:color="auto" w:fill="BDD6EE" w:themeFill="accent1" w:themeFillTint="66"/>
            <w:noWrap/>
            <w:hideMark/>
          </w:tcPr>
          <w:p w14:paraId="5DB0F875" w14:textId="77777777" w:rsidR="00C2607A" w:rsidRDefault="00C2607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Increased</w:t>
            </w:r>
          </w:p>
          <w:p w14:paraId="69387971" w14:textId="77777777" w:rsidR="00C2607A" w:rsidRPr="000A28AD" w:rsidRDefault="00C2607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Cap</w:t>
            </w:r>
            <w:r w:rsidR="002E4C76">
              <w:rPr>
                <w:rFonts w:ascii="Calibri" w:eastAsia="Times New Roman" w:hAnsi="Calibri" w:cs="Times New Roman"/>
                <w:color w:val="000000"/>
                <w:sz w:val="18"/>
                <w:szCs w:val="18"/>
              </w:rPr>
              <w:t>ital</w:t>
            </w:r>
            <w:r>
              <w:rPr>
                <w:rFonts w:ascii="Calibri" w:eastAsia="Times New Roman" w:hAnsi="Calibri" w:cs="Times New Roman"/>
                <w:color w:val="000000"/>
                <w:sz w:val="18"/>
                <w:szCs w:val="18"/>
              </w:rPr>
              <w:t xml:space="preserve"> Expend</w:t>
            </w:r>
            <w:r w:rsidR="002E4C76">
              <w:rPr>
                <w:rFonts w:ascii="Calibri" w:eastAsia="Times New Roman" w:hAnsi="Calibri" w:cs="Times New Roman"/>
                <w:color w:val="000000"/>
                <w:sz w:val="18"/>
                <w:szCs w:val="18"/>
              </w:rPr>
              <w:t>itures</w:t>
            </w:r>
          </w:p>
        </w:tc>
        <w:tc>
          <w:tcPr>
            <w:tcW w:w="1350" w:type="dxa"/>
            <w:tcBorders>
              <w:top w:val="single" w:sz="4" w:space="0" w:color="auto"/>
              <w:bottom w:val="single" w:sz="4" w:space="0" w:color="auto"/>
            </w:tcBorders>
            <w:shd w:val="clear" w:color="auto" w:fill="BDD6EE" w:themeFill="accent1" w:themeFillTint="66"/>
            <w:noWrap/>
            <w:hideMark/>
          </w:tcPr>
          <w:p w14:paraId="3697D532" w14:textId="77777777" w:rsidR="00C2607A" w:rsidRPr="000A28AD" w:rsidRDefault="002E4C76"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br/>
              <w:t>Decreased</w:t>
            </w:r>
            <w:r>
              <w:rPr>
                <w:rFonts w:ascii="Calibri" w:eastAsia="Times New Roman" w:hAnsi="Calibri" w:cs="Times New Roman"/>
                <w:color w:val="000000"/>
                <w:sz w:val="18"/>
                <w:szCs w:val="18"/>
              </w:rPr>
              <w:br/>
              <w:t>Hiring</w:t>
            </w:r>
          </w:p>
        </w:tc>
        <w:tc>
          <w:tcPr>
            <w:tcW w:w="1255" w:type="dxa"/>
            <w:tcBorders>
              <w:top w:val="single" w:sz="4" w:space="0" w:color="auto"/>
              <w:bottom w:val="single" w:sz="4" w:space="0" w:color="auto"/>
            </w:tcBorders>
            <w:shd w:val="clear" w:color="auto" w:fill="BDD6EE" w:themeFill="accent1" w:themeFillTint="66"/>
            <w:noWrap/>
            <w:hideMark/>
          </w:tcPr>
          <w:p w14:paraId="79DA9D47" w14:textId="77777777" w:rsidR="00C2607A" w:rsidRPr="000A28AD" w:rsidRDefault="00C2607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Decreased </w:t>
            </w:r>
            <w:r>
              <w:rPr>
                <w:rFonts w:ascii="Calibri" w:eastAsia="Times New Roman" w:hAnsi="Calibri" w:cs="Times New Roman"/>
                <w:color w:val="000000"/>
                <w:sz w:val="18"/>
                <w:szCs w:val="18"/>
              </w:rPr>
              <w:br/>
              <w:t>Cap</w:t>
            </w:r>
            <w:r w:rsidR="002E4C76">
              <w:rPr>
                <w:rFonts w:ascii="Calibri" w:eastAsia="Times New Roman" w:hAnsi="Calibri" w:cs="Times New Roman"/>
                <w:color w:val="000000"/>
                <w:sz w:val="18"/>
                <w:szCs w:val="18"/>
              </w:rPr>
              <w:t>ital</w:t>
            </w:r>
            <w:r>
              <w:rPr>
                <w:rFonts w:ascii="Calibri" w:eastAsia="Times New Roman" w:hAnsi="Calibri" w:cs="Times New Roman"/>
                <w:color w:val="000000"/>
                <w:sz w:val="18"/>
                <w:szCs w:val="18"/>
              </w:rPr>
              <w:t xml:space="preserve"> Expend</w:t>
            </w:r>
            <w:r w:rsidR="002E4C76">
              <w:rPr>
                <w:rFonts w:ascii="Calibri" w:eastAsia="Times New Roman" w:hAnsi="Calibri" w:cs="Times New Roman"/>
                <w:color w:val="000000"/>
                <w:sz w:val="18"/>
                <w:szCs w:val="18"/>
              </w:rPr>
              <w:t>iture</w:t>
            </w:r>
          </w:p>
        </w:tc>
      </w:tr>
      <w:tr w:rsidR="00C2607A" w:rsidRPr="000A28AD" w14:paraId="56C6D4DB" w14:textId="77777777" w:rsidTr="003B7BDF">
        <w:trPr>
          <w:trHeight w:val="144"/>
          <w:jc w:val="center"/>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tcBorders>
            <w:noWrap/>
            <w:hideMark/>
          </w:tcPr>
          <w:p w14:paraId="281F801E" w14:textId="77777777" w:rsidR="00C2607A" w:rsidRPr="000A28AD" w:rsidRDefault="00C2607A" w:rsidP="001631FC">
            <w:pPr>
              <w:rPr>
                <w:rFonts w:ascii="Calibri" w:eastAsia="Times New Roman" w:hAnsi="Calibri" w:cs="Times New Roman"/>
                <w:b w:val="0"/>
                <w:color w:val="000000"/>
                <w:sz w:val="18"/>
                <w:szCs w:val="18"/>
              </w:rPr>
            </w:pPr>
          </w:p>
        </w:tc>
        <w:tc>
          <w:tcPr>
            <w:tcW w:w="1440" w:type="dxa"/>
            <w:tcBorders>
              <w:top w:val="single" w:sz="4" w:space="0" w:color="auto"/>
            </w:tcBorders>
            <w:noWrap/>
            <w:hideMark/>
          </w:tcPr>
          <w:p w14:paraId="5B82B598" w14:textId="3E8F0F46" w:rsidR="00C2607A" w:rsidRPr="00A87222" w:rsidRDefault="00875E22"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7</w:t>
            </w:r>
            <w:r w:rsidR="00532ED4" w:rsidRPr="00A87222">
              <w:rPr>
                <w:rFonts w:ascii="Calibri" w:eastAsia="Times New Roman" w:hAnsi="Calibri" w:cs="Times New Roman"/>
                <w:color w:val="000000"/>
                <w:sz w:val="18"/>
                <w:szCs w:val="18"/>
              </w:rPr>
              <w:t>8</w:t>
            </w:r>
            <w:r w:rsidR="00C2607A"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407D78FC" w14:textId="3DCC9B3C" w:rsidR="00C2607A" w:rsidRPr="00A87222" w:rsidRDefault="00F51D8F"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9</w:t>
            </w:r>
            <w:r w:rsidR="00C2607A" w:rsidRPr="00A87222">
              <w:rPr>
                <w:rFonts w:ascii="Calibri" w:eastAsia="Times New Roman" w:hAnsi="Calibri" w:cs="Times New Roman"/>
                <w:color w:val="000000"/>
                <w:sz w:val="18"/>
                <w:szCs w:val="18"/>
              </w:rPr>
              <w:t>%</w:t>
            </w:r>
          </w:p>
        </w:tc>
        <w:tc>
          <w:tcPr>
            <w:tcW w:w="1260" w:type="dxa"/>
            <w:tcBorders>
              <w:top w:val="single" w:sz="4" w:space="0" w:color="auto"/>
            </w:tcBorders>
            <w:noWrap/>
            <w:hideMark/>
          </w:tcPr>
          <w:p w14:paraId="2897438D" w14:textId="1B615428" w:rsidR="00C2607A" w:rsidRPr="00A87222" w:rsidRDefault="00F51D8F"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11</w:t>
            </w:r>
            <w:r w:rsidR="00C2607A"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4E073032" w14:textId="28093131" w:rsidR="00C2607A" w:rsidRPr="00A87222" w:rsidRDefault="00F51D8F"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7</w:t>
            </w:r>
            <w:r w:rsidR="00C2607A" w:rsidRPr="00A87222">
              <w:rPr>
                <w:rFonts w:ascii="Calibri" w:eastAsia="Times New Roman" w:hAnsi="Calibri" w:cs="Times New Roman"/>
                <w:color w:val="000000"/>
                <w:sz w:val="18"/>
                <w:szCs w:val="18"/>
              </w:rPr>
              <w:t>%</w:t>
            </w:r>
          </w:p>
        </w:tc>
        <w:tc>
          <w:tcPr>
            <w:tcW w:w="1255" w:type="dxa"/>
            <w:tcBorders>
              <w:top w:val="single" w:sz="4" w:space="0" w:color="auto"/>
            </w:tcBorders>
            <w:noWrap/>
            <w:hideMark/>
          </w:tcPr>
          <w:p w14:paraId="04D0BBF2" w14:textId="462F30B1" w:rsidR="00C2607A" w:rsidRPr="00A87222" w:rsidRDefault="00F51D8F"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9</w:t>
            </w:r>
            <w:r w:rsidR="00C2607A" w:rsidRPr="00A87222">
              <w:rPr>
                <w:rFonts w:ascii="Calibri" w:eastAsia="Times New Roman" w:hAnsi="Calibri" w:cs="Times New Roman"/>
                <w:color w:val="000000"/>
                <w:sz w:val="18"/>
                <w:szCs w:val="18"/>
              </w:rPr>
              <w:t>%</w:t>
            </w:r>
          </w:p>
        </w:tc>
      </w:tr>
      <w:bookmarkEnd w:id="0"/>
    </w:tbl>
    <w:p w14:paraId="24E0BA44" w14:textId="77777777" w:rsidR="001F26CC" w:rsidRDefault="001F26CC" w:rsidP="009B3DF5">
      <w:pPr>
        <w:spacing w:after="0" w:line="72" w:lineRule="auto"/>
      </w:pPr>
    </w:p>
    <w:p w14:paraId="5C567AF9" w14:textId="77777777" w:rsidR="00B86180" w:rsidRDefault="00B86180" w:rsidP="00B86180">
      <w:pPr>
        <w:sectPr w:rsidR="00B86180" w:rsidSect="009969EB">
          <w:type w:val="continuous"/>
          <w:pgSz w:w="12240" w:h="15840"/>
          <w:pgMar w:top="720" w:right="720" w:bottom="720" w:left="720" w:header="720" w:footer="720" w:gutter="0"/>
          <w:cols w:space="720"/>
          <w:docGrid w:linePitch="360"/>
        </w:sectPr>
      </w:pPr>
    </w:p>
    <w:p w14:paraId="4EE3C5FE" w14:textId="50A6F4C2" w:rsidR="006A1085" w:rsidRPr="00AC7A68" w:rsidRDefault="002E60AC" w:rsidP="002E60AC">
      <w:r w:rsidRPr="00D60273">
        <w:rPr>
          <w:rStyle w:val="Heading2Char"/>
          <w:b/>
        </w:rPr>
        <w:t xml:space="preserve">Impact of </w:t>
      </w:r>
      <w:r w:rsidRPr="0093302A">
        <w:rPr>
          <w:rStyle w:val="Heading2Char"/>
          <w:b/>
        </w:rPr>
        <w:t>C</w:t>
      </w:r>
      <w:r w:rsidR="0093302A" w:rsidRPr="0093302A">
        <w:rPr>
          <w:rStyle w:val="Heading2Char"/>
          <w:b/>
        </w:rPr>
        <w:t>OVID</w:t>
      </w:r>
      <w:r w:rsidRPr="0093302A">
        <w:rPr>
          <w:rStyle w:val="Heading2Char"/>
          <w:b/>
        </w:rPr>
        <w:t>-19</w:t>
      </w:r>
      <w:r w:rsidRPr="00D60273">
        <w:rPr>
          <w:rStyle w:val="Heading2Char"/>
          <w:b/>
        </w:rPr>
        <w:br/>
      </w:r>
      <w:r w:rsidRPr="00AC7A68">
        <w:t>New questions inquired about the impact of the COVID-19 pandemic on Minnesota business services firms</w:t>
      </w:r>
      <w:r w:rsidR="003B0396" w:rsidRPr="00AC7A68">
        <w:t xml:space="preserve"> in the last 12 months</w:t>
      </w:r>
      <w:r w:rsidRPr="00AC7A68">
        <w:t>.</w:t>
      </w:r>
      <w:r w:rsidR="002A4627" w:rsidRPr="00AC7A68">
        <w:t xml:space="preserve"> T</w:t>
      </w:r>
      <w:r w:rsidR="00962FBB" w:rsidRPr="00AC7A68">
        <w:t xml:space="preserve">he pandemic had </w:t>
      </w:r>
      <w:r w:rsidR="002A4627" w:rsidRPr="00AC7A68">
        <w:t xml:space="preserve">a particularly negative effect on </w:t>
      </w:r>
      <w:r w:rsidR="005C0002" w:rsidRPr="00AC7A68">
        <w:t>profits and revenue</w:t>
      </w:r>
      <w:r w:rsidR="0049058E" w:rsidRPr="00AC7A68">
        <w:t>, with</w:t>
      </w:r>
      <w:r w:rsidR="005C0002" w:rsidRPr="00AC7A68">
        <w:t xml:space="preserve"> </w:t>
      </w:r>
      <w:r w:rsidR="003B0396" w:rsidRPr="00AC7A68">
        <w:t xml:space="preserve">more </w:t>
      </w:r>
      <w:r w:rsidR="005C0002" w:rsidRPr="00AC7A68">
        <w:t>than 50%</w:t>
      </w:r>
      <w:r w:rsidR="002A4627" w:rsidRPr="00AC7A68">
        <w:t xml:space="preserve"> percent of respondents experienc</w:t>
      </w:r>
      <w:r w:rsidR="003B0396" w:rsidRPr="00AC7A68">
        <w:t>ing</w:t>
      </w:r>
      <w:r w:rsidR="002A4627" w:rsidRPr="00AC7A68">
        <w:t xml:space="preserve"> a decline</w:t>
      </w:r>
      <w:r w:rsidR="005C0002" w:rsidRPr="00AC7A68">
        <w:t xml:space="preserve">. Additionally, 34% indicated </w:t>
      </w:r>
      <w:r w:rsidR="0049058E" w:rsidRPr="00AC7A68">
        <w:t>reduced</w:t>
      </w:r>
      <w:r w:rsidR="005C0002" w:rsidRPr="00AC7A68">
        <w:t xml:space="preserve"> employee productivity</w:t>
      </w:r>
      <w:r w:rsidR="006A1085" w:rsidRPr="00AC7A68">
        <w:t>.</w:t>
      </w:r>
    </w:p>
    <w:p w14:paraId="132F878E" w14:textId="06A37E70" w:rsidR="00F267EF" w:rsidRPr="00AC7A68" w:rsidRDefault="006A1085" w:rsidP="002E60AC">
      <w:r w:rsidRPr="00AC7A68">
        <w:t xml:space="preserve">A significant share of respondents </w:t>
      </w:r>
      <w:r w:rsidR="003B0396" w:rsidRPr="00AC7A68">
        <w:t>stated that they</w:t>
      </w:r>
      <w:r w:rsidR="006B6F5E" w:rsidRPr="00AC7A68">
        <w:t xml:space="preserve"> </w:t>
      </w:r>
      <w:r w:rsidR="003B0396" w:rsidRPr="00AC7A68">
        <w:t xml:space="preserve">allowed </w:t>
      </w:r>
      <w:r w:rsidR="006B6F5E" w:rsidRPr="00AC7A68">
        <w:t>employees working from home</w:t>
      </w:r>
      <w:r w:rsidR="0049058E" w:rsidRPr="00AC7A68">
        <w:t xml:space="preserve"> (48%),</w:t>
      </w:r>
      <w:r w:rsidR="0049058E" w:rsidRPr="00AC7A68">
        <w:rPr>
          <w:rFonts w:cstheme="minorHAnsi"/>
        </w:rPr>
        <w:t xml:space="preserve"> </w:t>
      </w:r>
      <w:r w:rsidR="0049058E" w:rsidRPr="00AC7A68">
        <w:t xml:space="preserve">but </w:t>
      </w:r>
      <w:r w:rsidR="003B0396" w:rsidRPr="00AC7A68">
        <w:t xml:space="preserve">the percentage was lower </w:t>
      </w:r>
      <w:r w:rsidR="0049058E" w:rsidRPr="00AC7A68">
        <w:t>compared to the year before (64%).</w:t>
      </w:r>
      <w:r w:rsidR="003B0396" w:rsidRPr="00AC7A68">
        <w:t xml:space="preserve"> Forty-five percent indicated they experienced </w:t>
      </w:r>
      <w:r w:rsidR="003B0396" w:rsidRPr="00AC7A68">
        <w:t>stable employee productivity.</w:t>
      </w:r>
      <w:r w:rsidRPr="00AC7A68">
        <w:br/>
      </w:r>
      <w:r w:rsidRPr="00AC7A68">
        <w:br/>
      </w:r>
      <w:r w:rsidR="003B0396" w:rsidRPr="00AC7A68">
        <w:t>Forty-four percent of respondents indicated they have returned to work in-person since January 2021</w:t>
      </w:r>
      <w:r w:rsidR="00EE2D4D" w:rsidRPr="00AC7A68">
        <w:t>.</w:t>
      </w:r>
      <w:r w:rsidR="003B0396" w:rsidRPr="00AC7A68">
        <w:t xml:space="preserve"> Nearly 60% </w:t>
      </w:r>
      <w:r w:rsidR="007A0E8F" w:rsidRPr="00AC7A68">
        <w:t>have</w:t>
      </w:r>
      <w:r w:rsidR="003B0396" w:rsidRPr="00AC7A68">
        <w:t xml:space="preserve"> not requir</w:t>
      </w:r>
      <w:r w:rsidR="007A0E8F" w:rsidRPr="00AC7A68">
        <w:t>ed</w:t>
      </w:r>
      <w:r w:rsidR="003B0396" w:rsidRPr="00AC7A68">
        <w:t xml:space="preserve"> COVID-19 vaccines for their employees</w:t>
      </w:r>
      <w:r w:rsidR="007A0E8F" w:rsidRPr="00AC7A68">
        <w:t xml:space="preserve"> during the same period</w:t>
      </w:r>
      <w:r w:rsidR="003B0396" w:rsidRPr="00AC7A68">
        <w:t>. Additionally, 42% received financial assistance.</w:t>
      </w:r>
    </w:p>
    <w:p w14:paraId="217003BE" w14:textId="49441C96" w:rsidR="00EE2D4D" w:rsidRDefault="00AC7A68" w:rsidP="002E60AC">
      <w:r>
        <w:t>Twenty-two percent of respondents indicated that they will allow employees to telework permanently, indicating a modest impact in commuting patterns.</w:t>
      </w:r>
    </w:p>
    <w:p w14:paraId="5B0C23A0" w14:textId="1FCB6804" w:rsidR="005252B0" w:rsidRDefault="00952E63" w:rsidP="001631FC">
      <w:pPr>
        <w:rPr>
          <w:rFonts w:ascii="Calibri" w:eastAsia="Times New Roman" w:hAnsi="Calibri" w:cs="Times New Roman"/>
          <w:b/>
          <w:bCs/>
          <w:color w:val="000000"/>
          <w:sz w:val="18"/>
          <w:szCs w:val="18"/>
        </w:rPr>
        <w:sectPr w:rsidR="005252B0" w:rsidSect="00B86180">
          <w:type w:val="continuous"/>
          <w:pgSz w:w="12240" w:h="15840"/>
          <w:pgMar w:top="720" w:right="720" w:bottom="720" w:left="720" w:header="720" w:footer="720" w:gutter="0"/>
          <w:cols w:num="2" w:space="720"/>
          <w:docGrid w:linePitch="360"/>
        </w:sectPr>
      </w:pPr>
      <w:r>
        <w:rPr>
          <w:rFonts w:ascii="Calibri" w:eastAsia="Times New Roman" w:hAnsi="Calibri" w:cs="Times New Roman"/>
          <w:b/>
          <w:bCs/>
          <w:color w:val="000000"/>
          <w:sz w:val="18"/>
          <w:szCs w:val="18"/>
        </w:rPr>
        <w:br/>
      </w:r>
    </w:p>
    <w:p w14:paraId="7BBF9D51" w14:textId="2F059F95" w:rsidR="0049058E" w:rsidRPr="00952E63" w:rsidRDefault="00952E63" w:rsidP="00952E63">
      <w:pPr>
        <w:pStyle w:val="Title"/>
        <w:rPr>
          <w:b/>
          <w:bCs/>
          <w:color w:val="1F4E79" w:themeColor="accent1" w:themeShade="80"/>
          <w:sz w:val="22"/>
          <w:szCs w:val="22"/>
        </w:rPr>
        <w:sectPr w:rsidR="0049058E" w:rsidRPr="00952E63" w:rsidSect="00820241">
          <w:type w:val="continuous"/>
          <w:pgSz w:w="12240" w:h="15840"/>
          <w:pgMar w:top="720" w:right="720" w:bottom="720" w:left="720" w:header="720" w:footer="720" w:gutter="0"/>
          <w:cols w:space="720"/>
          <w:docGrid w:linePitch="360"/>
        </w:sectPr>
      </w:pPr>
      <w:r w:rsidRPr="00952E63">
        <w:rPr>
          <w:b/>
          <w:bCs/>
          <w:color w:val="1F4E79" w:themeColor="accent1" w:themeShade="80"/>
          <w:sz w:val="22"/>
          <w:szCs w:val="22"/>
        </w:rPr>
        <w:lastRenderedPageBreak/>
        <w:t>Table 2. Impact of COVID-19</w:t>
      </w:r>
      <w:r w:rsidR="0049058E" w:rsidRPr="00952E63">
        <w:rPr>
          <w:b/>
          <w:bCs/>
          <w:color w:val="1F4E79" w:themeColor="accent1" w:themeShade="80"/>
          <w:sz w:val="22"/>
          <w:szCs w:val="22"/>
        </w:rPr>
        <w:tab/>
      </w:r>
    </w:p>
    <w:tbl>
      <w:tblPr>
        <w:tblStyle w:val="PlainTable4"/>
        <w:tblW w:w="10730"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mpact of COVID-19 on businesses"/>
        <w:tblDescription w:val="Fifty-seven percent of respondents experienced a decline in revenue while half indicated a drop in employee productivity. Forty-three percent indicated they did not furlough employees while 44 four percent did not lay off workers. A significant share of respondents indicated an increase of employees working from home, 64 percent.&#10;&#10;The large majority of respondents indicated they have not missed loan payments (56 percent) nor rent payments (60 percent).&#10;Forty-four percent of respondents indicated no change in cash availability while 39 responded they had a decrease.&#10;Nearly half of respondents indicated they expect to go back to normal operations in more than six months while almost one-fifth expressed their businesses will not go back to normal.&#10; &#10;"/>
      </w:tblPr>
      <w:tblGrid>
        <w:gridCol w:w="3325"/>
        <w:gridCol w:w="1440"/>
        <w:gridCol w:w="1440"/>
        <w:gridCol w:w="1620"/>
        <w:gridCol w:w="1550"/>
        <w:gridCol w:w="1355"/>
      </w:tblGrid>
      <w:tr w:rsidR="00820241" w:rsidRPr="000A28AD" w14:paraId="4157D876" w14:textId="77777777" w:rsidTr="0086126B">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325" w:type="dxa"/>
            <w:tcBorders>
              <w:top w:val="single" w:sz="4" w:space="0" w:color="auto"/>
              <w:bottom w:val="single" w:sz="4" w:space="0" w:color="auto"/>
            </w:tcBorders>
            <w:shd w:val="clear" w:color="auto" w:fill="BDD6EE" w:themeFill="accent1" w:themeFillTint="66"/>
            <w:noWrap/>
            <w:hideMark/>
          </w:tcPr>
          <w:p w14:paraId="010337B9" w14:textId="714338B5" w:rsidR="00820241" w:rsidRPr="008A0661" w:rsidRDefault="003B7BDF" w:rsidP="001631FC">
            <w:pPr>
              <w:rPr>
                <w:rFonts w:ascii="Calibri" w:eastAsia="Times New Roman" w:hAnsi="Calibri" w:cs="Times New Roman"/>
                <w:color w:val="000000"/>
                <w:sz w:val="18"/>
                <w:szCs w:val="18"/>
              </w:rPr>
            </w:pPr>
            <w:bookmarkStart w:id="1" w:name="_Hlk76110646"/>
            <w:r w:rsidRPr="008A0661">
              <w:rPr>
                <w:sz w:val="18"/>
                <w:szCs w:val="18"/>
              </w:rPr>
              <w:t xml:space="preserve">Impact of COVID-19 on Minnesota Services </w:t>
            </w:r>
            <w:r w:rsidRPr="008A0661">
              <w:rPr>
                <w:rFonts w:eastAsia="Times New Roman"/>
                <w:sz w:val="18"/>
                <w:szCs w:val="18"/>
              </w:rPr>
              <w:t>Firms on the last 12 months</w:t>
            </w:r>
            <w:r w:rsidRPr="008A0661">
              <w:rPr>
                <w:rFonts w:eastAsia="Times New Roman"/>
                <w:sz w:val="18"/>
                <w:szCs w:val="18"/>
                <w:vertAlign w:val="superscript"/>
              </w:rPr>
              <w:t>1</w:t>
            </w:r>
          </w:p>
        </w:tc>
        <w:tc>
          <w:tcPr>
            <w:tcW w:w="1440" w:type="dxa"/>
            <w:tcBorders>
              <w:top w:val="single" w:sz="4" w:space="0" w:color="auto"/>
              <w:bottom w:val="single" w:sz="4" w:space="0" w:color="auto"/>
            </w:tcBorders>
            <w:shd w:val="clear" w:color="auto" w:fill="BDD6EE" w:themeFill="accent1" w:themeFillTint="66"/>
            <w:noWrap/>
            <w:hideMark/>
          </w:tcPr>
          <w:p w14:paraId="737D5B18" w14:textId="77777777" w:rsidR="00820241" w:rsidRPr="000A28AD" w:rsidRDefault="00820241"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Increase</w:t>
            </w:r>
          </w:p>
        </w:tc>
        <w:tc>
          <w:tcPr>
            <w:tcW w:w="1440" w:type="dxa"/>
            <w:tcBorders>
              <w:top w:val="single" w:sz="4" w:space="0" w:color="auto"/>
              <w:bottom w:val="single" w:sz="4" w:space="0" w:color="auto"/>
            </w:tcBorders>
            <w:shd w:val="clear" w:color="auto" w:fill="BDD6EE" w:themeFill="accent1" w:themeFillTint="66"/>
            <w:noWrap/>
            <w:hideMark/>
          </w:tcPr>
          <w:p w14:paraId="2B1C8BFA" w14:textId="77777777" w:rsidR="00820241" w:rsidRPr="000A28AD" w:rsidRDefault="00820241"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 Change</w:t>
            </w:r>
          </w:p>
        </w:tc>
        <w:tc>
          <w:tcPr>
            <w:tcW w:w="1620" w:type="dxa"/>
            <w:tcBorders>
              <w:top w:val="single" w:sz="4" w:space="0" w:color="auto"/>
              <w:bottom w:val="single" w:sz="4" w:space="0" w:color="auto"/>
            </w:tcBorders>
            <w:shd w:val="clear" w:color="auto" w:fill="BDD6EE" w:themeFill="accent1" w:themeFillTint="66"/>
            <w:noWrap/>
            <w:hideMark/>
          </w:tcPr>
          <w:p w14:paraId="0132B630" w14:textId="77777777" w:rsidR="00820241" w:rsidRPr="000A28AD" w:rsidRDefault="00820241"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Decrease</w:t>
            </w:r>
          </w:p>
        </w:tc>
        <w:tc>
          <w:tcPr>
            <w:tcW w:w="1550" w:type="dxa"/>
            <w:tcBorders>
              <w:top w:val="single" w:sz="4" w:space="0" w:color="auto"/>
              <w:bottom w:val="single" w:sz="4" w:space="0" w:color="auto"/>
            </w:tcBorders>
            <w:shd w:val="clear" w:color="auto" w:fill="BDD6EE" w:themeFill="accent1" w:themeFillTint="66"/>
            <w:noWrap/>
            <w:hideMark/>
          </w:tcPr>
          <w:p w14:paraId="1184040A" w14:textId="77777777" w:rsidR="00820241" w:rsidRPr="000A28AD" w:rsidRDefault="00820241"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Applicable</w:t>
            </w:r>
          </w:p>
        </w:tc>
        <w:tc>
          <w:tcPr>
            <w:tcW w:w="1355" w:type="dxa"/>
            <w:tcBorders>
              <w:top w:val="single" w:sz="4" w:space="0" w:color="auto"/>
              <w:bottom w:val="single" w:sz="4" w:space="0" w:color="auto"/>
            </w:tcBorders>
            <w:shd w:val="clear" w:color="auto" w:fill="BDD6EE" w:themeFill="accent1" w:themeFillTint="66"/>
            <w:noWrap/>
            <w:hideMark/>
          </w:tcPr>
          <w:p w14:paraId="109BBABF" w14:textId="77777777" w:rsidR="00820241" w:rsidRPr="000A28AD" w:rsidRDefault="00820241"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Total</w:t>
            </w:r>
          </w:p>
        </w:tc>
      </w:tr>
      <w:tr w:rsidR="00820241" w:rsidRPr="000A28AD" w14:paraId="06D6FD38" w14:textId="77777777" w:rsidTr="0086126B">
        <w:trPr>
          <w:trHeight w:val="144"/>
          <w:jc w:val="center"/>
        </w:trPr>
        <w:tc>
          <w:tcPr>
            <w:tcW w:w="3325" w:type="dxa"/>
            <w:tcBorders>
              <w:top w:val="single" w:sz="4" w:space="0" w:color="auto"/>
            </w:tcBorders>
            <w:noWrap/>
            <w:hideMark/>
          </w:tcPr>
          <w:p w14:paraId="6218095C" w14:textId="77777777" w:rsidR="00820241" w:rsidRPr="000A28AD" w:rsidRDefault="00820241"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Cash availability</w:t>
            </w:r>
          </w:p>
        </w:tc>
        <w:tc>
          <w:tcPr>
            <w:tcW w:w="1440" w:type="dxa"/>
            <w:tcBorders>
              <w:top w:val="single" w:sz="4" w:space="0" w:color="auto"/>
            </w:tcBorders>
            <w:noWrap/>
            <w:hideMark/>
          </w:tcPr>
          <w:p w14:paraId="4F2BF287" w14:textId="2ADBFB33" w:rsidR="00820241"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22</w:t>
            </w:r>
            <w:r w:rsidR="00820241" w:rsidRPr="00A87222">
              <w:rPr>
                <w:rFonts w:ascii="Calibri" w:eastAsia="Times New Roman" w:hAnsi="Calibri" w:cs="Times New Roman"/>
                <w:color w:val="000000"/>
                <w:sz w:val="18"/>
                <w:szCs w:val="18"/>
              </w:rPr>
              <w:t>%</w:t>
            </w:r>
          </w:p>
        </w:tc>
        <w:tc>
          <w:tcPr>
            <w:tcW w:w="1440" w:type="dxa"/>
            <w:tcBorders>
              <w:top w:val="single" w:sz="4" w:space="0" w:color="auto"/>
            </w:tcBorders>
            <w:noWrap/>
            <w:hideMark/>
          </w:tcPr>
          <w:p w14:paraId="6403F24B" w14:textId="0600BAAC" w:rsidR="00820241" w:rsidRPr="00A87222" w:rsidRDefault="00820241"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w:t>
            </w:r>
            <w:r w:rsidR="00D7058B" w:rsidRPr="00A87222">
              <w:rPr>
                <w:rFonts w:ascii="Calibri" w:eastAsia="Times New Roman" w:hAnsi="Calibri" w:cs="Times New Roman"/>
                <w:color w:val="000000"/>
                <w:sz w:val="18"/>
                <w:szCs w:val="18"/>
              </w:rPr>
              <w:t>5</w:t>
            </w:r>
            <w:r w:rsidRPr="00A87222">
              <w:rPr>
                <w:rFonts w:ascii="Calibri" w:eastAsia="Times New Roman" w:hAnsi="Calibri" w:cs="Times New Roman"/>
                <w:color w:val="000000"/>
                <w:sz w:val="18"/>
                <w:szCs w:val="18"/>
              </w:rPr>
              <w:t>%</w:t>
            </w:r>
          </w:p>
        </w:tc>
        <w:tc>
          <w:tcPr>
            <w:tcW w:w="1620" w:type="dxa"/>
            <w:tcBorders>
              <w:top w:val="single" w:sz="4" w:space="0" w:color="auto"/>
            </w:tcBorders>
            <w:noWrap/>
            <w:hideMark/>
          </w:tcPr>
          <w:p w14:paraId="06730B81" w14:textId="50C2B5F7" w:rsidR="00820241" w:rsidRPr="00A87222" w:rsidRDefault="00820241"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w:t>
            </w:r>
            <w:r w:rsidR="00D7058B" w:rsidRPr="00A87222">
              <w:rPr>
                <w:rFonts w:ascii="Calibri" w:eastAsia="Times New Roman" w:hAnsi="Calibri" w:cs="Times New Roman"/>
                <w:color w:val="000000"/>
                <w:sz w:val="18"/>
                <w:szCs w:val="18"/>
              </w:rPr>
              <w:t>2</w:t>
            </w:r>
            <w:r w:rsidRPr="00A87222">
              <w:rPr>
                <w:rFonts w:ascii="Calibri" w:eastAsia="Times New Roman" w:hAnsi="Calibri" w:cs="Times New Roman"/>
                <w:color w:val="000000"/>
                <w:sz w:val="18"/>
                <w:szCs w:val="18"/>
              </w:rPr>
              <w:t>%</w:t>
            </w:r>
          </w:p>
        </w:tc>
        <w:tc>
          <w:tcPr>
            <w:tcW w:w="1550" w:type="dxa"/>
            <w:tcBorders>
              <w:top w:val="single" w:sz="4" w:space="0" w:color="auto"/>
            </w:tcBorders>
            <w:noWrap/>
            <w:hideMark/>
          </w:tcPr>
          <w:p w14:paraId="068D08B1" w14:textId="4F678AE8" w:rsidR="00820241"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w:t>
            </w:r>
            <w:r w:rsidR="00820241" w:rsidRPr="00A87222">
              <w:rPr>
                <w:rFonts w:ascii="Calibri" w:eastAsia="Times New Roman" w:hAnsi="Calibri" w:cs="Times New Roman"/>
                <w:color w:val="000000"/>
                <w:sz w:val="18"/>
                <w:szCs w:val="18"/>
              </w:rPr>
              <w:t>%</w:t>
            </w:r>
          </w:p>
        </w:tc>
        <w:tc>
          <w:tcPr>
            <w:tcW w:w="1355" w:type="dxa"/>
            <w:tcBorders>
              <w:top w:val="single" w:sz="4" w:space="0" w:color="auto"/>
            </w:tcBorders>
            <w:noWrap/>
            <w:hideMark/>
          </w:tcPr>
          <w:p w14:paraId="6B9323F2" w14:textId="77777777" w:rsidR="00820241" w:rsidRPr="000A28AD" w:rsidRDefault="00820241"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820241" w:rsidRPr="000A28AD" w14:paraId="4E11424C" w14:textId="77777777" w:rsidTr="0086126B">
        <w:trPr>
          <w:trHeight w:val="144"/>
          <w:jc w:val="center"/>
        </w:trPr>
        <w:tc>
          <w:tcPr>
            <w:tcW w:w="3325" w:type="dxa"/>
            <w:noWrap/>
            <w:hideMark/>
          </w:tcPr>
          <w:p w14:paraId="00BCFC07" w14:textId="77777777" w:rsidR="00820241" w:rsidRPr="000A28AD" w:rsidRDefault="00820241"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Revenue</w:t>
            </w:r>
          </w:p>
        </w:tc>
        <w:tc>
          <w:tcPr>
            <w:tcW w:w="1440" w:type="dxa"/>
            <w:noWrap/>
            <w:hideMark/>
          </w:tcPr>
          <w:p w14:paraId="6D1D523C" w14:textId="16F7B81E" w:rsidR="00820241"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33</w:t>
            </w:r>
            <w:r w:rsidR="00820241" w:rsidRPr="00A87222">
              <w:rPr>
                <w:rFonts w:ascii="Calibri" w:eastAsia="Times New Roman" w:hAnsi="Calibri" w:cs="Times New Roman"/>
                <w:color w:val="000000"/>
                <w:sz w:val="18"/>
                <w:szCs w:val="18"/>
              </w:rPr>
              <w:t>%</w:t>
            </w:r>
          </w:p>
        </w:tc>
        <w:tc>
          <w:tcPr>
            <w:tcW w:w="1440" w:type="dxa"/>
            <w:noWrap/>
            <w:hideMark/>
          </w:tcPr>
          <w:p w14:paraId="18E8C2C2" w14:textId="1E9DF46B" w:rsidR="00820241"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17</w:t>
            </w:r>
            <w:r w:rsidR="00820241" w:rsidRPr="00A87222">
              <w:rPr>
                <w:rFonts w:ascii="Calibri" w:eastAsia="Times New Roman" w:hAnsi="Calibri" w:cs="Times New Roman"/>
                <w:color w:val="000000"/>
                <w:sz w:val="18"/>
                <w:szCs w:val="18"/>
              </w:rPr>
              <w:t>%</w:t>
            </w:r>
          </w:p>
        </w:tc>
        <w:tc>
          <w:tcPr>
            <w:tcW w:w="1620" w:type="dxa"/>
            <w:noWrap/>
            <w:hideMark/>
          </w:tcPr>
          <w:p w14:paraId="34844E57" w14:textId="4E1B9E9F" w:rsidR="00820241" w:rsidRPr="00A87222" w:rsidRDefault="00820241"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w:t>
            </w:r>
            <w:r w:rsidR="00D7058B" w:rsidRPr="00A87222">
              <w:rPr>
                <w:rFonts w:ascii="Calibri" w:eastAsia="Times New Roman" w:hAnsi="Calibri" w:cs="Times New Roman"/>
                <w:color w:val="000000"/>
                <w:sz w:val="18"/>
                <w:szCs w:val="18"/>
              </w:rPr>
              <w:t>1</w:t>
            </w:r>
            <w:r w:rsidRPr="00A87222">
              <w:rPr>
                <w:rFonts w:ascii="Calibri" w:eastAsia="Times New Roman" w:hAnsi="Calibri" w:cs="Times New Roman"/>
                <w:color w:val="000000"/>
                <w:sz w:val="18"/>
                <w:szCs w:val="18"/>
              </w:rPr>
              <w:t>%</w:t>
            </w:r>
          </w:p>
        </w:tc>
        <w:tc>
          <w:tcPr>
            <w:tcW w:w="1550" w:type="dxa"/>
            <w:noWrap/>
            <w:hideMark/>
          </w:tcPr>
          <w:p w14:paraId="52BE2C7B" w14:textId="6E07EC11" w:rsidR="00820241"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0</w:t>
            </w:r>
            <w:r w:rsidR="00820241" w:rsidRPr="00A87222">
              <w:rPr>
                <w:rFonts w:ascii="Calibri" w:eastAsia="Times New Roman" w:hAnsi="Calibri" w:cs="Times New Roman"/>
                <w:color w:val="000000"/>
                <w:sz w:val="18"/>
                <w:szCs w:val="18"/>
              </w:rPr>
              <w:t>%</w:t>
            </w:r>
          </w:p>
        </w:tc>
        <w:tc>
          <w:tcPr>
            <w:tcW w:w="1355" w:type="dxa"/>
            <w:noWrap/>
            <w:hideMark/>
          </w:tcPr>
          <w:p w14:paraId="64BD5275" w14:textId="77777777" w:rsidR="00820241" w:rsidRPr="000A28AD" w:rsidRDefault="00820241"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D7058B" w:rsidRPr="000A28AD" w14:paraId="4A8A5A15" w14:textId="77777777" w:rsidTr="0086126B">
        <w:trPr>
          <w:trHeight w:val="144"/>
          <w:jc w:val="center"/>
        </w:trPr>
        <w:tc>
          <w:tcPr>
            <w:tcW w:w="3325" w:type="dxa"/>
            <w:noWrap/>
          </w:tcPr>
          <w:p w14:paraId="508FAC33" w14:textId="7D2014D9" w:rsidR="00D7058B" w:rsidRDefault="00D7058B"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Profits</w:t>
            </w:r>
          </w:p>
        </w:tc>
        <w:tc>
          <w:tcPr>
            <w:tcW w:w="1440" w:type="dxa"/>
            <w:noWrap/>
          </w:tcPr>
          <w:p w14:paraId="32CE0322" w14:textId="36D92813" w:rsidR="00D7058B"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29%</w:t>
            </w:r>
          </w:p>
        </w:tc>
        <w:tc>
          <w:tcPr>
            <w:tcW w:w="1440" w:type="dxa"/>
            <w:noWrap/>
          </w:tcPr>
          <w:p w14:paraId="245B0AB1" w14:textId="6B51EFB6" w:rsidR="00D7058B"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19%</w:t>
            </w:r>
          </w:p>
        </w:tc>
        <w:tc>
          <w:tcPr>
            <w:tcW w:w="1620" w:type="dxa"/>
            <w:noWrap/>
          </w:tcPr>
          <w:p w14:paraId="53B5EBE3" w14:textId="00C60ECA" w:rsidR="00D7058B"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52%</w:t>
            </w:r>
          </w:p>
        </w:tc>
        <w:tc>
          <w:tcPr>
            <w:tcW w:w="1550" w:type="dxa"/>
            <w:noWrap/>
          </w:tcPr>
          <w:p w14:paraId="0527372A" w14:textId="00AD612B" w:rsidR="00D7058B"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0%</w:t>
            </w:r>
          </w:p>
        </w:tc>
        <w:tc>
          <w:tcPr>
            <w:tcW w:w="1355" w:type="dxa"/>
            <w:noWrap/>
          </w:tcPr>
          <w:p w14:paraId="4C7BF59D" w14:textId="1D5D6C9E" w:rsidR="00D7058B" w:rsidRDefault="00D7058B"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D7058B" w:rsidRPr="000A28AD" w14:paraId="18E22D40" w14:textId="77777777" w:rsidTr="0086126B">
        <w:trPr>
          <w:trHeight w:val="144"/>
          <w:jc w:val="center"/>
        </w:trPr>
        <w:tc>
          <w:tcPr>
            <w:tcW w:w="3325" w:type="dxa"/>
            <w:noWrap/>
          </w:tcPr>
          <w:p w14:paraId="0873D229" w14:textId="04CE544D" w:rsidR="00D7058B" w:rsidRDefault="00D7058B"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Delays with suppliers</w:t>
            </w:r>
          </w:p>
        </w:tc>
        <w:tc>
          <w:tcPr>
            <w:tcW w:w="1440" w:type="dxa"/>
            <w:noWrap/>
          </w:tcPr>
          <w:p w14:paraId="5E5233C1" w14:textId="5B588CA4" w:rsidR="00D7058B"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36%</w:t>
            </w:r>
          </w:p>
        </w:tc>
        <w:tc>
          <w:tcPr>
            <w:tcW w:w="1440" w:type="dxa"/>
            <w:noWrap/>
          </w:tcPr>
          <w:p w14:paraId="12984A2F" w14:textId="39C75746" w:rsidR="00D7058B"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36%</w:t>
            </w:r>
          </w:p>
        </w:tc>
        <w:tc>
          <w:tcPr>
            <w:tcW w:w="1620" w:type="dxa"/>
            <w:noWrap/>
          </w:tcPr>
          <w:p w14:paraId="7762A318" w14:textId="4C44D17C" w:rsidR="00D7058B"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10%</w:t>
            </w:r>
          </w:p>
        </w:tc>
        <w:tc>
          <w:tcPr>
            <w:tcW w:w="1550" w:type="dxa"/>
            <w:noWrap/>
          </w:tcPr>
          <w:p w14:paraId="1E17CE80" w14:textId="4AC9B04E" w:rsidR="00D7058B" w:rsidRPr="00A87222" w:rsidRDefault="00D7058B"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18%</w:t>
            </w:r>
          </w:p>
        </w:tc>
        <w:tc>
          <w:tcPr>
            <w:tcW w:w="1355" w:type="dxa"/>
            <w:noWrap/>
          </w:tcPr>
          <w:p w14:paraId="1259C4DE" w14:textId="151AF820" w:rsidR="00D7058B" w:rsidRDefault="00D7058B"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B42CEB" w:rsidRPr="000A28AD" w14:paraId="79D51657" w14:textId="77777777" w:rsidTr="0086126B">
        <w:trPr>
          <w:trHeight w:val="144"/>
          <w:jc w:val="center"/>
        </w:trPr>
        <w:tc>
          <w:tcPr>
            <w:tcW w:w="3325" w:type="dxa"/>
            <w:noWrap/>
          </w:tcPr>
          <w:p w14:paraId="216FC2AA" w14:textId="785EBBF0" w:rsidR="00B42CEB" w:rsidRDefault="00B42CEB" w:rsidP="00B42CE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Employee furloughs </w:t>
            </w:r>
          </w:p>
        </w:tc>
        <w:tc>
          <w:tcPr>
            <w:tcW w:w="1440" w:type="dxa"/>
            <w:noWrap/>
          </w:tcPr>
          <w:p w14:paraId="578BC5BA" w14:textId="655CD42E" w:rsidR="00B42CEB" w:rsidRPr="00A87222" w:rsidRDefault="00B42CEB"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12%</w:t>
            </w:r>
          </w:p>
        </w:tc>
        <w:tc>
          <w:tcPr>
            <w:tcW w:w="1440" w:type="dxa"/>
            <w:noWrap/>
          </w:tcPr>
          <w:p w14:paraId="282D65D6" w14:textId="3544DB6D" w:rsidR="00B42CEB" w:rsidRPr="00A87222" w:rsidRDefault="00B42CEB"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48%</w:t>
            </w:r>
          </w:p>
        </w:tc>
        <w:tc>
          <w:tcPr>
            <w:tcW w:w="1620" w:type="dxa"/>
            <w:noWrap/>
          </w:tcPr>
          <w:p w14:paraId="70A8807B" w14:textId="2DA2C1F6" w:rsidR="00B42CEB" w:rsidRPr="00A87222" w:rsidRDefault="00B42CEB"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w:t>
            </w:r>
          </w:p>
        </w:tc>
        <w:tc>
          <w:tcPr>
            <w:tcW w:w="1550" w:type="dxa"/>
            <w:noWrap/>
          </w:tcPr>
          <w:p w14:paraId="0B55E24D" w14:textId="57F7BA48" w:rsidR="00B42CEB" w:rsidRPr="00A87222" w:rsidRDefault="00B42CEB"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37%</w:t>
            </w:r>
          </w:p>
        </w:tc>
        <w:tc>
          <w:tcPr>
            <w:tcW w:w="1355" w:type="dxa"/>
            <w:noWrap/>
          </w:tcPr>
          <w:p w14:paraId="78D761EF" w14:textId="55B233AC" w:rsidR="00B42CEB" w:rsidRDefault="00B42CEB" w:rsidP="00B42CE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1631FC" w:rsidRPr="000A28AD" w14:paraId="319EFA19" w14:textId="77777777" w:rsidTr="0086126B">
        <w:trPr>
          <w:trHeight w:val="144"/>
          <w:jc w:val="center"/>
        </w:trPr>
        <w:tc>
          <w:tcPr>
            <w:tcW w:w="3325" w:type="dxa"/>
            <w:noWrap/>
          </w:tcPr>
          <w:p w14:paraId="29EDAFA6" w14:textId="63D16681" w:rsidR="001631FC" w:rsidRDefault="001631FC" w:rsidP="00B42CE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Employee layoffs</w:t>
            </w:r>
          </w:p>
        </w:tc>
        <w:tc>
          <w:tcPr>
            <w:tcW w:w="1440" w:type="dxa"/>
            <w:noWrap/>
          </w:tcPr>
          <w:p w14:paraId="1E782BE1" w14:textId="044CA2AA" w:rsidR="001631FC" w:rsidRPr="00A87222" w:rsidRDefault="001631FC"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14%</w:t>
            </w:r>
          </w:p>
        </w:tc>
        <w:tc>
          <w:tcPr>
            <w:tcW w:w="1440" w:type="dxa"/>
            <w:noWrap/>
          </w:tcPr>
          <w:p w14:paraId="03380F8A" w14:textId="5F8DFE6A" w:rsidR="001631FC" w:rsidRPr="00A87222" w:rsidRDefault="001631FC"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49%</w:t>
            </w:r>
          </w:p>
        </w:tc>
        <w:tc>
          <w:tcPr>
            <w:tcW w:w="1620" w:type="dxa"/>
            <w:noWrap/>
          </w:tcPr>
          <w:p w14:paraId="18B8C879" w14:textId="71735C7B" w:rsidR="001631FC" w:rsidRPr="00A87222" w:rsidRDefault="001631FC"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w:t>
            </w:r>
          </w:p>
        </w:tc>
        <w:tc>
          <w:tcPr>
            <w:tcW w:w="1550" w:type="dxa"/>
            <w:noWrap/>
          </w:tcPr>
          <w:p w14:paraId="03EF8B4D" w14:textId="241860AF" w:rsidR="001631FC" w:rsidRPr="00A87222" w:rsidRDefault="001631FC"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34%</w:t>
            </w:r>
          </w:p>
        </w:tc>
        <w:tc>
          <w:tcPr>
            <w:tcW w:w="1355" w:type="dxa"/>
            <w:noWrap/>
          </w:tcPr>
          <w:p w14:paraId="17BFBC14" w14:textId="5850AEE2" w:rsidR="001631FC" w:rsidRDefault="001631FC" w:rsidP="00B42CE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1631FC" w:rsidRPr="000A28AD" w14:paraId="55B6C722" w14:textId="77777777" w:rsidTr="0086126B">
        <w:trPr>
          <w:trHeight w:val="144"/>
          <w:jc w:val="center"/>
        </w:trPr>
        <w:tc>
          <w:tcPr>
            <w:tcW w:w="3325" w:type="dxa"/>
            <w:noWrap/>
          </w:tcPr>
          <w:p w14:paraId="407536F7" w14:textId="5598F684" w:rsidR="001631FC" w:rsidRDefault="001631FC" w:rsidP="00B42CE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Employees working from home</w:t>
            </w:r>
          </w:p>
        </w:tc>
        <w:tc>
          <w:tcPr>
            <w:tcW w:w="1440" w:type="dxa"/>
            <w:noWrap/>
          </w:tcPr>
          <w:p w14:paraId="6BCA86CE" w14:textId="0689E525" w:rsidR="001631FC" w:rsidRPr="00A87222" w:rsidRDefault="001631FC"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48%</w:t>
            </w:r>
          </w:p>
        </w:tc>
        <w:tc>
          <w:tcPr>
            <w:tcW w:w="1440" w:type="dxa"/>
            <w:noWrap/>
          </w:tcPr>
          <w:p w14:paraId="53A28E50" w14:textId="44629E9A" w:rsidR="001631FC" w:rsidRPr="00A87222" w:rsidRDefault="001631FC"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30%</w:t>
            </w:r>
          </w:p>
        </w:tc>
        <w:tc>
          <w:tcPr>
            <w:tcW w:w="1620" w:type="dxa"/>
            <w:noWrap/>
          </w:tcPr>
          <w:p w14:paraId="1E3A681C" w14:textId="0BE12322" w:rsidR="001631FC" w:rsidRPr="00A87222" w:rsidRDefault="001631FC"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w:t>
            </w:r>
          </w:p>
        </w:tc>
        <w:tc>
          <w:tcPr>
            <w:tcW w:w="1550" w:type="dxa"/>
            <w:noWrap/>
          </w:tcPr>
          <w:p w14:paraId="41B8B3DE" w14:textId="2C9F4FA1" w:rsidR="001631FC" w:rsidRPr="00A87222" w:rsidRDefault="001631FC"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20%</w:t>
            </w:r>
          </w:p>
        </w:tc>
        <w:tc>
          <w:tcPr>
            <w:tcW w:w="1355" w:type="dxa"/>
            <w:noWrap/>
          </w:tcPr>
          <w:p w14:paraId="65D9203E" w14:textId="3B928061" w:rsidR="001631FC" w:rsidRDefault="001631FC" w:rsidP="00B42CE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B42CEB" w:rsidRPr="000A28AD" w14:paraId="3AF8E318" w14:textId="77777777" w:rsidTr="0086126B">
        <w:trPr>
          <w:trHeight w:val="144"/>
          <w:jc w:val="center"/>
        </w:trPr>
        <w:tc>
          <w:tcPr>
            <w:tcW w:w="3325" w:type="dxa"/>
            <w:noWrap/>
            <w:hideMark/>
          </w:tcPr>
          <w:p w14:paraId="072937C0" w14:textId="77777777" w:rsidR="00B42CEB" w:rsidRPr="000A28AD" w:rsidRDefault="00B42CEB" w:rsidP="00B42CE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Employee productivity</w:t>
            </w:r>
          </w:p>
        </w:tc>
        <w:tc>
          <w:tcPr>
            <w:tcW w:w="1440" w:type="dxa"/>
            <w:noWrap/>
            <w:hideMark/>
          </w:tcPr>
          <w:p w14:paraId="534C87EE" w14:textId="4795F7F5" w:rsidR="00B42CEB" w:rsidRPr="00A87222" w:rsidRDefault="00B42CEB"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15%</w:t>
            </w:r>
          </w:p>
        </w:tc>
        <w:tc>
          <w:tcPr>
            <w:tcW w:w="1440" w:type="dxa"/>
            <w:noWrap/>
            <w:hideMark/>
          </w:tcPr>
          <w:p w14:paraId="3A07A4BB" w14:textId="4642F58E" w:rsidR="00B42CEB" w:rsidRPr="00A87222" w:rsidRDefault="00B42CEB"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45%</w:t>
            </w:r>
          </w:p>
        </w:tc>
        <w:tc>
          <w:tcPr>
            <w:tcW w:w="1620" w:type="dxa"/>
            <w:noWrap/>
            <w:hideMark/>
          </w:tcPr>
          <w:p w14:paraId="524769A8" w14:textId="06276DD1" w:rsidR="00B42CEB" w:rsidRPr="00A87222" w:rsidRDefault="00B42CEB"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34%</w:t>
            </w:r>
          </w:p>
        </w:tc>
        <w:tc>
          <w:tcPr>
            <w:tcW w:w="1550" w:type="dxa"/>
            <w:noWrap/>
            <w:hideMark/>
          </w:tcPr>
          <w:p w14:paraId="18AD3610" w14:textId="0F127357" w:rsidR="00B42CEB" w:rsidRPr="00A87222" w:rsidRDefault="00B42CEB" w:rsidP="00B42CEB">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6%</w:t>
            </w:r>
          </w:p>
        </w:tc>
        <w:tc>
          <w:tcPr>
            <w:tcW w:w="1355" w:type="dxa"/>
            <w:noWrap/>
            <w:hideMark/>
          </w:tcPr>
          <w:p w14:paraId="47FFCA18" w14:textId="77777777" w:rsidR="00B42CEB" w:rsidRPr="000A28AD" w:rsidRDefault="00B42CEB" w:rsidP="00B42CE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bl>
    <w:p w14:paraId="1CE521FB" w14:textId="2C23D99C" w:rsidR="008917AD" w:rsidRDefault="008917AD" w:rsidP="00500E37">
      <w:pPr>
        <w:spacing w:after="0" w:line="120" w:lineRule="auto"/>
        <w:rPr>
          <w:b/>
        </w:rPr>
      </w:pPr>
    </w:p>
    <w:p w14:paraId="191FB56F" w14:textId="5E89DF71" w:rsidR="001631FC" w:rsidRPr="00AD5AC2" w:rsidRDefault="001631FC" w:rsidP="001631FC">
      <w:pPr>
        <w:pStyle w:val="Title"/>
        <w:rPr>
          <w:rFonts w:ascii="Calibri" w:eastAsia="Times New Roman" w:hAnsi="Calibri" w:cs="Times New Roman"/>
          <w:b/>
          <w:bCs/>
          <w:color w:val="1F4E79" w:themeColor="accent1" w:themeShade="80"/>
          <w:sz w:val="22"/>
          <w:szCs w:val="22"/>
        </w:rPr>
        <w:sectPr w:rsidR="001631FC" w:rsidRPr="00AD5AC2" w:rsidSect="00820241">
          <w:type w:val="continuous"/>
          <w:pgSz w:w="12240" w:h="15840"/>
          <w:pgMar w:top="720" w:right="720" w:bottom="720" w:left="720" w:header="720" w:footer="720" w:gutter="0"/>
          <w:cols w:space="720"/>
          <w:docGrid w:linePitch="360"/>
        </w:sectPr>
      </w:pPr>
    </w:p>
    <w:tbl>
      <w:tblPr>
        <w:tblStyle w:val="PlainTable4"/>
        <w:tblW w:w="10730"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mpact of COVID-19 on businesses"/>
        <w:tblDescription w:val="Fifty-seven percent of respondents experienced a decline in revenue while half indicated a drop in employee productivity. Forty-three percent indicated they did not furlough employees while 44 four percent did not lay off workers. A significant share of respondents indicated an increase of employees working from home, 64 percent.&#10;&#10;The large majority of respondents indicated they have not missed loan payments (56 percent) nor rent payments (60 percent).&#10;Forty-four percent of respondents indicated no change in cash availability while 39 responded they had a decrease.&#10;Nearly half of respondents indicated they expect to go back to normal operations in more than six months while almost one-fifth expressed their businesses will not go back to normal.&#10; &#10;"/>
      </w:tblPr>
      <w:tblGrid>
        <w:gridCol w:w="3955"/>
        <w:gridCol w:w="1620"/>
        <w:gridCol w:w="2090"/>
        <w:gridCol w:w="1710"/>
        <w:gridCol w:w="1355"/>
      </w:tblGrid>
      <w:tr w:rsidR="00AD5AC2" w:rsidRPr="000A28AD" w14:paraId="4BBB6DC5" w14:textId="77777777" w:rsidTr="00AD5AC2">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955" w:type="dxa"/>
            <w:tcBorders>
              <w:top w:val="single" w:sz="4" w:space="0" w:color="auto"/>
              <w:bottom w:val="single" w:sz="4" w:space="0" w:color="auto"/>
            </w:tcBorders>
            <w:shd w:val="clear" w:color="auto" w:fill="BDD6EE" w:themeFill="accent1" w:themeFillTint="66"/>
            <w:noWrap/>
            <w:hideMark/>
          </w:tcPr>
          <w:p w14:paraId="5EA57A38" w14:textId="27E90358" w:rsidR="00AD5AC2" w:rsidRPr="000A28AD" w:rsidRDefault="008A0661"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Changes in your business since January 2021</w:t>
            </w:r>
            <w:r w:rsidRPr="008A0661">
              <w:rPr>
                <w:rFonts w:eastAsia="Times New Roman"/>
                <w:sz w:val="18"/>
                <w:szCs w:val="18"/>
                <w:vertAlign w:val="superscript"/>
              </w:rPr>
              <w:t>1</w:t>
            </w:r>
          </w:p>
        </w:tc>
        <w:tc>
          <w:tcPr>
            <w:tcW w:w="1620" w:type="dxa"/>
            <w:tcBorders>
              <w:top w:val="single" w:sz="4" w:space="0" w:color="auto"/>
              <w:bottom w:val="single" w:sz="4" w:space="0" w:color="auto"/>
            </w:tcBorders>
            <w:shd w:val="clear" w:color="auto" w:fill="BDD6EE" w:themeFill="accent1" w:themeFillTint="66"/>
            <w:noWrap/>
            <w:hideMark/>
          </w:tcPr>
          <w:p w14:paraId="0D4EAA69" w14:textId="73AC3344" w:rsidR="00AD5AC2" w:rsidRPr="000A28AD" w:rsidRDefault="00AD5AC2"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Yes</w:t>
            </w:r>
          </w:p>
        </w:tc>
        <w:tc>
          <w:tcPr>
            <w:tcW w:w="2090" w:type="dxa"/>
            <w:tcBorders>
              <w:top w:val="single" w:sz="4" w:space="0" w:color="auto"/>
              <w:bottom w:val="single" w:sz="4" w:space="0" w:color="auto"/>
            </w:tcBorders>
            <w:shd w:val="clear" w:color="auto" w:fill="BDD6EE" w:themeFill="accent1" w:themeFillTint="66"/>
            <w:noWrap/>
            <w:hideMark/>
          </w:tcPr>
          <w:p w14:paraId="1DEC3F7C" w14:textId="6156C608" w:rsidR="00AD5AC2" w:rsidRPr="000A28AD" w:rsidRDefault="00AD5AC2"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p>
        </w:tc>
        <w:tc>
          <w:tcPr>
            <w:tcW w:w="1710" w:type="dxa"/>
            <w:tcBorders>
              <w:top w:val="single" w:sz="4" w:space="0" w:color="auto"/>
              <w:bottom w:val="single" w:sz="4" w:space="0" w:color="auto"/>
            </w:tcBorders>
            <w:shd w:val="clear" w:color="auto" w:fill="BDD6EE" w:themeFill="accent1" w:themeFillTint="66"/>
            <w:noWrap/>
            <w:hideMark/>
          </w:tcPr>
          <w:p w14:paraId="0B4C3A83" w14:textId="79DE13D8" w:rsidR="00AD5AC2" w:rsidRPr="000A28AD" w:rsidRDefault="00AD5AC2"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Applicable</w:t>
            </w:r>
          </w:p>
        </w:tc>
        <w:tc>
          <w:tcPr>
            <w:tcW w:w="1355" w:type="dxa"/>
            <w:tcBorders>
              <w:top w:val="single" w:sz="4" w:space="0" w:color="auto"/>
              <w:bottom w:val="single" w:sz="4" w:space="0" w:color="auto"/>
            </w:tcBorders>
            <w:shd w:val="clear" w:color="auto" w:fill="BDD6EE" w:themeFill="accent1" w:themeFillTint="66"/>
            <w:noWrap/>
            <w:hideMark/>
          </w:tcPr>
          <w:p w14:paraId="2EC16138" w14:textId="77777777" w:rsidR="00AD5AC2" w:rsidRPr="000A28AD" w:rsidRDefault="00AD5AC2"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Total</w:t>
            </w:r>
          </w:p>
        </w:tc>
      </w:tr>
      <w:tr w:rsidR="00AD5AC2" w:rsidRPr="000A28AD" w14:paraId="1E6CDEF8" w14:textId="77777777" w:rsidTr="00AD5AC2">
        <w:trPr>
          <w:trHeight w:val="144"/>
          <w:jc w:val="center"/>
        </w:trPr>
        <w:tc>
          <w:tcPr>
            <w:tcW w:w="3955" w:type="dxa"/>
            <w:tcBorders>
              <w:top w:val="single" w:sz="4" w:space="0" w:color="auto"/>
            </w:tcBorders>
            <w:noWrap/>
            <w:hideMark/>
          </w:tcPr>
          <w:p w14:paraId="706F02E5" w14:textId="4FD3F250" w:rsidR="00AD5AC2" w:rsidRPr="000A28AD" w:rsidRDefault="00AD5AC2"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Received financial assistance</w:t>
            </w:r>
          </w:p>
        </w:tc>
        <w:tc>
          <w:tcPr>
            <w:tcW w:w="1620" w:type="dxa"/>
            <w:tcBorders>
              <w:top w:val="single" w:sz="4" w:space="0" w:color="auto"/>
            </w:tcBorders>
            <w:noWrap/>
            <w:hideMark/>
          </w:tcPr>
          <w:p w14:paraId="6DCEED58" w14:textId="4937DC86"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42%</w:t>
            </w:r>
          </w:p>
        </w:tc>
        <w:tc>
          <w:tcPr>
            <w:tcW w:w="2090" w:type="dxa"/>
            <w:tcBorders>
              <w:top w:val="single" w:sz="4" w:space="0" w:color="auto"/>
            </w:tcBorders>
            <w:noWrap/>
            <w:hideMark/>
          </w:tcPr>
          <w:p w14:paraId="36744760" w14:textId="2255307D"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51%</w:t>
            </w:r>
          </w:p>
        </w:tc>
        <w:tc>
          <w:tcPr>
            <w:tcW w:w="1710" w:type="dxa"/>
            <w:tcBorders>
              <w:top w:val="single" w:sz="4" w:space="0" w:color="auto"/>
            </w:tcBorders>
            <w:noWrap/>
            <w:hideMark/>
          </w:tcPr>
          <w:p w14:paraId="25E2F1D6" w14:textId="64B614FD"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7%</w:t>
            </w:r>
          </w:p>
        </w:tc>
        <w:tc>
          <w:tcPr>
            <w:tcW w:w="1355" w:type="dxa"/>
            <w:tcBorders>
              <w:top w:val="single" w:sz="4" w:space="0" w:color="auto"/>
            </w:tcBorders>
            <w:noWrap/>
            <w:hideMark/>
          </w:tcPr>
          <w:p w14:paraId="3DFFEE7C" w14:textId="77777777" w:rsidR="00AD5AC2" w:rsidRPr="000A28AD" w:rsidRDefault="00AD5AC2"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AD5AC2" w:rsidRPr="000A28AD" w14:paraId="162AA41B" w14:textId="77777777" w:rsidTr="00AD5AC2">
        <w:trPr>
          <w:trHeight w:val="144"/>
          <w:jc w:val="center"/>
        </w:trPr>
        <w:tc>
          <w:tcPr>
            <w:tcW w:w="3955" w:type="dxa"/>
            <w:noWrap/>
            <w:hideMark/>
          </w:tcPr>
          <w:p w14:paraId="51B2945A" w14:textId="4E2ED44C" w:rsidR="00AD5AC2" w:rsidRPr="000A28AD" w:rsidRDefault="00AD5AC2"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Rehired furloughed employees</w:t>
            </w:r>
          </w:p>
        </w:tc>
        <w:tc>
          <w:tcPr>
            <w:tcW w:w="1620" w:type="dxa"/>
            <w:noWrap/>
            <w:hideMark/>
          </w:tcPr>
          <w:p w14:paraId="4AF22CBE" w14:textId="72FE83B8"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9%</w:t>
            </w:r>
          </w:p>
        </w:tc>
        <w:tc>
          <w:tcPr>
            <w:tcW w:w="2090" w:type="dxa"/>
            <w:noWrap/>
            <w:hideMark/>
          </w:tcPr>
          <w:p w14:paraId="47AB4C04" w14:textId="5956F39E"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30%</w:t>
            </w:r>
          </w:p>
        </w:tc>
        <w:tc>
          <w:tcPr>
            <w:tcW w:w="1710" w:type="dxa"/>
            <w:noWrap/>
            <w:hideMark/>
          </w:tcPr>
          <w:p w14:paraId="11900AE0" w14:textId="7F119279"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61%</w:t>
            </w:r>
          </w:p>
        </w:tc>
        <w:tc>
          <w:tcPr>
            <w:tcW w:w="1355" w:type="dxa"/>
            <w:noWrap/>
            <w:hideMark/>
          </w:tcPr>
          <w:p w14:paraId="70F58635" w14:textId="77777777" w:rsidR="00AD5AC2" w:rsidRPr="000A28AD" w:rsidRDefault="00AD5AC2"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AD5AC2" w:rsidRPr="000A28AD" w14:paraId="7304FE63" w14:textId="77777777" w:rsidTr="00AD5AC2">
        <w:trPr>
          <w:trHeight w:val="144"/>
          <w:jc w:val="center"/>
        </w:trPr>
        <w:tc>
          <w:tcPr>
            <w:tcW w:w="3955" w:type="dxa"/>
            <w:noWrap/>
          </w:tcPr>
          <w:p w14:paraId="7CE6553B" w14:textId="255592B4" w:rsidR="00AD5AC2" w:rsidRDefault="00AD5AC2"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Requiring COVID-19 Vaccine for employees</w:t>
            </w:r>
          </w:p>
        </w:tc>
        <w:tc>
          <w:tcPr>
            <w:tcW w:w="1620" w:type="dxa"/>
            <w:noWrap/>
          </w:tcPr>
          <w:p w14:paraId="2B60A5D5" w14:textId="350D95ED"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18%</w:t>
            </w:r>
          </w:p>
        </w:tc>
        <w:tc>
          <w:tcPr>
            <w:tcW w:w="2090" w:type="dxa"/>
            <w:noWrap/>
          </w:tcPr>
          <w:p w14:paraId="35C69759" w14:textId="486F44EE"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59%</w:t>
            </w:r>
          </w:p>
        </w:tc>
        <w:tc>
          <w:tcPr>
            <w:tcW w:w="1710" w:type="dxa"/>
            <w:noWrap/>
          </w:tcPr>
          <w:p w14:paraId="1EA9094D" w14:textId="2E754257"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23%</w:t>
            </w:r>
          </w:p>
        </w:tc>
        <w:tc>
          <w:tcPr>
            <w:tcW w:w="1355" w:type="dxa"/>
            <w:noWrap/>
          </w:tcPr>
          <w:p w14:paraId="22C17728" w14:textId="77777777" w:rsidR="00AD5AC2" w:rsidRDefault="00AD5AC2"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AD5AC2" w:rsidRPr="000A28AD" w14:paraId="387C788B" w14:textId="77777777" w:rsidTr="00AD5AC2">
        <w:trPr>
          <w:trHeight w:val="144"/>
          <w:jc w:val="center"/>
        </w:trPr>
        <w:tc>
          <w:tcPr>
            <w:tcW w:w="3955" w:type="dxa"/>
            <w:noWrap/>
          </w:tcPr>
          <w:p w14:paraId="21A01966" w14:textId="078A8450" w:rsidR="00AD5AC2" w:rsidRDefault="00AD5AC2"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Employees returning to work in-person</w:t>
            </w:r>
          </w:p>
        </w:tc>
        <w:tc>
          <w:tcPr>
            <w:tcW w:w="1620" w:type="dxa"/>
            <w:noWrap/>
          </w:tcPr>
          <w:p w14:paraId="15FB143B" w14:textId="467A865A"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44%</w:t>
            </w:r>
          </w:p>
        </w:tc>
        <w:tc>
          <w:tcPr>
            <w:tcW w:w="2090" w:type="dxa"/>
            <w:noWrap/>
          </w:tcPr>
          <w:p w14:paraId="5C43DB6C" w14:textId="2353FD89"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19%</w:t>
            </w:r>
          </w:p>
        </w:tc>
        <w:tc>
          <w:tcPr>
            <w:tcW w:w="1710" w:type="dxa"/>
            <w:noWrap/>
          </w:tcPr>
          <w:p w14:paraId="32459CB8" w14:textId="6F27C530"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37%</w:t>
            </w:r>
          </w:p>
        </w:tc>
        <w:tc>
          <w:tcPr>
            <w:tcW w:w="1355" w:type="dxa"/>
            <w:noWrap/>
          </w:tcPr>
          <w:p w14:paraId="39F9A003" w14:textId="77777777" w:rsidR="00AD5AC2" w:rsidRDefault="00AD5AC2"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AD5AC2" w:rsidRPr="000A28AD" w14:paraId="00A18C6E" w14:textId="77777777" w:rsidTr="00AD5AC2">
        <w:trPr>
          <w:trHeight w:val="144"/>
          <w:jc w:val="center"/>
        </w:trPr>
        <w:tc>
          <w:tcPr>
            <w:tcW w:w="3955" w:type="dxa"/>
            <w:noWrap/>
          </w:tcPr>
          <w:p w14:paraId="33E0DB76" w14:textId="68F8D731" w:rsidR="00AD5AC2" w:rsidRDefault="00AD5AC2"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Reduce office space permanently</w:t>
            </w:r>
          </w:p>
        </w:tc>
        <w:tc>
          <w:tcPr>
            <w:tcW w:w="1620" w:type="dxa"/>
            <w:noWrap/>
          </w:tcPr>
          <w:p w14:paraId="54501203" w14:textId="32F4DE81"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10%</w:t>
            </w:r>
          </w:p>
        </w:tc>
        <w:tc>
          <w:tcPr>
            <w:tcW w:w="2090" w:type="dxa"/>
            <w:noWrap/>
          </w:tcPr>
          <w:p w14:paraId="1ECFD642" w14:textId="4E37BE6B"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66%</w:t>
            </w:r>
          </w:p>
        </w:tc>
        <w:tc>
          <w:tcPr>
            <w:tcW w:w="1710" w:type="dxa"/>
            <w:noWrap/>
          </w:tcPr>
          <w:p w14:paraId="265B5B4C" w14:textId="679B0906"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24%</w:t>
            </w:r>
          </w:p>
        </w:tc>
        <w:tc>
          <w:tcPr>
            <w:tcW w:w="1355" w:type="dxa"/>
            <w:noWrap/>
          </w:tcPr>
          <w:p w14:paraId="19CA4ABA" w14:textId="3198B920" w:rsidR="00AD5AC2" w:rsidRDefault="00AD5AC2"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AD5AC2" w:rsidRPr="000A28AD" w14:paraId="48AAD660" w14:textId="77777777" w:rsidTr="00AD5AC2">
        <w:trPr>
          <w:trHeight w:val="144"/>
          <w:jc w:val="center"/>
        </w:trPr>
        <w:tc>
          <w:tcPr>
            <w:tcW w:w="3955" w:type="dxa"/>
            <w:noWrap/>
          </w:tcPr>
          <w:p w14:paraId="275E1399" w14:textId="62723A89" w:rsidR="00AD5AC2" w:rsidRDefault="00AD5AC2"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Will allow employees to telework permanently</w:t>
            </w:r>
          </w:p>
        </w:tc>
        <w:tc>
          <w:tcPr>
            <w:tcW w:w="1620" w:type="dxa"/>
            <w:noWrap/>
          </w:tcPr>
          <w:p w14:paraId="5F2296F8" w14:textId="071F1B5C" w:rsidR="00AD5AC2" w:rsidRPr="00A87222" w:rsidRDefault="000554FA"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22%</w:t>
            </w:r>
          </w:p>
        </w:tc>
        <w:tc>
          <w:tcPr>
            <w:tcW w:w="2090" w:type="dxa"/>
            <w:noWrap/>
          </w:tcPr>
          <w:p w14:paraId="4D067F62" w14:textId="1B58C71C" w:rsidR="00AD5AC2" w:rsidRPr="00A87222" w:rsidRDefault="00AD5AC2"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44%</w:t>
            </w:r>
          </w:p>
        </w:tc>
        <w:tc>
          <w:tcPr>
            <w:tcW w:w="1710" w:type="dxa"/>
            <w:noWrap/>
          </w:tcPr>
          <w:p w14:paraId="0D51C3E6" w14:textId="222159FB" w:rsidR="00AD5AC2" w:rsidRPr="00A87222" w:rsidRDefault="000554FA"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34%</w:t>
            </w:r>
          </w:p>
        </w:tc>
        <w:tc>
          <w:tcPr>
            <w:tcW w:w="1355" w:type="dxa"/>
            <w:noWrap/>
          </w:tcPr>
          <w:p w14:paraId="14D4F43F" w14:textId="6B302D99" w:rsidR="00AD5AC2" w:rsidRDefault="000554FA"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bl>
    <w:p w14:paraId="0EECEED7" w14:textId="77777777" w:rsidR="001631FC" w:rsidRDefault="001631FC" w:rsidP="001631FC">
      <w:pPr>
        <w:spacing w:after="0" w:line="120" w:lineRule="auto"/>
        <w:rPr>
          <w:b/>
        </w:rPr>
      </w:pPr>
    </w:p>
    <w:p w14:paraId="0D582F86" w14:textId="6A4DE391" w:rsidR="000554FA" w:rsidRPr="00AD5AC2" w:rsidRDefault="000554FA" w:rsidP="000554FA">
      <w:pPr>
        <w:pStyle w:val="Title"/>
        <w:rPr>
          <w:rFonts w:ascii="Calibri" w:eastAsia="Times New Roman" w:hAnsi="Calibri" w:cs="Times New Roman"/>
          <w:b/>
          <w:bCs/>
          <w:color w:val="1F4E79" w:themeColor="accent1" w:themeShade="80"/>
          <w:sz w:val="22"/>
          <w:szCs w:val="22"/>
        </w:rPr>
        <w:sectPr w:rsidR="000554FA" w:rsidRPr="00AD5AC2" w:rsidSect="00820241">
          <w:type w:val="continuous"/>
          <w:pgSz w:w="12240" w:h="15840"/>
          <w:pgMar w:top="720" w:right="720" w:bottom="720" w:left="720" w:header="720" w:footer="720" w:gutter="0"/>
          <w:cols w:space="720"/>
          <w:docGrid w:linePitch="360"/>
        </w:sectPr>
      </w:pPr>
    </w:p>
    <w:tbl>
      <w:tblPr>
        <w:tblStyle w:val="PlainTable4"/>
        <w:tblW w:w="10705"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Extectations To Return To Normal Pperations"/>
        <w:tblDescription w:val="Nearly half of respondents indicated they expect to go back to normal operations in more than six months while almost one-fifth expressed their businesses will not go back to normal.&#10; &#10;"/>
      </w:tblPr>
      <w:tblGrid>
        <w:gridCol w:w="1440"/>
        <w:gridCol w:w="918"/>
        <w:gridCol w:w="798"/>
        <w:gridCol w:w="1260"/>
        <w:gridCol w:w="1080"/>
        <w:gridCol w:w="1197"/>
        <w:gridCol w:w="243"/>
        <w:gridCol w:w="1254"/>
        <w:gridCol w:w="1137"/>
        <w:gridCol w:w="1378"/>
      </w:tblGrid>
      <w:tr w:rsidR="000554FA" w:rsidRPr="00500E37" w14:paraId="2E549875" w14:textId="77777777" w:rsidTr="00957C8C">
        <w:trPr>
          <w:cnfStyle w:val="100000000000" w:firstRow="1" w:lastRow="0" w:firstColumn="0" w:lastColumn="0" w:oddVBand="0" w:evenVBand="0" w:oddHBand="0" w:evenHBand="0" w:firstRowFirstColumn="0" w:firstRowLastColumn="0" w:lastRowFirstColumn="0" w:lastRowLastColumn="0"/>
          <w:trHeight w:val="144"/>
          <w:tblHeader/>
          <w:jc w:val="center"/>
        </w:trPr>
        <w:tc>
          <w:tcPr>
            <w:tcW w:w="1440" w:type="dxa"/>
            <w:tcBorders>
              <w:top w:val="single" w:sz="4" w:space="0" w:color="auto"/>
              <w:bottom w:val="single" w:sz="4" w:space="0" w:color="auto"/>
            </w:tcBorders>
            <w:shd w:val="clear" w:color="auto" w:fill="BDD6EE" w:themeFill="accent1" w:themeFillTint="66"/>
            <w:noWrap/>
            <w:hideMark/>
          </w:tcPr>
          <w:p w14:paraId="1D554EF0" w14:textId="77777777" w:rsidR="000554FA" w:rsidRDefault="000554FA" w:rsidP="001631FC">
            <w:pP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Expectations to</w:t>
            </w:r>
            <w:r w:rsidRPr="00500E37">
              <w:rPr>
                <w:rFonts w:ascii="Calibri" w:eastAsia="Times New Roman" w:hAnsi="Calibri" w:cs="Times New Roman"/>
                <w:color w:val="000000"/>
                <w:sz w:val="18"/>
                <w:szCs w:val="18"/>
              </w:rPr>
              <w:br/>
              <w:t>return to normal</w:t>
            </w:r>
          </w:p>
          <w:p w14:paraId="6CC1FBDE" w14:textId="77777777" w:rsidR="000554FA" w:rsidRPr="00500E37" w:rsidRDefault="000554FA"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operations:</w:t>
            </w:r>
          </w:p>
        </w:tc>
        <w:tc>
          <w:tcPr>
            <w:tcW w:w="918" w:type="dxa"/>
            <w:tcBorders>
              <w:top w:val="single" w:sz="4" w:space="0" w:color="auto"/>
              <w:bottom w:val="single" w:sz="4" w:space="0" w:color="auto"/>
            </w:tcBorders>
            <w:shd w:val="clear" w:color="auto" w:fill="BDD6EE" w:themeFill="accent1" w:themeFillTint="66"/>
          </w:tcPr>
          <w:p w14:paraId="68E853B4" w14:textId="77777777" w:rsidR="000554FA" w:rsidRPr="00500E37" w:rsidRDefault="000554FA" w:rsidP="001631FC">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1 Month or</w:t>
            </w:r>
          </w:p>
          <w:p w14:paraId="33E01B80" w14:textId="77777777" w:rsidR="000554FA" w:rsidRPr="00500E37" w:rsidRDefault="000554FA" w:rsidP="001631FC">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Less</w:t>
            </w:r>
          </w:p>
        </w:tc>
        <w:tc>
          <w:tcPr>
            <w:tcW w:w="798" w:type="dxa"/>
            <w:tcBorders>
              <w:top w:val="single" w:sz="4" w:space="0" w:color="auto"/>
              <w:bottom w:val="single" w:sz="4" w:space="0" w:color="auto"/>
            </w:tcBorders>
            <w:shd w:val="clear" w:color="auto" w:fill="BDD6EE" w:themeFill="accent1" w:themeFillTint="66"/>
            <w:noWrap/>
            <w:hideMark/>
          </w:tcPr>
          <w:p w14:paraId="378BC1B0" w14:textId="77777777" w:rsidR="000554FA" w:rsidRPr="00500E37" w:rsidRDefault="000554FA" w:rsidP="001631FC">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2-3</w:t>
            </w:r>
            <w:r w:rsidRPr="00500E37">
              <w:rPr>
                <w:rFonts w:ascii="Calibri" w:eastAsia="Times New Roman" w:hAnsi="Calibri" w:cs="Times New Roman"/>
                <w:color w:val="000000"/>
                <w:sz w:val="18"/>
                <w:szCs w:val="18"/>
              </w:rPr>
              <w:br/>
              <w:t>Months</w:t>
            </w:r>
          </w:p>
        </w:tc>
        <w:tc>
          <w:tcPr>
            <w:tcW w:w="1260" w:type="dxa"/>
            <w:tcBorders>
              <w:top w:val="single" w:sz="4" w:space="0" w:color="auto"/>
              <w:bottom w:val="single" w:sz="4" w:space="0" w:color="auto"/>
            </w:tcBorders>
            <w:shd w:val="clear" w:color="auto" w:fill="BDD6EE" w:themeFill="accent1" w:themeFillTint="66"/>
            <w:noWrap/>
            <w:hideMark/>
          </w:tcPr>
          <w:p w14:paraId="07923BA8" w14:textId="77777777" w:rsidR="000554FA" w:rsidRPr="00500E37" w:rsidRDefault="000554FA" w:rsidP="001631FC">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4-6</w:t>
            </w:r>
            <w:r w:rsidRPr="00500E37">
              <w:rPr>
                <w:rFonts w:ascii="Calibri" w:eastAsia="Times New Roman" w:hAnsi="Calibri" w:cs="Times New Roman"/>
                <w:color w:val="000000"/>
                <w:sz w:val="18"/>
                <w:szCs w:val="18"/>
              </w:rPr>
              <w:br/>
              <w:t>Months</w:t>
            </w:r>
          </w:p>
        </w:tc>
        <w:tc>
          <w:tcPr>
            <w:tcW w:w="1080" w:type="dxa"/>
            <w:tcBorders>
              <w:top w:val="single" w:sz="4" w:space="0" w:color="auto"/>
              <w:bottom w:val="single" w:sz="4" w:space="0" w:color="auto"/>
            </w:tcBorders>
            <w:shd w:val="clear" w:color="auto" w:fill="BDD6EE" w:themeFill="accent1" w:themeFillTint="66"/>
            <w:noWrap/>
            <w:hideMark/>
          </w:tcPr>
          <w:p w14:paraId="100750C9" w14:textId="77777777" w:rsidR="000554FA" w:rsidRPr="00500E37" w:rsidRDefault="000554FA" w:rsidP="001631FC">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More than 6</w:t>
            </w:r>
            <w:r w:rsidRPr="00500E37">
              <w:rPr>
                <w:rFonts w:ascii="Calibri" w:eastAsia="Times New Roman" w:hAnsi="Calibri" w:cs="Times New Roman"/>
                <w:color w:val="000000"/>
                <w:sz w:val="18"/>
                <w:szCs w:val="18"/>
              </w:rPr>
              <w:br/>
              <w:t>Months</w:t>
            </w:r>
          </w:p>
        </w:tc>
        <w:tc>
          <w:tcPr>
            <w:tcW w:w="1197" w:type="dxa"/>
            <w:tcBorders>
              <w:top w:val="single" w:sz="4" w:space="0" w:color="auto"/>
              <w:bottom w:val="single" w:sz="4" w:space="0" w:color="auto"/>
            </w:tcBorders>
            <w:shd w:val="clear" w:color="auto" w:fill="BDD6EE" w:themeFill="accent1" w:themeFillTint="66"/>
            <w:noWrap/>
            <w:hideMark/>
          </w:tcPr>
          <w:p w14:paraId="03B2DDB4" w14:textId="77777777" w:rsidR="000554FA" w:rsidRPr="00500E37" w:rsidRDefault="000554FA" w:rsidP="001631FC">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Will Not Go</w:t>
            </w:r>
          </w:p>
          <w:p w14:paraId="7FEFFC15" w14:textId="77777777" w:rsidR="000554FA" w:rsidRPr="00500E37" w:rsidRDefault="000554FA" w:rsidP="001631FC">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Back to Normal</w:t>
            </w:r>
          </w:p>
        </w:tc>
        <w:tc>
          <w:tcPr>
            <w:tcW w:w="1497" w:type="dxa"/>
            <w:gridSpan w:val="2"/>
            <w:tcBorders>
              <w:top w:val="single" w:sz="4" w:space="0" w:color="auto"/>
              <w:bottom w:val="single" w:sz="4" w:space="0" w:color="auto"/>
            </w:tcBorders>
            <w:shd w:val="clear" w:color="auto" w:fill="BDD6EE" w:themeFill="accent1" w:themeFillTint="66"/>
          </w:tcPr>
          <w:p w14:paraId="2D5FA18F" w14:textId="1CCACECA" w:rsidR="000554FA" w:rsidRPr="00500E37" w:rsidRDefault="000554FA" w:rsidP="007E246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at Normal Operations</w:t>
            </w:r>
          </w:p>
        </w:tc>
        <w:tc>
          <w:tcPr>
            <w:tcW w:w="1137" w:type="dxa"/>
            <w:tcBorders>
              <w:top w:val="single" w:sz="4" w:space="0" w:color="auto"/>
              <w:bottom w:val="single" w:sz="4" w:space="0" w:color="auto"/>
            </w:tcBorders>
            <w:shd w:val="clear" w:color="auto" w:fill="BDD6EE" w:themeFill="accent1" w:themeFillTint="66"/>
            <w:noWrap/>
            <w:hideMark/>
          </w:tcPr>
          <w:p w14:paraId="34A6AC96" w14:textId="5D5F557E" w:rsidR="000554FA" w:rsidRPr="00500E37" w:rsidRDefault="000554FA" w:rsidP="007E2463">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 xml:space="preserve">Little </w:t>
            </w:r>
            <w:r w:rsidRPr="007E2463">
              <w:rPr>
                <w:rFonts w:ascii="Calibri" w:eastAsia="Times New Roman" w:hAnsi="Calibri" w:cs="Times New Roman"/>
                <w:color w:val="000000"/>
                <w:sz w:val="18"/>
                <w:szCs w:val="18"/>
              </w:rPr>
              <w:t>or</w:t>
            </w:r>
            <w:r>
              <w:rPr>
                <w:rFonts w:ascii="Calibri" w:eastAsia="Times New Roman" w:hAnsi="Calibri" w:cs="Times New Roman"/>
                <w:color w:val="000000"/>
                <w:sz w:val="18"/>
                <w:szCs w:val="18"/>
              </w:rPr>
              <w:t xml:space="preserve"> </w:t>
            </w:r>
            <w:r w:rsidRPr="00500E37">
              <w:rPr>
                <w:rFonts w:ascii="Calibri" w:eastAsia="Times New Roman" w:hAnsi="Calibri" w:cs="Times New Roman"/>
                <w:color w:val="000000"/>
                <w:sz w:val="18"/>
                <w:szCs w:val="18"/>
              </w:rPr>
              <w:t>No</w:t>
            </w:r>
            <w:r w:rsidRPr="00500E37">
              <w:rPr>
                <w:rFonts w:ascii="Calibri" w:eastAsia="Times New Roman" w:hAnsi="Calibri" w:cs="Times New Roman"/>
                <w:color w:val="000000"/>
                <w:sz w:val="18"/>
                <w:szCs w:val="18"/>
              </w:rPr>
              <w:br/>
              <w:t>Effect</w:t>
            </w:r>
          </w:p>
        </w:tc>
        <w:tc>
          <w:tcPr>
            <w:tcW w:w="1378" w:type="dxa"/>
            <w:tcBorders>
              <w:top w:val="single" w:sz="4" w:space="0" w:color="auto"/>
              <w:bottom w:val="single" w:sz="4" w:space="0" w:color="auto"/>
            </w:tcBorders>
            <w:shd w:val="clear" w:color="auto" w:fill="BDD6EE" w:themeFill="accent1" w:themeFillTint="66"/>
            <w:noWrap/>
            <w:hideMark/>
          </w:tcPr>
          <w:p w14:paraId="7937D32D" w14:textId="77777777" w:rsidR="000554FA" w:rsidRPr="00500E37" w:rsidRDefault="000554FA" w:rsidP="001631FC">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Going Out</w:t>
            </w:r>
          </w:p>
          <w:p w14:paraId="6DAD59A2" w14:textId="77777777" w:rsidR="000554FA" w:rsidRPr="00500E37" w:rsidRDefault="000554FA" w:rsidP="001631FC">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Of Business</w:t>
            </w:r>
          </w:p>
        </w:tc>
      </w:tr>
      <w:tr w:rsidR="000554FA" w:rsidRPr="00500E37" w14:paraId="49C29589" w14:textId="77777777" w:rsidTr="00957C8C">
        <w:trPr>
          <w:trHeight w:val="20"/>
          <w:jc w:val="center"/>
        </w:trPr>
        <w:tc>
          <w:tcPr>
            <w:tcW w:w="1440" w:type="dxa"/>
            <w:tcBorders>
              <w:top w:val="single" w:sz="4" w:space="0" w:color="auto"/>
            </w:tcBorders>
            <w:noWrap/>
            <w:hideMark/>
          </w:tcPr>
          <w:p w14:paraId="7E699D09" w14:textId="77777777" w:rsidR="000554FA" w:rsidRPr="00500E37" w:rsidRDefault="000554FA" w:rsidP="001631FC">
            <w:pPr>
              <w:rPr>
                <w:rFonts w:ascii="Calibri" w:eastAsia="Times New Roman" w:hAnsi="Calibri" w:cs="Times New Roman"/>
                <w:color w:val="000000"/>
                <w:sz w:val="18"/>
                <w:szCs w:val="18"/>
              </w:rPr>
            </w:pPr>
          </w:p>
        </w:tc>
        <w:tc>
          <w:tcPr>
            <w:tcW w:w="918" w:type="dxa"/>
            <w:tcBorders>
              <w:top w:val="single" w:sz="4" w:space="0" w:color="auto"/>
            </w:tcBorders>
          </w:tcPr>
          <w:p w14:paraId="34BA6EFC" w14:textId="58807C7D" w:rsidR="000554FA" w:rsidRPr="00A87222" w:rsidRDefault="000554FA" w:rsidP="00500E37">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w:t>
            </w:r>
          </w:p>
        </w:tc>
        <w:tc>
          <w:tcPr>
            <w:tcW w:w="798" w:type="dxa"/>
            <w:tcBorders>
              <w:top w:val="single" w:sz="4" w:space="0" w:color="auto"/>
            </w:tcBorders>
            <w:noWrap/>
            <w:hideMark/>
          </w:tcPr>
          <w:p w14:paraId="6F40982E" w14:textId="054E2111" w:rsidR="000554FA" w:rsidRPr="00A87222" w:rsidRDefault="000554FA" w:rsidP="00F97D05">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7%</w:t>
            </w:r>
          </w:p>
        </w:tc>
        <w:tc>
          <w:tcPr>
            <w:tcW w:w="1260" w:type="dxa"/>
            <w:tcBorders>
              <w:top w:val="single" w:sz="4" w:space="0" w:color="auto"/>
            </w:tcBorders>
            <w:noWrap/>
            <w:hideMark/>
          </w:tcPr>
          <w:p w14:paraId="1C1B065D" w14:textId="2CE3ABA4" w:rsidR="000554FA" w:rsidRPr="00A87222" w:rsidRDefault="000554FA"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12%</w:t>
            </w:r>
          </w:p>
        </w:tc>
        <w:tc>
          <w:tcPr>
            <w:tcW w:w="1080" w:type="dxa"/>
            <w:tcBorders>
              <w:top w:val="single" w:sz="4" w:space="0" w:color="auto"/>
            </w:tcBorders>
            <w:noWrap/>
            <w:hideMark/>
          </w:tcPr>
          <w:p w14:paraId="53CFD5C1" w14:textId="7077AAE3" w:rsidR="000554FA" w:rsidRPr="00A87222" w:rsidRDefault="000554FA"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25%</w:t>
            </w:r>
          </w:p>
        </w:tc>
        <w:tc>
          <w:tcPr>
            <w:tcW w:w="1440" w:type="dxa"/>
            <w:gridSpan w:val="2"/>
            <w:tcBorders>
              <w:top w:val="single" w:sz="4" w:space="0" w:color="auto"/>
            </w:tcBorders>
            <w:noWrap/>
            <w:hideMark/>
          </w:tcPr>
          <w:p w14:paraId="67484140" w14:textId="48F91201" w:rsidR="000554FA" w:rsidRPr="00A87222" w:rsidRDefault="000554FA"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15%</w:t>
            </w:r>
          </w:p>
        </w:tc>
        <w:tc>
          <w:tcPr>
            <w:tcW w:w="1254" w:type="dxa"/>
            <w:tcBorders>
              <w:top w:val="single" w:sz="4" w:space="0" w:color="auto"/>
            </w:tcBorders>
          </w:tcPr>
          <w:p w14:paraId="64D0B9ED" w14:textId="5768A243" w:rsidR="000554FA" w:rsidRPr="00A87222" w:rsidRDefault="000554FA"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25%</w:t>
            </w:r>
          </w:p>
        </w:tc>
        <w:tc>
          <w:tcPr>
            <w:tcW w:w="1137" w:type="dxa"/>
            <w:tcBorders>
              <w:top w:val="single" w:sz="4" w:space="0" w:color="auto"/>
            </w:tcBorders>
            <w:noWrap/>
            <w:hideMark/>
          </w:tcPr>
          <w:p w14:paraId="59FC22EB" w14:textId="17A474E2" w:rsidR="000554FA" w:rsidRPr="00A87222" w:rsidRDefault="000554FA"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13%</w:t>
            </w:r>
          </w:p>
        </w:tc>
        <w:tc>
          <w:tcPr>
            <w:tcW w:w="1378" w:type="dxa"/>
            <w:tcBorders>
              <w:top w:val="single" w:sz="4" w:space="0" w:color="auto"/>
            </w:tcBorders>
            <w:noWrap/>
            <w:hideMark/>
          </w:tcPr>
          <w:p w14:paraId="38D47613" w14:textId="6EB20E42" w:rsidR="000554FA" w:rsidRPr="00A87222" w:rsidRDefault="000554FA"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w:t>
            </w:r>
          </w:p>
        </w:tc>
      </w:tr>
      <w:bookmarkEnd w:id="1"/>
    </w:tbl>
    <w:p w14:paraId="48EF926B" w14:textId="77777777" w:rsidR="0073212E" w:rsidRPr="00500E37" w:rsidRDefault="0073212E" w:rsidP="008917AD">
      <w:pPr>
        <w:spacing w:after="0" w:line="240" w:lineRule="auto"/>
        <w:sectPr w:rsidR="0073212E" w:rsidRPr="00500E37" w:rsidSect="0073212E">
          <w:type w:val="continuous"/>
          <w:pgSz w:w="12240" w:h="15840"/>
          <w:pgMar w:top="720" w:right="720" w:bottom="720" w:left="720" w:header="720" w:footer="720" w:gutter="0"/>
          <w:cols w:space="720"/>
          <w:docGrid w:linePitch="360"/>
        </w:sectPr>
      </w:pPr>
    </w:p>
    <w:p w14:paraId="29D0F10F" w14:textId="77777777" w:rsidR="00CA5832" w:rsidRDefault="00CA5832" w:rsidP="006B6F5E">
      <w:pPr>
        <w:spacing w:after="0" w:line="240" w:lineRule="auto"/>
      </w:pPr>
      <w:r w:rsidRPr="00CA5832">
        <w:t>Respondents were asked to provide</w:t>
      </w:r>
      <w:r>
        <w:t xml:space="preserve"> comments related to the impact of the pan</w:t>
      </w:r>
      <w:r w:rsidR="008959F9">
        <w:t>demic on their businesses. Selected</w:t>
      </w:r>
      <w:r>
        <w:t xml:space="preserve"> responses are provided </w:t>
      </w:r>
      <w:r w:rsidRPr="00CA5832">
        <w:rPr>
          <w:i/>
        </w:rPr>
        <w:t>verbatim</w:t>
      </w:r>
      <w:r>
        <w:t>, broken down by type of comment:</w:t>
      </w:r>
      <w:r w:rsidR="00877E6A">
        <w:br/>
      </w:r>
    </w:p>
    <w:p w14:paraId="4FBC8C4A" w14:textId="77777777" w:rsidR="008959F9" w:rsidRDefault="008959F9" w:rsidP="0065730A">
      <w:pPr>
        <w:pStyle w:val="Heading2"/>
        <w:sectPr w:rsidR="008959F9" w:rsidSect="00877E6A">
          <w:type w:val="continuous"/>
          <w:pgSz w:w="12240" w:h="15840"/>
          <w:pgMar w:top="720" w:right="720" w:bottom="720" w:left="720" w:header="720" w:footer="720" w:gutter="0"/>
          <w:cols w:space="720"/>
          <w:docGrid w:linePitch="360"/>
        </w:sectPr>
      </w:pPr>
    </w:p>
    <w:p w14:paraId="0F5EC36F" w14:textId="2A88329B" w:rsidR="00CA5832" w:rsidRDefault="007B1F27" w:rsidP="0065730A">
      <w:pPr>
        <w:pStyle w:val="Heading2"/>
      </w:pPr>
      <w:r>
        <w:t>Challenges Finding Workers</w:t>
      </w:r>
      <w:r w:rsidR="00CA5832">
        <w:t>:</w:t>
      </w:r>
    </w:p>
    <w:p w14:paraId="45F32F69" w14:textId="5FE6955D" w:rsidR="00CF6083" w:rsidRPr="00B8390B" w:rsidRDefault="00CF6083" w:rsidP="006B6F5E">
      <w:pPr>
        <w:spacing w:after="0" w:line="240" w:lineRule="auto"/>
        <w:rPr>
          <w:i/>
        </w:rPr>
      </w:pPr>
      <w:r w:rsidRPr="00B8390B">
        <w:rPr>
          <w:i/>
        </w:rPr>
        <w:t xml:space="preserve"> </w:t>
      </w:r>
      <w:r w:rsidR="00BF738E" w:rsidRPr="00B8390B">
        <w:rPr>
          <w:i/>
        </w:rPr>
        <w:t>“We are struggling to hire employees with all the pay from the state and Fed government.  We need to end the added benefits so people come back to work.”</w:t>
      </w:r>
    </w:p>
    <w:p w14:paraId="555394AF" w14:textId="77777777" w:rsidR="00F60B34" w:rsidRDefault="00F60B34" w:rsidP="006B6F5E">
      <w:pPr>
        <w:spacing w:after="0" w:line="240" w:lineRule="auto"/>
      </w:pPr>
    </w:p>
    <w:p w14:paraId="31092ECA" w14:textId="503D56F7" w:rsidR="00CF6083" w:rsidRPr="00CF6083" w:rsidRDefault="00BF738E" w:rsidP="006B6F5E">
      <w:pPr>
        <w:spacing w:after="0" w:line="240" w:lineRule="auto"/>
        <w:rPr>
          <w:b/>
          <w:bCs/>
          <w:i/>
          <w:iCs/>
        </w:rPr>
      </w:pPr>
      <w:r>
        <w:rPr>
          <w:rStyle w:val="Heading2Char"/>
        </w:rPr>
        <w:t>Financial assistance</w:t>
      </w:r>
      <w:r w:rsidR="00C37A2C" w:rsidRPr="0065730A">
        <w:rPr>
          <w:rStyle w:val="Heading2Char"/>
        </w:rPr>
        <w:t>:</w:t>
      </w:r>
      <w:r w:rsidR="00C37A2C" w:rsidRPr="0065730A">
        <w:rPr>
          <w:rStyle w:val="Heading2Char"/>
        </w:rPr>
        <w:br/>
      </w:r>
      <w:r w:rsidR="00CF6083" w:rsidRPr="00B8390B">
        <w:rPr>
          <w:i/>
          <w:iCs/>
        </w:rPr>
        <w:t xml:space="preserve">“We had to pay MN State income tax on our PPP loan from last year which we did not have.  It is </w:t>
      </w:r>
      <w:proofErr w:type="gramStart"/>
      <w:r w:rsidR="00CF6083" w:rsidRPr="00B8390B">
        <w:rPr>
          <w:i/>
          <w:iCs/>
        </w:rPr>
        <w:t>really sad</w:t>
      </w:r>
      <w:proofErr w:type="gramEnd"/>
      <w:r w:rsidR="00CF6083" w:rsidRPr="00B8390B">
        <w:rPr>
          <w:i/>
          <w:iCs/>
        </w:rPr>
        <w:t xml:space="preserve"> that our state leaders do not understand what small business have to deal with on a daily basis.  It was a slap in the face.”</w:t>
      </w:r>
      <w:r w:rsidR="004F0B64">
        <w:rPr>
          <w:b/>
          <w:bCs/>
          <w:i/>
          <w:iCs/>
        </w:rPr>
        <w:br/>
      </w:r>
    </w:p>
    <w:p w14:paraId="001CAE7A" w14:textId="77777777" w:rsidR="00DB2B7E" w:rsidRDefault="00CF6083" w:rsidP="006B6F5E">
      <w:pPr>
        <w:spacing w:after="0" w:line="240" w:lineRule="auto"/>
        <w:rPr>
          <w:rStyle w:val="Heading2Char"/>
        </w:rPr>
      </w:pPr>
      <w:r w:rsidRPr="00B8390B">
        <w:rPr>
          <w:i/>
          <w:iCs/>
        </w:rPr>
        <w:t>“The PPP programs has been very helpful to the business, since clients have delayed projects and spending on outside resources.”</w:t>
      </w:r>
      <w:r w:rsidR="004F0B64">
        <w:rPr>
          <w:rStyle w:val="Heading2Char"/>
        </w:rPr>
        <w:br/>
      </w:r>
    </w:p>
    <w:p w14:paraId="43ACEFE1" w14:textId="675E2462" w:rsidR="00CA5832" w:rsidRDefault="007B1F27" w:rsidP="006B6F5E">
      <w:pPr>
        <w:spacing w:after="0" w:line="240" w:lineRule="auto"/>
        <w:rPr>
          <w:i/>
        </w:rPr>
      </w:pPr>
      <w:r w:rsidRPr="004F0B64">
        <w:rPr>
          <w:rStyle w:val="Heading2Char"/>
        </w:rPr>
        <w:t>Technolog</w:t>
      </w:r>
      <w:r w:rsidR="00B8390B">
        <w:rPr>
          <w:rStyle w:val="Heading2Char"/>
        </w:rPr>
        <w:t>ical Challenges</w:t>
      </w:r>
      <w:r w:rsidR="00CA5832" w:rsidRPr="004F0B64">
        <w:rPr>
          <w:rStyle w:val="Heading2Char"/>
        </w:rPr>
        <w:t>:</w:t>
      </w:r>
      <w:r w:rsidR="00CA5832" w:rsidRPr="004F0B64">
        <w:rPr>
          <w:rStyle w:val="Heading2Char"/>
        </w:rPr>
        <w:br/>
      </w:r>
      <w:r w:rsidR="00CA5832" w:rsidRPr="00B8390B">
        <w:rPr>
          <w:i/>
        </w:rPr>
        <w:t>“</w:t>
      </w:r>
      <w:r w:rsidRPr="00B8390B">
        <w:rPr>
          <w:i/>
        </w:rPr>
        <w:t xml:space="preserve">It was devastating.  We had 2 major clients not observing masks &amp; distancing whom we refused to </w:t>
      </w:r>
      <w:proofErr w:type="gramStart"/>
      <w:r w:rsidRPr="00B8390B">
        <w:rPr>
          <w:i/>
        </w:rPr>
        <w:t>visit &amp; lost</w:t>
      </w:r>
      <w:proofErr w:type="gramEnd"/>
      <w:r w:rsidRPr="00B8390B">
        <w:rPr>
          <w:i/>
        </w:rPr>
        <w:t xml:space="preserve"> their business.  The risk of meeting clients in </w:t>
      </w:r>
      <w:r w:rsidRPr="00B8390B">
        <w:rPr>
          <w:i/>
        </w:rPr>
        <w:t>person cost us much business ...zoom does not work well for sales &amp; engineering meetings.</w:t>
      </w:r>
      <w:r w:rsidR="00CA5832" w:rsidRPr="00B8390B">
        <w:rPr>
          <w:i/>
        </w:rPr>
        <w:t>.”</w:t>
      </w:r>
    </w:p>
    <w:p w14:paraId="24AFE089" w14:textId="6D9AD804" w:rsidR="00DB2B7E" w:rsidRDefault="00DB2B7E" w:rsidP="00DB2B7E">
      <w:pPr>
        <w:pStyle w:val="Heading2"/>
      </w:pPr>
      <w:r>
        <w:br/>
        <w:t xml:space="preserve">Adapting </w:t>
      </w:r>
      <w:r w:rsidR="00BE1019">
        <w:t>A</w:t>
      </w:r>
      <w:r>
        <w:t xml:space="preserve"> Hybrid Model</w:t>
      </w:r>
    </w:p>
    <w:p w14:paraId="40DB6776" w14:textId="13146F7C" w:rsidR="00DB2B7E" w:rsidRPr="00B8390B" w:rsidRDefault="00DB2B7E" w:rsidP="006B6F5E">
      <w:pPr>
        <w:spacing w:after="0" w:line="240" w:lineRule="auto"/>
        <w:rPr>
          <w:i/>
          <w:iCs/>
        </w:rPr>
      </w:pPr>
      <w:r w:rsidRPr="00DB2B7E">
        <w:rPr>
          <w:i/>
          <w:iCs/>
        </w:rPr>
        <w:t>Primarily struggling with culture shifting to fully remote, and to keep culture in place entering a hybrid model now</w:t>
      </w:r>
      <w:r>
        <w:rPr>
          <w:i/>
          <w:iCs/>
        </w:rPr>
        <w:t>.</w:t>
      </w:r>
    </w:p>
    <w:p w14:paraId="1A284A47" w14:textId="044B72B2" w:rsidR="00F60B34" w:rsidRPr="00C37A2C" w:rsidRDefault="00CF6083" w:rsidP="006B6F5E">
      <w:pPr>
        <w:spacing w:after="0" w:line="240" w:lineRule="auto"/>
        <w:rPr>
          <w:i/>
        </w:rPr>
      </w:pPr>
      <w:r>
        <w:rPr>
          <w:rStyle w:val="Heading2Char"/>
        </w:rPr>
        <w:br/>
      </w:r>
      <w:r w:rsidR="004F0B64">
        <w:rPr>
          <w:rStyle w:val="Heading2Char"/>
        </w:rPr>
        <w:t>I</w:t>
      </w:r>
      <w:r w:rsidR="003B032B" w:rsidRPr="0065730A">
        <w:rPr>
          <w:rStyle w:val="Heading2Char"/>
        </w:rPr>
        <w:t>mpact</w:t>
      </w:r>
      <w:r w:rsidR="004F0B64">
        <w:rPr>
          <w:rStyle w:val="Heading2Char"/>
        </w:rPr>
        <w:t xml:space="preserve"> on People of Color</w:t>
      </w:r>
      <w:r w:rsidR="00C37A2C" w:rsidRPr="0065730A">
        <w:rPr>
          <w:rStyle w:val="Heading2Char"/>
        </w:rPr>
        <w:t xml:space="preserve">: </w:t>
      </w:r>
      <w:r w:rsidR="00C37A2C" w:rsidRPr="0065730A">
        <w:rPr>
          <w:rStyle w:val="Heading2Char"/>
        </w:rPr>
        <w:br/>
      </w:r>
      <w:r w:rsidR="00A67406">
        <w:rPr>
          <w:i/>
        </w:rPr>
        <w:t xml:space="preserve"> </w:t>
      </w:r>
      <w:r w:rsidR="00F60B34">
        <w:rPr>
          <w:i/>
        </w:rPr>
        <w:t>“</w:t>
      </w:r>
      <w:r w:rsidR="004F0B64" w:rsidRPr="004F0B64">
        <w:rPr>
          <w:i/>
        </w:rPr>
        <w:t xml:space="preserve">I work mainly </w:t>
      </w:r>
      <w:r w:rsidR="00B8390B">
        <w:rPr>
          <w:i/>
        </w:rPr>
        <w:t xml:space="preserve">with </w:t>
      </w:r>
      <w:r w:rsidR="004F0B64" w:rsidRPr="004F0B64">
        <w:rPr>
          <w:i/>
        </w:rPr>
        <w:t xml:space="preserve">the Hispanic community, many of my clients got sick with </w:t>
      </w:r>
      <w:r w:rsidR="00B8390B">
        <w:rPr>
          <w:i/>
        </w:rPr>
        <w:t>COVID</w:t>
      </w:r>
      <w:r w:rsidR="004F0B64" w:rsidRPr="004F0B64">
        <w:rPr>
          <w:i/>
        </w:rPr>
        <w:t>-19, and many of them lost their jobs with no benefits.  Fortunately</w:t>
      </w:r>
      <w:r w:rsidR="004F0B64">
        <w:rPr>
          <w:i/>
        </w:rPr>
        <w:t>,</w:t>
      </w:r>
      <w:r w:rsidR="004F0B64" w:rsidRPr="004F0B64">
        <w:rPr>
          <w:i/>
        </w:rPr>
        <w:t xml:space="preserve"> I received some help </w:t>
      </w:r>
      <w:r w:rsidR="004F0B64">
        <w:rPr>
          <w:i/>
        </w:rPr>
        <w:t>to</w:t>
      </w:r>
      <w:r w:rsidR="004F0B64" w:rsidRPr="004F0B64">
        <w:rPr>
          <w:i/>
        </w:rPr>
        <w:t xml:space="preserve"> </w:t>
      </w:r>
      <w:r w:rsidR="004F0B64">
        <w:rPr>
          <w:i/>
        </w:rPr>
        <w:t>maintain running my business […]”</w:t>
      </w:r>
      <w:r w:rsidR="004F0B64">
        <w:rPr>
          <w:i/>
        </w:rPr>
        <w:br/>
      </w:r>
      <w:r w:rsidR="004F0B64">
        <w:rPr>
          <w:i/>
        </w:rPr>
        <w:br/>
        <w:t>“</w:t>
      </w:r>
      <w:r w:rsidR="004F0B64" w:rsidRPr="004F0B64">
        <w:rPr>
          <w:i/>
        </w:rPr>
        <w:t>As a Diversity, Equity &amp; Inclusion Consulting firm, while we lost 100% of business with C</w:t>
      </w:r>
      <w:r w:rsidR="00B8390B">
        <w:rPr>
          <w:i/>
        </w:rPr>
        <w:t>OVID</w:t>
      </w:r>
      <w:r w:rsidR="004F0B64" w:rsidRPr="004F0B64">
        <w:rPr>
          <w:i/>
        </w:rPr>
        <w:t>, after George Floyd murder we were able to return, continue growing in the last 2 quarters</w:t>
      </w:r>
      <w:r w:rsidR="004F0B64">
        <w:rPr>
          <w:i/>
        </w:rPr>
        <w:t>.”</w:t>
      </w:r>
    </w:p>
    <w:p w14:paraId="16B64650" w14:textId="77777777" w:rsidR="00F60B34" w:rsidRDefault="00F60B34" w:rsidP="006B6F5E">
      <w:pPr>
        <w:spacing w:after="0" w:line="240" w:lineRule="auto"/>
        <w:rPr>
          <w:color w:val="FF0000"/>
          <w:sz w:val="14"/>
          <w:szCs w:val="14"/>
        </w:rPr>
      </w:pPr>
    </w:p>
    <w:p w14:paraId="549CD205" w14:textId="37A46AFE" w:rsidR="0005336B" w:rsidRPr="00CF6083" w:rsidRDefault="0005336B" w:rsidP="00CF6083">
      <w:pPr>
        <w:spacing w:after="0" w:line="240" w:lineRule="auto"/>
        <w:rPr>
          <w:i/>
        </w:rPr>
      </w:pPr>
    </w:p>
    <w:p w14:paraId="275C9607" w14:textId="7E414C23" w:rsidR="008959F9" w:rsidRPr="00CF6083" w:rsidRDefault="008959F9" w:rsidP="006B6F5E">
      <w:pPr>
        <w:spacing w:after="0" w:line="240" w:lineRule="auto"/>
        <w:rPr>
          <w:i/>
        </w:rPr>
        <w:sectPr w:rsidR="008959F9" w:rsidRPr="00CF6083" w:rsidSect="008959F9">
          <w:type w:val="continuous"/>
          <w:pgSz w:w="12240" w:h="15840"/>
          <w:pgMar w:top="720" w:right="720" w:bottom="720" w:left="720" w:header="720" w:footer="720" w:gutter="0"/>
          <w:cols w:num="2" w:space="720"/>
          <w:docGrid w:linePitch="360"/>
        </w:sectPr>
      </w:pPr>
    </w:p>
    <w:p w14:paraId="2B1ADC84" w14:textId="77777777" w:rsidR="00BE1B88" w:rsidRDefault="00BE1B88" w:rsidP="006B6F5E">
      <w:pPr>
        <w:spacing w:after="0" w:line="240" w:lineRule="auto"/>
        <w:rPr>
          <w:sz w:val="14"/>
          <w:szCs w:val="14"/>
        </w:rPr>
        <w:sectPr w:rsidR="00BE1B88" w:rsidSect="00B86180">
          <w:type w:val="continuous"/>
          <w:pgSz w:w="12240" w:h="15840"/>
          <w:pgMar w:top="720" w:right="720" w:bottom="720" w:left="720" w:header="720" w:footer="720" w:gutter="0"/>
          <w:cols w:num="2" w:space="720"/>
          <w:docGrid w:linePitch="360"/>
        </w:sectPr>
      </w:pPr>
    </w:p>
    <w:p w14:paraId="408A8DF1" w14:textId="7BEFB06C" w:rsidR="00877E6A" w:rsidRPr="00897DC0" w:rsidRDefault="00D733D3" w:rsidP="006B6F5E">
      <w:pPr>
        <w:spacing w:after="0" w:line="240" w:lineRule="auto"/>
        <w:rPr>
          <w:sz w:val="14"/>
          <w:szCs w:val="14"/>
        </w:rPr>
        <w:sectPr w:rsidR="00877E6A" w:rsidRPr="00897DC0" w:rsidSect="00BE1B88">
          <w:type w:val="continuous"/>
          <w:pgSz w:w="12240" w:h="15840"/>
          <w:pgMar w:top="720" w:right="720" w:bottom="720" w:left="720" w:header="720" w:footer="720" w:gutter="0"/>
          <w:cols w:space="720"/>
          <w:docGrid w:linePitch="360"/>
        </w:sectPr>
      </w:pPr>
      <w:r>
        <w:rPr>
          <w:sz w:val="14"/>
          <w:szCs w:val="14"/>
        </w:rPr>
        <w:br/>
      </w:r>
      <w:r w:rsidR="00BE1B88" w:rsidRPr="00897DC0">
        <w:rPr>
          <w:sz w:val="14"/>
          <w:szCs w:val="14"/>
        </w:rPr>
        <w:t>(</w:t>
      </w:r>
      <w:r w:rsidR="00877E6A" w:rsidRPr="00897DC0">
        <w:rPr>
          <w:sz w:val="14"/>
          <w:szCs w:val="14"/>
        </w:rPr>
        <w:t xml:space="preserve">1) </w:t>
      </w:r>
      <w:r w:rsidR="00411327" w:rsidRPr="00897DC0">
        <w:rPr>
          <w:sz w:val="14"/>
          <w:szCs w:val="14"/>
        </w:rPr>
        <w:t xml:space="preserve">Based on responses from </w:t>
      </w:r>
      <w:r w:rsidR="00E25CD3" w:rsidRPr="00897DC0">
        <w:rPr>
          <w:sz w:val="14"/>
          <w:szCs w:val="14"/>
        </w:rPr>
        <w:t>201</w:t>
      </w:r>
      <w:r w:rsidR="00FF76A7" w:rsidRPr="00897DC0">
        <w:rPr>
          <w:sz w:val="14"/>
          <w:szCs w:val="14"/>
        </w:rPr>
        <w:t xml:space="preserve"> Minnesota</w:t>
      </w:r>
      <w:r w:rsidR="00877E6A" w:rsidRPr="00897DC0">
        <w:rPr>
          <w:sz w:val="14"/>
          <w:szCs w:val="14"/>
        </w:rPr>
        <w:t xml:space="preserve"> busines</w:t>
      </w:r>
      <w:r w:rsidR="000A65D8" w:rsidRPr="00897DC0">
        <w:rPr>
          <w:sz w:val="14"/>
          <w:szCs w:val="14"/>
        </w:rPr>
        <w:t>s service firms</w:t>
      </w:r>
      <w:r w:rsidR="00411327" w:rsidRPr="00897DC0">
        <w:rPr>
          <w:sz w:val="14"/>
          <w:szCs w:val="14"/>
        </w:rPr>
        <w:t>, for a response rate of</w:t>
      </w:r>
      <w:r w:rsidR="00897DC0" w:rsidRPr="00897DC0">
        <w:rPr>
          <w:sz w:val="14"/>
          <w:szCs w:val="14"/>
        </w:rPr>
        <w:t xml:space="preserve"> 16.8</w:t>
      </w:r>
      <w:r w:rsidR="009B7A08" w:rsidRPr="00897DC0">
        <w:rPr>
          <w:sz w:val="14"/>
          <w:szCs w:val="14"/>
        </w:rPr>
        <w:t>%</w:t>
      </w:r>
      <w:r w:rsidR="00877E6A" w:rsidRPr="00897DC0">
        <w:rPr>
          <w:sz w:val="14"/>
          <w:szCs w:val="14"/>
        </w:rPr>
        <w:t>. The samp</w:t>
      </w:r>
      <w:r w:rsidR="00411327" w:rsidRPr="00897DC0">
        <w:rPr>
          <w:sz w:val="14"/>
          <w:szCs w:val="14"/>
        </w:rPr>
        <w:t xml:space="preserve">ling error is plus or minus </w:t>
      </w:r>
      <w:r w:rsidR="00897DC0" w:rsidRPr="00897DC0">
        <w:rPr>
          <w:sz w:val="14"/>
          <w:szCs w:val="14"/>
        </w:rPr>
        <w:t>6.8</w:t>
      </w:r>
      <w:r w:rsidR="009B7A08" w:rsidRPr="00897DC0">
        <w:rPr>
          <w:sz w:val="14"/>
          <w:szCs w:val="14"/>
        </w:rPr>
        <w:t xml:space="preserve"> percent at a 95%</w:t>
      </w:r>
      <w:r w:rsidR="00877E6A" w:rsidRPr="00897DC0">
        <w:rPr>
          <w:sz w:val="14"/>
          <w:szCs w:val="14"/>
        </w:rPr>
        <w:t xml:space="preserve"> confidence level. P</w:t>
      </w:r>
      <w:r w:rsidR="009B7A08" w:rsidRPr="00897DC0">
        <w:rPr>
          <w:sz w:val="14"/>
          <w:szCs w:val="14"/>
        </w:rPr>
        <w:t>ercentages might not add to 100</w:t>
      </w:r>
      <w:r w:rsidR="004F0B64" w:rsidRPr="00897DC0">
        <w:rPr>
          <w:sz w:val="14"/>
          <w:szCs w:val="14"/>
        </w:rPr>
        <w:t>%</w:t>
      </w:r>
      <w:r w:rsidR="00877E6A" w:rsidRPr="00897DC0">
        <w:rPr>
          <w:sz w:val="14"/>
          <w:szCs w:val="14"/>
        </w:rPr>
        <w:t xml:space="preserve"> due to rounding. </w:t>
      </w:r>
      <w:r w:rsidR="00877E6A" w:rsidRPr="00897DC0">
        <w:rPr>
          <w:sz w:val="14"/>
          <w:szCs w:val="14"/>
        </w:rPr>
        <w:br/>
        <w:t>(2)</w:t>
      </w:r>
      <w:r w:rsidR="00FF56F5">
        <w:rPr>
          <w:sz w:val="14"/>
          <w:szCs w:val="14"/>
        </w:rPr>
        <w:t xml:space="preserve"> </w:t>
      </w:r>
      <w:r w:rsidR="00FF56F5" w:rsidRPr="00FF56F5">
        <w:rPr>
          <w:sz w:val="14"/>
          <w:szCs w:val="14"/>
        </w:rPr>
        <w:t>A diffusion index is a statistical measure used to detect economic turning point</w:t>
      </w:r>
      <w:r w:rsidR="00F94D98">
        <w:rPr>
          <w:sz w:val="14"/>
          <w:szCs w:val="14"/>
        </w:rPr>
        <w:t>s</w:t>
      </w:r>
      <w:r w:rsidR="00FF56F5">
        <w:rPr>
          <w:sz w:val="14"/>
          <w:szCs w:val="14"/>
        </w:rPr>
        <w:t xml:space="preserve">. </w:t>
      </w:r>
      <w:r w:rsidR="00877E6A" w:rsidRPr="00897DC0">
        <w:rPr>
          <w:sz w:val="14"/>
          <w:szCs w:val="14"/>
        </w:rPr>
        <w:t>A</w:t>
      </w:r>
      <w:r w:rsidR="00FF56F5">
        <w:rPr>
          <w:sz w:val="14"/>
          <w:szCs w:val="14"/>
        </w:rPr>
        <w:t>n</w:t>
      </w:r>
      <w:r w:rsidR="00877E6A" w:rsidRPr="00897DC0">
        <w:rPr>
          <w:sz w:val="14"/>
          <w:szCs w:val="14"/>
        </w:rPr>
        <w:t xml:space="preserve"> index greater than 50 indicates expansion, lower than 50 indicates contraction. </w:t>
      </w:r>
      <w:r w:rsidR="00877E6A" w:rsidRPr="00897DC0">
        <w:rPr>
          <w:sz w:val="14"/>
          <w:szCs w:val="14"/>
        </w:rPr>
        <w:br/>
        <w:t>Prepar</w:t>
      </w:r>
      <w:r w:rsidR="00411327" w:rsidRPr="00897DC0">
        <w:rPr>
          <w:sz w:val="14"/>
          <w:szCs w:val="14"/>
        </w:rPr>
        <w:t xml:space="preserve">ed by the Economic Analysis </w:t>
      </w:r>
      <w:r w:rsidR="009E4192" w:rsidRPr="00897DC0">
        <w:rPr>
          <w:sz w:val="14"/>
          <w:szCs w:val="14"/>
        </w:rPr>
        <w:t>Unit</w:t>
      </w:r>
      <w:r w:rsidR="00877E6A" w:rsidRPr="00897DC0">
        <w:rPr>
          <w:sz w:val="14"/>
          <w:szCs w:val="14"/>
        </w:rPr>
        <w:t xml:space="preserve">, Minnesota Department of Employment and Economic </w:t>
      </w:r>
      <w:r w:rsidR="00EC6FBE" w:rsidRPr="00897DC0">
        <w:rPr>
          <w:sz w:val="14"/>
          <w:szCs w:val="14"/>
        </w:rPr>
        <w:t>Developmen</w:t>
      </w:r>
      <w:r w:rsidR="00BE1B88" w:rsidRPr="00897DC0">
        <w:rPr>
          <w:sz w:val="14"/>
          <w:szCs w:val="14"/>
        </w:rPr>
        <w:t xml:space="preserve">t, </w:t>
      </w:r>
      <w:r w:rsidR="004F0B64" w:rsidRPr="00897DC0">
        <w:rPr>
          <w:sz w:val="14"/>
          <w:szCs w:val="14"/>
        </w:rPr>
        <w:t>July 2021.</w:t>
      </w:r>
    </w:p>
    <w:p w14:paraId="1E743629" w14:textId="77777777" w:rsidR="008917AD" w:rsidRPr="00897DC0" w:rsidRDefault="008917AD" w:rsidP="00BE1B88">
      <w:pPr>
        <w:spacing w:after="0" w:line="240" w:lineRule="auto"/>
      </w:pPr>
    </w:p>
    <w:sectPr w:rsidR="008917AD" w:rsidRPr="00897DC0" w:rsidSect="00BE1B8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94DF" w14:textId="77777777" w:rsidR="002E769C" w:rsidRDefault="002E769C" w:rsidP="00722892">
      <w:pPr>
        <w:spacing w:after="0" w:line="240" w:lineRule="auto"/>
      </w:pPr>
      <w:r>
        <w:separator/>
      </w:r>
    </w:p>
  </w:endnote>
  <w:endnote w:type="continuationSeparator" w:id="0">
    <w:p w14:paraId="3AA4EF9E" w14:textId="77777777" w:rsidR="002E769C" w:rsidRDefault="002E769C" w:rsidP="0072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CC6E" w14:textId="77777777" w:rsidR="007623F0" w:rsidRDefault="00762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D0540" w14:textId="77777777" w:rsidR="007623F0" w:rsidRDefault="00762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AF51" w14:textId="77777777" w:rsidR="007623F0" w:rsidRDefault="0076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04E9A" w14:textId="77777777" w:rsidR="002E769C" w:rsidRDefault="002E769C" w:rsidP="00722892">
      <w:pPr>
        <w:spacing w:after="0" w:line="240" w:lineRule="auto"/>
      </w:pPr>
      <w:r>
        <w:separator/>
      </w:r>
    </w:p>
  </w:footnote>
  <w:footnote w:type="continuationSeparator" w:id="0">
    <w:p w14:paraId="370C1D29" w14:textId="77777777" w:rsidR="002E769C" w:rsidRDefault="002E769C" w:rsidP="0072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F07F" w14:textId="77777777" w:rsidR="007623F0" w:rsidRDefault="00762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7273" w14:textId="138C2850" w:rsidR="007623F0" w:rsidRDefault="00762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AEDB" w14:textId="77777777" w:rsidR="007623F0" w:rsidRDefault="0076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792C"/>
    <w:multiLevelType w:val="hybridMultilevel"/>
    <w:tmpl w:val="4F46C5A4"/>
    <w:lvl w:ilvl="0" w:tplc="7EC498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54002"/>
    <w:multiLevelType w:val="hybridMultilevel"/>
    <w:tmpl w:val="9036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10DA1"/>
    <w:multiLevelType w:val="hybridMultilevel"/>
    <w:tmpl w:val="B8CE587E"/>
    <w:lvl w:ilvl="0" w:tplc="C196342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2D4075"/>
    <w:multiLevelType w:val="hybridMultilevel"/>
    <w:tmpl w:val="77DE0E20"/>
    <w:lvl w:ilvl="0" w:tplc="FEC443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A73C2"/>
    <w:multiLevelType w:val="hybridMultilevel"/>
    <w:tmpl w:val="C54C98A6"/>
    <w:lvl w:ilvl="0" w:tplc="710E8D2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15:restartNumberingAfterBreak="0">
    <w:nsid w:val="3AAD4C75"/>
    <w:multiLevelType w:val="hybridMultilevel"/>
    <w:tmpl w:val="D97AB74E"/>
    <w:lvl w:ilvl="0" w:tplc="593A9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229547C"/>
    <w:multiLevelType w:val="hybridMultilevel"/>
    <w:tmpl w:val="63AE7CF0"/>
    <w:lvl w:ilvl="0" w:tplc="16A4D1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C3162D5"/>
    <w:multiLevelType w:val="hybridMultilevel"/>
    <w:tmpl w:val="2B5E2D2E"/>
    <w:lvl w:ilvl="0" w:tplc="18A02B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FFF4843"/>
    <w:multiLevelType w:val="hybridMultilevel"/>
    <w:tmpl w:val="CA0CEBC6"/>
    <w:lvl w:ilvl="0" w:tplc="EC82D616">
      <w:start w:val="1"/>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4"/>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FA"/>
    <w:rsid w:val="000055EB"/>
    <w:rsid w:val="00006BCD"/>
    <w:rsid w:val="000102FA"/>
    <w:rsid w:val="00022457"/>
    <w:rsid w:val="00023BB3"/>
    <w:rsid w:val="00043367"/>
    <w:rsid w:val="000530CD"/>
    <w:rsid w:val="0005336B"/>
    <w:rsid w:val="000554FA"/>
    <w:rsid w:val="000631E3"/>
    <w:rsid w:val="00064F89"/>
    <w:rsid w:val="000715D1"/>
    <w:rsid w:val="00085CB5"/>
    <w:rsid w:val="00093843"/>
    <w:rsid w:val="00097993"/>
    <w:rsid w:val="000A0BC3"/>
    <w:rsid w:val="000A28AD"/>
    <w:rsid w:val="000A65D8"/>
    <w:rsid w:val="000B4D88"/>
    <w:rsid w:val="000B68D5"/>
    <w:rsid w:val="000B7992"/>
    <w:rsid w:val="000C04EE"/>
    <w:rsid w:val="000C107F"/>
    <w:rsid w:val="000C1BCF"/>
    <w:rsid w:val="000D53DE"/>
    <w:rsid w:val="000E746C"/>
    <w:rsid w:val="000F04F2"/>
    <w:rsid w:val="000F78D5"/>
    <w:rsid w:val="00100C21"/>
    <w:rsid w:val="001215A7"/>
    <w:rsid w:val="00126400"/>
    <w:rsid w:val="0013508B"/>
    <w:rsid w:val="0015638D"/>
    <w:rsid w:val="00157FEC"/>
    <w:rsid w:val="001631FC"/>
    <w:rsid w:val="00170768"/>
    <w:rsid w:val="00174C4B"/>
    <w:rsid w:val="00174D79"/>
    <w:rsid w:val="001A1D64"/>
    <w:rsid w:val="001A70BD"/>
    <w:rsid w:val="001C1605"/>
    <w:rsid w:val="001D0139"/>
    <w:rsid w:val="001D1D2A"/>
    <w:rsid w:val="001D69C4"/>
    <w:rsid w:val="001D7C7A"/>
    <w:rsid w:val="001F0399"/>
    <w:rsid w:val="001F26CC"/>
    <w:rsid w:val="00200309"/>
    <w:rsid w:val="002054F5"/>
    <w:rsid w:val="00225875"/>
    <w:rsid w:val="0023223B"/>
    <w:rsid w:val="00243472"/>
    <w:rsid w:val="0024440C"/>
    <w:rsid w:val="00245A31"/>
    <w:rsid w:val="0025036B"/>
    <w:rsid w:val="00273A9B"/>
    <w:rsid w:val="00273DC2"/>
    <w:rsid w:val="00277905"/>
    <w:rsid w:val="00280798"/>
    <w:rsid w:val="00286A99"/>
    <w:rsid w:val="002934A2"/>
    <w:rsid w:val="00293720"/>
    <w:rsid w:val="00297604"/>
    <w:rsid w:val="002A39E0"/>
    <w:rsid w:val="002A419E"/>
    <w:rsid w:val="002A4627"/>
    <w:rsid w:val="002A54B0"/>
    <w:rsid w:val="002C1301"/>
    <w:rsid w:val="002C48DC"/>
    <w:rsid w:val="002C5461"/>
    <w:rsid w:val="002C784F"/>
    <w:rsid w:val="002E4C76"/>
    <w:rsid w:val="002E60AC"/>
    <w:rsid w:val="002E769C"/>
    <w:rsid w:val="002F1C66"/>
    <w:rsid w:val="003058BA"/>
    <w:rsid w:val="00311D39"/>
    <w:rsid w:val="003368D3"/>
    <w:rsid w:val="00337ABD"/>
    <w:rsid w:val="00346D0D"/>
    <w:rsid w:val="00351D1F"/>
    <w:rsid w:val="003549BF"/>
    <w:rsid w:val="00367060"/>
    <w:rsid w:val="00373ED3"/>
    <w:rsid w:val="003774CD"/>
    <w:rsid w:val="003809EF"/>
    <w:rsid w:val="003844D4"/>
    <w:rsid w:val="00391C69"/>
    <w:rsid w:val="00392665"/>
    <w:rsid w:val="00393CA7"/>
    <w:rsid w:val="003942C0"/>
    <w:rsid w:val="00396DC1"/>
    <w:rsid w:val="003B032B"/>
    <w:rsid w:val="003B0396"/>
    <w:rsid w:val="003B5D7E"/>
    <w:rsid w:val="003B7BDF"/>
    <w:rsid w:val="003C059D"/>
    <w:rsid w:val="003E0958"/>
    <w:rsid w:val="003E3664"/>
    <w:rsid w:val="003E5789"/>
    <w:rsid w:val="003F33BB"/>
    <w:rsid w:val="003F5F27"/>
    <w:rsid w:val="003F62BE"/>
    <w:rsid w:val="00411327"/>
    <w:rsid w:val="00413D79"/>
    <w:rsid w:val="0041750B"/>
    <w:rsid w:val="004262DB"/>
    <w:rsid w:val="00427A28"/>
    <w:rsid w:val="0043194C"/>
    <w:rsid w:val="00437B30"/>
    <w:rsid w:val="00457917"/>
    <w:rsid w:val="004662B5"/>
    <w:rsid w:val="004861F4"/>
    <w:rsid w:val="0049058E"/>
    <w:rsid w:val="0049334A"/>
    <w:rsid w:val="004A770C"/>
    <w:rsid w:val="004C194A"/>
    <w:rsid w:val="004C508D"/>
    <w:rsid w:val="004D0F62"/>
    <w:rsid w:val="004D5B1E"/>
    <w:rsid w:val="004E068C"/>
    <w:rsid w:val="004E12F2"/>
    <w:rsid w:val="004E3C39"/>
    <w:rsid w:val="004F0B64"/>
    <w:rsid w:val="00500E37"/>
    <w:rsid w:val="0051195F"/>
    <w:rsid w:val="005252B0"/>
    <w:rsid w:val="00531B2D"/>
    <w:rsid w:val="00532ED4"/>
    <w:rsid w:val="00550643"/>
    <w:rsid w:val="00565C48"/>
    <w:rsid w:val="00567732"/>
    <w:rsid w:val="00584451"/>
    <w:rsid w:val="0058515D"/>
    <w:rsid w:val="005A24D4"/>
    <w:rsid w:val="005A2834"/>
    <w:rsid w:val="005A45F6"/>
    <w:rsid w:val="005B3141"/>
    <w:rsid w:val="005B6565"/>
    <w:rsid w:val="005B6BED"/>
    <w:rsid w:val="005C0002"/>
    <w:rsid w:val="005C5C85"/>
    <w:rsid w:val="005D05C5"/>
    <w:rsid w:val="005D5E56"/>
    <w:rsid w:val="005F0E3F"/>
    <w:rsid w:val="005F3E68"/>
    <w:rsid w:val="005F6A3E"/>
    <w:rsid w:val="00623F4F"/>
    <w:rsid w:val="00627309"/>
    <w:rsid w:val="006309E6"/>
    <w:rsid w:val="006327BB"/>
    <w:rsid w:val="0063644F"/>
    <w:rsid w:val="006449F7"/>
    <w:rsid w:val="0065167F"/>
    <w:rsid w:val="0065730A"/>
    <w:rsid w:val="00671D12"/>
    <w:rsid w:val="006A1085"/>
    <w:rsid w:val="006A387C"/>
    <w:rsid w:val="006B0B3E"/>
    <w:rsid w:val="006B28F7"/>
    <w:rsid w:val="006B3637"/>
    <w:rsid w:val="006B670D"/>
    <w:rsid w:val="006B6F5E"/>
    <w:rsid w:val="006C6700"/>
    <w:rsid w:val="006D3B3F"/>
    <w:rsid w:val="006F7EFC"/>
    <w:rsid w:val="00702D96"/>
    <w:rsid w:val="0070375F"/>
    <w:rsid w:val="00705031"/>
    <w:rsid w:val="0070546F"/>
    <w:rsid w:val="007075DF"/>
    <w:rsid w:val="007145B2"/>
    <w:rsid w:val="007171B2"/>
    <w:rsid w:val="00722892"/>
    <w:rsid w:val="007242DF"/>
    <w:rsid w:val="00726C57"/>
    <w:rsid w:val="0073212E"/>
    <w:rsid w:val="00742BA0"/>
    <w:rsid w:val="00752148"/>
    <w:rsid w:val="00755DCE"/>
    <w:rsid w:val="007579D5"/>
    <w:rsid w:val="007623F0"/>
    <w:rsid w:val="00765F50"/>
    <w:rsid w:val="00771521"/>
    <w:rsid w:val="007750EE"/>
    <w:rsid w:val="00783BB1"/>
    <w:rsid w:val="007874B0"/>
    <w:rsid w:val="0079369A"/>
    <w:rsid w:val="007A0E8F"/>
    <w:rsid w:val="007B16BB"/>
    <w:rsid w:val="007B1F27"/>
    <w:rsid w:val="007C3754"/>
    <w:rsid w:val="007C629F"/>
    <w:rsid w:val="007D7CFA"/>
    <w:rsid w:val="007E2463"/>
    <w:rsid w:val="007E666B"/>
    <w:rsid w:val="007F61A9"/>
    <w:rsid w:val="008051D0"/>
    <w:rsid w:val="00810157"/>
    <w:rsid w:val="00811679"/>
    <w:rsid w:val="00814ED5"/>
    <w:rsid w:val="00814F86"/>
    <w:rsid w:val="00820241"/>
    <w:rsid w:val="00825F3C"/>
    <w:rsid w:val="00831B82"/>
    <w:rsid w:val="00835E20"/>
    <w:rsid w:val="00836269"/>
    <w:rsid w:val="0084634F"/>
    <w:rsid w:val="00853F8F"/>
    <w:rsid w:val="00855892"/>
    <w:rsid w:val="0086126B"/>
    <w:rsid w:val="00866AE5"/>
    <w:rsid w:val="00873CE5"/>
    <w:rsid w:val="00875E22"/>
    <w:rsid w:val="00877E6A"/>
    <w:rsid w:val="00881C43"/>
    <w:rsid w:val="008917AD"/>
    <w:rsid w:val="0089194E"/>
    <w:rsid w:val="008959F9"/>
    <w:rsid w:val="0089607A"/>
    <w:rsid w:val="00897DC0"/>
    <w:rsid w:val="008A0661"/>
    <w:rsid w:val="008A3B5D"/>
    <w:rsid w:val="008A7B58"/>
    <w:rsid w:val="008B00D4"/>
    <w:rsid w:val="008B2E6E"/>
    <w:rsid w:val="008B388C"/>
    <w:rsid w:val="008C0851"/>
    <w:rsid w:val="008C6664"/>
    <w:rsid w:val="008C6794"/>
    <w:rsid w:val="008C7C93"/>
    <w:rsid w:val="008D3F64"/>
    <w:rsid w:val="008D6DDD"/>
    <w:rsid w:val="008E015A"/>
    <w:rsid w:val="008E7E58"/>
    <w:rsid w:val="008F3AB3"/>
    <w:rsid w:val="00902FE2"/>
    <w:rsid w:val="00930916"/>
    <w:rsid w:val="0093302A"/>
    <w:rsid w:val="00933559"/>
    <w:rsid w:val="00941384"/>
    <w:rsid w:val="0094164D"/>
    <w:rsid w:val="009468D5"/>
    <w:rsid w:val="00952E63"/>
    <w:rsid w:val="00955E99"/>
    <w:rsid w:val="0095690F"/>
    <w:rsid w:val="00957C8C"/>
    <w:rsid w:val="00961887"/>
    <w:rsid w:val="00962FBB"/>
    <w:rsid w:val="009713A3"/>
    <w:rsid w:val="00972D5C"/>
    <w:rsid w:val="009768AE"/>
    <w:rsid w:val="00995CB9"/>
    <w:rsid w:val="009969EB"/>
    <w:rsid w:val="009A0736"/>
    <w:rsid w:val="009A1D8F"/>
    <w:rsid w:val="009A7E27"/>
    <w:rsid w:val="009B07B0"/>
    <w:rsid w:val="009B3DF5"/>
    <w:rsid w:val="009B7995"/>
    <w:rsid w:val="009B7A08"/>
    <w:rsid w:val="009C5EDC"/>
    <w:rsid w:val="009D2102"/>
    <w:rsid w:val="009D6A9C"/>
    <w:rsid w:val="009D720D"/>
    <w:rsid w:val="009E4192"/>
    <w:rsid w:val="009E438F"/>
    <w:rsid w:val="009F13ED"/>
    <w:rsid w:val="009F26AA"/>
    <w:rsid w:val="009F568F"/>
    <w:rsid w:val="00A121AF"/>
    <w:rsid w:val="00A257DB"/>
    <w:rsid w:val="00A2646F"/>
    <w:rsid w:val="00A2685D"/>
    <w:rsid w:val="00A31665"/>
    <w:rsid w:val="00A41AC1"/>
    <w:rsid w:val="00A43276"/>
    <w:rsid w:val="00A448E3"/>
    <w:rsid w:val="00A45FB6"/>
    <w:rsid w:val="00A47279"/>
    <w:rsid w:val="00A516F3"/>
    <w:rsid w:val="00A561F7"/>
    <w:rsid w:val="00A66699"/>
    <w:rsid w:val="00A67406"/>
    <w:rsid w:val="00A70BA3"/>
    <w:rsid w:val="00A72C89"/>
    <w:rsid w:val="00A82DA5"/>
    <w:rsid w:val="00A87222"/>
    <w:rsid w:val="00A908BB"/>
    <w:rsid w:val="00A94D17"/>
    <w:rsid w:val="00A979C6"/>
    <w:rsid w:val="00A97C01"/>
    <w:rsid w:val="00AB54BD"/>
    <w:rsid w:val="00AB6F70"/>
    <w:rsid w:val="00AC48F3"/>
    <w:rsid w:val="00AC6BEA"/>
    <w:rsid w:val="00AC7A68"/>
    <w:rsid w:val="00AD38E8"/>
    <w:rsid w:val="00AD5AC2"/>
    <w:rsid w:val="00AD5C32"/>
    <w:rsid w:val="00AE0EFF"/>
    <w:rsid w:val="00AE5AA1"/>
    <w:rsid w:val="00B22064"/>
    <w:rsid w:val="00B22FAE"/>
    <w:rsid w:val="00B4100B"/>
    <w:rsid w:val="00B42CDA"/>
    <w:rsid w:val="00B42CEB"/>
    <w:rsid w:val="00B76A86"/>
    <w:rsid w:val="00B76C4D"/>
    <w:rsid w:val="00B81B7A"/>
    <w:rsid w:val="00B8390B"/>
    <w:rsid w:val="00B86180"/>
    <w:rsid w:val="00B86E7E"/>
    <w:rsid w:val="00B91FC4"/>
    <w:rsid w:val="00BA5968"/>
    <w:rsid w:val="00BB4D26"/>
    <w:rsid w:val="00BC0C4D"/>
    <w:rsid w:val="00BC5DD8"/>
    <w:rsid w:val="00BD5061"/>
    <w:rsid w:val="00BE1019"/>
    <w:rsid w:val="00BE1B88"/>
    <w:rsid w:val="00BE474F"/>
    <w:rsid w:val="00BE7561"/>
    <w:rsid w:val="00BF2600"/>
    <w:rsid w:val="00BF738E"/>
    <w:rsid w:val="00C016FB"/>
    <w:rsid w:val="00C067E2"/>
    <w:rsid w:val="00C1258E"/>
    <w:rsid w:val="00C174D5"/>
    <w:rsid w:val="00C2607A"/>
    <w:rsid w:val="00C310C5"/>
    <w:rsid w:val="00C33B94"/>
    <w:rsid w:val="00C34B1A"/>
    <w:rsid w:val="00C35CB2"/>
    <w:rsid w:val="00C37A2C"/>
    <w:rsid w:val="00C46B75"/>
    <w:rsid w:val="00C5553E"/>
    <w:rsid w:val="00C570D5"/>
    <w:rsid w:val="00C6136E"/>
    <w:rsid w:val="00C633BF"/>
    <w:rsid w:val="00C707A3"/>
    <w:rsid w:val="00C74624"/>
    <w:rsid w:val="00C74737"/>
    <w:rsid w:val="00C80C65"/>
    <w:rsid w:val="00C834D1"/>
    <w:rsid w:val="00CA4F8E"/>
    <w:rsid w:val="00CA5832"/>
    <w:rsid w:val="00CC2FD0"/>
    <w:rsid w:val="00CE1510"/>
    <w:rsid w:val="00CE28CD"/>
    <w:rsid w:val="00CE70D6"/>
    <w:rsid w:val="00CF0F48"/>
    <w:rsid w:val="00CF6083"/>
    <w:rsid w:val="00D016CA"/>
    <w:rsid w:val="00D056A9"/>
    <w:rsid w:val="00D101D6"/>
    <w:rsid w:val="00D12E13"/>
    <w:rsid w:val="00D12EE2"/>
    <w:rsid w:val="00D21E21"/>
    <w:rsid w:val="00D33609"/>
    <w:rsid w:val="00D3621B"/>
    <w:rsid w:val="00D40EDB"/>
    <w:rsid w:val="00D47417"/>
    <w:rsid w:val="00D52CFB"/>
    <w:rsid w:val="00D53E18"/>
    <w:rsid w:val="00D57F6C"/>
    <w:rsid w:val="00D60273"/>
    <w:rsid w:val="00D656A2"/>
    <w:rsid w:val="00D7058B"/>
    <w:rsid w:val="00D733D3"/>
    <w:rsid w:val="00DA18EA"/>
    <w:rsid w:val="00DB1BE2"/>
    <w:rsid w:val="00DB2B7E"/>
    <w:rsid w:val="00DC541A"/>
    <w:rsid w:val="00DD0D08"/>
    <w:rsid w:val="00DD1D04"/>
    <w:rsid w:val="00DD39EC"/>
    <w:rsid w:val="00DE7AC6"/>
    <w:rsid w:val="00E2110F"/>
    <w:rsid w:val="00E25CD3"/>
    <w:rsid w:val="00E50B04"/>
    <w:rsid w:val="00E55E81"/>
    <w:rsid w:val="00E647F4"/>
    <w:rsid w:val="00E66525"/>
    <w:rsid w:val="00E66A72"/>
    <w:rsid w:val="00E7356E"/>
    <w:rsid w:val="00E83520"/>
    <w:rsid w:val="00E841AC"/>
    <w:rsid w:val="00EA2AE1"/>
    <w:rsid w:val="00EC6FBE"/>
    <w:rsid w:val="00EC7FDA"/>
    <w:rsid w:val="00EE2D4D"/>
    <w:rsid w:val="00EE6084"/>
    <w:rsid w:val="00EF2617"/>
    <w:rsid w:val="00F10ED0"/>
    <w:rsid w:val="00F22B90"/>
    <w:rsid w:val="00F267EF"/>
    <w:rsid w:val="00F5162C"/>
    <w:rsid w:val="00F51D8F"/>
    <w:rsid w:val="00F573FD"/>
    <w:rsid w:val="00F60B34"/>
    <w:rsid w:val="00F62FD1"/>
    <w:rsid w:val="00F648C0"/>
    <w:rsid w:val="00F6539A"/>
    <w:rsid w:val="00F76D55"/>
    <w:rsid w:val="00F82F8E"/>
    <w:rsid w:val="00F86309"/>
    <w:rsid w:val="00F87D0E"/>
    <w:rsid w:val="00F94D98"/>
    <w:rsid w:val="00F97D05"/>
    <w:rsid w:val="00FA15BD"/>
    <w:rsid w:val="00FA2654"/>
    <w:rsid w:val="00FB2467"/>
    <w:rsid w:val="00FB474B"/>
    <w:rsid w:val="00FC06ED"/>
    <w:rsid w:val="00FD40A7"/>
    <w:rsid w:val="00FD51F6"/>
    <w:rsid w:val="00FE0621"/>
    <w:rsid w:val="00FE2083"/>
    <w:rsid w:val="00FF56F5"/>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99AA0"/>
  <w15:chartTrackingRefBased/>
  <w15:docId w15:val="{1B52D937-C38F-41B4-9481-0129100F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4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55892"/>
    <w:pPr>
      <w:spacing w:after="0" w:line="240" w:lineRule="auto"/>
    </w:pPr>
  </w:style>
  <w:style w:type="character" w:customStyle="1" w:styleId="Heading3Char">
    <w:name w:val="Heading 3 Char"/>
    <w:basedOn w:val="DefaultParagraphFont"/>
    <w:link w:val="Heading3"/>
    <w:uiPriority w:val="9"/>
    <w:rsid w:val="00814ED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996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9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61A9"/>
    <w:pPr>
      <w:spacing w:after="200" w:line="240" w:lineRule="auto"/>
    </w:pPr>
    <w:rPr>
      <w:i/>
      <w:iCs/>
      <w:color w:val="44546A" w:themeColor="text2"/>
      <w:sz w:val="18"/>
      <w:szCs w:val="18"/>
    </w:rPr>
  </w:style>
  <w:style w:type="table" w:styleId="PlainTable5">
    <w:name w:val="Plain Table 5"/>
    <w:basedOn w:val="TableNormal"/>
    <w:uiPriority w:val="45"/>
    <w:rsid w:val="00A97C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7C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0C65"/>
    <w:pPr>
      <w:ind w:left="720"/>
      <w:contextualSpacing/>
    </w:pPr>
  </w:style>
  <w:style w:type="paragraph" w:styleId="BalloonText">
    <w:name w:val="Balloon Text"/>
    <w:basedOn w:val="Normal"/>
    <w:link w:val="BalloonTextChar"/>
    <w:uiPriority w:val="99"/>
    <w:semiHidden/>
    <w:unhideWhenUsed/>
    <w:rsid w:val="0072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92"/>
    <w:rPr>
      <w:rFonts w:ascii="Segoe UI" w:hAnsi="Segoe UI" w:cs="Segoe UI"/>
      <w:sz w:val="18"/>
      <w:szCs w:val="18"/>
    </w:rPr>
  </w:style>
  <w:style w:type="paragraph" w:styleId="FootnoteText">
    <w:name w:val="footnote text"/>
    <w:basedOn w:val="Normal"/>
    <w:link w:val="FootnoteTextChar"/>
    <w:uiPriority w:val="99"/>
    <w:semiHidden/>
    <w:unhideWhenUsed/>
    <w:rsid w:val="00722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892"/>
    <w:rPr>
      <w:sz w:val="20"/>
      <w:szCs w:val="20"/>
    </w:rPr>
  </w:style>
  <w:style w:type="character" w:styleId="FootnoteReference">
    <w:name w:val="footnote reference"/>
    <w:basedOn w:val="DefaultParagraphFont"/>
    <w:uiPriority w:val="99"/>
    <w:semiHidden/>
    <w:unhideWhenUsed/>
    <w:rsid w:val="00722892"/>
    <w:rPr>
      <w:vertAlign w:val="superscript"/>
    </w:rPr>
  </w:style>
  <w:style w:type="character" w:styleId="CommentReference">
    <w:name w:val="annotation reference"/>
    <w:basedOn w:val="DefaultParagraphFont"/>
    <w:uiPriority w:val="99"/>
    <w:semiHidden/>
    <w:unhideWhenUsed/>
    <w:rsid w:val="00DE7AC6"/>
    <w:rPr>
      <w:sz w:val="16"/>
      <w:szCs w:val="16"/>
    </w:rPr>
  </w:style>
  <w:style w:type="paragraph" w:styleId="CommentText">
    <w:name w:val="annotation text"/>
    <w:basedOn w:val="Normal"/>
    <w:link w:val="CommentTextChar"/>
    <w:uiPriority w:val="99"/>
    <w:semiHidden/>
    <w:unhideWhenUsed/>
    <w:rsid w:val="00DE7AC6"/>
    <w:pPr>
      <w:spacing w:line="240" w:lineRule="auto"/>
    </w:pPr>
    <w:rPr>
      <w:sz w:val="20"/>
      <w:szCs w:val="20"/>
    </w:rPr>
  </w:style>
  <w:style w:type="character" w:customStyle="1" w:styleId="CommentTextChar">
    <w:name w:val="Comment Text Char"/>
    <w:basedOn w:val="DefaultParagraphFont"/>
    <w:link w:val="CommentText"/>
    <w:uiPriority w:val="99"/>
    <w:semiHidden/>
    <w:rsid w:val="00DE7AC6"/>
    <w:rPr>
      <w:sz w:val="20"/>
      <w:szCs w:val="20"/>
    </w:rPr>
  </w:style>
  <w:style w:type="paragraph" w:styleId="CommentSubject">
    <w:name w:val="annotation subject"/>
    <w:basedOn w:val="CommentText"/>
    <w:next w:val="CommentText"/>
    <w:link w:val="CommentSubjectChar"/>
    <w:uiPriority w:val="99"/>
    <w:semiHidden/>
    <w:unhideWhenUsed/>
    <w:rsid w:val="00DE7AC6"/>
    <w:rPr>
      <w:b/>
      <w:bCs/>
    </w:rPr>
  </w:style>
  <w:style w:type="character" w:customStyle="1" w:styleId="CommentSubjectChar">
    <w:name w:val="Comment Subject Char"/>
    <w:basedOn w:val="CommentTextChar"/>
    <w:link w:val="CommentSubject"/>
    <w:uiPriority w:val="99"/>
    <w:semiHidden/>
    <w:rsid w:val="00DE7AC6"/>
    <w:rPr>
      <w:b/>
      <w:bCs/>
      <w:sz w:val="20"/>
      <w:szCs w:val="20"/>
    </w:rPr>
  </w:style>
  <w:style w:type="paragraph" w:styleId="Revision">
    <w:name w:val="Revision"/>
    <w:hidden/>
    <w:uiPriority w:val="99"/>
    <w:semiHidden/>
    <w:rsid w:val="00E83520"/>
    <w:pPr>
      <w:spacing w:after="0" w:line="240" w:lineRule="auto"/>
    </w:pPr>
  </w:style>
  <w:style w:type="paragraph" w:styleId="Header">
    <w:name w:val="header"/>
    <w:basedOn w:val="Normal"/>
    <w:link w:val="HeaderChar"/>
    <w:uiPriority w:val="99"/>
    <w:unhideWhenUsed/>
    <w:rsid w:val="0076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F0"/>
  </w:style>
  <w:style w:type="paragraph" w:styleId="Footer">
    <w:name w:val="footer"/>
    <w:basedOn w:val="Normal"/>
    <w:link w:val="FooterChar"/>
    <w:uiPriority w:val="99"/>
    <w:unhideWhenUsed/>
    <w:rsid w:val="0076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Economic Performance for Minnesota's Business Services Firms -- </a:t>
            </a:r>
            <a:r>
              <a:rPr lang="en-US" sz="800" b="1" i="0" u="none" strike="noStrike" baseline="0">
                <a:effectLst/>
                <a:latin typeface="Arial" pitchFamily="34" charset="0"/>
                <a:cs typeface="Arial" pitchFamily="34" charset="0"/>
              </a:rPr>
              <a:t>Previous Four Quarters</a:t>
            </a:r>
            <a:endParaRPr lang="en-US" sz="800" b="1" i="0" u="none" strike="noStrike" baseline="0">
              <a:effectLst/>
            </a:endParaRPr>
          </a:p>
        </c:rich>
      </c:tx>
      <c:overlay val="0"/>
    </c:title>
    <c:autoTitleDeleted val="0"/>
    <c:plotArea>
      <c:layout>
        <c:manualLayout>
          <c:layoutTarget val="inner"/>
          <c:xMode val="edge"/>
          <c:yMode val="edge"/>
          <c:x val="8.7771183132705835E-2"/>
          <c:y val="0.23150845996648942"/>
          <c:w val="0.8701994877758924"/>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Sheet1!$B$2:$B$10</c:f>
              <c:numCache>
                <c:formatCode>0%</c:formatCode>
                <c:ptCount val="9"/>
                <c:pt idx="0">
                  <c:v>0.31</c:v>
                </c:pt>
                <c:pt idx="1">
                  <c:v>0.27</c:v>
                </c:pt>
                <c:pt idx="2">
                  <c:v>0.2</c:v>
                </c:pt>
                <c:pt idx="3">
                  <c:v>0.13</c:v>
                </c:pt>
                <c:pt idx="4">
                  <c:v>0.06</c:v>
                </c:pt>
                <c:pt idx="5">
                  <c:v>0.17</c:v>
                </c:pt>
                <c:pt idx="6">
                  <c:v>0.41</c:v>
                </c:pt>
                <c:pt idx="7">
                  <c:v>0.05</c:v>
                </c:pt>
                <c:pt idx="8">
                  <c:v>0.02</c:v>
                </c:pt>
              </c:numCache>
            </c:numRef>
          </c:val>
          <c:extLst>
            <c:ext xmlns:c16="http://schemas.microsoft.com/office/drawing/2014/chart" uri="{C3380CC4-5D6E-409C-BE32-E72D297353CC}">
              <c16:uniqueId val="{00000000-C169-4EA5-9EC4-664CA7040B71}"/>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Sheet1!$C$2:$C$10</c:f>
              <c:numCache>
                <c:formatCode>0%</c:formatCode>
                <c:ptCount val="9"/>
                <c:pt idx="0">
                  <c:v>0.21</c:v>
                </c:pt>
                <c:pt idx="1">
                  <c:v>0.25</c:v>
                </c:pt>
                <c:pt idx="2">
                  <c:v>0.41</c:v>
                </c:pt>
                <c:pt idx="3">
                  <c:v>0.65</c:v>
                </c:pt>
                <c:pt idx="4">
                  <c:v>0.56000000000000005</c:v>
                </c:pt>
                <c:pt idx="5">
                  <c:v>0.7</c:v>
                </c:pt>
                <c:pt idx="6">
                  <c:v>0.5</c:v>
                </c:pt>
                <c:pt idx="7">
                  <c:v>0.86</c:v>
                </c:pt>
                <c:pt idx="8">
                  <c:v>0.85</c:v>
                </c:pt>
              </c:numCache>
            </c:numRef>
          </c:val>
          <c:extLst>
            <c:ext xmlns:c16="http://schemas.microsoft.com/office/drawing/2014/chart" uri="{C3380CC4-5D6E-409C-BE32-E72D297353CC}">
              <c16:uniqueId val="{00000001-C169-4EA5-9EC4-664CA7040B71}"/>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Sheet1!$D$2:$D$10</c:f>
              <c:numCache>
                <c:formatCode>0%</c:formatCode>
                <c:ptCount val="9"/>
                <c:pt idx="0">
                  <c:v>0.48</c:v>
                </c:pt>
                <c:pt idx="1">
                  <c:v>0.48</c:v>
                </c:pt>
                <c:pt idx="2">
                  <c:v>0.39</c:v>
                </c:pt>
                <c:pt idx="3">
                  <c:v>0.22</c:v>
                </c:pt>
                <c:pt idx="4">
                  <c:v>0.38</c:v>
                </c:pt>
                <c:pt idx="5">
                  <c:v>0.13</c:v>
                </c:pt>
                <c:pt idx="6">
                  <c:v>0.09</c:v>
                </c:pt>
                <c:pt idx="7">
                  <c:v>0.1</c:v>
                </c:pt>
                <c:pt idx="8">
                  <c:v>0.14000000000000001</c:v>
                </c:pt>
              </c:numCache>
            </c:numRef>
          </c:val>
          <c:extLst>
            <c:ext xmlns:c16="http://schemas.microsoft.com/office/drawing/2014/chart" uri="{C3380CC4-5D6E-409C-BE32-E72D297353CC}">
              <c16:uniqueId val="{00000002-C169-4EA5-9EC4-664CA7040B71}"/>
            </c:ext>
          </c:extLst>
        </c:ser>
        <c:dLbls>
          <c:showLegendKey val="0"/>
          <c:showVal val="0"/>
          <c:showCatName val="0"/>
          <c:showSerName val="0"/>
          <c:showPercent val="0"/>
          <c:showBubbleSize val="0"/>
        </c:dLbls>
        <c:gapWidth val="100"/>
        <c:overlap val="-23"/>
        <c:axId val="244308912"/>
        <c:axId val="126552160"/>
      </c:barChart>
      <c:catAx>
        <c:axId val="244308912"/>
        <c:scaling>
          <c:orientation val="minMax"/>
        </c:scaling>
        <c:delete val="0"/>
        <c:axPos val="b"/>
        <c:numFmt formatCode="General" sourceLinked="0"/>
        <c:majorTickMark val="out"/>
        <c:minorTickMark val="none"/>
        <c:tickLblPos val="nextTo"/>
        <c:txPr>
          <a:bodyPr rot="0" vert="horz" anchor="t" anchorCtr="0"/>
          <a:lstStyle/>
          <a:p>
            <a:pPr>
              <a:defRPr sz="650" baseline="0">
                <a:latin typeface="Arial" pitchFamily="34" charset="0"/>
                <a:cs typeface="Arial" pitchFamily="34" charset="0"/>
              </a:defRPr>
            </a:pPr>
            <a:endParaRPr lang="en-US"/>
          </a:p>
        </c:txPr>
        <c:crossAx val="126552160"/>
        <c:crosses val="autoZero"/>
        <c:auto val="0"/>
        <c:lblAlgn val="ctr"/>
        <c:lblOffset val="100"/>
        <c:noMultiLvlLbl val="0"/>
      </c:catAx>
      <c:valAx>
        <c:axId val="126552160"/>
        <c:scaling>
          <c:orientation val="minMax"/>
        </c:scaling>
        <c:delete val="0"/>
        <c:axPos val="l"/>
        <c:majorGridlines/>
        <c:numFmt formatCode="0%" sourceLinked="1"/>
        <c:majorTickMark val="out"/>
        <c:minorTickMark val="none"/>
        <c:tickLblPos val="nextTo"/>
        <c:txPr>
          <a:bodyPr/>
          <a:lstStyle/>
          <a:p>
            <a:pPr>
              <a:defRPr sz="800"/>
            </a:pPr>
            <a:endParaRPr lang="en-US"/>
          </a:p>
        </c:txPr>
        <c:crossAx val="244308912"/>
        <c:crosses val="autoZero"/>
        <c:crossBetween val="between"/>
      </c:valAx>
    </c:plotArea>
    <c:legend>
      <c:legendPos val="t"/>
      <c:layout>
        <c:manualLayout>
          <c:xMode val="edge"/>
          <c:yMode val="edge"/>
          <c:x val="9.5889291928396597E-2"/>
          <c:y val="0.24290010307416027"/>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Outlook on Economic Performance for The Coming Year</a:t>
            </a:r>
          </a:p>
        </c:rich>
      </c:tx>
      <c:overlay val="0"/>
    </c:title>
    <c:autoTitleDeleted val="0"/>
    <c:plotArea>
      <c:layout>
        <c:manualLayout>
          <c:layoutTarget val="inner"/>
          <c:xMode val="edge"/>
          <c:yMode val="edge"/>
          <c:x val="8.7771154091241477E-2"/>
          <c:y val="0.2315086040866052"/>
          <c:w val="0.84062156768714325"/>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Sheet1!$B$2:$B$6</c:f>
              <c:numCache>
                <c:formatCode>0%</c:formatCode>
                <c:ptCount val="5"/>
                <c:pt idx="0">
                  <c:v>0.46</c:v>
                </c:pt>
                <c:pt idx="1">
                  <c:v>0.55000000000000004</c:v>
                </c:pt>
                <c:pt idx="2">
                  <c:v>0.73</c:v>
                </c:pt>
                <c:pt idx="3">
                  <c:v>0.33</c:v>
                </c:pt>
                <c:pt idx="4">
                  <c:v>0.34</c:v>
                </c:pt>
              </c:numCache>
            </c:numRef>
          </c:val>
          <c:extLst>
            <c:ext xmlns:c16="http://schemas.microsoft.com/office/drawing/2014/chart" uri="{C3380CC4-5D6E-409C-BE32-E72D297353CC}">
              <c16:uniqueId val="{00000000-A25D-47D5-87AC-7BEB5745FEAA}"/>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Sheet1!$C$2:$C$6</c:f>
              <c:numCache>
                <c:formatCode>0%</c:formatCode>
                <c:ptCount val="5"/>
                <c:pt idx="0">
                  <c:v>0.42</c:v>
                </c:pt>
                <c:pt idx="1">
                  <c:v>0.33</c:v>
                </c:pt>
                <c:pt idx="2">
                  <c:v>0.25</c:v>
                </c:pt>
                <c:pt idx="3">
                  <c:v>0.42</c:v>
                </c:pt>
                <c:pt idx="4">
                  <c:v>0.57999999999999996</c:v>
                </c:pt>
              </c:numCache>
            </c:numRef>
          </c:val>
          <c:extLst>
            <c:ext xmlns:c16="http://schemas.microsoft.com/office/drawing/2014/chart" uri="{C3380CC4-5D6E-409C-BE32-E72D297353CC}">
              <c16:uniqueId val="{00000001-A25D-47D5-87AC-7BEB5745FEAA}"/>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Sheet1!$D$2:$D$6</c:f>
              <c:numCache>
                <c:formatCode>0%</c:formatCode>
                <c:ptCount val="5"/>
                <c:pt idx="0">
                  <c:v>0.12</c:v>
                </c:pt>
                <c:pt idx="1">
                  <c:v>0.12</c:v>
                </c:pt>
                <c:pt idx="2">
                  <c:v>0.02</c:v>
                </c:pt>
                <c:pt idx="3">
                  <c:v>0.25</c:v>
                </c:pt>
                <c:pt idx="4">
                  <c:v>0.08</c:v>
                </c:pt>
              </c:numCache>
            </c:numRef>
          </c:val>
          <c:extLst>
            <c:ext xmlns:c16="http://schemas.microsoft.com/office/drawing/2014/chart" uri="{C3380CC4-5D6E-409C-BE32-E72D297353CC}">
              <c16:uniqueId val="{00000002-A25D-47D5-87AC-7BEB5745FEAA}"/>
            </c:ext>
          </c:extLst>
        </c:ser>
        <c:dLbls>
          <c:showLegendKey val="0"/>
          <c:showVal val="0"/>
          <c:showCatName val="0"/>
          <c:showSerName val="0"/>
          <c:showPercent val="0"/>
          <c:showBubbleSize val="0"/>
        </c:dLbls>
        <c:gapWidth val="100"/>
        <c:axId val="46384704"/>
        <c:axId val="350265736"/>
      </c:barChart>
      <c:catAx>
        <c:axId val="46384704"/>
        <c:scaling>
          <c:orientation val="minMax"/>
        </c:scaling>
        <c:delete val="0"/>
        <c:axPos val="b"/>
        <c:numFmt formatCode="General" sourceLinked="0"/>
        <c:majorTickMark val="out"/>
        <c:minorTickMark val="none"/>
        <c:tickLblPos val="nextTo"/>
        <c:txPr>
          <a:bodyPr rot="0" vert="horz"/>
          <a:lstStyle/>
          <a:p>
            <a:pPr>
              <a:defRPr sz="700">
                <a:latin typeface="Arial" pitchFamily="34" charset="0"/>
                <a:cs typeface="Arial" pitchFamily="34" charset="0"/>
              </a:defRPr>
            </a:pPr>
            <a:endParaRPr lang="en-US"/>
          </a:p>
        </c:txPr>
        <c:crossAx val="350265736"/>
        <c:crosses val="autoZero"/>
        <c:auto val="1"/>
        <c:lblAlgn val="ctr"/>
        <c:lblOffset val="100"/>
        <c:noMultiLvlLbl val="0"/>
      </c:catAx>
      <c:valAx>
        <c:axId val="350265736"/>
        <c:scaling>
          <c:orientation val="minMax"/>
        </c:scaling>
        <c:delete val="0"/>
        <c:axPos val="l"/>
        <c:majorGridlines/>
        <c:numFmt formatCode="0%" sourceLinked="1"/>
        <c:majorTickMark val="out"/>
        <c:minorTickMark val="none"/>
        <c:tickLblPos val="nextTo"/>
        <c:txPr>
          <a:bodyPr/>
          <a:lstStyle/>
          <a:p>
            <a:pPr>
              <a:defRPr sz="800"/>
            </a:pPr>
            <a:endParaRPr lang="en-US"/>
          </a:p>
        </c:txPr>
        <c:crossAx val="46384704"/>
        <c:crosses val="autoZero"/>
        <c:crossBetween val="between"/>
      </c:valAx>
    </c:plotArea>
    <c:legend>
      <c:legendPos val="t"/>
      <c:layout>
        <c:manualLayout>
          <c:xMode val="edge"/>
          <c:yMode val="edge"/>
          <c:x val="0.10359847053667232"/>
          <c:y val="0.24176218479019237"/>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8BEF-2A19-476B-9A14-018D7759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Olson</dc:creator>
  <cp:keywords/>
  <dc:description/>
  <cp:lastModifiedBy>Young, Neal (DEED)</cp:lastModifiedBy>
  <cp:revision>2</cp:revision>
  <cp:lastPrinted>2019-07-02T17:16:00Z</cp:lastPrinted>
  <dcterms:created xsi:type="dcterms:W3CDTF">2021-07-19T20:26:00Z</dcterms:created>
  <dcterms:modified xsi:type="dcterms:W3CDTF">2021-07-19T20:26:00Z</dcterms:modified>
</cp:coreProperties>
</file>