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02845765" w:displacedByCustomXml="next"/>
    <w:sdt>
      <w:sdtPr>
        <w:rPr>
          <w:rFonts w:asciiTheme="minorHAnsi" w:hAnsiTheme="minorHAnsi"/>
          <w:b/>
          <w:bCs/>
        </w:rPr>
        <w:id w:val="10729564"/>
        <w:docPartObj>
          <w:docPartGallery w:val="Cover Pages"/>
          <w:docPartUnique/>
        </w:docPartObj>
      </w:sdtPr>
      <w:sdtEndPr>
        <w:rPr>
          <w:b w:val="0"/>
          <w:bCs w:val="0"/>
          <w:sz w:val="2"/>
          <w:szCs w:val="2"/>
        </w:rPr>
      </w:sdtEndPr>
      <w:sdtContent>
        <w:p w14:paraId="210DBFF9" w14:textId="77777777" w:rsidR="00332942" w:rsidRDefault="00332942" w:rsidP="00332942">
          <w:pPr>
            <w:widowControl w:val="0"/>
            <w:pBdr>
              <w:top w:val="nil"/>
              <w:left w:val="nil"/>
              <w:bottom w:val="nil"/>
              <w:right w:val="nil"/>
              <w:between w:val="nil"/>
            </w:pBdr>
            <w:spacing w:before="0" w:line="276" w:lineRule="auto"/>
          </w:pPr>
        </w:p>
        <w:p w14:paraId="278A885A" w14:textId="77777777" w:rsidR="00332942" w:rsidRDefault="00332942" w:rsidP="00332942">
          <w:pPr>
            <w:pBdr>
              <w:bottom w:val="single" w:sz="6" w:space="1" w:color="000000"/>
            </w:pBdr>
            <w:jc w:val="right"/>
            <w:rPr>
              <w:highlight w:val="yellow"/>
            </w:rPr>
          </w:pPr>
          <w:r>
            <w:rPr>
              <w:noProof/>
              <w:highlight w:val="yellow"/>
            </w:rPr>
            <w:drawing>
              <wp:inline distT="0" distB="0" distL="0" distR="0" wp14:anchorId="2B89F660" wp14:editId="66BD8E80">
                <wp:extent cx="4129405" cy="777240"/>
                <wp:effectExtent l="0" t="0" r="0" b="0"/>
                <wp:docPr id="2" name="image1.jpg"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0" name="image1.jpg" descr="Minnesota Department of Employment and Economic Development"/>
                        <pic:cNvPicPr preferRelativeResize="0"/>
                      </pic:nvPicPr>
                      <pic:blipFill>
                        <a:blip r:embed="rId8"/>
                        <a:srcRect/>
                        <a:stretch>
                          <a:fillRect/>
                        </a:stretch>
                      </pic:blipFill>
                      <pic:spPr>
                        <a:xfrm>
                          <a:off x="0" y="0"/>
                          <a:ext cx="4129405" cy="777240"/>
                        </a:xfrm>
                        <a:prstGeom prst="rect">
                          <a:avLst/>
                        </a:prstGeom>
                        <a:ln/>
                      </pic:spPr>
                    </pic:pic>
                  </a:graphicData>
                </a:graphic>
              </wp:inline>
            </w:drawing>
          </w:r>
        </w:p>
        <w:p w14:paraId="089DB6D2" w14:textId="19887ABE" w:rsidR="00332942" w:rsidRPr="00332942" w:rsidRDefault="00332942" w:rsidP="00332942">
          <w:pPr>
            <w:pStyle w:val="Default"/>
            <w:rPr>
              <w:b/>
              <w:bCs/>
              <w:color w:val="003865"/>
              <w:sz w:val="40"/>
              <w:szCs w:val="40"/>
            </w:rPr>
          </w:pPr>
          <w:bookmarkStart w:id="1" w:name="_heading=h.gjdgxs" w:colFirst="0" w:colLast="0"/>
          <w:bookmarkEnd w:id="1"/>
          <w:r w:rsidRPr="00332942">
            <w:rPr>
              <w:b/>
              <w:bCs/>
              <w:color w:val="003865"/>
              <w:sz w:val="40"/>
              <w:szCs w:val="40"/>
            </w:rPr>
            <w:t xml:space="preserve">SFY 21 </w:t>
          </w:r>
          <w:proofErr w:type="spellStart"/>
          <w:r w:rsidRPr="00332942">
            <w:rPr>
              <w:b/>
              <w:bCs/>
              <w:color w:val="003865"/>
              <w:sz w:val="40"/>
              <w:szCs w:val="40"/>
            </w:rPr>
            <w:t>Comunidades</w:t>
          </w:r>
          <w:proofErr w:type="spellEnd"/>
          <w:r w:rsidRPr="00332942">
            <w:rPr>
              <w:b/>
              <w:bCs/>
              <w:color w:val="003865"/>
              <w:sz w:val="40"/>
              <w:szCs w:val="40"/>
            </w:rPr>
            <w:t xml:space="preserve"> Latinas Unidas En Servicio, Inc. (CLUES)  Direct Appropriation</w:t>
          </w:r>
        </w:p>
        <w:p w14:paraId="257B4CC4" w14:textId="77777777" w:rsidR="00332942" w:rsidRDefault="00332942" w:rsidP="00332942">
          <w:pPr>
            <w:jc w:val="right"/>
            <w:rPr>
              <w:color w:val="003865"/>
              <w:sz w:val="28"/>
              <w:szCs w:val="28"/>
            </w:rPr>
          </w:pPr>
          <w:r>
            <w:rPr>
              <w:color w:val="003865"/>
              <w:sz w:val="28"/>
              <w:szCs w:val="28"/>
            </w:rPr>
            <w:t>Final Report</w:t>
          </w:r>
        </w:p>
        <w:p w14:paraId="063CB0B5" w14:textId="7F0C67F6" w:rsidR="00332942" w:rsidRDefault="00332942" w:rsidP="00332942">
          <w:pPr>
            <w:pBdr>
              <w:bottom w:val="single" w:sz="4" w:space="15" w:color="000000"/>
            </w:pBdr>
            <w:jc w:val="right"/>
            <w:rPr>
              <w:color w:val="003865"/>
              <w:sz w:val="28"/>
              <w:szCs w:val="28"/>
            </w:rPr>
            <w:sectPr w:rsidR="00332942" w:rsidSect="00332942">
              <w:footerReference w:type="default" r:id="rId9"/>
              <w:footerReference w:type="first" r:id="rId10"/>
              <w:type w:val="continuous"/>
              <w:pgSz w:w="12240" w:h="15840"/>
              <w:pgMar w:top="1728" w:right="1080" w:bottom="1440" w:left="1080" w:header="0" w:footer="504" w:gutter="0"/>
              <w:pgNumType w:start="1"/>
              <w:cols w:space="720"/>
              <w:titlePg/>
            </w:sectPr>
          </w:pPr>
          <w:bookmarkStart w:id="2" w:name="_heading=h.1fob9te" w:colFirst="0" w:colLast="0"/>
          <w:bookmarkEnd w:id="2"/>
          <w:r>
            <w:rPr>
              <w:color w:val="003865"/>
              <w:sz w:val="28"/>
              <w:szCs w:val="28"/>
            </w:rPr>
            <w:t>1/14/2021</w:t>
          </w:r>
        </w:p>
        <w:p w14:paraId="6153B764" w14:textId="77777777" w:rsidR="00332942" w:rsidRDefault="00332942" w:rsidP="00332942">
          <w:r>
            <w:lastRenderedPageBreak/>
            <w:t>Minnesota Department of Employment and Economic Development</w:t>
          </w:r>
          <w:r>
            <w:br/>
            <w:t>Employment and Training Programs Division</w:t>
          </w:r>
        </w:p>
        <w:p w14:paraId="63AF5489" w14:textId="77777777" w:rsidR="00332942" w:rsidRDefault="00332942" w:rsidP="00332942">
          <w:r>
            <w:t xml:space="preserve">332 Minnesota Street, Suite E200 </w:t>
          </w:r>
          <w:r>
            <w:br/>
            <w:t>St.  Paul, MN 55101</w:t>
          </w:r>
        </w:p>
        <w:p w14:paraId="584B0A79" w14:textId="77777777" w:rsidR="00332942" w:rsidRDefault="00332942" w:rsidP="00332942">
          <w:pPr>
            <w:rPr>
              <w:color w:val="0563C1"/>
              <w:u w:val="single"/>
            </w:rPr>
          </w:pPr>
          <w:r>
            <w:t xml:space="preserve">Kay Tracy, Director </w:t>
          </w:r>
          <w:r>
            <w:br/>
            <w:t xml:space="preserve">(Phone) 651-259-7555 </w:t>
          </w:r>
          <w:r>
            <w:br/>
          </w:r>
          <w:hyperlink r:id="rId11">
            <w:r>
              <w:rPr>
                <w:color w:val="0563C1"/>
                <w:u w:val="single"/>
              </w:rPr>
              <w:t>Kay.Tracy@state.mn.us</w:t>
            </w:r>
          </w:hyperlink>
        </w:p>
        <w:p w14:paraId="51DDA3B7" w14:textId="77777777" w:rsidR="00332942" w:rsidRDefault="00EC082F" w:rsidP="00332942">
          <w:pPr>
            <w:rPr>
              <w:color w:val="000000"/>
            </w:rPr>
          </w:pPr>
          <w:hyperlink r:id="rId12">
            <w:r w:rsidR="00332942">
              <w:rPr>
                <w:color w:val="0563C1"/>
                <w:u w:val="single"/>
              </w:rPr>
              <w:t>mn.gov/deed</w:t>
            </w:r>
          </w:hyperlink>
          <w:r w:rsidR="00332942">
            <w:fldChar w:fldCharType="begin"/>
          </w:r>
          <w:r w:rsidR="00332942">
            <w:instrText xml:space="preserve"> HYPERLINK "https://mn.gov/deed/" </w:instrText>
          </w:r>
          <w:r w:rsidR="00332942">
            <w:fldChar w:fldCharType="separate"/>
          </w:r>
        </w:p>
        <w:p w14:paraId="3EDE8291" w14:textId="01915330" w:rsidR="00332942" w:rsidRDefault="00332942" w:rsidP="00332942">
          <w:r>
            <w:fldChar w:fldCharType="end"/>
          </w:r>
          <w:r>
            <w:t xml:space="preserve">As requested by Minnesota Statute 3.197: This report cost approximately $175 to prepare, including staff time, </w:t>
          </w:r>
          <w:proofErr w:type="gramStart"/>
          <w:r>
            <w:t>printing</w:t>
          </w:r>
          <w:proofErr w:type="gramEnd"/>
          <w:r>
            <w:t xml:space="preserve"> and mailing expenses.</w:t>
          </w:r>
        </w:p>
        <w:p w14:paraId="6B3A1CA5" w14:textId="77777777" w:rsidR="00332942" w:rsidRDefault="00332942" w:rsidP="00332942">
          <w:pPr>
            <w:rPr>
              <w:i/>
            </w:rPr>
          </w:pPr>
          <w:r>
            <w:rPr>
              <w:i/>
            </w:rPr>
            <w:t xml:space="preserve">Upon request, this material will be made available in an alternative format such as large print, </w:t>
          </w:r>
          <w:proofErr w:type="gramStart"/>
          <w:r>
            <w:rPr>
              <w:i/>
            </w:rPr>
            <w:t>Braille</w:t>
          </w:r>
          <w:proofErr w:type="gramEnd"/>
          <w:r>
            <w:rPr>
              <w:i/>
            </w:rPr>
            <w:t xml:space="preserve"> or audio recording.  Printed on recycled paper.</w:t>
          </w:r>
        </w:p>
        <w:p w14:paraId="0A78A4BE" w14:textId="77777777" w:rsidR="00332942" w:rsidRDefault="00332942" w:rsidP="00332942">
          <w:pPr>
            <w:rPr>
              <w:i/>
            </w:rPr>
          </w:pPr>
        </w:p>
        <w:p w14:paraId="7943BB68" w14:textId="2F69D762" w:rsidR="00332942" w:rsidRDefault="00332942" w:rsidP="00332942">
          <w:pPr>
            <w:rPr>
              <w:i/>
            </w:rPr>
            <w:sectPr w:rsidR="00332942">
              <w:pgSz w:w="12240" w:h="15840"/>
              <w:pgMar w:top="1728" w:right="1080" w:bottom="1440" w:left="1080" w:header="0" w:footer="504" w:gutter="0"/>
              <w:cols w:space="720"/>
              <w:titlePg/>
            </w:sectPr>
          </w:pPr>
        </w:p>
        <w:p w14:paraId="3679709B" w14:textId="77777777" w:rsidR="00332942" w:rsidRDefault="00332942" w:rsidP="00332942">
          <w:pPr>
            <w:pStyle w:val="Heading2"/>
          </w:pPr>
          <w:bookmarkStart w:id="3" w:name="_Toc93049828"/>
          <w:r>
            <w:t>Contents</w:t>
          </w:r>
          <w:bookmarkEnd w:id="3"/>
        </w:p>
        <w:bookmarkStart w:id="4" w:name="_heading=h.3znysh7" w:colFirst="0" w:colLast="0" w:displacedByCustomXml="next"/>
        <w:bookmarkEnd w:id="4" w:displacedByCustomXml="next"/>
        <w:sdt>
          <w:sdtPr>
            <w:rPr>
              <w:rFonts w:eastAsia="Calibri" w:cs="Calibri"/>
              <w:b/>
            </w:rPr>
            <w:id w:val="-1507505914"/>
            <w:docPartObj>
              <w:docPartGallery w:val="Table of Contents"/>
              <w:docPartUnique/>
            </w:docPartObj>
          </w:sdtPr>
          <w:sdtEndPr>
            <w:rPr>
              <w:rFonts w:eastAsia="Times New Roman" w:cs="Times New Roman"/>
              <w:b w:val="0"/>
            </w:rPr>
          </w:sdtEndPr>
          <w:sdtContent>
            <w:p w14:paraId="30EB2860" w14:textId="3FC3B479" w:rsidR="00332942" w:rsidRDefault="00332942">
              <w:pPr>
                <w:pStyle w:val="TOC2"/>
                <w:tabs>
                  <w:tab w:val="right" w:pos="10070"/>
                </w:tabs>
                <w:rPr>
                  <w:rFonts w:asciiTheme="minorHAnsi" w:eastAsiaTheme="minorEastAsia" w:hAnsiTheme="minorHAnsi" w:cstheme="minorBidi"/>
                  <w:noProof/>
                  <w:lang w:bidi="ar-SA"/>
                </w:rPr>
              </w:pPr>
              <w:r>
                <w:rPr>
                  <w:rFonts w:asciiTheme="minorHAnsi" w:eastAsiaTheme="majorEastAsia" w:hAnsiTheme="minorHAnsi" w:cstheme="majorBidi"/>
                  <w:b/>
                  <w:color w:val="003865" w:themeColor="accent1"/>
                  <w:sz w:val="32"/>
                  <w:szCs w:val="32"/>
                </w:rPr>
                <w:fldChar w:fldCharType="begin"/>
              </w:r>
              <w:r>
                <w:instrText xml:space="preserve"> TOC \h \u \z </w:instrText>
              </w:r>
              <w:r>
                <w:rPr>
                  <w:rFonts w:asciiTheme="minorHAnsi" w:eastAsiaTheme="majorEastAsia" w:hAnsiTheme="minorHAnsi" w:cstheme="majorBidi"/>
                  <w:b/>
                  <w:color w:val="003865" w:themeColor="accent1"/>
                  <w:sz w:val="32"/>
                  <w:szCs w:val="32"/>
                </w:rPr>
                <w:fldChar w:fldCharType="separate"/>
              </w:r>
              <w:hyperlink w:anchor="_Toc93049829" w:history="1">
                <w:r w:rsidRPr="00E44710">
                  <w:rPr>
                    <w:rStyle w:val="Hyperlink"/>
                    <w:rFonts w:eastAsiaTheme="majorEastAsia"/>
                    <w:noProof/>
                  </w:rPr>
                  <w:t>SFY 2021  CLUES Equity Direct Appropriation</w:t>
                </w:r>
                <w:r>
                  <w:rPr>
                    <w:noProof/>
                    <w:webHidden/>
                  </w:rPr>
                  <w:tab/>
                </w:r>
                <w:r>
                  <w:rPr>
                    <w:noProof/>
                    <w:webHidden/>
                  </w:rPr>
                  <w:fldChar w:fldCharType="begin"/>
                </w:r>
                <w:r>
                  <w:rPr>
                    <w:noProof/>
                    <w:webHidden/>
                  </w:rPr>
                  <w:instrText xml:space="preserve"> PAGEREF _Toc93049829 \h </w:instrText>
                </w:r>
                <w:r>
                  <w:rPr>
                    <w:noProof/>
                    <w:webHidden/>
                  </w:rPr>
                </w:r>
                <w:r>
                  <w:rPr>
                    <w:noProof/>
                    <w:webHidden/>
                  </w:rPr>
                  <w:fldChar w:fldCharType="separate"/>
                </w:r>
                <w:r>
                  <w:rPr>
                    <w:noProof/>
                    <w:webHidden/>
                  </w:rPr>
                  <w:t>3</w:t>
                </w:r>
                <w:r>
                  <w:rPr>
                    <w:noProof/>
                    <w:webHidden/>
                  </w:rPr>
                  <w:fldChar w:fldCharType="end"/>
                </w:r>
              </w:hyperlink>
            </w:p>
            <w:p w14:paraId="4878CB4F" w14:textId="30EEAB8A" w:rsidR="00332942" w:rsidRDefault="00EC082F">
              <w:pPr>
                <w:pStyle w:val="TOC3"/>
                <w:tabs>
                  <w:tab w:val="right" w:pos="10070"/>
                </w:tabs>
                <w:rPr>
                  <w:rFonts w:asciiTheme="minorHAnsi" w:eastAsiaTheme="minorEastAsia" w:hAnsiTheme="minorHAnsi" w:cstheme="minorBidi"/>
                  <w:noProof/>
                  <w:lang w:bidi="ar-SA"/>
                </w:rPr>
              </w:pPr>
              <w:hyperlink w:anchor="_Toc93049830" w:history="1">
                <w:r w:rsidR="00332942" w:rsidRPr="00E44710">
                  <w:rPr>
                    <w:rStyle w:val="Hyperlink"/>
                    <w:rFonts w:eastAsiaTheme="majorEastAsia"/>
                    <w:noProof/>
                  </w:rPr>
                  <w:t>Introduction</w:t>
                </w:r>
                <w:r w:rsidR="00332942">
                  <w:rPr>
                    <w:noProof/>
                    <w:webHidden/>
                  </w:rPr>
                  <w:tab/>
                </w:r>
                <w:r w:rsidR="00332942">
                  <w:rPr>
                    <w:noProof/>
                    <w:webHidden/>
                  </w:rPr>
                  <w:fldChar w:fldCharType="begin"/>
                </w:r>
                <w:r w:rsidR="00332942">
                  <w:rPr>
                    <w:noProof/>
                    <w:webHidden/>
                  </w:rPr>
                  <w:instrText xml:space="preserve"> PAGEREF _Toc93049830 \h </w:instrText>
                </w:r>
                <w:r w:rsidR="00332942">
                  <w:rPr>
                    <w:noProof/>
                    <w:webHidden/>
                  </w:rPr>
                </w:r>
                <w:r w:rsidR="00332942">
                  <w:rPr>
                    <w:noProof/>
                    <w:webHidden/>
                  </w:rPr>
                  <w:fldChar w:fldCharType="separate"/>
                </w:r>
                <w:r w:rsidR="00332942">
                  <w:rPr>
                    <w:noProof/>
                    <w:webHidden/>
                  </w:rPr>
                  <w:t>3</w:t>
                </w:r>
                <w:r w:rsidR="00332942">
                  <w:rPr>
                    <w:noProof/>
                    <w:webHidden/>
                  </w:rPr>
                  <w:fldChar w:fldCharType="end"/>
                </w:r>
              </w:hyperlink>
            </w:p>
            <w:p w14:paraId="5D1C66C5" w14:textId="2797DA75" w:rsidR="00332942" w:rsidRDefault="00EC082F">
              <w:pPr>
                <w:pStyle w:val="TOC4"/>
                <w:tabs>
                  <w:tab w:val="right" w:pos="10070"/>
                </w:tabs>
                <w:rPr>
                  <w:noProof/>
                </w:rPr>
              </w:pPr>
              <w:hyperlink w:anchor="_Toc93049831" w:history="1">
                <w:r w:rsidR="00332942" w:rsidRPr="00E44710">
                  <w:rPr>
                    <w:rStyle w:val="Hyperlink"/>
                    <w:rFonts w:eastAsiaTheme="majorEastAsia"/>
                    <w:noProof/>
                  </w:rPr>
                  <w:t>Legislative Appropriation Reference</w:t>
                </w:r>
                <w:r w:rsidR="00332942">
                  <w:rPr>
                    <w:noProof/>
                    <w:webHidden/>
                  </w:rPr>
                  <w:tab/>
                </w:r>
                <w:r w:rsidR="00332942">
                  <w:rPr>
                    <w:noProof/>
                    <w:webHidden/>
                  </w:rPr>
                  <w:fldChar w:fldCharType="begin"/>
                </w:r>
                <w:r w:rsidR="00332942">
                  <w:rPr>
                    <w:noProof/>
                    <w:webHidden/>
                  </w:rPr>
                  <w:instrText xml:space="preserve"> PAGEREF _Toc93049831 \h </w:instrText>
                </w:r>
                <w:r w:rsidR="00332942">
                  <w:rPr>
                    <w:noProof/>
                    <w:webHidden/>
                  </w:rPr>
                </w:r>
                <w:r w:rsidR="00332942">
                  <w:rPr>
                    <w:noProof/>
                    <w:webHidden/>
                  </w:rPr>
                  <w:fldChar w:fldCharType="separate"/>
                </w:r>
                <w:r w:rsidR="00332942">
                  <w:rPr>
                    <w:noProof/>
                    <w:webHidden/>
                  </w:rPr>
                  <w:t>3</w:t>
                </w:r>
                <w:r w:rsidR="00332942">
                  <w:rPr>
                    <w:noProof/>
                    <w:webHidden/>
                  </w:rPr>
                  <w:fldChar w:fldCharType="end"/>
                </w:r>
              </w:hyperlink>
            </w:p>
            <w:p w14:paraId="259F81F0" w14:textId="1DC28943" w:rsidR="00332942" w:rsidRDefault="00EC082F">
              <w:pPr>
                <w:pStyle w:val="TOC4"/>
                <w:tabs>
                  <w:tab w:val="right" w:pos="10070"/>
                </w:tabs>
                <w:rPr>
                  <w:noProof/>
                </w:rPr>
              </w:pPr>
              <w:hyperlink w:anchor="_Toc93049832" w:history="1">
                <w:r w:rsidR="00332942" w:rsidRPr="00E44710">
                  <w:rPr>
                    <w:rStyle w:val="Hyperlink"/>
                    <w:rFonts w:eastAsiaTheme="majorEastAsia"/>
                    <w:noProof/>
                  </w:rPr>
                  <w:t>Appropriation</w:t>
                </w:r>
                <w:r w:rsidR="00332942">
                  <w:rPr>
                    <w:noProof/>
                    <w:webHidden/>
                  </w:rPr>
                  <w:tab/>
                </w:r>
                <w:r w:rsidR="00332942">
                  <w:rPr>
                    <w:noProof/>
                    <w:webHidden/>
                  </w:rPr>
                  <w:fldChar w:fldCharType="begin"/>
                </w:r>
                <w:r w:rsidR="00332942">
                  <w:rPr>
                    <w:noProof/>
                    <w:webHidden/>
                  </w:rPr>
                  <w:instrText xml:space="preserve"> PAGEREF _Toc93049832 \h </w:instrText>
                </w:r>
                <w:r w:rsidR="00332942">
                  <w:rPr>
                    <w:noProof/>
                    <w:webHidden/>
                  </w:rPr>
                </w:r>
                <w:r w:rsidR="00332942">
                  <w:rPr>
                    <w:noProof/>
                    <w:webHidden/>
                  </w:rPr>
                  <w:fldChar w:fldCharType="separate"/>
                </w:r>
                <w:r w:rsidR="00332942">
                  <w:rPr>
                    <w:noProof/>
                    <w:webHidden/>
                  </w:rPr>
                  <w:t>3</w:t>
                </w:r>
                <w:r w:rsidR="00332942">
                  <w:rPr>
                    <w:noProof/>
                    <w:webHidden/>
                  </w:rPr>
                  <w:fldChar w:fldCharType="end"/>
                </w:r>
              </w:hyperlink>
            </w:p>
            <w:p w14:paraId="73489D04" w14:textId="570F19E6" w:rsidR="00332942" w:rsidRDefault="00EC082F">
              <w:pPr>
                <w:pStyle w:val="TOC3"/>
                <w:tabs>
                  <w:tab w:val="right" w:pos="10070"/>
                </w:tabs>
                <w:rPr>
                  <w:rFonts w:asciiTheme="minorHAnsi" w:eastAsiaTheme="minorEastAsia" w:hAnsiTheme="minorHAnsi" w:cstheme="minorBidi"/>
                  <w:noProof/>
                  <w:lang w:bidi="ar-SA"/>
                </w:rPr>
              </w:pPr>
              <w:hyperlink w:anchor="_Toc93049833" w:history="1">
                <w:r w:rsidR="00332942" w:rsidRPr="00E44710">
                  <w:rPr>
                    <w:rStyle w:val="Hyperlink"/>
                    <w:rFonts w:eastAsiaTheme="majorEastAsia"/>
                    <w:noProof/>
                  </w:rPr>
                  <w:t>Summary of Goals and Objectives Presented in the Work Plan</w:t>
                </w:r>
                <w:r w:rsidR="00332942">
                  <w:rPr>
                    <w:noProof/>
                    <w:webHidden/>
                  </w:rPr>
                  <w:tab/>
                </w:r>
                <w:r w:rsidR="00332942">
                  <w:rPr>
                    <w:noProof/>
                    <w:webHidden/>
                  </w:rPr>
                  <w:fldChar w:fldCharType="begin"/>
                </w:r>
                <w:r w:rsidR="00332942">
                  <w:rPr>
                    <w:noProof/>
                    <w:webHidden/>
                  </w:rPr>
                  <w:instrText xml:space="preserve"> PAGEREF _Toc93049833 \h </w:instrText>
                </w:r>
                <w:r w:rsidR="00332942">
                  <w:rPr>
                    <w:noProof/>
                    <w:webHidden/>
                  </w:rPr>
                </w:r>
                <w:r w:rsidR="00332942">
                  <w:rPr>
                    <w:noProof/>
                    <w:webHidden/>
                  </w:rPr>
                  <w:fldChar w:fldCharType="separate"/>
                </w:r>
                <w:r w:rsidR="00332942">
                  <w:rPr>
                    <w:noProof/>
                    <w:webHidden/>
                  </w:rPr>
                  <w:t>3</w:t>
                </w:r>
                <w:r w:rsidR="00332942">
                  <w:rPr>
                    <w:noProof/>
                    <w:webHidden/>
                  </w:rPr>
                  <w:fldChar w:fldCharType="end"/>
                </w:r>
              </w:hyperlink>
            </w:p>
            <w:p w14:paraId="43BC9192" w14:textId="6B7620E9" w:rsidR="00332942" w:rsidRDefault="00EC082F">
              <w:pPr>
                <w:pStyle w:val="TOC4"/>
                <w:tabs>
                  <w:tab w:val="right" w:pos="10070"/>
                </w:tabs>
                <w:rPr>
                  <w:noProof/>
                </w:rPr>
              </w:pPr>
              <w:hyperlink w:anchor="_Toc93049834" w:history="1">
                <w:r w:rsidR="00332942" w:rsidRPr="00E44710">
                  <w:rPr>
                    <w:rStyle w:val="Hyperlink"/>
                    <w:rFonts w:eastAsiaTheme="majorEastAsia"/>
                    <w:noProof/>
                  </w:rPr>
                  <w:t>Adult and Youth Programming</w:t>
                </w:r>
                <w:r w:rsidR="00332942">
                  <w:rPr>
                    <w:noProof/>
                    <w:webHidden/>
                  </w:rPr>
                  <w:tab/>
                </w:r>
                <w:r w:rsidR="00332942">
                  <w:rPr>
                    <w:noProof/>
                    <w:webHidden/>
                  </w:rPr>
                  <w:fldChar w:fldCharType="begin"/>
                </w:r>
                <w:r w:rsidR="00332942">
                  <w:rPr>
                    <w:noProof/>
                    <w:webHidden/>
                  </w:rPr>
                  <w:instrText xml:space="preserve"> PAGEREF _Toc93049834 \h </w:instrText>
                </w:r>
                <w:r w:rsidR="00332942">
                  <w:rPr>
                    <w:noProof/>
                    <w:webHidden/>
                  </w:rPr>
                </w:r>
                <w:r w:rsidR="00332942">
                  <w:rPr>
                    <w:noProof/>
                    <w:webHidden/>
                  </w:rPr>
                  <w:fldChar w:fldCharType="separate"/>
                </w:r>
                <w:r w:rsidR="00332942">
                  <w:rPr>
                    <w:noProof/>
                    <w:webHidden/>
                  </w:rPr>
                  <w:t>4</w:t>
                </w:r>
                <w:r w:rsidR="00332942">
                  <w:rPr>
                    <w:noProof/>
                    <w:webHidden/>
                  </w:rPr>
                  <w:fldChar w:fldCharType="end"/>
                </w:r>
              </w:hyperlink>
            </w:p>
            <w:p w14:paraId="34297644" w14:textId="517878EE" w:rsidR="00332942" w:rsidRDefault="00EC082F">
              <w:pPr>
                <w:pStyle w:val="TOC4"/>
                <w:tabs>
                  <w:tab w:val="right" w:pos="10070"/>
                </w:tabs>
                <w:rPr>
                  <w:noProof/>
                </w:rPr>
              </w:pPr>
              <w:hyperlink w:anchor="_Toc93049835" w:history="1">
                <w:r w:rsidR="00332942" w:rsidRPr="00E44710">
                  <w:rPr>
                    <w:rStyle w:val="Hyperlink"/>
                    <w:rFonts w:eastAsiaTheme="majorEastAsia"/>
                    <w:noProof/>
                  </w:rPr>
                  <w:t>Career Pathways Services and Performance</w:t>
                </w:r>
                <w:r w:rsidR="00332942">
                  <w:rPr>
                    <w:noProof/>
                    <w:webHidden/>
                  </w:rPr>
                  <w:tab/>
                </w:r>
                <w:r w:rsidR="00332942">
                  <w:rPr>
                    <w:noProof/>
                    <w:webHidden/>
                  </w:rPr>
                  <w:fldChar w:fldCharType="begin"/>
                </w:r>
                <w:r w:rsidR="00332942">
                  <w:rPr>
                    <w:noProof/>
                    <w:webHidden/>
                  </w:rPr>
                  <w:instrText xml:space="preserve"> PAGEREF _Toc93049835 \h </w:instrText>
                </w:r>
                <w:r w:rsidR="00332942">
                  <w:rPr>
                    <w:noProof/>
                    <w:webHidden/>
                  </w:rPr>
                </w:r>
                <w:r w:rsidR="00332942">
                  <w:rPr>
                    <w:noProof/>
                    <w:webHidden/>
                  </w:rPr>
                  <w:fldChar w:fldCharType="separate"/>
                </w:r>
                <w:r w:rsidR="00332942">
                  <w:rPr>
                    <w:noProof/>
                    <w:webHidden/>
                  </w:rPr>
                  <w:t>4</w:t>
                </w:r>
                <w:r w:rsidR="00332942">
                  <w:rPr>
                    <w:noProof/>
                    <w:webHidden/>
                  </w:rPr>
                  <w:fldChar w:fldCharType="end"/>
                </w:r>
              </w:hyperlink>
            </w:p>
            <w:p w14:paraId="35AADB95" w14:textId="4F75C209" w:rsidR="00332942" w:rsidRDefault="00EC082F">
              <w:pPr>
                <w:pStyle w:val="TOC4"/>
                <w:tabs>
                  <w:tab w:val="right" w:pos="10070"/>
                </w:tabs>
                <w:rPr>
                  <w:noProof/>
                </w:rPr>
              </w:pPr>
              <w:hyperlink w:anchor="_Toc93049836" w:history="1">
                <w:r w:rsidR="00332942" w:rsidRPr="00E44710">
                  <w:rPr>
                    <w:rStyle w:val="Hyperlink"/>
                    <w:rFonts w:eastAsiaTheme="majorEastAsia"/>
                    <w:noProof/>
                  </w:rPr>
                  <w:t>Culturally Responsive Support Services</w:t>
                </w:r>
                <w:r w:rsidR="00332942">
                  <w:rPr>
                    <w:noProof/>
                    <w:webHidden/>
                  </w:rPr>
                  <w:tab/>
                </w:r>
                <w:r w:rsidR="00332942">
                  <w:rPr>
                    <w:noProof/>
                    <w:webHidden/>
                  </w:rPr>
                  <w:fldChar w:fldCharType="begin"/>
                </w:r>
                <w:r w:rsidR="00332942">
                  <w:rPr>
                    <w:noProof/>
                    <w:webHidden/>
                  </w:rPr>
                  <w:instrText xml:space="preserve"> PAGEREF _Toc93049836 \h </w:instrText>
                </w:r>
                <w:r w:rsidR="00332942">
                  <w:rPr>
                    <w:noProof/>
                    <w:webHidden/>
                  </w:rPr>
                </w:r>
                <w:r w:rsidR="00332942">
                  <w:rPr>
                    <w:noProof/>
                    <w:webHidden/>
                  </w:rPr>
                  <w:fldChar w:fldCharType="separate"/>
                </w:r>
                <w:r w:rsidR="00332942">
                  <w:rPr>
                    <w:noProof/>
                    <w:webHidden/>
                  </w:rPr>
                  <w:t>5</w:t>
                </w:r>
                <w:r w:rsidR="00332942">
                  <w:rPr>
                    <w:noProof/>
                    <w:webHidden/>
                  </w:rPr>
                  <w:fldChar w:fldCharType="end"/>
                </w:r>
              </w:hyperlink>
            </w:p>
            <w:p w14:paraId="76B6A48A" w14:textId="4859BB53" w:rsidR="00332942" w:rsidRDefault="00EC082F">
              <w:pPr>
                <w:pStyle w:val="TOC4"/>
                <w:tabs>
                  <w:tab w:val="right" w:pos="10070"/>
                </w:tabs>
                <w:rPr>
                  <w:noProof/>
                </w:rPr>
              </w:pPr>
              <w:hyperlink w:anchor="_Toc93049837" w:history="1">
                <w:r w:rsidR="00332942" w:rsidRPr="00E44710">
                  <w:rPr>
                    <w:rStyle w:val="Hyperlink"/>
                    <w:rFonts w:eastAsiaTheme="majorEastAsia"/>
                    <w:noProof/>
                  </w:rPr>
                  <w:t>Data Elements and Performance Indicators Being Collected and Reported</w:t>
                </w:r>
                <w:r w:rsidR="00332942">
                  <w:rPr>
                    <w:noProof/>
                    <w:webHidden/>
                  </w:rPr>
                  <w:tab/>
                </w:r>
                <w:r w:rsidR="00332942">
                  <w:rPr>
                    <w:noProof/>
                    <w:webHidden/>
                  </w:rPr>
                  <w:fldChar w:fldCharType="begin"/>
                </w:r>
                <w:r w:rsidR="00332942">
                  <w:rPr>
                    <w:noProof/>
                    <w:webHidden/>
                  </w:rPr>
                  <w:instrText xml:space="preserve"> PAGEREF _Toc93049837 \h </w:instrText>
                </w:r>
                <w:r w:rsidR="00332942">
                  <w:rPr>
                    <w:noProof/>
                    <w:webHidden/>
                  </w:rPr>
                </w:r>
                <w:r w:rsidR="00332942">
                  <w:rPr>
                    <w:noProof/>
                    <w:webHidden/>
                  </w:rPr>
                  <w:fldChar w:fldCharType="separate"/>
                </w:r>
                <w:r w:rsidR="00332942">
                  <w:rPr>
                    <w:noProof/>
                    <w:webHidden/>
                  </w:rPr>
                  <w:t>5</w:t>
                </w:r>
                <w:r w:rsidR="00332942">
                  <w:rPr>
                    <w:noProof/>
                    <w:webHidden/>
                  </w:rPr>
                  <w:fldChar w:fldCharType="end"/>
                </w:r>
              </w:hyperlink>
            </w:p>
            <w:p w14:paraId="57D331ED" w14:textId="06891D00" w:rsidR="00332942" w:rsidRDefault="00EC082F">
              <w:pPr>
                <w:pStyle w:val="TOC3"/>
                <w:tabs>
                  <w:tab w:val="right" w:pos="10070"/>
                </w:tabs>
                <w:rPr>
                  <w:rFonts w:asciiTheme="minorHAnsi" w:eastAsiaTheme="minorEastAsia" w:hAnsiTheme="minorHAnsi" w:cstheme="minorBidi"/>
                  <w:noProof/>
                  <w:lang w:bidi="ar-SA"/>
                </w:rPr>
              </w:pPr>
              <w:hyperlink w:anchor="_Toc93049838" w:history="1">
                <w:r w:rsidR="00332942" w:rsidRPr="00E44710">
                  <w:rPr>
                    <w:rStyle w:val="Hyperlink"/>
                    <w:rFonts w:eastAsiaTheme="majorEastAsia"/>
                    <w:noProof/>
                  </w:rPr>
                  <w:t>Grant Outcomes</w:t>
                </w:r>
                <w:r w:rsidR="00332942">
                  <w:rPr>
                    <w:noProof/>
                    <w:webHidden/>
                  </w:rPr>
                  <w:tab/>
                </w:r>
                <w:r w:rsidR="00332942">
                  <w:rPr>
                    <w:noProof/>
                    <w:webHidden/>
                  </w:rPr>
                  <w:fldChar w:fldCharType="begin"/>
                </w:r>
                <w:r w:rsidR="00332942">
                  <w:rPr>
                    <w:noProof/>
                    <w:webHidden/>
                  </w:rPr>
                  <w:instrText xml:space="preserve"> PAGEREF _Toc93049838 \h </w:instrText>
                </w:r>
                <w:r w:rsidR="00332942">
                  <w:rPr>
                    <w:noProof/>
                    <w:webHidden/>
                  </w:rPr>
                </w:r>
                <w:r w:rsidR="00332942">
                  <w:rPr>
                    <w:noProof/>
                    <w:webHidden/>
                  </w:rPr>
                  <w:fldChar w:fldCharType="separate"/>
                </w:r>
                <w:r w:rsidR="00332942">
                  <w:rPr>
                    <w:noProof/>
                    <w:webHidden/>
                  </w:rPr>
                  <w:t>5</w:t>
                </w:r>
                <w:r w:rsidR="00332942">
                  <w:rPr>
                    <w:noProof/>
                    <w:webHidden/>
                  </w:rPr>
                  <w:fldChar w:fldCharType="end"/>
                </w:r>
              </w:hyperlink>
            </w:p>
            <w:p w14:paraId="5C2F2B3C" w14:textId="06EB5F58" w:rsidR="00332942" w:rsidRDefault="00EC082F">
              <w:pPr>
                <w:pStyle w:val="TOC3"/>
                <w:tabs>
                  <w:tab w:val="right" w:pos="10070"/>
                </w:tabs>
                <w:rPr>
                  <w:rFonts w:asciiTheme="minorHAnsi" w:eastAsiaTheme="minorEastAsia" w:hAnsiTheme="minorHAnsi" w:cstheme="minorBidi"/>
                  <w:noProof/>
                  <w:lang w:bidi="ar-SA"/>
                </w:rPr>
              </w:pPr>
              <w:hyperlink w:anchor="_Toc93049839" w:history="1">
                <w:r w:rsidR="00332942" w:rsidRPr="00E44710">
                  <w:rPr>
                    <w:rStyle w:val="Hyperlink"/>
                    <w:rFonts w:eastAsiaTheme="majorEastAsia"/>
                    <w:noProof/>
                  </w:rPr>
                  <w:t>Expenditures</w:t>
                </w:r>
                <w:r w:rsidR="00332942">
                  <w:rPr>
                    <w:noProof/>
                    <w:webHidden/>
                  </w:rPr>
                  <w:tab/>
                </w:r>
                <w:r w:rsidR="00332942">
                  <w:rPr>
                    <w:noProof/>
                    <w:webHidden/>
                  </w:rPr>
                  <w:fldChar w:fldCharType="begin"/>
                </w:r>
                <w:r w:rsidR="00332942">
                  <w:rPr>
                    <w:noProof/>
                    <w:webHidden/>
                  </w:rPr>
                  <w:instrText xml:space="preserve"> PAGEREF _Toc93049839 \h </w:instrText>
                </w:r>
                <w:r w:rsidR="00332942">
                  <w:rPr>
                    <w:noProof/>
                    <w:webHidden/>
                  </w:rPr>
                </w:r>
                <w:r w:rsidR="00332942">
                  <w:rPr>
                    <w:noProof/>
                    <w:webHidden/>
                  </w:rPr>
                  <w:fldChar w:fldCharType="separate"/>
                </w:r>
                <w:r w:rsidR="00332942">
                  <w:rPr>
                    <w:noProof/>
                    <w:webHidden/>
                  </w:rPr>
                  <w:t>9</w:t>
                </w:r>
                <w:r w:rsidR="00332942">
                  <w:rPr>
                    <w:noProof/>
                    <w:webHidden/>
                  </w:rPr>
                  <w:fldChar w:fldCharType="end"/>
                </w:r>
              </w:hyperlink>
            </w:p>
            <w:p w14:paraId="189A8A58" w14:textId="5FC4184F" w:rsidR="00332942" w:rsidRDefault="00EC082F">
              <w:pPr>
                <w:pStyle w:val="TOC4"/>
                <w:tabs>
                  <w:tab w:val="right" w:pos="10070"/>
                </w:tabs>
                <w:rPr>
                  <w:noProof/>
                </w:rPr>
              </w:pPr>
              <w:hyperlink w:anchor="_Toc93049840" w:history="1">
                <w:r w:rsidR="00332942" w:rsidRPr="00E44710">
                  <w:rPr>
                    <w:rStyle w:val="Hyperlink"/>
                    <w:rFonts w:eastAsiaTheme="majorEastAsia"/>
                    <w:noProof/>
                  </w:rPr>
                  <w:t>Expended Funds</w:t>
                </w:r>
                <w:r w:rsidR="00332942">
                  <w:rPr>
                    <w:noProof/>
                    <w:webHidden/>
                  </w:rPr>
                  <w:tab/>
                </w:r>
                <w:r w:rsidR="00332942">
                  <w:rPr>
                    <w:noProof/>
                    <w:webHidden/>
                  </w:rPr>
                  <w:fldChar w:fldCharType="begin"/>
                </w:r>
                <w:r w:rsidR="00332942">
                  <w:rPr>
                    <w:noProof/>
                    <w:webHidden/>
                  </w:rPr>
                  <w:instrText xml:space="preserve"> PAGEREF _Toc93049840 \h </w:instrText>
                </w:r>
                <w:r w:rsidR="00332942">
                  <w:rPr>
                    <w:noProof/>
                    <w:webHidden/>
                  </w:rPr>
                </w:r>
                <w:r w:rsidR="00332942">
                  <w:rPr>
                    <w:noProof/>
                    <w:webHidden/>
                  </w:rPr>
                  <w:fldChar w:fldCharType="separate"/>
                </w:r>
                <w:r w:rsidR="00332942">
                  <w:rPr>
                    <w:noProof/>
                    <w:webHidden/>
                  </w:rPr>
                  <w:t>9</w:t>
                </w:r>
                <w:r w:rsidR="00332942">
                  <w:rPr>
                    <w:noProof/>
                    <w:webHidden/>
                  </w:rPr>
                  <w:fldChar w:fldCharType="end"/>
                </w:r>
              </w:hyperlink>
            </w:p>
            <w:p w14:paraId="7BBA1ADF" w14:textId="4346FABF" w:rsidR="00332942" w:rsidRDefault="00EC082F">
              <w:pPr>
                <w:pStyle w:val="TOC3"/>
                <w:tabs>
                  <w:tab w:val="right" w:pos="10070"/>
                </w:tabs>
                <w:rPr>
                  <w:rFonts w:asciiTheme="minorHAnsi" w:eastAsiaTheme="minorEastAsia" w:hAnsiTheme="minorHAnsi" w:cstheme="minorBidi"/>
                  <w:noProof/>
                  <w:lang w:bidi="ar-SA"/>
                </w:rPr>
              </w:pPr>
              <w:hyperlink w:anchor="_Toc93049841" w:history="1">
                <w:r w:rsidR="00332942" w:rsidRPr="00E44710">
                  <w:rPr>
                    <w:rStyle w:val="Hyperlink"/>
                    <w:rFonts w:eastAsiaTheme="majorEastAsia"/>
                    <w:noProof/>
                  </w:rPr>
                  <w:t>New Grant Funds</w:t>
                </w:r>
                <w:r w:rsidR="00332942">
                  <w:rPr>
                    <w:noProof/>
                    <w:webHidden/>
                  </w:rPr>
                  <w:tab/>
                </w:r>
                <w:r w:rsidR="00332942">
                  <w:rPr>
                    <w:noProof/>
                    <w:webHidden/>
                  </w:rPr>
                  <w:fldChar w:fldCharType="begin"/>
                </w:r>
                <w:r w:rsidR="00332942">
                  <w:rPr>
                    <w:noProof/>
                    <w:webHidden/>
                  </w:rPr>
                  <w:instrText xml:space="preserve"> PAGEREF _Toc93049841 \h </w:instrText>
                </w:r>
                <w:r w:rsidR="00332942">
                  <w:rPr>
                    <w:noProof/>
                    <w:webHidden/>
                  </w:rPr>
                </w:r>
                <w:r w:rsidR="00332942">
                  <w:rPr>
                    <w:noProof/>
                    <w:webHidden/>
                  </w:rPr>
                  <w:fldChar w:fldCharType="separate"/>
                </w:r>
                <w:r w:rsidR="00332942">
                  <w:rPr>
                    <w:noProof/>
                    <w:webHidden/>
                  </w:rPr>
                  <w:t>9</w:t>
                </w:r>
                <w:r w:rsidR="00332942">
                  <w:rPr>
                    <w:noProof/>
                    <w:webHidden/>
                  </w:rPr>
                  <w:fldChar w:fldCharType="end"/>
                </w:r>
              </w:hyperlink>
            </w:p>
            <w:p w14:paraId="3AC85EAA" w14:textId="2DA5D31A" w:rsidR="00332942" w:rsidRDefault="00332942" w:rsidP="00332942">
              <w:pPr>
                <w:tabs>
                  <w:tab w:val="right" w:pos="10070"/>
                </w:tabs>
                <w:rPr>
                  <w:highlight w:val="yellow"/>
                </w:rPr>
              </w:pPr>
              <w:r>
                <w:fldChar w:fldCharType="end"/>
              </w:r>
            </w:p>
          </w:sdtContent>
        </w:sdt>
        <w:p w14:paraId="33E471CE" w14:textId="77777777" w:rsidR="00332942" w:rsidRDefault="00332942" w:rsidP="00332942">
          <w:pPr>
            <w:rPr>
              <w:highlight w:val="yellow"/>
            </w:rPr>
          </w:pPr>
          <w:r>
            <w:br w:type="page"/>
          </w:r>
        </w:p>
        <w:p w14:paraId="7B4D7630" w14:textId="5DEEC1B4" w:rsidR="00E41BD2" w:rsidRPr="00E41BD2" w:rsidRDefault="004F6F50" w:rsidP="00E41BD2">
          <w:pPr>
            <w:pStyle w:val="Heading2"/>
          </w:pPr>
          <w:bookmarkStart w:id="5" w:name="_Toc93049829"/>
          <w:r>
            <w:lastRenderedPageBreak/>
            <w:t>SFY 20</w:t>
          </w:r>
          <w:r w:rsidR="00FC1E7E">
            <w:t>2</w:t>
          </w:r>
          <w:r w:rsidR="003A664F">
            <w:t>1</w:t>
          </w:r>
          <w:r w:rsidR="00046EB6">
            <w:t xml:space="preserve"> </w:t>
          </w:r>
          <w:r>
            <w:t xml:space="preserve"> </w:t>
          </w:r>
          <w:r w:rsidR="00035E65">
            <w:t>CLUES</w:t>
          </w:r>
          <w:r>
            <w:t xml:space="preserve"> Equity Direct Appropriation</w:t>
          </w:r>
          <w:bookmarkEnd w:id="0"/>
          <w:bookmarkEnd w:id="5"/>
        </w:p>
        <w:p w14:paraId="65BC12A3" w14:textId="77777777" w:rsidR="007F7097" w:rsidRPr="00E41BD2" w:rsidRDefault="004F6F50" w:rsidP="00E41BD2">
          <w:pPr>
            <w:pStyle w:val="Heading3"/>
          </w:pPr>
          <w:bookmarkStart w:id="6" w:name="_Toc502845766"/>
          <w:bookmarkStart w:id="7" w:name="_Toc93049830"/>
          <w:r>
            <w:t>Introduction</w:t>
          </w:r>
          <w:bookmarkEnd w:id="6"/>
          <w:bookmarkEnd w:id="7"/>
        </w:p>
        <w:p w14:paraId="7B23D326" w14:textId="467EC010" w:rsidR="00035E65" w:rsidRDefault="00035E65" w:rsidP="00035E65">
          <w:r>
            <w:t xml:space="preserve">The Minnesota State Legislature appropriated funds during the </w:t>
          </w:r>
          <w:r w:rsidR="00E175F4">
            <w:t xml:space="preserve">2019 </w:t>
          </w:r>
          <w:r>
            <w:t xml:space="preserve">Legislative Session to </w:t>
          </w:r>
          <w:r w:rsidR="00D163FE">
            <w:t>Communidades</w:t>
          </w:r>
          <w:r>
            <w:t xml:space="preserve"> Latinas Unidas En Servicio (CLUES) to “expand culturally tailored programs that address employment and education skill gaps for working parents and underserved youth by providing new job skills training to stimulate higher wages for low-income people, family support systems designed to reduce intergenerational poverty, and youth programming to promote educational advancement and career pathways”. </w:t>
          </w:r>
        </w:p>
        <w:p w14:paraId="28685423" w14:textId="77777777" w:rsidR="00E41BD2" w:rsidRPr="00522425" w:rsidRDefault="00200B51" w:rsidP="00035E65">
          <w:pPr>
            <w:pStyle w:val="Heading4"/>
          </w:pPr>
          <w:bookmarkStart w:id="8" w:name="_Toc93049831"/>
          <w:r>
            <w:t>Legislative Appropriation Reference</w:t>
          </w:r>
          <w:bookmarkEnd w:id="8"/>
        </w:p>
        <w:p w14:paraId="45709BF4" w14:textId="0E530272" w:rsidR="00200B51" w:rsidRDefault="00200B51" w:rsidP="00200B51">
          <w:pPr>
            <w:rPr>
              <w:color w:val="FF0000"/>
            </w:rPr>
          </w:pPr>
          <w:r>
            <w:t>Funds for this project were appropriated in</w:t>
          </w:r>
          <w:r w:rsidRPr="00CF094E">
            <w:t xml:space="preserve"> </w:t>
          </w:r>
          <w:hyperlink r:id="rId13" w:history="1">
            <w:r w:rsidRPr="00A33823">
              <w:rPr>
                <w:rStyle w:val="Hyperlink"/>
              </w:rPr>
              <w:t>Minnesota Session Laws</w:t>
            </w:r>
            <w:r w:rsidR="00C02126" w:rsidRPr="00A33823">
              <w:rPr>
                <w:rStyle w:val="Hyperlink"/>
              </w:rPr>
              <w:t>-</w:t>
            </w:r>
            <w:r w:rsidRPr="00A33823">
              <w:rPr>
                <w:rStyle w:val="Hyperlink"/>
              </w:rPr>
              <w:t xml:space="preserve"> </w:t>
            </w:r>
            <w:r w:rsidR="00C02126" w:rsidRPr="00A33823">
              <w:rPr>
                <w:rStyle w:val="Hyperlink"/>
              </w:rPr>
              <w:t xml:space="preserve">2019, 1st Special Session, </w:t>
            </w:r>
            <w:r w:rsidRPr="00A33823">
              <w:rPr>
                <w:rStyle w:val="Hyperlink"/>
              </w:rPr>
              <w:t xml:space="preserve">Ch. </w:t>
            </w:r>
            <w:r w:rsidR="00E175F4" w:rsidRPr="00A33823">
              <w:rPr>
                <w:rStyle w:val="Hyperlink"/>
              </w:rPr>
              <w:t>7</w:t>
            </w:r>
            <w:r w:rsidRPr="00A33823">
              <w:rPr>
                <w:rStyle w:val="Hyperlink"/>
              </w:rPr>
              <w:t xml:space="preserve">, H.F. 2, Art. 1, Sec. 2, Subd. </w:t>
            </w:r>
            <w:r w:rsidR="00E175F4" w:rsidRPr="00A33823">
              <w:rPr>
                <w:rStyle w:val="Hyperlink"/>
              </w:rPr>
              <w:t>3</w:t>
            </w:r>
            <w:r w:rsidRPr="00A33823">
              <w:rPr>
                <w:rStyle w:val="Hyperlink"/>
              </w:rPr>
              <w:t>(</w:t>
            </w:r>
            <w:r w:rsidR="00E175F4" w:rsidRPr="00A33823">
              <w:rPr>
                <w:rStyle w:val="Hyperlink"/>
              </w:rPr>
              <w:t>s</w:t>
            </w:r>
          </w:hyperlink>
          <w:r>
            <w:t>).</w:t>
          </w:r>
          <w:r w:rsidR="00046EB6">
            <w:t xml:space="preserve">  </w:t>
          </w:r>
        </w:p>
        <w:p w14:paraId="0C1BC64C" w14:textId="77777777" w:rsidR="00C365CE" w:rsidRDefault="00200B51" w:rsidP="00E41BD2">
          <w:pPr>
            <w:pStyle w:val="Heading4"/>
          </w:pPr>
          <w:bookmarkStart w:id="9" w:name="_Toc93049832"/>
          <w:r>
            <w:t>Appropriation</w:t>
          </w:r>
          <w:bookmarkEnd w:id="9"/>
        </w:p>
        <w:p w14:paraId="2092FF3E" w14:textId="46118FC7" w:rsidR="00C02126" w:rsidRDefault="00C02126" w:rsidP="00C02126">
          <w:pPr>
            <w:pStyle w:val="BodyText"/>
          </w:pPr>
          <w:bookmarkStart w:id="10" w:name="_Toc502845767"/>
          <w:r>
            <w:t>This equity appropriation provided a total of $650,000 in State Fiscal Year (SFY) 2020 and $650,000 per year for SFY 2021. At least fifty percent of this amount must be used for programming targeted at greater Minnesota. The Department of Employment and Economic Development (DEED) is permitted to use five percent of the appropriation to administer the grant, making the amount available to CLUES $593,750 for SFY 2020 and $593,750 for SFY 2021.</w:t>
          </w:r>
        </w:p>
        <w:p w14:paraId="4256B8C0" w14:textId="77777777" w:rsidR="00101D32" w:rsidRDefault="00200B51" w:rsidP="00E71EA3">
          <w:pPr>
            <w:pStyle w:val="Heading3"/>
          </w:pPr>
          <w:bookmarkStart w:id="11" w:name="_Toc93049833"/>
          <w:r>
            <w:t>Summary of Goals and Objectives Presented in the Work Plan</w:t>
          </w:r>
          <w:bookmarkEnd w:id="10"/>
          <w:bookmarkEnd w:id="11"/>
        </w:p>
        <w:p w14:paraId="168CFD23" w14:textId="292D29B3" w:rsidR="00CA3D9A" w:rsidRPr="00332942" w:rsidRDefault="007A3B0D" w:rsidP="003D5586">
          <w:pPr>
            <w:widowControl w:val="0"/>
            <w:tabs>
              <w:tab w:val="left" w:pos="-720"/>
              <w:tab w:val="left" w:pos="0"/>
              <w:tab w:val="left" w:pos="336"/>
              <w:tab w:val="left" w:pos="705"/>
              <w:tab w:val="left" w:pos="2872"/>
              <w:tab w:val="right" w:leader="dot" w:pos="9340"/>
            </w:tabs>
            <w:autoSpaceDE w:val="0"/>
            <w:autoSpaceDN w:val="0"/>
            <w:adjustRightInd w:val="0"/>
            <w:spacing w:line="240" w:lineRule="auto"/>
            <w:rPr>
              <w:rFonts w:asciiTheme="minorHAnsi" w:hAnsiTheme="minorHAnsi" w:cstheme="minorHAnsi"/>
            </w:rPr>
          </w:pPr>
          <w:r w:rsidRPr="00332942">
            <w:rPr>
              <w:rFonts w:asciiTheme="minorHAnsi" w:hAnsiTheme="minorHAnsi" w:cstheme="minorHAnsi"/>
            </w:rPr>
            <w:t>CLUES</w:t>
          </w:r>
          <w:r w:rsidR="00CA3D9A" w:rsidRPr="00332942">
            <w:rPr>
              <w:rFonts w:asciiTheme="minorHAnsi" w:hAnsiTheme="minorHAnsi" w:cstheme="minorHAnsi"/>
            </w:rPr>
            <w:t xml:space="preserve"> </w:t>
          </w:r>
          <w:r w:rsidR="000F0180" w:rsidRPr="00332942">
            <w:rPr>
              <w:rFonts w:asciiTheme="minorHAnsi" w:hAnsiTheme="minorHAnsi" w:cstheme="minorHAnsi"/>
            </w:rPr>
            <w:t>used its appropriations funding</w:t>
          </w:r>
          <w:r w:rsidR="00025C5E" w:rsidRPr="00332942">
            <w:rPr>
              <w:rFonts w:asciiTheme="minorHAnsi" w:hAnsiTheme="minorHAnsi" w:cstheme="minorHAnsi"/>
              <w:bCs/>
            </w:rPr>
            <w:t xml:space="preserve"> </w:t>
          </w:r>
          <w:r w:rsidR="00614449" w:rsidRPr="00332942">
            <w:rPr>
              <w:rFonts w:asciiTheme="minorHAnsi" w:hAnsiTheme="minorHAnsi" w:cstheme="minorHAnsi"/>
              <w:bCs/>
            </w:rPr>
            <w:t xml:space="preserve">to </w:t>
          </w:r>
          <w:r w:rsidR="00025C5E" w:rsidRPr="00332942">
            <w:rPr>
              <w:rFonts w:asciiTheme="minorHAnsi" w:hAnsiTheme="minorHAnsi" w:cstheme="minorHAnsi"/>
              <w:bCs/>
            </w:rPr>
            <w:t>support the expansion of culturally tailored programs that address employment and education skill gaps for working adults and underserved youth by providing new job skills training to stimulate higher wages for low-income people, family support systems designed to reduce intergenerational poverty, and youth programming to promote educational advancement and career pathways.</w:t>
          </w:r>
          <w:r w:rsidR="00614449" w:rsidRPr="00332942">
            <w:rPr>
              <w:rFonts w:asciiTheme="minorHAnsi" w:hAnsiTheme="minorHAnsi" w:cstheme="minorHAnsi"/>
            </w:rPr>
            <w:t xml:space="preserve"> The overall goal is to advance opportunities for job skills training and skill-building resources for Latino and immigrant communities.  </w:t>
          </w:r>
        </w:p>
        <w:p w14:paraId="5253C21C" w14:textId="656F6CC0" w:rsidR="001F752B" w:rsidRPr="00332942" w:rsidRDefault="001F752B" w:rsidP="001F752B">
          <w:pPr>
            <w:tabs>
              <w:tab w:val="left" w:pos="-720"/>
              <w:tab w:val="left" w:pos="0"/>
              <w:tab w:val="left" w:pos="336"/>
              <w:tab w:val="left" w:pos="705"/>
              <w:tab w:val="left" w:pos="2872"/>
              <w:tab w:val="right" w:pos="10170"/>
            </w:tabs>
            <w:rPr>
              <w:rFonts w:cs="Arial"/>
              <w:bCs/>
            </w:rPr>
          </w:pPr>
          <w:r w:rsidRPr="00332942">
            <w:rPr>
              <w:rFonts w:cs="Arial"/>
              <w:bCs/>
            </w:rPr>
            <w:t xml:space="preserve">Education and job skills training </w:t>
          </w:r>
          <w:r w:rsidR="00CE7080" w:rsidRPr="00332942">
            <w:rPr>
              <w:rFonts w:cs="Arial"/>
              <w:bCs/>
            </w:rPr>
            <w:t>in the Twin Cities metropolitan area and in the</w:t>
          </w:r>
          <w:r w:rsidR="00397F4B" w:rsidRPr="00332942">
            <w:rPr>
              <w:rFonts w:cs="Arial"/>
              <w:bCs/>
            </w:rPr>
            <w:t xml:space="preserve"> g</w:t>
          </w:r>
          <w:r w:rsidR="00CE7080" w:rsidRPr="00332942">
            <w:rPr>
              <w:rFonts w:cs="Arial"/>
              <w:bCs/>
            </w:rPr>
            <w:t>reater Minnesota communities of Austin and Willmar</w:t>
          </w:r>
          <w:r w:rsidRPr="00332942">
            <w:rPr>
              <w:rFonts w:cs="Arial"/>
              <w:bCs/>
            </w:rPr>
            <w:t xml:space="preserve"> focused on </w:t>
          </w:r>
          <w:r w:rsidR="00CE7080" w:rsidRPr="00332942">
            <w:rPr>
              <w:rFonts w:cs="Arial"/>
              <w:bCs/>
            </w:rPr>
            <w:t>four</w:t>
          </w:r>
          <w:r w:rsidRPr="00332942">
            <w:rPr>
              <w:rFonts w:cs="Arial"/>
              <w:bCs/>
            </w:rPr>
            <w:t xml:space="preserve"> high-demand employment sectors that offer career pathways to family-sustaining, livable wage employment: healthcare, bilingual customer service/administrative support</w:t>
          </w:r>
          <w:r w:rsidR="00CE7080" w:rsidRPr="00332942">
            <w:rPr>
              <w:rFonts w:cs="Arial"/>
              <w:bCs/>
            </w:rPr>
            <w:t>, commercial driver’s license</w:t>
          </w:r>
          <w:r w:rsidR="00DF1D14" w:rsidRPr="00332942">
            <w:rPr>
              <w:rFonts w:cs="Arial"/>
              <w:bCs/>
            </w:rPr>
            <w:t xml:space="preserve"> (CDL),</w:t>
          </w:r>
          <w:r w:rsidRPr="00332942">
            <w:rPr>
              <w:rFonts w:cs="Arial"/>
              <w:bCs/>
            </w:rPr>
            <w:t xml:space="preserve"> and welding. </w:t>
          </w:r>
        </w:p>
        <w:p w14:paraId="187E6875" w14:textId="13F8B018" w:rsidR="005E16B0" w:rsidRPr="00332942" w:rsidRDefault="005E16B0" w:rsidP="00035E65">
          <w:r w:rsidRPr="00332942">
            <w:rPr>
              <w:rFonts w:cstheme="minorHAnsi"/>
              <w:shd w:val="clear" w:color="auto" w:fill="FFFFFF"/>
            </w:rPr>
            <w:t xml:space="preserve">107 clients successfully completed </w:t>
          </w:r>
          <w:r w:rsidR="005F49E3" w:rsidRPr="00332942">
            <w:rPr>
              <w:rFonts w:cstheme="minorHAnsi"/>
              <w:shd w:val="clear" w:color="auto" w:fill="FFFFFF"/>
            </w:rPr>
            <w:t>CLUES</w:t>
          </w:r>
          <w:r w:rsidRPr="00332942">
            <w:rPr>
              <w:rFonts w:cstheme="minorHAnsi"/>
              <w:shd w:val="clear" w:color="auto" w:fill="FFFFFF"/>
            </w:rPr>
            <w:t xml:space="preserve"> </w:t>
          </w:r>
          <w:r w:rsidR="005F49E3" w:rsidRPr="00332942">
            <w:rPr>
              <w:rFonts w:cstheme="minorHAnsi"/>
              <w:shd w:val="clear" w:color="auto" w:fill="FFFFFF"/>
            </w:rPr>
            <w:t xml:space="preserve">employment </w:t>
          </w:r>
          <w:r w:rsidRPr="00332942">
            <w:rPr>
              <w:rFonts w:cstheme="minorHAnsi"/>
              <w:shd w:val="clear" w:color="auto" w:fill="FFFFFF"/>
            </w:rPr>
            <w:t xml:space="preserve">readiness training and 102 clients are either currently enrolled or have successfully completed the vocational training options provided by CLUES and </w:t>
          </w:r>
          <w:r w:rsidR="00F42767" w:rsidRPr="00332942">
            <w:rPr>
              <w:rFonts w:cstheme="minorHAnsi"/>
              <w:shd w:val="clear" w:color="auto" w:fill="FFFFFF"/>
            </w:rPr>
            <w:t>their</w:t>
          </w:r>
          <w:r w:rsidRPr="00332942">
            <w:rPr>
              <w:rFonts w:cstheme="minorHAnsi"/>
              <w:shd w:val="clear" w:color="auto" w:fill="FFFFFF"/>
            </w:rPr>
            <w:t xml:space="preserve"> </w:t>
          </w:r>
          <w:r w:rsidR="00946B13" w:rsidRPr="00332942">
            <w:rPr>
              <w:rFonts w:cstheme="minorHAnsi"/>
              <w:shd w:val="clear" w:color="auto" w:fill="FFFFFF"/>
            </w:rPr>
            <w:t>training</w:t>
          </w:r>
          <w:r w:rsidRPr="00332942">
            <w:rPr>
              <w:rFonts w:cstheme="minorHAnsi"/>
              <w:shd w:val="clear" w:color="auto" w:fill="FFFFFF"/>
            </w:rPr>
            <w:t xml:space="preserve"> partners that include Ridgewater College, Riverland College, HeartCert</w:t>
          </w:r>
          <w:r w:rsidR="00946B13" w:rsidRPr="00332942">
            <w:rPr>
              <w:rFonts w:cstheme="minorHAnsi"/>
              <w:shd w:val="clear" w:color="auto" w:fill="FFFFFF"/>
            </w:rPr>
            <w:t>,</w:t>
          </w:r>
          <w:r w:rsidRPr="00332942">
            <w:rPr>
              <w:rFonts w:cstheme="minorHAnsi"/>
              <w:shd w:val="clear" w:color="auto" w:fill="FFFFFF"/>
            </w:rPr>
            <w:t xml:space="preserve"> and a Customer Service and Banking curriculum provided by </w:t>
          </w:r>
          <w:proofErr w:type="spellStart"/>
          <w:r w:rsidRPr="00332942">
            <w:rPr>
              <w:rFonts w:cstheme="minorHAnsi"/>
              <w:shd w:val="clear" w:color="auto" w:fill="FFFFFF"/>
            </w:rPr>
            <w:t>UnidosUS</w:t>
          </w:r>
          <w:proofErr w:type="spellEnd"/>
          <w:r w:rsidRPr="00332942">
            <w:rPr>
              <w:rFonts w:cstheme="minorHAnsi"/>
              <w:shd w:val="clear" w:color="auto" w:fill="FFFFFF"/>
            </w:rPr>
            <w:t xml:space="preserve"> but taught in</w:t>
          </w:r>
          <w:r w:rsidR="008331AB" w:rsidRPr="00332942">
            <w:rPr>
              <w:rFonts w:cstheme="minorHAnsi"/>
              <w:shd w:val="clear" w:color="auto" w:fill="FFFFFF"/>
            </w:rPr>
            <w:t>-</w:t>
          </w:r>
          <w:r w:rsidRPr="00332942">
            <w:rPr>
              <w:rFonts w:cstheme="minorHAnsi"/>
              <w:shd w:val="clear" w:color="auto" w:fill="FFFFFF"/>
            </w:rPr>
            <w:t>house</w:t>
          </w:r>
          <w:r w:rsidR="008331AB" w:rsidRPr="00332942">
            <w:rPr>
              <w:rFonts w:cstheme="minorHAnsi"/>
              <w:shd w:val="clear" w:color="auto" w:fill="FFFFFF"/>
            </w:rPr>
            <w:t xml:space="preserve"> by CLUES staff.</w:t>
          </w:r>
        </w:p>
        <w:p w14:paraId="1C0DD6C9" w14:textId="77777777" w:rsidR="005E16B0" w:rsidRPr="00332942" w:rsidRDefault="005E16B0" w:rsidP="00035E65"/>
        <w:p w14:paraId="7A6BDB58" w14:textId="6B937957" w:rsidR="00035E65" w:rsidRDefault="00035E65" w:rsidP="00035E65">
          <w:r>
            <w:lastRenderedPageBreak/>
            <w:t xml:space="preserve">Throughout these programs, </w:t>
          </w:r>
          <w:r w:rsidR="00156D4E">
            <w:t>CLUES provide</w:t>
          </w:r>
          <w:r w:rsidR="0082161E">
            <w:t>d</w:t>
          </w:r>
          <w:r w:rsidR="00156D4E">
            <w:t xml:space="preserve"> </w:t>
          </w:r>
          <w:r>
            <w:t xml:space="preserve">bilingual and culturally relevant wrap-around support services </w:t>
          </w:r>
          <w:r w:rsidR="00397F4B">
            <w:t xml:space="preserve">to assist </w:t>
          </w:r>
          <w:r w:rsidR="00B44E9C">
            <w:t xml:space="preserve">participants in overcoming </w:t>
          </w:r>
          <w:r>
            <w:t xml:space="preserve">barriers. </w:t>
          </w:r>
          <w:r w:rsidR="00E6733B">
            <w:t>C</w:t>
          </w:r>
          <w:r>
            <w:t>areer navigat</w:t>
          </w:r>
          <w:r w:rsidR="00E6733B">
            <w:t xml:space="preserve">ors </w:t>
          </w:r>
          <w:r w:rsidR="003717B9">
            <w:t>assisted participants with job placements and identifying additional community resources</w:t>
          </w:r>
          <w:r w:rsidR="00F17588">
            <w:t xml:space="preserve"> to meet their goals.</w:t>
          </w:r>
        </w:p>
        <w:p w14:paraId="16CAB249" w14:textId="47420348" w:rsidR="00035E65" w:rsidRDefault="00035E65" w:rsidP="00035E65">
          <w:r>
            <w:t xml:space="preserve">In accordance with the legislative appropriation, </w:t>
          </w:r>
          <w:r w:rsidR="00A60AA6">
            <w:t>50</w:t>
          </w:r>
          <w:r>
            <w:t xml:space="preserve"> percent of the funding </w:t>
          </w:r>
          <w:r w:rsidR="00A60AA6">
            <w:t xml:space="preserve">is </w:t>
          </w:r>
          <w:r>
            <w:t xml:space="preserve">used for programming targeting the Twin Cities Metro Area, and </w:t>
          </w:r>
          <w:r w:rsidR="00A60AA6">
            <w:t xml:space="preserve">50 </w:t>
          </w:r>
          <w:r>
            <w:t xml:space="preserve">percent </w:t>
          </w:r>
          <w:r w:rsidR="003B230A">
            <w:t xml:space="preserve">is used </w:t>
          </w:r>
          <w:r>
            <w:t xml:space="preserve">for targeting the greater Minnesota area. In greater Minnesota, CLUES </w:t>
          </w:r>
          <w:r w:rsidR="00744E1C">
            <w:t>operates two satellite offices, in Austin and Willmar</w:t>
          </w:r>
          <w:r w:rsidR="00F17588">
            <w:t xml:space="preserve">, and partners with Riverland </w:t>
          </w:r>
          <w:r w:rsidR="00177D8D">
            <w:t xml:space="preserve">and Ridgewater Colleges to provide </w:t>
          </w:r>
          <w:r w:rsidR="000756CC">
            <w:t xml:space="preserve">job training. </w:t>
          </w:r>
        </w:p>
        <w:p w14:paraId="792662F9" w14:textId="77777777" w:rsidR="00035E65" w:rsidRDefault="00035E65" w:rsidP="00035E65">
          <w:pPr>
            <w:pStyle w:val="Heading4"/>
          </w:pPr>
          <w:bookmarkStart w:id="12" w:name="_Toc93049834"/>
          <w:r>
            <w:t xml:space="preserve">Adult </w:t>
          </w:r>
          <w:r w:rsidR="00D16B21">
            <w:t xml:space="preserve">and Youth </w:t>
          </w:r>
          <w:r>
            <w:t>Programming</w:t>
          </w:r>
          <w:bookmarkEnd w:id="12"/>
        </w:p>
        <w:p w14:paraId="60D294E3" w14:textId="4CB6E7DF" w:rsidR="001D7415" w:rsidRDefault="00D16B21" w:rsidP="00D16B21">
          <w:r>
            <w:t>From the period July 1, 20</w:t>
          </w:r>
          <w:r w:rsidR="001D7415">
            <w:t>20</w:t>
          </w:r>
          <w:r>
            <w:t xml:space="preserve"> to </w:t>
          </w:r>
          <w:r w:rsidR="00DF5A83">
            <w:t>June 30, 202</w:t>
          </w:r>
          <w:r w:rsidR="001D7415">
            <w:t>1</w:t>
          </w:r>
          <w:r w:rsidR="00DE72AE">
            <w:t>,</w:t>
          </w:r>
          <w:r w:rsidR="00E944DC" w:rsidRPr="00E944DC">
            <w:t xml:space="preserve"> </w:t>
          </w:r>
          <w:r w:rsidR="00C5732A">
            <w:t>181</w:t>
          </w:r>
          <w:r w:rsidR="00DF5A83">
            <w:t xml:space="preserve"> </w:t>
          </w:r>
          <w:r w:rsidR="00A33823">
            <w:t xml:space="preserve">Minnesotans, </w:t>
          </w:r>
          <w:r w:rsidR="00DF5A83">
            <w:t>ages 18 and older</w:t>
          </w:r>
          <w:r w:rsidR="00A33823">
            <w:t>,</w:t>
          </w:r>
          <w:r w:rsidR="00DF5A83">
            <w:t xml:space="preserve"> </w:t>
          </w:r>
          <w:r w:rsidR="00E944DC">
            <w:t xml:space="preserve">received </w:t>
          </w:r>
          <w:r w:rsidR="00AE419A">
            <w:t>individualized services</w:t>
          </w:r>
          <w:r w:rsidR="000C06AB">
            <w:t xml:space="preserve"> using </w:t>
          </w:r>
          <w:r w:rsidR="004C79CF">
            <w:t xml:space="preserve">DEED </w:t>
          </w:r>
          <w:r w:rsidR="000C06AB">
            <w:t xml:space="preserve">direct appropriation </w:t>
          </w:r>
          <w:r w:rsidR="004C79CF">
            <w:t xml:space="preserve">grant </w:t>
          </w:r>
          <w:r w:rsidR="00DE72AE">
            <w:t>funds</w:t>
          </w:r>
          <w:r w:rsidR="00531187">
            <w:t>. Of this total, 151</w:t>
          </w:r>
          <w:r w:rsidR="00BA475D">
            <w:t xml:space="preserve"> participants </w:t>
          </w:r>
          <w:r w:rsidR="004B62FF">
            <w:t xml:space="preserve">received education </w:t>
          </w:r>
          <w:r w:rsidR="00AC672F">
            <w:t>(ABE</w:t>
          </w:r>
          <w:r w:rsidR="00F86C12">
            <w:t xml:space="preserve">, GED, ESL) </w:t>
          </w:r>
          <w:r w:rsidR="004B62FF">
            <w:t xml:space="preserve">or </w:t>
          </w:r>
          <w:r w:rsidR="00FC5EE0">
            <w:t xml:space="preserve">job training activities and </w:t>
          </w:r>
          <w:r w:rsidR="0034427F">
            <w:t xml:space="preserve">81 also received support services. </w:t>
          </w:r>
          <w:r w:rsidR="00332942">
            <w:t xml:space="preserve"> </w:t>
          </w:r>
        </w:p>
        <w:p w14:paraId="38B705C7" w14:textId="1FDC8B90" w:rsidR="004C79CF" w:rsidRDefault="00D16B21" w:rsidP="00D16B21">
          <w:r>
            <w:t xml:space="preserve">Of these </w:t>
          </w:r>
          <w:r w:rsidR="001D7415">
            <w:t>clients receiving one-on-one assistance by CLUES staff</w:t>
          </w:r>
          <w:r w:rsidR="00755E8C">
            <w:t xml:space="preserve">, </w:t>
          </w:r>
          <w:r w:rsidR="0027165F">
            <w:t>1</w:t>
          </w:r>
          <w:r w:rsidR="00F33474">
            <w:t>68</w:t>
          </w:r>
          <w:r w:rsidR="001D7415">
            <w:t xml:space="preserve"> were adults over the age of 2</w:t>
          </w:r>
          <w:r w:rsidR="00F33474">
            <w:t>4</w:t>
          </w:r>
          <w:r w:rsidR="001D7415">
            <w:t xml:space="preserve"> and </w:t>
          </w:r>
          <w:r w:rsidR="00F33474">
            <w:t>55</w:t>
          </w:r>
          <w:r w:rsidR="001D7415">
            <w:t xml:space="preserve"> were youth, ages 14 to 2</w:t>
          </w:r>
          <w:r w:rsidR="00F33474">
            <w:t>4</w:t>
          </w:r>
          <w:r w:rsidR="001D7415" w:rsidRPr="00F33474">
            <w:t xml:space="preserve">;  </w:t>
          </w:r>
          <w:r w:rsidR="00F33474" w:rsidRPr="00F33474">
            <w:t>73</w:t>
          </w:r>
          <w:r w:rsidR="00A33823" w:rsidRPr="00F33474">
            <w:t xml:space="preserve"> were served in Greater MN</w:t>
          </w:r>
          <w:r w:rsidR="004C79CF" w:rsidRPr="00F33474">
            <w:t xml:space="preserve"> and</w:t>
          </w:r>
          <w:r w:rsidR="00A33823" w:rsidRPr="00F33474">
            <w:t xml:space="preserve"> </w:t>
          </w:r>
          <w:r w:rsidR="00F33474" w:rsidRPr="00F33474">
            <w:t>108</w:t>
          </w:r>
          <w:r w:rsidR="00A33823" w:rsidRPr="00F33474">
            <w:t xml:space="preserve"> were served in the Metro Area</w:t>
          </w:r>
          <w:r w:rsidR="004C79CF" w:rsidRPr="00F33474">
            <w:t>.</w:t>
          </w:r>
          <w:r w:rsidR="004C79CF">
            <w:t xml:space="preserve">  </w:t>
          </w:r>
        </w:p>
        <w:p w14:paraId="50AFDD19" w14:textId="206C6AD9" w:rsidR="00D16B21" w:rsidRPr="00C63718" w:rsidRDefault="00D54B2E" w:rsidP="00D16B21">
          <w:pPr>
            <w:rPr>
              <w:color w:val="FF0000"/>
            </w:rPr>
          </w:pPr>
          <w:r>
            <w:t xml:space="preserve">In the past six months, </w:t>
          </w:r>
          <w:r w:rsidR="00DE72AE">
            <w:t xml:space="preserve">CLUES </w:t>
          </w:r>
          <w:r>
            <w:t>has received new grant</w:t>
          </w:r>
          <w:r w:rsidR="002B0475">
            <w:t xml:space="preserve">s </w:t>
          </w:r>
          <w:r w:rsidR="006768CD">
            <w:t xml:space="preserve">specifically </w:t>
          </w:r>
          <w:r w:rsidR="002B0475">
            <w:t xml:space="preserve">to support career </w:t>
          </w:r>
          <w:r w:rsidR="006768CD">
            <w:t>exploration, employment readiness training, and paid work experiences for youth</w:t>
          </w:r>
          <w:r w:rsidR="007E00CD">
            <w:t xml:space="preserve"> between the ages of </w:t>
          </w:r>
          <w:r w:rsidR="0052521B">
            <w:t xml:space="preserve">16 to </w:t>
          </w:r>
          <w:r w:rsidR="00BF10E3">
            <w:t xml:space="preserve">22. An expanded partnership with the Clubhouse Network and Best Buy </w:t>
          </w:r>
          <w:r w:rsidR="009E2C1F">
            <w:t xml:space="preserve">will support a cohort of youth who are interested in </w:t>
          </w:r>
          <w:r w:rsidR="00B85B7B">
            <w:t xml:space="preserve">technology careers </w:t>
          </w:r>
          <w:r w:rsidR="007326D1">
            <w:t>and include paid internships at Accenture and Best Buy</w:t>
          </w:r>
          <w:r w:rsidR="006768CD">
            <w:t xml:space="preserve">. </w:t>
          </w:r>
          <w:r w:rsidR="00366F25">
            <w:t xml:space="preserve">CLUES also received </w:t>
          </w:r>
          <w:r w:rsidR="00316FF9">
            <w:t xml:space="preserve">a DEED Youth at Work grant and funding from Sundance Family Foundation to support </w:t>
          </w:r>
          <w:r w:rsidR="002318A5">
            <w:t xml:space="preserve">employment readiness </w:t>
          </w:r>
          <w:r w:rsidR="001A2DC2">
            <w:t>training and paid internships within CLUES administrative and programming departments</w:t>
          </w:r>
          <w:r w:rsidR="00E333C3">
            <w:t>,</w:t>
          </w:r>
          <w:r w:rsidR="001A2DC2">
            <w:t xml:space="preserve"> as well as with external </w:t>
          </w:r>
          <w:r w:rsidR="00DE7D09">
            <w:t xml:space="preserve">employer partners such as </w:t>
          </w:r>
          <w:proofErr w:type="spellStart"/>
          <w:r w:rsidR="00DE7D09">
            <w:t>vRad</w:t>
          </w:r>
          <w:proofErr w:type="spellEnd"/>
          <w:r w:rsidR="00DE7D09">
            <w:t xml:space="preserve">, a diagnostic radiology company. </w:t>
          </w:r>
        </w:p>
        <w:p w14:paraId="05C1DEA1" w14:textId="77777777" w:rsidR="000C1547" w:rsidRDefault="001714FC" w:rsidP="000C1547">
          <w:pPr>
            <w:pStyle w:val="Heading4"/>
          </w:pPr>
          <w:bookmarkStart w:id="13" w:name="_Toc93049835"/>
          <w:r>
            <w:t>Career Pathways</w:t>
          </w:r>
          <w:r w:rsidR="000C1547">
            <w:t xml:space="preserve"> Services</w:t>
          </w:r>
          <w:r w:rsidR="00D16B21">
            <w:t xml:space="preserve"> and Performance</w:t>
          </w:r>
          <w:bookmarkEnd w:id="13"/>
        </w:p>
        <w:p w14:paraId="79867218" w14:textId="5603A212" w:rsidR="000C1547" w:rsidRPr="00A36361" w:rsidRDefault="00D16B21" w:rsidP="000C1547">
          <w:pPr>
            <w:pStyle w:val="BodyText"/>
          </w:pPr>
          <w:r w:rsidRPr="00A36361">
            <w:t>C</w:t>
          </w:r>
          <w:r w:rsidR="001714FC" w:rsidRPr="00A36361">
            <w:t xml:space="preserve">areer pathways </w:t>
          </w:r>
          <w:r w:rsidR="00755E8C" w:rsidRPr="00A36361">
            <w:t>services</w:t>
          </w:r>
          <w:r w:rsidR="001714FC" w:rsidRPr="00A36361">
            <w:t xml:space="preserve"> </w:t>
          </w:r>
          <w:r w:rsidRPr="00A36361">
            <w:t xml:space="preserve">during </w:t>
          </w:r>
          <w:r w:rsidR="004C0F2B" w:rsidRPr="00A36361">
            <w:t>the period July 1, 20</w:t>
          </w:r>
          <w:r w:rsidR="001D7415" w:rsidRPr="00A36361">
            <w:t>20</w:t>
          </w:r>
          <w:r w:rsidR="004C0F2B" w:rsidRPr="00A36361">
            <w:t xml:space="preserve"> to June 30, 202</w:t>
          </w:r>
          <w:r w:rsidR="001D7415" w:rsidRPr="00A36361">
            <w:t>1</w:t>
          </w:r>
          <w:r w:rsidR="004C0F2B" w:rsidRPr="00A36361">
            <w:t xml:space="preserve"> </w:t>
          </w:r>
          <w:r w:rsidR="001714FC" w:rsidRPr="00A36361">
            <w:t xml:space="preserve">included </w:t>
          </w:r>
          <w:r w:rsidR="00755E8C" w:rsidRPr="00A36361">
            <w:t>the following:</w:t>
          </w:r>
        </w:p>
        <w:p w14:paraId="35D3F7FC" w14:textId="124C3A30" w:rsidR="00D16B21" w:rsidRPr="00A36361" w:rsidRDefault="00401C87" w:rsidP="004C0F2B">
          <w:pPr>
            <w:pStyle w:val="ListParagraph"/>
            <w:numPr>
              <w:ilvl w:val="0"/>
              <w:numId w:val="41"/>
            </w:numPr>
          </w:pPr>
          <w:r>
            <w:t>Nine</w:t>
          </w:r>
          <w:r w:rsidR="001714FC" w:rsidRPr="00A36361">
            <w:t xml:space="preserve"> participants in Willmar receiv</w:t>
          </w:r>
          <w:r w:rsidR="00D16B21" w:rsidRPr="00A36361">
            <w:t>e</w:t>
          </w:r>
          <w:r w:rsidR="001714FC" w:rsidRPr="00A36361">
            <w:t xml:space="preserve">d </w:t>
          </w:r>
          <w:r w:rsidR="00DE72AE" w:rsidRPr="00A36361">
            <w:t>certified nursing (CNA) training in which they obtained structured career readiness and resume building skills, and one-on-one job seeking assistance</w:t>
          </w:r>
          <w:r w:rsidR="001714FC" w:rsidRPr="00A36361">
            <w:t xml:space="preserve">; </w:t>
          </w:r>
          <w:r w:rsidR="00580063">
            <w:t>four</w:t>
          </w:r>
          <w:r w:rsidR="001714FC" w:rsidRPr="00A36361">
            <w:t xml:space="preserve"> participants completed the training to receive CNA certification</w:t>
          </w:r>
          <w:r w:rsidR="004C79CF" w:rsidRPr="00A36361">
            <w:t xml:space="preserve">. </w:t>
          </w:r>
          <w:r w:rsidR="00580063">
            <w:t xml:space="preserve">Four </w:t>
          </w:r>
          <w:r w:rsidR="004C79CF" w:rsidRPr="00A36361">
            <w:t>of these individuals are using their</w:t>
          </w:r>
          <w:r>
            <w:t xml:space="preserve"> newly developed</w:t>
          </w:r>
          <w:r w:rsidR="004C79CF" w:rsidRPr="00A36361">
            <w:t xml:space="preserve"> skills and </w:t>
          </w:r>
          <w:r>
            <w:t>three</w:t>
          </w:r>
          <w:r w:rsidR="004C79CF" w:rsidRPr="00A36361">
            <w:t xml:space="preserve"> work as CNAs. Their average wage</w:t>
          </w:r>
          <w:r>
            <w:t xml:space="preserve"> is $15.87</w:t>
          </w:r>
          <w:r w:rsidR="004C79CF" w:rsidRPr="00A36361">
            <w:t xml:space="preserve"> according to employment verifications from employers</w:t>
          </w:r>
          <w:r w:rsidR="001714FC" w:rsidRPr="00A36361">
            <w:t>.</w:t>
          </w:r>
        </w:p>
        <w:p w14:paraId="56FDA820" w14:textId="1DE90EFC" w:rsidR="00A36361" w:rsidRPr="00A36361" w:rsidRDefault="00401C87" w:rsidP="00A36361">
          <w:pPr>
            <w:pStyle w:val="ListParagraph"/>
            <w:numPr>
              <w:ilvl w:val="0"/>
              <w:numId w:val="41"/>
            </w:numPr>
          </w:pPr>
          <w:r>
            <w:t>Fifteen</w:t>
          </w:r>
          <w:r w:rsidR="00A36361" w:rsidRPr="00A36361">
            <w:t xml:space="preserve"> participants in </w:t>
          </w:r>
          <w:r w:rsidR="00A36361">
            <w:t>the Twin Cities</w:t>
          </w:r>
          <w:r w:rsidR="00A36361" w:rsidRPr="00A36361">
            <w:t xml:space="preserve"> received certified nursing (CNA) training in which they obtained structured career readiness and resume building skills, and one-on-one job seeking assistance; </w:t>
          </w:r>
          <w:r w:rsidR="00580063">
            <w:t>nine</w:t>
          </w:r>
          <w:r w:rsidR="00A36361" w:rsidRPr="00A36361">
            <w:t xml:space="preserve"> participants completed the training to receive CNA certification.  </w:t>
          </w:r>
          <w:r w:rsidR="00580063">
            <w:t xml:space="preserve">Three </w:t>
          </w:r>
          <w:r w:rsidR="00A36361" w:rsidRPr="00A36361">
            <w:t xml:space="preserve">of these individuals are using their skills </w:t>
          </w:r>
          <w:r>
            <w:t>and are employed making an average of $15 an hour,</w:t>
          </w:r>
          <w:r w:rsidR="00A36361" w:rsidRPr="00A36361">
            <w:t xml:space="preserve"> according to employment verifications.</w:t>
          </w:r>
        </w:p>
        <w:p w14:paraId="1FDD3C5D" w14:textId="55FBA026" w:rsidR="00D16B21" w:rsidRPr="00A36361" w:rsidRDefault="00DB3D52" w:rsidP="004C0F2B">
          <w:pPr>
            <w:pStyle w:val="ListParagraph"/>
            <w:numPr>
              <w:ilvl w:val="0"/>
              <w:numId w:val="41"/>
            </w:numPr>
            <w:rPr>
              <w:color w:val="FF0000"/>
            </w:rPr>
          </w:pPr>
          <w:r>
            <w:t>Twenty</w:t>
          </w:r>
          <w:r w:rsidR="00364526">
            <w:t>-</w:t>
          </w:r>
          <w:r>
            <w:t>three</w:t>
          </w:r>
          <w:r w:rsidR="00D16B21" w:rsidRPr="00A36361">
            <w:t xml:space="preserve"> participants received</w:t>
          </w:r>
          <w:r w:rsidR="00DE72AE" w:rsidRPr="00A36361">
            <w:t xml:space="preserve"> </w:t>
          </w:r>
          <w:r w:rsidR="004C79CF" w:rsidRPr="00A36361">
            <w:t xml:space="preserve">training to earn a </w:t>
          </w:r>
          <w:r w:rsidR="00D163FE" w:rsidRPr="00A36361">
            <w:t>Commercial</w:t>
          </w:r>
          <w:r w:rsidR="004C79CF" w:rsidRPr="00A36361">
            <w:t xml:space="preserve"> Driver’s Lice</w:t>
          </w:r>
          <w:r w:rsidR="00EA561F" w:rsidRPr="00A36361">
            <w:t>n</w:t>
          </w:r>
          <w:r w:rsidR="004C79CF" w:rsidRPr="00A36361">
            <w:t>se (C</w:t>
          </w:r>
          <w:r w:rsidR="00DE72AE" w:rsidRPr="00A36361">
            <w:t>DL</w:t>
          </w:r>
          <w:r w:rsidR="004C79CF" w:rsidRPr="00A36361">
            <w:t>)</w:t>
          </w:r>
          <w:r>
            <w:t xml:space="preserve"> or Welding License</w:t>
          </w:r>
          <w:r w:rsidR="00EA561F" w:rsidRPr="00A36361">
            <w:t xml:space="preserve"> </w:t>
          </w:r>
          <w:r>
            <w:t xml:space="preserve">in Austin and Willmar in which they obtained technical skills training, </w:t>
          </w:r>
          <w:proofErr w:type="gramStart"/>
          <w:r>
            <w:t>certification</w:t>
          </w:r>
          <w:proofErr w:type="gramEnd"/>
          <w:r>
            <w:t xml:space="preserve"> and one-on-one job assistance; 18 participants completed the training to receive CDL and Welding Licenses</w:t>
          </w:r>
          <w:r w:rsidR="00193D5B">
            <w:t xml:space="preserve"> and are now working with an average wage of  $20.</w:t>
          </w:r>
          <w:r w:rsidR="00364526">
            <w:t>00</w:t>
          </w:r>
          <w:r w:rsidR="00193D5B">
            <w:t xml:space="preserve"> an hour according to employment verifications</w:t>
          </w:r>
          <w:r w:rsidR="00EA561F" w:rsidRPr="00A36361">
            <w:t>.</w:t>
          </w:r>
          <w:r>
            <w:t xml:space="preserve"> </w:t>
          </w:r>
        </w:p>
        <w:p w14:paraId="0A59F516" w14:textId="0475CA78" w:rsidR="003F2901" w:rsidRPr="00A36361" w:rsidRDefault="005A5077" w:rsidP="003B3885">
          <w:pPr>
            <w:pStyle w:val="ListParagraph"/>
            <w:numPr>
              <w:ilvl w:val="0"/>
              <w:numId w:val="41"/>
            </w:numPr>
          </w:pPr>
          <w:r>
            <w:t>Fifty</w:t>
          </w:r>
          <w:r w:rsidR="00364526">
            <w:t>-</w:t>
          </w:r>
          <w:r>
            <w:t>three</w:t>
          </w:r>
          <w:r w:rsidR="00D16B21" w:rsidRPr="00A36361">
            <w:t xml:space="preserve"> </w:t>
          </w:r>
          <w:r w:rsidR="00D16B21" w:rsidRPr="003B3885">
            <w:rPr>
              <w:color w:val="000000" w:themeColor="text2"/>
            </w:rPr>
            <w:t>participants recei</w:t>
          </w:r>
          <w:r w:rsidR="00EA561F" w:rsidRPr="003B3885">
            <w:rPr>
              <w:color w:val="000000" w:themeColor="text2"/>
            </w:rPr>
            <w:t>v</w:t>
          </w:r>
          <w:r w:rsidR="00D16B21" w:rsidRPr="003B3885">
            <w:rPr>
              <w:color w:val="000000" w:themeColor="text2"/>
            </w:rPr>
            <w:t xml:space="preserve">ed </w:t>
          </w:r>
          <w:r w:rsidR="00DE72AE" w:rsidRPr="003B3885">
            <w:rPr>
              <w:color w:val="000000" w:themeColor="text2"/>
            </w:rPr>
            <w:t xml:space="preserve">Customer Service </w:t>
          </w:r>
          <w:r w:rsidR="00D16B21" w:rsidRPr="003B3885">
            <w:rPr>
              <w:color w:val="000000" w:themeColor="text2"/>
            </w:rPr>
            <w:t>training</w:t>
          </w:r>
          <w:r w:rsidRPr="003B3885">
            <w:rPr>
              <w:color w:val="000000" w:themeColor="text2"/>
            </w:rPr>
            <w:t xml:space="preserve"> in which they </w:t>
          </w:r>
          <w:proofErr w:type="spellStart"/>
          <w:r w:rsidRPr="003B3885">
            <w:rPr>
              <w:color w:val="000000" w:themeColor="text2"/>
            </w:rPr>
            <w:t>obtrained</w:t>
          </w:r>
          <w:proofErr w:type="spellEnd"/>
          <w:r w:rsidRPr="003B3885">
            <w:rPr>
              <w:color w:val="000000" w:themeColor="text2"/>
            </w:rPr>
            <w:t xml:space="preserve"> structured career readiness and resume building skills, and one-on-one job seeking assistance; </w:t>
          </w:r>
          <w:r w:rsidR="00B035AC">
            <w:rPr>
              <w:color w:val="000000" w:themeColor="text2"/>
            </w:rPr>
            <w:t xml:space="preserve">28 </w:t>
          </w:r>
          <w:r w:rsidRPr="003B3885">
            <w:rPr>
              <w:color w:val="000000" w:themeColor="text2"/>
            </w:rPr>
            <w:t xml:space="preserve">participants completed </w:t>
          </w:r>
          <w:r w:rsidRPr="003B3885">
            <w:rPr>
              <w:color w:val="000000" w:themeColor="text2"/>
            </w:rPr>
            <w:lastRenderedPageBreak/>
            <w:t xml:space="preserve">the training to receive a certificate of completion, and </w:t>
          </w:r>
          <w:r w:rsidR="000D3235" w:rsidRPr="003B3885">
            <w:rPr>
              <w:color w:val="000000" w:themeColor="text2"/>
            </w:rPr>
            <w:t>18 are currently employed</w:t>
          </w:r>
          <w:r w:rsidR="00DE72AE" w:rsidRPr="003B3885">
            <w:rPr>
              <w:color w:val="000000" w:themeColor="text2"/>
            </w:rPr>
            <w:t>.</w:t>
          </w:r>
          <w:r w:rsidR="000D3235" w:rsidRPr="003B3885">
            <w:rPr>
              <w:color w:val="000000" w:themeColor="text2"/>
            </w:rPr>
            <w:t xml:space="preserve"> </w:t>
          </w:r>
          <w:r w:rsidR="00D16B21" w:rsidRPr="003B3885">
            <w:rPr>
              <w:color w:val="000000" w:themeColor="text2"/>
            </w:rPr>
            <w:t>C</w:t>
          </w:r>
          <w:r w:rsidR="00DE72AE" w:rsidRPr="003B3885">
            <w:rPr>
              <w:color w:val="000000" w:themeColor="text2"/>
            </w:rPr>
            <w:t xml:space="preserve">urrent wage information </w:t>
          </w:r>
          <w:r w:rsidR="00D16B21" w:rsidRPr="003B3885">
            <w:rPr>
              <w:color w:val="000000" w:themeColor="text2"/>
            </w:rPr>
            <w:t xml:space="preserve">shows that </w:t>
          </w:r>
          <w:r w:rsidR="00193D5B" w:rsidRPr="003B3885">
            <w:rPr>
              <w:color w:val="000000" w:themeColor="text2"/>
            </w:rPr>
            <w:t>participant</w:t>
          </w:r>
          <w:r w:rsidR="00D16B21" w:rsidRPr="003B3885">
            <w:rPr>
              <w:color w:val="000000" w:themeColor="text2"/>
            </w:rPr>
            <w:t xml:space="preserve">s </w:t>
          </w:r>
          <w:r w:rsidR="003B3885">
            <w:rPr>
              <w:color w:val="000000" w:themeColor="text2"/>
            </w:rPr>
            <w:t>earn an average of $15 an hour post training.</w:t>
          </w:r>
        </w:p>
        <w:p w14:paraId="5A862A4C" w14:textId="77777777" w:rsidR="00035E65" w:rsidRDefault="00035E65" w:rsidP="00035E65">
          <w:pPr>
            <w:pStyle w:val="Heading4"/>
          </w:pPr>
          <w:bookmarkStart w:id="14" w:name="_Toc93049836"/>
          <w:r>
            <w:t>Culturally Responsive Support Services</w:t>
          </w:r>
          <w:bookmarkEnd w:id="14"/>
        </w:p>
        <w:p w14:paraId="17CCE19E" w14:textId="265FCDA5" w:rsidR="00F0150F" w:rsidRPr="0072221F" w:rsidRDefault="00F0150F" w:rsidP="00F0150F">
          <w:pPr>
            <w:pStyle w:val="BodyText"/>
          </w:pPr>
          <w:proofErr w:type="spellStart"/>
          <w:r w:rsidRPr="0072221F">
            <w:t>Bilingel</w:t>
          </w:r>
          <w:proofErr w:type="spellEnd"/>
          <w:r w:rsidRPr="0072221F">
            <w:t xml:space="preserve"> navigation services guide participants to develop short and long-term career plans that are realistic and aligned with their individual skills and interests. </w:t>
          </w:r>
          <w:r w:rsidR="00035E65" w:rsidRPr="0072221F">
            <w:t>CLUES staff work with participants to identify and resolve job, transportation</w:t>
          </w:r>
          <w:r w:rsidRPr="0072221F">
            <w:t>, childcare,</w:t>
          </w:r>
          <w:r w:rsidR="00035E65" w:rsidRPr="0072221F">
            <w:t xml:space="preserve"> and housing barriers, , family violence, and other unique issues affecting participants’ ability to participate in trainings and obtain and retain employment. </w:t>
          </w:r>
        </w:p>
        <w:p w14:paraId="157DFFF5" w14:textId="3F4010AF" w:rsidR="00CA2801" w:rsidRPr="0072221F" w:rsidRDefault="00A84358" w:rsidP="00CA2801">
          <w:pPr>
            <w:spacing w:before="0" w:after="160"/>
          </w:pPr>
          <w:r w:rsidRPr="0072221F">
            <w:t>S</w:t>
          </w:r>
          <w:r w:rsidR="00F0150F" w:rsidRPr="0072221F">
            <w:t>upport s</w:t>
          </w:r>
          <w:r w:rsidR="00035E65" w:rsidRPr="0072221F">
            <w:t xml:space="preserve">ervices include direct financial supports to help low-income participants access </w:t>
          </w:r>
          <w:r w:rsidR="00035E65" w:rsidRPr="0072221F">
            <w:rPr>
              <w:color w:val="000000" w:themeColor="text2"/>
            </w:rPr>
            <w:t>transportation, professional clothing, work tools, and other needs.</w:t>
          </w:r>
          <w:r w:rsidR="005D2381" w:rsidRPr="0072221F">
            <w:rPr>
              <w:color w:val="000000" w:themeColor="text2"/>
            </w:rPr>
            <w:t xml:space="preserve"> </w:t>
          </w:r>
          <w:r w:rsidR="00CA2801" w:rsidRPr="0072221F">
            <w:rPr>
              <w:rFonts w:cstheme="minorHAnsi"/>
            </w:rPr>
            <w:t>Participants are encouraged to engage in CLUES’ other economic</w:t>
          </w:r>
          <w:r w:rsidR="00CA2801" w:rsidRPr="0072221F">
            <w:rPr>
              <w:rStyle w:val="Emphasis"/>
              <w:rFonts w:eastAsiaTheme="majorEastAsia" w:cstheme="minorHAnsi"/>
              <w:bCs/>
            </w:rPr>
            <w:t xml:space="preserve"> </w:t>
          </w:r>
          <w:r w:rsidR="00CA2801" w:rsidRPr="0072221F">
            <w:rPr>
              <w:rStyle w:val="Emphasis"/>
              <w:rFonts w:eastAsiaTheme="majorEastAsia" w:cstheme="minorHAnsi"/>
              <w:bCs/>
              <w:i w:val="0"/>
              <w:iCs w:val="0"/>
            </w:rPr>
            <w:t>empowerment services such as financial coaching, homeownership trainings, lending circles, and free tax services. CLUES offers a bi-weekly Canasta Familiar food distribution program for households experiencing food insecurity.</w:t>
          </w:r>
        </w:p>
        <w:p w14:paraId="2054767B" w14:textId="76AA5478" w:rsidR="00DD1645" w:rsidRPr="00DD1645" w:rsidRDefault="00CB56D3" w:rsidP="00E41BAB">
          <w:pPr>
            <w:pStyle w:val="BodyText"/>
            <w:rPr>
              <w:b/>
              <w:bCs/>
              <w:color w:val="003865"/>
              <w:sz w:val="24"/>
              <w:szCs w:val="24"/>
            </w:rPr>
          </w:pPr>
          <w:bookmarkStart w:id="15" w:name="_Toc502845768"/>
          <w:r>
            <w:rPr>
              <w:b/>
              <w:bCs/>
              <w:color w:val="003865"/>
              <w:sz w:val="24"/>
              <w:szCs w:val="24"/>
            </w:rPr>
            <w:t xml:space="preserve">COVID </w:t>
          </w:r>
          <w:r w:rsidR="00DD1645" w:rsidRPr="00DD1645">
            <w:rPr>
              <w:b/>
              <w:bCs/>
              <w:color w:val="003865"/>
              <w:sz w:val="24"/>
              <w:szCs w:val="24"/>
            </w:rPr>
            <w:t xml:space="preserve">Impact </w:t>
          </w:r>
          <w:r>
            <w:rPr>
              <w:b/>
              <w:bCs/>
              <w:color w:val="003865"/>
              <w:sz w:val="24"/>
              <w:szCs w:val="24"/>
            </w:rPr>
            <w:t>on Programming</w:t>
          </w:r>
          <w:r w:rsidR="00DD1645" w:rsidRPr="00DD1645">
            <w:rPr>
              <w:b/>
              <w:bCs/>
              <w:color w:val="003865"/>
              <w:sz w:val="24"/>
              <w:szCs w:val="24"/>
            </w:rPr>
            <w:t xml:space="preserve"> </w:t>
          </w:r>
        </w:p>
        <w:p w14:paraId="5DFA3DD8" w14:textId="5C51E1DD" w:rsidR="00DD1645" w:rsidRPr="009A08B9" w:rsidRDefault="009931EC" w:rsidP="00CB56D3">
          <w:pPr>
            <w:rPr>
              <w:rFonts w:asciiTheme="minorHAnsi" w:hAnsiTheme="minorHAnsi" w:cstheme="minorHAnsi"/>
            </w:rPr>
          </w:pPr>
          <w:r w:rsidRPr="009A08B9">
            <w:t>During the pandemic</w:t>
          </w:r>
          <w:r w:rsidR="00DD1645" w:rsidRPr="009A08B9">
            <w:t xml:space="preserve">, </w:t>
          </w:r>
          <w:r w:rsidR="00CB56D3" w:rsidRPr="009A08B9">
            <w:t>C</w:t>
          </w:r>
          <w:r w:rsidRPr="009A08B9">
            <w:t xml:space="preserve">LUES participants with children </w:t>
          </w:r>
          <w:r w:rsidR="00CB56D3" w:rsidRPr="009A08B9">
            <w:t xml:space="preserve">have </w:t>
          </w:r>
          <w:r w:rsidR="00F0150F">
            <w:t xml:space="preserve">had </w:t>
          </w:r>
          <w:r w:rsidR="00CB56D3" w:rsidRPr="009A08B9">
            <w:t xml:space="preserve">limited job training options due to the decreased availability of </w:t>
          </w:r>
          <w:r w:rsidR="00D163FE" w:rsidRPr="009A08B9">
            <w:t>childcare</w:t>
          </w:r>
          <w:r w:rsidR="00CB56D3" w:rsidRPr="009A08B9">
            <w:t xml:space="preserve"> and in-person schooling. Some participants are also </w:t>
          </w:r>
          <w:r w:rsidR="00DD1645" w:rsidRPr="009A08B9">
            <w:t xml:space="preserve">hesitant to work in the </w:t>
          </w:r>
          <w:r w:rsidRPr="009A08B9">
            <w:t xml:space="preserve">healthcare </w:t>
          </w:r>
          <w:r w:rsidR="00DD1645" w:rsidRPr="009A08B9">
            <w:t xml:space="preserve">field </w:t>
          </w:r>
          <w:r w:rsidRPr="009A08B9">
            <w:t xml:space="preserve">as CNAs.  Concerns include long shifts </w:t>
          </w:r>
          <w:r w:rsidR="00F0150F">
            <w:t xml:space="preserve">due to </w:t>
          </w:r>
          <w:r w:rsidRPr="009A08B9">
            <w:t xml:space="preserve">staffing shortages and concern for </w:t>
          </w:r>
          <w:r w:rsidR="00DD1645" w:rsidRPr="009A08B9">
            <w:t xml:space="preserve">their health and </w:t>
          </w:r>
          <w:r w:rsidRPr="009A08B9">
            <w:t>the health of loved ones in being exposed to the coronavirus.</w:t>
          </w:r>
          <w:r w:rsidR="001D3032" w:rsidRPr="009A08B9">
            <w:t xml:space="preserve"> D</w:t>
          </w:r>
          <w:r w:rsidR="00DD1645" w:rsidRPr="009A08B9">
            <w:rPr>
              <w:rFonts w:asciiTheme="minorHAnsi" w:hAnsiTheme="minorHAnsi" w:cstheme="minorHAnsi"/>
            </w:rPr>
            <w:t xml:space="preserve">omestic violence and housing instability </w:t>
          </w:r>
          <w:r w:rsidR="00CB56D3" w:rsidRPr="009A08B9">
            <w:rPr>
              <w:rFonts w:asciiTheme="minorHAnsi" w:hAnsiTheme="minorHAnsi" w:cstheme="minorHAnsi"/>
            </w:rPr>
            <w:t xml:space="preserve">are </w:t>
          </w:r>
          <w:r w:rsidR="001D3032" w:rsidRPr="009A08B9">
            <w:rPr>
              <w:rFonts w:asciiTheme="minorHAnsi" w:hAnsiTheme="minorHAnsi" w:cstheme="minorHAnsi"/>
            </w:rPr>
            <w:t xml:space="preserve">also </w:t>
          </w:r>
          <w:r w:rsidR="00CB56D3" w:rsidRPr="009A08B9">
            <w:rPr>
              <w:rFonts w:asciiTheme="minorHAnsi" w:hAnsiTheme="minorHAnsi" w:cstheme="minorHAnsi"/>
            </w:rPr>
            <w:t>increasing in the target communities being served, as</w:t>
          </w:r>
          <w:r w:rsidR="00DD1645" w:rsidRPr="009A08B9">
            <w:rPr>
              <w:rFonts w:asciiTheme="minorHAnsi" w:hAnsiTheme="minorHAnsi" w:cstheme="minorHAnsi"/>
            </w:rPr>
            <w:t xml:space="preserve"> people continue to lose jobs, get evicted</w:t>
          </w:r>
          <w:r w:rsidR="00FE1675">
            <w:rPr>
              <w:rFonts w:asciiTheme="minorHAnsi" w:hAnsiTheme="minorHAnsi" w:cstheme="minorHAnsi"/>
            </w:rPr>
            <w:t>,</w:t>
          </w:r>
          <w:r w:rsidR="00DD1645" w:rsidRPr="009A08B9">
            <w:rPr>
              <w:rFonts w:asciiTheme="minorHAnsi" w:hAnsiTheme="minorHAnsi" w:cstheme="minorHAnsi"/>
            </w:rPr>
            <w:t xml:space="preserve"> and are forced into unsafe housing situations.</w:t>
          </w:r>
        </w:p>
        <w:p w14:paraId="169837A2" w14:textId="2860EA59" w:rsidR="000871C3" w:rsidRDefault="000871C3" w:rsidP="00CB56D3">
          <w:pPr>
            <w:rPr>
              <w:rFonts w:asciiTheme="minorHAnsi" w:hAnsiTheme="minorHAnsi" w:cstheme="minorHAnsi"/>
            </w:rPr>
          </w:pPr>
          <w:r w:rsidRPr="009A08B9">
            <w:rPr>
              <w:rFonts w:cstheme="minorHAnsi"/>
            </w:rPr>
            <w:t>Another important lesson learned as services had to</w:t>
          </w:r>
          <w:r w:rsidR="009138D2" w:rsidRPr="009A08B9">
            <w:rPr>
              <w:rFonts w:cstheme="minorHAnsi"/>
            </w:rPr>
            <w:t xml:space="preserve"> be </w:t>
          </w:r>
          <w:r w:rsidRPr="009A08B9">
            <w:rPr>
              <w:rFonts w:cstheme="minorHAnsi"/>
            </w:rPr>
            <w:t>transition</w:t>
          </w:r>
          <w:r w:rsidR="009138D2" w:rsidRPr="009A08B9">
            <w:rPr>
              <w:rFonts w:cstheme="minorHAnsi"/>
            </w:rPr>
            <w:t>ed</w:t>
          </w:r>
          <w:r w:rsidRPr="009A08B9">
            <w:rPr>
              <w:rFonts w:cstheme="minorHAnsi"/>
            </w:rPr>
            <w:t xml:space="preserve"> to online format is just how much technology is a barrier for families, especially in </w:t>
          </w:r>
          <w:r w:rsidR="009138D2" w:rsidRPr="009A08B9">
            <w:rPr>
              <w:rFonts w:cstheme="minorHAnsi"/>
            </w:rPr>
            <w:t>g</w:t>
          </w:r>
          <w:r w:rsidRPr="009A08B9">
            <w:rPr>
              <w:rFonts w:cstheme="minorHAnsi"/>
            </w:rPr>
            <w:t xml:space="preserve">reater </w:t>
          </w:r>
          <w:r w:rsidR="009138D2" w:rsidRPr="009A08B9">
            <w:rPr>
              <w:rFonts w:cstheme="minorHAnsi"/>
            </w:rPr>
            <w:t>Minnesota</w:t>
          </w:r>
          <w:r w:rsidR="00F0150F">
            <w:rPr>
              <w:rFonts w:cstheme="minorHAnsi"/>
            </w:rPr>
            <w:t xml:space="preserve"> where</w:t>
          </w:r>
          <w:r w:rsidRPr="009A08B9">
            <w:rPr>
              <w:rFonts w:cstheme="minorHAnsi"/>
            </w:rPr>
            <w:t xml:space="preserve"> they d</w:t>
          </w:r>
          <w:r w:rsidR="00F0150F">
            <w:rPr>
              <w:rFonts w:cstheme="minorHAnsi"/>
            </w:rPr>
            <w:t>o</w:t>
          </w:r>
          <w:r w:rsidRPr="009A08B9">
            <w:rPr>
              <w:rFonts w:cstheme="minorHAnsi"/>
            </w:rPr>
            <w:t xml:space="preserve"> not have reliable equipment or internet access. In many instances, </w:t>
          </w:r>
          <w:r w:rsidR="00585867" w:rsidRPr="009A08B9">
            <w:rPr>
              <w:rFonts w:cstheme="minorHAnsi"/>
            </w:rPr>
            <w:t xml:space="preserve">participants needed extra help learning how </w:t>
          </w:r>
          <w:r w:rsidRPr="009A08B9">
            <w:rPr>
              <w:rFonts w:cstheme="minorHAnsi"/>
            </w:rPr>
            <w:t>to navigate websites and portals.</w:t>
          </w:r>
        </w:p>
        <w:p w14:paraId="0DF965BF" w14:textId="77777777" w:rsidR="00996D72" w:rsidRDefault="00996D72" w:rsidP="00996D72">
          <w:pPr>
            <w:pStyle w:val="Heading4"/>
          </w:pPr>
          <w:bookmarkStart w:id="16" w:name="_Toc93049837"/>
          <w:r>
            <w:t>Data Elements and Performance Indicators Being Collected and Reported</w:t>
          </w:r>
          <w:bookmarkEnd w:id="16"/>
        </w:p>
        <w:p w14:paraId="33C10789" w14:textId="77777777" w:rsidR="00996D72" w:rsidRDefault="00996D72" w:rsidP="00996D72">
          <w:pPr>
            <w:pStyle w:val="BodyText"/>
          </w:pPr>
          <w:r>
            <w:t>CLUES submits data to DEED to document the demographics of participants served, services provided, and outcomes achieved. The elements collected are listed below.</w:t>
          </w:r>
        </w:p>
        <w:p w14:paraId="51D80C7D" w14:textId="5C943273" w:rsidR="00E2369C" w:rsidRPr="005D2381" w:rsidRDefault="00E2369C" w:rsidP="00E71EA3">
          <w:pPr>
            <w:pStyle w:val="Heading3"/>
            <w:rPr>
              <w:color w:val="FF0000"/>
            </w:rPr>
          </w:pPr>
          <w:bookmarkStart w:id="17" w:name="_Toc93049838"/>
          <w:r w:rsidRPr="00355553">
            <w:rPr>
              <w:color w:val="003865" w:themeColor="text1"/>
            </w:rPr>
            <w:t>Grant Outcomes</w:t>
          </w:r>
          <w:bookmarkEnd w:id="15"/>
          <w:bookmarkEnd w:id="17"/>
        </w:p>
        <w:p w14:paraId="6863E5DC" w14:textId="5B52D3BC" w:rsidR="00332942" w:rsidRDefault="0037065E" w:rsidP="00BF3277">
          <w:pPr>
            <w:pStyle w:val="BodyText"/>
          </w:pPr>
          <w:r>
            <w:t>Demographic and o</w:t>
          </w:r>
          <w:r w:rsidR="00E82DB7">
            <w:t>utcome data for the SFY</w:t>
          </w:r>
          <w:r w:rsidR="004D3591">
            <w:t xml:space="preserve"> 202</w:t>
          </w:r>
          <w:r w:rsidR="001D7415">
            <w:t>1</w:t>
          </w:r>
          <w:r w:rsidR="004D3591">
            <w:t xml:space="preserve"> </w:t>
          </w:r>
          <w:r w:rsidR="00E82DB7">
            <w:t xml:space="preserve"> CLUES Equity Direct Appropriation </w:t>
          </w:r>
          <w:r>
            <w:t xml:space="preserve">for individual services </w:t>
          </w:r>
          <w:r w:rsidR="00E82DB7">
            <w:t xml:space="preserve">is available </w:t>
          </w:r>
          <w:r w:rsidR="004D3591">
            <w:t>for</w:t>
          </w:r>
          <w:r>
            <w:t xml:space="preserve"> the period </w:t>
          </w:r>
          <w:r w:rsidR="00E41BAB">
            <w:t>July 1, 20</w:t>
          </w:r>
          <w:r w:rsidR="001D7415">
            <w:t>20</w:t>
          </w:r>
          <w:r w:rsidR="00E41BAB">
            <w:t xml:space="preserve"> to</w:t>
          </w:r>
          <w:r>
            <w:t xml:space="preserve"> </w:t>
          </w:r>
          <w:r w:rsidR="004D3591">
            <w:t>June 30,</w:t>
          </w:r>
          <w:r w:rsidR="00E41BAB">
            <w:t xml:space="preserve"> </w:t>
          </w:r>
          <w:r>
            <w:t>20</w:t>
          </w:r>
          <w:r w:rsidR="00E41BAB">
            <w:t>2</w:t>
          </w:r>
          <w:r w:rsidR="001D7415">
            <w:t>1</w:t>
          </w:r>
          <w:r w:rsidR="004D3591">
            <w:t xml:space="preserve"> (as follows)</w:t>
          </w:r>
          <w:r w:rsidR="00355553">
            <w:t>:</w:t>
          </w:r>
        </w:p>
        <w:p w14:paraId="1391C86A" w14:textId="77777777" w:rsidR="00332942" w:rsidRDefault="00332942">
          <w:pPr>
            <w:rPr>
              <w:rFonts w:asciiTheme="minorHAnsi" w:hAnsiTheme="minorHAnsi"/>
            </w:rPr>
          </w:pPr>
          <w:r>
            <w:br w:type="page"/>
          </w:r>
        </w:p>
        <w:p w14:paraId="457602B6" w14:textId="77777777" w:rsidR="00355553" w:rsidRDefault="00355553" w:rsidP="00BF3277">
          <w:pPr>
            <w:pStyle w:val="BodyText"/>
          </w:pPr>
        </w:p>
        <w:tbl>
          <w:tblPr>
            <w:tblStyle w:val="TableGrid"/>
            <w:tblW w:w="0" w:type="auto"/>
            <w:tblLook w:val="04A0" w:firstRow="1" w:lastRow="0" w:firstColumn="1" w:lastColumn="0" w:noHBand="0" w:noVBand="1"/>
          </w:tblPr>
          <w:tblGrid>
            <w:gridCol w:w="7915"/>
            <w:gridCol w:w="2070"/>
          </w:tblGrid>
          <w:tr w:rsidR="004D3591" w:rsidRPr="00355553" w14:paraId="570B5307" w14:textId="77777777" w:rsidTr="004D3591">
            <w:tc>
              <w:tcPr>
                <w:tcW w:w="7915" w:type="dxa"/>
              </w:tcPr>
              <w:p w14:paraId="5B760994" w14:textId="650127F5" w:rsidR="004D3591" w:rsidRPr="00355553" w:rsidRDefault="001D7415" w:rsidP="00BF3277">
                <w:pPr>
                  <w:pStyle w:val="BodyText"/>
                  <w:rPr>
                    <w:b/>
                    <w:sz w:val="24"/>
                    <w:szCs w:val="24"/>
                  </w:rPr>
                </w:pPr>
                <w:r>
                  <w:rPr>
                    <w:b/>
                    <w:sz w:val="24"/>
                    <w:szCs w:val="24"/>
                  </w:rPr>
                  <w:t xml:space="preserve">SFY2021 PARTICIPANT </w:t>
                </w:r>
                <w:r w:rsidR="004D3591" w:rsidRPr="00355553">
                  <w:rPr>
                    <w:b/>
                    <w:sz w:val="24"/>
                    <w:szCs w:val="24"/>
                  </w:rPr>
                  <w:t>DEMOGRAPHIC CHARACTERISTICS</w:t>
                </w:r>
              </w:p>
            </w:tc>
            <w:tc>
              <w:tcPr>
                <w:tcW w:w="2070" w:type="dxa"/>
              </w:tcPr>
              <w:p w14:paraId="5A5A58BE" w14:textId="33CE7081" w:rsidR="004D3591" w:rsidRPr="00355553" w:rsidRDefault="004D3591" w:rsidP="00BF3277">
                <w:pPr>
                  <w:pStyle w:val="BodyText"/>
                  <w:rPr>
                    <w:b/>
                    <w:sz w:val="24"/>
                    <w:szCs w:val="24"/>
                  </w:rPr>
                </w:pPr>
                <w:r w:rsidRPr="00355553">
                  <w:rPr>
                    <w:b/>
                    <w:sz w:val="24"/>
                    <w:szCs w:val="24"/>
                  </w:rPr>
                  <w:t>TOTAL</w:t>
                </w:r>
              </w:p>
            </w:tc>
          </w:tr>
          <w:tr w:rsidR="004D3591" w14:paraId="53878004" w14:textId="77777777" w:rsidTr="004D3591">
            <w:tc>
              <w:tcPr>
                <w:tcW w:w="7915" w:type="dxa"/>
              </w:tcPr>
              <w:p w14:paraId="687D23DC" w14:textId="74F32977" w:rsidR="004D3591" w:rsidRDefault="004D3591" w:rsidP="00BF3277">
                <w:pPr>
                  <w:pStyle w:val="BodyText"/>
                </w:pPr>
                <w:r>
                  <w:t xml:space="preserve">Total Participants served in group services (no detailed demographics </w:t>
                </w:r>
                <w:r w:rsidR="00D163FE">
                  <w:t>available</w:t>
                </w:r>
              </w:p>
            </w:tc>
            <w:tc>
              <w:tcPr>
                <w:tcW w:w="2070" w:type="dxa"/>
              </w:tcPr>
              <w:p w14:paraId="23D5937A" w14:textId="2DDB12F2" w:rsidR="004D3591" w:rsidRDefault="00144E79" w:rsidP="00BF3277">
                <w:pPr>
                  <w:pStyle w:val="BodyText"/>
                </w:pPr>
                <w:r>
                  <w:t>181</w:t>
                </w:r>
              </w:p>
            </w:tc>
          </w:tr>
          <w:tr w:rsidR="004D3591" w14:paraId="4167B8AA" w14:textId="77777777" w:rsidTr="004D3591">
            <w:tc>
              <w:tcPr>
                <w:tcW w:w="7915" w:type="dxa"/>
              </w:tcPr>
              <w:p w14:paraId="10470B59" w14:textId="77777777" w:rsidR="004D3591" w:rsidRDefault="004D3591" w:rsidP="00BF3277">
                <w:pPr>
                  <w:pStyle w:val="BodyText"/>
                </w:pPr>
                <w:r>
                  <w:t>Total individual participants served</w:t>
                </w:r>
              </w:p>
            </w:tc>
            <w:tc>
              <w:tcPr>
                <w:tcW w:w="2070" w:type="dxa"/>
              </w:tcPr>
              <w:p w14:paraId="108B0C68" w14:textId="4E34E1C8" w:rsidR="004D3591" w:rsidRDefault="00536523" w:rsidP="00BF3277">
                <w:pPr>
                  <w:pStyle w:val="BodyText"/>
                </w:pPr>
                <w:r>
                  <w:t>181</w:t>
                </w:r>
              </w:p>
            </w:tc>
          </w:tr>
          <w:tr w:rsidR="004D3591" w14:paraId="39EA2A68" w14:textId="77777777" w:rsidTr="004D3591">
            <w:tc>
              <w:tcPr>
                <w:tcW w:w="7915" w:type="dxa"/>
                <w:shd w:val="clear" w:color="auto" w:fill="C8C8C3" w:themeFill="background2" w:themeFillShade="E6"/>
              </w:tcPr>
              <w:p w14:paraId="43242527" w14:textId="77777777" w:rsidR="004D3591" w:rsidRPr="00BB1FA1" w:rsidRDefault="004D3591" w:rsidP="00BF3277">
                <w:pPr>
                  <w:pStyle w:val="BodyText"/>
                  <w:rPr>
                    <w:color w:val="A8A8A0" w:themeColor="background2" w:themeShade="BF"/>
                  </w:rPr>
                </w:pPr>
              </w:p>
            </w:tc>
            <w:tc>
              <w:tcPr>
                <w:tcW w:w="2070" w:type="dxa"/>
                <w:shd w:val="clear" w:color="auto" w:fill="C8C8C3" w:themeFill="background2" w:themeFillShade="E6"/>
              </w:tcPr>
              <w:p w14:paraId="5CB22960" w14:textId="77777777" w:rsidR="004D3591" w:rsidRPr="00BB1FA1" w:rsidRDefault="004D3591" w:rsidP="00BF3277">
                <w:pPr>
                  <w:pStyle w:val="BodyText"/>
                  <w:rPr>
                    <w:color w:val="A8A8A0" w:themeColor="background2" w:themeShade="BF"/>
                  </w:rPr>
                </w:pPr>
              </w:p>
            </w:tc>
          </w:tr>
          <w:tr w:rsidR="004D3591" w14:paraId="3E8033B2" w14:textId="77777777" w:rsidTr="004D3591">
            <w:tc>
              <w:tcPr>
                <w:tcW w:w="7915" w:type="dxa"/>
              </w:tcPr>
              <w:p w14:paraId="6769AC26" w14:textId="77777777" w:rsidR="004D3591" w:rsidRDefault="004D3591" w:rsidP="00BF3277">
                <w:pPr>
                  <w:pStyle w:val="BodyText"/>
                </w:pPr>
                <w:r>
                  <w:t>Male</w:t>
                </w:r>
              </w:p>
            </w:tc>
            <w:tc>
              <w:tcPr>
                <w:tcW w:w="2070" w:type="dxa"/>
              </w:tcPr>
              <w:p w14:paraId="5BFE1BDF" w14:textId="39DF4856" w:rsidR="004D3591" w:rsidRDefault="00101B98" w:rsidP="00BF3277">
                <w:pPr>
                  <w:pStyle w:val="BodyText"/>
                </w:pPr>
                <w:r>
                  <w:t>51</w:t>
                </w:r>
              </w:p>
            </w:tc>
          </w:tr>
          <w:tr w:rsidR="004D3591" w14:paraId="2C8F1509" w14:textId="77777777" w:rsidTr="004D3591">
            <w:tc>
              <w:tcPr>
                <w:tcW w:w="7915" w:type="dxa"/>
              </w:tcPr>
              <w:p w14:paraId="574C0CE7" w14:textId="77777777" w:rsidR="004D3591" w:rsidRDefault="004D3591" w:rsidP="00BF3277">
                <w:pPr>
                  <w:pStyle w:val="BodyText"/>
                </w:pPr>
                <w:r>
                  <w:t>Female</w:t>
                </w:r>
              </w:p>
            </w:tc>
            <w:tc>
              <w:tcPr>
                <w:tcW w:w="2070" w:type="dxa"/>
              </w:tcPr>
              <w:p w14:paraId="1B97E093" w14:textId="7B8C9551" w:rsidR="004D3591" w:rsidRDefault="00101B98" w:rsidP="00BF3277">
                <w:pPr>
                  <w:pStyle w:val="BodyText"/>
                </w:pPr>
                <w:r>
                  <w:t>128</w:t>
                </w:r>
              </w:p>
            </w:tc>
          </w:tr>
          <w:tr w:rsidR="004D3591" w14:paraId="342B1A2E" w14:textId="77777777" w:rsidTr="004D3591">
            <w:tc>
              <w:tcPr>
                <w:tcW w:w="7915" w:type="dxa"/>
                <w:shd w:val="clear" w:color="auto" w:fill="C8C8C3" w:themeFill="background2" w:themeFillShade="E6"/>
              </w:tcPr>
              <w:p w14:paraId="0826C580" w14:textId="77777777" w:rsidR="004D3591" w:rsidRDefault="004D3591" w:rsidP="00BF3277">
                <w:pPr>
                  <w:pStyle w:val="BodyText"/>
                </w:pPr>
              </w:p>
            </w:tc>
            <w:tc>
              <w:tcPr>
                <w:tcW w:w="2070" w:type="dxa"/>
                <w:shd w:val="clear" w:color="auto" w:fill="C8C8C3" w:themeFill="background2" w:themeFillShade="E6"/>
              </w:tcPr>
              <w:p w14:paraId="52738110" w14:textId="77777777" w:rsidR="004D3591" w:rsidRDefault="004D3591" w:rsidP="00BF3277">
                <w:pPr>
                  <w:pStyle w:val="BodyText"/>
                </w:pPr>
              </w:p>
            </w:tc>
          </w:tr>
          <w:tr w:rsidR="004D3591" w14:paraId="0E35EC2D" w14:textId="77777777" w:rsidTr="004D3591">
            <w:tc>
              <w:tcPr>
                <w:tcW w:w="7915" w:type="dxa"/>
              </w:tcPr>
              <w:p w14:paraId="7498289B" w14:textId="77777777" w:rsidR="004D3591" w:rsidRDefault="004D3591" w:rsidP="00BF3277">
                <w:pPr>
                  <w:pStyle w:val="BodyText"/>
                </w:pPr>
                <w:r>
                  <w:t>Age 14-17</w:t>
                </w:r>
              </w:p>
            </w:tc>
            <w:tc>
              <w:tcPr>
                <w:tcW w:w="2070" w:type="dxa"/>
              </w:tcPr>
              <w:p w14:paraId="0C5AB09B" w14:textId="445FA094" w:rsidR="004D3591" w:rsidRDefault="00A024CF" w:rsidP="00BF3277">
                <w:pPr>
                  <w:pStyle w:val="BodyText"/>
                </w:pPr>
                <w:r>
                  <w:t>3</w:t>
                </w:r>
              </w:p>
            </w:tc>
          </w:tr>
          <w:tr w:rsidR="004D3591" w14:paraId="6466BF75" w14:textId="77777777" w:rsidTr="004D3591">
            <w:tc>
              <w:tcPr>
                <w:tcW w:w="7915" w:type="dxa"/>
              </w:tcPr>
              <w:p w14:paraId="45B220DC" w14:textId="77777777" w:rsidR="004D3591" w:rsidRDefault="004D3591" w:rsidP="00BF3277">
                <w:pPr>
                  <w:pStyle w:val="BodyText"/>
                </w:pPr>
                <w:r>
                  <w:t>Age 18-21</w:t>
                </w:r>
              </w:p>
            </w:tc>
            <w:tc>
              <w:tcPr>
                <w:tcW w:w="2070" w:type="dxa"/>
              </w:tcPr>
              <w:p w14:paraId="5DA37FB2" w14:textId="637B5AC5" w:rsidR="004D3591" w:rsidRDefault="007E6E02" w:rsidP="00BF3277">
                <w:pPr>
                  <w:pStyle w:val="BodyText"/>
                </w:pPr>
                <w:r>
                  <w:t>31</w:t>
                </w:r>
              </w:p>
            </w:tc>
          </w:tr>
          <w:tr w:rsidR="004D3591" w14:paraId="08461E89" w14:textId="77777777" w:rsidTr="004D3591">
            <w:tc>
              <w:tcPr>
                <w:tcW w:w="7915" w:type="dxa"/>
              </w:tcPr>
              <w:p w14:paraId="54CBC5A4" w14:textId="77777777" w:rsidR="004D3591" w:rsidRDefault="004D3591" w:rsidP="00BF3277">
                <w:pPr>
                  <w:pStyle w:val="BodyText"/>
                </w:pPr>
                <w:r>
                  <w:t>Age 22-30</w:t>
                </w:r>
              </w:p>
            </w:tc>
            <w:tc>
              <w:tcPr>
                <w:tcW w:w="2070" w:type="dxa"/>
              </w:tcPr>
              <w:p w14:paraId="286A1220" w14:textId="21E4EF80" w:rsidR="004D3591" w:rsidRDefault="00926A5B" w:rsidP="00BF3277">
                <w:pPr>
                  <w:pStyle w:val="BodyText"/>
                </w:pPr>
                <w:r>
                  <w:t>58</w:t>
                </w:r>
              </w:p>
            </w:tc>
          </w:tr>
          <w:tr w:rsidR="004D3591" w14:paraId="1E57531A" w14:textId="77777777" w:rsidTr="004D3591">
            <w:tc>
              <w:tcPr>
                <w:tcW w:w="7915" w:type="dxa"/>
              </w:tcPr>
              <w:p w14:paraId="050E1722" w14:textId="179CDDF1" w:rsidR="004D3591" w:rsidRDefault="004D3591" w:rsidP="00BF3277">
                <w:pPr>
                  <w:pStyle w:val="BodyText"/>
                </w:pPr>
                <w:r>
                  <w:t>Age 36</w:t>
                </w:r>
                <w:r w:rsidR="00F0150F">
                  <w:t>-54</w:t>
                </w:r>
              </w:p>
            </w:tc>
            <w:tc>
              <w:tcPr>
                <w:tcW w:w="2070" w:type="dxa"/>
              </w:tcPr>
              <w:p w14:paraId="089A3105" w14:textId="1210A663" w:rsidR="004D3591" w:rsidRDefault="00014F49" w:rsidP="00BF3277">
                <w:pPr>
                  <w:pStyle w:val="BodyText"/>
                </w:pPr>
                <w:r>
                  <w:t>89</w:t>
                </w:r>
              </w:p>
            </w:tc>
          </w:tr>
          <w:tr w:rsidR="004D3591" w14:paraId="55BFB7F5" w14:textId="77777777" w:rsidTr="004D3591">
            <w:tc>
              <w:tcPr>
                <w:tcW w:w="7915" w:type="dxa"/>
              </w:tcPr>
              <w:p w14:paraId="171BCE76" w14:textId="77777777" w:rsidR="004D3591" w:rsidRDefault="004D3591" w:rsidP="00BF3277">
                <w:pPr>
                  <w:pStyle w:val="BodyText"/>
                </w:pPr>
                <w:r>
                  <w:t>Age 55 and Over</w:t>
                </w:r>
              </w:p>
            </w:tc>
            <w:tc>
              <w:tcPr>
                <w:tcW w:w="2070" w:type="dxa"/>
              </w:tcPr>
              <w:p w14:paraId="20CC3952" w14:textId="290B1C25" w:rsidR="004D3591" w:rsidRDefault="00F0150F" w:rsidP="00BF3277">
                <w:pPr>
                  <w:pStyle w:val="BodyText"/>
                </w:pPr>
                <w:r>
                  <w:t>0</w:t>
                </w:r>
              </w:p>
            </w:tc>
          </w:tr>
          <w:tr w:rsidR="004D3591" w14:paraId="5EE4A656" w14:textId="77777777" w:rsidTr="004D3591">
            <w:tc>
              <w:tcPr>
                <w:tcW w:w="7915" w:type="dxa"/>
                <w:shd w:val="clear" w:color="auto" w:fill="C8C8C3" w:themeFill="background2" w:themeFillShade="E6"/>
              </w:tcPr>
              <w:p w14:paraId="3701228C" w14:textId="77777777" w:rsidR="004D3591" w:rsidRDefault="004D3591" w:rsidP="00BF3277">
                <w:pPr>
                  <w:pStyle w:val="BodyText"/>
                </w:pPr>
              </w:p>
            </w:tc>
            <w:tc>
              <w:tcPr>
                <w:tcW w:w="2070" w:type="dxa"/>
                <w:shd w:val="clear" w:color="auto" w:fill="C8C8C3" w:themeFill="background2" w:themeFillShade="E6"/>
              </w:tcPr>
              <w:p w14:paraId="419727F5" w14:textId="77777777" w:rsidR="004D3591" w:rsidRDefault="004D3591" w:rsidP="00BF3277">
                <w:pPr>
                  <w:pStyle w:val="BodyText"/>
                </w:pPr>
              </w:p>
            </w:tc>
          </w:tr>
          <w:tr w:rsidR="004D3591" w14:paraId="23DFBCA1" w14:textId="77777777" w:rsidTr="004D3591">
            <w:tc>
              <w:tcPr>
                <w:tcW w:w="7915" w:type="dxa"/>
              </w:tcPr>
              <w:p w14:paraId="04CE2443" w14:textId="77777777" w:rsidR="004D3591" w:rsidRDefault="004D3591" w:rsidP="00BF3277">
                <w:pPr>
                  <w:pStyle w:val="BodyText"/>
                </w:pPr>
                <w:r>
                  <w:t>Hispanic/Latino</w:t>
                </w:r>
              </w:p>
            </w:tc>
            <w:tc>
              <w:tcPr>
                <w:tcW w:w="2070" w:type="dxa"/>
              </w:tcPr>
              <w:p w14:paraId="7351CAD8" w14:textId="21EB667D" w:rsidR="004D3591" w:rsidRDefault="00A55F67" w:rsidP="00BF3277">
                <w:pPr>
                  <w:pStyle w:val="BodyText"/>
                </w:pPr>
                <w:r>
                  <w:t>152</w:t>
                </w:r>
              </w:p>
            </w:tc>
          </w:tr>
          <w:tr w:rsidR="004D3591" w14:paraId="7203DDE6" w14:textId="77777777" w:rsidTr="004D3591">
            <w:tc>
              <w:tcPr>
                <w:tcW w:w="7915" w:type="dxa"/>
              </w:tcPr>
              <w:p w14:paraId="59541F37" w14:textId="77777777" w:rsidR="004D3591" w:rsidRDefault="004D3591" w:rsidP="00BF3277">
                <w:pPr>
                  <w:pStyle w:val="BodyText"/>
                </w:pPr>
                <w:r>
                  <w:t>American Indian/ Alaskan Native</w:t>
                </w:r>
              </w:p>
            </w:tc>
            <w:tc>
              <w:tcPr>
                <w:tcW w:w="2070" w:type="dxa"/>
              </w:tcPr>
              <w:p w14:paraId="0B3E59B3" w14:textId="4379D906" w:rsidR="004D3591" w:rsidRDefault="005950B7" w:rsidP="00BF3277">
                <w:pPr>
                  <w:pStyle w:val="BodyText"/>
                </w:pPr>
                <w:r>
                  <w:t>1</w:t>
                </w:r>
              </w:p>
            </w:tc>
          </w:tr>
          <w:tr w:rsidR="004D3591" w14:paraId="74A01359" w14:textId="77777777" w:rsidTr="004D3591">
            <w:tc>
              <w:tcPr>
                <w:tcW w:w="7915" w:type="dxa"/>
              </w:tcPr>
              <w:p w14:paraId="1964B166" w14:textId="77777777" w:rsidR="004D3591" w:rsidRDefault="004D3591" w:rsidP="00BF3277">
                <w:pPr>
                  <w:pStyle w:val="BodyText"/>
                </w:pPr>
                <w:r>
                  <w:t>Asian/ Pacific Islander</w:t>
                </w:r>
              </w:p>
            </w:tc>
            <w:tc>
              <w:tcPr>
                <w:tcW w:w="2070" w:type="dxa"/>
              </w:tcPr>
              <w:p w14:paraId="46F65ECF" w14:textId="34878DAD" w:rsidR="004D3591" w:rsidRDefault="005950B7" w:rsidP="00BF3277">
                <w:pPr>
                  <w:pStyle w:val="BodyText"/>
                </w:pPr>
                <w:r>
                  <w:t>2</w:t>
                </w:r>
              </w:p>
            </w:tc>
          </w:tr>
          <w:tr w:rsidR="004D3591" w14:paraId="366DDB65" w14:textId="77777777" w:rsidTr="004D3591">
            <w:tc>
              <w:tcPr>
                <w:tcW w:w="7915" w:type="dxa"/>
              </w:tcPr>
              <w:p w14:paraId="3C13299B" w14:textId="77777777" w:rsidR="004D3591" w:rsidRDefault="004D3591" w:rsidP="00BF3277">
                <w:pPr>
                  <w:pStyle w:val="BodyText"/>
                </w:pPr>
                <w:r>
                  <w:t>Black/African American</w:t>
                </w:r>
              </w:p>
            </w:tc>
            <w:tc>
              <w:tcPr>
                <w:tcW w:w="2070" w:type="dxa"/>
              </w:tcPr>
              <w:p w14:paraId="462FE4EB" w14:textId="3F9E718D" w:rsidR="004D3591" w:rsidRDefault="00D53D69" w:rsidP="00BF3277">
                <w:pPr>
                  <w:pStyle w:val="BodyText"/>
                </w:pPr>
                <w:r>
                  <w:t>17</w:t>
                </w:r>
              </w:p>
            </w:tc>
          </w:tr>
          <w:tr w:rsidR="004D3591" w14:paraId="04D9DB19" w14:textId="77777777" w:rsidTr="004D3591">
            <w:tc>
              <w:tcPr>
                <w:tcW w:w="7915" w:type="dxa"/>
              </w:tcPr>
              <w:p w14:paraId="2F868B3B" w14:textId="77777777" w:rsidR="004D3591" w:rsidRDefault="004D3591" w:rsidP="00BF3277">
                <w:pPr>
                  <w:pStyle w:val="BodyText"/>
                </w:pPr>
                <w:r>
                  <w:lastRenderedPageBreak/>
                  <w:t>White</w:t>
                </w:r>
              </w:p>
            </w:tc>
            <w:tc>
              <w:tcPr>
                <w:tcW w:w="2070" w:type="dxa"/>
              </w:tcPr>
              <w:p w14:paraId="57983298" w14:textId="5E9566F0" w:rsidR="004D3591" w:rsidRDefault="00D53D69" w:rsidP="00BF3277">
                <w:pPr>
                  <w:pStyle w:val="BodyText"/>
                </w:pPr>
                <w:r>
                  <w:t>117</w:t>
                </w:r>
              </w:p>
            </w:tc>
          </w:tr>
          <w:tr w:rsidR="004D3591" w14:paraId="7037ADC3" w14:textId="77777777" w:rsidTr="004D3591">
            <w:tc>
              <w:tcPr>
                <w:tcW w:w="7915" w:type="dxa"/>
                <w:shd w:val="clear" w:color="auto" w:fill="C8C8C3" w:themeFill="background2" w:themeFillShade="E6"/>
              </w:tcPr>
              <w:p w14:paraId="12AA27E9" w14:textId="77777777" w:rsidR="004D3591" w:rsidRPr="00E21E67" w:rsidRDefault="004D3591" w:rsidP="00BF3277">
                <w:pPr>
                  <w:pStyle w:val="BodyText"/>
                  <w:rPr>
                    <w:color w:val="C8C8C3" w:themeColor="background2" w:themeShade="E6"/>
                  </w:rPr>
                </w:pPr>
              </w:p>
            </w:tc>
            <w:tc>
              <w:tcPr>
                <w:tcW w:w="2070" w:type="dxa"/>
                <w:shd w:val="clear" w:color="auto" w:fill="C8C8C3" w:themeFill="background2" w:themeFillShade="E6"/>
              </w:tcPr>
              <w:p w14:paraId="24C9E3DF" w14:textId="77777777" w:rsidR="004D3591" w:rsidRPr="00E21E67" w:rsidRDefault="004D3591" w:rsidP="00BF3277">
                <w:pPr>
                  <w:pStyle w:val="BodyText"/>
                  <w:rPr>
                    <w:color w:val="C8C8C3" w:themeColor="background2" w:themeShade="E6"/>
                  </w:rPr>
                </w:pPr>
              </w:p>
            </w:tc>
          </w:tr>
          <w:tr w:rsidR="004D3591" w14:paraId="32AF107B" w14:textId="77777777" w:rsidTr="004D3591">
            <w:tc>
              <w:tcPr>
                <w:tcW w:w="7915" w:type="dxa"/>
              </w:tcPr>
              <w:p w14:paraId="2312042F" w14:textId="77777777" w:rsidR="004D3591" w:rsidRDefault="004D3591" w:rsidP="00BF3277">
                <w:pPr>
                  <w:pStyle w:val="BodyText"/>
                </w:pPr>
                <w:r>
                  <w:t>8</w:t>
                </w:r>
                <w:r w:rsidRPr="00E21E67">
                  <w:rPr>
                    <w:vertAlign w:val="superscript"/>
                  </w:rPr>
                  <w:t>th</w:t>
                </w:r>
                <w:r>
                  <w:t xml:space="preserve"> grade and under</w:t>
                </w:r>
              </w:p>
            </w:tc>
            <w:tc>
              <w:tcPr>
                <w:tcW w:w="2070" w:type="dxa"/>
              </w:tcPr>
              <w:p w14:paraId="053739BF" w14:textId="13E4EEC8" w:rsidR="004D3591" w:rsidRDefault="00E45956" w:rsidP="00BF3277">
                <w:pPr>
                  <w:pStyle w:val="BodyText"/>
                </w:pPr>
                <w:r>
                  <w:t>0</w:t>
                </w:r>
              </w:p>
            </w:tc>
          </w:tr>
          <w:tr w:rsidR="004D3591" w14:paraId="642C123C" w14:textId="77777777" w:rsidTr="004D3591">
            <w:tc>
              <w:tcPr>
                <w:tcW w:w="7915" w:type="dxa"/>
              </w:tcPr>
              <w:p w14:paraId="01180C17" w14:textId="77777777" w:rsidR="004D3591" w:rsidRDefault="004D3591" w:rsidP="00BF3277">
                <w:pPr>
                  <w:pStyle w:val="BodyText"/>
                </w:pPr>
                <w:r>
                  <w:t>9</w:t>
                </w:r>
                <w:r w:rsidRPr="00E21E67">
                  <w:rPr>
                    <w:vertAlign w:val="superscript"/>
                  </w:rPr>
                  <w:t>th</w:t>
                </w:r>
                <w:r>
                  <w:t xml:space="preserve"> grade – 12</w:t>
                </w:r>
                <w:r w:rsidRPr="00E21E67">
                  <w:rPr>
                    <w:vertAlign w:val="superscript"/>
                  </w:rPr>
                  <w:t>th</w:t>
                </w:r>
                <w:r>
                  <w:t xml:space="preserve"> grade</w:t>
                </w:r>
              </w:p>
            </w:tc>
            <w:tc>
              <w:tcPr>
                <w:tcW w:w="2070" w:type="dxa"/>
              </w:tcPr>
              <w:p w14:paraId="129473D3" w14:textId="55191B6A" w:rsidR="004D3591" w:rsidRDefault="00855B34" w:rsidP="00BF3277">
                <w:pPr>
                  <w:pStyle w:val="BodyText"/>
                </w:pPr>
                <w:r>
                  <w:t>38</w:t>
                </w:r>
              </w:p>
            </w:tc>
          </w:tr>
          <w:tr w:rsidR="004D3591" w14:paraId="70A8BCDE" w14:textId="77777777" w:rsidTr="004D3591">
            <w:tc>
              <w:tcPr>
                <w:tcW w:w="7915" w:type="dxa"/>
              </w:tcPr>
              <w:p w14:paraId="09C47010" w14:textId="77777777" w:rsidR="004D3591" w:rsidRDefault="004D3591" w:rsidP="00BF3277">
                <w:pPr>
                  <w:pStyle w:val="BodyText"/>
                </w:pPr>
                <w:r>
                  <w:t>High School Graduate / equivalent</w:t>
                </w:r>
              </w:p>
            </w:tc>
            <w:tc>
              <w:tcPr>
                <w:tcW w:w="2070" w:type="dxa"/>
              </w:tcPr>
              <w:p w14:paraId="500BD2F4" w14:textId="028CB6D8" w:rsidR="004D3591" w:rsidRDefault="00DD5450" w:rsidP="00BF3277">
                <w:pPr>
                  <w:pStyle w:val="BodyText"/>
                </w:pPr>
                <w:r>
                  <w:t>96</w:t>
                </w:r>
              </w:p>
            </w:tc>
          </w:tr>
          <w:tr w:rsidR="004D3591" w14:paraId="4D42B074" w14:textId="77777777" w:rsidTr="004D3591">
            <w:tc>
              <w:tcPr>
                <w:tcW w:w="7915" w:type="dxa"/>
              </w:tcPr>
              <w:p w14:paraId="146295E0" w14:textId="6CBA1DF6" w:rsidR="004D3591" w:rsidRDefault="004D3591" w:rsidP="00BF3277">
                <w:pPr>
                  <w:pStyle w:val="BodyText"/>
                </w:pPr>
                <w:r>
                  <w:t>Some post-</w:t>
                </w:r>
                <w:r w:rsidR="00D163FE">
                  <w:t>secondary</w:t>
                </w:r>
                <w:r>
                  <w:t xml:space="preserve"> education</w:t>
                </w:r>
              </w:p>
            </w:tc>
            <w:tc>
              <w:tcPr>
                <w:tcW w:w="2070" w:type="dxa"/>
              </w:tcPr>
              <w:p w14:paraId="251C645B" w14:textId="58EC1D35" w:rsidR="004D3591" w:rsidRDefault="00DD5450" w:rsidP="00BF3277">
                <w:pPr>
                  <w:pStyle w:val="BodyText"/>
                </w:pPr>
                <w:r>
                  <w:t>46</w:t>
                </w:r>
              </w:p>
            </w:tc>
          </w:tr>
          <w:tr w:rsidR="004D3591" w14:paraId="6D2D584B" w14:textId="77777777" w:rsidTr="004D3591">
            <w:tc>
              <w:tcPr>
                <w:tcW w:w="7915" w:type="dxa"/>
                <w:shd w:val="clear" w:color="auto" w:fill="A8A8A0" w:themeFill="background2" w:themeFillShade="BF"/>
              </w:tcPr>
              <w:p w14:paraId="1278313A" w14:textId="77777777" w:rsidR="004D3591" w:rsidRDefault="004D3591" w:rsidP="00BF3277">
                <w:pPr>
                  <w:pStyle w:val="BodyText"/>
                </w:pPr>
              </w:p>
            </w:tc>
            <w:tc>
              <w:tcPr>
                <w:tcW w:w="2070" w:type="dxa"/>
                <w:shd w:val="clear" w:color="auto" w:fill="A8A8A0" w:themeFill="background2" w:themeFillShade="BF"/>
              </w:tcPr>
              <w:p w14:paraId="280544CE" w14:textId="77777777" w:rsidR="004D3591" w:rsidRDefault="004D3591" w:rsidP="00BF3277">
                <w:pPr>
                  <w:pStyle w:val="BodyText"/>
                </w:pPr>
              </w:p>
            </w:tc>
          </w:tr>
          <w:tr w:rsidR="004D3591" w14:paraId="227F0BA5" w14:textId="77777777" w:rsidTr="004D3591">
            <w:tc>
              <w:tcPr>
                <w:tcW w:w="7915" w:type="dxa"/>
              </w:tcPr>
              <w:p w14:paraId="7FA11DB1" w14:textId="77777777" w:rsidR="004D3591" w:rsidRDefault="004D3591" w:rsidP="00BF3277">
                <w:pPr>
                  <w:pStyle w:val="BodyText"/>
                </w:pPr>
                <w:r>
                  <w:t>Limited English proficient</w:t>
                </w:r>
              </w:p>
            </w:tc>
            <w:tc>
              <w:tcPr>
                <w:tcW w:w="2070" w:type="dxa"/>
              </w:tcPr>
              <w:p w14:paraId="62FD1798" w14:textId="03824313" w:rsidR="004D3591" w:rsidRDefault="00E75B8D" w:rsidP="00BF3277">
                <w:pPr>
                  <w:pStyle w:val="BodyText"/>
                </w:pPr>
                <w:r>
                  <w:t>2</w:t>
                </w:r>
              </w:p>
            </w:tc>
          </w:tr>
          <w:tr w:rsidR="004D3591" w14:paraId="59F20A24" w14:textId="77777777" w:rsidTr="004D3591">
            <w:tc>
              <w:tcPr>
                <w:tcW w:w="7915" w:type="dxa"/>
              </w:tcPr>
              <w:p w14:paraId="7EEE8238" w14:textId="77777777" w:rsidR="004D3591" w:rsidRDefault="00F54C8C" w:rsidP="00BF3277">
                <w:pPr>
                  <w:pStyle w:val="BodyText"/>
                </w:pPr>
                <w:r>
                  <w:t xml:space="preserve">Youth from Families Receiving Public Assistance </w:t>
                </w:r>
              </w:p>
            </w:tc>
            <w:tc>
              <w:tcPr>
                <w:tcW w:w="2070" w:type="dxa"/>
              </w:tcPr>
              <w:p w14:paraId="1F0690E9" w14:textId="6874FA2A" w:rsidR="004D3591" w:rsidRDefault="00E75B8D" w:rsidP="00BF3277">
                <w:pPr>
                  <w:pStyle w:val="BodyText"/>
                </w:pPr>
                <w:r>
                  <w:t>54</w:t>
                </w:r>
              </w:p>
            </w:tc>
          </w:tr>
          <w:tr w:rsidR="004D3591" w14:paraId="22F9460B" w14:textId="77777777" w:rsidTr="004D3591">
            <w:tc>
              <w:tcPr>
                <w:tcW w:w="7915" w:type="dxa"/>
              </w:tcPr>
              <w:p w14:paraId="357BFC91" w14:textId="77777777" w:rsidR="004D3591" w:rsidRDefault="00F54C8C" w:rsidP="00BF3277">
                <w:pPr>
                  <w:pStyle w:val="BodyText"/>
                </w:pPr>
                <w:r>
                  <w:t>Youth Offender</w:t>
                </w:r>
              </w:p>
            </w:tc>
            <w:tc>
              <w:tcPr>
                <w:tcW w:w="2070" w:type="dxa"/>
              </w:tcPr>
              <w:p w14:paraId="70951952" w14:textId="2B1D5AEB" w:rsidR="004D3591" w:rsidRDefault="00387395" w:rsidP="00BF3277">
                <w:pPr>
                  <w:pStyle w:val="BodyText"/>
                </w:pPr>
                <w:r>
                  <w:t>5</w:t>
                </w:r>
              </w:p>
            </w:tc>
          </w:tr>
          <w:tr w:rsidR="004D3591" w14:paraId="1CE506D3" w14:textId="77777777" w:rsidTr="004D3591">
            <w:tc>
              <w:tcPr>
                <w:tcW w:w="7915" w:type="dxa"/>
              </w:tcPr>
              <w:p w14:paraId="5000D329" w14:textId="77777777" w:rsidR="004D3591" w:rsidRDefault="00F54C8C" w:rsidP="00BF3277">
                <w:pPr>
                  <w:pStyle w:val="BodyText"/>
                </w:pPr>
                <w:r>
                  <w:t>Youth</w:t>
                </w:r>
                <w:r w:rsidR="004D3591">
                  <w:t xml:space="preserve"> with a disability (including learning disability)</w:t>
                </w:r>
              </w:p>
            </w:tc>
            <w:tc>
              <w:tcPr>
                <w:tcW w:w="2070" w:type="dxa"/>
              </w:tcPr>
              <w:p w14:paraId="4AB1AA74" w14:textId="6DEBB426" w:rsidR="004D3591" w:rsidRDefault="00AE0F07" w:rsidP="00BF3277">
                <w:pPr>
                  <w:pStyle w:val="BodyText"/>
                </w:pPr>
                <w:r>
                  <w:t>10</w:t>
                </w:r>
              </w:p>
            </w:tc>
          </w:tr>
          <w:tr w:rsidR="004D3591" w14:paraId="6C20416D" w14:textId="77777777" w:rsidTr="004D3591">
            <w:tc>
              <w:tcPr>
                <w:tcW w:w="7915" w:type="dxa"/>
              </w:tcPr>
              <w:p w14:paraId="19438899" w14:textId="77777777" w:rsidR="004D3591" w:rsidRDefault="004D3591" w:rsidP="00BF3277">
                <w:pPr>
                  <w:pStyle w:val="BodyText"/>
                </w:pPr>
                <w:r>
                  <w:t>Ex-offender</w:t>
                </w:r>
              </w:p>
            </w:tc>
            <w:tc>
              <w:tcPr>
                <w:tcW w:w="2070" w:type="dxa"/>
              </w:tcPr>
              <w:p w14:paraId="4EDC150C" w14:textId="50FB3AE5" w:rsidR="004D3591" w:rsidRDefault="006E1135" w:rsidP="00BF3277">
                <w:pPr>
                  <w:pStyle w:val="BodyText"/>
                </w:pPr>
                <w:r>
                  <w:t>0</w:t>
                </w:r>
              </w:p>
            </w:tc>
          </w:tr>
          <w:tr w:rsidR="004D3591" w14:paraId="3F8637DB" w14:textId="77777777" w:rsidTr="004D3591">
            <w:tc>
              <w:tcPr>
                <w:tcW w:w="7915" w:type="dxa"/>
              </w:tcPr>
              <w:p w14:paraId="2C7AEB29" w14:textId="77777777" w:rsidR="004D3591" w:rsidRDefault="00F54C8C" w:rsidP="00BF3277">
                <w:pPr>
                  <w:pStyle w:val="BodyText"/>
                </w:pPr>
                <w:r>
                  <w:t xml:space="preserve">Pregnant or </w:t>
                </w:r>
                <w:r w:rsidR="004D3591">
                  <w:t>Parent</w:t>
                </w:r>
                <w:r>
                  <w:t>ing Youth</w:t>
                </w:r>
              </w:p>
            </w:tc>
            <w:tc>
              <w:tcPr>
                <w:tcW w:w="2070" w:type="dxa"/>
              </w:tcPr>
              <w:p w14:paraId="029C416A" w14:textId="36B4C940" w:rsidR="004D3591" w:rsidRDefault="002B322A" w:rsidP="00BF3277">
                <w:pPr>
                  <w:pStyle w:val="BodyText"/>
                </w:pPr>
                <w:r>
                  <w:t>0</w:t>
                </w:r>
              </w:p>
            </w:tc>
          </w:tr>
          <w:tr w:rsidR="004D3591" w14:paraId="1B27F000" w14:textId="77777777" w:rsidTr="004D3591">
            <w:tc>
              <w:tcPr>
                <w:tcW w:w="7915" w:type="dxa"/>
              </w:tcPr>
              <w:p w14:paraId="1B1996D1" w14:textId="5348BF6E" w:rsidR="004D3591" w:rsidRDefault="004D3591" w:rsidP="00BF3277">
                <w:pPr>
                  <w:pStyle w:val="BodyText"/>
                </w:pPr>
                <w:r>
                  <w:t xml:space="preserve">Basic Skills </w:t>
                </w:r>
                <w:r w:rsidR="00D163FE">
                  <w:t>Deficient</w:t>
                </w:r>
              </w:p>
            </w:tc>
            <w:tc>
              <w:tcPr>
                <w:tcW w:w="2070" w:type="dxa"/>
              </w:tcPr>
              <w:p w14:paraId="3FBB9AA1" w14:textId="71C55FE6" w:rsidR="004D3591" w:rsidRDefault="00227049" w:rsidP="00BF3277">
                <w:pPr>
                  <w:pStyle w:val="BodyText"/>
                </w:pPr>
                <w:r>
                  <w:t>0</w:t>
                </w:r>
              </w:p>
            </w:tc>
          </w:tr>
          <w:tr w:rsidR="004D3591" w14:paraId="696DD32D" w14:textId="77777777" w:rsidTr="004D3591">
            <w:tc>
              <w:tcPr>
                <w:tcW w:w="7915" w:type="dxa"/>
              </w:tcPr>
              <w:p w14:paraId="662EFDD9" w14:textId="77777777" w:rsidR="004D3591" w:rsidRDefault="004D3591" w:rsidP="00BF3277">
                <w:pPr>
                  <w:pStyle w:val="BodyText"/>
                </w:pPr>
                <w:r>
                  <w:t>Homeless</w:t>
                </w:r>
              </w:p>
            </w:tc>
            <w:tc>
              <w:tcPr>
                <w:tcW w:w="2070" w:type="dxa"/>
              </w:tcPr>
              <w:p w14:paraId="33CD6378" w14:textId="0606A514" w:rsidR="004D3591" w:rsidRDefault="009A3514" w:rsidP="00BF3277">
                <w:pPr>
                  <w:pStyle w:val="BodyText"/>
                </w:pPr>
                <w:r>
                  <w:t>6</w:t>
                </w:r>
              </w:p>
            </w:tc>
          </w:tr>
          <w:tr w:rsidR="004D3591" w14:paraId="095A2405" w14:textId="77777777" w:rsidTr="004D3591">
            <w:tc>
              <w:tcPr>
                <w:tcW w:w="7915" w:type="dxa"/>
              </w:tcPr>
              <w:p w14:paraId="354B445C" w14:textId="77777777" w:rsidR="004D3591" w:rsidRDefault="004D3591" w:rsidP="00BF3277">
                <w:pPr>
                  <w:pStyle w:val="BodyText"/>
                </w:pPr>
                <w:r>
                  <w:t>Not employed at program enrollment</w:t>
                </w:r>
              </w:p>
            </w:tc>
            <w:tc>
              <w:tcPr>
                <w:tcW w:w="2070" w:type="dxa"/>
              </w:tcPr>
              <w:p w14:paraId="238A3D30" w14:textId="3F1A7953" w:rsidR="004D3591" w:rsidRDefault="00093C9B" w:rsidP="00BF3277">
                <w:pPr>
                  <w:pStyle w:val="BodyText"/>
                </w:pPr>
                <w:r>
                  <w:t>103</w:t>
                </w:r>
              </w:p>
            </w:tc>
          </w:tr>
          <w:tr w:rsidR="004D3591" w14:paraId="1C9CBCFD" w14:textId="77777777" w:rsidTr="004D3591">
            <w:tc>
              <w:tcPr>
                <w:tcW w:w="7915" w:type="dxa"/>
              </w:tcPr>
              <w:p w14:paraId="62249587" w14:textId="77777777" w:rsidR="004D3591" w:rsidRDefault="004D3591" w:rsidP="00BF3277">
                <w:pPr>
                  <w:pStyle w:val="BodyText"/>
                </w:pPr>
                <w:r>
                  <w:t>Veteran</w:t>
                </w:r>
              </w:p>
            </w:tc>
            <w:tc>
              <w:tcPr>
                <w:tcW w:w="2070" w:type="dxa"/>
              </w:tcPr>
              <w:p w14:paraId="30894159" w14:textId="433EA241" w:rsidR="004D3591" w:rsidRDefault="00F91F09" w:rsidP="00BF3277">
                <w:pPr>
                  <w:pStyle w:val="BodyText"/>
                </w:pPr>
                <w:r>
                  <w:t>2</w:t>
                </w:r>
              </w:p>
            </w:tc>
          </w:tr>
          <w:tr w:rsidR="004D3591" w14:paraId="30D52B41" w14:textId="77777777" w:rsidTr="004D3591">
            <w:tc>
              <w:tcPr>
                <w:tcW w:w="7915" w:type="dxa"/>
                <w:shd w:val="clear" w:color="auto" w:fill="A8A8A0" w:themeFill="background2" w:themeFillShade="BF"/>
              </w:tcPr>
              <w:p w14:paraId="4726F9C5" w14:textId="77777777" w:rsidR="004D3591" w:rsidRDefault="004D3591" w:rsidP="00BF3277">
                <w:pPr>
                  <w:pStyle w:val="BodyText"/>
                </w:pPr>
              </w:p>
            </w:tc>
            <w:tc>
              <w:tcPr>
                <w:tcW w:w="2070" w:type="dxa"/>
                <w:shd w:val="clear" w:color="auto" w:fill="A8A8A0" w:themeFill="background2" w:themeFillShade="BF"/>
              </w:tcPr>
              <w:p w14:paraId="3D48E710" w14:textId="77777777" w:rsidR="004D3591" w:rsidRDefault="004D3591" w:rsidP="00BF3277">
                <w:pPr>
                  <w:pStyle w:val="BodyText"/>
                </w:pPr>
              </w:p>
            </w:tc>
          </w:tr>
          <w:tr w:rsidR="004D3591" w14:paraId="69B10A8F" w14:textId="77777777" w:rsidTr="004D3591">
            <w:tc>
              <w:tcPr>
                <w:tcW w:w="7915" w:type="dxa"/>
              </w:tcPr>
              <w:p w14:paraId="7CE9194D" w14:textId="77777777" w:rsidR="004D3591" w:rsidRPr="0096541B" w:rsidRDefault="004D3591" w:rsidP="00BF3277">
                <w:pPr>
                  <w:pStyle w:val="BodyText"/>
                  <w:rPr>
                    <w:b/>
                    <w:sz w:val="24"/>
                    <w:szCs w:val="24"/>
                  </w:rPr>
                </w:pPr>
                <w:r w:rsidRPr="0096541B">
                  <w:rPr>
                    <w:b/>
                    <w:sz w:val="24"/>
                    <w:szCs w:val="24"/>
                  </w:rPr>
                  <w:lastRenderedPageBreak/>
                  <w:t>P</w:t>
                </w:r>
                <w:r>
                  <w:rPr>
                    <w:b/>
                    <w:sz w:val="24"/>
                    <w:szCs w:val="24"/>
                  </w:rPr>
                  <w:t>ROGRAM SERVICES</w:t>
                </w:r>
                <w:r w:rsidR="00F54C8C">
                  <w:rPr>
                    <w:b/>
                    <w:sz w:val="24"/>
                    <w:szCs w:val="24"/>
                  </w:rPr>
                  <w:t xml:space="preserve"> </w:t>
                </w:r>
                <w:r>
                  <w:rPr>
                    <w:b/>
                    <w:sz w:val="24"/>
                    <w:szCs w:val="24"/>
                  </w:rPr>
                  <w:t>RECEIVED</w:t>
                </w:r>
              </w:p>
            </w:tc>
            <w:tc>
              <w:tcPr>
                <w:tcW w:w="2070" w:type="dxa"/>
              </w:tcPr>
              <w:p w14:paraId="157CA420" w14:textId="77777777" w:rsidR="004D3591" w:rsidRDefault="004D3591" w:rsidP="00BF3277">
                <w:pPr>
                  <w:pStyle w:val="BodyText"/>
                </w:pPr>
                <w:r w:rsidRPr="00061C0B">
                  <w:rPr>
                    <w:b/>
                    <w:sz w:val="24"/>
                    <w:szCs w:val="24"/>
                  </w:rPr>
                  <w:t>TOTAL</w:t>
                </w:r>
              </w:p>
            </w:tc>
          </w:tr>
          <w:tr w:rsidR="004D3591" w14:paraId="3C0133FE" w14:textId="77777777" w:rsidTr="004C0F2B">
            <w:tc>
              <w:tcPr>
                <w:tcW w:w="7915" w:type="dxa"/>
              </w:tcPr>
              <w:p w14:paraId="47EEECDC" w14:textId="77777777" w:rsidR="004D3591" w:rsidRDefault="004C0F2B" w:rsidP="00BF3277">
                <w:pPr>
                  <w:pStyle w:val="BodyText"/>
                </w:pPr>
                <w:r>
                  <w:t>Job Training or Education Services</w:t>
                </w:r>
                <w:r w:rsidR="004D3591">
                  <w:t xml:space="preserve"> </w:t>
                </w:r>
              </w:p>
            </w:tc>
            <w:tc>
              <w:tcPr>
                <w:tcW w:w="2070" w:type="dxa"/>
                <w:shd w:val="clear" w:color="auto" w:fill="auto"/>
              </w:tcPr>
              <w:p w14:paraId="340196C1" w14:textId="052A55A0" w:rsidR="004D3591" w:rsidRDefault="00922A48" w:rsidP="00BF3277">
                <w:pPr>
                  <w:pStyle w:val="BodyText"/>
                </w:pPr>
                <w:r>
                  <w:t>151</w:t>
                </w:r>
              </w:p>
            </w:tc>
          </w:tr>
          <w:tr w:rsidR="004D3591" w14:paraId="32E7742D" w14:textId="77777777" w:rsidTr="00C96ADE">
            <w:tc>
              <w:tcPr>
                <w:tcW w:w="7915" w:type="dxa"/>
              </w:tcPr>
              <w:p w14:paraId="153474DD" w14:textId="77777777" w:rsidR="004D3591" w:rsidRPr="006B1C30" w:rsidRDefault="004D3591" w:rsidP="00BF3277">
                <w:pPr>
                  <w:pStyle w:val="BodyText"/>
                  <w:rPr>
                    <w:highlight w:val="yellow"/>
                  </w:rPr>
                </w:pPr>
                <w:r w:rsidRPr="00FE1675">
                  <w:t>Career Pathways Training</w:t>
                </w:r>
              </w:p>
            </w:tc>
            <w:tc>
              <w:tcPr>
                <w:tcW w:w="2070" w:type="dxa"/>
                <w:shd w:val="clear" w:color="auto" w:fill="auto"/>
              </w:tcPr>
              <w:p w14:paraId="1873F0BE" w14:textId="106A36CB" w:rsidR="004D3591" w:rsidRDefault="00482F57" w:rsidP="00BF3277">
                <w:pPr>
                  <w:pStyle w:val="BodyText"/>
                </w:pPr>
                <w:r>
                  <w:t>151</w:t>
                </w:r>
              </w:p>
            </w:tc>
          </w:tr>
          <w:tr w:rsidR="004D3591" w14:paraId="64A90A3F" w14:textId="77777777" w:rsidTr="004D3591">
            <w:tc>
              <w:tcPr>
                <w:tcW w:w="7915" w:type="dxa"/>
              </w:tcPr>
              <w:p w14:paraId="7460C34D" w14:textId="77777777" w:rsidR="004D3591" w:rsidRPr="006B1C30" w:rsidRDefault="004D3591" w:rsidP="00BF3277">
                <w:pPr>
                  <w:pStyle w:val="BodyText"/>
                  <w:rPr>
                    <w:highlight w:val="yellow"/>
                  </w:rPr>
                </w:pPr>
                <w:r w:rsidRPr="00FE1675">
                  <w:t>Financial Training/Coaching</w:t>
                </w:r>
              </w:p>
            </w:tc>
            <w:tc>
              <w:tcPr>
                <w:tcW w:w="2070" w:type="dxa"/>
              </w:tcPr>
              <w:p w14:paraId="3F3162D3" w14:textId="4573019C" w:rsidR="004D3591" w:rsidRDefault="00482F57" w:rsidP="00BF3277">
                <w:pPr>
                  <w:pStyle w:val="BodyText"/>
                </w:pPr>
                <w:r>
                  <w:t>151</w:t>
                </w:r>
              </w:p>
            </w:tc>
          </w:tr>
          <w:tr w:rsidR="004D3591" w14:paraId="1EFC91C2" w14:textId="77777777" w:rsidTr="004D3591">
            <w:tc>
              <w:tcPr>
                <w:tcW w:w="7915" w:type="dxa"/>
              </w:tcPr>
              <w:p w14:paraId="43FB0BAC" w14:textId="77777777" w:rsidR="004D3591" w:rsidRDefault="004D3591" w:rsidP="00BF3277">
                <w:pPr>
                  <w:pStyle w:val="BodyText"/>
                </w:pPr>
                <w:r>
                  <w:t>Support Services</w:t>
                </w:r>
              </w:p>
            </w:tc>
            <w:tc>
              <w:tcPr>
                <w:tcW w:w="2070" w:type="dxa"/>
              </w:tcPr>
              <w:p w14:paraId="10FB97D5" w14:textId="3615216E" w:rsidR="004D3591" w:rsidRDefault="00160D01" w:rsidP="00BF3277">
                <w:pPr>
                  <w:pStyle w:val="BodyText"/>
                </w:pPr>
                <w:r>
                  <w:t>81</w:t>
                </w:r>
              </w:p>
            </w:tc>
          </w:tr>
          <w:tr w:rsidR="004D3591" w14:paraId="7FE7A58E" w14:textId="77777777" w:rsidTr="004C0F2B">
            <w:tc>
              <w:tcPr>
                <w:tcW w:w="7915" w:type="dxa"/>
              </w:tcPr>
              <w:p w14:paraId="5A708EF9" w14:textId="77777777" w:rsidR="004D3591" w:rsidRDefault="004C0F2B" w:rsidP="00BF3277">
                <w:pPr>
                  <w:pStyle w:val="BodyText"/>
                </w:pPr>
                <w:r>
                  <w:t>Post-Secondary and Career Exploration, Guidance, and Planning</w:t>
                </w:r>
                <w:r w:rsidR="004D3591">
                  <w:t xml:space="preserve"> </w:t>
                </w:r>
              </w:p>
            </w:tc>
            <w:tc>
              <w:tcPr>
                <w:tcW w:w="2070" w:type="dxa"/>
                <w:shd w:val="clear" w:color="auto" w:fill="auto"/>
              </w:tcPr>
              <w:p w14:paraId="2B29DBF2" w14:textId="42630ED4" w:rsidR="004D3591" w:rsidRDefault="00B42B14" w:rsidP="00BF3277">
                <w:pPr>
                  <w:pStyle w:val="BodyText"/>
                </w:pPr>
                <w:r>
                  <w:t>154</w:t>
                </w:r>
              </w:p>
            </w:tc>
          </w:tr>
          <w:tr w:rsidR="004D3591" w14:paraId="07250FB9" w14:textId="77777777" w:rsidTr="004D3591">
            <w:tc>
              <w:tcPr>
                <w:tcW w:w="7915" w:type="dxa"/>
                <w:shd w:val="clear" w:color="auto" w:fill="A8A8A0" w:themeFill="background2" w:themeFillShade="BF"/>
              </w:tcPr>
              <w:p w14:paraId="74C74633" w14:textId="77777777" w:rsidR="004D3591" w:rsidRDefault="004D3591" w:rsidP="00BF3277">
                <w:pPr>
                  <w:pStyle w:val="BodyText"/>
                </w:pPr>
              </w:p>
            </w:tc>
            <w:tc>
              <w:tcPr>
                <w:tcW w:w="2070" w:type="dxa"/>
                <w:shd w:val="clear" w:color="auto" w:fill="A8A8A0" w:themeFill="background2" w:themeFillShade="BF"/>
              </w:tcPr>
              <w:p w14:paraId="1BDCF80F" w14:textId="77777777" w:rsidR="004D3591" w:rsidRDefault="004D3591" w:rsidP="00BF3277">
                <w:pPr>
                  <w:pStyle w:val="BodyText"/>
                </w:pPr>
              </w:p>
            </w:tc>
          </w:tr>
          <w:tr w:rsidR="004D3591" w14:paraId="5ADAA734" w14:textId="77777777" w:rsidTr="004D3591">
            <w:tc>
              <w:tcPr>
                <w:tcW w:w="7915" w:type="dxa"/>
              </w:tcPr>
              <w:p w14:paraId="33D8EF7E" w14:textId="77777777" w:rsidR="004D3591" w:rsidRPr="00AA1195" w:rsidRDefault="004D3591" w:rsidP="00AA1195">
                <w:pPr>
                  <w:pStyle w:val="BodyText"/>
                  <w:rPr>
                    <w:b/>
                    <w:sz w:val="24"/>
                    <w:szCs w:val="24"/>
                  </w:rPr>
                </w:pPr>
                <w:r>
                  <w:rPr>
                    <w:b/>
                    <w:sz w:val="24"/>
                    <w:szCs w:val="24"/>
                  </w:rPr>
                  <w:t>PERFORMANCE INDICATORS</w:t>
                </w:r>
              </w:p>
            </w:tc>
            <w:tc>
              <w:tcPr>
                <w:tcW w:w="2070" w:type="dxa"/>
              </w:tcPr>
              <w:p w14:paraId="246892F6" w14:textId="77777777" w:rsidR="004D3591" w:rsidRDefault="004D3591" w:rsidP="00AA1195">
                <w:pPr>
                  <w:pStyle w:val="BodyText"/>
                </w:pPr>
                <w:r w:rsidRPr="00061C0B">
                  <w:rPr>
                    <w:b/>
                    <w:sz w:val="24"/>
                    <w:szCs w:val="24"/>
                  </w:rPr>
                  <w:t>TOTAL</w:t>
                </w:r>
              </w:p>
            </w:tc>
          </w:tr>
          <w:tr w:rsidR="004D3591" w14:paraId="45A2B346" w14:textId="77777777" w:rsidTr="004D3591">
            <w:tc>
              <w:tcPr>
                <w:tcW w:w="7915" w:type="dxa"/>
              </w:tcPr>
              <w:p w14:paraId="114D6CCE" w14:textId="77777777" w:rsidR="004D3591" w:rsidRDefault="004D3591" w:rsidP="00AA1195">
                <w:pPr>
                  <w:pStyle w:val="BodyText"/>
                </w:pPr>
                <w:r>
                  <w:t>Attained Work Readiness/Education Goals</w:t>
                </w:r>
              </w:p>
            </w:tc>
            <w:tc>
              <w:tcPr>
                <w:tcW w:w="2070" w:type="dxa"/>
              </w:tcPr>
              <w:p w14:paraId="6253D86D" w14:textId="0541EF2A" w:rsidR="004D3591" w:rsidRDefault="00095BE8" w:rsidP="00AA1195">
                <w:pPr>
                  <w:pStyle w:val="BodyText"/>
                </w:pPr>
                <w:r>
                  <w:t>107</w:t>
                </w:r>
              </w:p>
            </w:tc>
          </w:tr>
          <w:tr w:rsidR="004D3591" w14:paraId="0F9380D4" w14:textId="77777777" w:rsidTr="00C96ADE">
            <w:trPr>
              <w:trHeight w:val="1160"/>
            </w:trPr>
            <w:tc>
              <w:tcPr>
                <w:tcW w:w="7915" w:type="dxa"/>
              </w:tcPr>
              <w:p w14:paraId="0DC470EE" w14:textId="77777777" w:rsidR="004D3591" w:rsidRDefault="004D3591" w:rsidP="00AA1195">
                <w:pPr>
                  <w:pStyle w:val="BodyText"/>
                </w:pPr>
                <w:r>
                  <w:t>Showed Demonstrable Gains in English Language Skills, Job Related Skills, Career Planning</w:t>
                </w:r>
              </w:p>
            </w:tc>
            <w:tc>
              <w:tcPr>
                <w:tcW w:w="2070" w:type="dxa"/>
                <w:shd w:val="clear" w:color="auto" w:fill="auto"/>
              </w:tcPr>
              <w:p w14:paraId="442D0E89" w14:textId="6963233A" w:rsidR="004D3591" w:rsidRDefault="00B67ABB" w:rsidP="00AA1195">
                <w:pPr>
                  <w:pStyle w:val="BodyText"/>
                </w:pPr>
                <w:r>
                  <w:t>107</w:t>
                </w:r>
              </w:p>
            </w:tc>
          </w:tr>
          <w:tr w:rsidR="004D3591" w14:paraId="54BEFA96" w14:textId="77777777" w:rsidTr="004D3591">
            <w:tc>
              <w:tcPr>
                <w:tcW w:w="7915" w:type="dxa"/>
              </w:tcPr>
              <w:p w14:paraId="28C1FD70" w14:textId="77777777" w:rsidR="004D3591" w:rsidRDefault="004D3591" w:rsidP="00AA1195">
                <w:pPr>
                  <w:pStyle w:val="BodyText"/>
                </w:pPr>
                <w:r>
                  <w:t>Obtained High School Diploma or Equivalent / Remained in School / Obtained a Certificate or Degree / Returned to School</w:t>
                </w:r>
              </w:p>
            </w:tc>
            <w:tc>
              <w:tcPr>
                <w:tcW w:w="2070" w:type="dxa"/>
              </w:tcPr>
              <w:p w14:paraId="352482E9" w14:textId="71295B9C" w:rsidR="004D3591" w:rsidRDefault="00220532" w:rsidP="00AA1195">
                <w:pPr>
                  <w:pStyle w:val="BodyText"/>
                </w:pPr>
                <w:r>
                  <w:t>84</w:t>
                </w:r>
              </w:p>
            </w:tc>
          </w:tr>
          <w:tr w:rsidR="004D3591" w14:paraId="196CC97B" w14:textId="77777777" w:rsidTr="004D3591">
            <w:tc>
              <w:tcPr>
                <w:tcW w:w="7915" w:type="dxa"/>
              </w:tcPr>
              <w:p w14:paraId="3DA03372" w14:textId="77777777" w:rsidR="004D3591" w:rsidRDefault="004D3591" w:rsidP="00AA1195">
                <w:pPr>
                  <w:pStyle w:val="BodyText"/>
                </w:pPr>
                <w:r>
                  <w:t>Entered Post – Secondary Education / Vocational Occupational Skills /Apprenticeship / Military / Job Search  / Employment</w:t>
                </w:r>
              </w:p>
            </w:tc>
            <w:tc>
              <w:tcPr>
                <w:tcW w:w="2070" w:type="dxa"/>
              </w:tcPr>
              <w:p w14:paraId="45E265EB" w14:textId="3DE4EEC1" w:rsidR="004D3591" w:rsidRDefault="00B839B8" w:rsidP="00AA1195">
                <w:pPr>
                  <w:pStyle w:val="BodyText"/>
                </w:pPr>
                <w:r>
                  <w:t>145</w:t>
                </w:r>
              </w:p>
            </w:tc>
          </w:tr>
          <w:tr w:rsidR="004D3591" w14:paraId="27739A7A" w14:textId="77777777" w:rsidTr="004D3591">
            <w:tc>
              <w:tcPr>
                <w:tcW w:w="7915" w:type="dxa"/>
              </w:tcPr>
              <w:p w14:paraId="7D7A36BE" w14:textId="77777777" w:rsidR="004D3591" w:rsidRDefault="004D3591" w:rsidP="00AA1195">
                <w:pPr>
                  <w:pStyle w:val="BodyText"/>
                </w:pPr>
                <w:r>
                  <w:t>Completed Program Objectives</w:t>
                </w:r>
              </w:p>
            </w:tc>
            <w:tc>
              <w:tcPr>
                <w:tcW w:w="2070" w:type="dxa"/>
              </w:tcPr>
              <w:p w14:paraId="549306AA" w14:textId="519D6E23" w:rsidR="004D3591" w:rsidRDefault="00AD0382" w:rsidP="00AA1195">
                <w:pPr>
                  <w:pStyle w:val="BodyText"/>
                </w:pPr>
                <w:r>
                  <w:t>107</w:t>
                </w:r>
              </w:p>
            </w:tc>
          </w:tr>
          <w:tr w:rsidR="004D3591" w14:paraId="1CC14EE9" w14:textId="77777777" w:rsidTr="004D3591">
            <w:tc>
              <w:tcPr>
                <w:tcW w:w="7915" w:type="dxa"/>
                <w:shd w:val="clear" w:color="auto" w:fill="A8A8A0" w:themeFill="background2" w:themeFillShade="BF"/>
              </w:tcPr>
              <w:p w14:paraId="18F9F152" w14:textId="77777777" w:rsidR="004D3591" w:rsidRDefault="004D3591" w:rsidP="00AA1195">
                <w:pPr>
                  <w:pStyle w:val="BodyText"/>
                </w:pPr>
              </w:p>
            </w:tc>
            <w:tc>
              <w:tcPr>
                <w:tcW w:w="2070" w:type="dxa"/>
                <w:shd w:val="clear" w:color="auto" w:fill="A8A8A0" w:themeFill="background2" w:themeFillShade="BF"/>
              </w:tcPr>
              <w:p w14:paraId="47AB96B4" w14:textId="77777777" w:rsidR="004D3591" w:rsidRDefault="004D3591" w:rsidP="00AA1195">
                <w:pPr>
                  <w:pStyle w:val="BodyText"/>
                </w:pPr>
              </w:p>
            </w:tc>
          </w:tr>
          <w:tr w:rsidR="004D3591" w14:paraId="3ECD3378" w14:textId="77777777" w:rsidTr="004D3591">
            <w:tc>
              <w:tcPr>
                <w:tcW w:w="7915" w:type="dxa"/>
              </w:tcPr>
              <w:p w14:paraId="3EFCFA1D" w14:textId="77777777" w:rsidR="004D3591" w:rsidRPr="001F048F" w:rsidRDefault="004D3591" w:rsidP="00AA1195">
                <w:pPr>
                  <w:pStyle w:val="BodyText"/>
                  <w:rPr>
                    <w:b/>
                    <w:sz w:val="24"/>
                    <w:szCs w:val="24"/>
                  </w:rPr>
                </w:pPr>
                <w:r w:rsidRPr="001F048F">
                  <w:rPr>
                    <w:b/>
                    <w:sz w:val="24"/>
                    <w:szCs w:val="24"/>
                  </w:rPr>
                  <w:t>CUSTOMER SATISFACTION</w:t>
                </w:r>
              </w:p>
            </w:tc>
            <w:tc>
              <w:tcPr>
                <w:tcW w:w="2070" w:type="dxa"/>
              </w:tcPr>
              <w:p w14:paraId="0A141097" w14:textId="77777777" w:rsidR="004D3591" w:rsidRDefault="004D3591" w:rsidP="00AA1195">
                <w:pPr>
                  <w:pStyle w:val="BodyText"/>
                </w:pPr>
                <w:r w:rsidRPr="00061C0B">
                  <w:rPr>
                    <w:b/>
                    <w:sz w:val="24"/>
                    <w:szCs w:val="24"/>
                  </w:rPr>
                  <w:t>TOTAL</w:t>
                </w:r>
              </w:p>
            </w:tc>
          </w:tr>
          <w:tr w:rsidR="004D3591" w14:paraId="5CD7A238" w14:textId="77777777" w:rsidTr="004D3591">
            <w:tc>
              <w:tcPr>
                <w:tcW w:w="7915" w:type="dxa"/>
              </w:tcPr>
              <w:p w14:paraId="613C486D" w14:textId="77777777" w:rsidR="004D3591" w:rsidRDefault="004D3591" w:rsidP="00AA1195">
                <w:pPr>
                  <w:pStyle w:val="BodyText"/>
                </w:pPr>
                <w:r>
                  <w:t>Number of Participants Rating Experience as “Excellent”</w:t>
                </w:r>
              </w:p>
            </w:tc>
            <w:tc>
              <w:tcPr>
                <w:tcW w:w="2070" w:type="dxa"/>
              </w:tcPr>
              <w:p w14:paraId="60B36286" w14:textId="56BDE0C8" w:rsidR="004D3591" w:rsidRDefault="00F40623" w:rsidP="00AA1195">
                <w:pPr>
                  <w:pStyle w:val="BodyText"/>
                </w:pPr>
                <w:r>
                  <w:t>14</w:t>
                </w:r>
              </w:p>
            </w:tc>
          </w:tr>
          <w:tr w:rsidR="004D3591" w14:paraId="35E943BF" w14:textId="77777777" w:rsidTr="004D3591">
            <w:tc>
              <w:tcPr>
                <w:tcW w:w="7915" w:type="dxa"/>
              </w:tcPr>
              <w:p w14:paraId="57771BA1" w14:textId="77777777" w:rsidR="004D3591" w:rsidRDefault="004D3591" w:rsidP="00AA1195">
                <w:pPr>
                  <w:pStyle w:val="BodyText"/>
                </w:pPr>
                <w:r>
                  <w:lastRenderedPageBreak/>
                  <w:t>Number of Participants Rating Experience as “Very Good”</w:t>
                </w:r>
              </w:p>
            </w:tc>
            <w:tc>
              <w:tcPr>
                <w:tcW w:w="2070" w:type="dxa"/>
              </w:tcPr>
              <w:p w14:paraId="0F6BCECD" w14:textId="4D653E2F" w:rsidR="004D3591" w:rsidRDefault="00F40623" w:rsidP="00AA1195">
                <w:pPr>
                  <w:pStyle w:val="BodyText"/>
                </w:pPr>
                <w:r>
                  <w:t>8</w:t>
                </w:r>
              </w:p>
            </w:tc>
          </w:tr>
          <w:tr w:rsidR="004D3591" w14:paraId="2DB1E237" w14:textId="77777777" w:rsidTr="004D3591">
            <w:tc>
              <w:tcPr>
                <w:tcW w:w="7915" w:type="dxa"/>
              </w:tcPr>
              <w:p w14:paraId="50D8D5D8" w14:textId="77777777" w:rsidR="004D3591" w:rsidRDefault="004D3591" w:rsidP="00AA1195">
                <w:pPr>
                  <w:pStyle w:val="BodyText"/>
                </w:pPr>
                <w:r>
                  <w:t>Number of Participants Rating Experience as “Average”</w:t>
                </w:r>
              </w:p>
            </w:tc>
            <w:tc>
              <w:tcPr>
                <w:tcW w:w="2070" w:type="dxa"/>
              </w:tcPr>
              <w:p w14:paraId="2990A90B" w14:textId="400F6FA2" w:rsidR="004D3591" w:rsidRDefault="00F40623" w:rsidP="00AA1195">
                <w:pPr>
                  <w:pStyle w:val="BodyText"/>
                </w:pPr>
                <w:r>
                  <w:t>3</w:t>
                </w:r>
              </w:p>
            </w:tc>
          </w:tr>
          <w:tr w:rsidR="004D3591" w14:paraId="6660ECAE" w14:textId="77777777" w:rsidTr="004D3591">
            <w:tc>
              <w:tcPr>
                <w:tcW w:w="7915" w:type="dxa"/>
              </w:tcPr>
              <w:p w14:paraId="1C401BF1" w14:textId="77777777" w:rsidR="004D3591" w:rsidRDefault="004D3591" w:rsidP="00AA1195">
                <w:pPr>
                  <w:pStyle w:val="BodyText"/>
                </w:pPr>
                <w:r>
                  <w:t>Number of Participants Rating Experience as “Below Average”</w:t>
                </w:r>
              </w:p>
            </w:tc>
            <w:tc>
              <w:tcPr>
                <w:tcW w:w="2070" w:type="dxa"/>
              </w:tcPr>
              <w:p w14:paraId="627CBCB9" w14:textId="2B48BA89" w:rsidR="004D3591" w:rsidRDefault="00802DA1" w:rsidP="00AA1195">
                <w:pPr>
                  <w:pStyle w:val="BodyText"/>
                </w:pPr>
                <w:r>
                  <w:t>0</w:t>
                </w:r>
              </w:p>
            </w:tc>
          </w:tr>
          <w:tr w:rsidR="004D3591" w14:paraId="4377FBBD" w14:textId="77777777" w:rsidTr="004D3591">
            <w:tc>
              <w:tcPr>
                <w:tcW w:w="7915" w:type="dxa"/>
              </w:tcPr>
              <w:p w14:paraId="2F64C97F" w14:textId="77777777" w:rsidR="004D3591" w:rsidRDefault="004D3591" w:rsidP="00AA1195">
                <w:pPr>
                  <w:pStyle w:val="BodyText"/>
                </w:pPr>
                <w:r>
                  <w:t>Number of Participants Rating Experience as “Poor”</w:t>
                </w:r>
              </w:p>
            </w:tc>
            <w:tc>
              <w:tcPr>
                <w:tcW w:w="2070" w:type="dxa"/>
              </w:tcPr>
              <w:p w14:paraId="4892D165" w14:textId="2028DC4F" w:rsidR="004D3591" w:rsidRDefault="00802DA1" w:rsidP="00AA1195">
                <w:pPr>
                  <w:pStyle w:val="BodyText"/>
                </w:pPr>
                <w:r>
                  <w:t>0</w:t>
                </w:r>
              </w:p>
            </w:tc>
          </w:tr>
          <w:tr w:rsidR="004D3591" w14:paraId="527F2C87" w14:textId="77777777" w:rsidTr="004D3591">
            <w:tc>
              <w:tcPr>
                <w:tcW w:w="7915" w:type="dxa"/>
              </w:tcPr>
              <w:p w14:paraId="6D0158A6" w14:textId="77777777" w:rsidR="004D3591" w:rsidRDefault="004D3591" w:rsidP="00AA1195">
                <w:pPr>
                  <w:pStyle w:val="BodyText"/>
                </w:pPr>
                <w:r>
                  <w:t>Surveys Completed</w:t>
                </w:r>
              </w:p>
            </w:tc>
            <w:tc>
              <w:tcPr>
                <w:tcW w:w="2070" w:type="dxa"/>
              </w:tcPr>
              <w:p w14:paraId="67B2D416" w14:textId="27AF5A5D" w:rsidR="004D3591" w:rsidRDefault="00802DA1" w:rsidP="00AA1195">
                <w:pPr>
                  <w:pStyle w:val="BodyText"/>
                </w:pPr>
                <w:r>
                  <w:t>25</w:t>
                </w:r>
              </w:p>
            </w:tc>
          </w:tr>
        </w:tbl>
        <w:p w14:paraId="73DC1D64" w14:textId="7C7FE957" w:rsidR="0037065E" w:rsidRPr="00083CE2" w:rsidRDefault="00EC082F" w:rsidP="00332942">
          <w:pPr>
            <w:pStyle w:val="BodyText"/>
            <w:rPr>
              <w:sz w:val="2"/>
              <w:szCs w:val="2"/>
            </w:rPr>
          </w:pPr>
        </w:p>
      </w:sdtContent>
    </w:sdt>
    <w:p w14:paraId="5E608A2D" w14:textId="20B0A0E5" w:rsidR="00622BB5" w:rsidRDefault="00E71EA3" w:rsidP="0045335C">
      <w:pPr>
        <w:pStyle w:val="Heading3"/>
      </w:pPr>
      <w:bookmarkStart w:id="18" w:name="_Toc502845769"/>
      <w:bookmarkStart w:id="19" w:name="_Toc93049839"/>
      <w:r>
        <w:t>Expenditures</w:t>
      </w:r>
      <w:bookmarkEnd w:id="18"/>
      <w:bookmarkEnd w:id="19"/>
    </w:p>
    <w:p w14:paraId="6A428ABD" w14:textId="2CBAB689" w:rsidR="00083CE2" w:rsidRPr="00083CE2" w:rsidRDefault="00083CE2" w:rsidP="00083CE2">
      <w:pPr>
        <w:pStyle w:val="Heading3"/>
        <w:rPr>
          <w:sz w:val="24"/>
          <w:szCs w:val="24"/>
        </w:rPr>
      </w:pPr>
      <w:r>
        <w:rPr>
          <w:sz w:val="24"/>
          <w:szCs w:val="24"/>
        </w:rPr>
        <w:t>Expended</w:t>
      </w:r>
      <w:r w:rsidRPr="00083CE2">
        <w:rPr>
          <w:sz w:val="24"/>
          <w:szCs w:val="24"/>
        </w:rPr>
        <w:t xml:space="preserve"> Grant Funds</w:t>
      </w:r>
    </w:p>
    <w:p w14:paraId="2FBB51C0" w14:textId="26E7EB33" w:rsidR="00622BB5" w:rsidRDefault="004343CA" w:rsidP="00622BB5">
      <w:pPr>
        <w:pStyle w:val="BodyText"/>
      </w:pPr>
      <w:r w:rsidRPr="00602F1C">
        <w:t xml:space="preserve">CLUES </w:t>
      </w:r>
      <w:r w:rsidR="00DA5174" w:rsidRPr="00602F1C">
        <w:t>expended</w:t>
      </w:r>
      <w:r w:rsidR="00437383" w:rsidRPr="00602F1C">
        <w:t xml:space="preserve"> </w:t>
      </w:r>
      <w:r w:rsidR="007962B0">
        <w:t xml:space="preserve">100% </w:t>
      </w:r>
      <w:r w:rsidR="007962B0" w:rsidRPr="007962B0">
        <w:t xml:space="preserve">of </w:t>
      </w:r>
      <w:r w:rsidR="00437383" w:rsidRPr="007962B0">
        <w:rPr>
          <w:b/>
          <w:bCs/>
        </w:rPr>
        <w:t>SFY 20</w:t>
      </w:r>
      <w:r w:rsidR="004D3591" w:rsidRPr="007962B0">
        <w:rPr>
          <w:b/>
          <w:bCs/>
        </w:rPr>
        <w:t>2</w:t>
      </w:r>
      <w:r w:rsidR="001D7415" w:rsidRPr="007962B0">
        <w:rPr>
          <w:b/>
          <w:bCs/>
        </w:rPr>
        <w:t>1</w:t>
      </w:r>
      <w:r w:rsidR="004D3591">
        <w:rPr>
          <w:b/>
        </w:rPr>
        <w:t xml:space="preserve"> </w:t>
      </w:r>
      <w:r w:rsidR="004D3591">
        <w:t xml:space="preserve">Direct Appropriation </w:t>
      </w:r>
      <w:r w:rsidR="00437383">
        <w:t xml:space="preserve">grant funds </w:t>
      </w:r>
      <w:r w:rsidR="004D3591">
        <w:t xml:space="preserve">as follows </w:t>
      </w:r>
      <w:r w:rsidR="001D7415">
        <w:t xml:space="preserve">(July 1, 2020 to </w:t>
      </w:r>
      <w:r w:rsidR="004D3591">
        <w:t>June 30, 202</w:t>
      </w:r>
      <w:r w:rsidR="001D7415">
        <w:t>1)</w:t>
      </w:r>
      <w:r w:rsidR="00437383">
        <w:t>:</w:t>
      </w:r>
    </w:p>
    <w:tbl>
      <w:tblPr>
        <w:tblStyle w:val="TableGrid1"/>
        <w:tblW w:w="10165" w:type="dxa"/>
        <w:tblLook w:val="04A0" w:firstRow="1" w:lastRow="0" w:firstColumn="1" w:lastColumn="0" w:noHBand="0" w:noVBand="1"/>
        <w:tblCaption w:val="Budgeted funds"/>
        <w:tblDescription w:val="Shows each cost category and the amount of grant funds budgeted in each category."/>
      </w:tblPr>
      <w:tblGrid>
        <w:gridCol w:w="7555"/>
        <w:gridCol w:w="2610"/>
      </w:tblGrid>
      <w:tr w:rsidR="00437383" w:rsidRPr="0007512E" w14:paraId="789C7F7A" w14:textId="77777777" w:rsidTr="00437383">
        <w:trPr>
          <w:cnfStyle w:val="100000000000" w:firstRow="1" w:lastRow="0" w:firstColumn="0" w:lastColumn="0" w:oddVBand="0" w:evenVBand="0" w:oddHBand="0" w:evenHBand="0" w:firstRowFirstColumn="0" w:firstRowLastColumn="0" w:lastRowFirstColumn="0" w:lastRowLastColumn="0"/>
          <w:trHeight w:val="503"/>
          <w:tblHeader/>
        </w:trPr>
        <w:tc>
          <w:tcPr>
            <w:tcW w:w="7555" w:type="dxa"/>
          </w:tcPr>
          <w:p w14:paraId="403BEDB8" w14:textId="4D4353DD" w:rsidR="00437383" w:rsidRPr="0007512E" w:rsidRDefault="001D7415" w:rsidP="00E63E37">
            <w:pPr>
              <w:pStyle w:val="TableH1"/>
              <w:rPr>
                <w:b/>
              </w:rPr>
            </w:pPr>
            <w:bookmarkStart w:id="20" w:name="_Hlk23425801"/>
            <w:r>
              <w:rPr>
                <w:b/>
              </w:rPr>
              <w:t xml:space="preserve">SFY 2021 </w:t>
            </w:r>
            <w:r w:rsidR="00437383">
              <w:rPr>
                <w:b/>
              </w:rPr>
              <w:t>Budget Category</w:t>
            </w:r>
          </w:p>
        </w:tc>
        <w:tc>
          <w:tcPr>
            <w:tcW w:w="2610" w:type="dxa"/>
          </w:tcPr>
          <w:p w14:paraId="561B83CF" w14:textId="77777777" w:rsidR="00437383" w:rsidRPr="0007512E" w:rsidRDefault="00437383" w:rsidP="00E63E37">
            <w:pPr>
              <w:pStyle w:val="TableH1"/>
              <w:rPr>
                <w:b/>
              </w:rPr>
            </w:pPr>
            <w:r>
              <w:rPr>
                <w:b/>
              </w:rPr>
              <w:t>Amount</w:t>
            </w:r>
          </w:p>
        </w:tc>
      </w:tr>
      <w:tr w:rsidR="00437383" w14:paraId="4F40D358" w14:textId="77777777" w:rsidTr="00437383">
        <w:trPr>
          <w:cnfStyle w:val="000000100000" w:firstRow="0" w:lastRow="0" w:firstColumn="0" w:lastColumn="0" w:oddVBand="0" w:evenVBand="0" w:oddHBand="1" w:evenHBand="0" w:firstRowFirstColumn="0" w:firstRowLastColumn="0" w:lastRowFirstColumn="0" w:lastRowLastColumn="0"/>
          <w:trHeight w:val="251"/>
        </w:trPr>
        <w:tc>
          <w:tcPr>
            <w:tcW w:w="7555" w:type="dxa"/>
          </w:tcPr>
          <w:p w14:paraId="26D35F03" w14:textId="77777777" w:rsidR="00437383" w:rsidRDefault="00437383" w:rsidP="00437383">
            <w:pPr>
              <w:pStyle w:val="BodyText"/>
              <w:spacing w:before="0" w:after="0"/>
            </w:pPr>
            <w:r>
              <w:t>Administrative costs (up to 10% allowed)</w:t>
            </w:r>
          </w:p>
        </w:tc>
        <w:tc>
          <w:tcPr>
            <w:tcW w:w="2610" w:type="dxa"/>
          </w:tcPr>
          <w:p w14:paraId="15F0BAF4" w14:textId="42B2B8CE" w:rsidR="00437383" w:rsidRDefault="00DD1E94" w:rsidP="004343CA">
            <w:pPr>
              <w:pStyle w:val="BodyText"/>
              <w:spacing w:before="0" w:after="0"/>
            </w:pPr>
            <w:r>
              <w:t>$51,468.12</w:t>
            </w:r>
          </w:p>
        </w:tc>
      </w:tr>
      <w:tr w:rsidR="00437383" w14:paraId="726B42AE" w14:textId="77777777" w:rsidTr="00044B4B">
        <w:trPr>
          <w:cnfStyle w:val="000000010000" w:firstRow="0" w:lastRow="0" w:firstColumn="0" w:lastColumn="0" w:oddVBand="0" w:evenVBand="0" w:oddHBand="0" w:evenHBand="1" w:firstRowFirstColumn="0" w:firstRowLastColumn="0" w:lastRowFirstColumn="0" w:lastRowLastColumn="0"/>
          <w:trHeight w:val="233"/>
        </w:trPr>
        <w:tc>
          <w:tcPr>
            <w:tcW w:w="7555" w:type="dxa"/>
          </w:tcPr>
          <w:p w14:paraId="04F8B35C" w14:textId="77777777" w:rsidR="00437383" w:rsidRDefault="00437383" w:rsidP="00437383">
            <w:pPr>
              <w:pStyle w:val="BodyText"/>
              <w:spacing w:before="0" w:after="0"/>
            </w:pPr>
            <w:r>
              <w:t>Contracted s</w:t>
            </w:r>
            <w:r w:rsidR="004343CA">
              <w:t>ervices</w:t>
            </w:r>
          </w:p>
        </w:tc>
        <w:tc>
          <w:tcPr>
            <w:tcW w:w="2610" w:type="dxa"/>
          </w:tcPr>
          <w:p w14:paraId="54058279" w14:textId="1F2BCBA9" w:rsidR="00437383" w:rsidRDefault="00DD1E94" w:rsidP="00437383">
            <w:pPr>
              <w:pStyle w:val="BodyText"/>
              <w:spacing w:before="0" w:after="0"/>
            </w:pPr>
            <w:r>
              <w:t>$64,000.00</w:t>
            </w:r>
          </w:p>
        </w:tc>
      </w:tr>
      <w:tr w:rsidR="00437383" w14:paraId="72BC4B33" w14:textId="77777777" w:rsidTr="00437383">
        <w:trPr>
          <w:cnfStyle w:val="000000100000" w:firstRow="0" w:lastRow="0" w:firstColumn="0" w:lastColumn="0" w:oddVBand="0" w:evenVBand="0" w:oddHBand="1" w:evenHBand="0" w:firstRowFirstColumn="0" w:firstRowLastColumn="0" w:lastRowFirstColumn="0" w:lastRowLastColumn="0"/>
        </w:trPr>
        <w:tc>
          <w:tcPr>
            <w:tcW w:w="7555" w:type="dxa"/>
          </w:tcPr>
          <w:p w14:paraId="17EA0E8A" w14:textId="77777777" w:rsidR="00437383" w:rsidRDefault="00437383" w:rsidP="00437383">
            <w:pPr>
              <w:pStyle w:val="BodyText"/>
              <w:spacing w:before="0" w:after="0"/>
            </w:pPr>
            <w:r>
              <w:t>Participant wages and fringe benefits</w:t>
            </w:r>
          </w:p>
        </w:tc>
        <w:tc>
          <w:tcPr>
            <w:tcW w:w="2610" w:type="dxa"/>
          </w:tcPr>
          <w:p w14:paraId="093C8B65" w14:textId="28881553" w:rsidR="00437383" w:rsidRDefault="00DD1E94" w:rsidP="004343CA">
            <w:pPr>
              <w:pStyle w:val="BodyText"/>
              <w:spacing w:before="0" w:after="0"/>
            </w:pPr>
            <w:r>
              <w:t>$0.00</w:t>
            </w:r>
          </w:p>
        </w:tc>
      </w:tr>
      <w:tr w:rsidR="00437383" w14:paraId="3632B258" w14:textId="77777777" w:rsidTr="00437383">
        <w:trPr>
          <w:cnfStyle w:val="000000010000" w:firstRow="0" w:lastRow="0" w:firstColumn="0" w:lastColumn="0" w:oddVBand="0" w:evenVBand="0" w:oddHBand="0" w:evenHBand="1" w:firstRowFirstColumn="0" w:firstRowLastColumn="0" w:lastRowFirstColumn="0" w:lastRowLastColumn="0"/>
        </w:trPr>
        <w:tc>
          <w:tcPr>
            <w:tcW w:w="7555" w:type="dxa"/>
          </w:tcPr>
          <w:p w14:paraId="3C9DD57E" w14:textId="77777777" w:rsidR="00437383" w:rsidRDefault="00437383" w:rsidP="00437383">
            <w:pPr>
              <w:pStyle w:val="BodyText"/>
              <w:spacing w:before="0" w:after="0"/>
            </w:pPr>
            <w:r>
              <w:t>Direct services</w:t>
            </w:r>
          </w:p>
        </w:tc>
        <w:tc>
          <w:tcPr>
            <w:tcW w:w="2610" w:type="dxa"/>
          </w:tcPr>
          <w:p w14:paraId="0E142741" w14:textId="45C8C805" w:rsidR="00437383" w:rsidRDefault="00DD1E94" w:rsidP="004343CA">
            <w:pPr>
              <w:pStyle w:val="BodyText"/>
              <w:spacing w:before="0" w:after="0"/>
            </w:pPr>
            <w:r>
              <w:t>$461,556.18</w:t>
            </w:r>
          </w:p>
        </w:tc>
      </w:tr>
      <w:tr w:rsidR="00437383" w14:paraId="7D9A4C44" w14:textId="77777777" w:rsidTr="00437383">
        <w:trPr>
          <w:cnfStyle w:val="000000100000" w:firstRow="0" w:lastRow="0" w:firstColumn="0" w:lastColumn="0" w:oddVBand="0" w:evenVBand="0" w:oddHBand="1" w:evenHBand="0" w:firstRowFirstColumn="0" w:firstRowLastColumn="0" w:lastRowFirstColumn="0" w:lastRowLastColumn="0"/>
        </w:trPr>
        <w:tc>
          <w:tcPr>
            <w:tcW w:w="7555" w:type="dxa"/>
          </w:tcPr>
          <w:p w14:paraId="51F0A99E" w14:textId="77777777" w:rsidR="00437383" w:rsidRDefault="00437383" w:rsidP="00437383">
            <w:pPr>
              <w:pStyle w:val="BodyText"/>
              <w:spacing w:before="0" w:after="0"/>
            </w:pPr>
            <w:r>
              <w:t>Support services</w:t>
            </w:r>
          </w:p>
        </w:tc>
        <w:tc>
          <w:tcPr>
            <w:tcW w:w="2610" w:type="dxa"/>
          </w:tcPr>
          <w:p w14:paraId="18A7EF76" w14:textId="70873BB7" w:rsidR="00437383" w:rsidRDefault="00DD1E94" w:rsidP="004343CA">
            <w:pPr>
              <w:pStyle w:val="BodyText"/>
              <w:spacing w:before="0" w:after="0"/>
            </w:pPr>
            <w:r>
              <w:t>$16,725.70</w:t>
            </w:r>
          </w:p>
        </w:tc>
      </w:tr>
      <w:tr w:rsidR="00437383" w14:paraId="4C9CE45D" w14:textId="77777777" w:rsidTr="00437383">
        <w:trPr>
          <w:cnfStyle w:val="000000010000" w:firstRow="0" w:lastRow="0" w:firstColumn="0" w:lastColumn="0" w:oddVBand="0" w:evenVBand="0" w:oddHBand="0" w:evenHBand="1" w:firstRowFirstColumn="0" w:firstRowLastColumn="0" w:lastRowFirstColumn="0" w:lastRowLastColumn="0"/>
        </w:trPr>
        <w:tc>
          <w:tcPr>
            <w:tcW w:w="7555" w:type="dxa"/>
          </w:tcPr>
          <w:p w14:paraId="236CDB12" w14:textId="77777777" w:rsidR="00437383" w:rsidRPr="00602F1C" w:rsidRDefault="00437383" w:rsidP="00437383">
            <w:pPr>
              <w:pStyle w:val="BodyText"/>
              <w:spacing w:before="0" w:after="0"/>
              <w:rPr>
                <w:b/>
              </w:rPr>
            </w:pPr>
            <w:r w:rsidRPr="00602F1C">
              <w:rPr>
                <w:b/>
              </w:rPr>
              <w:t>Total budget</w:t>
            </w:r>
          </w:p>
        </w:tc>
        <w:tc>
          <w:tcPr>
            <w:tcW w:w="2610" w:type="dxa"/>
          </w:tcPr>
          <w:p w14:paraId="221CF983" w14:textId="16772C21" w:rsidR="00437383" w:rsidRPr="00602F1C" w:rsidRDefault="00DD1E94" w:rsidP="004343CA">
            <w:pPr>
              <w:pStyle w:val="BodyText"/>
              <w:spacing w:before="0" w:after="0"/>
              <w:rPr>
                <w:b/>
              </w:rPr>
            </w:pPr>
            <w:r>
              <w:rPr>
                <w:b/>
              </w:rPr>
              <w:t>$593,750.00</w:t>
            </w:r>
          </w:p>
        </w:tc>
      </w:tr>
    </w:tbl>
    <w:bookmarkEnd w:id="20"/>
    <w:p w14:paraId="39F1B274" w14:textId="1FE3FFB3" w:rsidR="00602F1C" w:rsidRDefault="00602F1C" w:rsidP="00A349CA">
      <w:pPr>
        <w:pStyle w:val="BodyText"/>
      </w:pPr>
      <w:r>
        <w:t xml:space="preserve">CLUES expended </w:t>
      </w:r>
      <w:r w:rsidR="007962B0">
        <w:t xml:space="preserve">100% of </w:t>
      </w:r>
      <w:r w:rsidRPr="00602F1C">
        <w:rPr>
          <w:b/>
        </w:rPr>
        <w:t>SFY 20</w:t>
      </w:r>
      <w:r w:rsidR="001D7415">
        <w:rPr>
          <w:b/>
        </w:rPr>
        <w:t>20</w:t>
      </w:r>
      <w:r>
        <w:t xml:space="preserve"> grant funds as follows:</w:t>
      </w:r>
    </w:p>
    <w:tbl>
      <w:tblPr>
        <w:tblStyle w:val="TableGrid1"/>
        <w:tblW w:w="10165" w:type="dxa"/>
        <w:tblLook w:val="04A0" w:firstRow="1" w:lastRow="0" w:firstColumn="1" w:lastColumn="0" w:noHBand="0" w:noVBand="1"/>
      </w:tblPr>
      <w:tblGrid>
        <w:gridCol w:w="7555"/>
        <w:gridCol w:w="2610"/>
      </w:tblGrid>
      <w:tr w:rsidR="004A2C97" w:rsidRPr="0007512E" w14:paraId="3AC96818" w14:textId="77777777" w:rsidTr="00371129">
        <w:trPr>
          <w:cnfStyle w:val="100000000000" w:firstRow="1" w:lastRow="0" w:firstColumn="0" w:lastColumn="0" w:oddVBand="0" w:evenVBand="0" w:oddHBand="0" w:evenHBand="0" w:firstRowFirstColumn="0" w:firstRowLastColumn="0" w:lastRowFirstColumn="0" w:lastRowLastColumn="0"/>
          <w:trHeight w:val="503"/>
          <w:tblHeader/>
        </w:trPr>
        <w:tc>
          <w:tcPr>
            <w:tcW w:w="7555" w:type="dxa"/>
          </w:tcPr>
          <w:p w14:paraId="0857F0D9" w14:textId="5093F176" w:rsidR="004A2C97" w:rsidRPr="0007512E" w:rsidRDefault="001D7415" w:rsidP="00371129">
            <w:pPr>
              <w:pStyle w:val="TableH1"/>
              <w:rPr>
                <w:b/>
              </w:rPr>
            </w:pPr>
            <w:r>
              <w:rPr>
                <w:b/>
              </w:rPr>
              <w:t xml:space="preserve">SFY 2020 </w:t>
            </w:r>
            <w:r w:rsidR="004A2C97">
              <w:rPr>
                <w:b/>
              </w:rPr>
              <w:t>Budget Category</w:t>
            </w:r>
          </w:p>
        </w:tc>
        <w:tc>
          <w:tcPr>
            <w:tcW w:w="2610" w:type="dxa"/>
          </w:tcPr>
          <w:p w14:paraId="30BF6D1B" w14:textId="77777777" w:rsidR="004A2C97" w:rsidRPr="0007512E" w:rsidRDefault="004A2C97" w:rsidP="00371129">
            <w:pPr>
              <w:pStyle w:val="TableH1"/>
              <w:rPr>
                <w:b/>
              </w:rPr>
            </w:pPr>
            <w:r>
              <w:rPr>
                <w:b/>
              </w:rPr>
              <w:t>Amount</w:t>
            </w:r>
          </w:p>
        </w:tc>
      </w:tr>
      <w:tr w:rsidR="001D7415" w14:paraId="312617D0" w14:textId="77777777" w:rsidTr="00371129">
        <w:trPr>
          <w:cnfStyle w:val="000000100000" w:firstRow="0" w:lastRow="0" w:firstColumn="0" w:lastColumn="0" w:oddVBand="0" w:evenVBand="0" w:oddHBand="1" w:evenHBand="0" w:firstRowFirstColumn="0" w:firstRowLastColumn="0" w:lastRowFirstColumn="0" w:lastRowLastColumn="0"/>
          <w:trHeight w:val="251"/>
        </w:trPr>
        <w:tc>
          <w:tcPr>
            <w:tcW w:w="7555" w:type="dxa"/>
          </w:tcPr>
          <w:p w14:paraId="5BAB3EE7" w14:textId="3EB26DB0" w:rsidR="001D7415" w:rsidRDefault="001D7415" w:rsidP="001D7415">
            <w:pPr>
              <w:pStyle w:val="BodyText"/>
              <w:spacing w:before="0" w:after="0"/>
            </w:pPr>
            <w:r>
              <w:t>Administrative costs (up to 10% allowed)</w:t>
            </w:r>
          </w:p>
        </w:tc>
        <w:tc>
          <w:tcPr>
            <w:tcW w:w="2610" w:type="dxa"/>
          </w:tcPr>
          <w:p w14:paraId="53990A1F" w14:textId="0F49324F" w:rsidR="001D7415" w:rsidRDefault="001D7415" w:rsidP="001D7415">
            <w:pPr>
              <w:pStyle w:val="BodyText"/>
              <w:spacing w:before="0" w:after="0"/>
            </w:pPr>
            <w:r>
              <w:t>$37,645.65</w:t>
            </w:r>
          </w:p>
        </w:tc>
      </w:tr>
      <w:tr w:rsidR="001D7415" w14:paraId="7D3F57F6" w14:textId="77777777" w:rsidTr="00371129">
        <w:trPr>
          <w:cnfStyle w:val="000000010000" w:firstRow="0" w:lastRow="0" w:firstColumn="0" w:lastColumn="0" w:oddVBand="0" w:evenVBand="0" w:oddHBand="0" w:evenHBand="1" w:firstRowFirstColumn="0" w:firstRowLastColumn="0" w:lastRowFirstColumn="0" w:lastRowLastColumn="0"/>
          <w:trHeight w:val="233"/>
        </w:trPr>
        <w:tc>
          <w:tcPr>
            <w:tcW w:w="7555" w:type="dxa"/>
          </w:tcPr>
          <w:p w14:paraId="1D6C4428" w14:textId="70DBC882" w:rsidR="001D7415" w:rsidRDefault="001D7415" w:rsidP="001D7415">
            <w:pPr>
              <w:pStyle w:val="BodyText"/>
              <w:spacing w:before="0" w:after="0"/>
            </w:pPr>
            <w:r>
              <w:t>Contracted services</w:t>
            </w:r>
          </w:p>
        </w:tc>
        <w:tc>
          <w:tcPr>
            <w:tcW w:w="2610" w:type="dxa"/>
          </w:tcPr>
          <w:p w14:paraId="5D7F71D8" w14:textId="5C19CAAC" w:rsidR="001D7415" w:rsidRDefault="001D7415" w:rsidP="001D7415">
            <w:pPr>
              <w:pStyle w:val="BodyText"/>
              <w:spacing w:before="0" w:after="0"/>
            </w:pPr>
            <w:r>
              <w:t>$35,295.00</w:t>
            </w:r>
          </w:p>
        </w:tc>
      </w:tr>
      <w:tr w:rsidR="001D7415" w14:paraId="3FE93081" w14:textId="77777777" w:rsidTr="00371129">
        <w:trPr>
          <w:cnfStyle w:val="000000100000" w:firstRow="0" w:lastRow="0" w:firstColumn="0" w:lastColumn="0" w:oddVBand="0" w:evenVBand="0" w:oddHBand="1" w:evenHBand="0" w:firstRowFirstColumn="0" w:firstRowLastColumn="0" w:lastRowFirstColumn="0" w:lastRowLastColumn="0"/>
        </w:trPr>
        <w:tc>
          <w:tcPr>
            <w:tcW w:w="7555" w:type="dxa"/>
          </w:tcPr>
          <w:p w14:paraId="021E792C" w14:textId="4902E51E" w:rsidR="001D7415" w:rsidRDefault="001D7415" w:rsidP="001D7415">
            <w:pPr>
              <w:pStyle w:val="BodyText"/>
              <w:spacing w:before="0" w:after="0"/>
            </w:pPr>
            <w:r>
              <w:t>Participant wages and fringe benefits</w:t>
            </w:r>
          </w:p>
        </w:tc>
        <w:tc>
          <w:tcPr>
            <w:tcW w:w="2610" w:type="dxa"/>
          </w:tcPr>
          <w:p w14:paraId="661B49C0" w14:textId="5804A4FE" w:rsidR="001D7415" w:rsidRDefault="001D7415" w:rsidP="001D7415">
            <w:pPr>
              <w:pStyle w:val="BodyText"/>
              <w:spacing w:before="0" w:after="0"/>
            </w:pPr>
            <w:r>
              <w:t>$0.00</w:t>
            </w:r>
          </w:p>
        </w:tc>
      </w:tr>
      <w:tr w:rsidR="001D7415" w14:paraId="419CB74C" w14:textId="77777777" w:rsidTr="00371129">
        <w:trPr>
          <w:cnfStyle w:val="000000010000" w:firstRow="0" w:lastRow="0" w:firstColumn="0" w:lastColumn="0" w:oddVBand="0" w:evenVBand="0" w:oddHBand="0" w:evenHBand="1" w:firstRowFirstColumn="0" w:firstRowLastColumn="0" w:lastRowFirstColumn="0" w:lastRowLastColumn="0"/>
        </w:trPr>
        <w:tc>
          <w:tcPr>
            <w:tcW w:w="7555" w:type="dxa"/>
          </w:tcPr>
          <w:p w14:paraId="6FF6A8F7" w14:textId="6EE29D44" w:rsidR="001D7415" w:rsidRDefault="001D7415" w:rsidP="001D7415">
            <w:pPr>
              <w:pStyle w:val="BodyText"/>
              <w:spacing w:before="0" w:after="0"/>
            </w:pPr>
            <w:r>
              <w:t>Direct services</w:t>
            </w:r>
          </w:p>
        </w:tc>
        <w:tc>
          <w:tcPr>
            <w:tcW w:w="2610" w:type="dxa"/>
          </w:tcPr>
          <w:p w14:paraId="64BCFF58" w14:textId="63A3B5AF" w:rsidR="001D7415" w:rsidRDefault="001D7415" w:rsidP="001D7415">
            <w:pPr>
              <w:pStyle w:val="BodyText"/>
              <w:spacing w:before="0" w:after="0"/>
            </w:pPr>
            <w:r>
              <w:t>$364,125.00</w:t>
            </w:r>
          </w:p>
        </w:tc>
      </w:tr>
      <w:tr w:rsidR="001D7415" w14:paraId="75973007" w14:textId="77777777" w:rsidTr="00371129">
        <w:trPr>
          <w:cnfStyle w:val="000000100000" w:firstRow="0" w:lastRow="0" w:firstColumn="0" w:lastColumn="0" w:oddVBand="0" w:evenVBand="0" w:oddHBand="1" w:evenHBand="0" w:firstRowFirstColumn="0" w:firstRowLastColumn="0" w:lastRowFirstColumn="0" w:lastRowLastColumn="0"/>
        </w:trPr>
        <w:tc>
          <w:tcPr>
            <w:tcW w:w="7555" w:type="dxa"/>
          </w:tcPr>
          <w:p w14:paraId="3430C0C4" w14:textId="6D7D9C4D" w:rsidR="001D7415" w:rsidRDefault="001D7415" w:rsidP="001D7415">
            <w:pPr>
              <w:pStyle w:val="BodyText"/>
              <w:spacing w:before="0" w:after="0"/>
            </w:pPr>
            <w:r>
              <w:t>Support services</w:t>
            </w:r>
          </w:p>
        </w:tc>
        <w:tc>
          <w:tcPr>
            <w:tcW w:w="2610" w:type="dxa"/>
          </w:tcPr>
          <w:p w14:paraId="4D5FF718" w14:textId="2AF83F8E" w:rsidR="001D7415" w:rsidRDefault="001D7415" w:rsidP="001D7415">
            <w:pPr>
              <w:pStyle w:val="BodyText"/>
              <w:spacing w:before="0" w:after="0"/>
            </w:pPr>
            <w:r>
              <w:t>$5,246.35</w:t>
            </w:r>
          </w:p>
        </w:tc>
      </w:tr>
      <w:tr w:rsidR="001D7415" w:rsidRPr="00602F1C" w14:paraId="6B6F0DF4" w14:textId="77777777" w:rsidTr="00371129">
        <w:trPr>
          <w:cnfStyle w:val="000000010000" w:firstRow="0" w:lastRow="0" w:firstColumn="0" w:lastColumn="0" w:oddVBand="0" w:evenVBand="0" w:oddHBand="0" w:evenHBand="1" w:firstRowFirstColumn="0" w:firstRowLastColumn="0" w:lastRowFirstColumn="0" w:lastRowLastColumn="0"/>
        </w:trPr>
        <w:tc>
          <w:tcPr>
            <w:tcW w:w="7555" w:type="dxa"/>
          </w:tcPr>
          <w:p w14:paraId="441A745A" w14:textId="06D674D3" w:rsidR="001D7415" w:rsidRPr="00602F1C" w:rsidRDefault="001D7415" w:rsidP="001D7415">
            <w:pPr>
              <w:pStyle w:val="BodyText"/>
              <w:spacing w:before="0" w:after="0"/>
              <w:rPr>
                <w:b/>
              </w:rPr>
            </w:pPr>
            <w:r w:rsidRPr="00602F1C">
              <w:rPr>
                <w:b/>
              </w:rPr>
              <w:t>Total budget</w:t>
            </w:r>
          </w:p>
        </w:tc>
        <w:tc>
          <w:tcPr>
            <w:tcW w:w="2610" w:type="dxa"/>
          </w:tcPr>
          <w:p w14:paraId="45EE8B9E" w14:textId="4B290F7F" w:rsidR="001D7415" w:rsidRPr="00602F1C" w:rsidRDefault="001D7415" w:rsidP="001D7415">
            <w:pPr>
              <w:pStyle w:val="BodyText"/>
              <w:spacing w:before="0" w:after="0"/>
              <w:rPr>
                <w:b/>
              </w:rPr>
            </w:pPr>
            <w:r w:rsidRPr="00602F1C">
              <w:rPr>
                <w:b/>
              </w:rPr>
              <w:t>$</w:t>
            </w:r>
            <w:r>
              <w:rPr>
                <w:b/>
              </w:rPr>
              <w:t>442,312.00</w:t>
            </w:r>
          </w:p>
        </w:tc>
      </w:tr>
    </w:tbl>
    <w:p w14:paraId="5E731694" w14:textId="144430A7" w:rsidR="007E4D08" w:rsidRPr="00083CE2" w:rsidRDefault="007E4D08" w:rsidP="007E4D08">
      <w:pPr>
        <w:pStyle w:val="Heading3"/>
        <w:rPr>
          <w:sz w:val="24"/>
          <w:szCs w:val="24"/>
        </w:rPr>
      </w:pPr>
      <w:bookmarkStart w:id="21" w:name="_Toc502845770"/>
      <w:bookmarkStart w:id="22" w:name="_Toc93049841"/>
      <w:r w:rsidRPr="00083CE2">
        <w:rPr>
          <w:sz w:val="24"/>
          <w:szCs w:val="24"/>
        </w:rPr>
        <w:t>New Grant Funds</w:t>
      </w:r>
      <w:bookmarkEnd w:id="21"/>
      <w:bookmarkEnd w:id="22"/>
    </w:p>
    <w:p w14:paraId="0036278D" w14:textId="39C5F116" w:rsidR="007E4D08" w:rsidRPr="007E4D08" w:rsidRDefault="00615E29" w:rsidP="007E4D08">
      <w:pPr>
        <w:pStyle w:val="BodyText"/>
      </w:pPr>
      <w:r>
        <w:t>As of the end of October 2021</w:t>
      </w:r>
      <w:r w:rsidR="004D3591">
        <w:t xml:space="preserve">, </w:t>
      </w:r>
      <w:r>
        <w:t xml:space="preserve">CLUES has </w:t>
      </w:r>
      <w:r w:rsidR="00F0150F">
        <w:t>expended</w:t>
      </w:r>
      <w:r>
        <w:t xml:space="preserve"> $81,769.99</w:t>
      </w:r>
      <w:r w:rsidR="005F143C" w:rsidRPr="005F143C">
        <w:rPr>
          <w:rFonts w:ascii="Calibri" w:hAnsi="Calibri"/>
        </w:rPr>
        <w:t xml:space="preserve"> </w:t>
      </w:r>
      <w:r w:rsidR="00F0150F">
        <w:rPr>
          <w:rFonts w:ascii="Calibri" w:hAnsi="Calibri"/>
        </w:rPr>
        <w:t>of</w:t>
      </w:r>
      <w:r w:rsidR="00DF10D1">
        <w:rPr>
          <w:rFonts w:ascii="Calibri" w:hAnsi="Calibri"/>
        </w:rPr>
        <w:t xml:space="preserve"> </w:t>
      </w:r>
      <w:proofErr w:type="spellStart"/>
      <w:r w:rsidR="00DF10D1">
        <w:rPr>
          <w:rFonts w:ascii="Calibri" w:hAnsi="Calibri"/>
        </w:rPr>
        <w:t>it’s</w:t>
      </w:r>
      <w:proofErr w:type="spellEnd"/>
      <w:r w:rsidR="00F0150F">
        <w:rPr>
          <w:rFonts w:ascii="Calibri" w:hAnsi="Calibri"/>
        </w:rPr>
        <w:t xml:space="preserve"> </w:t>
      </w:r>
      <w:r w:rsidR="00DF10D1">
        <w:rPr>
          <w:rFonts w:ascii="Calibri" w:hAnsi="Calibri"/>
        </w:rPr>
        <w:t xml:space="preserve">$665,000 </w:t>
      </w:r>
      <w:r w:rsidR="00F0150F">
        <w:rPr>
          <w:rFonts w:ascii="Calibri" w:hAnsi="Calibri"/>
        </w:rPr>
        <w:t xml:space="preserve">SFY </w:t>
      </w:r>
      <w:r w:rsidR="005F143C" w:rsidRPr="005F143C">
        <w:t>2022</w:t>
      </w:r>
      <w:r w:rsidR="00DF10D1">
        <w:t xml:space="preserve"> Direct Appropriation grant funds</w:t>
      </w:r>
      <w:r w:rsidR="007962B0">
        <w:t>, which began July 1, 2021</w:t>
      </w:r>
      <w:r w:rsidR="005F143C">
        <w:t>.</w:t>
      </w:r>
    </w:p>
    <w:sectPr w:rsidR="007E4D08" w:rsidRPr="007E4D08" w:rsidSect="00C6168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728"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C4FE7" w14:textId="77777777" w:rsidR="00EC082F" w:rsidRDefault="00EC082F">
      <w:r>
        <w:separator/>
      </w:r>
    </w:p>
  </w:endnote>
  <w:endnote w:type="continuationSeparator" w:id="0">
    <w:p w14:paraId="039AE1B3" w14:textId="77777777" w:rsidR="00EC082F" w:rsidRDefault="00EC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default"/>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E281F" w14:textId="77777777" w:rsidR="00332942" w:rsidRDefault="00332942">
    <w:pPr>
      <w:pBdr>
        <w:top w:val="nil"/>
        <w:left w:val="nil"/>
        <w:bottom w:val="nil"/>
        <w:right w:val="nil"/>
        <w:between w:val="nil"/>
      </w:pBdr>
      <w:tabs>
        <w:tab w:val="right" w:pos="10080"/>
      </w:tabs>
      <w:spacing w:before="0" w:line="336" w:lineRule="auto"/>
      <w:jc w:val="right"/>
      <w:rPr>
        <w:color w:val="000000"/>
      </w:rPr>
    </w:pPr>
    <w:r>
      <w:rPr>
        <w:i/>
        <w:color w:val="000000"/>
        <w:sz w:val="20"/>
        <w:szCs w:val="20"/>
      </w:rPr>
      <w:t>SFY 20</w:t>
    </w:r>
    <w:r>
      <w:rPr>
        <w:i/>
        <w:sz w:val="20"/>
        <w:szCs w:val="20"/>
      </w:rPr>
      <w:t>21</w:t>
    </w:r>
    <w:r>
      <w:rPr>
        <w:i/>
        <w:color w:val="000000"/>
        <w:sz w:val="20"/>
        <w:szCs w:val="20"/>
      </w:rPr>
      <w:t xml:space="preserve"> Construction Careers Foundation Progress Report</w:t>
    </w:r>
    <w:r>
      <w:rPr>
        <w:color w:val="000000"/>
      </w:rPr>
      <w:tab/>
    </w: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6C561DF4" w14:textId="77777777" w:rsidR="00332942" w:rsidRDefault="00332942">
    <w:pPr>
      <w:widowControl w:val="0"/>
      <w:pBdr>
        <w:top w:val="nil"/>
        <w:left w:val="nil"/>
        <w:bottom w:val="nil"/>
        <w:right w:val="nil"/>
        <w:between w:val="nil"/>
      </w:pBdr>
      <w:spacing w:before="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3710F" w14:textId="77777777" w:rsidR="00332942" w:rsidRDefault="00332942">
    <w:pPr>
      <w:pBdr>
        <w:left w:val="single" w:sz="12" w:space="11" w:color="003865" w:themeColor="accent1"/>
      </w:pBdr>
      <w:tabs>
        <w:tab w:val="left" w:pos="622"/>
      </w:tabs>
      <w:rPr>
        <w:rFonts w:asciiTheme="majorHAnsi" w:eastAsiaTheme="majorEastAsia" w:hAnsiTheme="majorHAnsi" w:cstheme="majorBidi"/>
        <w:color w:val="00294B" w:themeColor="accent1" w:themeShade="BF"/>
        <w:sz w:val="26"/>
        <w:szCs w:val="26"/>
      </w:rPr>
    </w:pPr>
    <w:r>
      <w:rPr>
        <w:rFonts w:asciiTheme="majorHAnsi" w:eastAsiaTheme="majorEastAsia" w:hAnsiTheme="majorHAnsi" w:cstheme="majorBidi"/>
        <w:color w:val="00294B" w:themeColor="accent1" w:themeShade="BF"/>
        <w:sz w:val="26"/>
        <w:szCs w:val="26"/>
      </w:rPr>
      <w:fldChar w:fldCharType="begin"/>
    </w:r>
    <w:r>
      <w:rPr>
        <w:rFonts w:asciiTheme="majorHAnsi" w:eastAsiaTheme="majorEastAsia" w:hAnsiTheme="majorHAnsi" w:cstheme="majorBidi"/>
        <w:color w:val="00294B" w:themeColor="accent1" w:themeShade="BF"/>
        <w:sz w:val="26"/>
        <w:szCs w:val="26"/>
      </w:rPr>
      <w:instrText xml:space="preserve"> PAGE   \* MERGEFORMAT </w:instrText>
    </w:r>
    <w:r>
      <w:rPr>
        <w:rFonts w:asciiTheme="majorHAnsi" w:eastAsiaTheme="majorEastAsia" w:hAnsiTheme="majorHAnsi" w:cstheme="majorBidi"/>
        <w:color w:val="00294B" w:themeColor="accent1" w:themeShade="BF"/>
        <w:sz w:val="26"/>
        <w:szCs w:val="26"/>
      </w:rPr>
      <w:fldChar w:fldCharType="separate"/>
    </w:r>
    <w:r>
      <w:rPr>
        <w:rFonts w:asciiTheme="majorHAnsi" w:eastAsiaTheme="majorEastAsia" w:hAnsiTheme="majorHAnsi" w:cstheme="majorBidi"/>
        <w:noProof/>
        <w:color w:val="00294B" w:themeColor="accent1" w:themeShade="BF"/>
        <w:sz w:val="26"/>
        <w:szCs w:val="26"/>
      </w:rPr>
      <w:t>2</w:t>
    </w:r>
    <w:r>
      <w:rPr>
        <w:rFonts w:asciiTheme="majorHAnsi" w:eastAsiaTheme="majorEastAsia" w:hAnsiTheme="majorHAnsi" w:cstheme="majorBidi"/>
        <w:noProof/>
        <w:color w:val="00294B" w:themeColor="accent1" w:themeShade="BF"/>
        <w:sz w:val="26"/>
        <w:szCs w:val="26"/>
      </w:rPr>
      <w:fldChar w:fldCharType="end"/>
    </w:r>
  </w:p>
  <w:p w14:paraId="3EDB29E8" w14:textId="77777777" w:rsidR="00332942" w:rsidRDefault="00332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5A2B" w14:textId="77777777" w:rsidR="00371129" w:rsidRDefault="003711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E831" w14:textId="77777777" w:rsidR="00371129" w:rsidRDefault="003711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4A2C1" w14:textId="77777777" w:rsidR="00371129" w:rsidRDefault="0037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5D22B" w14:textId="77777777" w:rsidR="00EC082F" w:rsidRDefault="00EC082F">
      <w:r>
        <w:separator/>
      </w:r>
    </w:p>
  </w:footnote>
  <w:footnote w:type="continuationSeparator" w:id="0">
    <w:p w14:paraId="6D13A495" w14:textId="77777777" w:rsidR="00EC082F" w:rsidRDefault="00EC0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0A61" w14:textId="77777777" w:rsidR="00371129" w:rsidRDefault="0037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F1A8" w14:textId="77777777" w:rsidR="00371129" w:rsidRDefault="00371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3865" w:themeColor="text1"/>
      </w:rPr>
      <w:id w:val="2019655725"/>
      <w:docPartObj>
        <w:docPartGallery w:val="Watermarks"/>
        <w:docPartUnique/>
      </w:docPartObj>
    </w:sdtPr>
    <w:sdtEndPr/>
    <w:sdtContent>
      <w:p w14:paraId="248A5734" w14:textId="77777777" w:rsidR="00371129" w:rsidRPr="005666F2" w:rsidRDefault="00EC082F">
        <w:pPr>
          <w:rPr>
            <w:color w:val="003865" w:themeColor="text1"/>
          </w:rPr>
        </w:pPr>
        <w:r>
          <w:rPr>
            <w:noProof/>
            <w:color w:val="003865" w:themeColor="text1"/>
          </w:rPr>
          <w:pict w14:anchorId="73B79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B89F6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90"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852052"/>
    <w:multiLevelType w:val="hybridMultilevel"/>
    <w:tmpl w:val="48DC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B67AFE"/>
    <w:multiLevelType w:val="hybridMultilevel"/>
    <w:tmpl w:val="6666C980"/>
    <w:lvl w:ilvl="0" w:tplc="EC3C6998">
      <w:start w:val="1"/>
      <w:numFmt w:val="bullet"/>
      <w:lvlText w:val=""/>
      <w:lvlJc w:val="left"/>
      <w:pPr>
        <w:ind w:left="480" w:hanging="360"/>
      </w:pPr>
      <w:rPr>
        <w:rFonts w:ascii="Symbol" w:eastAsia="Symbol" w:hAnsi="Symbol" w:hint="default"/>
        <w:w w:val="95"/>
        <w:sz w:val="20"/>
        <w:szCs w:val="20"/>
      </w:rPr>
    </w:lvl>
    <w:lvl w:ilvl="1" w:tplc="52D8A6DE">
      <w:start w:val="1"/>
      <w:numFmt w:val="bullet"/>
      <w:lvlText w:val="•"/>
      <w:lvlJc w:val="left"/>
      <w:pPr>
        <w:ind w:left="1474" w:hanging="360"/>
      </w:pPr>
      <w:rPr>
        <w:rFonts w:hint="default"/>
      </w:rPr>
    </w:lvl>
    <w:lvl w:ilvl="2" w:tplc="41EC75FA">
      <w:start w:val="1"/>
      <w:numFmt w:val="bullet"/>
      <w:lvlText w:val="•"/>
      <w:lvlJc w:val="left"/>
      <w:pPr>
        <w:ind w:left="2468" w:hanging="360"/>
      </w:pPr>
      <w:rPr>
        <w:rFonts w:hint="default"/>
      </w:rPr>
    </w:lvl>
    <w:lvl w:ilvl="3" w:tplc="97065C28">
      <w:start w:val="1"/>
      <w:numFmt w:val="bullet"/>
      <w:lvlText w:val="•"/>
      <w:lvlJc w:val="left"/>
      <w:pPr>
        <w:ind w:left="3462" w:hanging="360"/>
      </w:pPr>
      <w:rPr>
        <w:rFonts w:hint="default"/>
      </w:rPr>
    </w:lvl>
    <w:lvl w:ilvl="4" w:tplc="DC5C3F5A">
      <w:start w:val="1"/>
      <w:numFmt w:val="bullet"/>
      <w:lvlText w:val="•"/>
      <w:lvlJc w:val="left"/>
      <w:pPr>
        <w:ind w:left="4456" w:hanging="360"/>
      </w:pPr>
      <w:rPr>
        <w:rFonts w:hint="default"/>
      </w:rPr>
    </w:lvl>
    <w:lvl w:ilvl="5" w:tplc="BB9AA8E8">
      <w:start w:val="1"/>
      <w:numFmt w:val="bullet"/>
      <w:lvlText w:val="•"/>
      <w:lvlJc w:val="left"/>
      <w:pPr>
        <w:ind w:left="5450" w:hanging="360"/>
      </w:pPr>
      <w:rPr>
        <w:rFonts w:hint="default"/>
      </w:rPr>
    </w:lvl>
    <w:lvl w:ilvl="6" w:tplc="75D87C54">
      <w:start w:val="1"/>
      <w:numFmt w:val="bullet"/>
      <w:lvlText w:val="•"/>
      <w:lvlJc w:val="left"/>
      <w:pPr>
        <w:ind w:left="6444" w:hanging="360"/>
      </w:pPr>
      <w:rPr>
        <w:rFonts w:hint="default"/>
      </w:rPr>
    </w:lvl>
    <w:lvl w:ilvl="7" w:tplc="2A6E2478">
      <w:start w:val="1"/>
      <w:numFmt w:val="bullet"/>
      <w:lvlText w:val="•"/>
      <w:lvlJc w:val="left"/>
      <w:pPr>
        <w:ind w:left="7438" w:hanging="360"/>
      </w:pPr>
      <w:rPr>
        <w:rFonts w:hint="default"/>
      </w:rPr>
    </w:lvl>
    <w:lvl w:ilvl="8" w:tplc="8ACEA394">
      <w:start w:val="1"/>
      <w:numFmt w:val="bullet"/>
      <w:lvlText w:val="•"/>
      <w:lvlJc w:val="left"/>
      <w:pPr>
        <w:ind w:left="8432" w:hanging="360"/>
      </w:pPr>
      <w:rPr>
        <w:rFonts w:hint="default"/>
      </w:rPr>
    </w:lvl>
  </w:abstractNum>
  <w:abstractNum w:abstractNumId="8"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6112F5"/>
    <w:multiLevelType w:val="hybridMultilevel"/>
    <w:tmpl w:val="EC10B1AC"/>
    <w:lvl w:ilvl="0" w:tplc="B122EDCE">
      <w:start w:val="1"/>
      <w:numFmt w:val="decimal"/>
      <w:lvlText w:val="%1."/>
      <w:lvlJc w:val="left"/>
      <w:pPr>
        <w:ind w:left="480" w:hanging="360"/>
      </w:pPr>
      <w:rPr>
        <w:rFonts w:ascii="Times New Roman" w:eastAsia="Times New Roman" w:hAnsi="Times New Roman" w:hint="default"/>
        <w:w w:val="95"/>
        <w:sz w:val="20"/>
        <w:szCs w:val="20"/>
      </w:rPr>
    </w:lvl>
    <w:lvl w:ilvl="1" w:tplc="ADECB146">
      <w:start w:val="1"/>
      <w:numFmt w:val="bullet"/>
      <w:lvlText w:val="•"/>
      <w:lvlJc w:val="left"/>
      <w:pPr>
        <w:ind w:left="1474" w:hanging="360"/>
      </w:pPr>
      <w:rPr>
        <w:rFonts w:hint="default"/>
      </w:rPr>
    </w:lvl>
    <w:lvl w:ilvl="2" w:tplc="3F4E14C0">
      <w:start w:val="1"/>
      <w:numFmt w:val="bullet"/>
      <w:lvlText w:val="•"/>
      <w:lvlJc w:val="left"/>
      <w:pPr>
        <w:ind w:left="2468" w:hanging="360"/>
      </w:pPr>
      <w:rPr>
        <w:rFonts w:hint="default"/>
      </w:rPr>
    </w:lvl>
    <w:lvl w:ilvl="3" w:tplc="73588232">
      <w:start w:val="1"/>
      <w:numFmt w:val="bullet"/>
      <w:lvlText w:val="•"/>
      <w:lvlJc w:val="left"/>
      <w:pPr>
        <w:ind w:left="3462" w:hanging="360"/>
      </w:pPr>
      <w:rPr>
        <w:rFonts w:hint="default"/>
      </w:rPr>
    </w:lvl>
    <w:lvl w:ilvl="4" w:tplc="1786B82C">
      <w:start w:val="1"/>
      <w:numFmt w:val="bullet"/>
      <w:lvlText w:val="•"/>
      <w:lvlJc w:val="left"/>
      <w:pPr>
        <w:ind w:left="4456" w:hanging="360"/>
      </w:pPr>
      <w:rPr>
        <w:rFonts w:hint="default"/>
      </w:rPr>
    </w:lvl>
    <w:lvl w:ilvl="5" w:tplc="E6BE8358">
      <w:start w:val="1"/>
      <w:numFmt w:val="bullet"/>
      <w:lvlText w:val="•"/>
      <w:lvlJc w:val="left"/>
      <w:pPr>
        <w:ind w:left="5450" w:hanging="360"/>
      </w:pPr>
      <w:rPr>
        <w:rFonts w:hint="default"/>
      </w:rPr>
    </w:lvl>
    <w:lvl w:ilvl="6" w:tplc="4F3AE858">
      <w:start w:val="1"/>
      <w:numFmt w:val="bullet"/>
      <w:lvlText w:val="•"/>
      <w:lvlJc w:val="left"/>
      <w:pPr>
        <w:ind w:left="6444" w:hanging="360"/>
      </w:pPr>
      <w:rPr>
        <w:rFonts w:hint="default"/>
      </w:rPr>
    </w:lvl>
    <w:lvl w:ilvl="7" w:tplc="10D89AC8">
      <w:start w:val="1"/>
      <w:numFmt w:val="bullet"/>
      <w:lvlText w:val="•"/>
      <w:lvlJc w:val="left"/>
      <w:pPr>
        <w:ind w:left="7438" w:hanging="360"/>
      </w:pPr>
      <w:rPr>
        <w:rFonts w:hint="default"/>
      </w:rPr>
    </w:lvl>
    <w:lvl w:ilvl="8" w:tplc="8AFEA518">
      <w:start w:val="1"/>
      <w:numFmt w:val="bullet"/>
      <w:lvlText w:val="•"/>
      <w:lvlJc w:val="left"/>
      <w:pPr>
        <w:ind w:left="8432" w:hanging="360"/>
      </w:pPr>
      <w:rPr>
        <w:rFonts w:hint="default"/>
      </w:rPr>
    </w:lvl>
  </w:abstractNum>
  <w:abstractNum w:abstractNumId="10" w15:restartNumberingAfterBreak="0">
    <w:nsid w:val="088F767A"/>
    <w:multiLevelType w:val="hybridMultilevel"/>
    <w:tmpl w:val="B5EEE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26FE9"/>
    <w:multiLevelType w:val="hybridMultilevel"/>
    <w:tmpl w:val="0E02C21E"/>
    <w:lvl w:ilvl="0" w:tplc="AD262B86">
      <w:start w:val="1"/>
      <w:numFmt w:val="bullet"/>
      <w:lvlText w:val=""/>
      <w:lvlJc w:val="left"/>
      <w:pPr>
        <w:ind w:left="720" w:hanging="360"/>
      </w:pPr>
      <w:rPr>
        <w:rFonts w:ascii="Symbol" w:hAnsi="Symbol" w:hint="default"/>
        <w:color w:val="00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077BD3"/>
    <w:multiLevelType w:val="hybridMultilevel"/>
    <w:tmpl w:val="49D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AF2552"/>
    <w:multiLevelType w:val="hybridMultilevel"/>
    <w:tmpl w:val="DCE6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DF358A"/>
    <w:multiLevelType w:val="hybridMultilevel"/>
    <w:tmpl w:val="13DC2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02596"/>
    <w:multiLevelType w:val="hybridMultilevel"/>
    <w:tmpl w:val="4BE03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00656"/>
    <w:multiLevelType w:val="hybridMultilevel"/>
    <w:tmpl w:val="680AACB4"/>
    <w:lvl w:ilvl="0" w:tplc="2DEAD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F7200A"/>
    <w:multiLevelType w:val="hybridMultilevel"/>
    <w:tmpl w:val="E23A8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6855F8"/>
    <w:multiLevelType w:val="hybridMultilevel"/>
    <w:tmpl w:val="9C0A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51073"/>
    <w:multiLevelType w:val="hybridMultilevel"/>
    <w:tmpl w:val="9C7C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470ED"/>
    <w:multiLevelType w:val="hybridMultilevel"/>
    <w:tmpl w:val="1E5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F2796"/>
    <w:multiLevelType w:val="hybridMultilevel"/>
    <w:tmpl w:val="B49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7735C"/>
    <w:multiLevelType w:val="hybridMultilevel"/>
    <w:tmpl w:val="DB5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6087D"/>
    <w:multiLevelType w:val="hybridMultilevel"/>
    <w:tmpl w:val="A8F2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34"/>
  </w:num>
  <w:num w:numId="4">
    <w:abstractNumId w:val="31"/>
  </w:num>
  <w:num w:numId="5">
    <w:abstractNumId w:val="28"/>
  </w:num>
  <w:num w:numId="6">
    <w:abstractNumId w:val="4"/>
  </w:num>
  <w:num w:numId="7">
    <w:abstractNumId w:val="20"/>
  </w:num>
  <w:num w:numId="8">
    <w:abstractNumId w:val="12"/>
  </w:num>
  <w:num w:numId="9">
    <w:abstractNumId w:val="18"/>
  </w:num>
  <w:num w:numId="10">
    <w:abstractNumId w:val="2"/>
  </w:num>
  <w:num w:numId="11">
    <w:abstractNumId w:val="2"/>
  </w:num>
  <w:num w:numId="12">
    <w:abstractNumId w:val="35"/>
  </w:num>
  <w:num w:numId="13">
    <w:abstractNumId w:val="36"/>
  </w:num>
  <w:num w:numId="14">
    <w:abstractNumId w:val="27"/>
  </w:num>
  <w:num w:numId="15">
    <w:abstractNumId w:val="2"/>
  </w:num>
  <w:num w:numId="16">
    <w:abstractNumId w:val="36"/>
  </w:num>
  <w:num w:numId="17">
    <w:abstractNumId w:val="27"/>
  </w:num>
  <w:num w:numId="18">
    <w:abstractNumId w:val="14"/>
  </w:num>
  <w:num w:numId="19">
    <w:abstractNumId w:val="5"/>
  </w:num>
  <w:num w:numId="20">
    <w:abstractNumId w:val="1"/>
  </w:num>
  <w:num w:numId="21">
    <w:abstractNumId w:val="0"/>
  </w:num>
  <w:num w:numId="22">
    <w:abstractNumId w:val="13"/>
  </w:num>
  <w:num w:numId="23">
    <w:abstractNumId w:val="30"/>
  </w:num>
  <w:num w:numId="24">
    <w:abstractNumId w:val="32"/>
  </w:num>
  <w:num w:numId="25">
    <w:abstractNumId w:val="15"/>
  </w:num>
  <w:num w:numId="26">
    <w:abstractNumId w:val="9"/>
  </w:num>
  <w:num w:numId="27">
    <w:abstractNumId w:val="7"/>
  </w:num>
  <w:num w:numId="28">
    <w:abstractNumId w:val="16"/>
  </w:num>
  <w:num w:numId="29">
    <w:abstractNumId w:val="29"/>
  </w:num>
  <w:num w:numId="30">
    <w:abstractNumId w:val="25"/>
  </w:num>
  <w:num w:numId="31">
    <w:abstractNumId w:val="6"/>
  </w:num>
  <w:num w:numId="32">
    <w:abstractNumId w:val="33"/>
  </w:num>
  <w:num w:numId="33">
    <w:abstractNumId w:val="26"/>
  </w:num>
  <w:num w:numId="34">
    <w:abstractNumId w:val="37"/>
  </w:num>
  <w:num w:numId="35">
    <w:abstractNumId w:val="17"/>
  </w:num>
  <w:num w:numId="36">
    <w:abstractNumId w:val="23"/>
  </w:num>
  <w:num w:numId="37">
    <w:abstractNumId w:val="19"/>
  </w:num>
  <w:num w:numId="38">
    <w:abstractNumId w:val="21"/>
  </w:num>
  <w:num w:numId="39">
    <w:abstractNumId w:val="22"/>
  </w:num>
  <w:num w:numId="40">
    <w:abstractNumId w:val="10"/>
  </w:num>
  <w:num w:numId="41">
    <w:abstractNumId w:val="11"/>
  </w:num>
  <w:num w:numId="4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65AC"/>
    <w:rsid w:val="00006A0A"/>
    <w:rsid w:val="0001447C"/>
    <w:rsid w:val="00014F49"/>
    <w:rsid w:val="00025C5E"/>
    <w:rsid w:val="000317EC"/>
    <w:rsid w:val="00031BB3"/>
    <w:rsid w:val="000327DB"/>
    <w:rsid w:val="000337E4"/>
    <w:rsid w:val="00035E65"/>
    <w:rsid w:val="00044B4B"/>
    <w:rsid w:val="00046EB6"/>
    <w:rsid w:val="0005176D"/>
    <w:rsid w:val="00051B4D"/>
    <w:rsid w:val="000545CD"/>
    <w:rsid w:val="00061C0B"/>
    <w:rsid w:val="00063D26"/>
    <w:rsid w:val="00064A0B"/>
    <w:rsid w:val="00064B90"/>
    <w:rsid w:val="0007168E"/>
    <w:rsid w:val="0007241D"/>
    <w:rsid w:val="0007374A"/>
    <w:rsid w:val="0007512E"/>
    <w:rsid w:val="000756CC"/>
    <w:rsid w:val="00080404"/>
    <w:rsid w:val="000816E1"/>
    <w:rsid w:val="00083CE2"/>
    <w:rsid w:val="00084742"/>
    <w:rsid w:val="00084D5E"/>
    <w:rsid w:val="000871C3"/>
    <w:rsid w:val="00093A09"/>
    <w:rsid w:val="00093C9B"/>
    <w:rsid w:val="00095BE8"/>
    <w:rsid w:val="000A43FD"/>
    <w:rsid w:val="000B2E68"/>
    <w:rsid w:val="000C06AB"/>
    <w:rsid w:val="000C1547"/>
    <w:rsid w:val="000C3708"/>
    <w:rsid w:val="000C3761"/>
    <w:rsid w:val="000C7373"/>
    <w:rsid w:val="000D3235"/>
    <w:rsid w:val="000D54B1"/>
    <w:rsid w:val="000D7476"/>
    <w:rsid w:val="000E313B"/>
    <w:rsid w:val="000E3E9D"/>
    <w:rsid w:val="000F0180"/>
    <w:rsid w:val="000F4BB1"/>
    <w:rsid w:val="000F603C"/>
    <w:rsid w:val="000F6841"/>
    <w:rsid w:val="00101B98"/>
    <w:rsid w:val="00101D32"/>
    <w:rsid w:val="00106274"/>
    <w:rsid w:val="00107E8B"/>
    <w:rsid w:val="00122193"/>
    <w:rsid w:val="00130DA7"/>
    <w:rsid w:val="00135082"/>
    <w:rsid w:val="00135DC7"/>
    <w:rsid w:val="00144E79"/>
    <w:rsid w:val="001469CB"/>
    <w:rsid w:val="00147ED1"/>
    <w:rsid w:val="001500D6"/>
    <w:rsid w:val="00156D4E"/>
    <w:rsid w:val="00157C41"/>
    <w:rsid w:val="00160D01"/>
    <w:rsid w:val="001625E0"/>
    <w:rsid w:val="001661D9"/>
    <w:rsid w:val="00166BAB"/>
    <w:rsid w:val="001708EC"/>
    <w:rsid w:val="001714FC"/>
    <w:rsid w:val="001729B0"/>
    <w:rsid w:val="00177D8D"/>
    <w:rsid w:val="00185724"/>
    <w:rsid w:val="001925A8"/>
    <w:rsid w:val="00193D5B"/>
    <w:rsid w:val="00195638"/>
    <w:rsid w:val="0019673D"/>
    <w:rsid w:val="001A2DC2"/>
    <w:rsid w:val="001A46BB"/>
    <w:rsid w:val="001A63DE"/>
    <w:rsid w:val="001B1BD1"/>
    <w:rsid w:val="001B5D7E"/>
    <w:rsid w:val="001B751F"/>
    <w:rsid w:val="001C4B91"/>
    <w:rsid w:val="001C55E0"/>
    <w:rsid w:val="001C7884"/>
    <w:rsid w:val="001D0B3B"/>
    <w:rsid w:val="001D3032"/>
    <w:rsid w:val="001D7415"/>
    <w:rsid w:val="001E0724"/>
    <w:rsid w:val="001E5ECF"/>
    <w:rsid w:val="001F048F"/>
    <w:rsid w:val="001F0E23"/>
    <w:rsid w:val="001F278F"/>
    <w:rsid w:val="001F3A98"/>
    <w:rsid w:val="001F4A8F"/>
    <w:rsid w:val="001F752B"/>
    <w:rsid w:val="00200B51"/>
    <w:rsid w:val="00211CA3"/>
    <w:rsid w:val="0021716D"/>
    <w:rsid w:val="00220532"/>
    <w:rsid w:val="00222A49"/>
    <w:rsid w:val="0022552E"/>
    <w:rsid w:val="00225DD1"/>
    <w:rsid w:val="00227049"/>
    <w:rsid w:val="002318A5"/>
    <w:rsid w:val="00245A79"/>
    <w:rsid w:val="00253B66"/>
    <w:rsid w:val="00261247"/>
    <w:rsid w:val="00264652"/>
    <w:rsid w:val="00265D03"/>
    <w:rsid w:val="0027165F"/>
    <w:rsid w:val="00282084"/>
    <w:rsid w:val="00291052"/>
    <w:rsid w:val="002A4132"/>
    <w:rsid w:val="002B0475"/>
    <w:rsid w:val="002B1DD2"/>
    <w:rsid w:val="002B322A"/>
    <w:rsid w:val="002B5E79"/>
    <w:rsid w:val="002C0859"/>
    <w:rsid w:val="002C2001"/>
    <w:rsid w:val="002C2917"/>
    <w:rsid w:val="002D6C5F"/>
    <w:rsid w:val="002F1947"/>
    <w:rsid w:val="002F62EB"/>
    <w:rsid w:val="002F6D47"/>
    <w:rsid w:val="003017EE"/>
    <w:rsid w:val="00305E71"/>
    <w:rsid w:val="00306D94"/>
    <w:rsid w:val="003073AE"/>
    <w:rsid w:val="003125DF"/>
    <w:rsid w:val="00316FF9"/>
    <w:rsid w:val="00320A58"/>
    <w:rsid w:val="0033188E"/>
    <w:rsid w:val="00332942"/>
    <w:rsid w:val="00335736"/>
    <w:rsid w:val="00337F4D"/>
    <w:rsid w:val="0034427F"/>
    <w:rsid w:val="0034554C"/>
    <w:rsid w:val="0035480D"/>
    <w:rsid w:val="00355553"/>
    <w:rsid w:val="003563D2"/>
    <w:rsid w:val="00364526"/>
    <w:rsid w:val="00364D1F"/>
    <w:rsid w:val="00366F25"/>
    <w:rsid w:val="0037065E"/>
    <w:rsid w:val="00371129"/>
    <w:rsid w:val="003717B9"/>
    <w:rsid w:val="00373547"/>
    <w:rsid w:val="00373601"/>
    <w:rsid w:val="00376FA5"/>
    <w:rsid w:val="00383497"/>
    <w:rsid w:val="00387395"/>
    <w:rsid w:val="00397F4B"/>
    <w:rsid w:val="003A1479"/>
    <w:rsid w:val="003A1813"/>
    <w:rsid w:val="003A336B"/>
    <w:rsid w:val="003A664F"/>
    <w:rsid w:val="003B230A"/>
    <w:rsid w:val="003B3885"/>
    <w:rsid w:val="003B3BD4"/>
    <w:rsid w:val="003B7D82"/>
    <w:rsid w:val="003C4644"/>
    <w:rsid w:val="003C5BE3"/>
    <w:rsid w:val="003D5586"/>
    <w:rsid w:val="003D581B"/>
    <w:rsid w:val="003E1DD3"/>
    <w:rsid w:val="003E522A"/>
    <w:rsid w:val="003F2901"/>
    <w:rsid w:val="00401C87"/>
    <w:rsid w:val="00413A7C"/>
    <w:rsid w:val="004141DD"/>
    <w:rsid w:val="00416082"/>
    <w:rsid w:val="004343CA"/>
    <w:rsid w:val="00437383"/>
    <w:rsid w:val="0044526F"/>
    <w:rsid w:val="0045184C"/>
    <w:rsid w:val="0045335C"/>
    <w:rsid w:val="0045686D"/>
    <w:rsid w:val="00461804"/>
    <w:rsid w:val="00466810"/>
    <w:rsid w:val="00476E56"/>
    <w:rsid w:val="004775E5"/>
    <w:rsid w:val="004816B5"/>
    <w:rsid w:val="00482F57"/>
    <w:rsid w:val="00483DD2"/>
    <w:rsid w:val="004874EC"/>
    <w:rsid w:val="00494E6F"/>
    <w:rsid w:val="004A1B4D"/>
    <w:rsid w:val="004A2C97"/>
    <w:rsid w:val="004A4806"/>
    <w:rsid w:val="004A58DD"/>
    <w:rsid w:val="004A6119"/>
    <w:rsid w:val="004B456E"/>
    <w:rsid w:val="004B47DC"/>
    <w:rsid w:val="004B4947"/>
    <w:rsid w:val="004B62FF"/>
    <w:rsid w:val="004C0F2B"/>
    <w:rsid w:val="004C79CF"/>
    <w:rsid w:val="004D3591"/>
    <w:rsid w:val="004D5320"/>
    <w:rsid w:val="004E0E31"/>
    <w:rsid w:val="004E429C"/>
    <w:rsid w:val="004E75B3"/>
    <w:rsid w:val="004F04BA"/>
    <w:rsid w:val="004F0EFF"/>
    <w:rsid w:val="004F33A6"/>
    <w:rsid w:val="004F6F50"/>
    <w:rsid w:val="004F74F0"/>
    <w:rsid w:val="0050093F"/>
    <w:rsid w:val="00504805"/>
    <w:rsid w:val="00514788"/>
    <w:rsid w:val="00522425"/>
    <w:rsid w:val="0052521B"/>
    <w:rsid w:val="00531187"/>
    <w:rsid w:val="00536523"/>
    <w:rsid w:val="00540D0C"/>
    <w:rsid w:val="0054371B"/>
    <w:rsid w:val="00544B28"/>
    <w:rsid w:val="0054671B"/>
    <w:rsid w:val="00547241"/>
    <w:rsid w:val="005619C0"/>
    <w:rsid w:val="00562A1D"/>
    <w:rsid w:val="0056615E"/>
    <w:rsid w:val="005666F2"/>
    <w:rsid w:val="00571975"/>
    <w:rsid w:val="00575EFD"/>
    <w:rsid w:val="00580063"/>
    <w:rsid w:val="00585867"/>
    <w:rsid w:val="005950B7"/>
    <w:rsid w:val="005A5077"/>
    <w:rsid w:val="005B2DDF"/>
    <w:rsid w:val="005B4AE7"/>
    <w:rsid w:val="005B53B0"/>
    <w:rsid w:val="005C38FE"/>
    <w:rsid w:val="005C63AB"/>
    <w:rsid w:val="005D2381"/>
    <w:rsid w:val="005D4207"/>
    <w:rsid w:val="005D45B3"/>
    <w:rsid w:val="005E16B0"/>
    <w:rsid w:val="005F09F1"/>
    <w:rsid w:val="005F143C"/>
    <w:rsid w:val="005F49E3"/>
    <w:rsid w:val="005F6005"/>
    <w:rsid w:val="00602F1C"/>
    <w:rsid w:val="006064AB"/>
    <w:rsid w:val="00614449"/>
    <w:rsid w:val="00614908"/>
    <w:rsid w:val="00614BCB"/>
    <w:rsid w:val="00615E29"/>
    <w:rsid w:val="006229CF"/>
    <w:rsid w:val="00622BB5"/>
    <w:rsid w:val="0062608B"/>
    <w:rsid w:val="00650CBB"/>
    <w:rsid w:val="00655345"/>
    <w:rsid w:val="00672536"/>
    <w:rsid w:val="006768CD"/>
    <w:rsid w:val="00681EDC"/>
    <w:rsid w:val="0068649F"/>
    <w:rsid w:val="00687189"/>
    <w:rsid w:val="00693F1E"/>
    <w:rsid w:val="00697CCC"/>
    <w:rsid w:val="006B13B7"/>
    <w:rsid w:val="006B1C30"/>
    <w:rsid w:val="006B2942"/>
    <w:rsid w:val="006B2A55"/>
    <w:rsid w:val="006B3994"/>
    <w:rsid w:val="006C0E45"/>
    <w:rsid w:val="006C74BF"/>
    <w:rsid w:val="006D1031"/>
    <w:rsid w:val="006D4829"/>
    <w:rsid w:val="006E1135"/>
    <w:rsid w:val="006E5541"/>
    <w:rsid w:val="006F0073"/>
    <w:rsid w:val="006F3B38"/>
    <w:rsid w:val="007100C5"/>
    <w:rsid w:val="007137A4"/>
    <w:rsid w:val="00717E0C"/>
    <w:rsid w:val="0072221F"/>
    <w:rsid w:val="007225DF"/>
    <w:rsid w:val="007326D1"/>
    <w:rsid w:val="00744E1C"/>
    <w:rsid w:val="0074778B"/>
    <w:rsid w:val="00755E8C"/>
    <w:rsid w:val="007671BB"/>
    <w:rsid w:val="0077225E"/>
    <w:rsid w:val="007760A0"/>
    <w:rsid w:val="0078502C"/>
    <w:rsid w:val="00790025"/>
    <w:rsid w:val="00793F48"/>
    <w:rsid w:val="007962B0"/>
    <w:rsid w:val="007A0C6B"/>
    <w:rsid w:val="007A3B0D"/>
    <w:rsid w:val="007A676F"/>
    <w:rsid w:val="007B038E"/>
    <w:rsid w:val="007B35B2"/>
    <w:rsid w:val="007C5BBA"/>
    <w:rsid w:val="007D1FFF"/>
    <w:rsid w:val="007D42A0"/>
    <w:rsid w:val="007D63EA"/>
    <w:rsid w:val="007E00CD"/>
    <w:rsid w:val="007E4D08"/>
    <w:rsid w:val="007E685C"/>
    <w:rsid w:val="007E6E02"/>
    <w:rsid w:val="007F5EB4"/>
    <w:rsid w:val="007F6108"/>
    <w:rsid w:val="007F7097"/>
    <w:rsid w:val="00801448"/>
    <w:rsid w:val="00802DA1"/>
    <w:rsid w:val="008067A6"/>
    <w:rsid w:val="008075AD"/>
    <w:rsid w:val="00814C62"/>
    <w:rsid w:val="00816604"/>
    <w:rsid w:val="0082161E"/>
    <w:rsid w:val="008222E9"/>
    <w:rsid w:val="008251B3"/>
    <w:rsid w:val="00825D4E"/>
    <w:rsid w:val="008331AB"/>
    <w:rsid w:val="00844F1D"/>
    <w:rsid w:val="0084749F"/>
    <w:rsid w:val="00855B34"/>
    <w:rsid w:val="008615FE"/>
    <w:rsid w:val="00864202"/>
    <w:rsid w:val="00875879"/>
    <w:rsid w:val="00891C35"/>
    <w:rsid w:val="008A0BD2"/>
    <w:rsid w:val="008A3F10"/>
    <w:rsid w:val="008B5443"/>
    <w:rsid w:val="008C7EEB"/>
    <w:rsid w:val="008D0DEF"/>
    <w:rsid w:val="008D2256"/>
    <w:rsid w:val="008D5E3D"/>
    <w:rsid w:val="008E14FB"/>
    <w:rsid w:val="008E1765"/>
    <w:rsid w:val="008E2B33"/>
    <w:rsid w:val="008E579E"/>
    <w:rsid w:val="008F0531"/>
    <w:rsid w:val="0090737A"/>
    <w:rsid w:val="009138D2"/>
    <w:rsid w:val="00922627"/>
    <w:rsid w:val="00922A48"/>
    <w:rsid w:val="0092332F"/>
    <w:rsid w:val="00925F06"/>
    <w:rsid w:val="00926A5B"/>
    <w:rsid w:val="009316FE"/>
    <w:rsid w:val="009457B9"/>
    <w:rsid w:val="00946B13"/>
    <w:rsid w:val="00957B3C"/>
    <w:rsid w:val="00960FBF"/>
    <w:rsid w:val="0096108C"/>
    <w:rsid w:val="00963BA0"/>
    <w:rsid w:val="009644E5"/>
    <w:rsid w:val="0096541B"/>
    <w:rsid w:val="00967764"/>
    <w:rsid w:val="009774AA"/>
    <w:rsid w:val="009810EE"/>
    <w:rsid w:val="00984CC9"/>
    <w:rsid w:val="00985D2A"/>
    <w:rsid w:val="0099233F"/>
    <w:rsid w:val="009931EC"/>
    <w:rsid w:val="00993675"/>
    <w:rsid w:val="00996D72"/>
    <w:rsid w:val="0099788B"/>
    <w:rsid w:val="009A08B9"/>
    <w:rsid w:val="009A3514"/>
    <w:rsid w:val="009B2FDC"/>
    <w:rsid w:val="009B54A0"/>
    <w:rsid w:val="009C6405"/>
    <w:rsid w:val="009C68F4"/>
    <w:rsid w:val="009D4DD9"/>
    <w:rsid w:val="009D6DA6"/>
    <w:rsid w:val="009E2C1F"/>
    <w:rsid w:val="009E33BB"/>
    <w:rsid w:val="009F28AA"/>
    <w:rsid w:val="00A024CF"/>
    <w:rsid w:val="00A06A05"/>
    <w:rsid w:val="00A26BBA"/>
    <w:rsid w:val="00A30799"/>
    <w:rsid w:val="00A33823"/>
    <w:rsid w:val="00A349CA"/>
    <w:rsid w:val="00A36361"/>
    <w:rsid w:val="00A47496"/>
    <w:rsid w:val="00A55F67"/>
    <w:rsid w:val="00A57FE8"/>
    <w:rsid w:val="00A60AA6"/>
    <w:rsid w:val="00A62B92"/>
    <w:rsid w:val="00A64ECE"/>
    <w:rsid w:val="00A66185"/>
    <w:rsid w:val="00A71CAD"/>
    <w:rsid w:val="00A731A2"/>
    <w:rsid w:val="00A81130"/>
    <w:rsid w:val="00A827C1"/>
    <w:rsid w:val="00A84358"/>
    <w:rsid w:val="00A91C96"/>
    <w:rsid w:val="00A93F40"/>
    <w:rsid w:val="00A96F93"/>
    <w:rsid w:val="00AA1195"/>
    <w:rsid w:val="00AB240F"/>
    <w:rsid w:val="00AC672F"/>
    <w:rsid w:val="00AD0382"/>
    <w:rsid w:val="00AE0F07"/>
    <w:rsid w:val="00AE419A"/>
    <w:rsid w:val="00AE5772"/>
    <w:rsid w:val="00AF22AD"/>
    <w:rsid w:val="00AF5107"/>
    <w:rsid w:val="00AF646B"/>
    <w:rsid w:val="00B000A6"/>
    <w:rsid w:val="00B035AC"/>
    <w:rsid w:val="00B06264"/>
    <w:rsid w:val="00B07C8F"/>
    <w:rsid w:val="00B216CA"/>
    <w:rsid w:val="00B275D4"/>
    <w:rsid w:val="00B31F41"/>
    <w:rsid w:val="00B42B14"/>
    <w:rsid w:val="00B44E9C"/>
    <w:rsid w:val="00B62B51"/>
    <w:rsid w:val="00B67ABB"/>
    <w:rsid w:val="00B75051"/>
    <w:rsid w:val="00B839B8"/>
    <w:rsid w:val="00B84DCC"/>
    <w:rsid w:val="00B859DE"/>
    <w:rsid w:val="00B85B7B"/>
    <w:rsid w:val="00B9443A"/>
    <w:rsid w:val="00BA3409"/>
    <w:rsid w:val="00BA475D"/>
    <w:rsid w:val="00BB1FA1"/>
    <w:rsid w:val="00BB6980"/>
    <w:rsid w:val="00BC3899"/>
    <w:rsid w:val="00BD0E59"/>
    <w:rsid w:val="00BF10E3"/>
    <w:rsid w:val="00BF3277"/>
    <w:rsid w:val="00BF6D8D"/>
    <w:rsid w:val="00C02126"/>
    <w:rsid w:val="00C12D2F"/>
    <w:rsid w:val="00C13B3F"/>
    <w:rsid w:val="00C251BE"/>
    <w:rsid w:val="00C277A8"/>
    <w:rsid w:val="00C309AE"/>
    <w:rsid w:val="00C365CE"/>
    <w:rsid w:val="00C417EB"/>
    <w:rsid w:val="00C528AE"/>
    <w:rsid w:val="00C5732A"/>
    <w:rsid w:val="00C61028"/>
    <w:rsid w:val="00C61688"/>
    <w:rsid w:val="00C63718"/>
    <w:rsid w:val="00C6765F"/>
    <w:rsid w:val="00C95006"/>
    <w:rsid w:val="00C96ADE"/>
    <w:rsid w:val="00CA27A0"/>
    <w:rsid w:val="00CA2801"/>
    <w:rsid w:val="00CA3D9A"/>
    <w:rsid w:val="00CB56D3"/>
    <w:rsid w:val="00CC0169"/>
    <w:rsid w:val="00CC655C"/>
    <w:rsid w:val="00CD3B18"/>
    <w:rsid w:val="00CE18BA"/>
    <w:rsid w:val="00CE2C77"/>
    <w:rsid w:val="00CE45B0"/>
    <w:rsid w:val="00CE7080"/>
    <w:rsid w:val="00CF05C2"/>
    <w:rsid w:val="00CF625F"/>
    <w:rsid w:val="00D0014D"/>
    <w:rsid w:val="00D02245"/>
    <w:rsid w:val="00D02EB7"/>
    <w:rsid w:val="00D157F7"/>
    <w:rsid w:val="00D163FE"/>
    <w:rsid w:val="00D16B21"/>
    <w:rsid w:val="00D177D4"/>
    <w:rsid w:val="00D22819"/>
    <w:rsid w:val="00D24D20"/>
    <w:rsid w:val="00D371EB"/>
    <w:rsid w:val="00D511F0"/>
    <w:rsid w:val="00D53D69"/>
    <w:rsid w:val="00D54B2E"/>
    <w:rsid w:val="00D54EE5"/>
    <w:rsid w:val="00D63F82"/>
    <w:rsid w:val="00D640FC"/>
    <w:rsid w:val="00D64A9E"/>
    <w:rsid w:val="00D651C1"/>
    <w:rsid w:val="00D66834"/>
    <w:rsid w:val="00D70F7D"/>
    <w:rsid w:val="00D72188"/>
    <w:rsid w:val="00D724A0"/>
    <w:rsid w:val="00D7605C"/>
    <w:rsid w:val="00D817C7"/>
    <w:rsid w:val="00D9051D"/>
    <w:rsid w:val="00D92929"/>
    <w:rsid w:val="00D93C2E"/>
    <w:rsid w:val="00D970A5"/>
    <w:rsid w:val="00DA5174"/>
    <w:rsid w:val="00DA72A9"/>
    <w:rsid w:val="00DB3D52"/>
    <w:rsid w:val="00DB4967"/>
    <w:rsid w:val="00DC2A42"/>
    <w:rsid w:val="00DD1645"/>
    <w:rsid w:val="00DD1E94"/>
    <w:rsid w:val="00DD5450"/>
    <w:rsid w:val="00DE50CB"/>
    <w:rsid w:val="00DE72AE"/>
    <w:rsid w:val="00DE7D09"/>
    <w:rsid w:val="00DF10D1"/>
    <w:rsid w:val="00DF1C9C"/>
    <w:rsid w:val="00DF1D14"/>
    <w:rsid w:val="00DF44F5"/>
    <w:rsid w:val="00DF5A83"/>
    <w:rsid w:val="00E07BB2"/>
    <w:rsid w:val="00E175F4"/>
    <w:rsid w:val="00E206AE"/>
    <w:rsid w:val="00E20F4D"/>
    <w:rsid w:val="00E21E67"/>
    <w:rsid w:val="00E23397"/>
    <w:rsid w:val="00E2369C"/>
    <w:rsid w:val="00E32CD7"/>
    <w:rsid w:val="00E333C3"/>
    <w:rsid w:val="00E41BAB"/>
    <w:rsid w:val="00E41BD2"/>
    <w:rsid w:val="00E42DBC"/>
    <w:rsid w:val="00E44EE1"/>
    <w:rsid w:val="00E45956"/>
    <w:rsid w:val="00E471DE"/>
    <w:rsid w:val="00E4783B"/>
    <w:rsid w:val="00E50F09"/>
    <w:rsid w:val="00E5241D"/>
    <w:rsid w:val="00E54F35"/>
    <w:rsid w:val="00E5680C"/>
    <w:rsid w:val="00E61A16"/>
    <w:rsid w:val="00E62AA3"/>
    <w:rsid w:val="00E63E37"/>
    <w:rsid w:val="00E6733B"/>
    <w:rsid w:val="00E71EA3"/>
    <w:rsid w:val="00E75B8D"/>
    <w:rsid w:val="00E76267"/>
    <w:rsid w:val="00E82DB7"/>
    <w:rsid w:val="00E90877"/>
    <w:rsid w:val="00E944DC"/>
    <w:rsid w:val="00EA1855"/>
    <w:rsid w:val="00EA2808"/>
    <w:rsid w:val="00EA535B"/>
    <w:rsid w:val="00EA561F"/>
    <w:rsid w:val="00EC082F"/>
    <w:rsid w:val="00EC24AF"/>
    <w:rsid w:val="00EC27F2"/>
    <w:rsid w:val="00EC579D"/>
    <w:rsid w:val="00ED5BDC"/>
    <w:rsid w:val="00ED6B83"/>
    <w:rsid w:val="00ED7DAC"/>
    <w:rsid w:val="00EE14F7"/>
    <w:rsid w:val="00EE156F"/>
    <w:rsid w:val="00EF5D3C"/>
    <w:rsid w:val="00EF7D8D"/>
    <w:rsid w:val="00F0150F"/>
    <w:rsid w:val="00F0262B"/>
    <w:rsid w:val="00F067A6"/>
    <w:rsid w:val="00F164F6"/>
    <w:rsid w:val="00F17588"/>
    <w:rsid w:val="00F20B25"/>
    <w:rsid w:val="00F2327B"/>
    <w:rsid w:val="00F2475A"/>
    <w:rsid w:val="00F33474"/>
    <w:rsid w:val="00F3604A"/>
    <w:rsid w:val="00F40623"/>
    <w:rsid w:val="00F42767"/>
    <w:rsid w:val="00F5062A"/>
    <w:rsid w:val="00F51CCD"/>
    <w:rsid w:val="00F54C8C"/>
    <w:rsid w:val="00F56866"/>
    <w:rsid w:val="00F578F7"/>
    <w:rsid w:val="00F60EA7"/>
    <w:rsid w:val="00F658DB"/>
    <w:rsid w:val="00F70C03"/>
    <w:rsid w:val="00F86C12"/>
    <w:rsid w:val="00F9084A"/>
    <w:rsid w:val="00F908A0"/>
    <w:rsid w:val="00F91F09"/>
    <w:rsid w:val="00FB6E40"/>
    <w:rsid w:val="00FB7A4F"/>
    <w:rsid w:val="00FC1E7E"/>
    <w:rsid w:val="00FC59CF"/>
    <w:rsid w:val="00FC5EE0"/>
    <w:rsid w:val="00FD1CCB"/>
    <w:rsid w:val="00FD6999"/>
    <w:rsid w:val="00FE1675"/>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EC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07512E"/>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41BD2"/>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40"/>
      <w:szCs w:val="32"/>
    </w:rPr>
  </w:style>
  <w:style w:type="paragraph" w:styleId="Heading3">
    <w:name w:val="heading 3"/>
    <w:basedOn w:val="Heading2"/>
    <w:next w:val="BodyText"/>
    <w:link w:val="Heading3Char"/>
    <w:uiPriority w:val="1"/>
    <w:qFormat/>
    <w:rsid w:val="00E41BD2"/>
    <w:pPr>
      <w:pBdr>
        <w:bottom w:val="none" w:sz="0" w:space="0" w:color="auto"/>
      </w:pBdr>
      <w:outlineLvl w:val="2"/>
    </w:pPr>
    <w:rPr>
      <w:sz w:val="32"/>
    </w:rPr>
  </w:style>
  <w:style w:type="paragraph" w:styleId="Heading4">
    <w:name w:val="heading 4"/>
    <w:basedOn w:val="Heading3"/>
    <w:next w:val="BodyText"/>
    <w:link w:val="Heading4Char"/>
    <w:uiPriority w:val="1"/>
    <w:qFormat/>
    <w:rsid w:val="00E41BD2"/>
    <w:pPr>
      <w:outlineLvl w:val="3"/>
    </w:pPr>
    <w:rPr>
      <w:sz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41BD2"/>
    <w:rPr>
      <w:rFonts w:asciiTheme="minorHAnsi" w:eastAsiaTheme="majorEastAsia" w:hAnsiTheme="minorHAnsi" w:cstheme="majorBidi"/>
      <w:b/>
      <w:bCs/>
      <w:color w:val="003865"/>
      <w:sz w:val="40"/>
      <w:szCs w:val="32"/>
    </w:rPr>
  </w:style>
  <w:style w:type="character" w:customStyle="1" w:styleId="Heading3Char">
    <w:name w:val="Heading 3 Char"/>
    <w:basedOn w:val="DefaultParagraphFont"/>
    <w:link w:val="Heading3"/>
    <w:uiPriority w:val="1"/>
    <w:rsid w:val="00E41BD2"/>
    <w:rPr>
      <w:rFonts w:asciiTheme="minorHAnsi" w:eastAsiaTheme="majorEastAsia" w:hAnsiTheme="minorHAnsi" w:cstheme="majorBidi"/>
      <w:b/>
      <w:bCs/>
      <w:color w:val="003865"/>
      <w:sz w:val="32"/>
      <w:szCs w:val="32"/>
    </w:rPr>
  </w:style>
  <w:style w:type="character" w:customStyle="1" w:styleId="Heading4Char">
    <w:name w:val="Heading 4 Char"/>
    <w:basedOn w:val="DefaultParagraphFont"/>
    <w:link w:val="Heading4"/>
    <w:uiPriority w:val="1"/>
    <w:rsid w:val="00E41BD2"/>
    <w:rPr>
      <w:rFonts w:asciiTheme="minorHAnsi" w:eastAsiaTheme="majorEastAsia" w:hAnsiTheme="minorHAnsi" w:cstheme="majorBidi"/>
      <w:b/>
      <w:bCs/>
      <w:color w:val="003865"/>
      <w:sz w:val="24"/>
      <w:szCs w:val="32"/>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E41BD2"/>
    <w:pPr>
      <w:spacing w:after="120" w:line="240" w:lineRule="auto"/>
      <w:jc w:val="center"/>
    </w:pPr>
    <w:rPr>
      <w:rFonts w:eastAsia="Times New Roman"/>
      <w:iCs/>
      <w:sz w:val="22"/>
      <w:szCs w:val="28"/>
    </w:rPr>
  </w:style>
  <w:style w:type="paragraph" w:styleId="Title">
    <w:name w:val="Title"/>
    <w:basedOn w:val="Normal"/>
    <w:next w:val="Normal"/>
    <w:link w:val="TitleChar"/>
    <w:qFormat/>
    <w:rsid w:val="00EF7D8D"/>
    <w:pPr>
      <w:pBdr>
        <w:top w:val="single" w:sz="4" w:space="6" w:color="auto"/>
      </w:pBdr>
      <w:spacing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EF7D8D"/>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qFormat/>
    <w:rsid w:val="0007512E"/>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qFormat/>
    <w:rsid w:val="00EC24AF"/>
    <w:rPr>
      <w:rFonts w:eastAsiaTheme="minorEastAsia"/>
      <w:noProof/>
      <w:lang w:bidi="ar-SA"/>
    </w:rPr>
  </w:style>
  <w:style w:type="character" w:customStyle="1" w:styleId="TableofContentsHeaderChar">
    <w:name w:val="Table of Contents Header Char"/>
    <w:basedOn w:val="Heading1Char"/>
    <w:link w:val="TableofContentsHeader"/>
    <w:rsid w:val="00EC24AF"/>
    <w:rPr>
      <w:rFonts w:ascii="Calibri" w:eastAsiaTheme="minorEastAsia" w:hAnsi="Calibri"/>
      <w:b/>
      <w:noProof/>
      <w:color w:val="003865"/>
      <w:sz w:val="40"/>
      <w:szCs w:val="40"/>
      <w:lang w:bidi="ar-SA"/>
    </w:rPr>
  </w:style>
  <w:style w:type="paragraph" w:styleId="Revision">
    <w:name w:val="Revision"/>
    <w:hidden/>
    <w:uiPriority w:val="99"/>
    <w:semiHidden/>
    <w:rsid w:val="00A47496"/>
    <w:pPr>
      <w:spacing w:before="0" w:line="240" w:lineRule="auto"/>
    </w:pPr>
  </w:style>
  <w:style w:type="character" w:styleId="FollowedHyperlink">
    <w:name w:val="FollowedHyperlink"/>
    <w:basedOn w:val="DefaultParagraphFont"/>
    <w:semiHidden/>
    <w:unhideWhenUsed/>
    <w:rsid w:val="002D6C5F"/>
    <w:rPr>
      <w:color w:val="007AA9" w:themeColor="followedHyperlink"/>
      <w:u w:val="single"/>
    </w:rPr>
  </w:style>
  <w:style w:type="table" w:styleId="PlainTable4">
    <w:name w:val="Plain Table 4"/>
    <w:basedOn w:val="TableNormal"/>
    <w:uiPriority w:val="44"/>
    <w:rsid w:val="00E62AA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33823"/>
    <w:rPr>
      <w:color w:val="605E5C"/>
      <w:shd w:val="clear" w:color="auto" w:fill="E1DFDD"/>
    </w:rPr>
  </w:style>
  <w:style w:type="paragraph" w:customStyle="1" w:styleId="paragraph">
    <w:name w:val="paragraph"/>
    <w:basedOn w:val="Normal"/>
    <w:rsid w:val="00DD1645"/>
    <w:pPr>
      <w:spacing w:before="0" w:line="240" w:lineRule="auto"/>
    </w:pPr>
    <w:rPr>
      <w:rFonts w:eastAsia="Calibri" w:cs="Calibri"/>
      <w:lang w:bidi="ar-SA"/>
    </w:rPr>
  </w:style>
  <w:style w:type="character" w:styleId="CommentReference">
    <w:name w:val="annotation reference"/>
    <w:basedOn w:val="DefaultParagraphFont"/>
    <w:semiHidden/>
    <w:unhideWhenUsed/>
    <w:rsid w:val="000D7476"/>
    <w:rPr>
      <w:sz w:val="16"/>
      <w:szCs w:val="16"/>
    </w:rPr>
  </w:style>
  <w:style w:type="paragraph" w:styleId="CommentText">
    <w:name w:val="annotation text"/>
    <w:basedOn w:val="Normal"/>
    <w:link w:val="CommentTextChar"/>
    <w:unhideWhenUsed/>
    <w:rsid w:val="000D7476"/>
    <w:pPr>
      <w:spacing w:line="240" w:lineRule="auto"/>
    </w:pPr>
    <w:rPr>
      <w:sz w:val="20"/>
      <w:szCs w:val="20"/>
    </w:rPr>
  </w:style>
  <w:style w:type="character" w:customStyle="1" w:styleId="CommentTextChar">
    <w:name w:val="Comment Text Char"/>
    <w:basedOn w:val="DefaultParagraphFont"/>
    <w:link w:val="CommentText"/>
    <w:rsid w:val="000D7476"/>
    <w:rPr>
      <w:sz w:val="20"/>
      <w:szCs w:val="20"/>
    </w:rPr>
  </w:style>
  <w:style w:type="paragraph" w:styleId="CommentSubject">
    <w:name w:val="annotation subject"/>
    <w:basedOn w:val="CommentText"/>
    <w:next w:val="CommentText"/>
    <w:link w:val="CommentSubjectChar"/>
    <w:semiHidden/>
    <w:unhideWhenUsed/>
    <w:rsid w:val="000D7476"/>
    <w:rPr>
      <w:b/>
      <w:bCs/>
    </w:rPr>
  </w:style>
  <w:style w:type="character" w:customStyle="1" w:styleId="CommentSubjectChar">
    <w:name w:val="Comment Subject Char"/>
    <w:basedOn w:val="CommentTextChar"/>
    <w:link w:val="CommentSubject"/>
    <w:semiHidden/>
    <w:rsid w:val="000D7476"/>
    <w:rPr>
      <w:b/>
      <w:bCs/>
      <w:sz w:val="20"/>
      <w:szCs w:val="20"/>
    </w:rPr>
  </w:style>
  <w:style w:type="paragraph" w:customStyle="1" w:styleId="Default">
    <w:name w:val="Default"/>
    <w:rsid w:val="00332942"/>
    <w:pPr>
      <w:autoSpaceDE w:val="0"/>
      <w:autoSpaceDN w:val="0"/>
      <w:adjustRightInd w:val="0"/>
      <w:spacing w:before="0" w:line="240" w:lineRule="auto"/>
    </w:pPr>
    <w:rPr>
      <w:rFonts w:cs="Calibri"/>
      <w:color w:val="000000"/>
      <w:sz w:val="24"/>
      <w:szCs w:val="24"/>
      <w:lang w:bidi="ar-SA"/>
    </w:rPr>
  </w:style>
  <w:style w:type="paragraph" w:styleId="TOC4">
    <w:name w:val="toc 4"/>
    <w:basedOn w:val="Normal"/>
    <w:next w:val="Normal"/>
    <w:autoRedefine/>
    <w:uiPriority w:val="39"/>
    <w:unhideWhenUsed/>
    <w:rsid w:val="00332942"/>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3041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revisor.mn.gov/laws/2019/1/Session+Law/Chapter/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n.gov/deed/"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Tracy@state.mn.u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7D810-8BAF-4C0E-A1E3-28701D2D07A8}">
  <ds:schemaRefs>
    <ds:schemaRef ds:uri="http://schemas.openxmlformats.org/officeDocument/2006/bibliography"/>
  </ds:schemaRefs>
</ds:datastoreItem>
</file>

<file path=customXml/itemProps2.xml><?xml version="1.0" encoding="utf-8"?>
<ds:datastoreItem xmlns:ds="http://schemas.openxmlformats.org/officeDocument/2006/customXml" ds:itemID="{370530EF-2DF9-41AD-AF54-7CA9EF14F8F2}"/>
</file>

<file path=customXml/itemProps3.xml><?xml version="1.0" encoding="utf-8"?>
<ds:datastoreItem xmlns:ds="http://schemas.openxmlformats.org/officeDocument/2006/customXml" ds:itemID="{82D75949-8D95-44B5-8729-71BF8FEA724F}"/>
</file>

<file path=customXml/itemProps4.xml><?xml version="1.0" encoding="utf-8"?>
<ds:datastoreItem xmlns:ds="http://schemas.openxmlformats.org/officeDocument/2006/customXml" ds:itemID="{B2BC46D2-63F8-48B1-B7F9-3D8DBD4CC8DE}"/>
</file>

<file path=docProps/app.xml><?xml version="1.0" encoding="utf-8"?>
<Properties xmlns="http://schemas.openxmlformats.org/officeDocument/2006/extended-properties" xmlns:vt="http://schemas.openxmlformats.org/officeDocument/2006/docPropsVTypes">
  <Template>Normal</Template>
  <TotalTime>0</TotalTime>
  <Pages>9</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SFY 2017 CLUES Equity Direct Appropriation</vt:lpstr>
    </vt:vector>
  </TitlesOfParts>
  <Manager/>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2017 CLUES Equity Direct Appropriation</dc:title>
  <dc:subject>Activities of CLUES Equity Direct Appropriation</dc:subject>
  <dc:creator/>
  <cp:keywords>report</cp:keywords>
  <dc:description/>
  <cp:lastModifiedBy/>
  <cp:revision>1</cp:revision>
  <dcterms:created xsi:type="dcterms:W3CDTF">2022-01-19T20:58:00Z</dcterms:created>
  <dcterms:modified xsi:type="dcterms:W3CDTF">2022-01-19T20:58:00Z</dcterms:modified>
  <cp:category/>
  <cp:contentStatus>active</cp:contentStatus>
</cp:coreProperties>
</file>