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081E" w14:textId="456DFA4A" w:rsidR="00A30328" w:rsidRPr="00BC1307" w:rsidRDefault="00A30328" w:rsidP="007F1C4A">
      <w:pPr>
        <w:tabs>
          <w:tab w:val="left" w:pos="360"/>
          <w:tab w:val="left" w:pos="6660"/>
        </w:tabs>
        <w:spacing w:after="240"/>
        <w:jc w:val="center"/>
      </w:pPr>
      <w:r w:rsidRPr="00BC1307">
        <w:rPr>
          <w:noProof/>
        </w:rPr>
        <mc:AlternateContent>
          <mc:Choice Requires="wps">
            <w:drawing>
              <wp:anchor distT="0" distB="0" distL="114300" distR="114300" simplePos="0" relativeHeight="251656704" behindDoc="0" locked="0" layoutInCell="1" allowOverlap="1" wp14:anchorId="3957BDA5" wp14:editId="61AE2310">
                <wp:simplePos x="0" y="0"/>
                <wp:positionH relativeFrom="margin">
                  <wp:align>left</wp:align>
                </wp:positionH>
                <wp:positionV relativeFrom="paragraph">
                  <wp:posOffset>1217047</wp:posOffset>
                </wp:positionV>
                <wp:extent cx="6472362" cy="419100"/>
                <wp:effectExtent l="0" t="0" r="0" b="0"/>
                <wp:wrapNone/>
                <wp:docPr id="2" name="Text Box 2" descr="Data on Minnesota Exports for First Quarter 2020 – Published May 2020&#10;For More Information:  Eric Lightner, 651-259-7149&#1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0A78A144"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A30328">
                              <w:rPr>
                                <w:rStyle w:val="Emphasis"/>
                                <w:b/>
                              </w:rPr>
                              <w:t>First</w:t>
                            </w:r>
                            <w:r w:rsidR="007818E5">
                              <w:rPr>
                                <w:rStyle w:val="Emphasis"/>
                                <w:b/>
                              </w:rPr>
                              <w:t xml:space="preserve"> Quarter </w:t>
                            </w:r>
                            <w:r w:rsidR="00A30328">
                              <w:rPr>
                                <w:rStyle w:val="Emphasis"/>
                                <w:b/>
                              </w:rPr>
                              <w:t>2021</w:t>
                            </w:r>
                            <w:r w:rsidR="00A43E28">
                              <w:rPr>
                                <w:rStyle w:val="Emphasis"/>
                                <w:b/>
                              </w:rPr>
                              <w:t xml:space="preserve"> – Published </w:t>
                            </w:r>
                            <w:r w:rsidR="00A30328">
                              <w:rPr>
                                <w:rStyle w:val="Emphasis"/>
                                <w:b/>
                              </w:rPr>
                              <w:t>M</w:t>
                            </w:r>
                            <w:r w:rsidR="0000470B">
                              <w:rPr>
                                <w:rStyle w:val="Emphasis"/>
                                <w:b/>
                              </w:rPr>
                              <w:t>ay 2021</w:t>
                            </w:r>
                          </w:p>
                          <w:p w14:paraId="3EE065DE" w14:textId="77777777" w:rsidR="007C542D" w:rsidRPr="00B577E0" w:rsidRDefault="007F1C4A" w:rsidP="007C542D">
                            <w:pPr>
                              <w:pStyle w:val="NoSpacing"/>
                              <w:jc w:val="center"/>
                              <w:rPr>
                                <w:rStyle w:val="Emphasis"/>
                                <w:b/>
                              </w:rPr>
                            </w:pPr>
                            <w:r>
                              <w:rPr>
                                <w:rStyle w:val="Emphasis"/>
                                <w:b/>
                              </w:rPr>
                              <w:t>For More Information</w:t>
                            </w:r>
                            <w:r w:rsidRPr="007818E5">
                              <w:rPr>
                                <w:rStyle w:val="Emphasis"/>
                              </w:rPr>
                              <w:t xml:space="preserve">: </w:t>
                            </w:r>
                            <w:r w:rsidR="007C542D">
                              <w:rPr>
                                <w:rStyle w:val="Strong"/>
                                <w:i/>
                              </w:rPr>
                              <w:t>Jen Gates 651-358-0300</w:t>
                            </w:r>
                          </w:p>
                          <w:p w14:paraId="34B91C04" w14:textId="03ED3A40" w:rsidR="007F1C4A" w:rsidRPr="00B577E0" w:rsidRDefault="007F1C4A" w:rsidP="0094395B">
                            <w:pPr>
                              <w:pStyle w:val="NoSpacing"/>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itle: Text box - Description: Data on Minnesota Exports for First Quarter 2020 – Published May 2020&#10;For More Information:  Eric Lightner, 651-259-7149&#10;" style="position:absolute;left:0;text-align:left;margin-left:0;margin-top:95.85pt;width:509.65pt;height:3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SlJAMAAFYGAAAOAAAAZHJzL2Uyb0RvYy54bWysVdtu1DAQfUfiHywj8USaS72XhKZVu7tB&#10;lVooavkAb+JsLBI72N5NCkLiH/hDvoSx0720fUFAHizbYx/PmTkzOTnrmxptmNJcihSHRwFGTOSy&#10;4GKV4k93mTfFSBsqClpLwVJ8zzQ+O3354qRrExbJStYFUwhAhE66NsWVMW3i+zqvWEP1kWyZAGMp&#10;VUMNLNXKLxTtAL2p/SgIxn4nVdEqmTOtYXc+GPGpwy9LlpsPZamZQXWKwTfjRuXGpR390xOarBRt&#10;K54/uEH/wouGcgGP7qDm1FC0VvwZVMNzJbUszVEuG1+WJc+Z4wBswuAJm9uKtsxxgeDodhcm/f9g&#10;8/ebG4V4keIII0EbSNEd6w26kD2CnYLpHKLl6EiBrrkQTEvgtuhbqYxGkBmUcaUN+rimykAuoyAK&#10;0K8fP9HNellzXbECXdN7t/36VX/+NoMb11IxdCmGtIJyEoQWChJwxVeVEUy9QeNR6EWj2JuEJHbX&#10;IHfc1Fv3lrK3qetanQCD2xY4mB58Bgm6NOj2SuafNRJyVlGxYudKya5itIDQhfamf3B1wNEWZNld&#10;ywIeoWsjHVBfqsbmFTKFAB0kdL+TjY1TDptjMomOxxCtHGwkjMPA6cqnyfZ2CwF6x2SD7CTFCmTp&#10;0OnmShvrDU22R+xjQma8rp00a/FoAw4OO/A2XLU264VT2rc4iBfTxZR4JBovPBLM5955NiPeOAsn&#10;o/nxfDabh9/tuyFJKl4UTNhntqoPyZ+p6qH+Br3udK9lzQsLZ13SarWc1QptKFRd5j4Xc7Dsj/mP&#10;3XBBAC5PKIURCS6i2MvG04lHMjLy4kkw9YIwvojHAYnJPHtM6YoL9u+UUJfieBSNBjHtnX7CLXDf&#10;c240abithZo3KZ7uDtHESnAhCpdaQ3k9zA9CYd3fhwLSvU20E6zV6KBW0y97QLEqXsriHqSrJCgL&#10;9AnNGCaVVF8x6qCxpVh/gdJkGNWXAuQfh4TYTugWZDSJYKEOLctDCxU5QKXYYDRMZ2bonutW2WLd&#10;FpyQ51AyJXdq3nv1UGjQvByph0Zr28nh2p3a/w5OfwMAAP//AwBQSwMEFAAGAAgAAAAhALf2yEbe&#10;AAAACQEAAA8AAABkcnMvZG93bnJldi54bWxMj81OwzAQhO9IvIO1SNyonUIbEuJUCMS1qOVH4ubG&#10;2yQiXkex24S37/ZEj7OzmvmmWE2uE0ccQutJQzJTIJAqb1uqNXx+vN09ggjRkDWdJ9TwhwFW5fVV&#10;YXLrR9rgcRtrwSEUcqOhibHPpQxVg86Eme+R2Nv7wZnIcqilHczI4a6Tc6WW0pmWuKExPb40WP1u&#10;D07D13r/8/2g3utXt+hHPylJLpNa395Mz08gIk7x/xnO+IwOJTPt/IFsEJ0GHhL5miUpiLOtkuwe&#10;xE7DfJGmIMtCXi4oTwAAAP//AwBQSwECLQAUAAYACAAAACEAtoM4kv4AAADhAQAAEwAAAAAAAAAA&#10;AAAAAAAAAAAAW0NvbnRlbnRfVHlwZXNdLnhtbFBLAQItABQABgAIAAAAIQA4/SH/1gAAAJQBAAAL&#10;AAAAAAAAAAAAAAAAAC8BAABfcmVscy8ucmVsc1BLAQItABQABgAIAAAAIQCE0RSlJAMAAFYGAAAO&#10;AAAAAAAAAAAAAAAAAC4CAABkcnMvZTJvRG9jLnhtbFBLAQItABQABgAIAAAAIQC39shG3gAAAAkB&#10;AAAPAAAAAAAAAAAAAAAAAH4FAABkcnMvZG93bnJldi54bWxQSwUGAAAAAAQABADzAAAAiQYAAAAA&#10;" filled="f" stroked="f">
                <v:textbox>
                  <w:txbxContent>
                    <w:p w14:paraId="482B0058" w14:textId="0A78A144"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A30328">
                        <w:rPr>
                          <w:rStyle w:val="Emphasis"/>
                          <w:b/>
                        </w:rPr>
                        <w:t>First</w:t>
                      </w:r>
                      <w:r w:rsidR="007818E5">
                        <w:rPr>
                          <w:rStyle w:val="Emphasis"/>
                          <w:b/>
                        </w:rPr>
                        <w:t xml:space="preserve"> Quarter </w:t>
                      </w:r>
                      <w:r w:rsidR="00A30328">
                        <w:rPr>
                          <w:rStyle w:val="Emphasis"/>
                          <w:b/>
                        </w:rPr>
                        <w:t>2021</w:t>
                      </w:r>
                      <w:r w:rsidR="00A43E28">
                        <w:rPr>
                          <w:rStyle w:val="Emphasis"/>
                          <w:b/>
                        </w:rPr>
                        <w:t xml:space="preserve"> – Published </w:t>
                      </w:r>
                      <w:r w:rsidR="00A30328">
                        <w:rPr>
                          <w:rStyle w:val="Emphasis"/>
                          <w:b/>
                        </w:rPr>
                        <w:t>M</w:t>
                      </w:r>
                      <w:r w:rsidR="0000470B">
                        <w:rPr>
                          <w:rStyle w:val="Emphasis"/>
                          <w:b/>
                        </w:rPr>
                        <w:t>ay 2021</w:t>
                      </w:r>
                    </w:p>
                    <w:p w14:paraId="3EE065DE" w14:textId="77777777" w:rsidR="007C542D" w:rsidRPr="00B577E0" w:rsidRDefault="007F1C4A" w:rsidP="007C542D">
                      <w:pPr>
                        <w:pStyle w:val="NoSpacing"/>
                        <w:jc w:val="center"/>
                        <w:rPr>
                          <w:rStyle w:val="Emphasis"/>
                          <w:b/>
                        </w:rPr>
                      </w:pPr>
                      <w:r>
                        <w:rPr>
                          <w:rStyle w:val="Emphasis"/>
                          <w:b/>
                        </w:rPr>
                        <w:t>For More Information</w:t>
                      </w:r>
                      <w:r w:rsidRPr="007818E5">
                        <w:rPr>
                          <w:rStyle w:val="Emphasis"/>
                        </w:rPr>
                        <w:t xml:space="preserve">: </w:t>
                      </w:r>
                      <w:r w:rsidR="007C542D">
                        <w:rPr>
                          <w:rStyle w:val="Strong"/>
                          <w:i/>
                        </w:rPr>
                        <w:t>Jen Gates 651-358-0300</w:t>
                      </w:r>
                    </w:p>
                    <w:p w14:paraId="34B91C04" w14:textId="03ED3A40" w:rsidR="007F1C4A" w:rsidRPr="00B577E0" w:rsidRDefault="007F1C4A" w:rsidP="0094395B">
                      <w:pPr>
                        <w:pStyle w:val="NoSpacing"/>
                        <w:jc w:val="center"/>
                        <w:rPr>
                          <w:rStyle w:val="Emphasis"/>
                          <w:b/>
                        </w:rPr>
                      </w:pPr>
                    </w:p>
                  </w:txbxContent>
                </v:textbox>
                <w10:wrap anchorx="margin"/>
              </v:shape>
            </w:pict>
          </mc:Fallback>
        </mc:AlternateContent>
      </w:r>
      <w:r w:rsidRPr="00BC1307">
        <w:rPr>
          <w:noProof/>
        </w:rPr>
        <w:drawing>
          <wp:inline distT="0" distB="0" distL="0" distR="0" wp14:anchorId="3FDEBFAE" wp14:editId="7F01A982">
            <wp:extent cx="6492240" cy="1136015"/>
            <wp:effectExtent l="0" t="0" r="3810" b="6985"/>
            <wp:docPr id="3" name="Picture 3" descr="Title Banner&#10;&#10;4th Quarter Minnesota Export Statistics Newsletter &#10;Minnesota Department of Employment and Economic Development&#10;&#10;Data on Minnesota Exports for First Quarter 2021 – Published May 2021&#10;For More Information: Jen Gates 651-358-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S Banner_1stQt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1136015"/>
                    </a:xfrm>
                    <a:prstGeom prst="rect">
                      <a:avLst/>
                    </a:prstGeom>
                  </pic:spPr>
                </pic:pic>
              </a:graphicData>
            </a:graphic>
          </wp:inline>
        </w:drawing>
      </w:r>
    </w:p>
    <w:p w14:paraId="4EAE8978" w14:textId="57D94662" w:rsidR="00CE313B" w:rsidRPr="00BC1307" w:rsidRDefault="00CE313B" w:rsidP="007F1C4A">
      <w:pPr>
        <w:tabs>
          <w:tab w:val="left" w:pos="360"/>
          <w:tab w:val="left" w:pos="6660"/>
        </w:tabs>
        <w:spacing w:after="240"/>
        <w:jc w:val="center"/>
        <w:sectPr w:rsidR="00CE313B" w:rsidRPr="00BC1307" w:rsidSect="0055424F">
          <w:headerReference w:type="even" r:id="rId9"/>
          <w:headerReference w:type="default" r:id="rId10"/>
          <w:footerReference w:type="even" r:id="rId11"/>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p>
    <w:p w14:paraId="18DCA261" w14:textId="6E96DA7D" w:rsidR="00641D3B" w:rsidRPr="00BC1307" w:rsidRDefault="00373858" w:rsidP="00F20245">
      <w:pPr>
        <w:pStyle w:val="Heading1"/>
        <w:spacing w:before="720"/>
        <w:rPr>
          <w:rFonts w:asciiTheme="minorHAnsi" w:hAnsiTheme="minorHAnsi"/>
          <w:color w:val="auto"/>
          <w:sz w:val="36"/>
          <w:szCs w:val="30"/>
        </w:rPr>
        <w:sectPr w:rsidR="00641D3B" w:rsidRPr="00BC1307"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BC1307">
        <w:rPr>
          <w:rFonts w:asciiTheme="minorHAnsi" w:hAnsiTheme="minorHAnsi"/>
          <w:color w:val="auto"/>
          <w:sz w:val="36"/>
          <w:szCs w:val="30"/>
        </w:rPr>
        <w:t>State Export</w:t>
      </w:r>
      <w:r w:rsidR="00410564">
        <w:rPr>
          <w:rFonts w:asciiTheme="minorHAnsi" w:hAnsiTheme="minorHAnsi"/>
          <w:color w:val="auto"/>
          <w:sz w:val="36"/>
          <w:szCs w:val="30"/>
        </w:rPr>
        <w:t>s</w:t>
      </w:r>
      <w:r w:rsidRPr="00BC1307">
        <w:rPr>
          <w:rFonts w:asciiTheme="minorHAnsi" w:hAnsiTheme="minorHAnsi"/>
          <w:color w:val="auto"/>
          <w:sz w:val="36"/>
          <w:szCs w:val="30"/>
        </w:rPr>
        <w:t xml:space="preserve"> </w:t>
      </w:r>
      <w:r w:rsidR="00AE3C57" w:rsidRPr="00BC1307">
        <w:rPr>
          <w:rFonts w:asciiTheme="minorHAnsi" w:hAnsiTheme="minorHAnsi"/>
          <w:color w:val="auto"/>
          <w:sz w:val="36"/>
          <w:szCs w:val="30"/>
        </w:rPr>
        <w:t>D</w:t>
      </w:r>
      <w:r w:rsidR="008274F3" w:rsidRPr="00BC1307">
        <w:rPr>
          <w:rFonts w:asciiTheme="minorHAnsi" w:hAnsiTheme="minorHAnsi"/>
          <w:color w:val="auto"/>
          <w:sz w:val="36"/>
          <w:szCs w:val="30"/>
        </w:rPr>
        <w:t>ip</w:t>
      </w:r>
      <w:r w:rsidRPr="00BC1307">
        <w:rPr>
          <w:rFonts w:asciiTheme="minorHAnsi" w:hAnsiTheme="minorHAnsi"/>
          <w:color w:val="auto"/>
          <w:sz w:val="36"/>
          <w:szCs w:val="30"/>
        </w:rPr>
        <w:t xml:space="preserve"> </w:t>
      </w:r>
      <w:r w:rsidR="00AE3C57" w:rsidRPr="00BC1307">
        <w:rPr>
          <w:rFonts w:asciiTheme="minorHAnsi" w:hAnsiTheme="minorHAnsi"/>
          <w:color w:val="auto"/>
          <w:sz w:val="36"/>
          <w:szCs w:val="30"/>
        </w:rPr>
        <w:t>4</w:t>
      </w:r>
      <w:r w:rsidRPr="00BC1307">
        <w:rPr>
          <w:rFonts w:asciiTheme="minorHAnsi" w:hAnsiTheme="minorHAnsi"/>
          <w:color w:val="auto"/>
          <w:sz w:val="36"/>
          <w:szCs w:val="30"/>
        </w:rPr>
        <w:t xml:space="preserve">% </w:t>
      </w:r>
      <w:r w:rsidR="00BD6641" w:rsidRPr="00BC1307">
        <w:rPr>
          <w:rFonts w:asciiTheme="minorHAnsi" w:hAnsiTheme="minorHAnsi"/>
          <w:color w:val="auto"/>
          <w:sz w:val="36"/>
          <w:szCs w:val="30"/>
        </w:rPr>
        <w:t xml:space="preserve">in </w:t>
      </w:r>
      <w:r w:rsidR="00A30328" w:rsidRPr="00BC1307">
        <w:rPr>
          <w:rFonts w:asciiTheme="minorHAnsi" w:hAnsiTheme="minorHAnsi"/>
          <w:color w:val="auto"/>
          <w:sz w:val="36"/>
          <w:szCs w:val="30"/>
        </w:rPr>
        <w:t>First</w:t>
      </w:r>
      <w:r w:rsidR="00BD6641" w:rsidRPr="00BC1307">
        <w:rPr>
          <w:rFonts w:asciiTheme="minorHAnsi" w:hAnsiTheme="minorHAnsi"/>
          <w:color w:val="auto"/>
          <w:sz w:val="36"/>
          <w:szCs w:val="30"/>
        </w:rPr>
        <w:t xml:space="preserve"> Quarter</w:t>
      </w:r>
      <w:r w:rsidR="00554428" w:rsidRPr="00BC1307">
        <w:rPr>
          <w:rFonts w:asciiTheme="minorHAnsi" w:hAnsiTheme="minorHAnsi"/>
          <w:color w:val="auto"/>
          <w:sz w:val="36"/>
          <w:szCs w:val="30"/>
        </w:rPr>
        <w:t xml:space="preserve">, </w:t>
      </w:r>
      <w:r w:rsidR="008274F3" w:rsidRPr="00BC1307">
        <w:rPr>
          <w:rFonts w:asciiTheme="minorHAnsi" w:hAnsiTheme="minorHAnsi"/>
          <w:color w:val="auto"/>
          <w:sz w:val="36"/>
          <w:szCs w:val="30"/>
        </w:rPr>
        <w:t>Prospects</w:t>
      </w:r>
      <w:r w:rsidR="00554428" w:rsidRPr="00BC1307">
        <w:rPr>
          <w:rFonts w:asciiTheme="minorHAnsi" w:hAnsiTheme="minorHAnsi"/>
          <w:color w:val="auto"/>
          <w:sz w:val="36"/>
          <w:szCs w:val="30"/>
        </w:rPr>
        <w:t xml:space="preserve"> for Growth Appear</w:t>
      </w:r>
    </w:p>
    <w:p w14:paraId="2DB69746" w14:textId="2CBF1522" w:rsidR="00F20245" w:rsidRPr="00BC1307" w:rsidRDefault="007F1C4A" w:rsidP="00C865DA">
      <w:pPr>
        <w:pStyle w:val="ListParagraph"/>
        <w:numPr>
          <w:ilvl w:val="0"/>
          <w:numId w:val="9"/>
        </w:numPr>
        <w:spacing w:before="120" w:after="0"/>
      </w:pPr>
      <w:r w:rsidRPr="00BC1307">
        <w:t>Minnesota exports</w:t>
      </w:r>
      <w:r w:rsidR="00F20245" w:rsidRPr="00BC1307">
        <w:t xml:space="preserve"> of goods</w:t>
      </w:r>
      <w:r w:rsidRPr="00BC1307">
        <w:t xml:space="preserve"> (including agricultural, mining and manufact</w:t>
      </w:r>
      <w:r w:rsidR="00A02A94" w:rsidRPr="00BC1307">
        <w:t>ured products) wer</w:t>
      </w:r>
      <w:r w:rsidR="00E92FA6" w:rsidRPr="00BC1307">
        <w:t>e</w:t>
      </w:r>
      <w:r w:rsidR="00F20245" w:rsidRPr="00BC1307">
        <w:t xml:space="preserve"> valued at</w:t>
      </w:r>
      <w:r w:rsidR="00E92FA6" w:rsidRPr="00BC1307">
        <w:t xml:space="preserve"> $</w:t>
      </w:r>
      <w:r w:rsidR="0000470B" w:rsidRPr="00BC1307">
        <w:t>5.</w:t>
      </w:r>
      <w:r w:rsidR="00AE3C57" w:rsidRPr="00BC1307">
        <w:t>4</w:t>
      </w:r>
      <w:r w:rsidR="00C23DAA" w:rsidRPr="00BC1307">
        <w:t xml:space="preserve"> billion</w:t>
      </w:r>
      <w:r w:rsidR="00DB304D" w:rsidRPr="00BC1307">
        <w:t xml:space="preserve"> in the </w:t>
      </w:r>
      <w:r w:rsidR="00A30328" w:rsidRPr="00BC1307">
        <w:t>first</w:t>
      </w:r>
      <w:r w:rsidR="00DB304D" w:rsidRPr="00BC1307">
        <w:t xml:space="preserve"> quarter of </w:t>
      </w:r>
      <w:r w:rsidR="00A30328" w:rsidRPr="00BC1307">
        <w:t>2021</w:t>
      </w:r>
      <w:r w:rsidR="00DB304D" w:rsidRPr="00BC1307">
        <w:t xml:space="preserve">, </w:t>
      </w:r>
      <w:r w:rsidR="00F75C80" w:rsidRPr="00BC1307">
        <w:t>representing a drop of</w:t>
      </w:r>
      <w:r w:rsidR="00530F70" w:rsidRPr="00BC1307">
        <w:t xml:space="preserve"> </w:t>
      </w:r>
      <w:r w:rsidR="00AE3C57" w:rsidRPr="00BC1307">
        <w:t>4</w:t>
      </w:r>
      <w:r w:rsidR="007818E5" w:rsidRPr="00BC1307">
        <w:t>%</w:t>
      </w:r>
      <w:r w:rsidR="00B5144B" w:rsidRPr="00BC1307">
        <w:t xml:space="preserve"> (or $</w:t>
      </w:r>
      <w:r w:rsidR="00AE3C57" w:rsidRPr="00BC1307">
        <w:t>238</w:t>
      </w:r>
      <w:r w:rsidR="00C23DAA" w:rsidRPr="00BC1307">
        <w:t xml:space="preserve"> million</w:t>
      </w:r>
      <w:r w:rsidRPr="00BC1307">
        <w:t xml:space="preserve">) </w:t>
      </w:r>
      <w:r w:rsidR="00DB304D" w:rsidRPr="00BC1307">
        <w:t xml:space="preserve">since </w:t>
      </w:r>
      <w:r w:rsidRPr="00BC1307">
        <w:t xml:space="preserve">the </w:t>
      </w:r>
      <w:r w:rsidR="00A30328" w:rsidRPr="00BC1307">
        <w:t>first</w:t>
      </w:r>
      <w:r w:rsidRPr="00BC1307">
        <w:t xml:space="preserve"> qu</w:t>
      </w:r>
      <w:r w:rsidR="00DB304D" w:rsidRPr="00BC1307">
        <w:t>arter</w:t>
      </w:r>
      <w:r w:rsidR="00957BCF" w:rsidRPr="00BC1307">
        <w:t xml:space="preserve"> of </w:t>
      </w:r>
      <w:r w:rsidR="00A30328" w:rsidRPr="00BC1307">
        <w:t>2020</w:t>
      </w:r>
      <w:r w:rsidR="00B85149" w:rsidRPr="00BC1307">
        <w:t xml:space="preserve">. </w:t>
      </w:r>
    </w:p>
    <w:p w14:paraId="46AF4887" w14:textId="03D5C7FC" w:rsidR="00D33037" w:rsidRPr="00BC1307" w:rsidRDefault="00F20245" w:rsidP="00C865DA">
      <w:pPr>
        <w:pStyle w:val="ListParagraph"/>
        <w:numPr>
          <w:ilvl w:val="0"/>
          <w:numId w:val="9"/>
        </w:numPr>
        <w:spacing w:before="120" w:after="0"/>
      </w:pPr>
      <w:r w:rsidRPr="00BC1307">
        <w:t>State e</w:t>
      </w:r>
      <w:r w:rsidR="001422BE" w:rsidRPr="00BC1307">
        <w:t>xports grew 6% in March</w:t>
      </w:r>
      <w:r w:rsidR="00F75C80" w:rsidRPr="00BC1307">
        <w:t xml:space="preserve"> </w:t>
      </w:r>
      <w:r w:rsidR="007216E3" w:rsidRPr="00BC1307">
        <w:t>2021</w:t>
      </w:r>
      <w:r w:rsidR="00F75C80" w:rsidRPr="00BC1307">
        <w:t xml:space="preserve">– </w:t>
      </w:r>
      <w:r w:rsidRPr="00BC1307">
        <w:t>interrupting the persistent monthly declines since March 2020</w:t>
      </w:r>
      <w:r w:rsidR="001422BE" w:rsidRPr="00BC1307">
        <w:t>.</w:t>
      </w:r>
    </w:p>
    <w:p w14:paraId="46069970" w14:textId="21D45B5C" w:rsidR="006D7A33" w:rsidRPr="00BC1307" w:rsidRDefault="00C97041" w:rsidP="003B0D48">
      <w:pPr>
        <w:pStyle w:val="ListParagraph"/>
        <w:numPr>
          <w:ilvl w:val="0"/>
          <w:numId w:val="9"/>
        </w:numPr>
        <w:spacing w:after="0"/>
      </w:pPr>
      <w:r w:rsidRPr="00BC1307">
        <w:t>U.S. exports</w:t>
      </w:r>
      <w:r w:rsidR="00742415" w:rsidRPr="00BC1307">
        <w:t xml:space="preserve"> of goods</w:t>
      </w:r>
      <w:r w:rsidR="00C23DAA" w:rsidRPr="00BC1307">
        <w:t xml:space="preserve"> </w:t>
      </w:r>
      <w:r w:rsidR="00AE3C57" w:rsidRPr="00BC1307">
        <w:t>rose 2</w:t>
      </w:r>
      <w:r w:rsidR="007818E5" w:rsidRPr="00BC1307">
        <w:t>%</w:t>
      </w:r>
      <w:r w:rsidR="00521967" w:rsidRPr="00BC1307">
        <w:t xml:space="preserve"> during </w:t>
      </w:r>
      <w:r w:rsidR="007216E3" w:rsidRPr="00BC1307">
        <w:t>in the first quarter</w:t>
      </w:r>
      <w:r w:rsidR="00956763" w:rsidRPr="00BC1307">
        <w:t xml:space="preserve">. </w:t>
      </w:r>
      <w:r w:rsidR="00AE3C57" w:rsidRPr="00BC1307">
        <w:t xml:space="preserve">More than half the </w:t>
      </w:r>
      <w:r w:rsidR="001625A3" w:rsidRPr="00BC1307">
        <w:t>states had</w:t>
      </w:r>
      <w:r w:rsidR="00954A83" w:rsidRPr="00BC1307">
        <w:t xml:space="preserve"> positive or flat export growth</w:t>
      </w:r>
      <w:r w:rsidR="00CA0F8C" w:rsidRPr="00BC1307">
        <w:t xml:space="preserve"> </w:t>
      </w:r>
      <w:r w:rsidR="00AE3C57" w:rsidRPr="00BC1307">
        <w:t>since the first quarter of 2020</w:t>
      </w:r>
      <w:r w:rsidR="007216E3" w:rsidRPr="00BC1307">
        <w:t>.</w:t>
      </w:r>
    </w:p>
    <w:p w14:paraId="5C9FF439" w14:textId="0EAE7DC0" w:rsidR="004F6D22" w:rsidRPr="00BC1307" w:rsidRDefault="00692D3B" w:rsidP="004F6D22">
      <w:pPr>
        <w:pStyle w:val="ListParagraph"/>
        <w:numPr>
          <w:ilvl w:val="0"/>
          <w:numId w:val="9"/>
        </w:numPr>
        <w:spacing w:after="0"/>
        <w:rPr>
          <w:rStyle w:val="Heading4Char"/>
          <w:rFonts w:eastAsiaTheme="minorEastAsia" w:cstheme="minorBidi"/>
          <w:bCs w:val="0"/>
          <w:i w:val="0"/>
          <w:iCs w:val="0"/>
          <w:color w:val="auto"/>
          <w:sz w:val="22"/>
        </w:rPr>
      </w:pPr>
      <w:r w:rsidRPr="00BC1307">
        <w:t>Minnesota</w:t>
      </w:r>
      <w:r w:rsidR="007216E3" w:rsidRPr="00BC1307">
        <w:t>’s</w:t>
      </w:r>
      <w:r w:rsidRPr="00BC1307">
        <w:t xml:space="preserve"> </w:t>
      </w:r>
      <w:r w:rsidRPr="00BC1307">
        <w:rPr>
          <w:i/>
        </w:rPr>
        <w:t>manufactured</w:t>
      </w:r>
      <w:r w:rsidR="001F7EBF" w:rsidRPr="00BC1307">
        <w:t xml:space="preserve"> exports</w:t>
      </w:r>
      <w:r w:rsidR="00DD736C" w:rsidRPr="00BC1307">
        <w:t xml:space="preserve"> </w:t>
      </w:r>
      <w:r w:rsidR="00BC1307">
        <w:t>shrank</w:t>
      </w:r>
      <w:r w:rsidR="00C97041" w:rsidRPr="00BC1307">
        <w:t xml:space="preserve"> </w:t>
      </w:r>
      <w:r w:rsidR="00AA4C9D" w:rsidRPr="00BC1307">
        <w:t>6</w:t>
      </w:r>
      <w:r w:rsidR="00742415" w:rsidRPr="00BC1307">
        <w:t>%</w:t>
      </w:r>
      <w:r w:rsidR="00C97041" w:rsidRPr="00BC1307">
        <w:t xml:space="preserve"> to </w:t>
      </w:r>
      <w:r w:rsidR="00956763" w:rsidRPr="00BC1307">
        <w:t>$</w:t>
      </w:r>
      <w:r w:rsidR="00AA4C9D" w:rsidRPr="00BC1307">
        <w:t>5.1</w:t>
      </w:r>
      <w:r w:rsidR="004A3CC9" w:rsidRPr="00BC1307">
        <w:t xml:space="preserve"> billion</w:t>
      </w:r>
      <w:r w:rsidRPr="00BC1307">
        <w:t xml:space="preserve"> </w:t>
      </w:r>
      <w:r w:rsidR="007F1C4A" w:rsidRPr="00BC1307">
        <w:t xml:space="preserve">in the </w:t>
      </w:r>
      <w:r w:rsidR="00A30328" w:rsidRPr="00BC1307">
        <w:t>first</w:t>
      </w:r>
      <w:r w:rsidR="007F1C4A" w:rsidRPr="00BC1307">
        <w:t xml:space="preserve"> quarter of </w:t>
      </w:r>
      <w:r w:rsidR="00A30328" w:rsidRPr="00BC1307">
        <w:t>2021</w:t>
      </w:r>
      <w:r w:rsidR="00D33037" w:rsidRPr="00BC1307">
        <w:t>.</w:t>
      </w:r>
      <w:r w:rsidR="00C23DAA" w:rsidRPr="00BC1307">
        <w:t xml:space="preserve"> </w:t>
      </w:r>
      <w:r w:rsidR="00E42787" w:rsidRPr="00BC1307">
        <w:t>U.S</w:t>
      </w:r>
      <w:r w:rsidR="00742415" w:rsidRPr="00BC1307">
        <w:t xml:space="preserve">. </w:t>
      </w:r>
      <w:r w:rsidR="00742415" w:rsidRPr="00BC1307">
        <w:rPr>
          <w:i/>
        </w:rPr>
        <w:t>manufactured</w:t>
      </w:r>
      <w:r w:rsidR="00742415" w:rsidRPr="00BC1307">
        <w:t xml:space="preserve"> exports </w:t>
      </w:r>
      <w:r w:rsidR="00956763" w:rsidRPr="00BC1307">
        <w:t xml:space="preserve">sank </w:t>
      </w:r>
      <w:r w:rsidR="00AA4C9D" w:rsidRPr="00BC1307">
        <w:t>1</w:t>
      </w:r>
      <w:r w:rsidR="007818E5" w:rsidRPr="00BC1307">
        <w:t>%</w:t>
      </w:r>
      <w:r w:rsidR="00557377" w:rsidRPr="00BC1307">
        <w:t>.</w:t>
      </w:r>
    </w:p>
    <w:p w14:paraId="03CA25DA" w14:textId="430F6F0D" w:rsidR="007F1C4A" w:rsidRPr="00BC1307" w:rsidRDefault="007F1C4A" w:rsidP="00707559">
      <w:pPr>
        <w:spacing w:before="120" w:after="0" w:line="271" w:lineRule="auto"/>
        <w:rPr>
          <w:rStyle w:val="Heading4Char"/>
          <w:color w:val="auto"/>
        </w:rPr>
      </w:pPr>
      <w:r w:rsidRPr="00BC1307">
        <w:rPr>
          <w:rStyle w:val="Heading4Char"/>
          <w:color w:val="auto"/>
        </w:rPr>
        <w:t xml:space="preserve">Figure </w:t>
      </w:r>
      <w:r w:rsidRPr="00BC1307">
        <w:rPr>
          <w:rStyle w:val="Heading4Char"/>
          <w:color w:val="auto"/>
        </w:rPr>
        <w:fldChar w:fldCharType="begin"/>
      </w:r>
      <w:r w:rsidRPr="00BC1307">
        <w:rPr>
          <w:rStyle w:val="Heading4Char"/>
          <w:color w:val="auto"/>
        </w:rPr>
        <w:instrText xml:space="preserve"> SEQ Figure \* ARABIC </w:instrText>
      </w:r>
      <w:r w:rsidRPr="00BC1307">
        <w:rPr>
          <w:rStyle w:val="Heading4Char"/>
          <w:color w:val="auto"/>
        </w:rPr>
        <w:fldChar w:fldCharType="separate"/>
      </w:r>
      <w:r w:rsidR="00C430F8" w:rsidRPr="00BC1307">
        <w:rPr>
          <w:rStyle w:val="Heading4Char"/>
          <w:noProof/>
          <w:color w:val="auto"/>
        </w:rPr>
        <w:t>1</w:t>
      </w:r>
      <w:r w:rsidRPr="00BC1307">
        <w:rPr>
          <w:rStyle w:val="Heading4Char"/>
          <w:color w:val="auto"/>
        </w:rPr>
        <w:fldChar w:fldCharType="end"/>
      </w:r>
      <w:r w:rsidR="00A52415" w:rsidRPr="00BC1307">
        <w:rPr>
          <w:rStyle w:val="Heading4Char"/>
          <w:color w:val="auto"/>
        </w:rPr>
        <w:t xml:space="preserve">. </w:t>
      </w:r>
      <w:r w:rsidR="00CA0F8C" w:rsidRPr="00BC1307">
        <w:rPr>
          <w:rStyle w:val="Heading4Char"/>
          <w:color w:val="auto"/>
        </w:rPr>
        <w:t>Exports</w:t>
      </w:r>
      <w:r w:rsidR="00BF3A0E" w:rsidRPr="00BC1307">
        <w:rPr>
          <w:rStyle w:val="Heading4Char"/>
          <w:color w:val="auto"/>
        </w:rPr>
        <w:t xml:space="preserve"> Increase</w:t>
      </w:r>
      <w:r w:rsidR="00CA0F8C" w:rsidRPr="00BC1307">
        <w:rPr>
          <w:rStyle w:val="Heading4Char"/>
          <w:color w:val="auto"/>
        </w:rPr>
        <w:t xml:space="preserve"> </w:t>
      </w:r>
      <w:r w:rsidR="004F6D22" w:rsidRPr="00BC1307">
        <w:rPr>
          <w:rStyle w:val="Heading4Char"/>
          <w:color w:val="auto"/>
        </w:rPr>
        <w:t>from</w:t>
      </w:r>
      <w:r w:rsidR="0046703D" w:rsidRPr="00BC1307">
        <w:rPr>
          <w:rStyle w:val="Heading4Char"/>
          <w:color w:val="auto"/>
        </w:rPr>
        <w:t xml:space="preserve"> </w:t>
      </w:r>
      <w:r w:rsidR="00954A83" w:rsidRPr="00BC1307">
        <w:rPr>
          <w:rStyle w:val="Heading4Char"/>
          <w:color w:val="auto"/>
        </w:rPr>
        <w:t>3</w:t>
      </w:r>
      <w:r w:rsidR="007216E3" w:rsidRPr="00BC1307">
        <w:rPr>
          <w:rStyle w:val="Heading4Char"/>
          <w:color w:val="auto"/>
        </w:rPr>
        <w:t>0</w:t>
      </w:r>
      <w:r w:rsidR="00CA0F8C" w:rsidRPr="00BC1307">
        <w:rPr>
          <w:rStyle w:val="Heading4Char"/>
          <w:color w:val="auto"/>
        </w:rPr>
        <w:t xml:space="preserve"> States</w:t>
      </w:r>
    </w:p>
    <w:p w14:paraId="5316D7DA" w14:textId="050DA7D1" w:rsidR="004F6D22" w:rsidRPr="00BC1307" w:rsidRDefault="004F6D22" w:rsidP="00707559">
      <w:pPr>
        <w:spacing w:before="120" w:after="0" w:line="271" w:lineRule="auto"/>
        <w:rPr>
          <w:rStyle w:val="Heading4Char"/>
          <w:rFonts w:eastAsiaTheme="minorEastAsia" w:cstheme="minorBidi"/>
          <w:bCs w:val="0"/>
          <w:i w:val="0"/>
          <w:iCs w:val="0"/>
          <w:color w:val="auto"/>
          <w:sz w:val="22"/>
        </w:rPr>
      </w:pPr>
      <w:r w:rsidRPr="00BC1307">
        <w:rPr>
          <w:noProof/>
        </w:rPr>
        <mc:AlternateContent>
          <mc:Choice Requires="wps">
            <w:drawing>
              <wp:anchor distT="0" distB="0" distL="114300" distR="114300" simplePos="0" relativeHeight="251658752" behindDoc="0" locked="0" layoutInCell="1" allowOverlap="1" wp14:anchorId="24E76B40" wp14:editId="77EBBE8F">
                <wp:simplePos x="0" y="0"/>
                <wp:positionH relativeFrom="column">
                  <wp:align>right</wp:align>
                </wp:positionH>
                <wp:positionV relativeFrom="paragraph">
                  <wp:posOffset>1590675</wp:posOffset>
                </wp:positionV>
                <wp:extent cx="780415" cy="435610"/>
                <wp:effectExtent l="0" t="0" r="0" b="2540"/>
                <wp:wrapNone/>
                <wp:docPr id="307" name="Text Box 2" descr="MN: -18%&#10;U.S.: -30%&#10;"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35610"/>
                        </a:xfrm>
                        <a:prstGeom prst="rect">
                          <a:avLst/>
                        </a:prstGeom>
                        <a:noFill/>
                        <a:ln w="9525">
                          <a:noFill/>
                          <a:miter lim="800000"/>
                          <a:headEnd/>
                          <a:tailEnd/>
                        </a:ln>
                      </wps:spPr>
                      <wps:txbx>
                        <w:txbxContent>
                          <w:p w14:paraId="60A296D5" w14:textId="47C92718" w:rsidR="007F1C4A" w:rsidRPr="00681236" w:rsidRDefault="007F1C4A" w:rsidP="007F1C4A">
                            <w:pPr>
                              <w:spacing w:after="0"/>
                              <w:rPr>
                                <w:b/>
                                <w:i/>
                                <w:sz w:val="20"/>
                              </w:rPr>
                            </w:pPr>
                            <w:r w:rsidRPr="00681236">
                              <w:rPr>
                                <w:b/>
                                <w:i/>
                                <w:sz w:val="20"/>
                              </w:rPr>
                              <w:t>M</w:t>
                            </w:r>
                            <w:r w:rsidR="0065603B" w:rsidRPr="00681236">
                              <w:rPr>
                                <w:b/>
                                <w:i/>
                                <w:sz w:val="20"/>
                              </w:rPr>
                              <w:t>N:  -</w:t>
                            </w:r>
                            <w:r w:rsidR="00AE3C57">
                              <w:rPr>
                                <w:b/>
                                <w:i/>
                                <w:sz w:val="20"/>
                              </w:rPr>
                              <w:t>4</w:t>
                            </w:r>
                            <w:r w:rsidRPr="00681236">
                              <w:rPr>
                                <w:b/>
                                <w:i/>
                                <w:sz w:val="20"/>
                              </w:rPr>
                              <w:t>%</w:t>
                            </w:r>
                          </w:p>
                          <w:p w14:paraId="588145EA" w14:textId="7B1CF5B7" w:rsidR="007F1C4A" w:rsidRPr="00681236" w:rsidRDefault="00293DCF" w:rsidP="007F1C4A">
                            <w:pPr>
                              <w:spacing w:after="0"/>
                              <w:rPr>
                                <w:b/>
                                <w:i/>
                                <w:sz w:val="20"/>
                              </w:rPr>
                            </w:pPr>
                            <w:r w:rsidRPr="00681236">
                              <w:rPr>
                                <w:b/>
                                <w:i/>
                                <w:sz w:val="20"/>
                              </w:rPr>
                              <w:t xml:space="preserve">U.S.: </w:t>
                            </w:r>
                            <w:r w:rsidR="00AE3C57">
                              <w:rPr>
                                <w:b/>
                                <w:i/>
                                <w:sz w:val="20"/>
                              </w:rPr>
                              <w:t>2</w:t>
                            </w:r>
                            <w:r w:rsidR="007F1C4A" w:rsidRPr="00681236">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76B40" id="_x0000_t202" coordsize="21600,21600" o:spt="202" path="m,l,21600r21600,l21600,xe">
                <v:stroke joinstyle="miter"/>
                <v:path gradientshapeok="t" o:connecttype="rect"/>
              </v:shapetype>
              <v:shape id="_x0000_s1027" type="#_x0000_t202" alt="Title: highlight text box - Description: MN: -18%&#10;U.S.: -30%&#10;" style="position:absolute;margin-left:10.25pt;margin-top:125.25pt;width:61.45pt;height:34.3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kNPAIAADoEAAAOAAAAZHJzL2Uyb0RvYy54bWysU9tu2zAMfR+wfxA0bG+N7Vya1ItTZO06&#10;DGi7AWk/QJblWJgsapISO/v6UXKaBtvbMAMWRNM85Dkkl9d9q8heWCdBFzQbpZQIzaGSelvQ56e7&#10;iwUlzjNdMQVaFPQgHL1evX2z7EwuxtCAqoQlCKJd3pmCNt6bPEkcb0TL3AiM0OiswbbMo2m3SWVZ&#10;h+itSsZpepl0YCtjgQvn8Ovt4KSriF/Xgvtvde2EJ6qgWJuPp41nGc5ktWT51jLTSH4sg/1DFS2T&#10;GpOeoG6ZZ2Rn5V9QreQWHNR+xKFNoK4lF5EDssnSP9hsGmZE5ILiOHOSyf0/WP64/26JrAo6SeeU&#10;aNZik55E78kn6MmYkko4jno9PObkIlu8//CuX398Hm1GaE7SwURZpVcY18hto/D1xAeEEvqgb2dc&#10;jmk2BhP5HmFxTqJWztwD/+GIhpuG6a1YWwtdI1iF/LIQmZyFDjgugJTdA1SYju08RKC+tm0QH+Uk&#10;iI59Ppx6Gwrh+HG+SKfZjBKOrulkdpnF3icsfwk21vkvAloSLgW1ODoRnO3vnQ/FsPzll5BLw51U&#10;Ko6P0qQr6NVsPIsBZ55WepxuJduCLtLwDPMWOH7WVQz2TKrhjgmUPpIOPAfGvi/72J+oSBCkhOqA&#10;KlgYhhmXDy8N2F+UdDjIBXU/d8wKStRXjUpeZdNpmPxoTGfzMRr23FOee5jmCFVQT8lwvfFxWwbK&#10;a1S8llGN10qOJeOARpGOyxQ24NyOf72u/Oo3AAAA//8DAFBLAwQUAAYACAAAACEA24kzuN0AAAAI&#10;AQAADwAAAGRycy9kb3ducmV2LnhtbEyPzU7DMBCE70h9B2uRuFE7gSASsqkqEFcqyo/EzY23SUS8&#10;jmK3CW9f90SPoxnNfFOuZtuLI42+c4yQLBUI4tqZjhuEz4/X20cQPmg2undMCH/kYVUtrkpdGDfx&#10;Ox23oRGxhH2hEdoQhkJKX7dktV+6gTh6ezdaHaIcG2lGPcVy28tUqQdpdcdxodUDPbdU/24PFuHr&#10;bf/zfa82zYvNhsnNSrLNJeLN9bx+AhFoDv9hOONHdKgi084d2HjRI8QjASHNVAbibKdpDmKHcJfk&#10;CciqlJcHqhMAAAD//wMAUEsBAi0AFAAGAAgAAAAhALaDOJL+AAAA4QEAABMAAAAAAAAAAAAAAAAA&#10;AAAAAFtDb250ZW50X1R5cGVzXS54bWxQSwECLQAUAAYACAAAACEAOP0h/9YAAACUAQAACwAAAAAA&#10;AAAAAAAAAAAvAQAAX3JlbHMvLnJlbHNQSwECLQAUAAYACAAAACEAZ7kpDTwCAAA6BAAADgAAAAAA&#10;AAAAAAAAAAAuAgAAZHJzL2Uyb0RvYy54bWxQSwECLQAUAAYACAAAACEA24kzuN0AAAAIAQAADwAA&#10;AAAAAAAAAAAAAACWBAAAZHJzL2Rvd25yZXYueG1sUEsFBgAAAAAEAAQA8wAAAKAFAAAAAA==&#10;" filled="f" stroked="f">
                <v:textbox>
                  <w:txbxContent>
                    <w:p w14:paraId="60A296D5" w14:textId="47C92718" w:rsidR="007F1C4A" w:rsidRPr="00681236" w:rsidRDefault="007F1C4A" w:rsidP="007F1C4A">
                      <w:pPr>
                        <w:spacing w:after="0"/>
                        <w:rPr>
                          <w:b/>
                          <w:i/>
                          <w:sz w:val="20"/>
                        </w:rPr>
                      </w:pPr>
                      <w:r w:rsidRPr="00681236">
                        <w:rPr>
                          <w:b/>
                          <w:i/>
                          <w:sz w:val="20"/>
                        </w:rPr>
                        <w:t>M</w:t>
                      </w:r>
                      <w:r w:rsidR="0065603B" w:rsidRPr="00681236">
                        <w:rPr>
                          <w:b/>
                          <w:i/>
                          <w:sz w:val="20"/>
                        </w:rPr>
                        <w:t>N:  -</w:t>
                      </w:r>
                      <w:r w:rsidR="00AE3C57">
                        <w:rPr>
                          <w:b/>
                          <w:i/>
                          <w:sz w:val="20"/>
                        </w:rPr>
                        <w:t>4</w:t>
                      </w:r>
                      <w:r w:rsidRPr="00681236">
                        <w:rPr>
                          <w:b/>
                          <w:i/>
                          <w:sz w:val="20"/>
                        </w:rPr>
                        <w:t>%</w:t>
                      </w:r>
                    </w:p>
                    <w:p w14:paraId="588145EA" w14:textId="7B1CF5B7" w:rsidR="007F1C4A" w:rsidRPr="00681236" w:rsidRDefault="00293DCF" w:rsidP="007F1C4A">
                      <w:pPr>
                        <w:spacing w:after="0"/>
                        <w:rPr>
                          <w:b/>
                          <w:i/>
                          <w:sz w:val="20"/>
                        </w:rPr>
                      </w:pPr>
                      <w:r w:rsidRPr="00681236">
                        <w:rPr>
                          <w:b/>
                          <w:i/>
                          <w:sz w:val="20"/>
                        </w:rPr>
                        <w:t xml:space="preserve">U.S.: </w:t>
                      </w:r>
                      <w:r w:rsidR="00AE3C57">
                        <w:rPr>
                          <w:b/>
                          <w:i/>
                          <w:sz w:val="20"/>
                        </w:rPr>
                        <w:t>2</w:t>
                      </w:r>
                      <w:r w:rsidR="007F1C4A" w:rsidRPr="00681236">
                        <w:rPr>
                          <w:b/>
                          <w:i/>
                          <w:sz w:val="20"/>
                        </w:rPr>
                        <w:t>%</w:t>
                      </w:r>
                    </w:p>
                  </w:txbxContent>
                </v:textbox>
              </v:shape>
            </w:pict>
          </mc:Fallback>
        </mc:AlternateContent>
      </w:r>
      <w:r w:rsidRPr="00BC1307">
        <w:rPr>
          <w:noProof/>
        </w:rPr>
        <w:drawing>
          <wp:inline distT="0" distB="0" distL="0" distR="0" wp14:anchorId="10D13E82" wp14:editId="5EF1363E">
            <wp:extent cx="3228975" cy="1828800"/>
            <wp:effectExtent l="0" t="0" r="9525" b="0"/>
            <wp:docPr id="11" name="Picture 11" descr="State Percent change, 2020-Q1 to 2021-Q1&#10;Minnesota -4%&#10;United States 2%&#10;Alabama 3%&#10;Alaska 7%&#10;Arizona -1%&#10;Arkansas -23%&#10;California 0%&#10;Colorado -18%&#10;Connecticut -13%&#10;Delaware 16%&#10;Dist of Columbia -66%&#10;Florida -7%&#10;Georgia 1%&#10;Hawaii -18%&#10;Idaho 23%&#10;Illinois 4%&#10;Indiana 3%&#10;Iowa 16%&#10;Kansas -4%&#10;Kentucky -19%&#10;Louisiana 18%&#10;Maine -10%&#10;Maryland 8%&#10;Massachusetts 9%&#10;Michigan -3%&#10;Mississippi -4%&#10;Missouri 18%&#10;Montana 32%&#10;Nebraska 3%&#10;Nevada 1%&#10;New Hampshire 8%&#10;New Jersey 23%&#10;New Mexico -12%&#10;New York 29%&#10;North Carolina 3%&#10;North Dakota -13%&#10;Ohio -6%&#10;Oklahoma -7%&#10;Oregon 20%&#10;Pennsylvania 10%&#10;Rhode Island 4%&#10;South Carolina -24%&#10;South Dakota 14%&#10;Tennessee 1%&#10;Texas -2%&#10;Utah 12%&#10;Vermont 2%&#10;Virginia 6%&#10;Washington 8%&#10;West Virginia 4%&#10;Wisconsin 5%&#10;Wyoming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163" b="12221"/>
                    <a:stretch/>
                  </pic:blipFill>
                  <pic:spPr bwMode="auto">
                    <a:xfrm>
                      <a:off x="0" y="0"/>
                      <a:ext cx="3228975" cy="1828800"/>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29FA78A6" w:rsidR="007F1C4A" w:rsidRPr="00BC1307" w:rsidRDefault="007F1C4A" w:rsidP="007F1C4A">
      <w:pPr>
        <w:spacing w:after="0"/>
        <w:rPr>
          <w:i/>
          <w:sz w:val="18"/>
        </w:rPr>
      </w:pPr>
      <w:r w:rsidRPr="00BC1307">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BC1307">
        <w:rPr>
          <w:i/>
          <w:sz w:val="18"/>
        </w:rPr>
        <w:t xml:space="preserve"> Decline     0%   Growth</w:t>
      </w:r>
    </w:p>
    <w:p w14:paraId="6B23B2F3" w14:textId="40E1BED4" w:rsidR="00BE4DAD" w:rsidRPr="00BC1307" w:rsidRDefault="00A52415" w:rsidP="00173D78">
      <w:pPr>
        <w:spacing w:after="0"/>
        <w:rPr>
          <w:rFonts w:ascii="Arial Narrow" w:hAnsi="Arial Narrow"/>
          <w:sz w:val="2"/>
          <w:szCs w:val="2"/>
        </w:rPr>
        <w:sectPr w:rsidR="00BE4DAD" w:rsidRPr="00BC1307" w:rsidSect="00F20245">
          <w:footnotePr>
            <w:numRestart w:val="eachSect"/>
          </w:footnotePr>
          <w:endnotePr>
            <w:numFmt w:val="decimal"/>
          </w:endnotePr>
          <w:type w:val="continuous"/>
          <w:pgSz w:w="12240" w:h="15840" w:code="1"/>
          <w:pgMar w:top="720" w:right="720" w:bottom="720" w:left="990" w:header="720" w:footer="720" w:gutter="0"/>
          <w:cols w:num="2" w:space="450"/>
          <w:titlePg/>
          <w:docGrid w:linePitch="299"/>
        </w:sectPr>
      </w:pPr>
      <w:r w:rsidRPr="00BC1307">
        <w:rPr>
          <w:rFonts w:ascii="Arial Narrow" w:hAnsi="Arial Narrow"/>
          <w:noProof/>
          <w:sz w:val="2"/>
          <w:szCs w:val="2"/>
        </w:rPr>
        <w:drawing>
          <wp:inline distT="0" distB="0" distL="0" distR="0" wp14:anchorId="5C21AFCD" wp14:editId="1362234B">
            <wp:extent cx="1066800" cy="152400"/>
            <wp:effectExtent l="0" t="0" r="0" b="0"/>
            <wp:docPr id="7" name="Picture 7" descr="S:\Groups\CARD\AEO\Thu-Mai\Tableau, Viz\MTO Tableau files\Export Stats Reports\Newsletter &amp; Fact Sheet charts\2018-Q4 USMap_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7055CAC5" w:rsidR="00E83789" w:rsidRPr="00BC1307" w:rsidRDefault="0085254B" w:rsidP="00F20245">
      <w:pPr>
        <w:pStyle w:val="Heading2"/>
        <w:spacing w:before="120"/>
        <w:rPr>
          <w:rFonts w:asciiTheme="minorHAnsi" w:hAnsiTheme="minorHAnsi"/>
          <w:b w:val="0"/>
          <w:i/>
          <w:color w:val="auto"/>
          <w:sz w:val="28"/>
        </w:rPr>
      </w:pPr>
      <w:r>
        <w:rPr>
          <w:rFonts w:asciiTheme="minorHAnsi" w:hAnsiTheme="minorHAnsi"/>
          <w:b w:val="0"/>
          <w:i/>
          <w:color w:val="auto"/>
          <w:sz w:val="28"/>
        </w:rPr>
        <w:t>Sales of Minnesota Goods</w:t>
      </w:r>
      <w:r w:rsidR="00BD0BD5" w:rsidRPr="00BC1307">
        <w:rPr>
          <w:rFonts w:asciiTheme="minorHAnsi" w:hAnsiTheme="minorHAnsi"/>
          <w:b w:val="0"/>
          <w:i/>
          <w:color w:val="auto"/>
          <w:sz w:val="28"/>
        </w:rPr>
        <w:t xml:space="preserve"> </w:t>
      </w:r>
      <w:r>
        <w:rPr>
          <w:rFonts w:asciiTheme="minorHAnsi" w:hAnsiTheme="minorHAnsi"/>
          <w:b w:val="0"/>
          <w:i/>
          <w:color w:val="auto"/>
          <w:sz w:val="28"/>
        </w:rPr>
        <w:t xml:space="preserve">Resume </w:t>
      </w:r>
      <w:r w:rsidR="00BD0BD5" w:rsidRPr="00BC1307">
        <w:rPr>
          <w:rFonts w:asciiTheme="minorHAnsi" w:hAnsiTheme="minorHAnsi"/>
          <w:b w:val="0"/>
          <w:i/>
          <w:color w:val="auto"/>
          <w:sz w:val="28"/>
        </w:rPr>
        <w:t>Grow</w:t>
      </w:r>
      <w:r>
        <w:rPr>
          <w:rFonts w:asciiTheme="minorHAnsi" w:hAnsiTheme="minorHAnsi"/>
          <w:b w:val="0"/>
          <w:i/>
          <w:color w:val="auto"/>
          <w:sz w:val="28"/>
        </w:rPr>
        <w:t>th</w:t>
      </w:r>
      <w:r w:rsidR="00BD0BD5" w:rsidRPr="00BC1307">
        <w:rPr>
          <w:rFonts w:asciiTheme="minorHAnsi" w:hAnsiTheme="minorHAnsi"/>
          <w:b w:val="0"/>
          <w:i/>
          <w:color w:val="auto"/>
          <w:sz w:val="28"/>
        </w:rPr>
        <w:t xml:space="preserve"> </w:t>
      </w:r>
      <w:r>
        <w:rPr>
          <w:rFonts w:asciiTheme="minorHAnsi" w:hAnsiTheme="minorHAnsi"/>
          <w:b w:val="0"/>
          <w:i/>
          <w:color w:val="auto"/>
          <w:sz w:val="28"/>
        </w:rPr>
        <w:t>in Selected</w:t>
      </w:r>
      <w:r w:rsidR="00BD0BD5" w:rsidRPr="00BC1307">
        <w:rPr>
          <w:rFonts w:asciiTheme="minorHAnsi" w:hAnsiTheme="minorHAnsi"/>
          <w:b w:val="0"/>
          <w:i/>
          <w:color w:val="auto"/>
          <w:sz w:val="28"/>
        </w:rPr>
        <w:t xml:space="preserve"> </w:t>
      </w:r>
      <w:r>
        <w:rPr>
          <w:rFonts w:asciiTheme="minorHAnsi" w:hAnsiTheme="minorHAnsi"/>
          <w:b w:val="0"/>
          <w:i/>
          <w:color w:val="auto"/>
          <w:sz w:val="28"/>
        </w:rPr>
        <w:t>Markets</w:t>
      </w:r>
    </w:p>
    <w:p w14:paraId="418CECD2" w14:textId="3F9B9CD2" w:rsidR="00F75C80" w:rsidRPr="00BC1307" w:rsidRDefault="00F75C80" w:rsidP="006F5617">
      <w:pPr>
        <w:pStyle w:val="ListParagraph"/>
        <w:numPr>
          <w:ilvl w:val="0"/>
          <w:numId w:val="10"/>
        </w:numPr>
        <w:spacing w:after="0"/>
      </w:pPr>
      <w:r w:rsidRPr="00BC1307">
        <w:t xml:space="preserve">Exports </w:t>
      </w:r>
      <w:r w:rsidR="00751E26" w:rsidRPr="00BC1307">
        <w:t>grew</w:t>
      </w:r>
      <w:r w:rsidRPr="00BC1307">
        <w:t xml:space="preserve"> to </w:t>
      </w:r>
      <w:r w:rsidR="00F20245" w:rsidRPr="00BC1307">
        <w:t>many</w:t>
      </w:r>
      <w:r w:rsidR="007216E3" w:rsidRPr="00BC1307">
        <w:t xml:space="preserve"> top</w:t>
      </w:r>
      <w:r w:rsidRPr="00BC1307">
        <w:t xml:space="preserve"> markets </w:t>
      </w:r>
      <w:r w:rsidR="00F20245" w:rsidRPr="00BC1307">
        <w:t>in this quarter</w:t>
      </w:r>
      <w:r w:rsidRPr="00BC1307">
        <w:t xml:space="preserve">, </w:t>
      </w:r>
      <w:r w:rsidR="007216E3" w:rsidRPr="00BC1307">
        <w:t xml:space="preserve">perhaps signaling </w:t>
      </w:r>
      <w:r w:rsidR="00F20245" w:rsidRPr="00BC1307">
        <w:t>a</w:t>
      </w:r>
      <w:r w:rsidR="007216E3" w:rsidRPr="00BC1307">
        <w:t xml:space="preserve"> revers</w:t>
      </w:r>
      <w:r w:rsidR="00F20245" w:rsidRPr="00BC1307">
        <w:t>al of the past year’s trends</w:t>
      </w:r>
      <w:r w:rsidRPr="00BC1307">
        <w:t>.</w:t>
      </w:r>
    </w:p>
    <w:p w14:paraId="38C3CADD" w14:textId="65E1DB2A" w:rsidR="007E6CE7" w:rsidRPr="00BC1307" w:rsidRDefault="00136664" w:rsidP="00751E26">
      <w:pPr>
        <w:pStyle w:val="ListParagraph"/>
        <w:numPr>
          <w:ilvl w:val="0"/>
          <w:numId w:val="10"/>
        </w:numPr>
        <w:spacing w:after="0"/>
      </w:pPr>
      <w:r w:rsidRPr="00BC1307">
        <w:t>The state’s e</w:t>
      </w:r>
      <w:r w:rsidR="000D02DD" w:rsidRPr="00BC1307">
        <w:t xml:space="preserve">xports </w:t>
      </w:r>
      <w:r w:rsidR="00751E26" w:rsidRPr="00BC1307">
        <w:t>increased</w:t>
      </w:r>
      <w:r w:rsidR="00F75C80" w:rsidRPr="00BC1307">
        <w:t xml:space="preserve"> </w:t>
      </w:r>
      <w:r w:rsidR="005727A5" w:rsidRPr="00BC1307">
        <w:t>3%</w:t>
      </w:r>
      <w:r w:rsidR="00277E66" w:rsidRPr="00BC1307">
        <w:t xml:space="preserve"> </w:t>
      </w:r>
      <w:r w:rsidRPr="00BC1307">
        <w:t xml:space="preserve">to </w:t>
      </w:r>
      <w:r w:rsidR="005727A5" w:rsidRPr="00BC1307">
        <w:rPr>
          <w:b/>
          <w:bCs/>
        </w:rPr>
        <w:t>North America</w:t>
      </w:r>
      <w:r w:rsidR="00A90983" w:rsidRPr="00BC1307">
        <w:rPr>
          <w:b/>
          <w:bCs/>
        </w:rPr>
        <w:t xml:space="preserve"> – </w:t>
      </w:r>
      <w:r w:rsidR="005727A5" w:rsidRPr="00BC1307">
        <w:t xml:space="preserve">the state’s </w:t>
      </w:r>
      <w:r w:rsidR="00A943AF" w:rsidRPr="00BC1307">
        <w:t xml:space="preserve">top </w:t>
      </w:r>
      <w:r w:rsidR="00A61566" w:rsidRPr="00BC1307">
        <w:t>regional market</w:t>
      </w:r>
      <w:r w:rsidR="00751E26" w:rsidRPr="00BC1307">
        <w:t xml:space="preserve"> – </w:t>
      </w:r>
      <w:r w:rsidR="00A90983" w:rsidRPr="00BC1307">
        <w:t xml:space="preserve">boosted by growth to </w:t>
      </w:r>
      <w:r w:rsidR="00A90983" w:rsidRPr="00BC1307">
        <w:rPr>
          <w:b/>
          <w:bCs/>
        </w:rPr>
        <w:t>Mexico</w:t>
      </w:r>
      <w:r w:rsidR="00F75C80" w:rsidRPr="00BC1307">
        <w:rPr>
          <w:b/>
          <w:bCs/>
        </w:rPr>
        <w:t xml:space="preserve"> </w:t>
      </w:r>
      <w:r w:rsidR="00F75C80" w:rsidRPr="00BC1307">
        <w:t>(up 16%)</w:t>
      </w:r>
      <w:r w:rsidR="00A90983" w:rsidRPr="00BC1307">
        <w:t>. Exports</w:t>
      </w:r>
      <w:r w:rsidR="005727A5" w:rsidRPr="00BC1307">
        <w:t xml:space="preserve"> </w:t>
      </w:r>
      <w:r w:rsidR="00CE7AEB" w:rsidRPr="00BC1307">
        <w:t>s</w:t>
      </w:r>
      <w:r w:rsidR="00A90983" w:rsidRPr="00BC1307">
        <w:t>li</w:t>
      </w:r>
      <w:r w:rsidR="00F75C80" w:rsidRPr="00BC1307">
        <w:t>d</w:t>
      </w:r>
      <w:r w:rsidR="00CE7AEB" w:rsidRPr="00BC1307">
        <w:t xml:space="preserve"> </w:t>
      </w:r>
      <w:r w:rsidR="005727A5" w:rsidRPr="00BC1307">
        <w:t>10</w:t>
      </w:r>
      <w:r w:rsidR="00A61566" w:rsidRPr="00BC1307">
        <w:t>% to</w:t>
      </w:r>
      <w:r w:rsidR="006308E7" w:rsidRPr="00BC1307">
        <w:t xml:space="preserve"> both</w:t>
      </w:r>
      <w:r w:rsidR="00A61566" w:rsidRPr="00BC1307">
        <w:t xml:space="preserve"> </w:t>
      </w:r>
      <w:r w:rsidR="000D02DD" w:rsidRPr="00BC1307">
        <w:rPr>
          <w:b/>
        </w:rPr>
        <w:t>Asia</w:t>
      </w:r>
      <w:r w:rsidR="00CE7AEB" w:rsidRPr="00BC1307">
        <w:t xml:space="preserve"> </w:t>
      </w:r>
      <w:r w:rsidR="00A61566" w:rsidRPr="00BC1307">
        <w:t xml:space="preserve">and </w:t>
      </w:r>
      <w:r w:rsidR="001E7B61" w:rsidRPr="00BC1307">
        <w:t>the</w:t>
      </w:r>
      <w:r w:rsidR="000D02DD" w:rsidRPr="00BC1307">
        <w:t xml:space="preserve"> </w:t>
      </w:r>
      <w:r w:rsidR="000D02DD" w:rsidRPr="00BC1307">
        <w:rPr>
          <w:b/>
        </w:rPr>
        <w:t>Europe</w:t>
      </w:r>
      <w:r w:rsidR="001E7B61" w:rsidRPr="00BC1307">
        <w:rPr>
          <w:b/>
        </w:rPr>
        <w:t>an Union</w:t>
      </w:r>
      <w:r w:rsidR="00CE7AEB" w:rsidRPr="00BC1307">
        <w:t xml:space="preserve">. </w:t>
      </w:r>
      <w:r w:rsidR="006308E7" w:rsidRPr="00BC1307">
        <w:t>Exports</w:t>
      </w:r>
      <w:r w:rsidR="00F75C80" w:rsidRPr="00BC1307">
        <w:t xml:space="preserve"> </w:t>
      </w:r>
      <w:r w:rsidR="00AE6B2A" w:rsidRPr="00BC1307">
        <w:t xml:space="preserve">began to rebound </w:t>
      </w:r>
      <w:r w:rsidR="006308E7" w:rsidRPr="00BC1307">
        <w:t>in</w:t>
      </w:r>
      <w:r w:rsidR="005727A5" w:rsidRPr="00BC1307">
        <w:t xml:space="preserve"> markets such as </w:t>
      </w:r>
      <w:r w:rsidR="005727A5" w:rsidRPr="00BC1307">
        <w:rPr>
          <w:b/>
          <w:bCs/>
        </w:rPr>
        <w:t>Belgium</w:t>
      </w:r>
      <w:r w:rsidR="005727A5" w:rsidRPr="00BC1307">
        <w:t xml:space="preserve"> (up 12%), </w:t>
      </w:r>
      <w:r w:rsidR="005727A5" w:rsidRPr="00BC1307">
        <w:rPr>
          <w:b/>
          <w:bCs/>
        </w:rPr>
        <w:t>Taiwan</w:t>
      </w:r>
      <w:r w:rsidR="005727A5" w:rsidRPr="00BC1307">
        <w:t xml:space="preserve"> (up 46%)</w:t>
      </w:r>
      <w:r w:rsidR="00751E26" w:rsidRPr="00BC1307">
        <w:t xml:space="preserve"> and </w:t>
      </w:r>
      <w:r w:rsidR="005727A5" w:rsidRPr="00BC1307">
        <w:t xml:space="preserve">the </w:t>
      </w:r>
      <w:r w:rsidR="005727A5" w:rsidRPr="00BC1307">
        <w:rPr>
          <w:b/>
          <w:bCs/>
        </w:rPr>
        <w:t>Philippines</w:t>
      </w:r>
      <w:r w:rsidR="005727A5" w:rsidRPr="00BC1307">
        <w:t xml:space="preserve"> (up 64%)</w:t>
      </w:r>
      <w:r w:rsidR="006308E7" w:rsidRPr="00BC1307">
        <w:t xml:space="preserve">, </w:t>
      </w:r>
      <w:r w:rsidR="00F75C80" w:rsidRPr="00BC1307">
        <w:t xml:space="preserve">but </w:t>
      </w:r>
      <w:r w:rsidR="00AE6B2A" w:rsidRPr="00BC1307">
        <w:t xml:space="preserve">continued to </w:t>
      </w:r>
      <w:r w:rsidR="007216E3" w:rsidRPr="00BC1307">
        <w:t>struggle in</w:t>
      </w:r>
      <w:r w:rsidR="000B2DF3" w:rsidRPr="00BC1307">
        <w:t xml:space="preserve"> </w:t>
      </w:r>
      <w:r w:rsidR="007E6CE7" w:rsidRPr="00BC1307">
        <w:rPr>
          <w:b/>
        </w:rPr>
        <w:t>Canada</w:t>
      </w:r>
      <w:r w:rsidR="000B2DF3" w:rsidRPr="00BC1307">
        <w:rPr>
          <w:b/>
        </w:rPr>
        <w:t>,</w:t>
      </w:r>
      <w:r w:rsidR="007E6CE7" w:rsidRPr="00BC1307">
        <w:rPr>
          <w:b/>
        </w:rPr>
        <w:t xml:space="preserve"> </w:t>
      </w:r>
      <w:r w:rsidR="000B2DF3" w:rsidRPr="00BC1307">
        <w:rPr>
          <w:b/>
        </w:rPr>
        <w:t>China, Japan, German</w:t>
      </w:r>
      <w:r w:rsidR="006308E7" w:rsidRPr="00BC1307">
        <w:rPr>
          <w:b/>
        </w:rPr>
        <w:t>y</w:t>
      </w:r>
      <w:r w:rsidR="000B2DF3" w:rsidRPr="00BC1307">
        <w:rPr>
          <w:bCs/>
        </w:rPr>
        <w:t xml:space="preserve"> and</w:t>
      </w:r>
      <w:r w:rsidR="000B2DF3" w:rsidRPr="00BC1307">
        <w:rPr>
          <w:b/>
        </w:rPr>
        <w:t xml:space="preserve"> Korea</w:t>
      </w:r>
      <w:r w:rsidR="007E6CE7" w:rsidRPr="00BC1307">
        <w:t>.</w:t>
      </w:r>
    </w:p>
    <w:p w14:paraId="21407398" w14:textId="47C8533C" w:rsidR="003C43EB" w:rsidRPr="00BC1307" w:rsidRDefault="00C84427" w:rsidP="001422BE">
      <w:pPr>
        <w:pStyle w:val="ListParagraph"/>
        <w:numPr>
          <w:ilvl w:val="0"/>
          <w:numId w:val="10"/>
        </w:numPr>
        <w:spacing w:after="120"/>
      </w:pPr>
      <w:bookmarkStart w:id="0" w:name="_Hlk71710426"/>
      <w:r>
        <w:t>E</w:t>
      </w:r>
      <w:r w:rsidR="00B43EF1" w:rsidRPr="00BC1307">
        <w:t>xports</w:t>
      </w:r>
      <w:r w:rsidR="00751E26" w:rsidRPr="00BC1307">
        <w:t xml:space="preserve"> grew 1% </w:t>
      </w:r>
      <w:r w:rsidR="00B43EF1" w:rsidRPr="00BC1307">
        <w:t>to</w:t>
      </w:r>
      <w:r w:rsidR="00BC1307">
        <w:t xml:space="preserve"> </w:t>
      </w:r>
      <w:r w:rsidR="00410564">
        <w:t>both</w:t>
      </w:r>
      <w:r>
        <w:t xml:space="preserve"> the </w:t>
      </w:r>
      <w:r w:rsidR="001C13C5" w:rsidRPr="00BC1307">
        <w:rPr>
          <w:b/>
        </w:rPr>
        <w:t xml:space="preserve">European markets </w:t>
      </w:r>
      <w:r w:rsidR="00AE6B2A" w:rsidRPr="00BC1307">
        <w:rPr>
          <w:b/>
        </w:rPr>
        <w:t>outside</w:t>
      </w:r>
      <w:r w:rsidR="001C13C5" w:rsidRPr="00BC1307">
        <w:rPr>
          <w:b/>
        </w:rPr>
        <w:t xml:space="preserve"> the European Union</w:t>
      </w:r>
      <w:r w:rsidR="001C13C5" w:rsidRPr="00BC1307">
        <w:t xml:space="preserve"> </w:t>
      </w:r>
      <w:r>
        <w:t xml:space="preserve">region </w:t>
      </w:r>
      <w:r w:rsidR="00A744D1" w:rsidRPr="00BC1307">
        <w:t>(</w:t>
      </w:r>
      <w:r w:rsidR="00AE6B2A" w:rsidRPr="00BC1307">
        <w:t>led</w:t>
      </w:r>
      <w:r w:rsidR="00F555DD" w:rsidRPr="00BC1307">
        <w:t xml:space="preserve"> by </w:t>
      </w:r>
      <w:r w:rsidR="00AE6B2A" w:rsidRPr="00BC1307">
        <w:t xml:space="preserve">the 64% surge in </w:t>
      </w:r>
      <w:r w:rsidR="00F555DD" w:rsidRPr="00BC1307">
        <w:t>exports to</w:t>
      </w:r>
      <w:r w:rsidR="000B2DF3" w:rsidRPr="00BC1307">
        <w:t xml:space="preserve"> </w:t>
      </w:r>
      <w:r w:rsidR="00A744D1" w:rsidRPr="00BC1307">
        <w:rPr>
          <w:b/>
        </w:rPr>
        <w:t>Switzerland</w:t>
      </w:r>
      <w:r w:rsidR="001C13C5" w:rsidRPr="00BC1307">
        <w:t>) and</w:t>
      </w:r>
      <w:r>
        <w:t xml:space="preserve"> the</w:t>
      </w:r>
      <w:r w:rsidR="001C13C5" w:rsidRPr="00BC1307">
        <w:t xml:space="preserve"> </w:t>
      </w:r>
      <w:r w:rsidR="00F555DD" w:rsidRPr="00BC1307">
        <w:rPr>
          <w:b/>
        </w:rPr>
        <w:t>Central and South America</w:t>
      </w:r>
      <w:r w:rsidR="002B3ACE">
        <w:rPr>
          <w:b/>
        </w:rPr>
        <w:t>n</w:t>
      </w:r>
      <w:r w:rsidR="00A744D1" w:rsidRPr="00BC1307">
        <w:t xml:space="preserve"> </w:t>
      </w:r>
      <w:r>
        <w:t xml:space="preserve">region </w:t>
      </w:r>
      <w:r w:rsidR="00A744D1" w:rsidRPr="00BC1307">
        <w:t>(</w:t>
      </w:r>
      <w:r>
        <w:t xml:space="preserve">where </w:t>
      </w:r>
      <w:bookmarkEnd w:id="0"/>
      <w:r w:rsidR="00F555DD" w:rsidRPr="00BC1307">
        <w:rPr>
          <w:b/>
        </w:rPr>
        <w:t>Costa Rica</w:t>
      </w:r>
      <w:r w:rsidR="00B43EF1" w:rsidRPr="00BC1307">
        <w:rPr>
          <w:b/>
        </w:rPr>
        <w:t xml:space="preserve"> </w:t>
      </w:r>
      <w:r w:rsidR="00B43EF1" w:rsidRPr="00BC1307">
        <w:rPr>
          <w:bCs/>
        </w:rPr>
        <w:t>(up 18%),</w:t>
      </w:r>
      <w:r w:rsidR="00F555DD" w:rsidRPr="00BC1307">
        <w:rPr>
          <w:bCs/>
        </w:rPr>
        <w:t xml:space="preserve"> </w:t>
      </w:r>
      <w:r w:rsidR="00F555DD" w:rsidRPr="00BC1307">
        <w:rPr>
          <w:b/>
        </w:rPr>
        <w:t>the Dominican Republic</w:t>
      </w:r>
      <w:r w:rsidR="00B43EF1" w:rsidRPr="00BC1307">
        <w:rPr>
          <w:b/>
        </w:rPr>
        <w:t xml:space="preserve"> </w:t>
      </w:r>
      <w:r w:rsidR="00B43EF1" w:rsidRPr="00BC1307">
        <w:rPr>
          <w:bCs/>
        </w:rPr>
        <w:t xml:space="preserve">(up 57%), </w:t>
      </w:r>
      <w:r w:rsidR="00B43EF1" w:rsidRPr="00BC1307">
        <w:rPr>
          <w:b/>
        </w:rPr>
        <w:t xml:space="preserve">Nicaragua </w:t>
      </w:r>
      <w:r w:rsidR="00B43EF1" w:rsidRPr="00BC1307">
        <w:rPr>
          <w:bCs/>
        </w:rPr>
        <w:t>(up 158%)</w:t>
      </w:r>
      <w:r w:rsidR="00F555DD" w:rsidRPr="00BC1307">
        <w:rPr>
          <w:b/>
        </w:rPr>
        <w:t xml:space="preserve"> </w:t>
      </w:r>
      <w:r w:rsidR="00F555DD" w:rsidRPr="00BC1307">
        <w:rPr>
          <w:bCs/>
        </w:rPr>
        <w:t xml:space="preserve">and </w:t>
      </w:r>
      <w:r w:rsidR="00F555DD" w:rsidRPr="00BC1307">
        <w:rPr>
          <w:b/>
        </w:rPr>
        <w:t>Guatemala</w:t>
      </w:r>
      <w:r w:rsidR="00AE6B2A" w:rsidRPr="00BC1307">
        <w:rPr>
          <w:b/>
        </w:rPr>
        <w:t xml:space="preserve"> </w:t>
      </w:r>
      <w:r w:rsidR="00B43EF1" w:rsidRPr="00BC1307">
        <w:rPr>
          <w:bCs/>
        </w:rPr>
        <w:t>(up 81%)</w:t>
      </w:r>
      <w:r w:rsidR="00B43EF1" w:rsidRPr="00BC1307">
        <w:rPr>
          <w:b/>
        </w:rPr>
        <w:t xml:space="preserve"> </w:t>
      </w:r>
      <w:r w:rsidR="00AE6B2A" w:rsidRPr="00BC1307">
        <w:rPr>
          <w:bCs/>
        </w:rPr>
        <w:t xml:space="preserve">uplifted </w:t>
      </w:r>
      <w:r w:rsidR="00B43EF1" w:rsidRPr="00BC1307">
        <w:rPr>
          <w:bCs/>
        </w:rPr>
        <w:t>sales)</w:t>
      </w:r>
      <w:r w:rsidR="00A744D1" w:rsidRPr="00BC1307">
        <w:t>.</w:t>
      </w:r>
      <w:r w:rsidR="007E6CE7" w:rsidRPr="00BC1307">
        <w:t xml:space="preserve"> </w:t>
      </w:r>
    </w:p>
    <w:p w14:paraId="481CD972" w14:textId="4E0C3069" w:rsidR="007C165F" w:rsidRDefault="007C165F" w:rsidP="002A0D6B">
      <w:pPr>
        <w:pStyle w:val="Heading4"/>
        <w:spacing w:before="60" w:after="60"/>
        <w:rPr>
          <w:color w:val="auto"/>
        </w:rPr>
      </w:pPr>
      <w:r w:rsidRPr="00BC1307">
        <w:rPr>
          <w:color w:val="auto"/>
        </w:rPr>
        <w:t xml:space="preserve">Figure </w:t>
      </w:r>
      <w:r w:rsidR="00E36364" w:rsidRPr="00BC1307">
        <w:rPr>
          <w:color w:val="auto"/>
        </w:rPr>
        <w:fldChar w:fldCharType="begin"/>
      </w:r>
      <w:r w:rsidR="00E36364" w:rsidRPr="00BC1307">
        <w:rPr>
          <w:color w:val="auto"/>
        </w:rPr>
        <w:instrText xml:space="preserve"> SEQ Figure \* ARABIC </w:instrText>
      </w:r>
      <w:r w:rsidR="00E36364" w:rsidRPr="00BC1307">
        <w:rPr>
          <w:color w:val="auto"/>
        </w:rPr>
        <w:fldChar w:fldCharType="separate"/>
      </w:r>
      <w:r w:rsidR="00C430F8" w:rsidRPr="00BC1307">
        <w:rPr>
          <w:noProof/>
          <w:color w:val="auto"/>
        </w:rPr>
        <w:t>2</w:t>
      </w:r>
      <w:r w:rsidR="00E36364" w:rsidRPr="00BC1307">
        <w:rPr>
          <w:color w:val="auto"/>
        </w:rPr>
        <w:fldChar w:fldCharType="end"/>
      </w:r>
      <w:r w:rsidR="00C84D0E" w:rsidRPr="00BC1307">
        <w:rPr>
          <w:color w:val="auto"/>
        </w:rPr>
        <w:t xml:space="preserve">. </w:t>
      </w:r>
      <w:r w:rsidR="00A44451" w:rsidRPr="00BC1307">
        <w:rPr>
          <w:color w:val="auto"/>
        </w:rPr>
        <w:t>Export Trends for</w:t>
      </w:r>
      <w:r w:rsidR="0038665A" w:rsidRPr="00BC1307">
        <w:rPr>
          <w:color w:val="auto"/>
        </w:rPr>
        <w:t xml:space="preserve"> Minnesota’s Top 10 Markets, </w:t>
      </w:r>
      <w:r w:rsidR="00A30328" w:rsidRPr="00BC1307">
        <w:rPr>
          <w:color w:val="auto"/>
        </w:rPr>
        <w:t>First</w:t>
      </w:r>
      <w:r w:rsidR="00606AB0" w:rsidRPr="00BC1307">
        <w:rPr>
          <w:color w:val="auto"/>
        </w:rPr>
        <w:t xml:space="preserve"> </w:t>
      </w:r>
      <w:r w:rsidR="00A52415" w:rsidRPr="00BC1307">
        <w:rPr>
          <w:color w:val="auto"/>
        </w:rPr>
        <w:t xml:space="preserve">Quarter </w:t>
      </w:r>
      <w:r w:rsidR="00A30328" w:rsidRPr="00BC1307">
        <w:rPr>
          <w:color w:val="auto"/>
        </w:rPr>
        <w:t>2021</w:t>
      </w:r>
    </w:p>
    <w:p w14:paraId="44AA0097" w14:textId="63A79D4C" w:rsidR="002A0D6B" w:rsidRPr="002A0D6B" w:rsidRDefault="002A0D6B" w:rsidP="002A0D6B">
      <w:pPr>
        <w:spacing w:after="0"/>
        <w:jc w:val="center"/>
      </w:pPr>
      <w:r>
        <w:rPr>
          <w:noProof/>
        </w:rPr>
        <w:drawing>
          <wp:inline distT="0" distB="0" distL="0" distR="0" wp14:anchorId="5369AAEC" wp14:editId="1E087D99">
            <wp:extent cx="6145619" cy="2359434"/>
            <wp:effectExtent l="0" t="0" r="7620" b="3175"/>
            <wp:docPr id="1" name="Picture 1" descr="MN Exports to top 10 countries&#10;Country (Rank)  Exports (millions)  Percent Change, 2020-Q1 to 2021-Q1&#10;WORLD  $5,409  -4%&#10;Canada (1)   $1,433  -2%&#10;Mexico (2)   $608  16%&#10;China (3)   $559  -3%&#10;Japan (4)   $336  -11%&#10;Germany (5)   $223  -25%&#10;Korea (6)   $159  -45%&#10;Singapore (7)   $158  12%&#10;Belgium (8)   $152  46%&#10;U.K. (9)   $146  64%&#10;Ireland (10)   $132  5%&#10;Other  $1,503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6746" cy="2363706"/>
                    </a:xfrm>
                    <a:prstGeom prst="rect">
                      <a:avLst/>
                    </a:prstGeom>
                    <a:noFill/>
                    <a:ln>
                      <a:noFill/>
                    </a:ln>
                  </pic:spPr>
                </pic:pic>
              </a:graphicData>
            </a:graphic>
          </wp:inline>
        </w:drawing>
      </w:r>
      <w:bookmarkStart w:id="1" w:name="_GoBack"/>
      <w:bookmarkEnd w:id="1"/>
    </w:p>
    <w:p w14:paraId="3765CDA2" w14:textId="015613C8" w:rsidR="00BF29E1" w:rsidRPr="00BC1307" w:rsidRDefault="008274F3" w:rsidP="00BC1307">
      <w:pPr>
        <w:pStyle w:val="Heading2"/>
        <w:tabs>
          <w:tab w:val="left" w:pos="360"/>
        </w:tabs>
        <w:spacing w:before="0" w:after="120"/>
        <w:ind w:left="360" w:hanging="360"/>
        <w:rPr>
          <w:rFonts w:asciiTheme="minorHAnsi" w:hAnsiTheme="minorHAnsi"/>
          <w:b w:val="0"/>
          <w:i/>
          <w:color w:val="auto"/>
          <w:sz w:val="28"/>
        </w:rPr>
        <w:sectPr w:rsidR="00BF29E1" w:rsidRPr="00BC1307"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BC1307">
        <w:rPr>
          <w:rFonts w:asciiTheme="minorHAnsi" w:hAnsiTheme="minorHAnsi"/>
          <w:b w:val="0"/>
          <w:i/>
          <w:color w:val="auto"/>
          <w:sz w:val="28"/>
        </w:rPr>
        <w:lastRenderedPageBreak/>
        <w:t xml:space="preserve">Demand </w:t>
      </w:r>
      <w:r w:rsidR="00861FE3" w:rsidRPr="00BC1307">
        <w:rPr>
          <w:rFonts w:asciiTheme="minorHAnsi" w:hAnsiTheme="minorHAnsi"/>
          <w:b w:val="0"/>
          <w:i/>
          <w:color w:val="auto"/>
          <w:sz w:val="28"/>
        </w:rPr>
        <w:t>Increase</w:t>
      </w:r>
      <w:r w:rsidRPr="00BC1307">
        <w:rPr>
          <w:rFonts w:asciiTheme="minorHAnsi" w:hAnsiTheme="minorHAnsi"/>
          <w:b w:val="0"/>
          <w:i/>
          <w:color w:val="auto"/>
          <w:sz w:val="28"/>
        </w:rPr>
        <w:t>s</w:t>
      </w:r>
      <w:r w:rsidR="00861FE3" w:rsidRPr="00BC1307">
        <w:rPr>
          <w:rFonts w:asciiTheme="minorHAnsi" w:hAnsiTheme="minorHAnsi"/>
          <w:b w:val="0"/>
          <w:i/>
          <w:color w:val="auto"/>
          <w:sz w:val="28"/>
        </w:rPr>
        <w:t xml:space="preserve"> for </w:t>
      </w:r>
      <w:r w:rsidR="00FE5772" w:rsidRPr="00BC1307">
        <w:rPr>
          <w:rFonts w:asciiTheme="minorHAnsi" w:hAnsiTheme="minorHAnsi"/>
          <w:b w:val="0"/>
          <w:i/>
          <w:color w:val="auto"/>
          <w:sz w:val="28"/>
        </w:rPr>
        <w:t>Machinery</w:t>
      </w:r>
      <w:r w:rsidR="00E83A19" w:rsidRPr="00BC1307">
        <w:rPr>
          <w:rFonts w:asciiTheme="minorHAnsi" w:hAnsiTheme="minorHAnsi"/>
          <w:b w:val="0"/>
          <w:i/>
          <w:color w:val="auto"/>
          <w:sz w:val="28"/>
        </w:rPr>
        <w:t>,</w:t>
      </w:r>
      <w:r w:rsidR="00FE5772" w:rsidRPr="00BC1307">
        <w:rPr>
          <w:rFonts w:asciiTheme="minorHAnsi" w:hAnsiTheme="minorHAnsi"/>
          <w:b w:val="0"/>
          <w:i/>
          <w:color w:val="auto"/>
          <w:sz w:val="28"/>
        </w:rPr>
        <w:t xml:space="preserve"> </w:t>
      </w:r>
      <w:r w:rsidR="00861FE3" w:rsidRPr="00BC1307">
        <w:rPr>
          <w:rFonts w:asciiTheme="minorHAnsi" w:hAnsiTheme="minorHAnsi"/>
          <w:b w:val="0"/>
          <w:i/>
          <w:color w:val="auto"/>
          <w:sz w:val="28"/>
        </w:rPr>
        <w:t xml:space="preserve">Electric Equipment, </w:t>
      </w:r>
      <w:r w:rsidR="00FE5772" w:rsidRPr="00BC1307">
        <w:rPr>
          <w:rFonts w:asciiTheme="minorHAnsi" w:hAnsiTheme="minorHAnsi"/>
          <w:b w:val="0"/>
          <w:i/>
          <w:color w:val="auto"/>
          <w:sz w:val="28"/>
        </w:rPr>
        <w:t xml:space="preserve">Vehicles </w:t>
      </w:r>
      <w:r w:rsidR="00861FE3" w:rsidRPr="00BC1307">
        <w:rPr>
          <w:rFonts w:asciiTheme="minorHAnsi" w:hAnsiTheme="minorHAnsi"/>
          <w:b w:val="0"/>
          <w:i/>
          <w:color w:val="auto"/>
          <w:sz w:val="28"/>
        </w:rPr>
        <w:t>and</w:t>
      </w:r>
      <w:r w:rsidR="00E83A19" w:rsidRPr="00BC1307">
        <w:rPr>
          <w:rFonts w:asciiTheme="minorHAnsi" w:hAnsiTheme="minorHAnsi"/>
          <w:b w:val="0"/>
          <w:i/>
          <w:color w:val="auto"/>
          <w:sz w:val="28"/>
        </w:rPr>
        <w:t xml:space="preserve"> </w:t>
      </w:r>
      <w:r w:rsidR="00861FE3" w:rsidRPr="00BC1307">
        <w:rPr>
          <w:rFonts w:asciiTheme="minorHAnsi" w:hAnsiTheme="minorHAnsi"/>
          <w:b w:val="0"/>
          <w:i/>
          <w:color w:val="auto"/>
          <w:sz w:val="28"/>
        </w:rPr>
        <w:t>Food By-Products</w:t>
      </w:r>
    </w:p>
    <w:p w14:paraId="5795D875" w14:textId="0CC0F6FE" w:rsidR="007216E3" w:rsidRPr="00BC1307" w:rsidRDefault="0085254B" w:rsidP="00E76FF1">
      <w:pPr>
        <w:pStyle w:val="ListParagraph"/>
        <w:numPr>
          <w:ilvl w:val="0"/>
          <w:numId w:val="7"/>
        </w:numPr>
        <w:spacing w:after="0"/>
        <w:ind w:left="360" w:right="-396"/>
      </w:pPr>
      <w:r>
        <w:t>M</w:t>
      </w:r>
      <w:r w:rsidR="00861FE3" w:rsidRPr="00BC1307">
        <w:t xml:space="preserve">any products </w:t>
      </w:r>
      <w:r w:rsidR="00BC1307">
        <w:t>displayed</w:t>
      </w:r>
      <w:r w:rsidR="00861FE3" w:rsidRPr="00BC1307">
        <w:t xml:space="preserve"> signs of </w:t>
      </w:r>
      <w:r w:rsidR="00D7363A">
        <w:t>export growth and early signs of recovery in March 2021</w:t>
      </w:r>
      <w:r w:rsidR="00762462" w:rsidRPr="00BC1307">
        <w:t>.</w:t>
      </w:r>
    </w:p>
    <w:p w14:paraId="243FC245" w14:textId="37A7F911" w:rsidR="00E76FF1" w:rsidRDefault="00861FE3" w:rsidP="00E76FF1">
      <w:pPr>
        <w:pStyle w:val="ListParagraph"/>
        <w:numPr>
          <w:ilvl w:val="0"/>
          <w:numId w:val="7"/>
        </w:numPr>
        <w:spacing w:after="0"/>
        <w:ind w:left="360" w:right="-396"/>
      </w:pPr>
      <w:r w:rsidRPr="00BC1307">
        <w:t>Exports of four</w:t>
      </w:r>
      <w:r w:rsidR="00FA1A86" w:rsidRPr="00BC1307">
        <w:t xml:space="preserve"> of the state’s top 10 products</w:t>
      </w:r>
      <w:r w:rsidRPr="00BC1307">
        <w:t xml:space="preserve"> grew</w:t>
      </w:r>
      <w:r w:rsidR="00B038CC" w:rsidRPr="00BC1307">
        <w:t xml:space="preserve"> in the first quarter</w:t>
      </w:r>
      <w:r w:rsidR="00D6151B" w:rsidRPr="00BC1307">
        <w:t>:</w:t>
      </w:r>
      <w:r w:rsidR="00A44451" w:rsidRPr="00BC1307">
        <w:t xml:space="preserve"> </w:t>
      </w:r>
      <w:r w:rsidR="00F053EF" w:rsidRPr="00BC1307">
        <w:rPr>
          <w:b/>
        </w:rPr>
        <w:t>machinery</w:t>
      </w:r>
      <w:r w:rsidR="0061064A" w:rsidRPr="00BC1307">
        <w:t xml:space="preserve"> (</w:t>
      </w:r>
      <w:r w:rsidR="00D6151B" w:rsidRPr="00BC1307">
        <w:t>up</w:t>
      </w:r>
      <w:r w:rsidR="009B6D4C" w:rsidRPr="00BC1307">
        <w:t xml:space="preserve"> </w:t>
      </w:r>
      <w:r w:rsidRPr="00BC1307">
        <w:t>19</w:t>
      </w:r>
      <w:r w:rsidR="0061064A" w:rsidRPr="00BC1307">
        <w:t>%),</w:t>
      </w:r>
      <w:r w:rsidR="00F053EF" w:rsidRPr="00BC1307">
        <w:t xml:space="preserve"> </w:t>
      </w:r>
      <w:r w:rsidRPr="00BC1307">
        <w:rPr>
          <w:b/>
          <w:bCs/>
        </w:rPr>
        <w:t>electrical</w:t>
      </w:r>
      <w:r w:rsidRPr="00BC1307">
        <w:t xml:space="preserve"> </w:t>
      </w:r>
      <w:r w:rsidRPr="00BC1307">
        <w:rPr>
          <w:b/>
          <w:bCs/>
        </w:rPr>
        <w:t>equipment</w:t>
      </w:r>
      <w:r w:rsidRPr="00BC1307">
        <w:t xml:space="preserve"> (up 11%), </w:t>
      </w:r>
      <w:r w:rsidR="00F053EF" w:rsidRPr="00BC1307">
        <w:rPr>
          <w:b/>
        </w:rPr>
        <w:t>vehicles</w:t>
      </w:r>
      <w:r w:rsidR="0061064A" w:rsidRPr="00BC1307">
        <w:t xml:space="preserve"> (up </w:t>
      </w:r>
      <w:r w:rsidRPr="00BC1307">
        <w:t>9</w:t>
      </w:r>
      <w:r w:rsidR="0061064A" w:rsidRPr="00BC1307">
        <w:t>%)</w:t>
      </w:r>
      <w:r w:rsidR="008A202D" w:rsidRPr="00BC1307">
        <w:t xml:space="preserve"> </w:t>
      </w:r>
      <w:r w:rsidR="00952DBF" w:rsidRPr="00BC1307">
        <w:t xml:space="preserve">and </w:t>
      </w:r>
      <w:r w:rsidRPr="00BC1307">
        <w:rPr>
          <w:b/>
        </w:rPr>
        <w:t>food by-products</w:t>
      </w:r>
      <w:r w:rsidR="0061064A" w:rsidRPr="00BC1307">
        <w:t xml:space="preserve"> (</w:t>
      </w:r>
      <w:r w:rsidR="00D6151B" w:rsidRPr="00BC1307">
        <w:t>up</w:t>
      </w:r>
      <w:r w:rsidR="009B6D4C" w:rsidRPr="00BC1307">
        <w:t xml:space="preserve"> </w:t>
      </w:r>
      <w:r w:rsidRPr="00BC1307">
        <w:t>27</w:t>
      </w:r>
      <w:r w:rsidR="00952DBF" w:rsidRPr="00BC1307">
        <w:t>%</w:t>
      </w:r>
      <w:r w:rsidR="0061064A" w:rsidRPr="00BC1307">
        <w:t>)</w:t>
      </w:r>
      <w:r w:rsidR="00952DBF" w:rsidRPr="00BC1307">
        <w:t>.</w:t>
      </w:r>
      <w:r w:rsidR="00D60BDF" w:rsidRPr="00BC1307">
        <w:t xml:space="preserve"> </w:t>
      </w:r>
    </w:p>
    <w:p w14:paraId="31A146BE" w14:textId="534688EA" w:rsidR="00BC1307" w:rsidRPr="00BC1307" w:rsidRDefault="00BC1307" w:rsidP="00BC1307">
      <w:pPr>
        <w:pStyle w:val="ListParagraph"/>
        <w:numPr>
          <w:ilvl w:val="0"/>
          <w:numId w:val="7"/>
        </w:numPr>
        <w:spacing w:after="0"/>
        <w:ind w:left="360"/>
      </w:pPr>
      <w:r w:rsidRPr="00BC1307">
        <w:rPr>
          <w:b/>
        </w:rPr>
        <w:t>Machinery</w:t>
      </w:r>
      <w:r w:rsidRPr="00BC1307">
        <w:t xml:space="preserve"> exports were propelled by </w:t>
      </w:r>
      <w:r w:rsidRPr="00BC1307">
        <w:rPr>
          <w:b/>
          <w:bCs/>
        </w:rPr>
        <w:t>machinery used to make semiconductors</w:t>
      </w:r>
      <w:r w:rsidRPr="00BC1307">
        <w:t xml:space="preserve"> sold to </w:t>
      </w:r>
      <w:r w:rsidRPr="00BC1307">
        <w:rPr>
          <w:b/>
        </w:rPr>
        <w:t xml:space="preserve">the Philippines </w:t>
      </w:r>
      <w:r w:rsidRPr="00BC1307">
        <w:t>(up $104 million).</w:t>
      </w:r>
      <w:r w:rsidR="0085254B">
        <w:t xml:space="preserve"> Sales</w:t>
      </w:r>
      <w:r w:rsidRPr="00BC1307">
        <w:t xml:space="preserve"> grew </w:t>
      </w:r>
      <w:r w:rsidR="0085254B">
        <w:t>to</w:t>
      </w:r>
      <w:r w:rsidRPr="00BC1307">
        <w:t xml:space="preserve"> </w:t>
      </w:r>
      <w:r w:rsidRPr="00BC1307">
        <w:rPr>
          <w:b/>
        </w:rPr>
        <w:t xml:space="preserve">Canada, Ireland, Taiwan </w:t>
      </w:r>
      <w:r w:rsidRPr="00BC1307">
        <w:rPr>
          <w:bCs/>
        </w:rPr>
        <w:t>and</w:t>
      </w:r>
      <w:r w:rsidRPr="00BC1307">
        <w:rPr>
          <w:b/>
        </w:rPr>
        <w:t xml:space="preserve"> German</w:t>
      </w:r>
      <w:r w:rsidR="0085254B">
        <w:rPr>
          <w:b/>
        </w:rPr>
        <w:t>y</w:t>
      </w:r>
      <w:r w:rsidR="0085254B">
        <w:rPr>
          <w:bCs/>
        </w:rPr>
        <w:t>, and in</w:t>
      </w:r>
      <w:r w:rsidRPr="00BC1307">
        <w:t xml:space="preserve"> </w:t>
      </w:r>
      <w:r w:rsidR="0085254B">
        <w:t>area</w:t>
      </w:r>
      <w:r w:rsidRPr="00BC1307">
        <w:t xml:space="preserve">s such as </w:t>
      </w:r>
      <w:r w:rsidRPr="00BC1307">
        <w:rPr>
          <w:b/>
        </w:rPr>
        <w:t xml:space="preserve">spraying equipment </w:t>
      </w:r>
      <w:r w:rsidRPr="00BC1307">
        <w:rPr>
          <w:bCs/>
        </w:rPr>
        <w:t>(up 23%),</w:t>
      </w:r>
      <w:r w:rsidRPr="00BC1307">
        <w:t xml:space="preserve"> </w:t>
      </w:r>
      <w:r w:rsidRPr="00BC1307">
        <w:rPr>
          <w:b/>
          <w:bCs/>
        </w:rPr>
        <w:t>pumps</w:t>
      </w:r>
      <w:r w:rsidRPr="00BC1307">
        <w:t xml:space="preserve"> (up 14%) and </w:t>
      </w:r>
      <w:r w:rsidRPr="00BC1307">
        <w:rPr>
          <w:b/>
          <w:bCs/>
        </w:rPr>
        <w:t>computers</w:t>
      </w:r>
      <w:r w:rsidRPr="00BC1307">
        <w:t xml:space="preserve"> (up 17%).</w:t>
      </w:r>
    </w:p>
    <w:p w14:paraId="6BA2F72E" w14:textId="4E18DBC3" w:rsidR="00E76FF1" w:rsidRPr="00BC1307" w:rsidRDefault="00E76FF1" w:rsidP="00D6151B">
      <w:pPr>
        <w:spacing w:after="0"/>
        <w:ind w:right="-396"/>
      </w:pPr>
      <w:r w:rsidRPr="00BC1307">
        <w:rPr>
          <w:rStyle w:val="Heading4Char"/>
          <w:color w:val="auto"/>
        </w:rPr>
        <w:t xml:space="preserve">Figure </w:t>
      </w:r>
      <w:r w:rsidRPr="00BC1307">
        <w:rPr>
          <w:rStyle w:val="Heading4Char"/>
          <w:b/>
          <w:color w:val="auto"/>
        </w:rPr>
        <w:fldChar w:fldCharType="begin"/>
      </w:r>
      <w:r w:rsidRPr="00BC1307">
        <w:rPr>
          <w:rStyle w:val="Heading4Char"/>
          <w:color w:val="auto"/>
        </w:rPr>
        <w:instrText xml:space="preserve"> SEQ Figure \* ARABIC </w:instrText>
      </w:r>
      <w:r w:rsidRPr="00BC1307">
        <w:rPr>
          <w:rStyle w:val="Heading4Char"/>
          <w:b/>
          <w:color w:val="auto"/>
        </w:rPr>
        <w:fldChar w:fldCharType="separate"/>
      </w:r>
      <w:r w:rsidR="00C430F8" w:rsidRPr="00BC1307">
        <w:rPr>
          <w:rStyle w:val="Heading4Char"/>
          <w:noProof/>
          <w:color w:val="auto"/>
        </w:rPr>
        <w:t>3</w:t>
      </w:r>
      <w:r w:rsidRPr="00BC1307">
        <w:rPr>
          <w:rStyle w:val="Heading4Char"/>
          <w:b/>
          <w:color w:val="auto"/>
        </w:rPr>
        <w:fldChar w:fldCharType="end"/>
      </w:r>
      <w:r w:rsidRPr="00BC1307">
        <w:rPr>
          <w:rStyle w:val="Heading4Char"/>
          <w:color w:val="auto"/>
        </w:rPr>
        <w:t xml:space="preserve">. </w:t>
      </w:r>
      <w:r w:rsidR="003823B0" w:rsidRPr="00BC1307">
        <w:rPr>
          <w:rStyle w:val="Heading4Char"/>
          <w:color w:val="auto"/>
        </w:rPr>
        <w:t xml:space="preserve">Minnesota </w:t>
      </w:r>
      <w:r w:rsidR="00BF3A0E" w:rsidRPr="00BC1307">
        <w:rPr>
          <w:rStyle w:val="Heading4Char"/>
          <w:color w:val="auto"/>
        </w:rPr>
        <w:t>Machinery</w:t>
      </w:r>
      <w:r w:rsidR="003823B0" w:rsidRPr="00BC1307">
        <w:rPr>
          <w:rStyle w:val="Heading4Char"/>
          <w:color w:val="auto"/>
        </w:rPr>
        <w:t xml:space="preserve"> Exports, by Segment</w:t>
      </w:r>
    </w:p>
    <w:p w14:paraId="008551DC" w14:textId="58C60470" w:rsidR="00E76FF1" w:rsidRPr="00BC1307" w:rsidRDefault="00E76FF1" w:rsidP="00A11201">
      <w:pPr>
        <w:spacing w:after="0"/>
        <w:ind w:left="180" w:hanging="180"/>
        <w:sectPr w:rsidR="00E76FF1" w:rsidRPr="00BC1307" w:rsidSect="008274F3">
          <w:footerReference w:type="default" r:id="rId15"/>
          <w:footnotePr>
            <w:numRestart w:val="eachSect"/>
          </w:footnotePr>
          <w:endnotePr>
            <w:numFmt w:val="decimal"/>
          </w:endnotePr>
          <w:type w:val="continuous"/>
          <w:pgSz w:w="12240" w:h="15840" w:code="1"/>
          <w:pgMar w:top="936" w:right="1080" w:bottom="936" w:left="1080" w:header="720" w:footer="720" w:gutter="0"/>
          <w:cols w:num="2" w:space="720"/>
          <w:titlePg/>
          <w:docGrid w:linePitch="299"/>
        </w:sectPr>
      </w:pPr>
      <w:r w:rsidRPr="00BC1307">
        <w:rPr>
          <w:noProof/>
        </w:rPr>
        <w:drawing>
          <wp:inline distT="0" distB="0" distL="0" distR="0" wp14:anchorId="15A22583" wp14:editId="0420C3C6">
            <wp:extent cx="3162300" cy="2028825"/>
            <wp:effectExtent l="0" t="0" r="0" b="0"/>
            <wp:docPr id="10" name="Chart 10" descr="Figure 3&#10;Product Segment - Machinery&#10;Mach. for Making Semiconductors 15%&#10;Centrifuges, Filters 15%&#10;Spraying Equipment 7%&#10;Pumps 7%&#10;Specialized Mach. 6%&#10;Computers 5%&#10;Taps, Valves 5%&#10;Other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5D068E" w14:textId="2D0F9D47" w:rsidR="00B038CC" w:rsidRPr="00BC1307" w:rsidRDefault="00B038CC" w:rsidP="00BC1307">
      <w:pPr>
        <w:pStyle w:val="ListParagraph"/>
        <w:numPr>
          <w:ilvl w:val="0"/>
          <w:numId w:val="7"/>
        </w:numPr>
        <w:spacing w:after="0"/>
        <w:ind w:left="360" w:right="-396"/>
      </w:pPr>
      <w:r w:rsidRPr="00BC1307">
        <w:rPr>
          <w:b/>
        </w:rPr>
        <w:t>Electrical equipment</w:t>
      </w:r>
      <w:r w:rsidRPr="00BC1307">
        <w:rPr>
          <w:bCs/>
        </w:rPr>
        <w:t xml:space="preserve"> sales surged to </w:t>
      </w:r>
      <w:r w:rsidRPr="00BC1307">
        <w:rPr>
          <w:b/>
        </w:rPr>
        <w:t>China</w:t>
      </w:r>
      <w:r w:rsidRPr="00BC1307">
        <w:rPr>
          <w:bCs/>
        </w:rPr>
        <w:t xml:space="preserve"> (up 70%), </w:t>
      </w:r>
      <w:r w:rsidRPr="00BC1307">
        <w:rPr>
          <w:b/>
        </w:rPr>
        <w:t>Mexico</w:t>
      </w:r>
      <w:r w:rsidRPr="00BC1307">
        <w:rPr>
          <w:bCs/>
        </w:rPr>
        <w:t xml:space="preserve"> (up 32%), </w:t>
      </w:r>
      <w:r w:rsidRPr="00BC1307">
        <w:rPr>
          <w:b/>
        </w:rPr>
        <w:t xml:space="preserve">Taiwan </w:t>
      </w:r>
      <w:r w:rsidRPr="00BC1307">
        <w:rPr>
          <w:bCs/>
        </w:rPr>
        <w:t>(up 91%)</w:t>
      </w:r>
      <w:r w:rsidR="000603F2" w:rsidRPr="00BC1307">
        <w:rPr>
          <w:bCs/>
        </w:rPr>
        <w:t>,</w:t>
      </w:r>
      <w:r w:rsidRPr="00BC1307">
        <w:rPr>
          <w:bCs/>
        </w:rPr>
        <w:t xml:space="preserve"> </w:t>
      </w:r>
      <w:r w:rsidRPr="00BC1307">
        <w:rPr>
          <w:b/>
        </w:rPr>
        <w:t>Canada</w:t>
      </w:r>
      <w:r w:rsidRPr="00BC1307">
        <w:rPr>
          <w:bCs/>
        </w:rPr>
        <w:t xml:space="preserve"> (15%)</w:t>
      </w:r>
      <w:r w:rsidR="00743593" w:rsidRPr="00BC1307">
        <w:rPr>
          <w:bCs/>
        </w:rPr>
        <w:t xml:space="preserve"> and </w:t>
      </w:r>
      <w:r w:rsidR="00743593" w:rsidRPr="00BC1307">
        <w:rPr>
          <w:b/>
        </w:rPr>
        <w:t xml:space="preserve">Japan </w:t>
      </w:r>
      <w:r w:rsidR="00743593" w:rsidRPr="00BC1307">
        <w:rPr>
          <w:bCs/>
        </w:rPr>
        <w:t>(up 25%)</w:t>
      </w:r>
      <w:r w:rsidR="009E0053" w:rsidRPr="00BC1307">
        <w:rPr>
          <w:bCs/>
        </w:rPr>
        <w:t>. L</w:t>
      </w:r>
      <w:r w:rsidR="00743593" w:rsidRPr="00BC1307">
        <w:rPr>
          <w:bCs/>
        </w:rPr>
        <w:t xml:space="preserve">eading segments </w:t>
      </w:r>
      <w:r w:rsidR="009E0053" w:rsidRPr="00BC1307">
        <w:rPr>
          <w:bCs/>
        </w:rPr>
        <w:t>included</w:t>
      </w:r>
      <w:r w:rsidR="00DF13E5" w:rsidRPr="00BC1307">
        <w:rPr>
          <w:bCs/>
        </w:rPr>
        <w:t xml:space="preserve"> </w:t>
      </w:r>
      <w:r w:rsidR="00DF13E5" w:rsidRPr="00BC1307">
        <w:rPr>
          <w:b/>
        </w:rPr>
        <w:t xml:space="preserve">integrated circuits </w:t>
      </w:r>
      <w:r w:rsidR="00DF13E5" w:rsidRPr="00BC1307">
        <w:rPr>
          <w:bCs/>
        </w:rPr>
        <w:t>(up 51%</w:t>
      </w:r>
      <w:r w:rsidR="00743593" w:rsidRPr="00BC1307">
        <w:rPr>
          <w:bCs/>
        </w:rPr>
        <w:t>)</w:t>
      </w:r>
      <w:r w:rsidR="00DF13E5" w:rsidRPr="00BC1307">
        <w:rPr>
          <w:bCs/>
        </w:rPr>
        <w:t xml:space="preserve"> and </w:t>
      </w:r>
      <w:r w:rsidR="00DF13E5" w:rsidRPr="00BC1307">
        <w:rPr>
          <w:b/>
        </w:rPr>
        <w:t xml:space="preserve">diodes, transistors </w:t>
      </w:r>
      <w:r w:rsidR="00DF13E5" w:rsidRPr="00BC1307">
        <w:rPr>
          <w:bCs/>
        </w:rPr>
        <w:t>(up 63%).</w:t>
      </w:r>
    </w:p>
    <w:p w14:paraId="18CF1EDA" w14:textId="77777777" w:rsidR="00BC1307" w:rsidRPr="00BC1307" w:rsidRDefault="00BC1307" w:rsidP="00BC1307">
      <w:pPr>
        <w:pStyle w:val="ListParagraph"/>
        <w:numPr>
          <w:ilvl w:val="0"/>
          <w:numId w:val="7"/>
        </w:numPr>
        <w:spacing w:after="120"/>
        <w:ind w:left="360" w:right="-396"/>
      </w:pPr>
      <w:r w:rsidRPr="00BC1307">
        <w:rPr>
          <w:b/>
        </w:rPr>
        <w:t xml:space="preserve">Vehicles </w:t>
      </w:r>
      <w:r w:rsidRPr="00BC1307">
        <w:t>gained traction in</w:t>
      </w:r>
      <w:r w:rsidRPr="00BC1307">
        <w:rPr>
          <w:b/>
        </w:rPr>
        <w:t xml:space="preserve"> Switzerland</w:t>
      </w:r>
      <w:r w:rsidRPr="00BC1307">
        <w:t xml:space="preserve"> ($19 million, up from $382,000), </w:t>
      </w:r>
      <w:r w:rsidRPr="00BC1307">
        <w:rPr>
          <w:b/>
        </w:rPr>
        <w:t>Belgium</w:t>
      </w:r>
      <w:r w:rsidRPr="00BC1307">
        <w:t xml:space="preserve"> (up 71%), </w:t>
      </w:r>
      <w:r w:rsidRPr="00BC1307">
        <w:rPr>
          <w:b/>
          <w:bCs/>
        </w:rPr>
        <w:t xml:space="preserve">Mexico </w:t>
      </w:r>
      <w:r w:rsidRPr="00BC1307">
        <w:t xml:space="preserve">(up 5%) and </w:t>
      </w:r>
      <w:r w:rsidRPr="00BC1307">
        <w:rPr>
          <w:b/>
          <w:bCs/>
        </w:rPr>
        <w:t>Russia</w:t>
      </w:r>
      <w:r w:rsidRPr="00BC1307">
        <w:t xml:space="preserve"> (up 550%). A</w:t>
      </w:r>
      <w:r w:rsidRPr="00BC1307">
        <w:rPr>
          <w:bCs/>
        </w:rPr>
        <w:t xml:space="preserve">reas such as </w:t>
      </w:r>
      <w:r w:rsidRPr="00BC1307">
        <w:rPr>
          <w:b/>
        </w:rPr>
        <w:t>specialty vehicles (e.g. snowmobiles, ATVs)</w:t>
      </w:r>
      <w:r w:rsidRPr="00BC1307">
        <w:t xml:space="preserve"> and </w:t>
      </w:r>
      <w:r w:rsidRPr="00BC1307">
        <w:rPr>
          <w:b/>
          <w:bCs/>
        </w:rPr>
        <w:t xml:space="preserve">motorcycles </w:t>
      </w:r>
      <w:r w:rsidRPr="00BC1307">
        <w:t>grew strongly.</w:t>
      </w:r>
    </w:p>
    <w:p w14:paraId="6C7712C1" w14:textId="4C644086" w:rsidR="00A126F1" w:rsidRPr="00BC1307" w:rsidRDefault="00A126F1" w:rsidP="00716405">
      <w:pPr>
        <w:pStyle w:val="ListParagraph"/>
        <w:numPr>
          <w:ilvl w:val="0"/>
          <w:numId w:val="7"/>
        </w:numPr>
        <w:spacing w:before="120" w:after="120"/>
        <w:ind w:left="360" w:right="-396"/>
      </w:pPr>
      <w:r w:rsidRPr="00BC1307">
        <w:rPr>
          <w:b/>
        </w:rPr>
        <w:t xml:space="preserve">Canada </w:t>
      </w:r>
      <w:r w:rsidRPr="00BC1307">
        <w:rPr>
          <w:bCs/>
        </w:rPr>
        <w:t>(up 82%)</w:t>
      </w:r>
      <w:r w:rsidR="002F5224" w:rsidRPr="00BC1307">
        <w:rPr>
          <w:bCs/>
        </w:rPr>
        <w:t xml:space="preserve"> </w:t>
      </w:r>
      <w:r w:rsidRPr="00BC1307">
        <w:rPr>
          <w:bCs/>
        </w:rPr>
        <w:t xml:space="preserve">and </w:t>
      </w:r>
      <w:r w:rsidRPr="00BC1307">
        <w:rPr>
          <w:b/>
        </w:rPr>
        <w:t xml:space="preserve">Mexico </w:t>
      </w:r>
      <w:r w:rsidRPr="00BC1307">
        <w:rPr>
          <w:bCs/>
        </w:rPr>
        <w:t>(up 90%)</w:t>
      </w:r>
      <w:r w:rsidR="008274F3" w:rsidRPr="00BC1307">
        <w:rPr>
          <w:bCs/>
        </w:rPr>
        <w:t xml:space="preserve"> fueled exports of</w:t>
      </w:r>
      <w:r w:rsidRPr="00BC1307">
        <w:rPr>
          <w:bCs/>
        </w:rPr>
        <w:t xml:space="preserve"> </w:t>
      </w:r>
      <w:r w:rsidRPr="00BC1307">
        <w:rPr>
          <w:b/>
        </w:rPr>
        <w:t>food by-products</w:t>
      </w:r>
      <w:r w:rsidR="008274F3" w:rsidRPr="00BC1307">
        <w:rPr>
          <w:bCs/>
        </w:rPr>
        <w:t xml:space="preserve"> – particular</w:t>
      </w:r>
      <w:r w:rsidR="00CF0DC4" w:rsidRPr="00BC1307">
        <w:rPr>
          <w:bCs/>
        </w:rPr>
        <w:t>ly</w:t>
      </w:r>
      <w:r w:rsidR="000603F2" w:rsidRPr="00BC1307">
        <w:rPr>
          <w:bCs/>
        </w:rPr>
        <w:t xml:space="preserve"> of</w:t>
      </w:r>
      <w:r w:rsidR="008274F3" w:rsidRPr="00BC1307">
        <w:rPr>
          <w:bCs/>
        </w:rPr>
        <w:t xml:space="preserve"> </w:t>
      </w:r>
      <w:r w:rsidR="00F90FBA" w:rsidRPr="00BC1307">
        <w:rPr>
          <w:b/>
        </w:rPr>
        <w:t>soybean</w:t>
      </w:r>
      <w:r w:rsidR="000603F2" w:rsidRPr="00BC1307">
        <w:rPr>
          <w:b/>
        </w:rPr>
        <w:t xml:space="preserve"> oilcake</w:t>
      </w:r>
      <w:r w:rsidR="00CF0DC4" w:rsidRPr="00BC1307">
        <w:rPr>
          <w:b/>
        </w:rPr>
        <w:t>.</w:t>
      </w:r>
    </w:p>
    <w:p w14:paraId="08199DFA" w14:textId="77777777" w:rsidR="0085254B" w:rsidRDefault="00BC1307" w:rsidP="00BC1307">
      <w:pPr>
        <w:pStyle w:val="ListParagraph"/>
        <w:numPr>
          <w:ilvl w:val="0"/>
          <w:numId w:val="7"/>
        </w:numPr>
        <w:spacing w:after="0"/>
        <w:ind w:left="360" w:right="-396"/>
      </w:pPr>
      <w:r w:rsidRPr="00BC1307">
        <w:t>De</w:t>
      </w:r>
      <w:r>
        <w:t>pres</w:t>
      </w:r>
      <w:r w:rsidRPr="00BC1307">
        <w:t>sed demand persisted for products such as</w:t>
      </w:r>
      <w:r w:rsidRPr="00BC1307">
        <w:rPr>
          <w:b/>
        </w:rPr>
        <w:t xml:space="preserve"> optic, medical </w:t>
      </w:r>
      <w:r w:rsidRPr="00BC1307">
        <w:t xml:space="preserve">(down 22%), </w:t>
      </w:r>
      <w:r w:rsidRPr="00BC1307">
        <w:rPr>
          <w:b/>
        </w:rPr>
        <w:t>plastics</w:t>
      </w:r>
      <w:r w:rsidRPr="00BC1307">
        <w:t xml:space="preserve"> (down 27%)</w:t>
      </w:r>
      <w:r>
        <w:t xml:space="preserve">, </w:t>
      </w:r>
      <w:r w:rsidRPr="00BC1307">
        <w:rPr>
          <w:b/>
          <w:bCs/>
        </w:rPr>
        <w:t xml:space="preserve">organic chemicals </w:t>
      </w:r>
      <w:r w:rsidRPr="00BC1307">
        <w:t xml:space="preserve">(down 64%) </w:t>
      </w:r>
      <w:r>
        <w:t>and</w:t>
      </w:r>
      <w:r w:rsidRPr="00BC1307">
        <w:t xml:space="preserve"> </w:t>
      </w:r>
      <w:r w:rsidRPr="00BC1307">
        <w:rPr>
          <w:b/>
        </w:rPr>
        <w:t xml:space="preserve">stone, plaster, cement </w:t>
      </w:r>
      <w:r w:rsidRPr="00BC1307">
        <w:t>(down 38%).</w:t>
      </w:r>
      <w:r>
        <w:t xml:space="preserve"> </w:t>
      </w:r>
    </w:p>
    <w:p w14:paraId="004B3EC4" w14:textId="53FF66DA" w:rsidR="00BC1307" w:rsidRPr="00BC1307" w:rsidRDefault="00BC1307" w:rsidP="00BC1307">
      <w:pPr>
        <w:pStyle w:val="ListParagraph"/>
        <w:numPr>
          <w:ilvl w:val="0"/>
          <w:numId w:val="7"/>
        </w:numPr>
        <w:spacing w:after="0"/>
        <w:ind w:left="360" w:right="-396"/>
      </w:pPr>
      <w:r w:rsidRPr="00BC1307">
        <w:t xml:space="preserve">Slumping demand for </w:t>
      </w:r>
      <w:r w:rsidRPr="00BC1307">
        <w:rPr>
          <w:b/>
        </w:rPr>
        <w:t>mineral fuels, oils</w:t>
      </w:r>
      <w:r w:rsidRPr="00BC1307">
        <w:t xml:space="preserve"> in </w:t>
      </w:r>
      <w:r w:rsidRPr="00BC1307">
        <w:rPr>
          <w:b/>
        </w:rPr>
        <w:t>Canada</w:t>
      </w:r>
      <w:r w:rsidRPr="00BC1307">
        <w:t xml:space="preserve"> (down 19%) drove the overall downward trend.</w:t>
      </w:r>
    </w:p>
    <w:p w14:paraId="6D8C460D" w14:textId="53A5D4B3" w:rsidR="00AB10AA" w:rsidRPr="00BC1307" w:rsidRDefault="00AB10AA" w:rsidP="00AB10AA">
      <w:pPr>
        <w:pStyle w:val="ListParagraph"/>
        <w:numPr>
          <w:ilvl w:val="0"/>
          <w:numId w:val="7"/>
        </w:numPr>
        <w:spacing w:after="0"/>
        <w:ind w:left="360" w:right="-396"/>
      </w:pPr>
      <w:r w:rsidRPr="00BC1307">
        <w:t xml:space="preserve">Other </w:t>
      </w:r>
      <w:r w:rsidR="00751E26" w:rsidRPr="00BC1307">
        <w:t>high growth</w:t>
      </w:r>
      <w:r w:rsidRPr="00BC1307">
        <w:t xml:space="preserve"> food and agricultural products included </w:t>
      </w:r>
      <w:r w:rsidRPr="00BC1307">
        <w:rPr>
          <w:b/>
          <w:bCs/>
        </w:rPr>
        <w:t xml:space="preserve">cereals </w:t>
      </w:r>
      <w:r w:rsidRPr="00BC1307">
        <w:t xml:space="preserve">(up 305%), </w:t>
      </w:r>
      <w:r w:rsidRPr="00BC1307">
        <w:rPr>
          <w:b/>
        </w:rPr>
        <w:t>oil seeds</w:t>
      </w:r>
      <w:r w:rsidR="00762462" w:rsidRPr="00BC1307">
        <w:rPr>
          <w:b/>
        </w:rPr>
        <w:t>.</w:t>
      </w:r>
      <w:r w:rsidRPr="00BC1307">
        <w:rPr>
          <w:b/>
        </w:rPr>
        <w:t xml:space="preserve"> misc. grain </w:t>
      </w:r>
      <w:r w:rsidRPr="00BC1307">
        <w:t xml:space="preserve">(up 24%), </w:t>
      </w:r>
      <w:r w:rsidRPr="00BC1307">
        <w:rPr>
          <w:b/>
        </w:rPr>
        <w:t xml:space="preserve">beverages </w:t>
      </w:r>
      <w:r w:rsidRPr="00BC1307">
        <w:t xml:space="preserve">(up 18%), </w:t>
      </w:r>
      <w:r w:rsidRPr="00BC1307">
        <w:rPr>
          <w:b/>
        </w:rPr>
        <w:t>dairy</w:t>
      </w:r>
      <w:r w:rsidR="00CF0DC4" w:rsidRPr="00BC1307">
        <w:rPr>
          <w:b/>
        </w:rPr>
        <w:t>,</w:t>
      </w:r>
      <w:r w:rsidRPr="00BC1307">
        <w:rPr>
          <w:b/>
        </w:rPr>
        <w:t xml:space="preserve"> eggs </w:t>
      </w:r>
      <w:r w:rsidRPr="00BC1307">
        <w:t xml:space="preserve">(up 13%) and </w:t>
      </w:r>
      <w:r w:rsidRPr="00BC1307">
        <w:rPr>
          <w:b/>
        </w:rPr>
        <w:t>vegetables</w:t>
      </w:r>
      <w:r w:rsidRPr="00BC1307">
        <w:t xml:space="preserve"> (up 27%). Exports of </w:t>
      </w:r>
      <w:r w:rsidRPr="00BC1307">
        <w:rPr>
          <w:b/>
          <w:bCs/>
        </w:rPr>
        <w:t xml:space="preserve">meat </w:t>
      </w:r>
      <w:r w:rsidRPr="00BC1307">
        <w:t xml:space="preserve">were </w:t>
      </w:r>
      <w:r w:rsidR="0085254B">
        <w:t>unchanged.</w:t>
      </w:r>
    </w:p>
    <w:p w14:paraId="1BD35DAA" w14:textId="5518C8DF" w:rsidR="00C77A75" w:rsidRDefault="0085254B" w:rsidP="00BC1307">
      <w:pPr>
        <w:pStyle w:val="ListParagraph"/>
        <w:numPr>
          <w:ilvl w:val="0"/>
          <w:numId w:val="7"/>
        </w:numPr>
        <w:spacing w:after="120"/>
        <w:ind w:left="360" w:right="-396"/>
      </w:pPr>
      <w:r>
        <w:t>Global sales</w:t>
      </w:r>
      <w:r w:rsidR="00CF0DC4" w:rsidRPr="00BC1307">
        <w:t xml:space="preserve"> also jumped for </w:t>
      </w:r>
      <w:r w:rsidR="003530DA" w:rsidRPr="00BC1307">
        <w:rPr>
          <w:b/>
          <w:bCs/>
        </w:rPr>
        <w:t>art</w:t>
      </w:r>
      <w:r w:rsidR="00CF0DC4" w:rsidRPr="00BC1307">
        <w:rPr>
          <w:b/>
          <w:bCs/>
        </w:rPr>
        <w:t>,</w:t>
      </w:r>
      <w:r w:rsidR="00762462" w:rsidRPr="00BC1307">
        <w:rPr>
          <w:b/>
          <w:bCs/>
        </w:rPr>
        <w:t xml:space="preserve"> </w:t>
      </w:r>
      <w:r w:rsidR="003530DA" w:rsidRPr="00BC1307">
        <w:rPr>
          <w:b/>
          <w:bCs/>
        </w:rPr>
        <w:t>antiques</w:t>
      </w:r>
      <w:r w:rsidR="003530DA" w:rsidRPr="00BC1307">
        <w:t xml:space="preserve"> (</w:t>
      </w:r>
      <w:r w:rsidR="00B54EA4" w:rsidRPr="00BC1307">
        <w:t xml:space="preserve">up $32 million, </w:t>
      </w:r>
      <w:r w:rsidR="003530DA" w:rsidRPr="00BC1307">
        <w:t xml:space="preserve">driven by </w:t>
      </w:r>
      <w:r w:rsidR="003530DA" w:rsidRPr="00BC1307">
        <w:rPr>
          <w:b/>
          <w:bCs/>
        </w:rPr>
        <w:t>Japan</w:t>
      </w:r>
      <w:r w:rsidR="003530DA" w:rsidRPr="00BC1307">
        <w:t>)</w:t>
      </w:r>
      <w:r w:rsidR="00762462" w:rsidRPr="00BC1307">
        <w:t>;</w:t>
      </w:r>
      <w:r w:rsidR="003530DA" w:rsidRPr="00BC1307">
        <w:t xml:space="preserve"> </w:t>
      </w:r>
      <w:r w:rsidR="003530DA" w:rsidRPr="00BC1307">
        <w:rPr>
          <w:b/>
        </w:rPr>
        <w:t>arms</w:t>
      </w:r>
      <w:r w:rsidR="00CF0DC4" w:rsidRPr="00BC1307">
        <w:rPr>
          <w:b/>
        </w:rPr>
        <w:t>,</w:t>
      </w:r>
      <w:r w:rsidR="008274F3" w:rsidRPr="00BC1307">
        <w:rPr>
          <w:b/>
        </w:rPr>
        <w:t xml:space="preserve"> </w:t>
      </w:r>
      <w:r w:rsidR="003530DA" w:rsidRPr="00BC1307">
        <w:rPr>
          <w:b/>
        </w:rPr>
        <w:t xml:space="preserve">ammunition </w:t>
      </w:r>
      <w:r w:rsidR="008274F3" w:rsidRPr="00BC1307">
        <w:t>(</w:t>
      </w:r>
      <w:r w:rsidR="00B54EA4" w:rsidRPr="00BC1307">
        <w:t xml:space="preserve">up 64%, </w:t>
      </w:r>
      <w:r w:rsidR="008274F3" w:rsidRPr="00BC1307">
        <w:t>driven by</w:t>
      </w:r>
      <w:r w:rsidR="003530DA" w:rsidRPr="00BC1307">
        <w:t xml:space="preserve"> </w:t>
      </w:r>
      <w:r w:rsidR="003530DA" w:rsidRPr="00BC1307">
        <w:rPr>
          <w:b/>
        </w:rPr>
        <w:t>Taiwan</w:t>
      </w:r>
      <w:r w:rsidR="00751E26" w:rsidRPr="00BC1307">
        <w:rPr>
          <w:b/>
        </w:rPr>
        <w:t xml:space="preserve"> </w:t>
      </w:r>
      <w:r w:rsidR="00751E26" w:rsidRPr="00BC1307">
        <w:rPr>
          <w:bCs/>
        </w:rPr>
        <w:t xml:space="preserve">and </w:t>
      </w:r>
      <w:r w:rsidR="00751E26" w:rsidRPr="00BC1307">
        <w:rPr>
          <w:b/>
        </w:rPr>
        <w:t>Canada</w:t>
      </w:r>
      <w:r w:rsidR="003530DA" w:rsidRPr="00BC1307">
        <w:rPr>
          <w:bCs/>
        </w:rPr>
        <w:t>)</w:t>
      </w:r>
      <w:r w:rsidR="008274F3" w:rsidRPr="00BC1307">
        <w:rPr>
          <w:bCs/>
        </w:rPr>
        <w:t>;</w:t>
      </w:r>
      <w:r w:rsidR="00CF0DC4" w:rsidRPr="00BC1307">
        <w:rPr>
          <w:bCs/>
        </w:rPr>
        <w:t xml:space="preserve"> </w:t>
      </w:r>
      <w:r w:rsidR="00AD2536" w:rsidRPr="00BC1307">
        <w:rPr>
          <w:b/>
          <w:bCs/>
        </w:rPr>
        <w:t xml:space="preserve">aluminum </w:t>
      </w:r>
      <w:r w:rsidR="00AD2536" w:rsidRPr="00BC1307">
        <w:t>(</w:t>
      </w:r>
      <w:r w:rsidR="00B54EA4" w:rsidRPr="00BC1307">
        <w:t xml:space="preserve">up 33%, </w:t>
      </w:r>
      <w:r w:rsidR="00AD2536" w:rsidRPr="00BC1307">
        <w:t>driven by</w:t>
      </w:r>
      <w:r w:rsidR="00AD2536" w:rsidRPr="00BC1307">
        <w:rPr>
          <w:b/>
          <w:bCs/>
        </w:rPr>
        <w:t xml:space="preserve"> Canada</w:t>
      </w:r>
      <w:r w:rsidR="00AD2536" w:rsidRPr="00BC1307">
        <w:t xml:space="preserve"> and </w:t>
      </w:r>
      <w:r w:rsidR="00AD2536" w:rsidRPr="00BC1307">
        <w:rPr>
          <w:b/>
          <w:bCs/>
        </w:rPr>
        <w:t>China</w:t>
      </w:r>
      <w:r w:rsidR="00AD2536" w:rsidRPr="00BC1307">
        <w:t xml:space="preserve">); and </w:t>
      </w:r>
      <w:r w:rsidR="00AD2536" w:rsidRPr="00BC1307">
        <w:rPr>
          <w:b/>
          <w:bCs/>
        </w:rPr>
        <w:t>ships, boats</w:t>
      </w:r>
      <w:r w:rsidR="00AD2536" w:rsidRPr="00BC1307">
        <w:t xml:space="preserve"> (</w:t>
      </w:r>
      <w:r w:rsidR="00B54EA4" w:rsidRPr="00BC1307">
        <w:t xml:space="preserve">up 83%, </w:t>
      </w:r>
      <w:r w:rsidR="00AD2536" w:rsidRPr="00BC1307">
        <w:t xml:space="preserve">driven by </w:t>
      </w:r>
      <w:r w:rsidR="00AD2536" w:rsidRPr="00BC1307">
        <w:rPr>
          <w:b/>
          <w:bCs/>
        </w:rPr>
        <w:t>Canada</w:t>
      </w:r>
      <w:r w:rsidR="00AD2536" w:rsidRPr="00BC1307">
        <w:t xml:space="preserve">). </w:t>
      </w:r>
      <w:r w:rsidR="00AD2536" w:rsidRPr="00BC1307">
        <w:rPr>
          <w:b/>
          <w:bCs/>
        </w:rPr>
        <w:t xml:space="preserve">Canada, Malaysia </w:t>
      </w:r>
      <w:r w:rsidR="00AD2536" w:rsidRPr="00BC1307">
        <w:t xml:space="preserve">and </w:t>
      </w:r>
      <w:r w:rsidR="00AD2536" w:rsidRPr="00BC1307">
        <w:rPr>
          <w:b/>
          <w:bCs/>
        </w:rPr>
        <w:t xml:space="preserve">China </w:t>
      </w:r>
      <w:r w:rsidR="00AD2536" w:rsidRPr="00BC1307">
        <w:t xml:space="preserve">boosted exports of </w:t>
      </w:r>
      <w:r w:rsidR="00AD2536" w:rsidRPr="00BC1307">
        <w:rPr>
          <w:b/>
        </w:rPr>
        <w:t xml:space="preserve">iron, steel </w:t>
      </w:r>
      <w:r w:rsidR="00B54EA4" w:rsidRPr="00BC1307">
        <w:rPr>
          <w:bCs/>
        </w:rPr>
        <w:t>(up 65%)</w:t>
      </w:r>
      <w:r w:rsidR="00B54EA4" w:rsidRPr="00BC1307">
        <w:rPr>
          <w:b/>
        </w:rPr>
        <w:t xml:space="preserve"> </w:t>
      </w:r>
      <w:r w:rsidR="00AD2536" w:rsidRPr="00BC1307">
        <w:rPr>
          <w:bCs/>
        </w:rPr>
        <w:t>and</w:t>
      </w:r>
      <w:r w:rsidR="00AD2536" w:rsidRPr="00BC1307">
        <w:t xml:space="preserve"> </w:t>
      </w:r>
      <w:r w:rsidR="00AD2536" w:rsidRPr="00BC1307">
        <w:rPr>
          <w:b/>
          <w:bCs/>
        </w:rPr>
        <w:t>copper</w:t>
      </w:r>
      <w:r w:rsidR="00B54EA4" w:rsidRPr="00BC1307">
        <w:rPr>
          <w:b/>
          <w:bCs/>
        </w:rPr>
        <w:t xml:space="preserve"> </w:t>
      </w:r>
      <w:r w:rsidR="00B54EA4" w:rsidRPr="00BC1307">
        <w:t>(up 114%)</w:t>
      </w:r>
      <w:r w:rsidR="00AD2536" w:rsidRPr="00BC1307">
        <w:t>.</w:t>
      </w:r>
    </w:p>
    <w:p w14:paraId="2531CFFE" w14:textId="46B01194" w:rsidR="007F1C4A" w:rsidRPr="00BC1307" w:rsidRDefault="007F1C4A" w:rsidP="00AD2536">
      <w:pPr>
        <w:pStyle w:val="Heading4"/>
        <w:spacing w:before="120" w:after="60"/>
        <w:rPr>
          <w:color w:val="auto"/>
        </w:rPr>
      </w:pPr>
      <w:r w:rsidRPr="00BC1307">
        <w:rPr>
          <w:color w:val="auto"/>
        </w:rPr>
        <w:t>Fi</w:t>
      </w:r>
      <w:r w:rsidR="00A44451" w:rsidRPr="00BC1307">
        <w:rPr>
          <w:color w:val="auto"/>
        </w:rPr>
        <w:t>gure 4. Export Trends for</w:t>
      </w:r>
      <w:r w:rsidRPr="00BC1307">
        <w:rPr>
          <w:color w:val="auto"/>
        </w:rPr>
        <w:t xml:space="preserve"> Minnesota’s Top 10 Products, </w:t>
      </w:r>
      <w:r w:rsidR="00A30328" w:rsidRPr="00BC1307">
        <w:rPr>
          <w:color w:val="auto"/>
        </w:rPr>
        <w:t>First</w:t>
      </w:r>
      <w:r w:rsidR="00A52415" w:rsidRPr="00BC1307">
        <w:rPr>
          <w:color w:val="auto"/>
        </w:rPr>
        <w:t xml:space="preserve"> Quarter </w:t>
      </w:r>
      <w:r w:rsidR="00A30328" w:rsidRPr="00BC1307">
        <w:rPr>
          <w:color w:val="auto"/>
        </w:rPr>
        <w:t>2021</w:t>
      </w:r>
    </w:p>
    <w:p w14:paraId="73CDCF23" w14:textId="4ECB2901" w:rsidR="004A4223" w:rsidRPr="00BC1307" w:rsidRDefault="008274F3" w:rsidP="00AD2536">
      <w:pPr>
        <w:spacing w:after="0"/>
      </w:pPr>
      <w:r w:rsidRPr="00BC1307">
        <w:rPr>
          <w:noProof/>
        </w:rPr>
        <w:drawing>
          <wp:inline distT="0" distB="0" distL="0" distR="0" wp14:anchorId="03C33CFB" wp14:editId="3E777ED4">
            <wp:extent cx="6315740" cy="2023839"/>
            <wp:effectExtent l="0" t="0" r="8890" b="0"/>
            <wp:docPr id="13" name="Picture 13" descr="Figure 4. MN exports for top 10 products&#10;PRODUCT  Exports (millions)  Percent Change, 2020-Q1 to 2021-Q1&#10;TOTAL  $5,409  -4%&#10;Machinery  $952  19%&#10;Optic, Medical  $884  -22%&#10;Electrical Equipment  $717  11%&#10;Mineral Fuels, Oils  $431  -18%&#10;Vehicles  $307  9%&#10;Plastics  $285  -27%&#10;Food By-Products  $186  27%&#10;Meat  $121  0%&#10;Aircraft, Spacecraft  $115  -16%&#10;Pharmaceuticals  $113  -15%&#10;Other  $1,299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3591" cy="2106466"/>
                    </a:xfrm>
                    <a:prstGeom prst="rect">
                      <a:avLst/>
                    </a:prstGeom>
                    <a:noFill/>
                    <a:ln>
                      <a:noFill/>
                    </a:ln>
                  </pic:spPr>
                </pic:pic>
              </a:graphicData>
            </a:graphic>
          </wp:inline>
        </w:drawing>
      </w:r>
    </w:p>
    <w:tbl>
      <w:tblPr>
        <w:tblpPr w:leftFromText="180" w:rightFromText="180" w:vertAnchor="page" w:horzAnchor="margin" w:tblpY="13405"/>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w:tblPr>
      <w:tblGrid>
        <w:gridCol w:w="10255"/>
      </w:tblGrid>
      <w:tr w:rsidR="00BC1307" w:rsidRPr="00BC1307" w14:paraId="7688E05E" w14:textId="77777777" w:rsidTr="0027681D">
        <w:trPr>
          <w:trHeight w:val="1070"/>
        </w:trPr>
        <w:tc>
          <w:tcPr>
            <w:tcW w:w="10255" w:type="dxa"/>
            <w:shd w:val="clear" w:color="auto" w:fill="C9E5A6"/>
          </w:tcPr>
          <w:p w14:paraId="39907943" w14:textId="26E6ED0D" w:rsidR="00D80EB6" w:rsidRPr="00BC1307" w:rsidRDefault="00D80EB6" w:rsidP="0027681D">
            <w:pPr>
              <w:spacing w:after="0"/>
            </w:pPr>
            <w:r w:rsidRPr="00BC1307">
              <w:rPr>
                <w:rStyle w:val="Emphasis"/>
                <w:rFonts w:cstheme="minorHAnsi"/>
                <w:sz w:val="18"/>
              </w:rPr>
              <w:t>Minnesota Quarterly Export Statistics</w:t>
            </w:r>
            <w:r w:rsidRPr="00BC1307">
              <w:rPr>
                <w:rFonts w:ascii="Calibri" w:hAnsi="Calibri"/>
                <w:sz w:val="14"/>
              </w:rPr>
              <w:t xml:space="preserve"> </w:t>
            </w:r>
            <w:r w:rsidRPr="00BC1307">
              <w:rPr>
                <w:rFonts w:ascii="Calibri" w:hAnsi="Calibri"/>
                <w:sz w:val="18"/>
              </w:rPr>
              <w:t>is the most current resource available for tracking the state’s</w:t>
            </w:r>
            <w:r w:rsidR="004A6B80" w:rsidRPr="00BC1307">
              <w:rPr>
                <w:rFonts w:ascii="Calibri" w:hAnsi="Calibri"/>
                <w:sz w:val="18"/>
              </w:rPr>
              <w:t xml:space="preserve"> export</w:t>
            </w:r>
            <w:r w:rsidR="008A202D" w:rsidRPr="00BC1307">
              <w:rPr>
                <w:rFonts w:ascii="Calibri" w:hAnsi="Calibri"/>
                <w:sz w:val="18"/>
              </w:rPr>
              <w:t xml:space="preserve"> trends in man</w:t>
            </w:r>
            <w:r w:rsidR="004A6B80" w:rsidRPr="00BC1307">
              <w:rPr>
                <w:rFonts w:ascii="Calibri" w:hAnsi="Calibri"/>
                <w:sz w:val="18"/>
              </w:rPr>
              <w:t>ufactured and other good</w:t>
            </w:r>
            <w:r w:rsidR="00CF0DC4" w:rsidRPr="00BC1307">
              <w:rPr>
                <w:rFonts w:ascii="Calibri" w:hAnsi="Calibri"/>
                <w:sz w:val="18"/>
              </w:rPr>
              <w:t>. The report</w:t>
            </w:r>
            <w:r w:rsidRPr="00BC1307">
              <w:rPr>
                <w:rFonts w:ascii="Calibri" w:hAnsi="Calibri"/>
                <w:sz w:val="18"/>
              </w:rPr>
              <w:t xml:space="preserve"> is prepared for the Minnesota Trade Office (MTO) by the Department of Employment and Economic Development’s (DEED) Economic Analysis Unit (Thu-Mai Ho-Kim).  </w:t>
            </w:r>
            <w:r w:rsidRPr="00BC1307">
              <w:rPr>
                <w:rFonts w:ascii="Calibri" w:hAnsi="Calibri" w:cs="Calibri"/>
                <w:sz w:val="18"/>
                <w:szCs w:val="18"/>
              </w:rPr>
              <w:t xml:space="preserve">The quarterly and annual statistics reports primarily cover export data based on the Harmonized Tariff System (Schedule B), collected by the U.S. Department of Commerce (USDOC) and distributed by IHS </w:t>
            </w:r>
            <w:r w:rsidR="004A6B80" w:rsidRPr="00BC1307">
              <w:rPr>
                <w:rFonts w:ascii="Calibri" w:hAnsi="Calibri" w:cs="Calibri"/>
                <w:sz w:val="18"/>
                <w:szCs w:val="18"/>
              </w:rPr>
              <w:t>Markit.</w:t>
            </w:r>
            <w:r w:rsidRPr="00BC1307">
              <w:rPr>
                <w:rFonts w:ascii="Calibri" w:hAnsi="Calibri" w:cs="Calibri"/>
                <w:sz w:val="18"/>
                <w:szCs w:val="18"/>
              </w:rPr>
              <w:t xml:space="preserve"> Reports are available on DEED’s website at “Export and Trade Statistics” (</w:t>
            </w:r>
            <w:hyperlink r:id="rId18" w:history="1">
              <w:r w:rsidRPr="00BC1307">
                <w:rPr>
                  <w:rStyle w:val="Hyperlink"/>
                  <w:color w:val="auto"/>
                  <w:sz w:val="18"/>
                  <w:szCs w:val="18"/>
                </w:rPr>
                <w:t>http://mn.gov/deed/data/export-stats/</w:t>
              </w:r>
            </w:hyperlink>
            <w:r w:rsidRPr="00BC1307">
              <w:rPr>
                <w:sz w:val="18"/>
                <w:szCs w:val="18"/>
              </w:rPr>
              <w:t>)</w:t>
            </w:r>
            <w:r w:rsidRPr="00BC1307">
              <w:rPr>
                <w:rFonts w:ascii="Calibri" w:hAnsi="Calibri" w:cs="Calibri"/>
                <w:sz w:val="18"/>
                <w:szCs w:val="18"/>
              </w:rPr>
              <w:t>.</w:t>
            </w:r>
          </w:p>
        </w:tc>
      </w:tr>
    </w:tbl>
    <w:p w14:paraId="7C147EF7" w14:textId="77777777" w:rsidR="007F1C4A" w:rsidRPr="00BC1307" w:rsidRDefault="007F1C4A" w:rsidP="00831997">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7F1C4A" w:rsidRPr="00BC1307" w:rsidSect="00426066">
      <w:footerReference w:type="default" r:id="rId19"/>
      <w:footnotePr>
        <w:numRestart w:val="eachSect"/>
      </w:footnotePr>
      <w:endnotePr>
        <w:numFmt w:val="decimal"/>
      </w:endnotePr>
      <w:type w:val="continuous"/>
      <w:pgSz w:w="12240" w:h="15840" w:code="1"/>
      <w:pgMar w:top="936" w:right="1152" w:bottom="936"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D4EC" w14:textId="77777777" w:rsidR="005517D0" w:rsidRDefault="005517D0">
      <w:r>
        <w:separator/>
      </w:r>
    </w:p>
  </w:endnote>
  <w:endnote w:type="continuationSeparator" w:id="0">
    <w:p w14:paraId="429391A5" w14:textId="77777777" w:rsidR="005517D0" w:rsidRDefault="0055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7155" w14:textId="77777777" w:rsidR="00E76FF1" w:rsidRPr="00A14E15" w:rsidRDefault="00E76FF1" w:rsidP="00A1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F203" w14:textId="77777777" w:rsidR="005517D0" w:rsidRDefault="005517D0">
      <w:r>
        <w:separator/>
      </w:r>
    </w:p>
  </w:footnote>
  <w:footnote w:type="continuationSeparator" w:id="0">
    <w:p w14:paraId="25EDE015" w14:textId="77777777" w:rsidR="005517D0" w:rsidRDefault="0055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
  </w:num>
  <w:num w:numId="6">
    <w:abstractNumId w:val="7"/>
  </w:num>
  <w:num w:numId="7">
    <w:abstractNumId w:val="15"/>
  </w:num>
  <w:num w:numId="8">
    <w:abstractNumId w:val="13"/>
  </w:num>
  <w:num w:numId="9">
    <w:abstractNumId w:val="9"/>
  </w:num>
  <w:num w:numId="10">
    <w:abstractNumId w:val="8"/>
  </w:num>
  <w:num w:numId="11">
    <w:abstractNumId w:val="6"/>
  </w:num>
  <w:num w:numId="12">
    <w:abstractNumId w:val="2"/>
  </w:num>
  <w:num w:numId="13">
    <w:abstractNumId w:val="14"/>
  </w:num>
  <w:num w:numId="14">
    <w:abstractNumId w:val="10"/>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FDB"/>
    <w:rsid w:val="000041CC"/>
    <w:rsid w:val="0000470B"/>
    <w:rsid w:val="000115BA"/>
    <w:rsid w:val="00013717"/>
    <w:rsid w:val="00015A9D"/>
    <w:rsid w:val="00017FE0"/>
    <w:rsid w:val="000218A0"/>
    <w:rsid w:val="00024BB5"/>
    <w:rsid w:val="000350A7"/>
    <w:rsid w:val="00035328"/>
    <w:rsid w:val="00036238"/>
    <w:rsid w:val="00046117"/>
    <w:rsid w:val="00051FE0"/>
    <w:rsid w:val="00051FF7"/>
    <w:rsid w:val="00052D34"/>
    <w:rsid w:val="000541A0"/>
    <w:rsid w:val="00054A6E"/>
    <w:rsid w:val="00055AAF"/>
    <w:rsid w:val="0005790D"/>
    <w:rsid w:val="000603F2"/>
    <w:rsid w:val="00061093"/>
    <w:rsid w:val="0006144E"/>
    <w:rsid w:val="0006608A"/>
    <w:rsid w:val="000705F0"/>
    <w:rsid w:val="000716AC"/>
    <w:rsid w:val="00073109"/>
    <w:rsid w:val="000731F2"/>
    <w:rsid w:val="00073987"/>
    <w:rsid w:val="00076DF3"/>
    <w:rsid w:val="00077989"/>
    <w:rsid w:val="0008038B"/>
    <w:rsid w:val="00083199"/>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2DF3"/>
    <w:rsid w:val="000B518F"/>
    <w:rsid w:val="000B6338"/>
    <w:rsid w:val="000C1CB0"/>
    <w:rsid w:val="000C2181"/>
    <w:rsid w:val="000C3AE5"/>
    <w:rsid w:val="000D02DD"/>
    <w:rsid w:val="000D1330"/>
    <w:rsid w:val="000D18A9"/>
    <w:rsid w:val="000D5D94"/>
    <w:rsid w:val="000D6FAF"/>
    <w:rsid w:val="000E0786"/>
    <w:rsid w:val="000E3376"/>
    <w:rsid w:val="000E6BD9"/>
    <w:rsid w:val="000E6F54"/>
    <w:rsid w:val="000E7ED0"/>
    <w:rsid w:val="000F0519"/>
    <w:rsid w:val="000F1844"/>
    <w:rsid w:val="000F1B22"/>
    <w:rsid w:val="000F3E1F"/>
    <w:rsid w:val="000F4C5E"/>
    <w:rsid w:val="000F54F2"/>
    <w:rsid w:val="000F6660"/>
    <w:rsid w:val="000F6CDA"/>
    <w:rsid w:val="00106910"/>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6664"/>
    <w:rsid w:val="001373C3"/>
    <w:rsid w:val="00137E8C"/>
    <w:rsid w:val="00140B5F"/>
    <w:rsid w:val="00142003"/>
    <w:rsid w:val="0014228E"/>
    <w:rsid w:val="001422BE"/>
    <w:rsid w:val="00145936"/>
    <w:rsid w:val="00147356"/>
    <w:rsid w:val="00147EEF"/>
    <w:rsid w:val="001619F1"/>
    <w:rsid w:val="001625A3"/>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8D1"/>
    <w:rsid w:val="001979B1"/>
    <w:rsid w:val="001A7229"/>
    <w:rsid w:val="001A7363"/>
    <w:rsid w:val="001A787E"/>
    <w:rsid w:val="001B0716"/>
    <w:rsid w:val="001B0D71"/>
    <w:rsid w:val="001B1416"/>
    <w:rsid w:val="001B344A"/>
    <w:rsid w:val="001B3687"/>
    <w:rsid w:val="001B4406"/>
    <w:rsid w:val="001B5950"/>
    <w:rsid w:val="001B6B06"/>
    <w:rsid w:val="001C1112"/>
    <w:rsid w:val="001C13C5"/>
    <w:rsid w:val="001C1A15"/>
    <w:rsid w:val="001C3A93"/>
    <w:rsid w:val="001C6967"/>
    <w:rsid w:val="001D0609"/>
    <w:rsid w:val="001D704D"/>
    <w:rsid w:val="001D767B"/>
    <w:rsid w:val="001E36FD"/>
    <w:rsid w:val="001E4570"/>
    <w:rsid w:val="001E4F28"/>
    <w:rsid w:val="001E53CF"/>
    <w:rsid w:val="001E6B4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231E"/>
    <w:rsid w:val="002127D7"/>
    <w:rsid w:val="002158EE"/>
    <w:rsid w:val="00215DA6"/>
    <w:rsid w:val="00216C2D"/>
    <w:rsid w:val="00217960"/>
    <w:rsid w:val="002224AE"/>
    <w:rsid w:val="0022389E"/>
    <w:rsid w:val="00223F46"/>
    <w:rsid w:val="00226A71"/>
    <w:rsid w:val="00234444"/>
    <w:rsid w:val="00244370"/>
    <w:rsid w:val="00245025"/>
    <w:rsid w:val="0024609E"/>
    <w:rsid w:val="00250B75"/>
    <w:rsid w:val="002538D5"/>
    <w:rsid w:val="0025565E"/>
    <w:rsid w:val="002607E0"/>
    <w:rsid w:val="00262FF7"/>
    <w:rsid w:val="0026310F"/>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0D6B"/>
    <w:rsid w:val="002A27D6"/>
    <w:rsid w:val="002A2F54"/>
    <w:rsid w:val="002A3F50"/>
    <w:rsid w:val="002A4808"/>
    <w:rsid w:val="002A52FC"/>
    <w:rsid w:val="002B1415"/>
    <w:rsid w:val="002B329E"/>
    <w:rsid w:val="002B36A6"/>
    <w:rsid w:val="002B3ACE"/>
    <w:rsid w:val="002B6B53"/>
    <w:rsid w:val="002B6EBF"/>
    <w:rsid w:val="002C0C4E"/>
    <w:rsid w:val="002C164C"/>
    <w:rsid w:val="002C52C4"/>
    <w:rsid w:val="002C6521"/>
    <w:rsid w:val="002D2A7E"/>
    <w:rsid w:val="002D2EF5"/>
    <w:rsid w:val="002D63BC"/>
    <w:rsid w:val="002D6A99"/>
    <w:rsid w:val="002D6F33"/>
    <w:rsid w:val="002E54F1"/>
    <w:rsid w:val="002F0687"/>
    <w:rsid w:val="002F1C0E"/>
    <w:rsid w:val="002F1E64"/>
    <w:rsid w:val="002F257A"/>
    <w:rsid w:val="002F285F"/>
    <w:rsid w:val="002F5224"/>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52999"/>
    <w:rsid w:val="003530DA"/>
    <w:rsid w:val="0035427F"/>
    <w:rsid w:val="003575CE"/>
    <w:rsid w:val="00361002"/>
    <w:rsid w:val="003610A2"/>
    <w:rsid w:val="00365F97"/>
    <w:rsid w:val="00370F35"/>
    <w:rsid w:val="00371C8B"/>
    <w:rsid w:val="00372846"/>
    <w:rsid w:val="00373858"/>
    <w:rsid w:val="00373CD5"/>
    <w:rsid w:val="00374F2A"/>
    <w:rsid w:val="00375BF0"/>
    <w:rsid w:val="0037721A"/>
    <w:rsid w:val="0038071A"/>
    <w:rsid w:val="003823B0"/>
    <w:rsid w:val="003833B0"/>
    <w:rsid w:val="00383D01"/>
    <w:rsid w:val="00385E7F"/>
    <w:rsid w:val="0038665A"/>
    <w:rsid w:val="00387942"/>
    <w:rsid w:val="00387E7F"/>
    <w:rsid w:val="00391815"/>
    <w:rsid w:val="00392609"/>
    <w:rsid w:val="0039324F"/>
    <w:rsid w:val="00396483"/>
    <w:rsid w:val="003975D0"/>
    <w:rsid w:val="003A3D11"/>
    <w:rsid w:val="003B0B33"/>
    <w:rsid w:val="003B2771"/>
    <w:rsid w:val="003B3484"/>
    <w:rsid w:val="003B62FF"/>
    <w:rsid w:val="003C316B"/>
    <w:rsid w:val="003C3D13"/>
    <w:rsid w:val="003C43EB"/>
    <w:rsid w:val="003C53CE"/>
    <w:rsid w:val="003C57B0"/>
    <w:rsid w:val="003C7165"/>
    <w:rsid w:val="003D044E"/>
    <w:rsid w:val="003D23DD"/>
    <w:rsid w:val="003D2CFC"/>
    <w:rsid w:val="003D49DF"/>
    <w:rsid w:val="003D4F5D"/>
    <w:rsid w:val="003D6202"/>
    <w:rsid w:val="003D744B"/>
    <w:rsid w:val="003D7C4C"/>
    <w:rsid w:val="003E01C9"/>
    <w:rsid w:val="003E21CA"/>
    <w:rsid w:val="003F27BF"/>
    <w:rsid w:val="003F41C6"/>
    <w:rsid w:val="003F44C1"/>
    <w:rsid w:val="003F6B30"/>
    <w:rsid w:val="0040062C"/>
    <w:rsid w:val="00402A86"/>
    <w:rsid w:val="00405F36"/>
    <w:rsid w:val="004061B1"/>
    <w:rsid w:val="00406E6D"/>
    <w:rsid w:val="00407310"/>
    <w:rsid w:val="00410564"/>
    <w:rsid w:val="00410BBC"/>
    <w:rsid w:val="00412776"/>
    <w:rsid w:val="00420D04"/>
    <w:rsid w:val="0042279B"/>
    <w:rsid w:val="0042285F"/>
    <w:rsid w:val="00426066"/>
    <w:rsid w:val="00426DC1"/>
    <w:rsid w:val="004303E8"/>
    <w:rsid w:val="004304CD"/>
    <w:rsid w:val="00433DBF"/>
    <w:rsid w:val="004362B0"/>
    <w:rsid w:val="00437CB6"/>
    <w:rsid w:val="0044214A"/>
    <w:rsid w:val="004430A9"/>
    <w:rsid w:val="00445385"/>
    <w:rsid w:val="00447C35"/>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10BF"/>
    <w:rsid w:val="00491AC8"/>
    <w:rsid w:val="00493958"/>
    <w:rsid w:val="00493DF8"/>
    <w:rsid w:val="004944A7"/>
    <w:rsid w:val="004951BC"/>
    <w:rsid w:val="00497570"/>
    <w:rsid w:val="00497998"/>
    <w:rsid w:val="004A3CC9"/>
    <w:rsid w:val="004A4223"/>
    <w:rsid w:val="004A43B9"/>
    <w:rsid w:val="004A5B9A"/>
    <w:rsid w:val="004A6B80"/>
    <w:rsid w:val="004A7FE8"/>
    <w:rsid w:val="004B0B28"/>
    <w:rsid w:val="004B4376"/>
    <w:rsid w:val="004B4BD6"/>
    <w:rsid w:val="004B74F8"/>
    <w:rsid w:val="004B7C0E"/>
    <w:rsid w:val="004C0132"/>
    <w:rsid w:val="004C31E6"/>
    <w:rsid w:val="004D0671"/>
    <w:rsid w:val="004D1EAB"/>
    <w:rsid w:val="004D6223"/>
    <w:rsid w:val="004E06B6"/>
    <w:rsid w:val="004E1A2B"/>
    <w:rsid w:val="004E1D93"/>
    <w:rsid w:val="004E7051"/>
    <w:rsid w:val="004E7967"/>
    <w:rsid w:val="004F046B"/>
    <w:rsid w:val="004F0B2F"/>
    <w:rsid w:val="004F19B8"/>
    <w:rsid w:val="004F5A09"/>
    <w:rsid w:val="004F5CE6"/>
    <w:rsid w:val="004F6D22"/>
    <w:rsid w:val="004F6DBE"/>
    <w:rsid w:val="004F73D4"/>
    <w:rsid w:val="00500A5C"/>
    <w:rsid w:val="005026CC"/>
    <w:rsid w:val="00503AD1"/>
    <w:rsid w:val="0050449A"/>
    <w:rsid w:val="005078AA"/>
    <w:rsid w:val="005100D1"/>
    <w:rsid w:val="00513720"/>
    <w:rsid w:val="0051607A"/>
    <w:rsid w:val="005205F4"/>
    <w:rsid w:val="00521967"/>
    <w:rsid w:val="00524378"/>
    <w:rsid w:val="005269B7"/>
    <w:rsid w:val="005269D3"/>
    <w:rsid w:val="00530F70"/>
    <w:rsid w:val="005315EA"/>
    <w:rsid w:val="00532FD5"/>
    <w:rsid w:val="00534E9F"/>
    <w:rsid w:val="0053506A"/>
    <w:rsid w:val="0053512A"/>
    <w:rsid w:val="00535508"/>
    <w:rsid w:val="00536B13"/>
    <w:rsid w:val="00540B35"/>
    <w:rsid w:val="00544F1F"/>
    <w:rsid w:val="00545DDF"/>
    <w:rsid w:val="00545F38"/>
    <w:rsid w:val="0054634E"/>
    <w:rsid w:val="005514BE"/>
    <w:rsid w:val="005517D0"/>
    <w:rsid w:val="0055424F"/>
    <w:rsid w:val="00554428"/>
    <w:rsid w:val="00557377"/>
    <w:rsid w:val="00560495"/>
    <w:rsid w:val="00560599"/>
    <w:rsid w:val="00562F8A"/>
    <w:rsid w:val="00563721"/>
    <w:rsid w:val="00565776"/>
    <w:rsid w:val="00566508"/>
    <w:rsid w:val="00566C4E"/>
    <w:rsid w:val="00570ACF"/>
    <w:rsid w:val="005727A5"/>
    <w:rsid w:val="00573535"/>
    <w:rsid w:val="00573C2D"/>
    <w:rsid w:val="00575BB7"/>
    <w:rsid w:val="00575F88"/>
    <w:rsid w:val="0057794D"/>
    <w:rsid w:val="00582DC9"/>
    <w:rsid w:val="00585250"/>
    <w:rsid w:val="005859C8"/>
    <w:rsid w:val="00587796"/>
    <w:rsid w:val="005940DB"/>
    <w:rsid w:val="00597ABF"/>
    <w:rsid w:val="005A2AAC"/>
    <w:rsid w:val="005A3C50"/>
    <w:rsid w:val="005A61AB"/>
    <w:rsid w:val="005B0E04"/>
    <w:rsid w:val="005B2781"/>
    <w:rsid w:val="005B6872"/>
    <w:rsid w:val="005B6B09"/>
    <w:rsid w:val="005B75E6"/>
    <w:rsid w:val="005C0164"/>
    <w:rsid w:val="005C4DE0"/>
    <w:rsid w:val="005C5B41"/>
    <w:rsid w:val="005C61D6"/>
    <w:rsid w:val="005D315F"/>
    <w:rsid w:val="005E139A"/>
    <w:rsid w:val="005E2D06"/>
    <w:rsid w:val="005E41A6"/>
    <w:rsid w:val="005E4CC6"/>
    <w:rsid w:val="005E5D9F"/>
    <w:rsid w:val="005E6921"/>
    <w:rsid w:val="005F082A"/>
    <w:rsid w:val="005F1B29"/>
    <w:rsid w:val="005F3BCE"/>
    <w:rsid w:val="005F5087"/>
    <w:rsid w:val="005F69A9"/>
    <w:rsid w:val="00600502"/>
    <w:rsid w:val="0060605E"/>
    <w:rsid w:val="00606AB0"/>
    <w:rsid w:val="00607FAE"/>
    <w:rsid w:val="0061064A"/>
    <w:rsid w:val="006139EC"/>
    <w:rsid w:val="00613CC2"/>
    <w:rsid w:val="00615BC9"/>
    <w:rsid w:val="00615CB4"/>
    <w:rsid w:val="006177AE"/>
    <w:rsid w:val="00620C18"/>
    <w:rsid w:val="00621065"/>
    <w:rsid w:val="00621A4A"/>
    <w:rsid w:val="00624E22"/>
    <w:rsid w:val="006308E7"/>
    <w:rsid w:val="006339F5"/>
    <w:rsid w:val="0063551B"/>
    <w:rsid w:val="00635F82"/>
    <w:rsid w:val="00636B6E"/>
    <w:rsid w:val="0063763A"/>
    <w:rsid w:val="00640620"/>
    <w:rsid w:val="00641D3B"/>
    <w:rsid w:val="00646942"/>
    <w:rsid w:val="00647786"/>
    <w:rsid w:val="006519AF"/>
    <w:rsid w:val="00652A9D"/>
    <w:rsid w:val="006549A6"/>
    <w:rsid w:val="0065603B"/>
    <w:rsid w:val="0066058B"/>
    <w:rsid w:val="006618F7"/>
    <w:rsid w:val="00662222"/>
    <w:rsid w:val="00663755"/>
    <w:rsid w:val="00664A6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91D49"/>
    <w:rsid w:val="006922C8"/>
    <w:rsid w:val="00692D3B"/>
    <w:rsid w:val="00693229"/>
    <w:rsid w:val="006951FD"/>
    <w:rsid w:val="00695BB1"/>
    <w:rsid w:val="006964AF"/>
    <w:rsid w:val="006A17BE"/>
    <w:rsid w:val="006A3E64"/>
    <w:rsid w:val="006A56E4"/>
    <w:rsid w:val="006B029D"/>
    <w:rsid w:val="006B2D41"/>
    <w:rsid w:val="006B6D8D"/>
    <w:rsid w:val="006C1643"/>
    <w:rsid w:val="006C287C"/>
    <w:rsid w:val="006C3C15"/>
    <w:rsid w:val="006C7D4F"/>
    <w:rsid w:val="006D12B4"/>
    <w:rsid w:val="006D4F41"/>
    <w:rsid w:val="006D6A44"/>
    <w:rsid w:val="006D7A33"/>
    <w:rsid w:val="006E280A"/>
    <w:rsid w:val="006E6792"/>
    <w:rsid w:val="006E75E2"/>
    <w:rsid w:val="006F01B5"/>
    <w:rsid w:val="006F4AD5"/>
    <w:rsid w:val="006F4CA7"/>
    <w:rsid w:val="006F5527"/>
    <w:rsid w:val="006F6211"/>
    <w:rsid w:val="00701034"/>
    <w:rsid w:val="007046F7"/>
    <w:rsid w:val="00707559"/>
    <w:rsid w:val="007076DF"/>
    <w:rsid w:val="00710701"/>
    <w:rsid w:val="00712602"/>
    <w:rsid w:val="007144F6"/>
    <w:rsid w:val="00716311"/>
    <w:rsid w:val="007216E3"/>
    <w:rsid w:val="00723A6D"/>
    <w:rsid w:val="007269AB"/>
    <w:rsid w:val="00731691"/>
    <w:rsid w:val="00732F74"/>
    <w:rsid w:val="007332F9"/>
    <w:rsid w:val="00734ED0"/>
    <w:rsid w:val="00736085"/>
    <w:rsid w:val="00736171"/>
    <w:rsid w:val="00741394"/>
    <w:rsid w:val="007418D9"/>
    <w:rsid w:val="00742173"/>
    <w:rsid w:val="00742415"/>
    <w:rsid w:val="00743593"/>
    <w:rsid w:val="00743C00"/>
    <w:rsid w:val="00743CDA"/>
    <w:rsid w:val="007441D4"/>
    <w:rsid w:val="00744252"/>
    <w:rsid w:val="00746FD8"/>
    <w:rsid w:val="00750FE0"/>
    <w:rsid w:val="00751E26"/>
    <w:rsid w:val="007548E4"/>
    <w:rsid w:val="0075548A"/>
    <w:rsid w:val="00757335"/>
    <w:rsid w:val="00760360"/>
    <w:rsid w:val="007613E1"/>
    <w:rsid w:val="00761522"/>
    <w:rsid w:val="00762462"/>
    <w:rsid w:val="00762E9C"/>
    <w:rsid w:val="00764F3A"/>
    <w:rsid w:val="00770689"/>
    <w:rsid w:val="00772951"/>
    <w:rsid w:val="007752C1"/>
    <w:rsid w:val="0077623A"/>
    <w:rsid w:val="007771AD"/>
    <w:rsid w:val="007818E5"/>
    <w:rsid w:val="00784103"/>
    <w:rsid w:val="00784C0B"/>
    <w:rsid w:val="007910B2"/>
    <w:rsid w:val="007964A2"/>
    <w:rsid w:val="007970F7"/>
    <w:rsid w:val="007A0496"/>
    <w:rsid w:val="007A2054"/>
    <w:rsid w:val="007A2D2F"/>
    <w:rsid w:val="007A6F27"/>
    <w:rsid w:val="007A7979"/>
    <w:rsid w:val="007A7D3B"/>
    <w:rsid w:val="007B0321"/>
    <w:rsid w:val="007B183D"/>
    <w:rsid w:val="007B1D69"/>
    <w:rsid w:val="007C165F"/>
    <w:rsid w:val="007C1DCB"/>
    <w:rsid w:val="007C29FD"/>
    <w:rsid w:val="007C542D"/>
    <w:rsid w:val="007D2377"/>
    <w:rsid w:val="007D2D9B"/>
    <w:rsid w:val="007D3342"/>
    <w:rsid w:val="007D733B"/>
    <w:rsid w:val="007E22C2"/>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74F3"/>
    <w:rsid w:val="0082792B"/>
    <w:rsid w:val="008303A2"/>
    <w:rsid w:val="00831997"/>
    <w:rsid w:val="00831E3F"/>
    <w:rsid w:val="00831F99"/>
    <w:rsid w:val="00833913"/>
    <w:rsid w:val="00835A94"/>
    <w:rsid w:val="00836835"/>
    <w:rsid w:val="00836FB4"/>
    <w:rsid w:val="00837B67"/>
    <w:rsid w:val="00837BEB"/>
    <w:rsid w:val="0084055A"/>
    <w:rsid w:val="00851C18"/>
    <w:rsid w:val="0085254B"/>
    <w:rsid w:val="00852D9B"/>
    <w:rsid w:val="00856B05"/>
    <w:rsid w:val="00861FE3"/>
    <w:rsid w:val="00863EF0"/>
    <w:rsid w:val="00864F1C"/>
    <w:rsid w:val="00872803"/>
    <w:rsid w:val="00872BA2"/>
    <w:rsid w:val="00877E32"/>
    <w:rsid w:val="0088063C"/>
    <w:rsid w:val="00881039"/>
    <w:rsid w:val="00883AAA"/>
    <w:rsid w:val="00890980"/>
    <w:rsid w:val="00892EBC"/>
    <w:rsid w:val="00894E39"/>
    <w:rsid w:val="00895418"/>
    <w:rsid w:val="008957D9"/>
    <w:rsid w:val="0089788C"/>
    <w:rsid w:val="00897AF8"/>
    <w:rsid w:val="008A202D"/>
    <w:rsid w:val="008A5FCC"/>
    <w:rsid w:val="008B4846"/>
    <w:rsid w:val="008B5689"/>
    <w:rsid w:val="008B5DBC"/>
    <w:rsid w:val="008B749E"/>
    <w:rsid w:val="008C09B5"/>
    <w:rsid w:val="008C1F20"/>
    <w:rsid w:val="008C2D17"/>
    <w:rsid w:val="008C3E75"/>
    <w:rsid w:val="008C5F38"/>
    <w:rsid w:val="008C6B0E"/>
    <w:rsid w:val="008C6FC8"/>
    <w:rsid w:val="008C7870"/>
    <w:rsid w:val="008D4971"/>
    <w:rsid w:val="008D77FD"/>
    <w:rsid w:val="008E16CE"/>
    <w:rsid w:val="008E1E77"/>
    <w:rsid w:val="008E6A92"/>
    <w:rsid w:val="008F1D37"/>
    <w:rsid w:val="008F4BDD"/>
    <w:rsid w:val="008F7897"/>
    <w:rsid w:val="00900302"/>
    <w:rsid w:val="0090296E"/>
    <w:rsid w:val="00902E31"/>
    <w:rsid w:val="0090379A"/>
    <w:rsid w:val="00906C03"/>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6763"/>
    <w:rsid w:val="00957BCF"/>
    <w:rsid w:val="009625F6"/>
    <w:rsid w:val="009627F9"/>
    <w:rsid w:val="009658D6"/>
    <w:rsid w:val="009676D8"/>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5B58"/>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162F"/>
    <w:rsid w:val="009D1776"/>
    <w:rsid w:val="009D5976"/>
    <w:rsid w:val="009D5A80"/>
    <w:rsid w:val="009D79AE"/>
    <w:rsid w:val="009E0053"/>
    <w:rsid w:val="009E040A"/>
    <w:rsid w:val="009E2345"/>
    <w:rsid w:val="009E40AA"/>
    <w:rsid w:val="009E4E40"/>
    <w:rsid w:val="009E710F"/>
    <w:rsid w:val="009F206C"/>
    <w:rsid w:val="00A00B50"/>
    <w:rsid w:val="00A00E20"/>
    <w:rsid w:val="00A0253A"/>
    <w:rsid w:val="00A02A94"/>
    <w:rsid w:val="00A03293"/>
    <w:rsid w:val="00A03ADC"/>
    <w:rsid w:val="00A10193"/>
    <w:rsid w:val="00A10AC7"/>
    <w:rsid w:val="00A10DF8"/>
    <w:rsid w:val="00A11201"/>
    <w:rsid w:val="00A126F1"/>
    <w:rsid w:val="00A12A9B"/>
    <w:rsid w:val="00A14055"/>
    <w:rsid w:val="00A14E15"/>
    <w:rsid w:val="00A23BB2"/>
    <w:rsid w:val="00A24540"/>
    <w:rsid w:val="00A27388"/>
    <w:rsid w:val="00A300BF"/>
    <w:rsid w:val="00A30328"/>
    <w:rsid w:val="00A3255E"/>
    <w:rsid w:val="00A3267D"/>
    <w:rsid w:val="00A331C8"/>
    <w:rsid w:val="00A43E28"/>
    <w:rsid w:val="00A44451"/>
    <w:rsid w:val="00A46428"/>
    <w:rsid w:val="00A46BDC"/>
    <w:rsid w:val="00A5105C"/>
    <w:rsid w:val="00A52415"/>
    <w:rsid w:val="00A57B01"/>
    <w:rsid w:val="00A60B2E"/>
    <w:rsid w:val="00A61566"/>
    <w:rsid w:val="00A6188E"/>
    <w:rsid w:val="00A62E69"/>
    <w:rsid w:val="00A67499"/>
    <w:rsid w:val="00A716CD"/>
    <w:rsid w:val="00A744D1"/>
    <w:rsid w:val="00A745E3"/>
    <w:rsid w:val="00A76173"/>
    <w:rsid w:val="00A762E1"/>
    <w:rsid w:val="00A77AE4"/>
    <w:rsid w:val="00A806F4"/>
    <w:rsid w:val="00A81FA6"/>
    <w:rsid w:val="00A84E31"/>
    <w:rsid w:val="00A8697D"/>
    <w:rsid w:val="00A873DD"/>
    <w:rsid w:val="00A9059D"/>
    <w:rsid w:val="00A90983"/>
    <w:rsid w:val="00A943AF"/>
    <w:rsid w:val="00A96B58"/>
    <w:rsid w:val="00AA0175"/>
    <w:rsid w:val="00AA0A83"/>
    <w:rsid w:val="00AA25E4"/>
    <w:rsid w:val="00AA3112"/>
    <w:rsid w:val="00AA33FB"/>
    <w:rsid w:val="00AA4C9D"/>
    <w:rsid w:val="00AA6162"/>
    <w:rsid w:val="00AA733A"/>
    <w:rsid w:val="00AA78DC"/>
    <w:rsid w:val="00AA7F1A"/>
    <w:rsid w:val="00AB10AA"/>
    <w:rsid w:val="00AB25F9"/>
    <w:rsid w:val="00AB2F51"/>
    <w:rsid w:val="00AB2FDC"/>
    <w:rsid w:val="00AB6229"/>
    <w:rsid w:val="00AC1689"/>
    <w:rsid w:val="00AC1FDD"/>
    <w:rsid w:val="00AC4D72"/>
    <w:rsid w:val="00AC4F4B"/>
    <w:rsid w:val="00AC71A6"/>
    <w:rsid w:val="00AD15B2"/>
    <w:rsid w:val="00AD24FE"/>
    <w:rsid w:val="00AD2536"/>
    <w:rsid w:val="00AD362B"/>
    <w:rsid w:val="00AD4B24"/>
    <w:rsid w:val="00AD6D51"/>
    <w:rsid w:val="00AE1B54"/>
    <w:rsid w:val="00AE2FF1"/>
    <w:rsid w:val="00AE36A3"/>
    <w:rsid w:val="00AE3C57"/>
    <w:rsid w:val="00AE515D"/>
    <w:rsid w:val="00AE64C1"/>
    <w:rsid w:val="00AE6B2A"/>
    <w:rsid w:val="00AF3041"/>
    <w:rsid w:val="00AF48CD"/>
    <w:rsid w:val="00AF5E69"/>
    <w:rsid w:val="00AF5FAD"/>
    <w:rsid w:val="00AF6022"/>
    <w:rsid w:val="00AF7EC8"/>
    <w:rsid w:val="00B015A7"/>
    <w:rsid w:val="00B01F89"/>
    <w:rsid w:val="00B038CC"/>
    <w:rsid w:val="00B053D9"/>
    <w:rsid w:val="00B06556"/>
    <w:rsid w:val="00B06B85"/>
    <w:rsid w:val="00B11F31"/>
    <w:rsid w:val="00B12AB1"/>
    <w:rsid w:val="00B12C14"/>
    <w:rsid w:val="00B14090"/>
    <w:rsid w:val="00B16F92"/>
    <w:rsid w:val="00B21E7A"/>
    <w:rsid w:val="00B21EA3"/>
    <w:rsid w:val="00B2296E"/>
    <w:rsid w:val="00B328E5"/>
    <w:rsid w:val="00B3388D"/>
    <w:rsid w:val="00B34168"/>
    <w:rsid w:val="00B345D9"/>
    <w:rsid w:val="00B34DF8"/>
    <w:rsid w:val="00B37B14"/>
    <w:rsid w:val="00B43D0A"/>
    <w:rsid w:val="00B43EF1"/>
    <w:rsid w:val="00B44303"/>
    <w:rsid w:val="00B47D07"/>
    <w:rsid w:val="00B5144B"/>
    <w:rsid w:val="00B5170B"/>
    <w:rsid w:val="00B52EE1"/>
    <w:rsid w:val="00B53992"/>
    <w:rsid w:val="00B53D6E"/>
    <w:rsid w:val="00B54EA4"/>
    <w:rsid w:val="00B679D3"/>
    <w:rsid w:val="00B67FEA"/>
    <w:rsid w:val="00B708AD"/>
    <w:rsid w:val="00B710D2"/>
    <w:rsid w:val="00B7113C"/>
    <w:rsid w:val="00B712CC"/>
    <w:rsid w:val="00B723DF"/>
    <w:rsid w:val="00B731DE"/>
    <w:rsid w:val="00B734C3"/>
    <w:rsid w:val="00B74252"/>
    <w:rsid w:val="00B7627A"/>
    <w:rsid w:val="00B7678B"/>
    <w:rsid w:val="00B77533"/>
    <w:rsid w:val="00B77B05"/>
    <w:rsid w:val="00B85149"/>
    <w:rsid w:val="00B85A12"/>
    <w:rsid w:val="00B86498"/>
    <w:rsid w:val="00B90481"/>
    <w:rsid w:val="00B9063F"/>
    <w:rsid w:val="00B945D4"/>
    <w:rsid w:val="00B94BAD"/>
    <w:rsid w:val="00BA1325"/>
    <w:rsid w:val="00BA5870"/>
    <w:rsid w:val="00BA679F"/>
    <w:rsid w:val="00BB0399"/>
    <w:rsid w:val="00BB0CBB"/>
    <w:rsid w:val="00BB0EFB"/>
    <w:rsid w:val="00BB3223"/>
    <w:rsid w:val="00BB4344"/>
    <w:rsid w:val="00BB5D61"/>
    <w:rsid w:val="00BC1307"/>
    <w:rsid w:val="00BC2B27"/>
    <w:rsid w:val="00BC3B27"/>
    <w:rsid w:val="00BC4C9B"/>
    <w:rsid w:val="00BC609B"/>
    <w:rsid w:val="00BC7BEA"/>
    <w:rsid w:val="00BD0BD5"/>
    <w:rsid w:val="00BD209D"/>
    <w:rsid w:val="00BD6641"/>
    <w:rsid w:val="00BE467F"/>
    <w:rsid w:val="00BE4DAD"/>
    <w:rsid w:val="00BE5E4B"/>
    <w:rsid w:val="00BE6C2B"/>
    <w:rsid w:val="00BE716C"/>
    <w:rsid w:val="00BE7990"/>
    <w:rsid w:val="00BF1AB9"/>
    <w:rsid w:val="00BF29E1"/>
    <w:rsid w:val="00BF2F12"/>
    <w:rsid w:val="00BF30AB"/>
    <w:rsid w:val="00BF3A0E"/>
    <w:rsid w:val="00BF3A82"/>
    <w:rsid w:val="00BF4C9A"/>
    <w:rsid w:val="00BF58CF"/>
    <w:rsid w:val="00C0339F"/>
    <w:rsid w:val="00C0411C"/>
    <w:rsid w:val="00C057FE"/>
    <w:rsid w:val="00C07331"/>
    <w:rsid w:val="00C10955"/>
    <w:rsid w:val="00C11B85"/>
    <w:rsid w:val="00C13C70"/>
    <w:rsid w:val="00C22BC5"/>
    <w:rsid w:val="00C23063"/>
    <w:rsid w:val="00C23DAA"/>
    <w:rsid w:val="00C24103"/>
    <w:rsid w:val="00C267D7"/>
    <w:rsid w:val="00C31877"/>
    <w:rsid w:val="00C31885"/>
    <w:rsid w:val="00C347A8"/>
    <w:rsid w:val="00C4222C"/>
    <w:rsid w:val="00C42806"/>
    <w:rsid w:val="00C42BB6"/>
    <w:rsid w:val="00C430F8"/>
    <w:rsid w:val="00C43515"/>
    <w:rsid w:val="00C46BC0"/>
    <w:rsid w:val="00C53B91"/>
    <w:rsid w:val="00C53EBB"/>
    <w:rsid w:val="00C5610C"/>
    <w:rsid w:val="00C60694"/>
    <w:rsid w:val="00C6189C"/>
    <w:rsid w:val="00C620D3"/>
    <w:rsid w:val="00C62687"/>
    <w:rsid w:val="00C64195"/>
    <w:rsid w:val="00C64773"/>
    <w:rsid w:val="00C73A21"/>
    <w:rsid w:val="00C76728"/>
    <w:rsid w:val="00C76F72"/>
    <w:rsid w:val="00C77A75"/>
    <w:rsid w:val="00C80771"/>
    <w:rsid w:val="00C836EC"/>
    <w:rsid w:val="00C84368"/>
    <w:rsid w:val="00C84427"/>
    <w:rsid w:val="00C844F7"/>
    <w:rsid w:val="00C84D0E"/>
    <w:rsid w:val="00C859C7"/>
    <w:rsid w:val="00C8680A"/>
    <w:rsid w:val="00C87B56"/>
    <w:rsid w:val="00C87D7F"/>
    <w:rsid w:val="00C91002"/>
    <w:rsid w:val="00C93462"/>
    <w:rsid w:val="00C97041"/>
    <w:rsid w:val="00C97042"/>
    <w:rsid w:val="00C979F3"/>
    <w:rsid w:val="00CA06CE"/>
    <w:rsid w:val="00CA0EED"/>
    <w:rsid w:val="00CA0F8C"/>
    <w:rsid w:val="00CA2794"/>
    <w:rsid w:val="00CB1364"/>
    <w:rsid w:val="00CB3215"/>
    <w:rsid w:val="00CB38A0"/>
    <w:rsid w:val="00CB630A"/>
    <w:rsid w:val="00CB65EF"/>
    <w:rsid w:val="00CB6DBB"/>
    <w:rsid w:val="00CB72F5"/>
    <w:rsid w:val="00CC03E3"/>
    <w:rsid w:val="00CC0D0A"/>
    <w:rsid w:val="00CC1B7D"/>
    <w:rsid w:val="00CC3D8E"/>
    <w:rsid w:val="00CC41DA"/>
    <w:rsid w:val="00CC5AB4"/>
    <w:rsid w:val="00CC6C4E"/>
    <w:rsid w:val="00CC6EA3"/>
    <w:rsid w:val="00CD49EC"/>
    <w:rsid w:val="00CE313B"/>
    <w:rsid w:val="00CE475C"/>
    <w:rsid w:val="00CE7AEB"/>
    <w:rsid w:val="00CE7E3D"/>
    <w:rsid w:val="00CF0DC4"/>
    <w:rsid w:val="00CF0ECB"/>
    <w:rsid w:val="00CF1D5A"/>
    <w:rsid w:val="00CF3C7B"/>
    <w:rsid w:val="00D0254C"/>
    <w:rsid w:val="00D02A61"/>
    <w:rsid w:val="00D02D91"/>
    <w:rsid w:val="00D038F3"/>
    <w:rsid w:val="00D0438E"/>
    <w:rsid w:val="00D06225"/>
    <w:rsid w:val="00D075C8"/>
    <w:rsid w:val="00D126B7"/>
    <w:rsid w:val="00D13636"/>
    <w:rsid w:val="00D14F5B"/>
    <w:rsid w:val="00D17713"/>
    <w:rsid w:val="00D17CB6"/>
    <w:rsid w:val="00D20356"/>
    <w:rsid w:val="00D20FFB"/>
    <w:rsid w:val="00D2478F"/>
    <w:rsid w:val="00D260F8"/>
    <w:rsid w:val="00D26D78"/>
    <w:rsid w:val="00D3214A"/>
    <w:rsid w:val="00D32E6E"/>
    <w:rsid w:val="00D33037"/>
    <w:rsid w:val="00D350D0"/>
    <w:rsid w:val="00D41699"/>
    <w:rsid w:val="00D445FA"/>
    <w:rsid w:val="00D4503A"/>
    <w:rsid w:val="00D4520B"/>
    <w:rsid w:val="00D4777B"/>
    <w:rsid w:val="00D54752"/>
    <w:rsid w:val="00D56B8F"/>
    <w:rsid w:val="00D5791A"/>
    <w:rsid w:val="00D60BDF"/>
    <w:rsid w:val="00D60DC5"/>
    <w:rsid w:val="00D6151B"/>
    <w:rsid w:val="00D61780"/>
    <w:rsid w:val="00D623EB"/>
    <w:rsid w:val="00D637FE"/>
    <w:rsid w:val="00D63F04"/>
    <w:rsid w:val="00D66D1C"/>
    <w:rsid w:val="00D72133"/>
    <w:rsid w:val="00D7363A"/>
    <w:rsid w:val="00D73FB7"/>
    <w:rsid w:val="00D73FB9"/>
    <w:rsid w:val="00D75FCF"/>
    <w:rsid w:val="00D76B66"/>
    <w:rsid w:val="00D773D0"/>
    <w:rsid w:val="00D77DC0"/>
    <w:rsid w:val="00D80073"/>
    <w:rsid w:val="00D80EB6"/>
    <w:rsid w:val="00D81A8E"/>
    <w:rsid w:val="00D8329D"/>
    <w:rsid w:val="00D83715"/>
    <w:rsid w:val="00D84A3A"/>
    <w:rsid w:val="00D863CC"/>
    <w:rsid w:val="00D87B9A"/>
    <w:rsid w:val="00D90D24"/>
    <w:rsid w:val="00D90EBF"/>
    <w:rsid w:val="00D956BD"/>
    <w:rsid w:val="00D9611D"/>
    <w:rsid w:val="00D97463"/>
    <w:rsid w:val="00D9773D"/>
    <w:rsid w:val="00D97C6C"/>
    <w:rsid w:val="00DA09EB"/>
    <w:rsid w:val="00DA4B88"/>
    <w:rsid w:val="00DA7EEA"/>
    <w:rsid w:val="00DB304D"/>
    <w:rsid w:val="00DB3AAA"/>
    <w:rsid w:val="00DC2D48"/>
    <w:rsid w:val="00DC3253"/>
    <w:rsid w:val="00DC5FA6"/>
    <w:rsid w:val="00DC6760"/>
    <w:rsid w:val="00DD30F7"/>
    <w:rsid w:val="00DD388E"/>
    <w:rsid w:val="00DD60C4"/>
    <w:rsid w:val="00DD736C"/>
    <w:rsid w:val="00DE5657"/>
    <w:rsid w:val="00DF0316"/>
    <w:rsid w:val="00DF0E5F"/>
    <w:rsid w:val="00DF11D0"/>
    <w:rsid w:val="00DF13E5"/>
    <w:rsid w:val="00DF519C"/>
    <w:rsid w:val="00DF57DB"/>
    <w:rsid w:val="00E00339"/>
    <w:rsid w:val="00E014FE"/>
    <w:rsid w:val="00E025F4"/>
    <w:rsid w:val="00E04238"/>
    <w:rsid w:val="00E076E5"/>
    <w:rsid w:val="00E077E1"/>
    <w:rsid w:val="00E10F45"/>
    <w:rsid w:val="00E12E0B"/>
    <w:rsid w:val="00E1539A"/>
    <w:rsid w:val="00E16ECF"/>
    <w:rsid w:val="00E206EA"/>
    <w:rsid w:val="00E230B4"/>
    <w:rsid w:val="00E24CCA"/>
    <w:rsid w:val="00E254A0"/>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6068D"/>
    <w:rsid w:val="00E61C32"/>
    <w:rsid w:val="00E704F7"/>
    <w:rsid w:val="00E70C45"/>
    <w:rsid w:val="00E73382"/>
    <w:rsid w:val="00E75ABE"/>
    <w:rsid w:val="00E7646B"/>
    <w:rsid w:val="00E76542"/>
    <w:rsid w:val="00E76FF1"/>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D5D"/>
    <w:rsid w:val="00EA692F"/>
    <w:rsid w:val="00EB37A8"/>
    <w:rsid w:val="00EB40B0"/>
    <w:rsid w:val="00EB4443"/>
    <w:rsid w:val="00EB74BC"/>
    <w:rsid w:val="00EC16F8"/>
    <w:rsid w:val="00EC336E"/>
    <w:rsid w:val="00ED2C08"/>
    <w:rsid w:val="00ED3A64"/>
    <w:rsid w:val="00ED560D"/>
    <w:rsid w:val="00ED605B"/>
    <w:rsid w:val="00ED6260"/>
    <w:rsid w:val="00ED6B98"/>
    <w:rsid w:val="00ED6C94"/>
    <w:rsid w:val="00EE1040"/>
    <w:rsid w:val="00EE5B40"/>
    <w:rsid w:val="00EE7685"/>
    <w:rsid w:val="00EF0BF1"/>
    <w:rsid w:val="00EF0EA0"/>
    <w:rsid w:val="00EF35D0"/>
    <w:rsid w:val="00EF4C89"/>
    <w:rsid w:val="00EF5F9F"/>
    <w:rsid w:val="00EF64BD"/>
    <w:rsid w:val="00F0242A"/>
    <w:rsid w:val="00F05050"/>
    <w:rsid w:val="00F053EF"/>
    <w:rsid w:val="00F12FA6"/>
    <w:rsid w:val="00F141DF"/>
    <w:rsid w:val="00F15307"/>
    <w:rsid w:val="00F16041"/>
    <w:rsid w:val="00F17A7A"/>
    <w:rsid w:val="00F20245"/>
    <w:rsid w:val="00F216B1"/>
    <w:rsid w:val="00F25611"/>
    <w:rsid w:val="00F30A87"/>
    <w:rsid w:val="00F31DA3"/>
    <w:rsid w:val="00F3371D"/>
    <w:rsid w:val="00F35CBE"/>
    <w:rsid w:val="00F406A9"/>
    <w:rsid w:val="00F40BF4"/>
    <w:rsid w:val="00F41942"/>
    <w:rsid w:val="00F4261F"/>
    <w:rsid w:val="00F43B0B"/>
    <w:rsid w:val="00F43BA6"/>
    <w:rsid w:val="00F51C02"/>
    <w:rsid w:val="00F5227C"/>
    <w:rsid w:val="00F54C78"/>
    <w:rsid w:val="00F555DD"/>
    <w:rsid w:val="00F55D28"/>
    <w:rsid w:val="00F566C7"/>
    <w:rsid w:val="00F57850"/>
    <w:rsid w:val="00F626E0"/>
    <w:rsid w:val="00F646A4"/>
    <w:rsid w:val="00F65C61"/>
    <w:rsid w:val="00F6667B"/>
    <w:rsid w:val="00F7027C"/>
    <w:rsid w:val="00F70333"/>
    <w:rsid w:val="00F73106"/>
    <w:rsid w:val="00F7494E"/>
    <w:rsid w:val="00F74B06"/>
    <w:rsid w:val="00F75C80"/>
    <w:rsid w:val="00F80AFA"/>
    <w:rsid w:val="00F8155F"/>
    <w:rsid w:val="00F82D92"/>
    <w:rsid w:val="00F860A4"/>
    <w:rsid w:val="00F86357"/>
    <w:rsid w:val="00F90FBA"/>
    <w:rsid w:val="00F93C02"/>
    <w:rsid w:val="00F95C7C"/>
    <w:rsid w:val="00F96297"/>
    <w:rsid w:val="00FA106A"/>
    <w:rsid w:val="00FA13BE"/>
    <w:rsid w:val="00FA1A86"/>
    <w:rsid w:val="00FA1B4B"/>
    <w:rsid w:val="00FA384A"/>
    <w:rsid w:val="00FA4229"/>
    <w:rsid w:val="00FA65D1"/>
    <w:rsid w:val="00FA6CA0"/>
    <w:rsid w:val="00FA701F"/>
    <w:rsid w:val="00FB01B3"/>
    <w:rsid w:val="00FB5013"/>
    <w:rsid w:val="00FB507A"/>
    <w:rsid w:val="00FB6A28"/>
    <w:rsid w:val="00FB76CD"/>
    <w:rsid w:val="00FC662C"/>
    <w:rsid w:val="00FD2F99"/>
    <w:rsid w:val="00FD3B61"/>
    <w:rsid w:val="00FD5E0B"/>
    <w:rsid w:val="00FE4B51"/>
    <w:rsid w:val="00FE5772"/>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5422002972520002"/>
          <c:y val="6.7990252484048677E-2"/>
          <c:w val="0.59552418752533987"/>
          <c:h val="0.82097792726096053"/>
        </c:manualLayout>
      </c:layout>
      <c:pieChart>
        <c:varyColors val="1"/>
        <c:ser>
          <c:idx val="0"/>
          <c:order val="0"/>
          <c:tx>
            <c:strRef>
              <c:f>Sheet1!$B$1</c:f>
              <c:strCache>
                <c:ptCount val="1"/>
                <c:pt idx="0">
                  <c:v> Exports, 2021-Q1 </c:v>
                </c:pt>
              </c:strCache>
            </c:strRef>
          </c:tx>
          <c:spPr>
            <a:ln w="3175">
              <a:solidFill>
                <a:schemeClr val="tx1">
                  <a:lumMod val="65000"/>
                  <a:lumOff val="35000"/>
                </a:schemeClr>
              </a:solidFill>
            </a:ln>
          </c:spPr>
          <c:dPt>
            <c:idx val="0"/>
            <c:bubble3D val="0"/>
            <c:spPr>
              <a:solidFill>
                <a:schemeClr val="accent6">
                  <a:shade val="45000"/>
                </a:schemeClr>
              </a:solidFill>
              <a:ln w="3175">
                <a:solidFill>
                  <a:schemeClr val="tx1">
                    <a:lumMod val="65000"/>
                    <a:lumOff val="35000"/>
                  </a:schemeClr>
                </a:solidFill>
              </a:ln>
              <a:effectLst/>
            </c:spPr>
            <c:extLst>
              <c:ext xmlns:c16="http://schemas.microsoft.com/office/drawing/2014/chart" uri="{C3380CC4-5D6E-409C-BE32-E72D297353CC}">
                <c16:uniqueId val="{00000001-1B88-468F-B926-1611BD07E22A}"/>
              </c:ext>
            </c:extLst>
          </c:dPt>
          <c:dPt>
            <c:idx val="1"/>
            <c:bubble3D val="0"/>
            <c:spPr>
              <a:solidFill>
                <a:schemeClr val="accent6">
                  <a:shade val="61000"/>
                </a:schemeClr>
              </a:solidFill>
              <a:ln w="3175">
                <a:solidFill>
                  <a:schemeClr val="tx1">
                    <a:lumMod val="65000"/>
                    <a:lumOff val="35000"/>
                  </a:schemeClr>
                </a:solidFill>
              </a:ln>
              <a:effectLst/>
            </c:spPr>
            <c:extLst>
              <c:ext xmlns:c16="http://schemas.microsoft.com/office/drawing/2014/chart" uri="{C3380CC4-5D6E-409C-BE32-E72D297353CC}">
                <c16:uniqueId val="{00000003-1B88-468F-B926-1611BD07E22A}"/>
              </c:ext>
            </c:extLst>
          </c:dPt>
          <c:dPt>
            <c:idx val="2"/>
            <c:bubble3D val="0"/>
            <c:spPr>
              <a:solidFill>
                <a:schemeClr val="accent6">
                  <a:shade val="76000"/>
                </a:schemeClr>
              </a:solidFill>
              <a:ln w="3175">
                <a:solidFill>
                  <a:schemeClr val="tx1">
                    <a:lumMod val="65000"/>
                    <a:lumOff val="35000"/>
                  </a:schemeClr>
                </a:solidFill>
              </a:ln>
              <a:effectLst/>
            </c:spPr>
            <c:extLst>
              <c:ext xmlns:c16="http://schemas.microsoft.com/office/drawing/2014/chart" uri="{C3380CC4-5D6E-409C-BE32-E72D297353CC}">
                <c16:uniqueId val="{00000005-1B88-468F-B926-1611BD07E22A}"/>
              </c:ext>
            </c:extLst>
          </c:dPt>
          <c:dPt>
            <c:idx val="3"/>
            <c:bubble3D val="0"/>
            <c:spPr>
              <a:solidFill>
                <a:schemeClr val="accent6">
                  <a:shade val="92000"/>
                </a:schemeClr>
              </a:solidFill>
              <a:ln w="3175">
                <a:solidFill>
                  <a:schemeClr val="tx1">
                    <a:lumMod val="65000"/>
                    <a:lumOff val="35000"/>
                  </a:schemeClr>
                </a:solidFill>
              </a:ln>
              <a:effectLst/>
            </c:spPr>
            <c:extLst>
              <c:ext xmlns:c16="http://schemas.microsoft.com/office/drawing/2014/chart" uri="{C3380CC4-5D6E-409C-BE32-E72D297353CC}">
                <c16:uniqueId val="{00000007-1B88-468F-B926-1611BD07E22A}"/>
              </c:ext>
            </c:extLst>
          </c:dPt>
          <c:dPt>
            <c:idx val="4"/>
            <c:bubble3D val="0"/>
            <c:spPr>
              <a:solidFill>
                <a:schemeClr val="accent6">
                  <a:tint val="93000"/>
                </a:schemeClr>
              </a:solidFill>
              <a:ln w="3175">
                <a:solidFill>
                  <a:schemeClr val="tx1">
                    <a:lumMod val="65000"/>
                    <a:lumOff val="35000"/>
                  </a:schemeClr>
                </a:solidFill>
              </a:ln>
              <a:effectLst/>
            </c:spPr>
            <c:extLst>
              <c:ext xmlns:c16="http://schemas.microsoft.com/office/drawing/2014/chart" uri="{C3380CC4-5D6E-409C-BE32-E72D297353CC}">
                <c16:uniqueId val="{00000009-1B88-468F-B926-1611BD07E22A}"/>
              </c:ext>
            </c:extLst>
          </c:dPt>
          <c:dPt>
            <c:idx val="5"/>
            <c:bubble3D val="0"/>
            <c:spPr>
              <a:solidFill>
                <a:schemeClr val="accent6">
                  <a:tint val="77000"/>
                </a:schemeClr>
              </a:solidFill>
              <a:ln w="3175">
                <a:solidFill>
                  <a:schemeClr val="tx1">
                    <a:lumMod val="65000"/>
                    <a:lumOff val="35000"/>
                  </a:schemeClr>
                </a:solidFill>
              </a:ln>
              <a:effectLst/>
            </c:spPr>
            <c:extLst>
              <c:ext xmlns:c16="http://schemas.microsoft.com/office/drawing/2014/chart" uri="{C3380CC4-5D6E-409C-BE32-E72D297353CC}">
                <c16:uniqueId val="{0000000B-1B88-468F-B926-1611BD07E22A}"/>
              </c:ext>
            </c:extLst>
          </c:dPt>
          <c:dPt>
            <c:idx val="6"/>
            <c:bubble3D val="0"/>
            <c:spPr>
              <a:solidFill>
                <a:schemeClr val="accent6">
                  <a:tint val="62000"/>
                </a:schemeClr>
              </a:solidFill>
              <a:ln w="3175">
                <a:solidFill>
                  <a:schemeClr val="tx1">
                    <a:lumMod val="65000"/>
                    <a:lumOff val="35000"/>
                  </a:schemeClr>
                </a:solidFill>
              </a:ln>
              <a:effectLst/>
            </c:spPr>
            <c:extLst>
              <c:ext xmlns:c16="http://schemas.microsoft.com/office/drawing/2014/chart" uri="{C3380CC4-5D6E-409C-BE32-E72D297353CC}">
                <c16:uniqueId val="{0000000D-1B88-468F-B926-1611BD07E22A}"/>
              </c:ext>
            </c:extLst>
          </c:dPt>
          <c:dPt>
            <c:idx val="7"/>
            <c:bubble3D val="0"/>
            <c:spPr>
              <a:solidFill>
                <a:schemeClr val="accent6">
                  <a:tint val="46000"/>
                </a:schemeClr>
              </a:solidFill>
              <a:ln w="3175">
                <a:solidFill>
                  <a:schemeClr val="tx1">
                    <a:lumMod val="65000"/>
                    <a:lumOff val="35000"/>
                  </a:schemeClr>
                </a:solidFill>
              </a:ln>
              <a:effectLst/>
            </c:spPr>
            <c:extLst>
              <c:ext xmlns:c16="http://schemas.microsoft.com/office/drawing/2014/chart" uri="{C3380CC4-5D6E-409C-BE32-E72D297353CC}">
                <c16:uniqueId val="{0000000F-1B88-468F-B926-1611BD07E22A}"/>
              </c:ext>
            </c:extLst>
          </c:dPt>
          <c:dPt>
            <c:idx val="8"/>
            <c:bubble3D val="0"/>
            <c:spPr>
              <a:solidFill>
                <a:schemeClr val="accent6">
                  <a:tint val="30000"/>
                </a:schemeClr>
              </a:solidFill>
              <a:ln w="3175">
                <a:solidFill>
                  <a:schemeClr val="tx1">
                    <a:lumMod val="65000"/>
                    <a:lumOff val="35000"/>
                  </a:schemeClr>
                </a:solidFill>
              </a:ln>
              <a:effectLst/>
            </c:spPr>
            <c:extLst>
              <c:ext xmlns:c16="http://schemas.microsoft.com/office/drawing/2014/chart" uri="{C3380CC4-5D6E-409C-BE32-E72D297353CC}">
                <c16:uniqueId val="{00000011-1B88-468F-B926-1611BD07E22A}"/>
              </c:ext>
            </c:extLst>
          </c:dPt>
          <c:dLbls>
            <c:dLbl>
              <c:idx val="0"/>
              <c:layout>
                <c:manualLayout>
                  <c:x val="4.0160484457515105E-2"/>
                  <c:y val="-0.2097220044591962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8996806122126298"/>
                      <c:h val="0.20016582469884478"/>
                    </c:manualLayout>
                  </c15:layout>
                </c:ext>
                <c:ext xmlns:c16="http://schemas.microsoft.com/office/drawing/2014/chart" uri="{C3380CC4-5D6E-409C-BE32-E72D297353CC}">
                  <c16:uniqueId val="{00000001-1B88-468F-B926-1611BD07E22A}"/>
                </c:ext>
              </c:extLst>
            </c:dLbl>
            <c:dLbl>
              <c:idx val="1"/>
              <c:layout>
                <c:manualLayout>
                  <c:x val="1.6064257028112448E-2"/>
                  <c:y val="-6.981884183140627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238528918824905"/>
                      <c:h val="0.18978583633846305"/>
                    </c:manualLayout>
                  </c15:layout>
                </c:ext>
                <c:ext xmlns:c16="http://schemas.microsoft.com/office/drawing/2014/chart" uri="{C3380CC4-5D6E-409C-BE32-E72D297353CC}">
                  <c16:uniqueId val="{00000003-1B88-468F-B926-1611BD07E22A}"/>
                </c:ext>
              </c:extLst>
            </c:dLbl>
            <c:dLbl>
              <c:idx val="2"/>
              <c:layout>
                <c:manualLayout>
                  <c:x val="4.0647313664105095E-2"/>
                  <c:y val="-5.737428282146472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951996964234893"/>
                      <c:h val="0.18501412433131986"/>
                    </c:manualLayout>
                  </c15:layout>
                </c:ext>
                <c:ext xmlns:c16="http://schemas.microsoft.com/office/drawing/2014/chart" uri="{C3380CC4-5D6E-409C-BE32-E72D297353CC}">
                  <c16:uniqueId val="{00000005-1B88-468F-B926-1611BD07E22A}"/>
                </c:ext>
              </c:extLst>
            </c:dLbl>
            <c:dLbl>
              <c:idx val="3"/>
              <c:layout>
                <c:manualLayout>
                  <c:x val="2.5943142649337433E-2"/>
                  <c:y val="-5.126295173278850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367232710369036"/>
                      <c:h val="0.10409964363634429"/>
                    </c:manualLayout>
                  </c15:layout>
                </c:ext>
                <c:ext xmlns:c16="http://schemas.microsoft.com/office/drawing/2014/chart" uri="{C3380CC4-5D6E-409C-BE32-E72D297353CC}">
                  <c16:uniqueId val="{00000007-1B88-468F-B926-1611BD07E22A}"/>
                </c:ext>
              </c:extLst>
            </c:dLbl>
            <c:dLbl>
              <c:idx val="4"/>
              <c:layout>
                <c:manualLayout>
                  <c:x val="6.1072953230243809E-2"/>
                  <c:y val="3.9436514917579279E-4"/>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39253834234576102"/>
                      <c:h val="8.1583625873967919E-2"/>
                    </c:manualLayout>
                  </c15:layout>
                </c:ext>
                <c:ext xmlns:c16="http://schemas.microsoft.com/office/drawing/2014/chart" uri="{C3380CC4-5D6E-409C-BE32-E72D297353CC}">
                  <c16:uniqueId val="{00000009-1B88-468F-B926-1611BD07E22A}"/>
                </c:ext>
              </c:extLst>
            </c:dLbl>
            <c:dLbl>
              <c:idx val="5"/>
              <c:layout>
                <c:manualLayout>
                  <c:x val="-6.7891504946666445E-2"/>
                  <c:y val="-1.3777800218442146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157891408152296"/>
                      <c:h val="8.9834999109755231E-2"/>
                    </c:manualLayout>
                  </c15:layout>
                </c:ext>
                <c:ext xmlns:c16="http://schemas.microsoft.com/office/drawing/2014/chart" uri="{C3380CC4-5D6E-409C-BE32-E72D297353CC}">
                  <c16:uniqueId val="{0000000B-1B88-468F-B926-1611BD07E22A}"/>
                </c:ext>
              </c:extLst>
            </c:dLbl>
            <c:dLbl>
              <c:idx val="6"/>
              <c:layout>
                <c:manualLayout>
                  <c:x val="-3.4667014514751918E-2"/>
                  <c:y val="-0.12487343908201159"/>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30400436391234226"/>
                      <c:h val="0.1429775631741611"/>
                    </c:manualLayout>
                  </c15:layout>
                </c:ext>
                <c:ext xmlns:c16="http://schemas.microsoft.com/office/drawing/2014/chart" uri="{C3380CC4-5D6E-409C-BE32-E72D297353CC}">
                  <c16:uniqueId val="{0000000D-1B88-468F-B926-1611BD07E22A}"/>
                </c:ext>
              </c:extLst>
            </c:dLbl>
            <c:dLbl>
              <c:idx val="7"/>
              <c:layout>
                <c:manualLayout>
                  <c:x val="1.3664105239857074E-3"/>
                  <c:y val="-5.393442016930984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806564842045348"/>
                      <c:h val="9.4840566461423165E-2"/>
                    </c:manualLayout>
                  </c15:layout>
                </c:ext>
                <c:ext xmlns:c16="http://schemas.microsoft.com/office/drawing/2014/chart" uri="{C3380CC4-5D6E-409C-BE32-E72D297353CC}">
                  <c16:uniqueId val="{0000000F-1B88-468F-B926-1611BD07E22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Sheet1!$A$2:$A$9</c:f>
              <c:strCache>
                <c:ptCount val="8"/>
                <c:pt idx="0">
                  <c:v>Mach. for Making Semiconductors</c:v>
                </c:pt>
                <c:pt idx="1">
                  <c:v>Centrifuges, Filters</c:v>
                </c:pt>
                <c:pt idx="2">
                  <c:v>Spraying Equipment</c:v>
                </c:pt>
                <c:pt idx="3">
                  <c:v>Pumps</c:v>
                </c:pt>
                <c:pt idx="4">
                  <c:v>Specialized Mach.</c:v>
                </c:pt>
                <c:pt idx="5">
                  <c:v>Computers</c:v>
                </c:pt>
                <c:pt idx="6">
                  <c:v>Taps, Valves</c:v>
                </c:pt>
                <c:pt idx="7">
                  <c:v>Other</c:v>
                </c:pt>
              </c:strCache>
            </c:strRef>
          </c:cat>
          <c:val>
            <c:numRef>
              <c:f>Sheet1!$B$2:$B$9</c:f>
              <c:numCache>
                <c:formatCode>#,##0</c:formatCode>
                <c:ptCount val="8"/>
                <c:pt idx="0">
                  <c:v>144292478</c:v>
                </c:pt>
                <c:pt idx="1">
                  <c:v>138785490</c:v>
                </c:pt>
                <c:pt idx="2">
                  <c:v>69335592</c:v>
                </c:pt>
                <c:pt idx="3">
                  <c:v>63995760</c:v>
                </c:pt>
                <c:pt idx="4">
                  <c:v>53193838</c:v>
                </c:pt>
                <c:pt idx="5">
                  <c:v>51832573</c:v>
                </c:pt>
                <c:pt idx="6">
                  <c:v>49468190</c:v>
                </c:pt>
                <c:pt idx="7">
                  <c:v>381451524</c:v>
                </c:pt>
              </c:numCache>
            </c:numRef>
          </c:val>
          <c:extLst>
            <c:ext xmlns:c16="http://schemas.microsoft.com/office/drawing/2014/chart" uri="{C3380CC4-5D6E-409C-BE32-E72D297353CC}">
              <c16:uniqueId val="{00000012-1B88-468F-B926-1611BD07E2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6C44-9FF8-492D-ADB5-283AD1E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Minnesota Quarterly Export Statistics, 1st Quarter 2021</vt:lpstr>
    </vt:vector>
  </TitlesOfParts>
  <Company>MN DEED</Company>
  <LinksUpToDate>false</LinksUpToDate>
  <CharactersWithSpaces>4442</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1st Quarter 2021</dc:title>
  <dc:subject>Minnesota Quarterly Export Statistics</dc:subject>
  <dc:creator>Economic Analysis Unit (T. Ho-Kim)</dc:creator>
  <dc:description>1st Quarter 2021</dc:description>
  <cp:lastModifiedBy>Ho-Kim, Thu-Mai (DEED)</cp:lastModifiedBy>
  <cp:revision>2</cp:revision>
  <cp:lastPrinted>2021-02-10T19:09:00Z</cp:lastPrinted>
  <dcterms:created xsi:type="dcterms:W3CDTF">2021-05-13T20:09:00Z</dcterms:created>
  <dcterms:modified xsi:type="dcterms:W3CDTF">2021-05-13T20:09:00Z</dcterms:modified>
</cp:coreProperties>
</file>