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081E" w14:textId="58461DF5" w:rsidR="00A30328" w:rsidRPr="00E63FC4" w:rsidRDefault="00A30328" w:rsidP="007F1C4A">
      <w:pPr>
        <w:tabs>
          <w:tab w:val="left" w:pos="360"/>
          <w:tab w:val="left" w:pos="6660"/>
        </w:tabs>
        <w:spacing w:after="240"/>
        <w:jc w:val="center"/>
      </w:pPr>
      <w:r w:rsidRPr="00E63FC4">
        <w:rPr>
          <w:noProof/>
        </w:rPr>
        <mc:AlternateContent>
          <mc:Choice Requires="wps">
            <w:drawing>
              <wp:anchor distT="0" distB="0" distL="114300" distR="114300" simplePos="0" relativeHeight="251656704" behindDoc="0" locked="0" layoutInCell="1" allowOverlap="1" wp14:anchorId="3957BDA5" wp14:editId="2B1B961D">
                <wp:simplePos x="0" y="0"/>
                <wp:positionH relativeFrom="margin">
                  <wp:align>left</wp:align>
                </wp:positionH>
                <wp:positionV relativeFrom="paragraph">
                  <wp:posOffset>1273810</wp:posOffset>
                </wp:positionV>
                <wp:extent cx="6472362"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12C05467" w:rsidR="007F1C4A" w:rsidRPr="00B577E0" w:rsidRDefault="007F1C4A" w:rsidP="008919A2">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F152E7">
                              <w:rPr>
                                <w:rStyle w:val="Emphasis"/>
                                <w:b/>
                              </w:rPr>
                              <w:t>Second</w:t>
                            </w:r>
                            <w:r w:rsidR="007818E5">
                              <w:rPr>
                                <w:rStyle w:val="Emphasis"/>
                                <w:b/>
                              </w:rPr>
                              <w:t xml:space="preserve"> Quarter </w:t>
                            </w:r>
                            <w:r w:rsidR="00A30328">
                              <w:rPr>
                                <w:rStyle w:val="Emphasis"/>
                                <w:b/>
                              </w:rPr>
                              <w:t>2021</w:t>
                            </w:r>
                            <w:r w:rsidR="00A43E28">
                              <w:rPr>
                                <w:rStyle w:val="Emphasis"/>
                                <w:b/>
                              </w:rPr>
                              <w:t xml:space="preserve"> – Published </w:t>
                            </w:r>
                            <w:r w:rsidR="00197F6A">
                              <w:rPr>
                                <w:rStyle w:val="Emphasis"/>
                                <w:b/>
                              </w:rPr>
                              <w:t>September</w:t>
                            </w:r>
                            <w:r w:rsidR="0000470B">
                              <w:rPr>
                                <w:rStyle w:val="Emphasis"/>
                                <w:b/>
                              </w:rPr>
                              <w:t xml:space="preserve"> 2021</w:t>
                            </w:r>
                          </w:p>
                          <w:p w14:paraId="3EE065DE" w14:textId="77777777" w:rsidR="007C542D" w:rsidRPr="00B577E0" w:rsidRDefault="007F1C4A" w:rsidP="008919A2">
                            <w:pPr>
                              <w:pStyle w:val="NoSpacing"/>
                              <w:jc w:val="center"/>
                              <w:rPr>
                                <w:rStyle w:val="Emphasis"/>
                                <w:b/>
                              </w:rPr>
                            </w:pPr>
                            <w:r>
                              <w:rPr>
                                <w:rStyle w:val="Emphasis"/>
                                <w:b/>
                              </w:rPr>
                              <w:t>For More Information</w:t>
                            </w:r>
                            <w:r w:rsidRPr="007818E5">
                              <w:rPr>
                                <w:rStyle w:val="Emphasis"/>
                              </w:rPr>
                              <w:t xml:space="preserve">: </w:t>
                            </w:r>
                            <w:r w:rsidR="007C542D">
                              <w:rPr>
                                <w:rStyle w:val="Strong"/>
                                <w:i/>
                              </w:rPr>
                              <w:t>Jen Gates 651-358-0300</w:t>
                            </w:r>
                          </w:p>
                          <w:p w14:paraId="34B91C04" w14:textId="03ED3A40" w:rsidR="007F1C4A" w:rsidRPr="00B577E0" w:rsidRDefault="007F1C4A" w:rsidP="008919A2">
                            <w:pPr>
                              <w:pStyle w:val="NoSpacing"/>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0;margin-top:100.3pt;width:509.65pt;height:3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" filled="f" stroked="f">
                <v:textbox>
                  <w:txbxContent>
                    <w:p w14:paraId="482B0058" w14:textId="12C05467" w:rsidR="007F1C4A" w:rsidRPr="00B577E0" w:rsidRDefault="007F1C4A" w:rsidP="008919A2">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F152E7">
                        <w:rPr>
                          <w:rStyle w:val="Emphasis"/>
                          <w:b/>
                        </w:rPr>
                        <w:t>Second</w:t>
                      </w:r>
                      <w:r w:rsidR="007818E5">
                        <w:rPr>
                          <w:rStyle w:val="Emphasis"/>
                          <w:b/>
                        </w:rPr>
                        <w:t xml:space="preserve"> Quarter </w:t>
                      </w:r>
                      <w:r w:rsidR="00A30328">
                        <w:rPr>
                          <w:rStyle w:val="Emphasis"/>
                          <w:b/>
                        </w:rPr>
                        <w:t>2021</w:t>
                      </w:r>
                      <w:r w:rsidR="00A43E28">
                        <w:rPr>
                          <w:rStyle w:val="Emphasis"/>
                          <w:b/>
                        </w:rPr>
                        <w:t xml:space="preserve"> – Published </w:t>
                      </w:r>
                      <w:r w:rsidR="00197F6A">
                        <w:rPr>
                          <w:rStyle w:val="Emphasis"/>
                          <w:b/>
                        </w:rPr>
                        <w:t>September</w:t>
                      </w:r>
                      <w:r w:rsidR="0000470B">
                        <w:rPr>
                          <w:rStyle w:val="Emphasis"/>
                          <w:b/>
                        </w:rPr>
                        <w:t xml:space="preserve"> 2021</w:t>
                      </w:r>
                    </w:p>
                    <w:p w14:paraId="3EE065DE" w14:textId="77777777" w:rsidR="007C542D" w:rsidRPr="00B577E0" w:rsidRDefault="007F1C4A" w:rsidP="008919A2">
                      <w:pPr>
                        <w:pStyle w:val="NoSpacing"/>
                        <w:jc w:val="center"/>
                        <w:rPr>
                          <w:rStyle w:val="Emphasis"/>
                          <w:b/>
                        </w:rPr>
                      </w:pPr>
                      <w:r>
                        <w:rPr>
                          <w:rStyle w:val="Emphasis"/>
                          <w:b/>
                        </w:rPr>
                        <w:t>For More Information</w:t>
                      </w:r>
                      <w:r w:rsidRPr="007818E5">
                        <w:rPr>
                          <w:rStyle w:val="Emphasis"/>
                        </w:rPr>
                        <w:t xml:space="preserve">: </w:t>
                      </w:r>
                      <w:r w:rsidR="007C542D">
                        <w:rPr>
                          <w:rStyle w:val="Strong"/>
                          <w:i/>
                        </w:rPr>
                        <w:t>Jen Gates 651-358-0300</w:t>
                      </w:r>
                    </w:p>
                    <w:p w14:paraId="34B91C04" w14:textId="03ED3A40" w:rsidR="007F1C4A" w:rsidRPr="00B577E0" w:rsidRDefault="007F1C4A" w:rsidP="008919A2">
                      <w:pPr>
                        <w:pStyle w:val="NoSpacing"/>
                        <w:jc w:val="center"/>
                        <w:rPr>
                          <w:rStyle w:val="Emphasis"/>
                          <w:b/>
                        </w:rPr>
                      </w:pPr>
                    </w:p>
                  </w:txbxContent>
                </v:textbox>
                <w10:wrap anchorx="margin"/>
              </v:shape>
            </w:pict>
          </mc:Fallback>
        </mc:AlternateContent>
      </w:r>
      <w:r w:rsidR="006B1B1A" w:rsidRPr="00E63FC4">
        <w:t xml:space="preserve">                   </w:t>
      </w:r>
      <w:r w:rsidR="00F152E7" w:rsidRPr="00E63FC4">
        <w:rPr>
          <w:noProof/>
        </w:rPr>
        <w:drawing>
          <wp:inline distT="0" distB="0" distL="0" distR="0" wp14:anchorId="5522DB93" wp14:editId="48F7F37C">
            <wp:extent cx="6309360" cy="1104265"/>
            <wp:effectExtent l="0" t="0" r="0" b="635"/>
            <wp:docPr id="4" name="Picture 4" descr="DEED Logo and Export Newsletter Header, 2nd Quarter&#10;&#10;Data on Minnesota Exports for Second Quarter 2021 – Published September 2021&#10;For More Information: Jen Gates 651-358-0300&#10;&#10;&#10;Minnesota Quarterly Export Statistics is the most current resource available for tracking the state’s manufactured export tren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http://mn.gov/deed/data/export-stats/).&#10;"/>
            <wp:cNvGraphicFramePr/>
            <a:graphic xmlns:a="http://schemas.openxmlformats.org/drawingml/2006/main">
              <a:graphicData uri="http://schemas.openxmlformats.org/drawingml/2006/picture">
                <pic:pic xmlns:pic="http://schemas.openxmlformats.org/drawingml/2006/picture">
                  <pic:nvPicPr>
                    <pic:cNvPr id="1" name="Picture 1" descr="Data on Minnesota Exports for Second Quarter 2017 – Published August 2017.&#10;For More Information: Shane Delaney, 651-259-7236.&#10;&#10;Minnesota Quarterly Export Statistics is the most current resource available for tracking the state’s manufactured export tren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itime &amp; Trade. Reports are available on DEED’s website at “Export and Trade Statistics” (http://mn.gov/deed/data/export-stats/).&#10;" title="DEED Logo and Export Newsletter Header, 2nd Quart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1104265"/>
                    </a:xfrm>
                    <a:prstGeom prst="rect">
                      <a:avLst/>
                    </a:prstGeom>
                  </pic:spPr>
                </pic:pic>
              </a:graphicData>
            </a:graphic>
          </wp:inline>
        </w:drawing>
      </w:r>
    </w:p>
    <w:p w14:paraId="4EAE8978" w14:textId="57D94662" w:rsidR="00CE313B" w:rsidRPr="00E63FC4" w:rsidRDefault="00CE313B" w:rsidP="007F1C4A">
      <w:pPr>
        <w:tabs>
          <w:tab w:val="left" w:pos="360"/>
          <w:tab w:val="left" w:pos="6660"/>
        </w:tabs>
        <w:spacing w:after="240"/>
        <w:jc w:val="center"/>
        <w:sectPr w:rsidR="00CE313B" w:rsidRPr="00E63FC4" w:rsidSect="0055424F">
          <w:headerReference w:type="even" r:id="rId9"/>
          <w:headerReference w:type="default" r:id="rId10"/>
          <w:footerReference w:type="even" r:id="rId11"/>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p>
    <w:p w14:paraId="18DCA261" w14:textId="754D7CC1" w:rsidR="00641D3B" w:rsidRPr="00E63FC4" w:rsidRDefault="007B7FBF" w:rsidP="007A7784">
      <w:pPr>
        <w:pStyle w:val="Heading1"/>
        <w:spacing w:before="600" w:after="120"/>
        <w:rPr>
          <w:rFonts w:asciiTheme="minorHAnsi" w:hAnsiTheme="minorHAnsi"/>
          <w:color w:val="auto"/>
          <w:sz w:val="36"/>
          <w:szCs w:val="30"/>
        </w:rPr>
        <w:sectPr w:rsidR="00641D3B" w:rsidRPr="00E63FC4" w:rsidSect="00641D3B">
          <w:footnotePr>
            <w:numRestart w:val="eachSect"/>
          </w:footnotePr>
          <w:endnotePr>
            <w:numFmt w:val="decimal"/>
          </w:endnotePr>
          <w:type w:val="continuous"/>
          <w:pgSz w:w="12240" w:h="15840" w:code="1"/>
          <w:pgMar w:top="720" w:right="1008" w:bottom="547" w:left="1008" w:header="720" w:footer="720" w:gutter="0"/>
          <w:cols w:space="720"/>
          <w:titlePg/>
          <w:docGrid w:linePitch="272"/>
        </w:sectPr>
      </w:pPr>
      <w:r w:rsidRPr="00E63FC4">
        <w:rPr>
          <w:rFonts w:asciiTheme="minorHAnsi" w:hAnsiTheme="minorHAnsi"/>
          <w:color w:val="auto"/>
          <w:sz w:val="36"/>
          <w:szCs w:val="30"/>
        </w:rPr>
        <w:t xml:space="preserve">Exports </w:t>
      </w:r>
      <w:r w:rsidR="00507C77" w:rsidRPr="00E63FC4">
        <w:rPr>
          <w:rFonts w:asciiTheme="minorHAnsi" w:hAnsiTheme="minorHAnsi"/>
          <w:color w:val="auto"/>
          <w:sz w:val="36"/>
          <w:szCs w:val="30"/>
        </w:rPr>
        <w:t xml:space="preserve">in Rebound Mode, </w:t>
      </w:r>
      <w:r w:rsidRPr="00E63FC4">
        <w:rPr>
          <w:rFonts w:asciiTheme="minorHAnsi" w:hAnsiTheme="minorHAnsi"/>
          <w:color w:val="auto"/>
          <w:sz w:val="36"/>
          <w:szCs w:val="30"/>
        </w:rPr>
        <w:t xml:space="preserve">Jump 29% </w:t>
      </w:r>
      <w:r w:rsidR="007A7784" w:rsidRPr="00E63FC4">
        <w:rPr>
          <w:rFonts w:asciiTheme="minorHAnsi" w:hAnsiTheme="minorHAnsi"/>
          <w:color w:val="auto"/>
          <w:sz w:val="36"/>
          <w:szCs w:val="30"/>
        </w:rPr>
        <w:t xml:space="preserve">in </w:t>
      </w:r>
      <w:r w:rsidRPr="00E63FC4">
        <w:rPr>
          <w:rFonts w:asciiTheme="minorHAnsi" w:hAnsiTheme="minorHAnsi"/>
          <w:color w:val="auto"/>
          <w:sz w:val="36"/>
          <w:szCs w:val="30"/>
        </w:rPr>
        <w:t xml:space="preserve">the </w:t>
      </w:r>
      <w:r w:rsidR="007A7784" w:rsidRPr="00E63FC4">
        <w:rPr>
          <w:rFonts w:asciiTheme="minorHAnsi" w:hAnsiTheme="minorHAnsi"/>
          <w:color w:val="auto"/>
          <w:sz w:val="36"/>
          <w:szCs w:val="30"/>
        </w:rPr>
        <w:t>Second Quarter</w:t>
      </w:r>
    </w:p>
    <w:p w14:paraId="0A15A5C4" w14:textId="485DBFA4" w:rsidR="00F521C7" w:rsidRDefault="007F1C4A" w:rsidP="00A5022A">
      <w:pPr>
        <w:pStyle w:val="ListParagraph"/>
        <w:numPr>
          <w:ilvl w:val="0"/>
          <w:numId w:val="9"/>
        </w:numPr>
        <w:spacing w:after="0"/>
      </w:pPr>
      <w:r w:rsidRPr="00E63FC4">
        <w:t>Minnesota exports</w:t>
      </w:r>
      <w:r w:rsidR="00F20245" w:rsidRPr="00E63FC4">
        <w:t xml:space="preserve"> of goods</w:t>
      </w:r>
      <w:r w:rsidRPr="00E63FC4">
        <w:t xml:space="preserve"> (including agricultural, mini</w:t>
      </w:r>
      <w:bookmarkStart w:id="0" w:name="_GoBack"/>
      <w:bookmarkEnd w:id="0"/>
      <w:r w:rsidRPr="00E63FC4">
        <w:t>ng and manufact</w:t>
      </w:r>
      <w:r w:rsidR="00A02A94" w:rsidRPr="00E63FC4">
        <w:t xml:space="preserve">ured products) </w:t>
      </w:r>
      <w:r w:rsidR="006B1B1A" w:rsidRPr="00E63FC4">
        <w:t xml:space="preserve">jumped 29% to </w:t>
      </w:r>
      <w:r w:rsidR="00E92FA6" w:rsidRPr="00E63FC4">
        <w:t>$</w:t>
      </w:r>
      <w:r w:rsidR="00955D44" w:rsidRPr="00E63FC4">
        <w:t>6</w:t>
      </w:r>
      <w:r w:rsidR="00C23DAA" w:rsidRPr="00E63FC4">
        <w:t xml:space="preserve"> billion</w:t>
      </w:r>
      <w:r w:rsidR="00DB304D" w:rsidRPr="00E63FC4">
        <w:t xml:space="preserve"> in the </w:t>
      </w:r>
      <w:r w:rsidR="00955D44" w:rsidRPr="00E63FC4">
        <w:t>second</w:t>
      </w:r>
      <w:r w:rsidR="00DB304D" w:rsidRPr="00E63FC4">
        <w:t xml:space="preserve"> quarter of </w:t>
      </w:r>
      <w:r w:rsidR="00A30328" w:rsidRPr="00E63FC4">
        <w:t>2021</w:t>
      </w:r>
      <w:r w:rsidR="00955D44" w:rsidRPr="00E63FC4">
        <w:t xml:space="preserve">. </w:t>
      </w:r>
      <w:r w:rsidR="007B7FBF" w:rsidRPr="00E63FC4">
        <w:t>Recovering markets generated</w:t>
      </w:r>
      <w:r w:rsidR="006B1B1A" w:rsidRPr="00E63FC4">
        <w:t xml:space="preserve"> </w:t>
      </w:r>
      <w:r w:rsidR="00955D44" w:rsidRPr="00E63FC4">
        <w:t>$1.3</w:t>
      </w:r>
      <w:r w:rsidR="00C23DAA" w:rsidRPr="00E63FC4">
        <w:t xml:space="preserve"> </w:t>
      </w:r>
      <w:r w:rsidR="00955D44" w:rsidRPr="00E63FC4">
        <w:t>b</w:t>
      </w:r>
      <w:r w:rsidR="00C23DAA" w:rsidRPr="00E63FC4">
        <w:t>illion</w:t>
      </w:r>
      <w:r w:rsidRPr="00E63FC4">
        <w:t xml:space="preserve"> </w:t>
      </w:r>
      <w:r w:rsidR="007B7FBF" w:rsidRPr="00E63FC4">
        <w:t>more in</w:t>
      </w:r>
      <w:r w:rsidR="00507C77" w:rsidRPr="00E63FC4">
        <w:t xml:space="preserve"> </w:t>
      </w:r>
      <w:r w:rsidR="00F521C7">
        <w:t xml:space="preserve">the state’s </w:t>
      </w:r>
      <w:r w:rsidR="00507C77" w:rsidRPr="00E63FC4">
        <w:t>sales</w:t>
      </w:r>
      <w:r w:rsidR="007B7FBF" w:rsidRPr="00E63FC4">
        <w:t>, compared to</w:t>
      </w:r>
      <w:r w:rsidRPr="00E63FC4">
        <w:t xml:space="preserve"> </w:t>
      </w:r>
      <w:r w:rsidR="00955D44" w:rsidRPr="00E63FC4">
        <w:t>second</w:t>
      </w:r>
      <w:r w:rsidRPr="00E63FC4">
        <w:t xml:space="preserve"> qu</w:t>
      </w:r>
      <w:r w:rsidR="00DB304D" w:rsidRPr="00E63FC4">
        <w:t>arter</w:t>
      </w:r>
      <w:r w:rsidR="00957BCF" w:rsidRPr="00E63FC4">
        <w:t xml:space="preserve"> of </w:t>
      </w:r>
      <w:r w:rsidR="00A30328" w:rsidRPr="00E63FC4">
        <w:t>2020</w:t>
      </w:r>
      <w:r w:rsidR="00B85149" w:rsidRPr="00E63FC4">
        <w:t>.</w:t>
      </w:r>
      <w:r w:rsidR="006B1B1A" w:rsidRPr="00E63FC4">
        <w:t xml:space="preserve"> </w:t>
      </w:r>
    </w:p>
    <w:p w14:paraId="46069970" w14:textId="0B901F3D" w:rsidR="006D7A33" w:rsidRDefault="00C97041" w:rsidP="00A5022A">
      <w:pPr>
        <w:pStyle w:val="ListParagraph"/>
        <w:numPr>
          <w:ilvl w:val="0"/>
          <w:numId w:val="9"/>
        </w:numPr>
        <w:spacing w:after="0"/>
      </w:pPr>
      <w:r w:rsidRPr="00E63FC4">
        <w:t>U.S. exports</w:t>
      </w:r>
      <w:r w:rsidR="00742415" w:rsidRPr="00E63FC4">
        <w:t xml:space="preserve"> of goods</w:t>
      </w:r>
      <w:r w:rsidR="00C23DAA" w:rsidRPr="00E63FC4">
        <w:t xml:space="preserve"> </w:t>
      </w:r>
      <w:r w:rsidR="00955D44" w:rsidRPr="00E63FC4">
        <w:t>increased 51</w:t>
      </w:r>
      <w:r w:rsidR="007818E5" w:rsidRPr="00E63FC4">
        <w:t>%</w:t>
      </w:r>
      <w:r w:rsidR="00521967" w:rsidRPr="00E63FC4">
        <w:t xml:space="preserve"> </w:t>
      </w:r>
      <w:r w:rsidR="006B1B1A" w:rsidRPr="00E63FC4">
        <w:t>between the</w:t>
      </w:r>
      <w:r w:rsidR="007216E3" w:rsidRPr="00E63FC4">
        <w:t xml:space="preserve"> </w:t>
      </w:r>
      <w:r w:rsidR="00955D44" w:rsidRPr="00E63FC4">
        <w:t>second</w:t>
      </w:r>
      <w:r w:rsidR="007216E3" w:rsidRPr="00E63FC4">
        <w:t xml:space="preserve"> quarter</w:t>
      </w:r>
      <w:r w:rsidR="006B1B1A" w:rsidRPr="00E63FC4">
        <w:t>s of 2020 and 2021</w:t>
      </w:r>
      <w:r w:rsidR="00956763" w:rsidRPr="00E63FC4">
        <w:t xml:space="preserve">. </w:t>
      </w:r>
      <w:r w:rsidR="00955D44" w:rsidRPr="00E63FC4">
        <w:t>All</w:t>
      </w:r>
      <w:r w:rsidR="00AE3C57" w:rsidRPr="00E63FC4">
        <w:t xml:space="preserve"> </w:t>
      </w:r>
      <w:r w:rsidR="001625A3" w:rsidRPr="00E63FC4">
        <w:t>states had</w:t>
      </w:r>
      <w:r w:rsidR="00954A83" w:rsidRPr="00E63FC4">
        <w:t xml:space="preserve"> positive </w:t>
      </w:r>
      <w:r w:rsidR="00955D44" w:rsidRPr="00E63FC4">
        <w:t xml:space="preserve">export </w:t>
      </w:r>
      <w:r w:rsidR="00954A83" w:rsidRPr="00E63FC4">
        <w:t>growth</w:t>
      </w:r>
      <w:r w:rsidR="00CA0F8C" w:rsidRPr="00E63FC4">
        <w:t xml:space="preserve"> </w:t>
      </w:r>
      <w:r w:rsidR="00955D44" w:rsidRPr="00E63FC4">
        <w:t>during this period.</w:t>
      </w:r>
    </w:p>
    <w:p w14:paraId="4DD87C11" w14:textId="77777777" w:rsidR="006913B8" w:rsidRPr="00E63FC4" w:rsidRDefault="006913B8" w:rsidP="006913B8">
      <w:pPr>
        <w:pStyle w:val="ListParagraph"/>
        <w:numPr>
          <w:ilvl w:val="0"/>
          <w:numId w:val="9"/>
        </w:numPr>
        <w:spacing w:after="0"/>
      </w:pPr>
      <w:r>
        <w:t>C</w:t>
      </w:r>
      <w:r w:rsidRPr="00E63FC4">
        <w:t xml:space="preserve">ompared to the </w:t>
      </w:r>
      <w:r>
        <w:t xml:space="preserve">pre-pandemic </w:t>
      </w:r>
      <w:r w:rsidRPr="00E63FC4">
        <w:t>second quarter of 2019</w:t>
      </w:r>
      <w:r>
        <w:t>, the s</w:t>
      </w:r>
      <w:r w:rsidRPr="00E63FC4">
        <w:t>tate</w:t>
      </w:r>
      <w:r>
        <w:t>’s</w:t>
      </w:r>
      <w:r w:rsidRPr="00E63FC4">
        <w:t xml:space="preserve"> exports were up 5%</w:t>
      </w:r>
      <w:r>
        <w:t>, which matched U.S. export growth of 5% for this period.</w:t>
      </w:r>
    </w:p>
    <w:p w14:paraId="5C9FF439" w14:textId="6619DFC1" w:rsidR="004F6D22" w:rsidRPr="00E63FC4" w:rsidRDefault="00692D3B" w:rsidP="00A5022A">
      <w:pPr>
        <w:pStyle w:val="ListParagraph"/>
        <w:numPr>
          <w:ilvl w:val="0"/>
          <w:numId w:val="9"/>
        </w:numPr>
        <w:spacing w:after="0"/>
      </w:pPr>
      <w:r w:rsidRPr="00E63FC4">
        <w:t>Minnesota</w:t>
      </w:r>
      <w:r w:rsidR="007216E3" w:rsidRPr="00E63FC4">
        <w:t>’s</w:t>
      </w:r>
      <w:r w:rsidRPr="00E63FC4">
        <w:t xml:space="preserve"> </w:t>
      </w:r>
      <w:r w:rsidRPr="00E63FC4">
        <w:rPr>
          <w:i/>
        </w:rPr>
        <w:t>manufactured</w:t>
      </w:r>
      <w:r w:rsidR="001F7EBF" w:rsidRPr="00E63FC4">
        <w:t xml:space="preserve"> exports</w:t>
      </w:r>
      <w:r w:rsidR="00DD736C" w:rsidRPr="00E63FC4">
        <w:t xml:space="preserve"> </w:t>
      </w:r>
      <w:r w:rsidR="00955D44" w:rsidRPr="00E63FC4">
        <w:t>jumped 29</w:t>
      </w:r>
      <w:r w:rsidR="00742415" w:rsidRPr="00E63FC4">
        <w:t>%</w:t>
      </w:r>
      <w:r w:rsidR="00C97041" w:rsidRPr="00E63FC4">
        <w:t xml:space="preserve"> </w:t>
      </w:r>
      <w:r w:rsidR="006913B8">
        <w:t>between the second quarters of 2020 and 2021, while</w:t>
      </w:r>
      <w:r w:rsidR="00C23DAA" w:rsidRPr="00E63FC4">
        <w:t xml:space="preserve"> </w:t>
      </w:r>
      <w:r w:rsidR="00E42787" w:rsidRPr="00E63FC4">
        <w:t>U.S</w:t>
      </w:r>
      <w:r w:rsidR="00742415" w:rsidRPr="00E63FC4">
        <w:t xml:space="preserve">. </w:t>
      </w:r>
      <w:r w:rsidR="00742415" w:rsidRPr="00E63FC4">
        <w:rPr>
          <w:i/>
        </w:rPr>
        <w:t>manufactured</w:t>
      </w:r>
      <w:r w:rsidR="00742415" w:rsidRPr="00E63FC4">
        <w:t xml:space="preserve"> exports </w:t>
      </w:r>
      <w:r w:rsidR="00507C77" w:rsidRPr="00E63FC4">
        <w:t>increased</w:t>
      </w:r>
      <w:r w:rsidR="00956763" w:rsidRPr="00E63FC4">
        <w:t xml:space="preserve"> </w:t>
      </w:r>
      <w:r w:rsidR="00507C77" w:rsidRPr="00E63FC4">
        <w:t>46</w:t>
      </w:r>
      <w:r w:rsidR="007818E5" w:rsidRPr="00E63FC4">
        <w:t>%</w:t>
      </w:r>
      <w:r w:rsidR="00557377" w:rsidRPr="00E63FC4">
        <w:t>.</w:t>
      </w:r>
    </w:p>
    <w:p w14:paraId="1956C568" w14:textId="77777777" w:rsidR="00F521C7" w:rsidRPr="00F521C7" w:rsidRDefault="00107130" w:rsidP="00A5022A">
      <w:pPr>
        <w:pStyle w:val="ListParagraph"/>
        <w:numPr>
          <w:ilvl w:val="0"/>
          <w:numId w:val="9"/>
        </w:numPr>
        <w:spacing w:after="0" w:line="271" w:lineRule="auto"/>
        <w:rPr>
          <w:rFonts w:eastAsiaTheme="majorEastAsia" w:cstheme="majorBidi"/>
          <w:bCs/>
          <w:i/>
          <w:iCs/>
          <w:sz w:val="24"/>
        </w:rPr>
      </w:pPr>
      <w:r w:rsidRPr="00E63FC4">
        <w:t>Between the first half of 2020 and 2021, Minnesota exports grew 10%, while U.S. exports grew 23%.</w:t>
      </w:r>
    </w:p>
    <w:p w14:paraId="506237ED" w14:textId="77777777" w:rsidR="00F521C7" w:rsidRDefault="00F521C7" w:rsidP="00F521C7">
      <w:pPr>
        <w:spacing w:after="0" w:line="271" w:lineRule="auto"/>
        <w:rPr>
          <w:rStyle w:val="Heading4Char"/>
          <w:color w:val="auto"/>
        </w:rPr>
      </w:pPr>
    </w:p>
    <w:p w14:paraId="03CA25DA" w14:textId="23996FC9" w:rsidR="007F1C4A" w:rsidRPr="00F521C7" w:rsidRDefault="007F1C4A" w:rsidP="00F521C7">
      <w:pPr>
        <w:spacing w:after="0" w:line="271" w:lineRule="auto"/>
        <w:rPr>
          <w:rStyle w:val="Heading4Char"/>
          <w:color w:val="auto"/>
        </w:rPr>
      </w:pPr>
      <w:r w:rsidRPr="00F521C7">
        <w:rPr>
          <w:rStyle w:val="Heading4Char"/>
          <w:color w:val="auto"/>
        </w:rPr>
        <w:t xml:space="preserve">Figure </w:t>
      </w:r>
      <w:r w:rsidRPr="00F521C7">
        <w:rPr>
          <w:rStyle w:val="Heading4Char"/>
          <w:color w:val="auto"/>
        </w:rPr>
        <w:fldChar w:fldCharType="begin"/>
      </w:r>
      <w:r w:rsidRPr="00F521C7">
        <w:rPr>
          <w:rStyle w:val="Heading4Char"/>
          <w:color w:val="auto"/>
        </w:rPr>
        <w:instrText xml:space="preserve"> SEQ Figure \* ARABIC </w:instrText>
      </w:r>
      <w:r w:rsidRPr="00F521C7">
        <w:rPr>
          <w:rStyle w:val="Heading4Char"/>
          <w:color w:val="auto"/>
        </w:rPr>
        <w:fldChar w:fldCharType="separate"/>
      </w:r>
      <w:r w:rsidR="00C430F8" w:rsidRPr="00F521C7">
        <w:rPr>
          <w:rStyle w:val="Heading4Char"/>
          <w:noProof/>
          <w:color w:val="auto"/>
        </w:rPr>
        <w:t>1</w:t>
      </w:r>
      <w:r w:rsidRPr="00F521C7">
        <w:rPr>
          <w:rStyle w:val="Heading4Char"/>
          <w:color w:val="auto"/>
        </w:rPr>
        <w:fldChar w:fldCharType="end"/>
      </w:r>
      <w:r w:rsidR="00A52415" w:rsidRPr="00F521C7">
        <w:rPr>
          <w:rStyle w:val="Heading4Char"/>
          <w:color w:val="auto"/>
        </w:rPr>
        <w:t xml:space="preserve">. </w:t>
      </w:r>
      <w:r w:rsidR="00FB2147" w:rsidRPr="00F521C7">
        <w:rPr>
          <w:rStyle w:val="Heading4Char"/>
          <w:color w:val="auto"/>
        </w:rPr>
        <w:t xml:space="preserve">Exports Increase </w:t>
      </w:r>
      <w:r w:rsidR="004F6D22" w:rsidRPr="00F521C7">
        <w:rPr>
          <w:rStyle w:val="Heading4Char"/>
          <w:color w:val="auto"/>
        </w:rPr>
        <w:t>from</w:t>
      </w:r>
      <w:r w:rsidR="0046703D" w:rsidRPr="00F521C7">
        <w:rPr>
          <w:rStyle w:val="Heading4Char"/>
          <w:color w:val="auto"/>
        </w:rPr>
        <w:t xml:space="preserve"> </w:t>
      </w:r>
      <w:r w:rsidR="006B1B1A" w:rsidRPr="00F521C7">
        <w:rPr>
          <w:rStyle w:val="Heading4Char"/>
          <w:color w:val="auto"/>
        </w:rPr>
        <w:t>All</w:t>
      </w:r>
      <w:r w:rsidR="00CA0F8C" w:rsidRPr="00F521C7">
        <w:rPr>
          <w:rStyle w:val="Heading4Char"/>
          <w:color w:val="auto"/>
        </w:rPr>
        <w:t xml:space="preserve"> States</w:t>
      </w:r>
      <w:r w:rsidR="00FB2147" w:rsidRPr="00F521C7">
        <w:rPr>
          <w:rStyle w:val="Heading4Char"/>
          <w:color w:val="auto"/>
        </w:rPr>
        <w:t>, 2021-Q2</w:t>
      </w:r>
    </w:p>
    <w:p w14:paraId="5316D7DA" w14:textId="6E89B382" w:rsidR="004F6D22" w:rsidRPr="00E63FC4" w:rsidRDefault="004F6D22" w:rsidP="00707559">
      <w:pPr>
        <w:spacing w:before="120" w:after="0" w:line="271" w:lineRule="auto"/>
        <w:rPr>
          <w:rStyle w:val="Heading4Char"/>
          <w:rFonts w:eastAsiaTheme="minorEastAsia" w:cstheme="minorBidi"/>
          <w:bCs w:val="0"/>
          <w:i w:val="0"/>
          <w:iCs w:val="0"/>
          <w:color w:val="auto"/>
          <w:sz w:val="22"/>
        </w:rPr>
      </w:pPr>
      <w:r w:rsidRPr="00E63FC4">
        <w:rPr>
          <w:noProof/>
        </w:rPr>
        <mc:AlternateContent>
          <mc:Choice Requires="wps">
            <w:drawing>
              <wp:anchor distT="0" distB="0" distL="114300" distR="114300" simplePos="0" relativeHeight="251658752" behindDoc="0" locked="0" layoutInCell="1" allowOverlap="1" wp14:anchorId="24E76B40" wp14:editId="03EC4CF4">
                <wp:simplePos x="0" y="0"/>
                <wp:positionH relativeFrom="column">
                  <wp:align>right</wp:align>
                </wp:positionH>
                <wp:positionV relativeFrom="paragraph">
                  <wp:posOffset>1304925</wp:posOffset>
                </wp:positionV>
                <wp:extent cx="704215" cy="435610"/>
                <wp:effectExtent l="0" t="0" r="0" b="2540"/>
                <wp:wrapNone/>
                <wp:docPr id="307" name="Text Box 2" descr="highlight text box&#10;&#10;MN: +29%&#10;U.S.: +5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35610"/>
                        </a:xfrm>
                        <a:prstGeom prst="rect">
                          <a:avLst/>
                        </a:prstGeom>
                        <a:noFill/>
                        <a:ln w="9525">
                          <a:noFill/>
                          <a:miter lim="800000"/>
                          <a:headEnd/>
                          <a:tailEnd/>
                        </a:ln>
                      </wps:spPr>
                      <wps:txbx>
                        <w:txbxContent>
                          <w:p w14:paraId="60A296D5" w14:textId="4BCE6072" w:rsidR="007F1C4A" w:rsidRPr="00681236" w:rsidRDefault="007F1C4A" w:rsidP="007F1C4A">
                            <w:pPr>
                              <w:spacing w:after="0"/>
                              <w:rPr>
                                <w:b/>
                                <w:i/>
                                <w:sz w:val="20"/>
                              </w:rPr>
                            </w:pPr>
                            <w:r w:rsidRPr="00681236">
                              <w:rPr>
                                <w:b/>
                                <w:i/>
                                <w:sz w:val="20"/>
                              </w:rPr>
                              <w:t>M</w:t>
                            </w:r>
                            <w:r w:rsidR="0065603B" w:rsidRPr="00681236">
                              <w:rPr>
                                <w:b/>
                                <w:i/>
                                <w:sz w:val="20"/>
                              </w:rPr>
                              <w:t xml:space="preserve">N: </w:t>
                            </w:r>
                            <w:r w:rsidR="00CE1F0A">
                              <w:rPr>
                                <w:b/>
                                <w:i/>
                                <w:sz w:val="20"/>
                              </w:rPr>
                              <w:t>29</w:t>
                            </w:r>
                            <w:r w:rsidRPr="00681236">
                              <w:rPr>
                                <w:b/>
                                <w:i/>
                                <w:sz w:val="20"/>
                              </w:rPr>
                              <w:t>%</w:t>
                            </w:r>
                          </w:p>
                          <w:p w14:paraId="588145EA" w14:textId="0BCB2359" w:rsidR="007F1C4A" w:rsidRPr="00681236" w:rsidRDefault="00293DCF" w:rsidP="007F1C4A">
                            <w:pPr>
                              <w:spacing w:after="0"/>
                              <w:rPr>
                                <w:b/>
                                <w:i/>
                                <w:sz w:val="20"/>
                              </w:rPr>
                            </w:pPr>
                            <w:r w:rsidRPr="00681236">
                              <w:rPr>
                                <w:b/>
                                <w:i/>
                                <w:sz w:val="20"/>
                              </w:rPr>
                              <w:t xml:space="preserve">U.S.: </w:t>
                            </w:r>
                            <w:r w:rsidR="00CE1F0A">
                              <w:rPr>
                                <w:b/>
                                <w:i/>
                                <w:sz w:val="20"/>
                              </w:rPr>
                              <w:t>51</w:t>
                            </w:r>
                            <w:r w:rsidR="007F1C4A" w:rsidRPr="00681236">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highlight text box&#10;&#10;MN: +29%&#10;U.S.: +51%&#10;" style="position:absolute;margin-left:4.25pt;margin-top:102.75pt;width:55.45pt;height:34.3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" filled="f" stroked="f">
                <v:textbox>
                  <w:txbxContent>
                    <w:p w14:paraId="60A296D5" w14:textId="4BCE6072" w:rsidR="007F1C4A" w:rsidRPr="00681236" w:rsidRDefault="007F1C4A" w:rsidP="007F1C4A">
                      <w:pPr>
                        <w:spacing w:after="0"/>
                        <w:rPr>
                          <w:b/>
                          <w:i/>
                          <w:sz w:val="20"/>
                        </w:rPr>
                      </w:pPr>
                      <w:r w:rsidRPr="00681236">
                        <w:rPr>
                          <w:b/>
                          <w:i/>
                          <w:sz w:val="20"/>
                        </w:rPr>
                        <w:t>M</w:t>
                      </w:r>
                      <w:r w:rsidR="0065603B" w:rsidRPr="00681236">
                        <w:rPr>
                          <w:b/>
                          <w:i/>
                          <w:sz w:val="20"/>
                        </w:rPr>
                        <w:t xml:space="preserve">N: </w:t>
                      </w:r>
                      <w:r w:rsidR="00CE1F0A">
                        <w:rPr>
                          <w:b/>
                          <w:i/>
                          <w:sz w:val="20"/>
                        </w:rPr>
                        <w:t>29</w:t>
                      </w:r>
                      <w:r w:rsidRPr="00681236">
                        <w:rPr>
                          <w:b/>
                          <w:i/>
                          <w:sz w:val="20"/>
                        </w:rPr>
                        <w:t>%</w:t>
                      </w:r>
                    </w:p>
                    <w:p w14:paraId="588145EA" w14:textId="0BCB2359" w:rsidR="007F1C4A" w:rsidRPr="00681236" w:rsidRDefault="00293DCF" w:rsidP="007F1C4A">
                      <w:pPr>
                        <w:spacing w:after="0"/>
                        <w:rPr>
                          <w:b/>
                          <w:i/>
                          <w:sz w:val="20"/>
                        </w:rPr>
                      </w:pPr>
                      <w:r w:rsidRPr="00681236">
                        <w:rPr>
                          <w:b/>
                          <w:i/>
                          <w:sz w:val="20"/>
                        </w:rPr>
                        <w:t xml:space="preserve">U.S.: </w:t>
                      </w:r>
                      <w:r w:rsidR="00CE1F0A">
                        <w:rPr>
                          <w:b/>
                          <w:i/>
                          <w:sz w:val="20"/>
                        </w:rPr>
                        <w:t>51</w:t>
                      </w:r>
                      <w:r w:rsidR="007F1C4A" w:rsidRPr="00681236">
                        <w:rPr>
                          <w:b/>
                          <w:i/>
                          <w:sz w:val="20"/>
                        </w:rPr>
                        <w:t>%</w:t>
                      </w:r>
                    </w:p>
                  </w:txbxContent>
                </v:textbox>
              </v:shape>
            </w:pict>
          </mc:Fallback>
        </mc:AlternateContent>
      </w:r>
      <w:r w:rsidR="005C10BC" w:rsidRPr="00E63FC4">
        <w:rPr>
          <w:noProof/>
        </w:rPr>
        <w:drawing>
          <wp:inline distT="0" distB="0" distL="0" distR="0" wp14:anchorId="240DBA3A" wp14:editId="47E10B95">
            <wp:extent cx="3286664" cy="179984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134" b="11359"/>
                    <a:stretch/>
                  </pic:blipFill>
                  <pic:spPr bwMode="auto">
                    <a:xfrm>
                      <a:off x="0" y="0"/>
                      <a:ext cx="3329283" cy="1823179"/>
                    </a:xfrm>
                    <a:prstGeom prst="rect">
                      <a:avLst/>
                    </a:prstGeom>
                    <a:noFill/>
                    <a:ln>
                      <a:noFill/>
                    </a:ln>
                    <a:extLst>
                      <a:ext uri="{53640926-AAD7-44D8-BBD7-CCE9431645EC}">
                        <a14:shadowObscured xmlns:a14="http://schemas.microsoft.com/office/drawing/2010/main"/>
                      </a:ext>
                    </a:extLst>
                  </pic:spPr>
                </pic:pic>
              </a:graphicData>
            </a:graphic>
          </wp:inline>
        </w:drawing>
      </w:r>
    </w:p>
    <w:p w14:paraId="567BEDF5" w14:textId="028DEFC2" w:rsidR="00BE4DAD" w:rsidRPr="00E63FC4" w:rsidRDefault="005C10BC" w:rsidP="00173D78">
      <w:pPr>
        <w:spacing w:after="0"/>
        <w:rPr>
          <w:rFonts w:ascii="Arial Narrow" w:hAnsi="Arial Narrow"/>
          <w:sz w:val="2"/>
          <w:szCs w:val="2"/>
        </w:rPr>
      </w:pPr>
      <w:r w:rsidRPr="00E63FC4">
        <w:rPr>
          <w:noProof/>
        </w:rPr>
        <w:drawing>
          <wp:inline distT="0" distB="0" distL="0" distR="0" wp14:anchorId="2960A65E" wp14:editId="41001959">
            <wp:extent cx="12096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b="41860"/>
                    <a:stretch/>
                  </pic:blipFill>
                  <pic:spPr bwMode="auto">
                    <a:xfrm>
                      <a:off x="0" y="0"/>
                      <a:ext cx="1209675" cy="238125"/>
                    </a:xfrm>
                    <a:prstGeom prst="rect">
                      <a:avLst/>
                    </a:prstGeom>
                    <a:noFill/>
                    <a:ln>
                      <a:noFill/>
                    </a:ln>
                    <a:extLst>
                      <a:ext uri="{53640926-AAD7-44D8-BBD7-CCE9431645EC}">
                        <a14:shadowObscured xmlns:a14="http://schemas.microsoft.com/office/drawing/2010/main"/>
                      </a:ext>
                    </a:extLst>
                  </pic:spPr>
                </pic:pic>
              </a:graphicData>
            </a:graphic>
          </wp:inline>
        </w:drawing>
      </w:r>
    </w:p>
    <w:p w14:paraId="49F8295F" w14:textId="5FB8D004" w:rsidR="005A5CF0" w:rsidRPr="00E63FC4" w:rsidRDefault="005A5CF0" w:rsidP="005A5CF0">
      <w:pPr>
        <w:spacing w:after="0"/>
        <w:rPr>
          <w:i/>
          <w:sz w:val="18"/>
        </w:rPr>
      </w:pPr>
      <w:r w:rsidRPr="00E63FC4">
        <w:rPr>
          <w:i/>
          <w:sz w:val="18"/>
        </w:rPr>
        <w:t xml:space="preserve">           0%                   115%</w:t>
      </w:r>
    </w:p>
    <w:p w14:paraId="1A33A2C5" w14:textId="77777777" w:rsidR="005A5CF0" w:rsidRPr="00E63FC4" w:rsidRDefault="005A5CF0" w:rsidP="00173D78">
      <w:pPr>
        <w:spacing w:after="0"/>
        <w:rPr>
          <w:rFonts w:ascii="Arial Narrow" w:hAnsi="Arial Narrow"/>
          <w:sz w:val="2"/>
          <w:szCs w:val="2"/>
        </w:rPr>
      </w:pPr>
    </w:p>
    <w:p w14:paraId="1670DAFE" w14:textId="77777777" w:rsidR="005A5CF0" w:rsidRPr="00E63FC4" w:rsidRDefault="005A5CF0" w:rsidP="00173D78">
      <w:pPr>
        <w:spacing w:after="0"/>
        <w:rPr>
          <w:rFonts w:ascii="Arial Narrow" w:hAnsi="Arial Narrow"/>
          <w:sz w:val="2"/>
          <w:szCs w:val="2"/>
        </w:rPr>
      </w:pPr>
    </w:p>
    <w:p w14:paraId="6B23B2F3" w14:textId="45E4B9A4" w:rsidR="005C10BC" w:rsidRPr="00E63FC4" w:rsidRDefault="005C10BC" w:rsidP="00173D78">
      <w:pPr>
        <w:spacing w:after="0"/>
        <w:rPr>
          <w:rFonts w:ascii="Arial Narrow" w:hAnsi="Arial Narrow"/>
          <w:sz w:val="2"/>
          <w:szCs w:val="2"/>
        </w:rPr>
        <w:sectPr w:rsidR="005C10BC" w:rsidRPr="00E63FC4" w:rsidSect="00F20245">
          <w:footnotePr>
            <w:numRestart w:val="eachSect"/>
          </w:footnotePr>
          <w:endnotePr>
            <w:numFmt w:val="decimal"/>
          </w:endnotePr>
          <w:type w:val="continuous"/>
          <w:pgSz w:w="12240" w:h="15840" w:code="1"/>
          <w:pgMar w:top="720" w:right="720" w:bottom="720" w:left="990" w:header="720" w:footer="720" w:gutter="0"/>
          <w:cols w:num="2" w:space="450"/>
          <w:titlePg/>
          <w:docGrid w:linePitch="299"/>
        </w:sectPr>
      </w:pPr>
      <w:r w:rsidRPr="00E63FC4">
        <w:rPr>
          <w:rFonts w:cstheme="minorHAnsi"/>
          <w:i/>
          <w:iCs/>
          <w:sz w:val="18"/>
          <w:szCs w:val="18"/>
        </w:rPr>
        <w:t>Note: Exports from Washington DC dropped 34</w:t>
      </w:r>
      <w:r w:rsidR="007A7784" w:rsidRPr="00E63FC4">
        <w:rPr>
          <w:rFonts w:cstheme="minorHAnsi"/>
          <w:i/>
          <w:iCs/>
          <w:sz w:val="18"/>
          <w:szCs w:val="18"/>
        </w:rPr>
        <w:t>%.</w:t>
      </w:r>
    </w:p>
    <w:p w14:paraId="53950F02" w14:textId="667B0071" w:rsidR="00E83789" w:rsidRPr="00E63FC4" w:rsidRDefault="007B7FBF" w:rsidP="00F20245">
      <w:pPr>
        <w:pStyle w:val="Heading2"/>
        <w:spacing w:before="120"/>
        <w:rPr>
          <w:rFonts w:asciiTheme="minorHAnsi" w:hAnsiTheme="minorHAnsi"/>
          <w:b w:val="0"/>
          <w:i/>
          <w:color w:val="auto"/>
          <w:sz w:val="28"/>
        </w:rPr>
      </w:pPr>
      <w:r w:rsidRPr="00E63FC4">
        <w:rPr>
          <w:rFonts w:asciiTheme="minorHAnsi" w:hAnsiTheme="minorHAnsi"/>
          <w:b w:val="0"/>
          <w:i/>
          <w:color w:val="auto"/>
          <w:sz w:val="28"/>
        </w:rPr>
        <w:t xml:space="preserve">Exports Strengthen to All Regions – Strongest Performances in </w:t>
      </w:r>
      <w:r w:rsidR="00DF72CB">
        <w:rPr>
          <w:rFonts w:asciiTheme="minorHAnsi" w:hAnsiTheme="minorHAnsi"/>
          <w:b w:val="0"/>
          <w:i/>
          <w:color w:val="auto"/>
          <w:sz w:val="28"/>
        </w:rPr>
        <w:t>North America, Europe</w:t>
      </w:r>
    </w:p>
    <w:p w14:paraId="66AF4A0D" w14:textId="1B6451C9" w:rsidR="00780550" w:rsidRPr="00E63FC4" w:rsidRDefault="00CE1F0A" w:rsidP="005B60CB">
      <w:pPr>
        <w:pStyle w:val="ListParagraph"/>
        <w:numPr>
          <w:ilvl w:val="0"/>
          <w:numId w:val="10"/>
        </w:numPr>
        <w:spacing w:after="0"/>
      </w:pPr>
      <w:r w:rsidRPr="00E63FC4">
        <w:t>R</w:t>
      </w:r>
      <w:r w:rsidR="007216E3" w:rsidRPr="00E63FC4">
        <w:t>evers</w:t>
      </w:r>
      <w:r w:rsidRPr="00E63FC4">
        <w:t>ing much of</w:t>
      </w:r>
      <w:r w:rsidR="00F20245" w:rsidRPr="00E63FC4">
        <w:t xml:space="preserve"> </w:t>
      </w:r>
      <w:r w:rsidR="00107130" w:rsidRPr="00E63FC4">
        <w:t>the p</w:t>
      </w:r>
      <w:r w:rsidR="00F20245" w:rsidRPr="00E63FC4">
        <w:t xml:space="preserve">ast year’s </w:t>
      </w:r>
      <w:r w:rsidR="00107130" w:rsidRPr="00E63FC4">
        <w:t xml:space="preserve">second quarter </w:t>
      </w:r>
      <w:r w:rsidR="00F20245" w:rsidRPr="00E63FC4">
        <w:t>trends</w:t>
      </w:r>
      <w:r w:rsidRPr="00E63FC4">
        <w:t xml:space="preserve">, </w:t>
      </w:r>
      <w:r w:rsidR="007B7FBF" w:rsidRPr="00E63FC4">
        <w:t xml:space="preserve">the </w:t>
      </w:r>
      <w:r w:rsidR="00136664" w:rsidRPr="00E63FC4">
        <w:t>state’s e</w:t>
      </w:r>
      <w:r w:rsidR="000D02DD" w:rsidRPr="00E63FC4">
        <w:t xml:space="preserve">xports </w:t>
      </w:r>
      <w:r w:rsidR="00751E26" w:rsidRPr="00E63FC4">
        <w:t>increased</w:t>
      </w:r>
      <w:r w:rsidR="00F75C80" w:rsidRPr="00E63FC4">
        <w:t xml:space="preserve"> </w:t>
      </w:r>
      <w:r w:rsidRPr="00E63FC4">
        <w:t>66</w:t>
      </w:r>
      <w:r w:rsidR="005727A5" w:rsidRPr="00E63FC4">
        <w:t>%</w:t>
      </w:r>
      <w:r w:rsidR="00277E66" w:rsidRPr="00E63FC4">
        <w:t xml:space="preserve"> </w:t>
      </w:r>
      <w:r w:rsidR="00136664" w:rsidRPr="00E63FC4">
        <w:t xml:space="preserve">to </w:t>
      </w:r>
      <w:r w:rsidR="005727A5" w:rsidRPr="00E63FC4">
        <w:rPr>
          <w:b/>
          <w:bCs/>
        </w:rPr>
        <w:t>North America</w:t>
      </w:r>
      <w:r w:rsidR="00A90983" w:rsidRPr="00E63FC4">
        <w:rPr>
          <w:b/>
          <w:bCs/>
        </w:rPr>
        <w:t xml:space="preserve"> – </w:t>
      </w:r>
      <w:r w:rsidR="005727A5" w:rsidRPr="00E63FC4">
        <w:t xml:space="preserve">the state’s </w:t>
      </w:r>
      <w:r w:rsidR="00A943AF" w:rsidRPr="00E63FC4">
        <w:t xml:space="preserve">top </w:t>
      </w:r>
      <w:r w:rsidR="00A61566" w:rsidRPr="00E63FC4">
        <w:t>regional market</w:t>
      </w:r>
      <w:r w:rsidRPr="00E63FC4">
        <w:t>, 33%</w:t>
      </w:r>
      <w:r w:rsidR="00A61566" w:rsidRPr="00E63FC4">
        <w:t xml:space="preserve"> </w:t>
      </w:r>
      <w:r w:rsidRPr="00E63FC4">
        <w:t xml:space="preserve">to </w:t>
      </w:r>
      <w:r w:rsidR="000D02DD" w:rsidRPr="00E63FC4">
        <w:rPr>
          <w:b/>
        </w:rPr>
        <w:t>Europe</w:t>
      </w:r>
      <w:r w:rsidRPr="00E63FC4">
        <w:rPr>
          <w:bCs/>
        </w:rPr>
        <w:t xml:space="preserve"> and 30% to </w:t>
      </w:r>
      <w:r w:rsidRPr="00E63FC4">
        <w:rPr>
          <w:b/>
        </w:rPr>
        <w:t>Central and South America</w:t>
      </w:r>
      <w:r w:rsidR="00CE7AEB" w:rsidRPr="00E63FC4">
        <w:t xml:space="preserve">. </w:t>
      </w:r>
      <w:r w:rsidR="00E63FC4" w:rsidRPr="00E63FC4">
        <w:t>Sales</w:t>
      </w:r>
      <w:r w:rsidR="00507C77" w:rsidRPr="00E63FC4">
        <w:t xml:space="preserve"> to </w:t>
      </w:r>
      <w:r w:rsidR="00E63FC4" w:rsidRPr="00E63FC4">
        <w:t xml:space="preserve">markets in </w:t>
      </w:r>
      <w:r w:rsidR="00507C77" w:rsidRPr="00E63FC4">
        <w:rPr>
          <w:b/>
          <w:bCs/>
        </w:rPr>
        <w:t>North America</w:t>
      </w:r>
      <w:r w:rsidR="00507C77" w:rsidRPr="00E63FC4">
        <w:t xml:space="preserve"> and the </w:t>
      </w:r>
      <w:r w:rsidR="00507C77" w:rsidRPr="00E63FC4">
        <w:rPr>
          <w:b/>
          <w:bCs/>
        </w:rPr>
        <w:t>European Union</w:t>
      </w:r>
      <w:r w:rsidR="00507C77" w:rsidRPr="00E63FC4">
        <w:t xml:space="preserve"> r</w:t>
      </w:r>
      <w:r w:rsidR="00780550" w:rsidRPr="00E63FC4">
        <w:t>e</w:t>
      </w:r>
      <w:r w:rsidR="00FC238D" w:rsidRPr="00E63FC4">
        <w:t>ached</w:t>
      </w:r>
      <w:r w:rsidR="00507C77" w:rsidRPr="00E63FC4">
        <w:t xml:space="preserve"> or exceeded their levels </w:t>
      </w:r>
      <w:r w:rsidR="00FC238D" w:rsidRPr="00E63FC4">
        <w:t>in</w:t>
      </w:r>
      <w:r w:rsidR="00507C77" w:rsidRPr="00E63FC4">
        <w:t xml:space="preserve"> 2019</w:t>
      </w:r>
      <w:bookmarkStart w:id="1" w:name="_Hlk71710426"/>
      <w:r w:rsidR="00780550" w:rsidRPr="00E63FC4">
        <w:t xml:space="preserve">. </w:t>
      </w:r>
    </w:p>
    <w:p w14:paraId="262EA6FA" w14:textId="5AC8372D" w:rsidR="00BA23E9" w:rsidRPr="00E63FC4" w:rsidRDefault="00BA23E9" w:rsidP="005B60CB">
      <w:pPr>
        <w:pStyle w:val="ListParagraph"/>
        <w:numPr>
          <w:ilvl w:val="0"/>
          <w:numId w:val="10"/>
        </w:numPr>
        <w:spacing w:after="0"/>
      </w:pPr>
      <w:r w:rsidRPr="00E63FC4">
        <w:rPr>
          <w:b/>
          <w:bCs/>
        </w:rPr>
        <w:t xml:space="preserve">Asia </w:t>
      </w:r>
      <w:r w:rsidRPr="00E63FC4">
        <w:t>(up 2</w:t>
      </w:r>
      <w:r w:rsidR="00751E26" w:rsidRPr="00E63FC4">
        <w:t>%</w:t>
      </w:r>
      <w:r w:rsidRPr="00E63FC4">
        <w:t xml:space="preserve">), </w:t>
      </w:r>
      <w:r w:rsidRPr="00E63FC4">
        <w:rPr>
          <w:b/>
          <w:bCs/>
        </w:rPr>
        <w:t xml:space="preserve">Australia-Pacific </w:t>
      </w:r>
      <w:r w:rsidRPr="00E63FC4">
        <w:t xml:space="preserve">(up 2%), </w:t>
      </w:r>
      <w:r w:rsidRPr="00E63FC4">
        <w:rPr>
          <w:b/>
          <w:bCs/>
        </w:rPr>
        <w:t xml:space="preserve">the Middle East </w:t>
      </w:r>
      <w:r w:rsidRPr="00E63FC4">
        <w:t xml:space="preserve">(up 3%), and </w:t>
      </w:r>
      <w:r w:rsidRPr="00E63FC4">
        <w:rPr>
          <w:b/>
          <w:bCs/>
        </w:rPr>
        <w:t xml:space="preserve">Africa </w:t>
      </w:r>
      <w:r w:rsidRPr="00E63FC4">
        <w:t>(up 4%)</w:t>
      </w:r>
      <w:r w:rsidR="00507C77" w:rsidRPr="00E63FC4">
        <w:t xml:space="preserve"> </w:t>
      </w:r>
      <w:r w:rsidR="00780550" w:rsidRPr="00E63FC4">
        <w:t>had modest growth</w:t>
      </w:r>
      <w:r w:rsidR="00507C77" w:rsidRPr="00E63FC4">
        <w:t>.</w:t>
      </w:r>
    </w:p>
    <w:bookmarkEnd w:id="1"/>
    <w:p w14:paraId="5810CDFC" w14:textId="0041CB98" w:rsidR="00107130" w:rsidRPr="00E63FC4" w:rsidRDefault="00780550" w:rsidP="002A1CBC">
      <w:pPr>
        <w:pStyle w:val="ListParagraph"/>
        <w:numPr>
          <w:ilvl w:val="0"/>
          <w:numId w:val="10"/>
        </w:numPr>
        <w:spacing w:before="60" w:after="60"/>
        <w:rPr>
          <w:b/>
          <w:bCs/>
        </w:rPr>
      </w:pPr>
      <w:r w:rsidRPr="00E63FC4">
        <w:t>Many of the state’s T</w:t>
      </w:r>
      <w:r w:rsidR="00107130" w:rsidRPr="00E63FC4">
        <w:t xml:space="preserve">op </w:t>
      </w:r>
      <w:r w:rsidRPr="00E63FC4">
        <w:t>10 m</w:t>
      </w:r>
      <w:r w:rsidR="00107130" w:rsidRPr="00E63FC4">
        <w:t>arkets</w:t>
      </w:r>
      <w:r w:rsidRPr="00E63FC4">
        <w:t xml:space="preserve"> </w:t>
      </w:r>
      <w:r w:rsidR="00E63FC4" w:rsidRPr="00E63FC4">
        <w:t>drove</w:t>
      </w:r>
      <w:r w:rsidR="00FC238D" w:rsidRPr="00E63FC4">
        <w:t xml:space="preserve"> </w:t>
      </w:r>
      <w:r w:rsidRPr="00E63FC4">
        <w:t xml:space="preserve">export growth this quarter. Exports </w:t>
      </w:r>
      <w:r w:rsidR="00FC238D" w:rsidRPr="00E63FC4">
        <w:t xml:space="preserve">also </w:t>
      </w:r>
      <w:r w:rsidRPr="00E63FC4">
        <w:t xml:space="preserve">grew vigorously to other </w:t>
      </w:r>
      <w:r w:rsidR="00107130" w:rsidRPr="00E63FC4">
        <w:t xml:space="preserve">markets </w:t>
      </w:r>
      <w:r w:rsidRPr="00E63FC4">
        <w:t xml:space="preserve">such as the </w:t>
      </w:r>
      <w:r w:rsidRPr="00E63FC4">
        <w:rPr>
          <w:b/>
          <w:bCs/>
        </w:rPr>
        <w:t xml:space="preserve">Philippines </w:t>
      </w:r>
      <w:r w:rsidRPr="00E63FC4">
        <w:t>(up 43%),</w:t>
      </w:r>
      <w:r w:rsidR="00107130" w:rsidRPr="00E63FC4">
        <w:t xml:space="preserve"> </w:t>
      </w:r>
      <w:r w:rsidRPr="00E63FC4">
        <w:rPr>
          <w:b/>
          <w:bCs/>
        </w:rPr>
        <w:t>Indonesia</w:t>
      </w:r>
      <w:r w:rsidR="00107130" w:rsidRPr="00E63FC4">
        <w:rPr>
          <w:b/>
          <w:bCs/>
        </w:rPr>
        <w:t xml:space="preserve"> </w:t>
      </w:r>
      <w:r w:rsidR="00107130" w:rsidRPr="00E63FC4">
        <w:t xml:space="preserve">(up </w:t>
      </w:r>
      <w:r w:rsidRPr="00E63FC4">
        <w:t>100%</w:t>
      </w:r>
      <w:r w:rsidR="00107130" w:rsidRPr="00E63FC4">
        <w:t>),</w:t>
      </w:r>
      <w:r w:rsidR="00107130" w:rsidRPr="00E63FC4">
        <w:rPr>
          <w:b/>
          <w:bCs/>
        </w:rPr>
        <w:t xml:space="preserve"> </w:t>
      </w:r>
      <w:r w:rsidRPr="00E63FC4">
        <w:rPr>
          <w:b/>
          <w:bCs/>
        </w:rPr>
        <w:t xml:space="preserve">Costa Rica </w:t>
      </w:r>
      <w:r w:rsidRPr="00E63FC4">
        <w:t xml:space="preserve">(up 67%), </w:t>
      </w:r>
      <w:r w:rsidRPr="00E63FC4">
        <w:rPr>
          <w:b/>
          <w:bCs/>
        </w:rPr>
        <w:t>Switzerland</w:t>
      </w:r>
      <w:r w:rsidR="00107130" w:rsidRPr="00E63FC4">
        <w:rPr>
          <w:b/>
          <w:bCs/>
        </w:rPr>
        <w:t xml:space="preserve"> </w:t>
      </w:r>
      <w:r w:rsidR="00107130" w:rsidRPr="00E63FC4">
        <w:t xml:space="preserve">(up </w:t>
      </w:r>
      <w:r w:rsidRPr="00E63FC4">
        <w:t>60%</w:t>
      </w:r>
      <w:r w:rsidR="00107130" w:rsidRPr="00E63FC4">
        <w:t xml:space="preserve">) and </w:t>
      </w:r>
      <w:r w:rsidRPr="00E63FC4">
        <w:rPr>
          <w:b/>
          <w:bCs/>
        </w:rPr>
        <w:t>the Czech Republic</w:t>
      </w:r>
      <w:r w:rsidR="00107130" w:rsidRPr="00E63FC4">
        <w:t xml:space="preserve"> (up </w:t>
      </w:r>
      <w:r w:rsidRPr="00E63FC4">
        <w:t>176%)</w:t>
      </w:r>
      <w:r w:rsidR="007A7784" w:rsidRPr="00E63FC4">
        <w:t>.</w:t>
      </w:r>
    </w:p>
    <w:p w14:paraId="481CD972" w14:textId="6DDDB363" w:rsidR="007C165F" w:rsidRPr="00E63FC4" w:rsidRDefault="007C165F" w:rsidP="00747EEC">
      <w:pPr>
        <w:pStyle w:val="Heading4"/>
        <w:spacing w:before="60"/>
        <w:rPr>
          <w:color w:val="auto"/>
        </w:rPr>
      </w:pPr>
      <w:r w:rsidRPr="00E63FC4">
        <w:rPr>
          <w:color w:val="auto"/>
        </w:rPr>
        <w:t xml:space="preserve">Figure </w:t>
      </w:r>
      <w:r w:rsidR="00766D9B" w:rsidRPr="00E63FC4">
        <w:rPr>
          <w:color w:val="auto"/>
        </w:rPr>
        <w:fldChar w:fldCharType="begin"/>
      </w:r>
      <w:r w:rsidR="00766D9B" w:rsidRPr="00E63FC4">
        <w:rPr>
          <w:color w:val="auto"/>
        </w:rPr>
        <w:instrText xml:space="preserve"> SEQ Figure \* ARABIC </w:instrText>
      </w:r>
      <w:r w:rsidR="00766D9B" w:rsidRPr="00E63FC4">
        <w:rPr>
          <w:color w:val="auto"/>
        </w:rPr>
        <w:fldChar w:fldCharType="separate"/>
      </w:r>
      <w:r w:rsidR="00C430F8" w:rsidRPr="00E63FC4">
        <w:rPr>
          <w:noProof/>
          <w:color w:val="auto"/>
        </w:rPr>
        <w:t>2</w:t>
      </w:r>
      <w:r w:rsidR="00766D9B" w:rsidRPr="00E63FC4">
        <w:rPr>
          <w:noProof/>
          <w:color w:val="auto"/>
        </w:rPr>
        <w:fldChar w:fldCharType="end"/>
      </w:r>
      <w:r w:rsidR="00C84D0E" w:rsidRPr="00E63FC4">
        <w:rPr>
          <w:color w:val="auto"/>
        </w:rPr>
        <w:t xml:space="preserve">. </w:t>
      </w:r>
      <w:r w:rsidR="00A44451" w:rsidRPr="00E63FC4">
        <w:rPr>
          <w:color w:val="auto"/>
        </w:rPr>
        <w:t>Export Trends for</w:t>
      </w:r>
      <w:r w:rsidR="0038665A" w:rsidRPr="00E63FC4">
        <w:rPr>
          <w:color w:val="auto"/>
        </w:rPr>
        <w:t xml:space="preserve"> Minnesota’s Top 10 Markets, </w:t>
      </w:r>
      <w:r w:rsidR="00955D44" w:rsidRPr="00E63FC4">
        <w:rPr>
          <w:color w:val="auto"/>
        </w:rPr>
        <w:t>Second</w:t>
      </w:r>
      <w:r w:rsidR="00606AB0" w:rsidRPr="00E63FC4">
        <w:rPr>
          <w:color w:val="auto"/>
        </w:rPr>
        <w:t xml:space="preserve"> </w:t>
      </w:r>
      <w:r w:rsidR="00A52415" w:rsidRPr="00E63FC4">
        <w:rPr>
          <w:color w:val="auto"/>
        </w:rPr>
        <w:t xml:space="preserve">Quarter </w:t>
      </w:r>
      <w:r w:rsidR="00A30328" w:rsidRPr="00E63FC4">
        <w:rPr>
          <w:color w:val="auto"/>
        </w:rPr>
        <w:t>2021</w:t>
      </w:r>
    </w:p>
    <w:p w14:paraId="2D92FB79" w14:textId="645DB204" w:rsidR="007A7784" w:rsidRPr="00E63FC4" w:rsidRDefault="006F5706" w:rsidP="007A7784">
      <w:pPr>
        <w:spacing w:after="0"/>
      </w:pPr>
      <w:r w:rsidRPr="00E63FC4">
        <w:rPr>
          <w:noProof/>
        </w:rPr>
        <w:drawing>
          <wp:inline distT="0" distB="0" distL="0" distR="0" wp14:anchorId="4D37EA26" wp14:editId="648E1DD7">
            <wp:extent cx="6116129" cy="1946323"/>
            <wp:effectExtent l="0" t="0" r="0" b="0"/>
            <wp:docPr id="5" name="Picture 5" descr="MN Exports to top 10 countries, 2021-Q2&#10;Country (Rank)  Exports (millions)  Percent Change, 2020-Q2 to 2021-Q2&#10;WORLD  $5,952  29%&#10;Canada (1)   $1,631  59%&#10;Mexico (2)   $738  14%&#10;China (3)   $661  86%&#10;Japan (4)   $332  -22%&#10;Germany (5)   $201  4%&#10;Korea (6)   $162  40%&#10;Singapore (7)   $157  51%&#10;Belgium (8)   $150  58%&#10;U.K. (9)   $147  -35%&#10;Ireland (10)   $140  56%&#10;Other  $1,633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2053" cy="1951391"/>
                    </a:xfrm>
                    <a:prstGeom prst="rect">
                      <a:avLst/>
                    </a:prstGeom>
                    <a:noFill/>
                    <a:ln>
                      <a:noFill/>
                    </a:ln>
                  </pic:spPr>
                </pic:pic>
              </a:graphicData>
            </a:graphic>
          </wp:inline>
        </w:drawing>
      </w:r>
    </w:p>
    <w:p w14:paraId="3765CDA2" w14:textId="20145B89" w:rsidR="00BF29E1" w:rsidRPr="00E63FC4" w:rsidRDefault="00136C1C" w:rsidP="00BC1307">
      <w:pPr>
        <w:pStyle w:val="Heading2"/>
        <w:tabs>
          <w:tab w:val="left" w:pos="360"/>
        </w:tabs>
        <w:spacing w:before="0" w:after="120"/>
        <w:ind w:left="360" w:hanging="360"/>
        <w:rPr>
          <w:rFonts w:asciiTheme="minorHAnsi" w:hAnsiTheme="minorHAnsi"/>
          <w:b w:val="0"/>
          <w:i/>
          <w:color w:val="auto"/>
          <w:sz w:val="28"/>
        </w:rPr>
        <w:sectPr w:rsidR="00BF29E1" w:rsidRPr="00E63FC4" w:rsidSect="00426066">
          <w:footnotePr>
            <w:numRestart w:val="eachSect"/>
          </w:footnotePr>
          <w:endnotePr>
            <w:numFmt w:val="decimal"/>
          </w:endnotePr>
          <w:type w:val="continuous"/>
          <w:pgSz w:w="12240" w:h="15840" w:code="1"/>
          <w:pgMar w:top="1008" w:right="1296" w:bottom="1008" w:left="1080" w:header="720" w:footer="720" w:gutter="0"/>
          <w:cols w:space="720"/>
          <w:titlePg/>
          <w:docGrid w:linePitch="299"/>
        </w:sectPr>
      </w:pPr>
      <w:r w:rsidRPr="00E63FC4">
        <w:rPr>
          <w:rFonts w:asciiTheme="minorHAnsi" w:hAnsiTheme="minorHAnsi"/>
          <w:b w:val="0"/>
          <w:i/>
          <w:color w:val="auto"/>
          <w:sz w:val="28"/>
        </w:rPr>
        <w:lastRenderedPageBreak/>
        <w:t>Resurging Demand</w:t>
      </w:r>
      <w:r w:rsidR="00861FE3" w:rsidRPr="00E63FC4">
        <w:rPr>
          <w:rFonts w:asciiTheme="minorHAnsi" w:hAnsiTheme="minorHAnsi"/>
          <w:b w:val="0"/>
          <w:i/>
          <w:color w:val="auto"/>
          <w:sz w:val="28"/>
        </w:rPr>
        <w:t xml:space="preserve"> for </w:t>
      </w:r>
      <w:r w:rsidR="00FE5772" w:rsidRPr="00E63FC4">
        <w:rPr>
          <w:rFonts w:asciiTheme="minorHAnsi" w:hAnsiTheme="minorHAnsi"/>
          <w:b w:val="0"/>
          <w:i/>
          <w:color w:val="auto"/>
          <w:sz w:val="28"/>
        </w:rPr>
        <w:t>Machinery</w:t>
      </w:r>
      <w:r w:rsidR="00E83A19" w:rsidRPr="00E63FC4">
        <w:rPr>
          <w:rFonts w:asciiTheme="minorHAnsi" w:hAnsiTheme="minorHAnsi"/>
          <w:b w:val="0"/>
          <w:i/>
          <w:color w:val="auto"/>
          <w:sz w:val="28"/>
        </w:rPr>
        <w:t>,</w:t>
      </w:r>
      <w:r w:rsidR="00FE5772" w:rsidRPr="00E63FC4">
        <w:rPr>
          <w:rFonts w:asciiTheme="minorHAnsi" w:hAnsiTheme="minorHAnsi"/>
          <w:b w:val="0"/>
          <w:i/>
          <w:color w:val="auto"/>
          <w:sz w:val="28"/>
        </w:rPr>
        <w:t xml:space="preserve"> </w:t>
      </w:r>
      <w:r w:rsidR="00861FE3" w:rsidRPr="00E63FC4">
        <w:rPr>
          <w:rFonts w:asciiTheme="minorHAnsi" w:hAnsiTheme="minorHAnsi"/>
          <w:b w:val="0"/>
          <w:i/>
          <w:color w:val="auto"/>
          <w:sz w:val="28"/>
        </w:rPr>
        <w:t xml:space="preserve">Electric Equipment, </w:t>
      </w:r>
      <w:r w:rsidR="00FE5772" w:rsidRPr="00E63FC4">
        <w:rPr>
          <w:rFonts w:asciiTheme="minorHAnsi" w:hAnsiTheme="minorHAnsi"/>
          <w:b w:val="0"/>
          <w:i/>
          <w:color w:val="auto"/>
          <w:sz w:val="28"/>
        </w:rPr>
        <w:t xml:space="preserve">Vehicles </w:t>
      </w:r>
      <w:r w:rsidR="00861FE3" w:rsidRPr="00E63FC4">
        <w:rPr>
          <w:rFonts w:asciiTheme="minorHAnsi" w:hAnsiTheme="minorHAnsi"/>
          <w:b w:val="0"/>
          <w:i/>
          <w:color w:val="auto"/>
          <w:sz w:val="28"/>
        </w:rPr>
        <w:t>and</w:t>
      </w:r>
      <w:r w:rsidR="00E83A19" w:rsidRPr="00E63FC4">
        <w:rPr>
          <w:rFonts w:asciiTheme="minorHAnsi" w:hAnsiTheme="minorHAnsi"/>
          <w:b w:val="0"/>
          <w:i/>
          <w:color w:val="auto"/>
          <w:sz w:val="28"/>
        </w:rPr>
        <w:t xml:space="preserve"> </w:t>
      </w:r>
      <w:r w:rsidRPr="00E63FC4">
        <w:rPr>
          <w:rFonts w:asciiTheme="minorHAnsi" w:hAnsiTheme="minorHAnsi"/>
          <w:b w:val="0"/>
          <w:i/>
          <w:color w:val="auto"/>
          <w:sz w:val="28"/>
        </w:rPr>
        <w:t>Mineral Fuels</w:t>
      </w:r>
    </w:p>
    <w:p w14:paraId="243FC245" w14:textId="4601648C" w:rsidR="00E76FF1" w:rsidRPr="00E63FC4" w:rsidRDefault="0085254B" w:rsidP="00FD77B2">
      <w:pPr>
        <w:pStyle w:val="ListParagraph"/>
        <w:numPr>
          <w:ilvl w:val="0"/>
          <w:numId w:val="7"/>
        </w:numPr>
        <w:spacing w:after="0"/>
        <w:ind w:left="360" w:right="-396"/>
      </w:pPr>
      <w:r w:rsidRPr="00E63FC4">
        <w:t>M</w:t>
      </w:r>
      <w:r w:rsidR="00861FE3" w:rsidRPr="00E63FC4">
        <w:t>any products</w:t>
      </w:r>
      <w:r w:rsidR="00FC238D" w:rsidRPr="00E63FC4">
        <w:t xml:space="preserve"> </w:t>
      </w:r>
      <w:r w:rsidR="0008536A" w:rsidRPr="00E63FC4">
        <w:t xml:space="preserve">continued to display </w:t>
      </w:r>
      <w:r w:rsidR="00861FE3" w:rsidRPr="00E63FC4">
        <w:t xml:space="preserve">signs of </w:t>
      </w:r>
      <w:r w:rsidR="00124698" w:rsidRPr="00E63FC4">
        <w:t xml:space="preserve">recovering </w:t>
      </w:r>
      <w:r w:rsidR="00D7363A" w:rsidRPr="00E63FC4">
        <w:t xml:space="preserve">export growth </w:t>
      </w:r>
      <w:r w:rsidR="00124698" w:rsidRPr="00E63FC4">
        <w:t>this quarter</w:t>
      </w:r>
      <w:r w:rsidR="00762462" w:rsidRPr="00E63FC4">
        <w:t>.</w:t>
      </w:r>
      <w:r w:rsidR="00FC238D" w:rsidRPr="00E63FC4">
        <w:t xml:space="preserve"> </w:t>
      </w:r>
      <w:r w:rsidR="00861FE3" w:rsidRPr="00E63FC4">
        <w:t>E</w:t>
      </w:r>
      <w:r w:rsidR="00AF3197" w:rsidRPr="00E63FC4">
        <w:t>xports of eight</w:t>
      </w:r>
      <w:r w:rsidR="00FA1A86" w:rsidRPr="00E63FC4">
        <w:t xml:space="preserve"> of the state’s top 10 products</w:t>
      </w:r>
      <w:r w:rsidR="00861FE3" w:rsidRPr="00E63FC4">
        <w:t xml:space="preserve"> grew</w:t>
      </w:r>
      <w:r w:rsidR="00B038CC" w:rsidRPr="00E63FC4">
        <w:t xml:space="preserve"> </w:t>
      </w:r>
      <w:r w:rsidR="00AF3197" w:rsidRPr="00E63FC4">
        <w:t>between the second quarters of 2020 and 2021. Six of these grew above</w:t>
      </w:r>
      <w:r w:rsidR="00FC238D" w:rsidRPr="00E63FC4">
        <w:t xml:space="preserve"> their</w:t>
      </w:r>
      <w:r w:rsidR="00E63FC4" w:rsidRPr="00E63FC4">
        <w:t xml:space="preserve"> 2019</w:t>
      </w:r>
      <w:r w:rsidR="00FC238D" w:rsidRPr="00E63FC4">
        <w:t xml:space="preserve"> levels</w:t>
      </w:r>
      <w:r w:rsidR="00AF3197" w:rsidRPr="00E63FC4">
        <w:t xml:space="preserve">: </w:t>
      </w:r>
      <w:r w:rsidR="00AF3197" w:rsidRPr="00E63FC4">
        <w:rPr>
          <w:b/>
          <w:bCs/>
        </w:rPr>
        <w:t xml:space="preserve">machinery, electrical equipment, mineral fuels/oils, food by-products, meat </w:t>
      </w:r>
      <w:r w:rsidR="00AF3197" w:rsidRPr="00E63FC4">
        <w:t xml:space="preserve">and </w:t>
      </w:r>
      <w:r w:rsidR="00AF3197" w:rsidRPr="00E63FC4">
        <w:rPr>
          <w:b/>
          <w:bCs/>
        </w:rPr>
        <w:t>oil seeds/misc. grains.</w:t>
      </w:r>
      <w:r w:rsidR="00AF3197" w:rsidRPr="00E63FC4">
        <w:t xml:space="preserve"> </w:t>
      </w:r>
    </w:p>
    <w:p w14:paraId="31A146BE" w14:textId="141FF8DF" w:rsidR="00BC1307" w:rsidRPr="00E63FC4" w:rsidRDefault="00BC1307" w:rsidP="00BC1307">
      <w:pPr>
        <w:pStyle w:val="ListParagraph"/>
        <w:numPr>
          <w:ilvl w:val="0"/>
          <w:numId w:val="7"/>
        </w:numPr>
        <w:spacing w:after="0"/>
        <w:ind w:left="360"/>
      </w:pPr>
      <w:r w:rsidRPr="00E63FC4">
        <w:rPr>
          <w:b/>
        </w:rPr>
        <w:t>Machinery</w:t>
      </w:r>
      <w:r w:rsidRPr="00E63FC4">
        <w:t xml:space="preserve"> exports were propelled by </w:t>
      </w:r>
      <w:r w:rsidRPr="00E63FC4">
        <w:rPr>
          <w:b/>
          <w:bCs/>
        </w:rPr>
        <w:t>machinery used to make semiconductors</w:t>
      </w:r>
      <w:r w:rsidR="004F672F" w:rsidRPr="00E63FC4">
        <w:rPr>
          <w:b/>
          <w:bCs/>
        </w:rPr>
        <w:t xml:space="preserve"> </w:t>
      </w:r>
      <w:r w:rsidR="004F672F" w:rsidRPr="00E63FC4">
        <w:t>(up 219%)</w:t>
      </w:r>
      <w:r w:rsidRPr="00E63FC4">
        <w:t xml:space="preserve"> </w:t>
      </w:r>
      <w:r w:rsidR="00CB2990" w:rsidRPr="00E63FC4">
        <w:t xml:space="preserve">sold to </w:t>
      </w:r>
      <w:r w:rsidRPr="00E63FC4">
        <w:rPr>
          <w:b/>
        </w:rPr>
        <w:t xml:space="preserve">the Philippines </w:t>
      </w:r>
      <w:r w:rsidRPr="00E63FC4">
        <w:t xml:space="preserve">(up </w:t>
      </w:r>
      <w:r w:rsidR="004F672F" w:rsidRPr="00E63FC4">
        <w:t>$66 million</w:t>
      </w:r>
      <w:r w:rsidRPr="00E63FC4">
        <w:t>).</w:t>
      </w:r>
      <w:r w:rsidR="0085254B" w:rsidRPr="00E63FC4">
        <w:t xml:space="preserve"> </w:t>
      </w:r>
      <w:r w:rsidR="00FC238D" w:rsidRPr="00E63FC4">
        <w:t xml:space="preserve">Markets such as </w:t>
      </w:r>
      <w:r w:rsidRPr="00E63FC4">
        <w:rPr>
          <w:b/>
        </w:rPr>
        <w:t xml:space="preserve">Canada, </w:t>
      </w:r>
      <w:r w:rsidR="00CB2990" w:rsidRPr="00E63FC4">
        <w:rPr>
          <w:b/>
        </w:rPr>
        <w:t xml:space="preserve">Mexico, U.K., China </w:t>
      </w:r>
      <w:r w:rsidR="00CB2990" w:rsidRPr="00E63FC4">
        <w:rPr>
          <w:bCs/>
        </w:rPr>
        <w:t>and</w:t>
      </w:r>
      <w:r w:rsidR="00CB2990" w:rsidRPr="00E63FC4">
        <w:rPr>
          <w:b/>
        </w:rPr>
        <w:t xml:space="preserve"> the Czech Republic</w:t>
      </w:r>
      <w:r w:rsidR="00FC238D" w:rsidRPr="00E63FC4">
        <w:rPr>
          <w:bCs/>
        </w:rPr>
        <w:t>; and segments such as</w:t>
      </w:r>
      <w:r w:rsidR="004F672F" w:rsidRPr="00E63FC4">
        <w:rPr>
          <w:bCs/>
        </w:rPr>
        <w:t xml:space="preserve"> </w:t>
      </w:r>
      <w:r w:rsidR="00FC238D" w:rsidRPr="00E63FC4">
        <w:rPr>
          <w:b/>
        </w:rPr>
        <w:t>f</w:t>
      </w:r>
      <w:r w:rsidR="004F672F" w:rsidRPr="00E63FC4">
        <w:rPr>
          <w:b/>
        </w:rPr>
        <w:t>ilters/centrifuges,</w:t>
      </w:r>
      <w:r w:rsidR="004F672F" w:rsidRPr="00E63FC4">
        <w:rPr>
          <w:bCs/>
        </w:rPr>
        <w:t xml:space="preserve"> </w:t>
      </w:r>
      <w:r w:rsidR="004F672F" w:rsidRPr="00E63FC4">
        <w:rPr>
          <w:b/>
        </w:rPr>
        <w:t>construction machine</w:t>
      </w:r>
      <w:r w:rsidR="00FC238D" w:rsidRPr="00E63FC4">
        <w:rPr>
          <w:b/>
        </w:rPr>
        <w:t>ry</w:t>
      </w:r>
      <w:r w:rsidR="004F672F" w:rsidRPr="00E63FC4">
        <w:rPr>
          <w:b/>
        </w:rPr>
        <w:t xml:space="preserve"> </w:t>
      </w:r>
      <w:r w:rsidR="004F672F" w:rsidRPr="00E63FC4">
        <w:rPr>
          <w:bCs/>
        </w:rPr>
        <w:t xml:space="preserve">and </w:t>
      </w:r>
      <w:r w:rsidR="004F672F" w:rsidRPr="00E63FC4">
        <w:rPr>
          <w:b/>
          <w:bCs/>
        </w:rPr>
        <w:t>spraying equipment</w:t>
      </w:r>
      <w:r w:rsidRPr="00E63FC4">
        <w:t xml:space="preserve"> </w:t>
      </w:r>
      <w:r w:rsidR="00E63FC4" w:rsidRPr="00E63FC4">
        <w:t>fueled export gains</w:t>
      </w:r>
      <w:r w:rsidR="004F672F" w:rsidRPr="00E63FC4">
        <w:t>.</w:t>
      </w:r>
    </w:p>
    <w:p w14:paraId="6BA2F72E" w14:textId="5E5C4E19" w:rsidR="00E76FF1" w:rsidRPr="00E63FC4" w:rsidRDefault="00E76FF1" w:rsidP="00D6151B">
      <w:pPr>
        <w:spacing w:after="0"/>
        <w:ind w:right="-396"/>
        <w:rPr>
          <w:rStyle w:val="Heading4Char"/>
          <w:color w:val="auto"/>
        </w:rPr>
      </w:pPr>
      <w:r w:rsidRPr="00E63FC4">
        <w:rPr>
          <w:rStyle w:val="Heading4Char"/>
          <w:color w:val="auto"/>
        </w:rPr>
        <w:t xml:space="preserve">Figure </w:t>
      </w:r>
      <w:r w:rsidRPr="00E63FC4">
        <w:rPr>
          <w:rStyle w:val="Heading4Char"/>
          <w:b/>
          <w:color w:val="auto"/>
        </w:rPr>
        <w:fldChar w:fldCharType="begin"/>
      </w:r>
      <w:r w:rsidRPr="00E63FC4">
        <w:rPr>
          <w:rStyle w:val="Heading4Char"/>
          <w:color w:val="auto"/>
        </w:rPr>
        <w:instrText xml:space="preserve"> SEQ Figure \* ARABIC </w:instrText>
      </w:r>
      <w:r w:rsidRPr="00E63FC4">
        <w:rPr>
          <w:rStyle w:val="Heading4Char"/>
          <w:b/>
          <w:color w:val="auto"/>
        </w:rPr>
        <w:fldChar w:fldCharType="separate"/>
      </w:r>
      <w:r w:rsidR="00C430F8" w:rsidRPr="00E63FC4">
        <w:rPr>
          <w:rStyle w:val="Heading4Char"/>
          <w:noProof/>
          <w:color w:val="auto"/>
        </w:rPr>
        <w:t>3</w:t>
      </w:r>
      <w:r w:rsidRPr="00E63FC4">
        <w:rPr>
          <w:rStyle w:val="Heading4Char"/>
          <w:b/>
          <w:color w:val="auto"/>
        </w:rPr>
        <w:fldChar w:fldCharType="end"/>
      </w:r>
      <w:r w:rsidRPr="00E63FC4">
        <w:rPr>
          <w:rStyle w:val="Heading4Char"/>
          <w:color w:val="auto"/>
        </w:rPr>
        <w:t xml:space="preserve">. </w:t>
      </w:r>
      <w:r w:rsidR="00992D53">
        <w:rPr>
          <w:rStyle w:val="Heading4Char"/>
          <w:color w:val="auto"/>
        </w:rPr>
        <w:t xml:space="preserve">Trends in </w:t>
      </w:r>
      <w:r w:rsidR="00E63FC4">
        <w:rPr>
          <w:rStyle w:val="Heading4Char"/>
          <w:color w:val="auto"/>
        </w:rPr>
        <w:t xml:space="preserve">MN Exports of </w:t>
      </w:r>
      <w:r w:rsidR="00651369" w:rsidRPr="00E63FC4">
        <w:rPr>
          <w:rStyle w:val="Heading4Char"/>
          <w:color w:val="auto"/>
        </w:rPr>
        <w:t>Top Products, 2020-Q2 vs. 2021-Q2</w:t>
      </w:r>
    </w:p>
    <w:p w14:paraId="4EF54AC0" w14:textId="3341797F" w:rsidR="00651369" w:rsidRPr="00E63FC4" w:rsidRDefault="00651369" w:rsidP="00136C1C">
      <w:pPr>
        <w:spacing w:after="120"/>
        <w:ind w:right="-396"/>
      </w:pPr>
      <w:r w:rsidRPr="00E63FC4">
        <w:rPr>
          <w:noProof/>
        </w:rPr>
        <w:drawing>
          <wp:inline distT="0" distB="0" distL="0" distR="0" wp14:anchorId="71DEDD7E" wp14:editId="71D7F3D2">
            <wp:extent cx="2971800" cy="2238375"/>
            <wp:effectExtent l="0" t="0" r="0" b="0"/>
            <wp:docPr id="12" name="Chart 12" descr="Figure 3&#10;&#10;Product 2020-Q2 2021-Q2&#10;Total -18% +29%&#10;Machinery -21% +37%&#10;Optics, Medical -22% +6%&#10;Elec. Equip -30% +49%&#10;Plastics -6% -2%&#10;Vehicles -346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4E34A1" w14:textId="77777777" w:rsidR="00136C1C" w:rsidRPr="00E63FC4" w:rsidRDefault="00136C1C" w:rsidP="00BC1307">
      <w:pPr>
        <w:pStyle w:val="ListParagraph"/>
        <w:numPr>
          <w:ilvl w:val="0"/>
          <w:numId w:val="7"/>
        </w:numPr>
        <w:spacing w:after="0"/>
        <w:ind w:left="360" w:right="-396"/>
        <w:rPr>
          <w:b/>
        </w:rPr>
        <w:sectPr w:rsidR="00136C1C" w:rsidRPr="00E63FC4" w:rsidSect="0008536A">
          <w:footerReference w:type="default" r:id="rId16"/>
          <w:footnotePr>
            <w:numRestart w:val="eachSect"/>
          </w:footnotePr>
          <w:endnotePr>
            <w:numFmt w:val="decimal"/>
          </w:endnotePr>
          <w:type w:val="continuous"/>
          <w:pgSz w:w="12240" w:h="15840" w:code="1"/>
          <w:pgMar w:top="936" w:right="1152" w:bottom="936" w:left="1080" w:header="720" w:footer="720" w:gutter="0"/>
          <w:cols w:num="2" w:space="828"/>
          <w:titlePg/>
          <w:docGrid w:linePitch="299"/>
        </w:sectPr>
      </w:pPr>
    </w:p>
    <w:p w14:paraId="125D068E" w14:textId="38892697" w:rsidR="00B038CC" w:rsidRPr="00E63FC4" w:rsidRDefault="00B038CC" w:rsidP="00BC1307">
      <w:pPr>
        <w:pStyle w:val="ListParagraph"/>
        <w:numPr>
          <w:ilvl w:val="0"/>
          <w:numId w:val="7"/>
        </w:numPr>
        <w:spacing w:after="0"/>
        <w:ind w:left="360" w:right="-396"/>
        <w:rPr>
          <w:b/>
        </w:rPr>
      </w:pPr>
      <w:r w:rsidRPr="00E63FC4">
        <w:rPr>
          <w:b/>
        </w:rPr>
        <w:t>Electrical equipment</w:t>
      </w:r>
      <w:r w:rsidRPr="00E63FC4">
        <w:rPr>
          <w:bCs/>
        </w:rPr>
        <w:t xml:space="preserve"> sales surged to </w:t>
      </w:r>
      <w:r w:rsidRPr="00E63FC4">
        <w:rPr>
          <w:b/>
        </w:rPr>
        <w:t>China</w:t>
      </w:r>
      <w:r w:rsidRPr="00E63FC4">
        <w:rPr>
          <w:bCs/>
        </w:rPr>
        <w:t xml:space="preserve"> (up </w:t>
      </w:r>
      <w:r w:rsidR="00AC5ABD" w:rsidRPr="00E63FC4">
        <w:rPr>
          <w:bCs/>
        </w:rPr>
        <w:t>163</w:t>
      </w:r>
      <w:r w:rsidRPr="00E63FC4">
        <w:rPr>
          <w:bCs/>
        </w:rPr>
        <w:t xml:space="preserve">%), </w:t>
      </w:r>
      <w:r w:rsidR="00AC5ABD" w:rsidRPr="00E63FC4">
        <w:rPr>
          <w:b/>
        </w:rPr>
        <w:t>Canada</w:t>
      </w:r>
      <w:r w:rsidRPr="00E63FC4">
        <w:rPr>
          <w:bCs/>
        </w:rPr>
        <w:t xml:space="preserve"> (up </w:t>
      </w:r>
      <w:r w:rsidR="00AC5ABD" w:rsidRPr="00E63FC4">
        <w:rPr>
          <w:bCs/>
        </w:rPr>
        <w:t>88</w:t>
      </w:r>
      <w:r w:rsidRPr="00E63FC4">
        <w:rPr>
          <w:bCs/>
        </w:rPr>
        <w:t xml:space="preserve">%), </w:t>
      </w:r>
      <w:r w:rsidR="00AC5ABD" w:rsidRPr="00E63FC4">
        <w:rPr>
          <w:b/>
        </w:rPr>
        <w:t>Mexico</w:t>
      </w:r>
      <w:r w:rsidRPr="00E63FC4">
        <w:rPr>
          <w:b/>
        </w:rPr>
        <w:t xml:space="preserve"> </w:t>
      </w:r>
      <w:r w:rsidRPr="00E63FC4">
        <w:rPr>
          <w:bCs/>
        </w:rPr>
        <w:t xml:space="preserve">(up </w:t>
      </w:r>
      <w:r w:rsidR="00AC5ABD" w:rsidRPr="00E63FC4">
        <w:rPr>
          <w:bCs/>
        </w:rPr>
        <w:t>58</w:t>
      </w:r>
      <w:r w:rsidRPr="00E63FC4">
        <w:rPr>
          <w:bCs/>
        </w:rPr>
        <w:t>%)</w:t>
      </w:r>
      <w:r w:rsidR="00AC5ABD" w:rsidRPr="00E63FC4">
        <w:rPr>
          <w:bCs/>
        </w:rPr>
        <w:t xml:space="preserve"> and </w:t>
      </w:r>
      <w:r w:rsidR="00AC5ABD" w:rsidRPr="00E63FC4">
        <w:rPr>
          <w:b/>
        </w:rPr>
        <w:t>Germany</w:t>
      </w:r>
      <w:r w:rsidRPr="00E63FC4">
        <w:rPr>
          <w:bCs/>
        </w:rPr>
        <w:t xml:space="preserve"> (</w:t>
      </w:r>
      <w:r w:rsidR="00AC5ABD" w:rsidRPr="00E63FC4">
        <w:rPr>
          <w:bCs/>
        </w:rPr>
        <w:t xml:space="preserve">up </w:t>
      </w:r>
      <w:r w:rsidRPr="00E63FC4">
        <w:rPr>
          <w:bCs/>
        </w:rPr>
        <w:t>5</w:t>
      </w:r>
      <w:r w:rsidR="00AC5ABD" w:rsidRPr="00E63FC4">
        <w:rPr>
          <w:bCs/>
        </w:rPr>
        <w:t>8</w:t>
      </w:r>
      <w:r w:rsidRPr="00E63FC4">
        <w:rPr>
          <w:bCs/>
        </w:rPr>
        <w:t>%)</w:t>
      </w:r>
      <w:r w:rsidR="009E0053" w:rsidRPr="00E63FC4">
        <w:rPr>
          <w:bCs/>
        </w:rPr>
        <w:t xml:space="preserve">. </w:t>
      </w:r>
      <w:r w:rsidR="00FC238D" w:rsidRPr="00E63FC4">
        <w:rPr>
          <w:bCs/>
        </w:rPr>
        <w:t xml:space="preserve">Sales were uplifted by </w:t>
      </w:r>
      <w:r w:rsidR="00FC238D" w:rsidRPr="00E63FC4">
        <w:rPr>
          <w:b/>
        </w:rPr>
        <w:t>i</w:t>
      </w:r>
      <w:r w:rsidR="00DF13E5" w:rsidRPr="00E63FC4">
        <w:rPr>
          <w:b/>
        </w:rPr>
        <w:t xml:space="preserve">ntegrated circuits </w:t>
      </w:r>
      <w:r w:rsidR="00FC238D" w:rsidRPr="00E63FC4">
        <w:rPr>
          <w:bCs/>
        </w:rPr>
        <w:t>(up 81%),</w:t>
      </w:r>
      <w:r w:rsidR="004F672F" w:rsidRPr="00E63FC4">
        <w:rPr>
          <w:bCs/>
        </w:rPr>
        <w:t xml:space="preserve"> </w:t>
      </w:r>
      <w:r w:rsidR="00FC238D" w:rsidRPr="00E63FC4">
        <w:rPr>
          <w:b/>
        </w:rPr>
        <w:t>d</w:t>
      </w:r>
      <w:r w:rsidR="00DF13E5" w:rsidRPr="00E63FC4">
        <w:rPr>
          <w:b/>
        </w:rPr>
        <w:t>iodes</w:t>
      </w:r>
      <w:r w:rsidR="004F672F" w:rsidRPr="00E63FC4">
        <w:rPr>
          <w:b/>
        </w:rPr>
        <w:t>/</w:t>
      </w:r>
      <w:r w:rsidR="00DF13E5" w:rsidRPr="00E63FC4">
        <w:rPr>
          <w:b/>
        </w:rPr>
        <w:t>transistors</w:t>
      </w:r>
      <w:r w:rsidR="004F672F" w:rsidRPr="00E63FC4">
        <w:rPr>
          <w:bCs/>
        </w:rPr>
        <w:t xml:space="preserve"> </w:t>
      </w:r>
      <w:r w:rsidR="00FC238D" w:rsidRPr="00E63FC4">
        <w:rPr>
          <w:bCs/>
        </w:rPr>
        <w:t>(up 72%)</w:t>
      </w:r>
      <w:r w:rsidR="00FC238D" w:rsidRPr="00E63FC4">
        <w:rPr>
          <w:b/>
        </w:rPr>
        <w:t xml:space="preserve"> </w:t>
      </w:r>
      <w:r w:rsidR="004F672F" w:rsidRPr="00E63FC4">
        <w:rPr>
          <w:bCs/>
        </w:rPr>
        <w:t xml:space="preserve">and </w:t>
      </w:r>
      <w:r w:rsidR="004F672F" w:rsidRPr="00E63FC4">
        <w:rPr>
          <w:b/>
        </w:rPr>
        <w:t>capacitors</w:t>
      </w:r>
      <w:r w:rsidR="00FC238D" w:rsidRPr="00E63FC4">
        <w:rPr>
          <w:bCs/>
        </w:rPr>
        <w:t xml:space="preserve"> (up </w:t>
      </w:r>
      <w:r w:rsidR="00E66001" w:rsidRPr="00E63FC4">
        <w:rPr>
          <w:bCs/>
        </w:rPr>
        <w:t>67%).</w:t>
      </w:r>
    </w:p>
    <w:p w14:paraId="3FD215BB" w14:textId="2B17DB9A" w:rsidR="00CB2990" w:rsidRPr="00E63FC4" w:rsidRDefault="00CB2990" w:rsidP="00CB2990">
      <w:pPr>
        <w:pStyle w:val="ListParagraph"/>
        <w:numPr>
          <w:ilvl w:val="0"/>
          <w:numId w:val="7"/>
        </w:numPr>
        <w:spacing w:after="0"/>
        <w:ind w:left="360" w:right="-396"/>
      </w:pPr>
      <w:r w:rsidRPr="00E63FC4">
        <w:rPr>
          <w:bCs/>
        </w:rPr>
        <w:t xml:space="preserve">As the dominant market, </w:t>
      </w:r>
      <w:r w:rsidRPr="00E63FC4">
        <w:rPr>
          <w:b/>
        </w:rPr>
        <w:t>Canada</w:t>
      </w:r>
      <w:r w:rsidRPr="00E63FC4">
        <w:t xml:space="preserve"> ($389 million, up 122%) </w:t>
      </w:r>
      <w:r w:rsidR="00E63FC4" w:rsidRPr="00E63FC4">
        <w:t>steered</w:t>
      </w:r>
      <w:r w:rsidRPr="00E63FC4">
        <w:t xml:space="preserve"> demand for </w:t>
      </w:r>
      <w:r w:rsidRPr="00E63FC4">
        <w:rPr>
          <w:b/>
        </w:rPr>
        <w:t>mineral fuels, oils</w:t>
      </w:r>
      <w:r w:rsidRPr="00E63FC4">
        <w:t>.</w:t>
      </w:r>
    </w:p>
    <w:p w14:paraId="18CF1EDA" w14:textId="40229621" w:rsidR="00BC1307" w:rsidRPr="00E63FC4" w:rsidRDefault="000C2F10" w:rsidP="00BC1307">
      <w:pPr>
        <w:pStyle w:val="ListParagraph"/>
        <w:numPr>
          <w:ilvl w:val="0"/>
          <w:numId w:val="7"/>
        </w:numPr>
        <w:spacing w:after="120"/>
        <w:ind w:left="360" w:right="-396"/>
      </w:pPr>
      <w:r w:rsidRPr="00E63FC4">
        <w:rPr>
          <w:bCs/>
        </w:rPr>
        <w:t xml:space="preserve">About </w:t>
      </w:r>
      <w:r w:rsidR="00CB2990" w:rsidRPr="00E63FC4">
        <w:rPr>
          <w:bCs/>
        </w:rPr>
        <w:t>75% of</w:t>
      </w:r>
      <w:r w:rsidRPr="00E63FC4">
        <w:rPr>
          <w:bCs/>
        </w:rPr>
        <w:t xml:space="preserve"> </w:t>
      </w:r>
      <w:r w:rsidR="00CB2990" w:rsidRPr="00E63FC4">
        <w:rPr>
          <w:b/>
        </w:rPr>
        <w:t>v</w:t>
      </w:r>
      <w:r w:rsidR="00BC1307" w:rsidRPr="00E63FC4">
        <w:rPr>
          <w:b/>
        </w:rPr>
        <w:t>ehicles</w:t>
      </w:r>
      <w:r w:rsidR="00904E6E" w:rsidRPr="00E63FC4">
        <w:rPr>
          <w:b/>
        </w:rPr>
        <w:t xml:space="preserve"> </w:t>
      </w:r>
      <w:r w:rsidR="00E66001" w:rsidRPr="00E63FC4">
        <w:rPr>
          <w:bCs/>
        </w:rPr>
        <w:t xml:space="preserve">exports </w:t>
      </w:r>
      <w:r w:rsidRPr="00E63FC4">
        <w:rPr>
          <w:bCs/>
        </w:rPr>
        <w:t>were s</w:t>
      </w:r>
      <w:r w:rsidR="00E66001" w:rsidRPr="00E63FC4">
        <w:rPr>
          <w:bCs/>
        </w:rPr>
        <w:t>ent</w:t>
      </w:r>
      <w:r w:rsidRPr="00E63FC4">
        <w:rPr>
          <w:bCs/>
        </w:rPr>
        <w:t xml:space="preserve"> to</w:t>
      </w:r>
      <w:r w:rsidRPr="00E63FC4">
        <w:rPr>
          <w:b/>
        </w:rPr>
        <w:t xml:space="preserve"> </w:t>
      </w:r>
      <w:r w:rsidRPr="00E63FC4">
        <w:rPr>
          <w:b/>
          <w:bCs/>
        </w:rPr>
        <w:t xml:space="preserve">Canada </w:t>
      </w:r>
      <w:r w:rsidRPr="00E63FC4">
        <w:t xml:space="preserve">(up 66%) and </w:t>
      </w:r>
      <w:r w:rsidRPr="00E63FC4">
        <w:rPr>
          <w:b/>
          <w:bCs/>
        </w:rPr>
        <w:t xml:space="preserve">Mexico </w:t>
      </w:r>
      <w:r w:rsidRPr="00E63FC4">
        <w:t>(up 114%),</w:t>
      </w:r>
      <w:r w:rsidR="00E63FC4" w:rsidRPr="00E63FC4">
        <w:rPr>
          <w:bCs/>
        </w:rPr>
        <w:t xml:space="preserve"> driv</w:t>
      </w:r>
      <w:r w:rsidRPr="00E63FC4">
        <w:t>ing</w:t>
      </w:r>
      <w:r w:rsidR="00CB2990" w:rsidRPr="00E63FC4">
        <w:t xml:space="preserve"> growth.</w:t>
      </w:r>
      <w:r w:rsidR="00BC1307" w:rsidRPr="00E63FC4">
        <w:t xml:space="preserve"> </w:t>
      </w:r>
      <w:r w:rsidR="00F63858" w:rsidRPr="00E63FC4">
        <w:t>Fruitful i</w:t>
      </w:r>
      <w:r w:rsidR="00904E6E" w:rsidRPr="00E63FC4">
        <w:t xml:space="preserve">nroads </w:t>
      </w:r>
      <w:r w:rsidR="00F63858" w:rsidRPr="00E63FC4">
        <w:t xml:space="preserve">were made </w:t>
      </w:r>
      <w:r w:rsidR="00904E6E" w:rsidRPr="00E63FC4">
        <w:t xml:space="preserve">in </w:t>
      </w:r>
      <w:r w:rsidR="00F63858" w:rsidRPr="00E63FC4">
        <w:rPr>
          <w:b/>
          <w:bCs/>
        </w:rPr>
        <w:t xml:space="preserve">Jamaica </w:t>
      </w:r>
      <w:r w:rsidR="00F63858" w:rsidRPr="00E63FC4">
        <w:t xml:space="preserve">(up $6 million), </w:t>
      </w:r>
      <w:r w:rsidR="00CB2990" w:rsidRPr="00E63FC4">
        <w:rPr>
          <w:b/>
          <w:bCs/>
        </w:rPr>
        <w:t xml:space="preserve">South Africa </w:t>
      </w:r>
      <w:r w:rsidR="00CB2990" w:rsidRPr="00E63FC4">
        <w:t xml:space="preserve">(up </w:t>
      </w:r>
      <w:r w:rsidR="00904E6E" w:rsidRPr="00E63FC4">
        <w:t>$5 million</w:t>
      </w:r>
      <w:r w:rsidR="00CB2990" w:rsidRPr="00E63FC4">
        <w:t>)</w:t>
      </w:r>
      <w:r w:rsidR="00904E6E" w:rsidRPr="00E63FC4">
        <w:t xml:space="preserve">, </w:t>
      </w:r>
      <w:r w:rsidR="00904E6E" w:rsidRPr="00E63FC4">
        <w:rPr>
          <w:b/>
        </w:rPr>
        <w:t>Switzerland</w:t>
      </w:r>
      <w:r w:rsidR="00BC1307" w:rsidRPr="00E63FC4">
        <w:t xml:space="preserve"> (up </w:t>
      </w:r>
      <w:r w:rsidR="00904E6E" w:rsidRPr="00E63FC4">
        <w:t>$</w:t>
      </w:r>
      <w:r w:rsidR="00F63858" w:rsidRPr="00E63FC4">
        <w:t>4</w:t>
      </w:r>
      <w:r w:rsidR="00904E6E" w:rsidRPr="00E63FC4">
        <w:t xml:space="preserve"> million</w:t>
      </w:r>
      <w:r w:rsidR="00BC1307" w:rsidRPr="00E63FC4">
        <w:t xml:space="preserve">) and </w:t>
      </w:r>
      <w:r w:rsidR="00BC1307" w:rsidRPr="00E63FC4">
        <w:rPr>
          <w:b/>
          <w:bCs/>
        </w:rPr>
        <w:t>Russia</w:t>
      </w:r>
      <w:r w:rsidR="00BC1307" w:rsidRPr="00E63FC4">
        <w:t xml:space="preserve"> (up </w:t>
      </w:r>
      <w:r w:rsidR="00904E6E" w:rsidRPr="00E63FC4">
        <w:t>$3 million</w:t>
      </w:r>
      <w:r w:rsidR="00BC1307" w:rsidRPr="00E63FC4">
        <w:t>)</w:t>
      </w:r>
      <w:r w:rsidR="00904E6E" w:rsidRPr="00E63FC4">
        <w:t xml:space="preserve">. </w:t>
      </w:r>
      <w:r w:rsidR="00F63858" w:rsidRPr="00E63FC4">
        <w:rPr>
          <w:b/>
          <w:bCs/>
        </w:rPr>
        <w:t>S</w:t>
      </w:r>
      <w:r w:rsidRPr="00E63FC4">
        <w:rPr>
          <w:b/>
          <w:bCs/>
        </w:rPr>
        <w:t>pecial purpose</w:t>
      </w:r>
      <w:r w:rsidR="00FB1724">
        <w:rPr>
          <w:b/>
          <w:bCs/>
        </w:rPr>
        <w:t xml:space="preserve">, </w:t>
      </w:r>
      <w:r w:rsidR="00E66001" w:rsidRPr="00E63FC4">
        <w:rPr>
          <w:b/>
          <w:bCs/>
        </w:rPr>
        <w:t xml:space="preserve">smaller </w:t>
      </w:r>
      <w:r w:rsidR="00EA4C28">
        <w:rPr>
          <w:b/>
          <w:bCs/>
        </w:rPr>
        <w:t>vehicles, snowmobiles</w:t>
      </w:r>
      <w:r w:rsidR="00F63858" w:rsidRPr="00E63FC4">
        <w:rPr>
          <w:b/>
        </w:rPr>
        <w:t xml:space="preserve"> </w:t>
      </w:r>
      <w:r w:rsidR="00F63858" w:rsidRPr="00E63FC4">
        <w:rPr>
          <w:bCs/>
        </w:rPr>
        <w:t>and</w:t>
      </w:r>
      <w:r w:rsidR="00F63858" w:rsidRPr="00E63FC4">
        <w:rPr>
          <w:b/>
        </w:rPr>
        <w:t xml:space="preserve"> parts</w:t>
      </w:r>
      <w:r w:rsidRPr="00E63FC4">
        <w:rPr>
          <w:b/>
        </w:rPr>
        <w:t xml:space="preserve"> </w:t>
      </w:r>
      <w:r w:rsidR="00E66001" w:rsidRPr="00E63FC4">
        <w:rPr>
          <w:bCs/>
        </w:rPr>
        <w:t>boosted growth</w:t>
      </w:r>
      <w:r w:rsidR="00BC1307" w:rsidRPr="00E63FC4">
        <w:t>.</w:t>
      </w:r>
    </w:p>
    <w:p w14:paraId="08199DFA" w14:textId="201565B4" w:rsidR="0085254B" w:rsidRPr="00E63FC4" w:rsidRDefault="00084CB7" w:rsidP="00BC1307">
      <w:pPr>
        <w:pStyle w:val="ListParagraph"/>
        <w:numPr>
          <w:ilvl w:val="0"/>
          <w:numId w:val="7"/>
        </w:numPr>
        <w:spacing w:after="0"/>
        <w:ind w:left="360" w:right="-396"/>
      </w:pPr>
      <w:r w:rsidRPr="00E63FC4">
        <w:t>Moderate growth</w:t>
      </w:r>
      <w:r w:rsidR="00BC1307" w:rsidRPr="00E63FC4">
        <w:t xml:space="preserve"> </w:t>
      </w:r>
      <w:r w:rsidR="00F63858" w:rsidRPr="00E63FC4">
        <w:t>in</w:t>
      </w:r>
      <w:r w:rsidR="00BC1307" w:rsidRPr="00E63FC4">
        <w:rPr>
          <w:b/>
        </w:rPr>
        <w:t xml:space="preserve"> optic, medical </w:t>
      </w:r>
      <w:r w:rsidR="00BC1307" w:rsidRPr="00E63FC4">
        <w:t>(</w:t>
      </w:r>
      <w:r w:rsidR="00F63858" w:rsidRPr="00E63FC4">
        <w:t>up 6</w:t>
      </w:r>
      <w:r w:rsidR="00BC1307" w:rsidRPr="00E63FC4">
        <w:t>%)</w:t>
      </w:r>
      <w:r w:rsidR="00F63858" w:rsidRPr="00E63FC4">
        <w:t xml:space="preserve"> concealed dynamic g</w:t>
      </w:r>
      <w:r w:rsidRPr="00E63FC4">
        <w:t>ains</w:t>
      </w:r>
      <w:r w:rsidR="00F63858" w:rsidRPr="00E63FC4">
        <w:t xml:space="preserve"> in </w:t>
      </w:r>
      <w:r w:rsidR="00F63858" w:rsidRPr="00E63FC4">
        <w:rPr>
          <w:b/>
          <w:bCs/>
        </w:rPr>
        <w:t>medical, surgical instruments</w:t>
      </w:r>
      <w:r w:rsidR="00F63858" w:rsidRPr="00E63FC4">
        <w:t xml:space="preserve"> (up 54%) and </w:t>
      </w:r>
      <w:r w:rsidR="00F63858" w:rsidRPr="00E63FC4">
        <w:rPr>
          <w:b/>
          <w:bCs/>
        </w:rPr>
        <w:t>orthopedic, body parts</w:t>
      </w:r>
      <w:r w:rsidR="00BC1307" w:rsidRPr="00E63FC4">
        <w:t xml:space="preserve"> (</w:t>
      </w:r>
      <w:r w:rsidR="00F63858" w:rsidRPr="00E63FC4">
        <w:t>up</w:t>
      </w:r>
      <w:r w:rsidR="00BC1307" w:rsidRPr="00E63FC4">
        <w:t xml:space="preserve"> </w:t>
      </w:r>
      <w:r w:rsidR="00F63858" w:rsidRPr="00E63FC4">
        <w:t>54</w:t>
      </w:r>
      <w:r w:rsidR="00BC1307" w:rsidRPr="00E63FC4">
        <w:t>%)</w:t>
      </w:r>
      <w:r w:rsidRPr="00E63FC4">
        <w:t>,</w:t>
      </w:r>
      <w:r w:rsidR="00F63858" w:rsidRPr="00E63FC4">
        <w:t xml:space="preserve"> </w:t>
      </w:r>
      <w:r w:rsidR="0008536A" w:rsidRPr="00E63FC4">
        <w:t>but</w:t>
      </w:r>
      <w:r w:rsidRPr="00E63FC4">
        <w:t xml:space="preserve"> sinking sales in </w:t>
      </w:r>
      <w:r w:rsidR="00F63858" w:rsidRPr="00E63FC4">
        <w:rPr>
          <w:b/>
          <w:bCs/>
        </w:rPr>
        <w:t>optical fiber</w:t>
      </w:r>
      <w:r w:rsidRPr="00E63FC4">
        <w:t xml:space="preserve"> </w:t>
      </w:r>
      <w:r w:rsidR="00BC1307" w:rsidRPr="00E63FC4">
        <w:t>(down 8</w:t>
      </w:r>
      <w:r w:rsidR="00F63858" w:rsidRPr="00E63FC4">
        <w:t>1</w:t>
      </w:r>
      <w:r w:rsidR="00BC1307" w:rsidRPr="00E63FC4">
        <w:t>%</w:t>
      </w:r>
      <w:r w:rsidR="00F63858" w:rsidRPr="00E63FC4">
        <w:t>, largely due</w:t>
      </w:r>
      <w:r w:rsidRPr="00E63FC4">
        <w:t xml:space="preserve"> to</w:t>
      </w:r>
      <w:r w:rsidR="00F63858" w:rsidRPr="00E63FC4">
        <w:t xml:space="preserve"> </w:t>
      </w:r>
      <w:r w:rsidRPr="00E63FC4">
        <w:rPr>
          <w:b/>
          <w:bCs/>
        </w:rPr>
        <w:t>Asia</w:t>
      </w:r>
      <w:r w:rsidR="00BC1307" w:rsidRPr="00E63FC4">
        <w:t>).</w:t>
      </w:r>
      <w:r w:rsidRPr="00E63FC4">
        <w:t xml:space="preserve"> </w:t>
      </w:r>
      <w:r w:rsidRPr="00E63FC4">
        <w:rPr>
          <w:b/>
          <w:bCs/>
        </w:rPr>
        <w:t>Ireland,</w:t>
      </w:r>
      <w:r w:rsidRPr="00E63FC4">
        <w:t xml:space="preserve"> </w:t>
      </w:r>
      <w:r w:rsidRPr="00E63FC4">
        <w:rPr>
          <w:b/>
          <w:bCs/>
        </w:rPr>
        <w:t>Belgium, the Netherlands, Canada</w:t>
      </w:r>
      <w:r w:rsidRPr="00E63FC4">
        <w:t xml:space="preserve"> and </w:t>
      </w:r>
      <w:r w:rsidRPr="00E63FC4">
        <w:rPr>
          <w:b/>
          <w:bCs/>
        </w:rPr>
        <w:t>Costa Rica</w:t>
      </w:r>
      <w:r w:rsidRPr="00E63FC4">
        <w:t xml:space="preserve"> (</w:t>
      </w:r>
      <w:r w:rsidR="0008536A" w:rsidRPr="00E63FC4">
        <w:t xml:space="preserve">ranked </w:t>
      </w:r>
      <w:r w:rsidRPr="00E63FC4">
        <w:t>9</w:t>
      </w:r>
      <w:r w:rsidRPr="00E63FC4">
        <w:rPr>
          <w:vertAlign w:val="superscript"/>
        </w:rPr>
        <w:t>th</w:t>
      </w:r>
      <w:r w:rsidRPr="00E63FC4">
        <w:t xml:space="preserve"> </w:t>
      </w:r>
      <w:r w:rsidR="0008536A" w:rsidRPr="00E63FC4">
        <w:t>for optic, medical)</w:t>
      </w:r>
      <w:r w:rsidRPr="00E63FC4">
        <w:t xml:space="preserve"> </w:t>
      </w:r>
      <w:r w:rsidR="00E66001" w:rsidRPr="00E63FC4">
        <w:t>bolstered sales</w:t>
      </w:r>
      <w:r w:rsidRPr="00E63FC4">
        <w:t>.</w:t>
      </w:r>
    </w:p>
    <w:p w14:paraId="6048FF8A" w14:textId="64FEC5B8" w:rsidR="00084CB7" w:rsidRPr="00E63FC4" w:rsidRDefault="00E66001" w:rsidP="00084CB7">
      <w:pPr>
        <w:pStyle w:val="ListParagraph"/>
        <w:numPr>
          <w:ilvl w:val="0"/>
          <w:numId w:val="7"/>
        </w:numPr>
        <w:spacing w:after="0"/>
        <w:ind w:left="360" w:right="-396"/>
      </w:pPr>
      <w:r w:rsidRPr="00E63FC4">
        <w:t>F</w:t>
      </w:r>
      <w:r w:rsidR="00AB10AA" w:rsidRPr="00E63FC4">
        <w:t xml:space="preserve">ood and agricultural products </w:t>
      </w:r>
      <w:r w:rsidRPr="00E63FC4">
        <w:t xml:space="preserve">with export </w:t>
      </w:r>
      <w:r w:rsidR="00904E6E" w:rsidRPr="00E63FC4">
        <w:t>gains of $12 million or more during this period were</w:t>
      </w:r>
      <w:r w:rsidR="00AB10AA" w:rsidRPr="00E63FC4">
        <w:t xml:space="preserve"> </w:t>
      </w:r>
      <w:r w:rsidR="00AB10AA" w:rsidRPr="00E63FC4">
        <w:rPr>
          <w:b/>
        </w:rPr>
        <w:t>oil seeds</w:t>
      </w:r>
      <w:r w:rsidR="0008536A" w:rsidRPr="00E63FC4">
        <w:rPr>
          <w:b/>
        </w:rPr>
        <w:t>,</w:t>
      </w:r>
      <w:r w:rsidR="00AB10AA" w:rsidRPr="00E63FC4">
        <w:rPr>
          <w:b/>
        </w:rPr>
        <w:t xml:space="preserve"> misc. grain</w:t>
      </w:r>
      <w:r w:rsidRPr="00E63FC4">
        <w:rPr>
          <w:b/>
        </w:rPr>
        <w:t>s</w:t>
      </w:r>
      <w:r w:rsidR="00AB10AA" w:rsidRPr="00E63FC4">
        <w:rPr>
          <w:b/>
        </w:rPr>
        <w:t xml:space="preserve"> </w:t>
      </w:r>
      <w:r w:rsidR="00AB10AA" w:rsidRPr="00E63FC4">
        <w:t>(up 2</w:t>
      </w:r>
      <w:r w:rsidR="00904E6E" w:rsidRPr="00E63FC4">
        <w:t>00</w:t>
      </w:r>
      <w:r w:rsidR="00AB10AA" w:rsidRPr="00E63FC4">
        <w:t xml:space="preserve">%), </w:t>
      </w:r>
      <w:r w:rsidR="00904E6E" w:rsidRPr="00E63FC4">
        <w:rPr>
          <w:b/>
          <w:bCs/>
        </w:rPr>
        <w:t xml:space="preserve">food by-products </w:t>
      </w:r>
      <w:r w:rsidR="00904E6E" w:rsidRPr="00E63FC4">
        <w:t xml:space="preserve">(up 45%), </w:t>
      </w:r>
      <w:r w:rsidR="00AB10AA" w:rsidRPr="00E63FC4">
        <w:rPr>
          <w:b/>
        </w:rPr>
        <w:t xml:space="preserve">beverages </w:t>
      </w:r>
      <w:r w:rsidR="00AB10AA" w:rsidRPr="00E63FC4">
        <w:t>(up 8</w:t>
      </w:r>
      <w:r w:rsidR="00904E6E" w:rsidRPr="00E63FC4">
        <w:t>6</w:t>
      </w:r>
      <w:r w:rsidR="00AB10AA" w:rsidRPr="00E63FC4">
        <w:t xml:space="preserve">%), </w:t>
      </w:r>
      <w:r w:rsidR="00904E6E" w:rsidRPr="00E63FC4">
        <w:rPr>
          <w:b/>
        </w:rPr>
        <w:t>meat</w:t>
      </w:r>
      <w:r w:rsidR="00904E6E" w:rsidRPr="00E63FC4">
        <w:t xml:space="preserve"> (up 9%), and </w:t>
      </w:r>
      <w:r w:rsidR="00AB10AA" w:rsidRPr="00E63FC4">
        <w:rPr>
          <w:b/>
        </w:rPr>
        <w:t>dairy</w:t>
      </w:r>
      <w:r w:rsidR="00CF0DC4" w:rsidRPr="00E63FC4">
        <w:rPr>
          <w:b/>
        </w:rPr>
        <w:t>,</w:t>
      </w:r>
      <w:r w:rsidR="00AB10AA" w:rsidRPr="00E63FC4">
        <w:rPr>
          <w:b/>
        </w:rPr>
        <w:t xml:space="preserve"> eggs </w:t>
      </w:r>
      <w:r w:rsidR="00AB10AA" w:rsidRPr="00E63FC4">
        <w:t>(up 3</w:t>
      </w:r>
      <w:r w:rsidR="00904E6E" w:rsidRPr="00E63FC4">
        <w:t>0</w:t>
      </w:r>
      <w:r w:rsidR="00AB10AA" w:rsidRPr="00E63FC4">
        <w:t>%)</w:t>
      </w:r>
      <w:r w:rsidR="0085254B" w:rsidRPr="00E63FC4">
        <w:t>.</w:t>
      </w:r>
    </w:p>
    <w:p w14:paraId="73CDCF23" w14:textId="4234024C" w:rsidR="004A4223" w:rsidRPr="00E63FC4" w:rsidRDefault="007F1C4A" w:rsidP="006913B8">
      <w:pPr>
        <w:pStyle w:val="Heading4"/>
        <w:spacing w:before="120" w:after="120"/>
        <w:rPr>
          <w:color w:val="auto"/>
        </w:rPr>
      </w:pPr>
      <w:r w:rsidRPr="00E63FC4">
        <w:rPr>
          <w:color w:val="auto"/>
        </w:rPr>
        <w:t>Fi</w:t>
      </w:r>
      <w:r w:rsidR="00A44451" w:rsidRPr="00E63FC4">
        <w:rPr>
          <w:color w:val="auto"/>
        </w:rPr>
        <w:t>gure 4. Export Trends for</w:t>
      </w:r>
      <w:r w:rsidRPr="00E63FC4">
        <w:rPr>
          <w:color w:val="auto"/>
        </w:rPr>
        <w:t xml:space="preserve"> Minnesota’s Top 10 Products, </w:t>
      </w:r>
      <w:r w:rsidR="00955D44" w:rsidRPr="00E63FC4">
        <w:rPr>
          <w:color w:val="auto"/>
        </w:rPr>
        <w:t>Second</w:t>
      </w:r>
      <w:r w:rsidR="00A52415" w:rsidRPr="00E63FC4">
        <w:rPr>
          <w:color w:val="auto"/>
        </w:rPr>
        <w:t xml:space="preserve"> Quarter </w:t>
      </w:r>
      <w:r w:rsidR="00A30328" w:rsidRPr="00E63FC4">
        <w:rPr>
          <w:color w:val="auto"/>
        </w:rPr>
        <w:t>2021</w:t>
      </w:r>
    </w:p>
    <w:p w14:paraId="16AA9AAD" w14:textId="0BB83A4C" w:rsidR="005C10BC" w:rsidRPr="00E63FC4" w:rsidRDefault="005C10BC" w:rsidP="005C10BC">
      <w:r w:rsidRPr="00E63FC4">
        <w:rPr>
          <w:noProof/>
        </w:rPr>
        <w:drawing>
          <wp:inline distT="0" distB="0" distL="0" distR="0" wp14:anchorId="1BDCF1A3" wp14:editId="02705F7E">
            <wp:extent cx="6355080" cy="1923415"/>
            <wp:effectExtent l="0" t="0" r="7620" b="635"/>
            <wp:docPr id="6" name="Picture 6" descr="PRODUCT  Exports (millions)  Percent Change, 2020-Q2 to 2021-Q2&#10;Total  $5,952  29%&#10;Machinery  $1,001  37%&#10;Optic, Medical  $957  6%&#10;Electrical Equipment  $806  49%&#10;Mineral Fuels, Oils  $415  127%&#10;Plastics  $322  -2%&#10;Vehicles  $300  81%&#10;Food By-Products  $171  45%&#10;Ores, Slag, Ash  $170  -20%&#10;Meat  $149  9%&#10;Oil Seeds, Misc Grain  $120  200%&#10;Other  $1,540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5080" cy="1923415"/>
                    </a:xfrm>
                    <a:prstGeom prst="rect">
                      <a:avLst/>
                    </a:prstGeom>
                    <a:noFill/>
                    <a:ln>
                      <a:noFill/>
                    </a:ln>
                  </pic:spPr>
                </pic:pic>
              </a:graphicData>
            </a:graphic>
          </wp:inline>
        </w:drawing>
      </w:r>
    </w:p>
    <w:tbl>
      <w:tblPr>
        <w:tblpPr w:leftFromText="180" w:rightFromText="180" w:vertAnchor="page" w:horzAnchor="margin" w:tblpY="1340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w:tblPr>
      <w:tblGrid>
        <w:gridCol w:w="10075"/>
      </w:tblGrid>
      <w:tr w:rsidR="00E63FC4" w:rsidRPr="00E63FC4" w14:paraId="7688E05E" w14:textId="77777777" w:rsidTr="00A5022A">
        <w:trPr>
          <w:trHeight w:val="1070"/>
        </w:trPr>
        <w:tc>
          <w:tcPr>
            <w:tcW w:w="10075" w:type="dxa"/>
            <w:shd w:val="clear" w:color="auto" w:fill="C9E5A6"/>
          </w:tcPr>
          <w:p w14:paraId="39907943" w14:textId="26E6ED0D" w:rsidR="00D80EB6" w:rsidRPr="00E63FC4" w:rsidRDefault="00D80EB6" w:rsidP="0027681D">
            <w:pPr>
              <w:spacing w:after="0"/>
            </w:pPr>
            <w:r w:rsidRPr="00E63FC4">
              <w:rPr>
                <w:rStyle w:val="Emphasis"/>
                <w:rFonts w:cstheme="minorHAnsi"/>
                <w:sz w:val="18"/>
              </w:rPr>
              <w:t>Minnesota Quarterly Export Statistics</w:t>
            </w:r>
            <w:r w:rsidRPr="00E63FC4">
              <w:rPr>
                <w:rFonts w:ascii="Calibri" w:hAnsi="Calibri"/>
                <w:sz w:val="14"/>
              </w:rPr>
              <w:t xml:space="preserve"> </w:t>
            </w:r>
            <w:r w:rsidRPr="00E63FC4">
              <w:rPr>
                <w:rFonts w:ascii="Calibri" w:hAnsi="Calibri"/>
                <w:sz w:val="18"/>
              </w:rPr>
              <w:t>is the most current resource available for tracking the state’s</w:t>
            </w:r>
            <w:r w:rsidR="004A6B80" w:rsidRPr="00E63FC4">
              <w:rPr>
                <w:rFonts w:ascii="Calibri" w:hAnsi="Calibri"/>
                <w:sz w:val="18"/>
              </w:rPr>
              <w:t xml:space="preserve"> export</w:t>
            </w:r>
            <w:r w:rsidR="008A202D" w:rsidRPr="00E63FC4">
              <w:rPr>
                <w:rFonts w:ascii="Calibri" w:hAnsi="Calibri"/>
                <w:sz w:val="18"/>
              </w:rPr>
              <w:t xml:space="preserve"> trends in man</w:t>
            </w:r>
            <w:r w:rsidR="004A6B80" w:rsidRPr="00E63FC4">
              <w:rPr>
                <w:rFonts w:ascii="Calibri" w:hAnsi="Calibri"/>
                <w:sz w:val="18"/>
              </w:rPr>
              <w:t>ufactured and other good</w:t>
            </w:r>
            <w:r w:rsidR="00CF0DC4" w:rsidRPr="00E63FC4">
              <w:rPr>
                <w:rFonts w:ascii="Calibri" w:hAnsi="Calibri"/>
                <w:sz w:val="18"/>
              </w:rPr>
              <w:t>. The report</w:t>
            </w:r>
            <w:r w:rsidRPr="00E63FC4">
              <w:rPr>
                <w:rFonts w:ascii="Calibri" w:hAnsi="Calibri"/>
                <w:sz w:val="18"/>
              </w:rPr>
              <w:t xml:space="preserve"> is prepared for the Minnesota Trade Office (MTO) by the Department of Employment and Economic Development’s (DEED) Economic Analysis Unit (Thu-Mai Ho-Kim).  </w:t>
            </w:r>
            <w:r w:rsidRPr="00E63FC4">
              <w:rPr>
                <w:rFonts w:ascii="Calibri" w:hAnsi="Calibri" w:cs="Calibri"/>
                <w:sz w:val="18"/>
                <w:szCs w:val="18"/>
              </w:rPr>
              <w:t xml:space="preserve">The quarterly and annual statistics reports primarily cover export data based on the Harmonized Tariff System (Schedule B), collected by the U.S. Department of Commerce (USDOC) and distributed by IHS </w:t>
            </w:r>
            <w:r w:rsidR="004A6B80" w:rsidRPr="00E63FC4">
              <w:rPr>
                <w:rFonts w:ascii="Calibri" w:hAnsi="Calibri" w:cs="Calibri"/>
                <w:sz w:val="18"/>
                <w:szCs w:val="18"/>
              </w:rPr>
              <w:t>Markit.</w:t>
            </w:r>
            <w:r w:rsidRPr="00E63FC4">
              <w:rPr>
                <w:rFonts w:ascii="Calibri" w:hAnsi="Calibri" w:cs="Calibri"/>
                <w:sz w:val="18"/>
                <w:szCs w:val="18"/>
              </w:rPr>
              <w:t xml:space="preserve"> Reports are available on DEED’s website at “Export and Trade Statistics” (</w:t>
            </w:r>
            <w:hyperlink r:id="rId18" w:history="1">
              <w:r w:rsidRPr="00E63FC4">
                <w:rPr>
                  <w:rStyle w:val="Hyperlink"/>
                  <w:color w:val="auto"/>
                  <w:sz w:val="18"/>
                  <w:szCs w:val="18"/>
                </w:rPr>
                <w:t>http://mn.gov/deed/data/export-stats/</w:t>
              </w:r>
            </w:hyperlink>
            <w:r w:rsidRPr="00E63FC4">
              <w:rPr>
                <w:sz w:val="18"/>
                <w:szCs w:val="18"/>
              </w:rPr>
              <w:t>)</w:t>
            </w:r>
            <w:r w:rsidRPr="00E63FC4">
              <w:rPr>
                <w:rFonts w:ascii="Calibri" w:hAnsi="Calibri" w:cs="Calibri"/>
                <w:sz w:val="18"/>
                <w:szCs w:val="18"/>
              </w:rPr>
              <w:t>.</w:t>
            </w:r>
          </w:p>
        </w:tc>
      </w:tr>
    </w:tbl>
    <w:p w14:paraId="7C147EF7" w14:textId="77777777" w:rsidR="007F1C4A" w:rsidRPr="00E63FC4" w:rsidRDefault="007F1C4A" w:rsidP="00831997">
      <w:pPr>
        <w:spacing w:after="240"/>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7F1C4A" w:rsidRPr="00E63FC4" w:rsidSect="00426066">
      <w:footnotePr>
        <w:numRestart w:val="eachSect"/>
      </w:footnotePr>
      <w:endnotePr>
        <w:numFmt w:val="decimal"/>
      </w:endnotePr>
      <w:type w:val="continuous"/>
      <w:pgSz w:w="12240" w:h="15840" w:code="1"/>
      <w:pgMar w:top="936" w:right="1152" w:bottom="936"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EC71A" w14:textId="77777777" w:rsidR="00F07ED4" w:rsidRDefault="00F07ED4">
      <w:r>
        <w:separator/>
      </w:r>
    </w:p>
  </w:endnote>
  <w:endnote w:type="continuationSeparator" w:id="0">
    <w:p w14:paraId="3CB3CABB" w14:textId="77777777" w:rsidR="00F07ED4" w:rsidRDefault="00F0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6150" w14:textId="77777777"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4C5F" w14:textId="77777777" w:rsidR="00F07ED4" w:rsidRDefault="00F07ED4">
      <w:r>
        <w:separator/>
      </w:r>
    </w:p>
  </w:footnote>
  <w:footnote w:type="continuationSeparator" w:id="0">
    <w:p w14:paraId="097AF85F" w14:textId="77777777" w:rsidR="00F07ED4" w:rsidRDefault="00F0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3CB2"/>
    <w:multiLevelType w:val="hybridMultilevel"/>
    <w:tmpl w:val="641C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4"/>
  </w:num>
  <w:num w:numId="5">
    <w:abstractNumId w:val="1"/>
  </w:num>
  <w:num w:numId="6">
    <w:abstractNumId w:val="7"/>
  </w:num>
  <w:num w:numId="7">
    <w:abstractNumId w:val="15"/>
  </w:num>
  <w:num w:numId="8">
    <w:abstractNumId w:val="13"/>
  </w:num>
  <w:num w:numId="9">
    <w:abstractNumId w:val="9"/>
  </w:num>
  <w:num w:numId="10">
    <w:abstractNumId w:val="8"/>
  </w:num>
  <w:num w:numId="11">
    <w:abstractNumId w:val="6"/>
  </w:num>
  <w:num w:numId="12">
    <w:abstractNumId w:val="2"/>
  </w:num>
  <w:num w:numId="13">
    <w:abstractNumId w:val="14"/>
  </w:num>
  <w:num w:numId="14">
    <w:abstractNumId w:val="10"/>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310"/>
    <w:rsid w:val="000115BA"/>
    <w:rsid w:val="00013717"/>
    <w:rsid w:val="00015A9D"/>
    <w:rsid w:val="00017FE0"/>
    <w:rsid w:val="000218A0"/>
    <w:rsid w:val="00024BB5"/>
    <w:rsid w:val="000350A7"/>
    <w:rsid w:val="00035328"/>
    <w:rsid w:val="00036238"/>
    <w:rsid w:val="00046117"/>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6DF3"/>
    <w:rsid w:val="00077989"/>
    <w:rsid w:val="0008038B"/>
    <w:rsid w:val="00083199"/>
    <w:rsid w:val="00084CB7"/>
    <w:rsid w:val="0008536A"/>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1CB0"/>
    <w:rsid w:val="000C2181"/>
    <w:rsid w:val="000C2F10"/>
    <w:rsid w:val="000C3AE5"/>
    <w:rsid w:val="000D02DD"/>
    <w:rsid w:val="000D1330"/>
    <w:rsid w:val="000D18A9"/>
    <w:rsid w:val="000D57C2"/>
    <w:rsid w:val="000D5D94"/>
    <w:rsid w:val="000D6FAF"/>
    <w:rsid w:val="000E0786"/>
    <w:rsid w:val="000E3376"/>
    <w:rsid w:val="000E6BD9"/>
    <w:rsid w:val="000E6F54"/>
    <w:rsid w:val="000E7ED0"/>
    <w:rsid w:val="000F0519"/>
    <w:rsid w:val="000F1844"/>
    <w:rsid w:val="000F1B22"/>
    <w:rsid w:val="000F3E1F"/>
    <w:rsid w:val="000F4C5E"/>
    <w:rsid w:val="000F54F2"/>
    <w:rsid w:val="000F6660"/>
    <w:rsid w:val="000F6CDA"/>
    <w:rsid w:val="00106910"/>
    <w:rsid w:val="00107130"/>
    <w:rsid w:val="00107686"/>
    <w:rsid w:val="001104C3"/>
    <w:rsid w:val="00111990"/>
    <w:rsid w:val="001127F8"/>
    <w:rsid w:val="00112A1D"/>
    <w:rsid w:val="00112A91"/>
    <w:rsid w:val="001214D7"/>
    <w:rsid w:val="00124698"/>
    <w:rsid w:val="0012471B"/>
    <w:rsid w:val="001250AB"/>
    <w:rsid w:val="001263E2"/>
    <w:rsid w:val="00132366"/>
    <w:rsid w:val="00132A66"/>
    <w:rsid w:val="00134ECC"/>
    <w:rsid w:val="00134F20"/>
    <w:rsid w:val="00135A0B"/>
    <w:rsid w:val="001360E3"/>
    <w:rsid w:val="00136664"/>
    <w:rsid w:val="00136C1C"/>
    <w:rsid w:val="001373C3"/>
    <w:rsid w:val="00137E8C"/>
    <w:rsid w:val="00140B5F"/>
    <w:rsid w:val="00142003"/>
    <w:rsid w:val="0014228E"/>
    <w:rsid w:val="001422BE"/>
    <w:rsid w:val="00145936"/>
    <w:rsid w:val="00147356"/>
    <w:rsid w:val="00147EEF"/>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519"/>
    <w:rsid w:val="001978D1"/>
    <w:rsid w:val="001979B1"/>
    <w:rsid w:val="00197F6A"/>
    <w:rsid w:val="001A7229"/>
    <w:rsid w:val="001A7363"/>
    <w:rsid w:val="001A787E"/>
    <w:rsid w:val="001B0716"/>
    <w:rsid w:val="001B0D71"/>
    <w:rsid w:val="001B1416"/>
    <w:rsid w:val="001B344A"/>
    <w:rsid w:val="001B3687"/>
    <w:rsid w:val="001B4406"/>
    <w:rsid w:val="001B5950"/>
    <w:rsid w:val="001B6B06"/>
    <w:rsid w:val="001C1112"/>
    <w:rsid w:val="001C13C5"/>
    <w:rsid w:val="001C1A15"/>
    <w:rsid w:val="001C3A93"/>
    <w:rsid w:val="001C6967"/>
    <w:rsid w:val="001D0609"/>
    <w:rsid w:val="001D704D"/>
    <w:rsid w:val="001D767B"/>
    <w:rsid w:val="001E36FD"/>
    <w:rsid w:val="001E4570"/>
    <w:rsid w:val="001E4F28"/>
    <w:rsid w:val="001E53CF"/>
    <w:rsid w:val="001E6B49"/>
    <w:rsid w:val="001E79C1"/>
    <w:rsid w:val="001E7B61"/>
    <w:rsid w:val="001F279C"/>
    <w:rsid w:val="001F56E0"/>
    <w:rsid w:val="001F591D"/>
    <w:rsid w:val="001F62FF"/>
    <w:rsid w:val="001F7EBF"/>
    <w:rsid w:val="002003FA"/>
    <w:rsid w:val="0020291D"/>
    <w:rsid w:val="00202963"/>
    <w:rsid w:val="00203298"/>
    <w:rsid w:val="002040F2"/>
    <w:rsid w:val="00205084"/>
    <w:rsid w:val="00205F9C"/>
    <w:rsid w:val="00211025"/>
    <w:rsid w:val="0021231E"/>
    <w:rsid w:val="002127D7"/>
    <w:rsid w:val="002158EE"/>
    <w:rsid w:val="00215DA6"/>
    <w:rsid w:val="00216C2D"/>
    <w:rsid w:val="00217960"/>
    <w:rsid w:val="002224AE"/>
    <w:rsid w:val="0022389E"/>
    <w:rsid w:val="00223F46"/>
    <w:rsid w:val="00226A71"/>
    <w:rsid w:val="00234444"/>
    <w:rsid w:val="00244370"/>
    <w:rsid w:val="00245025"/>
    <w:rsid w:val="0024609E"/>
    <w:rsid w:val="00250B75"/>
    <w:rsid w:val="002538D5"/>
    <w:rsid w:val="0025565E"/>
    <w:rsid w:val="002607E0"/>
    <w:rsid w:val="00262FF7"/>
    <w:rsid w:val="0026310F"/>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52FC"/>
    <w:rsid w:val="002B1415"/>
    <w:rsid w:val="002B329E"/>
    <w:rsid w:val="002B36A6"/>
    <w:rsid w:val="002B3ACE"/>
    <w:rsid w:val="002B6B53"/>
    <w:rsid w:val="002B6EBF"/>
    <w:rsid w:val="002C0C4E"/>
    <w:rsid w:val="002C164C"/>
    <w:rsid w:val="002C52C4"/>
    <w:rsid w:val="002C6521"/>
    <w:rsid w:val="002D2A7E"/>
    <w:rsid w:val="002D2EF5"/>
    <w:rsid w:val="002D63BC"/>
    <w:rsid w:val="002D6A99"/>
    <w:rsid w:val="002D6F33"/>
    <w:rsid w:val="002E54F1"/>
    <w:rsid w:val="002F0687"/>
    <w:rsid w:val="002F1C0E"/>
    <w:rsid w:val="002F1E64"/>
    <w:rsid w:val="002F257A"/>
    <w:rsid w:val="002F285F"/>
    <w:rsid w:val="002F5224"/>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52999"/>
    <w:rsid w:val="003530DA"/>
    <w:rsid w:val="0035427F"/>
    <w:rsid w:val="003575CE"/>
    <w:rsid w:val="00361002"/>
    <w:rsid w:val="003610A2"/>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942"/>
    <w:rsid w:val="00387E7F"/>
    <w:rsid w:val="00391815"/>
    <w:rsid w:val="00392609"/>
    <w:rsid w:val="0039324F"/>
    <w:rsid w:val="00396483"/>
    <w:rsid w:val="003975D0"/>
    <w:rsid w:val="003A3D11"/>
    <w:rsid w:val="003B0B33"/>
    <w:rsid w:val="003B2771"/>
    <w:rsid w:val="003B3484"/>
    <w:rsid w:val="003B62FF"/>
    <w:rsid w:val="003C316B"/>
    <w:rsid w:val="003C3D13"/>
    <w:rsid w:val="003C43EB"/>
    <w:rsid w:val="003C53CE"/>
    <w:rsid w:val="003C57B0"/>
    <w:rsid w:val="003C7165"/>
    <w:rsid w:val="003D044E"/>
    <w:rsid w:val="003D23DD"/>
    <w:rsid w:val="003D2CFC"/>
    <w:rsid w:val="003D49DF"/>
    <w:rsid w:val="003D4F5D"/>
    <w:rsid w:val="003D6202"/>
    <w:rsid w:val="003D744B"/>
    <w:rsid w:val="003D7C4C"/>
    <w:rsid w:val="003E01C9"/>
    <w:rsid w:val="003E21CA"/>
    <w:rsid w:val="003F27BF"/>
    <w:rsid w:val="003F3601"/>
    <w:rsid w:val="003F41C6"/>
    <w:rsid w:val="003F44C1"/>
    <w:rsid w:val="003F6B30"/>
    <w:rsid w:val="0040062C"/>
    <w:rsid w:val="00402A86"/>
    <w:rsid w:val="00405F36"/>
    <w:rsid w:val="004061B1"/>
    <w:rsid w:val="00406E6D"/>
    <w:rsid w:val="00407310"/>
    <w:rsid w:val="00410564"/>
    <w:rsid w:val="00410BBC"/>
    <w:rsid w:val="00412776"/>
    <w:rsid w:val="00420D04"/>
    <w:rsid w:val="0042279B"/>
    <w:rsid w:val="0042285F"/>
    <w:rsid w:val="00426066"/>
    <w:rsid w:val="00426DC1"/>
    <w:rsid w:val="004303E8"/>
    <w:rsid w:val="004304CD"/>
    <w:rsid w:val="00433DBF"/>
    <w:rsid w:val="004362B0"/>
    <w:rsid w:val="00437CB6"/>
    <w:rsid w:val="0044214A"/>
    <w:rsid w:val="004430A9"/>
    <w:rsid w:val="00445385"/>
    <w:rsid w:val="00447C35"/>
    <w:rsid w:val="004527A6"/>
    <w:rsid w:val="0045332A"/>
    <w:rsid w:val="004550A2"/>
    <w:rsid w:val="00457D79"/>
    <w:rsid w:val="00464CC9"/>
    <w:rsid w:val="0046665A"/>
    <w:rsid w:val="00466D65"/>
    <w:rsid w:val="0046703D"/>
    <w:rsid w:val="0047028E"/>
    <w:rsid w:val="0047084F"/>
    <w:rsid w:val="00470FED"/>
    <w:rsid w:val="004713E0"/>
    <w:rsid w:val="004736AA"/>
    <w:rsid w:val="00475201"/>
    <w:rsid w:val="00475D79"/>
    <w:rsid w:val="0047760E"/>
    <w:rsid w:val="00480418"/>
    <w:rsid w:val="0048185B"/>
    <w:rsid w:val="00481E39"/>
    <w:rsid w:val="00482FFB"/>
    <w:rsid w:val="00484906"/>
    <w:rsid w:val="00485373"/>
    <w:rsid w:val="004867A4"/>
    <w:rsid w:val="00486B23"/>
    <w:rsid w:val="00487935"/>
    <w:rsid w:val="004900B8"/>
    <w:rsid w:val="004910BF"/>
    <w:rsid w:val="00491AC8"/>
    <w:rsid w:val="00493958"/>
    <w:rsid w:val="00493DF8"/>
    <w:rsid w:val="004944A7"/>
    <w:rsid w:val="004951BC"/>
    <w:rsid w:val="00497570"/>
    <w:rsid w:val="00497998"/>
    <w:rsid w:val="004A3CC9"/>
    <w:rsid w:val="004A4223"/>
    <w:rsid w:val="004A43B9"/>
    <w:rsid w:val="004A5B9A"/>
    <w:rsid w:val="004A6B80"/>
    <w:rsid w:val="004A7FE8"/>
    <w:rsid w:val="004B0B28"/>
    <w:rsid w:val="004B4376"/>
    <w:rsid w:val="004B4BD6"/>
    <w:rsid w:val="004B74F8"/>
    <w:rsid w:val="004B7C0E"/>
    <w:rsid w:val="004C0132"/>
    <w:rsid w:val="004C31E6"/>
    <w:rsid w:val="004D0671"/>
    <w:rsid w:val="004D1EAB"/>
    <w:rsid w:val="004D6223"/>
    <w:rsid w:val="004E06B6"/>
    <w:rsid w:val="004E1A2B"/>
    <w:rsid w:val="004E1D93"/>
    <w:rsid w:val="004E7051"/>
    <w:rsid w:val="004E7967"/>
    <w:rsid w:val="004F046B"/>
    <w:rsid w:val="004F0B2F"/>
    <w:rsid w:val="004F19B8"/>
    <w:rsid w:val="004F5A09"/>
    <w:rsid w:val="004F5CE6"/>
    <w:rsid w:val="004F672F"/>
    <w:rsid w:val="004F6D22"/>
    <w:rsid w:val="004F6DBE"/>
    <w:rsid w:val="004F73D4"/>
    <w:rsid w:val="00500A5C"/>
    <w:rsid w:val="005026CC"/>
    <w:rsid w:val="00503AD1"/>
    <w:rsid w:val="0050449A"/>
    <w:rsid w:val="005078AA"/>
    <w:rsid w:val="00507C77"/>
    <w:rsid w:val="005100D1"/>
    <w:rsid w:val="00513720"/>
    <w:rsid w:val="0051607A"/>
    <w:rsid w:val="005205F4"/>
    <w:rsid w:val="00521967"/>
    <w:rsid w:val="00524378"/>
    <w:rsid w:val="005269B7"/>
    <w:rsid w:val="005269D3"/>
    <w:rsid w:val="00530F70"/>
    <w:rsid w:val="005315EA"/>
    <w:rsid w:val="00532FD5"/>
    <w:rsid w:val="00534E9F"/>
    <w:rsid w:val="0053506A"/>
    <w:rsid w:val="0053512A"/>
    <w:rsid w:val="00535508"/>
    <w:rsid w:val="00536B13"/>
    <w:rsid w:val="00540B35"/>
    <w:rsid w:val="00544921"/>
    <w:rsid w:val="00544F1F"/>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2DC9"/>
    <w:rsid w:val="00585250"/>
    <w:rsid w:val="005859C8"/>
    <w:rsid w:val="00587796"/>
    <w:rsid w:val="005940DB"/>
    <w:rsid w:val="00597ABF"/>
    <w:rsid w:val="005A2AAC"/>
    <w:rsid w:val="005A3C50"/>
    <w:rsid w:val="005A5CF0"/>
    <w:rsid w:val="005A61AB"/>
    <w:rsid w:val="005B0E04"/>
    <w:rsid w:val="005B2781"/>
    <w:rsid w:val="005B6872"/>
    <w:rsid w:val="005B6B09"/>
    <w:rsid w:val="005B75E6"/>
    <w:rsid w:val="005C0164"/>
    <w:rsid w:val="005C10BC"/>
    <w:rsid w:val="005C4DE0"/>
    <w:rsid w:val="005C5B41"/>
    <w:rsid w:val="005C61D6"/>
    <w:rsid w:val="005D315F"/>
    <w:rsid w:val="005E0664"/>
    <w:rsid w:val="005E139A"/>
    <w:rsid w:val="005E2D06"/>
    <w:rsid w:val="005E41A6"/>
    <w:rsid w:val="005E4CC6"/>
    <w:rsid w:val="005E5D9F"/>
    <w:rsid w:val="005E6921"/>
    <w:rsid w:val="005F082A"/>
    <w:rsid w:val="005F10AC"/>
    <w:rsid w:val="005F1B29"/>
    <w:rsid w:val="005F3BCE"/>
    <w:rsid w:val="005F5087"/>
    <w:rsid w:val="005F69A9"/>
    <w:rsid w:val="00600502"/>
    <w:rsid w:val="0060605E"/>
    <w:rsid w:val="00606AB0"/>
    <w:rsid w:val="00607FAE"/>
    <w:rsid w:val="0061064A"/>
    <w:rsid w:val="006139EC"/>
    <w:rsid w:val="00613CC2"/>
    <w:rsid w:val="00615BC9"/>
    <w:rsid w:val="00615CB4"/>
    <w:rsid w:val="006177AE"/>
    <w:rsid w:val="00620C18"/>
    <w:rsid w:val="00621065"/>
    <w:rsid w:val="00621A4A"/>
    <w:rsid w:val="00624E22"/>
    <w:rsid w:val="006308E7"/>
    <w:rsid w:val="006339F5"/>
    <w:rsid w:val="0063551B"/>
    <w:rsid w:val="00635F82"/>
    <w:rsid w:val="00636B6E"/>
    <w:rsid w:val="0063763A"/>
    <w:rsid w:val="00640620"/>
    <w:rsid w:val="00641D3B"/>
    <w:rsid w:val="00646942"/>
    <w:rsid w:val="00647786"/>
    <w:rsid w:val="00651369"/>
    <w:rsid w:val="006519AF"/>
    <w:rsid w:val="00652A9D"/>
    <w:rsid w:val="006549A6"/>
    <w:rsid w:val="0065603B"/>
    <w:rsid w:val="0066058B"/>
    <w:rsid w:val="006618F7"/>
    <w:rsid w:val="00662222"/>
    <w:rsid w:val="00663755"/>
    <w:rsid w:val="00664A6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3B8"/>
    <w:rsid w:val="00691D49"/>
    <w:rsid w:val="006922C8"/>
    <w:rsid w:val="00692D3B"/>
    <w:rsid w:val="00693229"/>
    <w:rsid w:val="00694043"/>
    <w:rsid w:val="006951FD"/>
    <w:rsid w:val="00695BB1"/>
    <w:rsid w:val="006964AF"/>
    <w:rsid w:val="006A17BE"/>
    <w:rsid w:val="006A3E64"/>
    <w:rsid w:val="006A56E4"/>
    <w:rsid w:val="006B029D"/>
    <w:rsid w:val="006B1B1A"/>
    <w:rsid w:val="006B2D41"/>
    <w:rsid w:val="006B6D8D"/>
    <w:rsid w:val="006C1643"/>
    <w:rsid w:val="006C287C"/>
    <w:rsid w:val="006C3C15"/>
    <w:rsid w:val="006C7D4F"/>
    <w:rsid w:val="006D12B4"/>
    <w:rsid w:val="006D4F41"/>
    <w:rsid w:val="006D6A44"/>
    <w:rsid w:val="006D7A33"/>
    <w:rsid w:val="006E280A"/>
    <w:rsid w:val="006E6792"/>
    <w:rsid w:val="006E75E2"/>
    <w:rsid w:val="006F01B5"/>
    <w:rsid w:val="006F4AD5"/>
    <w:rsid w:val="006F4CA7"/>
    <w:rsid w:val="006F5527"/>
    <w:rsid w:val="006F5706"/>
    <w:rsid w:val="006F6211"/>
    <w:rsid w:val="00701034"/>
    <w:rsid w:val="007046F7"/>
    <w:rsid w:val="00707559"/>
    <w:rsid w:val="007076DF"/>
    <w:rsid w:val="00710701"/>
    <w:rsid w:val="00712602"/>
    <w:rsid w:val="007144F6"/>
    <w:rsid w:val="00716311"/>
    <w:rsid w:val="007216E3"/>
    <w:rsid w:val="00723A6D"/>
    <w:rsid w:val="007269AB"/>
    <w:rsid w:val="00731691"/>
    <w:rsid w:val="00732F74"/>
    <w:rsid w:val="007332F9"/>
    <w:rsid w:val="00734ED0"/>
    <w:rsid w:val="00736085"/>
    <w:rsid w:val="00736171"/>
    <w:rsid w:val="00741394"/>
    <w:rsid w:val="007418D9"/>
    <w:rsid w:val="00742173"/>
    <w:rsid w:val="00742415"/>
    <w:rsid w:val="00743593"/>
    <w:rsid w:val="00743C00"/>
    <w:rsid w:val="00743CDA"/>
    <w:rsid w:val="007441D4"/>
    <w:rsid w:val="00744252"/>
    <w:rsid w:val="00746FD8"/>
    <w:rsid w:val="00747EEC"/>
    <w:rsid w:val="00750FE0"/>
    <w:rsid w:val="00751E26"/>
    <w:rsid w:val="007548E4"/>
    <w:rsid w:val="0075548A"/>
    <w:rsid w:val="00757335"/>
    <w:rsid w:val="00760360"/>
    <w:rsid w:val="007613E1"/>
    <w:rsid w:val="00761522"/>
    <w:rsid w:val="00762462"/>
    <w:rsid w:val="00762E9C"/>
    <w:rsid w:val="00764F3A"/>
    <w:rsid w:val="00766D9B"/>
    <w:rsid w:val="00770689"/>
    <w:rsid w:val="00772951"/>
    <w:rsid w:val="007752C1"/>
    <w:rsid w:val="0077623A"/>
    <w:rsid w:val="007771AD"/>
    <w:rsid w:val="00780550"/>
    <w:rsid w:val="007818E5"/>
    <w:rsid w:val="00784103"/>
    <w:rsid w:val="00784C0B"/>
    <w:rsid w:val="007910B2"/>
    <w:rsid w:val="007964A2"/>
    <w:rsid w:val="007970F7"/>
    <w:rsid w:val="007A0496"/>
    <w:rsid w:val="007A2054"/>
    <w:rsid w:val="007A2D2F"/>
    <w:rsid w:val="007A6F27"/>
    <w:rsid w:val="007A7784"/>
    <w:rsid w:val="007A7979"/>
    <w:rsid w:val="007A7D3B"/>
    <w:rsid w:val="007B0321"/>
    <w:rsid w:val="007B183D"/>
    <w:rsid w:val="007B1D69"/>
    <w:rsid w:val="007B7FBF"/>
    <w:rsid w:val="007C165F"/>
    <w:rsid w:val="007C1DCB"/>
    <w:rsid w:val="007C29FD"/>
    <w:rsid w:val="007C542D"/>
    <w:rsid w:val="007D2377"/>
    <w:rsid w:val="007D2D9B"/>
    <w:rsid w:val="007D3342"/>
    <w:rsid w:val="007D733B"/>
    <w:rsid w:val="007E22C2"/>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4824"/>
    <w:rsid w:val="00826259"/>
    <w:rsid w:val="008274F3"/>
    <w:rsid w:val="0082792B"/>
    <w:rsid w:val="008303A2"/>
    <w:rsid w:val="00831997"/>
    <w:rsid w:val="00831E3F"/>
    <w:rsid w:val="00831F99"/>
    <w:rsid w:val="00833913"/>
    <w:rsid w:val="00834B68"/>
    <w:rsid w:val="00835A94"/>
    <w:rsid w:val="00836835"/>
    <w:rsid w:val="00836FB4"/>
    <w:rsid w:val="00837B67"/>
    <w:rsid w:val="00837BEB"/>
    <w:rsid w:val="0084055A"/>
    <w:rsid w:val="00851C18"/>
    <w:rsid w:val="0085254B"/>
    <w:rsid w:val="00852D9B"/>
    <w:rsid w:val="00856B05"/>
    <w:rsid w:val="00861FE3"/>
    <w:rsid w:val="00863EF0"/>
    <w:rsid w:val="00864F1C"/>
    <w:rsid w:val="00872803"/>
    <w:rsid w:val="00872BA2"/>
    <w:rsid w:val="00877E32"/>
    <w:rsid w:val="0088063C"/>
    <w:rsid w:val="00881039"/>
    <w:rsid w:val="00883AAA"/>
    <w:rsid w:val="00890980"/>
    <w:rsid w:val="008919A2"/>
    <w:rsid w:val="00892EBC"/>
    <w:rsid w:val="00894E39"/>
    <w:rsid w:val="00895418"/>
    <w:rsid w:val="008957D9"/>
    <w:rsid w:val="0089788C"/>
    <w:rsid w:val="00897AF8"/>
    <w:rsid w:val="008A202D"/>
    <w:rsid w:val="008A5FCC"/>
    <w:rsid w:val="008B4846"/>
    <w:rsid w:val="008B5689"/>
    <w:rsid w:val="008B5DBC"/>
    <w:rsid w:val="008B749E"/>
    <w:rsid w:val="008C09B5"/>
    <w:rsid w:val="008C1F20"/>
    <w:rsid w:val="008C2D17"/>
    <w:rsid w:val="008C3E75"/>
    <w:rsid w:val="008C5F38"/>
    <w:rsid w:val="008C6B0E"/>
    <w:rsid w:val="008C6FC8"/>
    <w:rsid w:val="008C7870"/>
    <w:rsid w:val="008D4971"/>
    <w:rsid w:val="008D77FD"/>
    <w:rsid w:val="008E16CE"/>
    <w:rsid w:val="008E1E77"/>
    <w:rsid w:val="008E6A92"/>
    <w:rsid w:val="008F1D37"/>
    <w:rsid w:val="008F4BDD"/>
    <w:rsid w:val="008F7897"/>
    <w:rsid w:val="00900302"/>
    <w:rsid w:val="0090296E"/>
    <w:rsid w:val="00902E31"/>
    <w:rsid w:val="0090379A"/>
    <w:rsid w:val="00904E6E"/>
    <w:rsid w:val="00906C03"/>
    <w:rsid w:val="0091354B"/>
    <w:rsid w:val="00913E49"/>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5D44"/>
    <w:rsid w:val="00956763"/>
    <w:rsid w:val="00957BCF"/>
    <w:rsid w:val="009625F6"/>
    <w:rsid w:val="009627F9"/>
    <w:rsid w:val="009658D6"/>
    <w:rsid w:val="009676D8"/>
    <w:rsid w:val="00975F96"/>
    <w:rsid w:val="0098324A"/>
    <w:rsid w:val="00985FFB"/>
    <w:rsid w:val="00987CAC"/>
    <w:rsid w:val="00990CFC"/>
    <w:rsid w:val="00992D53"/>
    <w:rsid w:val="00993516"/>
    <w:rsid w:val="00995DD7"/>
    <w:rsid w:val="00995E0E"/>
    <w:rsid w:val="00996052"/>
    <w:rsid w:val="009960C9"/>
    <w:rsid w:val="00996C55"/>
    <w:rsid w:val="00997DA9"/>
    <w:rsid w:val="009A2905"/>
    <w:rsid w:val="009A38CE"/>
    <w:rsid w:val="009A5B58"/>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5976"/>
    <w:rsid w:val="009D5A80"/>
    <w:rsid w:val="009D79AE"/>
    <w:rsid w:val="009E0053"/>
    <w:rsid w:val="009E040A"/>
    <w:rsid w:val="009E2345"/>
    <w:rsid w:val="009E40AA"/>
    <w:rsid w:val="009E4E40"/>
    <w:rsid w:val="009E710F"/>
    <w:rsid w:val="009F206C"/>
    <w:rsid w:val="00A00B50"/>
    <w:rsid w:val="00A00E20"/>
    <w:rsid w:val="00A0253A"/>
    <w:rsid w:val="00A02A94"/>
    <w:rsid w:val="00A03293"/>
    <w:rsid w:val="00A03ADC"/>
    <w:rsid w:val="00A10193"/>
    <w:rsid w:val="00A10AC7"/>
    <w:rsid w:val="00A10DF8"/>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022A"/>
    <w:rsid w:val="00A5105C"/>
    <w:rsid w:val="00A52415"/>
    <w:rsid w:val="00A57B01"/>
    <w:rsid w:val="00A60B2E"/>
    <w:rsid w:val="00A61566"/>
    <w:rsid w:val="00A6188E"/>
    <w:rsid w:val="00A62E69"/>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43AF"/>
    <w:rsid w:val="00A96B58"/>
    <w:rsid w:val="00AA0175"/>
    <w:rsid w:val="00AA0A83"/>
    <w:rsid w:val="00AA25E4"/>
    <w:rsid w:val="00AA3112"/>
    <w:rsid w:val="00AA33FB"/>
    <w:rsid w:val="00AA4C9D"/>
    <w:rsid w:val="00AA6162"/>
    <w:rsid w:val="00AA733A"/>
    <w:rsid w:val="00AA78DC"/>
    <w:rsid w:val="00AA7F1A"/>
    <w:rsid w:val="00AB10AA"/>
    <w:rsid w:val="00AB25F9"/>
    <w:rsid w:val="00AB2F51"/>
    <w:rsid w:val="00AB2FDC"/>
    <w:rsid w:val="00AB6229"/>
    <w:rsid w:val="00AC1689"/>
    <w:rsid w:val="00AC1FDD"/>
    <w:rsid w:val="00AC4D72"/>
    <w:rsid w:val="00AC4F4B"/>
    <w:rsid w:val="00AC5ABD"/>
    <w:rsid w:val="00AC71A6"/>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3197"/>
    <w:rsid w:val="00AF48CD"/>
    <w:rsid w:val="00AF5E69"/>
    <w:rsid w:val="00AF5FAD"/>
    <w:rsid w:val="00AF6022"/>
    <w:rsid w:val="00AF7EC8"/>
    <w:rsid w:val="00B015A7"/>
    <w:rsid w:val="00B01F89"/>
    <w:rsid w:val="00B038CC"/>
    <w:rsid w:val="00B053D9"/>
    <w:rsid w:val="00B06556"/>
    <w:rsid w:val="00B06B85"/>
    <w:rsid w:val="00B11F31"/>
    <w:rsid w:val="00B12AB1"/>
    <w:rsid w:val="00B12C14"/>
    <w:rsid w:val="00B14090"/>
    <w:rsid w:val="00B16F92"/>
    <w:rsid w:val="00B21E7A"/>
    <w:rsid w:val="00B21EA3"/>
    <w:rsid w:val="00B2296E"/>
    <w:rsid w:val="00B328E5"/>
    <w:rsid w:val="00B3388D"/>
    <w:rsid w:val="00B34168"/>
    <w:rsid w:val="00B345D9"/>
    <w:rsid w:val="00B34DF8"/>
    <w:rsid w:val="00B37B14"/>
    <w:rsid w:val="00B43D0A"/>
    <w:rsid w:val="00B43EF1"/>
    <w:rsid w:val="00B44303"/>
    <w:rsid w:val="00B47D07"/>
    <w:rsid w:val="00B5144B"/>
    <w:rsid w:val="00B5170B"/>
    <w:rsid w:val="00B52EE1"/>
    <w:rsid w:val="00B53992"/>
    <w:rsid w:val="00B53D6E"/>
    <w:rsid w:val="00B54EA4"/>
    <w:rsid w:val="00B679D3"/>
    <w:rsid w:val="00B67FEA"/>
    <w:rsid w:val="00B708AD"/>
    <w:rsid w:val="00B710D2"/>
    <w:rsid w:val="00B7113C"/>
    <w:rsid w:val="00B712CC"/>
    <w:rsid w:val="00B723DF"/>
    <w:rsid w:val="00B731DE"/>
    <w:rsid w:val="00B734C3"/>
    <w:rsid w:val="00B74252"/>
    <w:rsid w:val="00B7627A"/>
    <w:rsid w:val="00B7678B"/>
    <w:rsid w:val="00B77533"/>
    <w:rsid w:val="00B77B05"/>
    <w:rsid w:val="00B85149"/>
    <w:rsid w:val="00B85A12"/>
    <w:rsid w:val="00B86498"/>
    <w:rsid w:val="00B90481"/>
    <w:rsid w:val="00B9063F"/>
    <w:rsid w:val="00B945D4"/>
    <w:rsid w:val="00B94BAD"/>
    <w:rsid w:val="00BA1325"/>
    <w:rsid w:val="00BA23E9"/>
    <w:rsid w:val="00BA5870"/>
    <w:rsid w:val="00BA679F"/>
    <w:rsid w:val="00BB0399"/>
    <w:rsid w:val="00BB0CBB"/>
    <w:rsid w:val="00BB0EFB"/>
    <w:rsid w:val="00BB3223"/>
    <w:rsid w:val="00BB4344"/>
    <w:rsid w:val="00BB5D61"/>
    <w:rsid w:val="00BC1307"/>
    <w:rsid w:val="00BC2B27"/>
    <w:rsid w:val="00BC3B27"/>
    <w:rsid w:val="00BC4C9B"/>
    <w:rsid w:val="00BC609B"/>
    <w:rsid w:val="00BC7BEA"/>
    <w:rsid w:val="00BD0BD5"/>
    <w:rsid w:val="00BD209D"/>
    <w:rsid w:val="00BD6641"/>
    <w:rsid w:val="00BE467F"/>
    <w:rsid w:val="00BE4DAD"/>
    <w:rsid w:val="00BE5E4B"/>
    <w:rsid w:val="00BE6C2B"/>
    <w:rsid w:val="00BE716C"/>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3063"/>
    <w:rsid w:val="00C23DAA"/>
    <w:rsid w:val="00C24103"/>
    <w:rsid w:val="00C267D7"/>
    <w:rsid w:val="00C31877"/>
    <w:rsid w:val="00C31885"/>
    <w:rsid w:val="00C347A8"/>
    <w:rsid w:val="00C4222C"/>
    <w:rsid w:val="00C42806"/>
    <w:rsid w:val="00C42BB6"/>
    <w:rsid w:val="00C430F8"/>
    <w:rsid w:val="00C43515"/>
    <w:rsid w:val="00C46BC0"/>
    <w:rsid w:val="00C53B91"/>
    <w:rsid w:val="00C53EBB"/>
    <w:rsid w:val="00C5610C"/>
    <w:rsid w:val="00C60694"/>
    <w:rsid w:val="00C6189C"/>
    <w:rsid w:val="00C620D3"/>
    <w:rsid w:val="00C62687"/>
    <w:rsid w:val="00C64195"/>
    <w:rsid w:val="00C64773"/>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3462"/>
    <w:rsid w:val="00C97041"/>
    <w:rsid w:val="00C97042"/>
    <w:rsid w:val="00C979F3"/>
    <w:rsid w:val="00CA06CE"/>
    <w:rsid w:val="00CA0EED"/>
    <w:rsid w:val="00CA0F8C"/>
    <w:rsid w:val="00CA2794"/>
    <w:rsid w:val="00CB1364"/>
    <w:rsid w:val="00CB2990"/>
    <w:rsid w:val="00CB3215"/>
    <w:rsid w:val="00CB38A0"/>
    <w:rsid w:val="00CB630A"/>
    <w:rsid w:val="00CB65EF"/>
    <w:rsid w:val="00CB6DBB"/>
    <w:rsid w:val="00CB72F5"/>
    <w:rsid w:val="00CC03E3"/>
    <w:rsid w:val="00CC0D0A"/>
    <w:rsid w:val="00CC1B7D"/>
    <w:rsid w:val="00CC3D8E"/>
    <w:rsid w:val="00CC41DA"/>
    <w:rsid w:val="00CC5AB4"/>
    <w:rsid w:val="00CC6C4E"/>
    <w:rsid w:val="00CC6EA3"/>
    <w:rsid w:val="00CD49EC"/>
    <w:rsid w:val="00CE1F0A"/>
    <w:rsid w:val="00CE313B"/>
    <w:rsid w:val="00CE475C"/>
    <w:rsid w:val="00CE7AEB"/>
    <w:rsid w:val="00CE7E3D"/>
    <w:rsid w:val="00CF0DC4"/>
    <w:rsid w:val="00CF0ECB"/>
    <w:rsid w:val="00CF1D5A"/>
    <w:rsid w:val="00CF3C7B"/>
    <w:rsid w:val="00D0254C"/>
    <w:rsid w:val="00D02A61"/>
    <w:rsid w:val="00D02D91"/>
    <w:rsid w:val="00D038F3"/>
    <w:rsid w:val="00D0438E"/>
    <w:rsid w:val="00D06225"/>
    <w:rsid w:val="00D075C8"/>
    <w:rsid w:val="00D126B7"/>
    <w:rsid w:val="00D13636"/>
    <w:rsid w:val="00D14F5B"/>
    <w:rsid w:val="00D17713"/>
    <w:rsid w:val="00D17CB6"/>
    <w:rsid w:val="00D20356"/>
    <w:rsid w:val="00D20FFB"/>
    <w:rsid w:val="00D2478F"/>
    <w:rsid w:val="00D260F8"/>
    <w:rsid w:val="00D26D78"/>
    <w:rsid w:val="00D3214A"/>
    <w:rsid w:val="00D32E6E"/>
    <w:rsid w:val="00D33037"/>
    <w:rsid w:val="00D350D0"/>
    <w:rsid w:val="00D41699"/>
    <w:rsid w:val="00D445FA"/>
    <w:rsid w:val="00D4503A"/>
    <w:rsid w:val="00D4520B"/>
    <w:rsid w:val="00D4777B"/>
    <w:rsid w:val="00D54752"/>
    <w:rsid w:val="00D56B8F"/>
    <w:rsid w:val="00D5791A"/>
    <w:rsid w:val="00D60BDF"/>
    <w:rsid w:val="00D60DC5"/>
    <w:rsid w:val="00D6151B"/>
    <w:rsid w:val="00D61780"/>
    <w:rsid w:val="00D623EB"/>
    <w:rsid w:val="00D637FE"/>
    <w:rsid w:val="00D63F04"/>
    <w:rsid w:val="00D66D1C"/>
    <w:rsid w:val="00D72133"/>
    <w:rsid w:val="00D7363A"/>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90D24"/>
    <w:rsid w:val="00D90EBF"/>
    <w:rsid w:val="00D956BD"/>
    <w:rsid w:val="00D9611D"/>
    <w:rsid w:val="00D97463"/>
    <w:rsid w:val="00D9773D"/>
    <w:rsid w:val="00D97C6C"/>
    <w:rsid w:val="00DA09EB"/>
    <w:rsid w:val="00DA4B88"/>
    <w:rsid w:val="00DA7EEA"/>
    <w:rsid w:val="00DB304D"/>
    <w:rsid w:val="00DB3AAA"/>
    <w:rsid w:val="00DC2D48"/>
    <w:rsid w:val="00DC3253"/>
    <w:rsid w:val="00DC5FA6"/>
    <w:rsid w:val="00DC6760"/>
    <w:rsid w:val="00DD30F7"/>
    <w:rsid w:val="00DD388E"/>
    <w:rsid w:val="00DD5660"/>
    <w:rsid w:val="00DD60C4"/>
    <w:rsid w:val="00DD736C"/>
    <w:rsid w:val="00DE14B3"/>
    <w:rsid w:val="00DE5657"/>
    <w:rsid w:val="00DF0316"/>
    <w:rsid w:val="00DF0E5F"/>
    <w:rsid w:val="00DF11D0"/>
    <w:rsid w:val="00DF13E5"/>
    <w:rsid w:val="00DF519C"/>
    <w:rsid w:val="00DF57DB"/>
    <w:rsid w:val="00DF72CB"/>
    <w:rsid w:val="00E00339"/>
    <w:rsid w:val="00E014FE"/>
    <w:rsid w:val="00E025F4"/>
    <w:rsid w:val="00E03209"/>
    <w:rsid w:val="00E04238"/>
    <w:rsid w:val="00E076E5"/>
    <w:rsid w:val="00E077E1"/>
    <w:rsid w:val="00E10F45"/>
    <w:rsid w:val="00E12E0B"/>
    <w:rsid w:val="00E1539A"/>
    <w:rsid w:val="00E16ECF"/>
    <w:rsid w:val="00E206EA"/>
    <w:rsid w:val="00E230B4"/>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518F9"/>
    <w:rsid w:val="00E6068D"/>
    <w:rsid w:val="00E61C32"/>
    <w:rsid w:val="00E63FC4"/>
    <w:rsid w:val="00E66001"/>
    <w:rsid w:val="00E704F7"/>
    <w:rsid w:val="00E70C45"/>
    <w:rsid w:val="00E73382"/>
    <w:rsid w:val="00E75ABE"/>
    <w:rsid w:val="00E7646B"/>
    <w:rsid w:val="00E76542"/>
    <w:rsid w:val="00E76FF1"/>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4C28"/>
    <w:rsid w:val="00EA5D5D"/>
    <w:rsid w:val="00EA692F"/>
    <w:rsid w:val="00EB37A8"/>
    <w:rsid w:val="00EB40B0"/>
    <w:rsid w:val="00EB4443"/>
    <w:rsid w:val="00EB74BC"/>
    <w:rsid w:val="00EC16F8"/>
    <w:rsid w:val="00EC336E"/>
    <w:rsid w:val="00ED2C08"/>
    <w:rsid w:val="00ED3A64"/>
    <w:rsid w:val="00ED560D"/>
    <w:rsid w:val="00ED605B"/>
    <w:rsid w:val="00ED6260"/>
    <w:rsid w:val="00ED6B98"/>
    <w:rsid w:val="00ED6C94"/>
    <w:rsid w:val="00EE1040"/>
    <w:rsid w:val="00EE5B40"/>
    <w:rsid w:val="00EE7685"/>
    <w:rsid w:val="00EF0BF1"/>
    <w:rsid w:val="00EF0EA0"/>
    <w:rsid w:val="00EF35D0"/>
    <w:rsid w:val="00EF4C89"/>
    <w:rsid w:val="00EF5F9F"/>
    <w:rsid w:val="00EF64BD"/>
    <w:rsid w:val="00F0242A"/>
    <w:rsid w:val="00F05050"/>
    <w:rsid w:val="00F053EF"/>
    <w:rsid w:val="00F07ED4"/>
    <w:rsid w:val="00F12FA6"/>
    <w:rsid w:val="00F141DF"/>
    <w:rsid w:val="00F152E7"/>
    <w:rsid w:val="00F15307"/>
    <w:rsid w:val="00F16041"/>
    <w:rsid w:val="00F17A7A"/>
    <w:rsid w:val="00F20245"/>
    <w:rsid w:val="00F216B1"/>
    <w:rsid w:val="00F25611"/>
    <w:rsid w:val="00F30A87"/>
    <w:rsid w:val="00F31DA3"/>
    <w:rsid w:val="00F3371D"/>
    <w:rsid w:val="00F35CBE"/>
    <w:rsid w:val="00F406A9"/>
    <w:rsid w:val="00F40BF4"/>
    <w:rsid w:val="00F41942"/>
    <w:rsid w:val="00F4261F"/>
    <w:rsid w:val="00F43B0B"/>
    <w:rsid w:val="00F43BA6"/>
    <w:rsid w:val="00F51C02"/>
    <w:rsid w:val="00F521C7"/>
    <w:rsid w:val="00F5227C"/>
    <w:rsid w:val="00F54C78"/>
    <w:rsid w:val="00F555DD"/>
    <w:rsid w:val="00F55D28"/>
    <w:rsid w:val="00F566C7"/>
    <w:rsid w:val="00F57850"/>
    <w:rsid w:val="00F626E0"/>
    <w:rsid w:val="00F63858"/>
    <w:rsid w:val="00F646A4"/>
    <w:rsid w:val="00F65C61"/>
    <w:rsid w:val="00F6667B"/>
    <w:rsid w:val="00F7027C"/>
    <w:rsid w:val="00F70333"/>
    <w:rsid w:val="00F73106"/>
    <w:rsid w:val="00F7494E"/>
    <w:rsid w:val="00F74B06"/>
    <w:rsid w:val="00F75C80"/>
    <w:rsid w:val="00F80AFA"/>
    <w:rsid w:val="00F8155F"/>
    <w:rsid w:val="00F82D92"/>
    <w:rsid w:val="00F860A4"/>
    <w:rsid w:val="00F86357"/>
    <w:rsid w:val="00F87CD9"/>
    <w:rsid w:val="00F90FBA"/>
    <w:rsid w:val="00F93C02"/>
    <w:rsid w:val="00F95C7C"/>
    <w:rsid w:val="00F96297"/>
    <w:rsid w:val="00FA106A"/>
    <w:rsid w:val="00FA13BE"/>
    <w:rsid w:val="00FA1A86"/>
    <w:rsid w:val="00FA1B4B"/>
    <w:rsid w:val="00FA384A"/>
    <w:rsid w:val="00FA4229"/>
    <w:rsid w:val="00FA65D1"/>
    <w:rsid w:val="00FA6CA0"/>
    <w:rsid w:val="00FA701F"/>
    <w:rsid w:val="00FB01B3"/>
    <w:rsid w:val="00FB1724"/>
    <w:rsid w:val="00FB2147"/>
    <w:rsid w:val="00FB5013"/>
    <w:rsid w:val="00FB507A"/>
    <w:rsid w:val="00FB6A28"/>
    <w:rsid w:val="00FB76CD"/>
    <w:rsid w:val="00FC238D"/>
    <w:rsid w:val="00FC662C"/>
    <w:rsid w:val="00FC79BB"/>
    <w:rsid w:val="00FD2F99"/>
    <w:rsid w:val="00FD3B61"/>
    <w:rsid w:val="00FD5E0B"/>
    <w:rsid w:val="00FE4B51"/>
    <w:rsid w:val="00FE5772"/>
    <w:rsid w:val="00FE752E"/>
    <w:rsid w:val="00FE7DFE"/>
    <w:rsid w:val="00FF06F1"/>
    <w:rsid w:val="00FF2C7A"/>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6A70"/>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6A70"/>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86943939699845"/>
          <c:y val="0.11284073865766779"/>
          <c:w val="0.79134766807995149"/>
          <c:h val="0.6341994750656168"/>
        </c:manualLayout>
      </c:layout>
      <c:barChart>
        <c:barDir val="col"/>
        <c:grouping val="clustered"/>
        <c:varyColors val="0"/>
        <c:ser>
          <c:idx val="2"/>
          <c:order val="2"/>
          <c:tx>
            <c:strRef>
              <c:f>Sheet1!$D$1</c:f>
              <c:strCache>
                <c:ptCount val="1"/>
                <c:pt idx="0">
                  <c:v>2020-Q2</c:v>
                </c:pt>
              </c:strCache>
            </c:strRef>
          </c:tx>
          <c:spPr>
            <a:solidFill>
              <a:srgbClr val="99AFC1"/>
            </a:solidFill>
            <a:ln>
              <a:solidFill>
                <a:schemeClr val="tx1">
                  <a:lumMod val="75000"/>
                  <a:lumOff val="2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6"/>
                <c:pt idx="0">
                  <c:v>Total</c:v>
                </c:pt>
                <c:pt idx="1">
                  <c:v>Machinery</c:v>
                </c:pt>
                <c:pt idx="2">
                  <c:v>Optics, Med</c:v>
                </c:pt>
                <c:pt idx="3">
                  <c:v>Electrical</c:v>
                </c:pt>
                <c:pt idx="4">
                  <c:v>Plastics</c:v>
                </c:pt>
                <c:pt idx="5">
                  <c:v>Vehicles</c:v>
                </c:pt>
              </c:strCache>
            </c:strRef>
          </c:cat>
          <c:val>
            <c:numRef>
              <c:f>Sheet1!$D$2:$D$11</c:f>
              <c:numCache>
                <c:formatCode>0%</c:formatCode>
                <c:ptCount val="6"/>
                <c:pt idx="0">
                  <c:v>-0.18368643396927997</c:v>
                </c:pt>
                <c:pt idx="1">
                  <c:v>-0.20688930194411215</c:v>
                </c:pt>
                <c:pt idx="2">
                  <c:v>-0.22037051414723041</c:v>
                </c:pt>
                <c:pt idx="3">
                  <c:v>-0.30118590033244752</c:v>
                </c:pt>
                <c:pt idx="4">
                  <c:v>-6.3517776197836939E-2</c:v>
                </c:pt>
                <c:pt idx="5">
                  <c:v>-0.46119067901020849</c:v>
                </c:pt>
              </c:numCache>
            </c:numRef>
          </c:val>
          <c:extLst>
            <c:ext xmlns:c16="http://schemas.microsoft.com/office/drawing/2014/chart" uri="{C3380CC4-5D6E-409C-BE32-E72D297353CC}">
              <c16:uniqueId val="{00000000-EFEC-4458-ABDA-B4472E60199A}"/>
            </c:ext>
          </c:extLst>
        </c:ser>
        <c:ser>
          <c:idx val="3"/>
          <c:order val="3"/>
          <c:tx>
            <c:strRef>
              <c:f>Sheet1!$E$1</c:f>
              <c:strCache>
                <c:ptCount val="1"/>
                <c:pt idx="0">
                  <c:v>2021-Q2</c:v>
                </c:pt>
              </c:strCache>
            </c:strRef>
          </c:tx>
          <c:spPr>
            <a:solidFill>
              <a:srgbClr val="003865"/>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6"/>
                <c:pt idx="0">
                  <c:v>Total</c:v>
                </c:pt>
                <c:pt idx="1">
                  <c:v>Machinery</c:v>
                </c:pt>
                <c:pt idx="2">
                  <c:v>Optics, Med</c:v>
                </c:pt>
                <c:pt idx="3">
                  <c:v>Electrical</c:v>
                </c:pt>
                <c:pt idx="4">
                  <c:v>Plastics</c:v>
                </c:pt>
                <c:pt idx="5">
                  <c:v>Vehicles</c:v>
                </c:pt>
              </c:strCache>
            </c:strRef>
          </c:cat>
          <c:val>
            <c:numRef>
              <c:f>Sheet1!$E$2:$E$11</c:f>
              <c:numCache>
                <c:formatCode>0%</c:formatCode>
                <c:ptCount val="6"/>
                <c:pt idx="0">
                  <c:v>0.28518109797364311</c:v>
                </c:pt>
                <c:pt idx="1">
                  <c:v>0.36742030501128831</c:v>
                </c:pt>
                <c:pt idx="2">
                  <c:v>5.8577359764664827E-2</c:v>
                </c:pt>
                <c:pt idx="3">
                  <c:v>0.49242898271044822</c:v>
                </c:pt>
                <c:pt idx="4">
                  <c:v>-2.0720433266740002E-2</c:v>
                </c:pt>
                <c:pt idx="5">
                  <c:v>0.81076315374260033</c:v>
                </c:pt>
              </c:numCache>
            </c:numRef>
          </c:val>
          <c:extLst>
            <c:ext xmlns:c16="http://schemas.microsoft.com/office/drawing/2014/chart" uri="{C3380CC4-5D6E-409C-BE32-E72D297353CC}">
              <c16:uniqueId val="{00000001-EFEC-4458-ABDA-B4472E60199A}"/>
            </c:ext>
          </c:extLst>
        </c:ser>
        <c:dLbls>
          <c:showLegendKey val="0"/>
          <c:showVal val="0"/>
          <c:showCatName val="0"/>
          <c:showSerName val="0"/>
          <c:showPercent val="0"/>
          <c:showBubbleSize val="0"/>
        </c:dLbls>
        <c:gapWidth val="40"/>
        <c:axId val="348102792"/>
        <c:axId val="348100048"/>
        <c:extLst>
          <c:ext xmlns:c15="http://schemas.microsoft.com/office/drawing/2012/chart" uri="{02D57815-91ED-43cb-92C2-25804820EDAC}">
            <c15:filteredBarSeries>
              <c15:ser>
                <c:idx val="0"/>
                <c:order val="0"/>
                <c:tx>
                  <c:strRef>
                    <c:extLst>
                      <c:ext uri="{02D57815-91ED-43cb-92C2-25804820EDAC}">
                        <c15:formulaRef>
                          <c15:sqref>Sheet1!$B$1</c15:sqref>
                        </c15:formulaRef>
                      </c:ext>
                    </c:extLst>
                    <c:strCache>
                      <c:ptCount val="1"/>
                      <c:pt idx="0">
                        <c:v>2009-Q2</c:v>
                      </c:pt>
                    </c:strCache>
                  </c:strRef>
                </c:tx>
                <c:spPr>
                  <a:solidFill>
                    <a:schemeClr val="bg1">
                      <a:lumMod val="85000"/>
                    </a:schemeClr>
                  </a:solidFill>
                  <a:ln>
                    <a:solidFill>
                      <a:schemeClr val="tx1">
                        <a:lumMod val="50000"/>
                        <a:lumOff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Sheet1!$A$2:$A$11</c15:sqref>
                        </c15:formulaRef>
                      </c:ext>
                    </c:extLst>
                    <c:strCache>
                      <c:ptCount val="6"/>
                      <c:pt idx="0">
                        <c:v>Total</c:v>
                      </c:pt>
                      <c:pt idx="1">
                        <c:v>Machinery</c:v>
                      </c:pt>
                      <c:pt idx="2">
                        <c:v>Optics, Med</c:v>
                      </c:pt>
                      <c:pt idx="3">
                        <c:v>Electrical</c:v>
                      </c:pt>
                      <c:pt idx="4">
                        <c:v>Plastics</c:v>
                      </c:pt>
                      <c:pt idx="5">
                        <c:v>Vehicles</c:v>
                      </c:pt>
                    </c:strCache>
                  </c:strRef>
                </c:cat>
                <c:val>
                  <c:numRef>
                    <c:extLst>
                      <c:ext uri="{02D57815-91ED-43cb-92C2-25804820EDAC}">
                        <c15:formulaRef>
                          <c15:sqref>Sheet1!$B$2:$B$11</c15:sqref>
                        </c15:formulaRef>
                      </c:ext>
                    </c:extLst>
                    <c:numCache>
                      <c:formatCode>0%</c:formatCode>
                      <c:ptCount val="6"/>
                      <c:pt idx="0">
                        <c:v>-0.22826012359730197</c:v>
                      </c:pt>
                      <c:pt idx="1">
                        <c:v>-0.16297027669945185</c:v>
                      </c:pt>
                      <c:pt idx="2">
                        <c:v>1.553463742182104E-2</c:v>
                      </c:pt>
                      <c:pt idx="3">
                        <c:v>-0.32300512891087918</c:v>
                      </c:pt>
                      <c:pt idx="4">
                        <c:v>-0.12317942245629532</c:v>
                      </c:pt>
                      <c:pt idx="5">
                        <c:v>-0.30256265083124056</c:v>
                      </c:pt>
                    </c:numCache>
                  </c:numRef>
                </c:val>
                <c:extLst>
                  <c:ext xmlns:c16="http://schemas.microsoft.com/office/drawing/2014/chart" uri="{C3380CC4-5D6E-409C-BE32-E72D297353CC}">
                    <c16:uniqueId val="{00000002-EFEC-4458-ABDA-B4472E60199A}"/>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Sheet1!$C$1</c15:sqref>
                        </c15:formulaRef>
                      </c:ext>
                    </c:extLst>
                    <c:strCache>
                      <c:ptCount val="1"/>
                      <c:pt idx="0">
                        <c:v>2010-Q2</c:v>
                      </c:pt>
                    </c:strCache>
                  </c:strRef>
                </c:tx>
                <c:spPr>
                  <a:solidFill>
                    <a:srgbClr val="003865"/>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Sheet1!$A$2:$A$11</c15:sqref>
                        </c15:formulaRef>
                      </c:ext>
                    </c:extLst>
                    <c:strCache>
                      <c:ptCount val="6"/>
                      <c:pt idx="0">
                        <c:v>Total</c:v>
                      </c:pt>
                      <c:pt idx="1">
                        <c:v>Machinery</c:v>
                      </c:pt>
                      <c:pt idx="2">
                        <c:v>Optics, Med</c:v>
                      </c:pt>
                      <c:pt idx="3">
                        <c:v>Electrical</c:v>
                      </c:pt>
                      <c:pt idx="4">
                        <c:v>Plastics</c:v>
                      </c:pt>
                      <c:pt idx="5">
                        <c:v>Vehicles</c:v>
                      </c:pt>
                    </c:strCache>
                  </c:strRef>
                </c:cat>
                <c:val>
                  <c:numRef>
                    <c:extLst xmlns:c15="http://schemas.microsoft.com/office/drawing/2012/chart">
                      <c:ext xmlns:c15="http://schemas.microsoft.com/office/drawing/2012/chart" uri="{02D57815-91ED-43cb-92C2-25804820EDAC}">
                        <c15:formulaRef>
                          <c15:sqref>Sheet1!$C$2:$C$11</c15:sqref>
                        </c15:formulaRef>
                      </c:ext>
                    </c:extLst>
                    <c:numCache>
                      <c:formatCode>0%</c:formatCode>
                      <c:ptCount val="6"/>
                      <c:pt idx="0">
                        <c:v>0.2612088778754531</c:v>
                      </c:pt>
                      <c:pt idx="1">
                        <c:v>0.23854211933361791</c:v>
                      </c:pt>
                      <c:pt idx="2">
                        <c:v>-0.10429396414087932</c:v>
                      </c:pt>
                      <c:pt idx="3">
                        <c:v>0.28901899984928781</c:v>
                      </c:pt>
                      <c:pt idx="4">
                        <c:v>0.34132203442736864</c:v>
                      </c:pt>
                      <c:pt idx="5">
                        <c:v>0.15019119358504973</c:v>
                      </c:pt>
                    </c:numCache>
                  </c:numRef>
                </c:val>
                <c:extLst xmlns:c15="http://schemas.microsoft.com/office/drawing/2012/chart">
                  <c:ext xmlns:c16="http://schemas.microsoft.com/office/drawing/2014/chart" uri="{C3380CC4-5D6E-409C-BE32-E72D297353CC}">
                    <c16:uniqueId val="{00000003-EFEC-4458-ABDA-B4472E60199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pt idx="0">
                        <c:v>Type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Sheet1!$A$2:$A$11</c15:sqref>
                        </c15:formulaRef>
                      </c:ext>
                    </c:extLst>
                    <c:strCache>
                      <c:ptCount val="6"/>
                      <c:pt idx="0">
                        <c:v>Total</c:v>
                      </c:pt>
                      <c:pt idx="1">
                        <c:v>Machinery</c:v>
                      </c:pt>
                      <c:pt idx="2">
                        <c:v>Optics, Med</c:v>
                      </c:pt>
                      <c:pt idx="3">
                        <c:v>Electrical</c:v>
                      </c:pt>
                      <c:pt idx="4">
                        <c:v>Plastics</c:v>
                      </c:pt>
                      <c:pt idx="5">
                        <c:v>Vehicles</c:v>
                      </c:pt>
                    </c:strCache>
                  </c:strRef>
                </c:cat>
                <c:val>
                  <c:numRef>
                    <c:extLst xmlns:c15="http://schemas.microsoft.com/office/drawing/2012/chart">
                      <c:ext xmlns:c15="http://schemas.microsoft.com/office/drawing/2012/chart" uri="{02D57815-91ED-43cb-92C2-25804820EDAC}">
                        <c15:formulaRef>
                          <c15:sqref>Sheet1!$F$2:$F$11</c15:sqref>
                        </c15:formulaRef>
                      </c:ext>
                    </c:extLst>
                    <c:numCache>
                      <c:formatCode>General</c:formatCode>
                      <c:ptCount val="6"/>
                      <c:pt idx="0">
                        <c:v>0</c:v>
                      </c:pt>
                      <c:pt idx="1">
                        <c:v>0</c:v>
                      </c:pt>
                      <c:pt idx="2">
                        <c:v>0</c:v>
                      </c:pt>
                      <c:pt idx="3">
                        <c:v>0</c:v>
                      </c:pt>
                      <c:pt idx="4">
                        <c:v>0</c:v>
                      </c:pt>
                      <c:pt idx="5">
                        <c:v>0</c:v>
                      </c:pt>
                    </c:numCache>
                  </c:numRef>
                </c:val>
                <c:extLst xmlns:c15="http://schemas.microsoft.com/office/drawing/2012/chart">
                  <c:ext xmlns:c16="http://schemas.microsoft.com/office/drawing/2014/chart" uri="{C3380CC4-5D6E-409C-BE32-E72D297353CC}">
                    <c16:uniqueId val="{00000004-EFEC-4458-ABDA-B4472E60199A}"/>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Sheet1!$G$1</c15:sqref>
                        </c15:formulaRef>
                      </c:ext>
                    </c:extLst>
                    <c:strCache>
                      <c:ptCount val="1"/>
                      <c:pt idx="0">
                        <c:v>Rank Export $ YTD June 2021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Sheet1!$A$2:$A$11</c15:sqref>
                        </c15:formulaRef>
                      </c:ext>
                    </c:extLst>
                    <c:strCache>
                      <c:ptCount val="6"/>
                      <c:pt idx="0">
                        <c:v>Total</c:v>
                      </c:pt>
                      <c:pt idx="1">
                        <c:v>Machinery</c:v>
                      </c:pt>
                      <c:pt idx="2">
                        <c:v>Optics, Med</c:v>
                      </c:pt>
                      <c:pt idx="3">
                        <c:v>Electrical</c:v>
                      </c:pt>
                      <c:pt idx="4">
                        <c:v>Plastics</c:v>
                      </c:pt>
                      <c:pt idx="5">
                        <c:v>Vehicles</c:v>
                      </c:pt>
                    </c:strCache>
                  </c:strRef>
                </c:cat>
                <c:val>
                  <c:numRef>
                    <c:extLst xmlns:c15="http://schemas.microsoft.com/office/drawing/2012/chart">
                      <c:ext xmlns:c15="http://schemas.microsoft.com/office/drawing/2012/chart" uri="{02D57815-91ED-43cb-92C2-25804820EDAC}">
                        <c15:formulaRef>
                          <c15:sqref>Sheet1!$G$2:$G$11</c15:sqref>
                        </c15:formulaRef>
                      </c:ext>
                    </c:extLst>
                    <c:numCache>
                      <c:formatCode>General</c:formatCode>
                      <c:ptCount val="6"/>
                      <c:pt idx="0">
                        <c:v>0</c:v>
                      </c:pt>
                      <c:pt idx="1">
                        <c:v>1</c:v>
                      </c:pt>
                      <c:pt idx="2">
                        <c:v>2</c:v>
                      </c:pt>
                      <c:pt idx="3">
                        <c:v>3</c:v>
                      </c:pt>
                      <c:pt idx="4">
                        <c:v>5</c:v>
                      </c:pt>
                      <c:pt idx="5">
                        <c:v>6</c:v>
                      </c:pt>
                    </c:numCache>
                  </c:numRef>
                </c:val>
                <c:extLst xmlns:c15="http://schemas.microsoft.com/office/drawing/2012/chart">
                  <c:ext xmlns:c16="http://schemas.microsoft.com/office/drawing/2014/chart" uri="{C3380CC4-5D6E-409C-BE32-E72D297353CC}">
                    <c16:uniqueId val="{00000005-EFEC-4458-ABDA-B4472E60199A}"/>
                  </c:ext>
                </c:extLst>
              </c15:ser>
            </c15:filteredBarSeries>
          </c:ext>
        </c:extLst>
      </c:barChart>
      <c:catAx>
        <c:axId val="348102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ysClr val="windowText" lastClr="000000"/>
                </a:solidFill>
                <a:latin typeface="+mn-lt"/>
                <a:ea typeface="+mn-ea"/>
                <a:cs typeface="+mn-cs"/>
              </a:defRPr>
            </a:pPr>
            <a:endParaRPr lang="en-US"/>
          </a:p>
        </c:txPr>
        <c:crossAx val="348100048"/>
        <c:crossesAt val="0"/>
        <c:auto val="1"/>
        <c:lblAlgn val="ctr"/>
        <c:lblOffset val="100"/>
        <c:noMultiLvlLbl val="0"/>
      </c:catAx>
      <c:valAx>
        <c:axId val="348100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en-US" sz="1050">
                    <a:solidFill>
                      <a:schemeClr val="tx1"/>
                    </a:solidFill>
                  </a:rPr>
                  <a:t>%</a:t>
                </a:r>
                <a:r>
                  <a:rPr lang="en-US" sz="1050" baseline="0">
                    <a:solidFill>
                      <a:schemeClr val="tx1"/>
                    </a:solidFill>
                  </a:rPr>
                  <a:t> Ch. from Prev. Yr., Q2</a:t>
                </a:r>
                <a:endParaRPr lang="en-US" sz="1050">
                  <a:solidFill>
                    <a:schemeClr val="tx1"/>
                  </a:solidFill>
                </a:endParaRP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8102792"/>
        <c:crosses val="autoZero"/>
        <c:crossBetween val="between"/>
      </c:valAx>
      <c:spPr>
        <a:noFill/>
        <a:ln>
          <a:noFill/>
        </a:ln>
        <a:effectLst/>
      </c:spPr>
    </c:plotArea>
    <c:legend>
      <c:legendPos val="b"/>
      <c:layout>
        <c:manualLayout>
          <c:xMode val="edge"/>
          <c:yMode val="edge"/>
          <c:x val="0.31169459586782422"/>
          <c:y val="8.6464191976002996E-3"/>
          <c:w val="0.47307153913453126"/>
          <c:h val="0.1076363892013498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ED0DF-2780-4716-8F36-9853394D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Quarterly Export Statistics, 2nd Quarter 2021</vt:lpstr>
    </vt:vector>
  </TitlesOfParts>
  <Company>MN DEED</Company>
  <LinksUpToDate>false</LinksUpToDate>
  <CharactersWithSpaces>4573</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2nd Quarter 2021</dc:title>
  <dc:subject>Minnesota Quarterly Export Statistics</dc:subject>
  <dc:creator>Economic Analysis Unit (T. Ho-Kim)</dc:creator>
  <dc:description>2nd Quarter 2021</dc:description>
  <cp:lastModifiedBy>Ho-Kim, Thu-Mai (DEED)</cp:lastModifiedBy>
  <cp:revision>6</cp:revision>
  <cp:lastPrinted>2021-02-10T19:09:00Z</cp:lastPrinted>
  <dcterms:created xsi:type="dcterms:W3CDTF">2021-08-31T18:40:00Z</dcterms:created>
  <dcterms:modified xsi:type="dcterms:W3CDTF">2021-08-31T18:51:00Z</dcterms:modified>
</cp:coreProperties>
</file>