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8978" w14:textId="2A412022" w:rsidR="00CE313B" w:rsidRPr="00421F72" w:rsidRDefault="0094395B" w:rsidP="007F1C4A">
      <w:pPr>
        <w:tabs>
          <w:tab w:val="left" w:pos="360"/>
          <w:tab w:val="left" w:pos="6660"/>
        </w:tabs>
        <w:spacing w:after="240"/>
        <w:jc w:val="center"/>
        <w:sectPr w:rsidR="00CE313B" w:rsidRPr="00421F72" w:rsidSect="0055424F">
          <w:headerReference w:type="even" r:id="rId8"/>
          <w:headerReference w:type="default" r:id="rId9"/>
          <w:footerReference w:type="even" r:id="rId10"/>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421F72">
        <w:rPr>
          <w:noProof/>
        </w:rPr>
        <mc:AlternateContent>
          <mc:Choice Requires="wps">
            <w:drawing>
              <wp:anchor distT="0" distB="0" distL="114300" distR="114300" simplePos="0" relativeHeight="251656704" behindDoc="0" locked="0" layoutInCell="1" allowOverlap="1" wp14:anchorId="3957BDA5" wp14:editId="68F108B7">
                <wp:simplePos x="0" y="0"/>
                <wp:positionH relativeFrom="column">
                  <wp:posOffset>96520</wp:posOffset>
                </wp:positionH>
                <wp:positionV relativeFrom="paragraph">
                  <wp:posOffset>1136650</wp:posOffset>
                </wp:positionV>
                <wp:extent cx="6303010" cy="419100"/>
                <wp:effectExtent l="0" t="0" r="0" b="0"/>
                <wp:wrapNone/>
                <wp:docPr id="2" name="Text Box 2" descr="Data on Minnesota Exports for Fourth Quarter 2021 – Published April 2022&#10;For More Information: : Alicia Cordes-Mayo (alicia.cordes-mayo@state.mn.us, 763-406-996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6A4B3564"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00470B">
                              <w:rPr>
                                <w:rStyle w:val="Emphasis"/>
                                <w:b/>
                              </w:rPr>
                              <w:t>Fourth</w:t>
                            </w:r>
                            <w:r w:rsidR="007818E5">
                              <w:rPr>
                                <w:rStyle w:val="Emphasis"/>
                                <w:b/>
                              </w:rPr>
                              <w:t xml:space="preserve"> Quarter 202</w:t>
                            </w:r>
                            <w:r w:rsidR="00E41315">
                              <w:rPr>
                                <w:rStyle w:val="Emphasis"/>
                                <w:b/>
                              </w:rPr>
                              <w:t>1</w:t>
                            </w:r>
                            <w:r w:rsidR="00A43E28">
                              <w:rPr>
                                <w:rStyle w:val="Emphasis"/>
                                <w:b/>
                              </w:rPr>
                              <w:t xml:space="preserve"> – Published </w:t>
                            </w:r>
                            <w:r w:rsidR="00E41315">
                              <w:rPr>
                                <w:rStyle w:val="Emphasis"/>
                                <w:b/>
                              </w:rPr>
                              <w:t>April</w:t>
                            </w:r>
                            <w:r w:rsidR="0000470B">
                              <w:rPr>
                                <w:rStyle w:val="Emphasis"/>
                                <w:b/>
                              </w:rPr>
                              <w:t xml:space="preserve"> 202</w:t>
                            </w:r>
                            <w:r w:rsidR="00E41315">
                              <w:rPr>
                                <w:rStyle w:val="Emphasis"/>
                                <w:b/>
                              </w:rPr>
                              <w:t>2</w:t>
                            </w:r>
                          </w:p>
                          <w:p w14:paraId="5D42F0F1" w14:textId="69426FBD" w:rsidR="00E41315" w:rsidRPr="00690C1B" w:rsidRDefault="007F1C4A" w:rsidP="00E41315">
                            <w:pPr>
                              <w:pStyle w:val="NoSpacing"/>
                              <w:jc w:val="center"/>
                              <w:rPr>
                                <w:rStyle w:val="Emphasis"/>
                                <w:b/>
                                <w:i w:val="0"/>
                                <w:iCs w:val="0"/>
                                <w:color w:val="FF0000"/>
                              </w:rPr>
                            </w:pPr>
                            <w:r>
                              <w:rPr>
                                <w:rStyle w:val="Emphasis"/>
                                <w:b/>
                              </w:rPr>
                              <w:t>For More Information</w:t>
                            </w:r>
                            <w:r w:rsidRPr="007818E5">
                              <w:rPr>
                                <w:rStyle w:val="Emphasis"/>
                              </w:rPr>
                              <w:t xml:space="preserve">: </w:t>
                            </w:r>
                            <w:r w:rsidR="00E41315" w:rsidRPr="00690C1B">
                              <w:rPr>
                                <w:rStyle w:val="Strong"/>
                                <w:i/>
                                <w:iCs/>
                              </w:rPr>
                              <w:t>Alicia Cordes-Mayo (</w:t>
                            </w:r>
                            <w:r w:rsidR="00E41315" w:rsidRPr="00690C1B">
                              <w:rPr>
                                <w:b/>
                                <w:bCs/>
                                <w:i/>
                                <w:iCs/>
                              </w:rPr>
                              <w:t>alicia.cordes-mayo@state.mn.us, 763-406-9965)</w:t>
                            </w:r>
                          </w:p>
                          <w:p w14:paraId="3EE065DE" w14:textId="6C223BC5" w:rsidR="007C542D" w:rsidRPr="00B577E0" w:rsidRDefault="007C542D" w:rsidP="007C542D">
                            <w:pPr>
                              <w:pStyle w:val="NoSpacing"/>
                              <w:jc w:val="center"/>
                              <w:rPr>
                                <w:rStyle w:val="Emphasis"/>
                                <w:b/>
                              </w:rPr>
                            </w:pPr>
                          </w:p>
                          <w:p w14:paraId="34B91C04" w14:textId="03ED3A40" w:rsidR="007F1C4A" w:rsidRPr="00B577E0" w:rsidRDefault="007F1C4A" w:rsidP="0094395B">
                            <w:pPr>
                              <w:pStyle w:val="NoSpacing"/>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Data on Minnesota Exports for Fourth Quarter 2021 – Published April 2022&#10;For More Information: : Alicia Cordes-Mayo (alicia.cordes-mayo@state.mn.us, 763-406-9965)&#10;" style="position:absolute;left:0;text-align:left;margin-left:7.6pt;margin-top:89.5pt;width:496.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" filled="f" stroked="f">
                <v:textbox>
                  <w:txbxContent>
                    <w:p w14:paraId="482B0058" w14:textId="6A4B3564"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00470B">
                        <w:rPr>
                          <w:rStyle w:val="Emphasis"/>
                          <w:b/>
                        </w:rPr>
                        <w:t>Fourth</w:t>
                      </w:r>
                      <w:r w:rsidR="007818E5">
                        <w:rPr>
                          <w:rStyle w:val="Emphasis"/>
                          <w:b/>
                        </w:rPr>
                        <w:t xml:space="preserve"> Quarter 202</w:t>
                      </w:r>
                      <w:r w:rsidR="00E41315">
                        <w:rPr>
                          <w:rStyle w:val="Emphasis"/>
                          <w:b/>
                        </w:rPr>
                        <w:t>1</w:t>
                      </w:r>
                      <w:r w:rsidR="00A43E28">
                        <w:rPr>
                          <w:rStyle w:val="Emphasis"/>
                          <w:b/>
                        </w:rPr>
                        <w:t xml:space="preserve"> – Published </w:t>
                      </w:r>
                      <w:r w:rsidR="00E41315">
                        <w:rPr>
                          <w:rStyle w:val="Emphasis"/>
                          <w:b/>
                        </w:rPr>
                        <w:t>April</w:t>
                      </w:r>
                      <w:r w:rsidR="0000470B">
                        <w:rPr>
                          <w:rStyle w:val="Emphasis"/>
                          <w:b/>
                        </w:rPr>
                        <w:t xml:space="preserve"> 202</w:t>
                      </w:r>
                      <w:r w:rsidR="00E41315">
                        <w:rPr>
                          <w:rStyle w:val="Emphasis"/>
                          <w:b/>
                        </w:rPr>
                        <w:t>2</w:t>
                      </w:r>
                    </w:p>
                    <w:p w14:paraId="5D42F0F1" w14:textId="69426FBD" w:rsidR="00E41315" w:rsidRPr="00690C1B" w:rsidRDefault="007F1C4A" w:rsidP="00E41315">
                      <w:pPr>
                        <w:pStyle w:val="NoSpacing"/>
                        <w:jc w:val="center"/>
                        <w:rPr>
                          <w:rStyle w:val="Emphasis"/>
                          <w:b/>
                          <w:i w:val="0"/>
                          <w:iCs w:val="0"/>
                          <w:color w:val="FF0000"/>
                        </w:rPr>
                      </w:pPr>
                      <w:r>
                        <w:rPr>
                          <w:rStyle w:val="Emphasis"/>
                          <w:b/>
                        </w:rPr>
                        <w:t>For More Information</w:t>
                      </w:r>
                      <w:r w:rsidRPr="007818E5">
                        <w:rPr>
                          <w:rStyle w:val="Emphasis"/>
                        </w:rPr>
                        <w:t xml:space="preserve">: </w:t>
                      </w:r>
                      <w:r w:rsidR="00E41315" w:rsidRPr="00690C1B">
                        <w:rPr>
                          <w:rStyle w:val="Strong"/>
                          <w:i/>
                          <w:iCs/>
                        </w:rPr>
                        <w:t>Alicia Cordes-Mayo (</w:t>
                      </w:r>
                      <w:r w:rsidR="00E41315" w:rsidRPr="00690C1B">
                        <w:rPr>
                          <w:b/>
                          <w:bCs/>
                          <w:i/>
                          <w:iCs/>
                        </w:rPr>
                        <w:t>alicia.cordes-mayo@state.mn.us, 763-406-9965)</w:t>
                      </w:r>
                    </w:p>
                    <w:p w14:paraId="3EE065DE" w14:textId="6C223BC5" w:rsidR="007C542D" w:rsidRPr="00B577E0" w:rsidRDefault="007C542D" w:rsidP="007C542D">
                      <w:pPr>
                        <w:pStyle w:val="NoSpacing"/>
                        <w:jc w:val="center"/>
                        <w:rPr>
                          <w:rStyle w:val="Emphasis"/>
                          <w:b/>
                        </w:rPr>
                      </w:pPr>
                    </w:p>
                    <w:p w14:paraId="34B91C04" w14:textId="03ED3A40" w:rsidR="007F1C4A" w:rsidRPr="00B577E0" w:rsidRDefault="007F1C4A" w:rsidP="0094395B">
                      <w:pPr>
                        <w:pStyle w:val="NoSpacing"/>
                        <w:jc w:val="center"/>
                        <w:rPr>
                          <w:rStyle w:val="Emphasis"/>
                          <w:b/>
                        </w:rPr>
                      </w:pPr>
                    </w:p>
                  </w:txbxContent>
                </v:textbox>
              </v:shape>
            </w:pict>
          </mc:Fallback>
        </mc:AlternateContent>
      </w:r>
      <w:r w:rsidR="0000470B" w:rsidRPr="00421F72">
        <w:rPr>
          <w:noProof/>
        </w:rPr>
        <w:drawing>
          <wp:inline distT="0" distB="0" distL="0" distR="0" wp14:anchorId="1F7A92F1" wp14:editId="6A69605D">
            <wp:extent cx="6494828" cy="1136072"/>
            <wp:effectExtent l="0" t="0" r="1270" b="6985"/>
            <wp:docPr id="8" name="Picture 8" descr="Title Banner&#10;&#10;4th Quarter Minnesota Export Statistics Newsletter &#10;Minnesota Department of Employment and Economic Development&#10;&#10;Data on Minnesota Exports for Fourth Quarter 2021 – Published April 2022&#10;For More Information: : Alicia Cordes-Mayo (alicia.cordes-mayo@state.mn.us, 763-406-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tle Banner&#10;&#10;4th Quarter Minnesota Export Statistics Newsletter &#10;Minnesota Department of Employment and Economic Development&#10;&#10;Data on Minnesota Exports for Fourth Quarter 2021 – Published April 2022&#10;For More Information: : Alicia Cordes-Mayo (alicia.cordes-mayo@state.mn.us, 763-406-99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2882" cy="1140979"/>
                    </a:xfrm>
                    <a:prstGeom prst="rect">
                      <a:avLst/>
                    </a:prstGeom>
                  </pic:spPr>
                </pic:pic>
              </a:graphicData>
            </a:graphic>
          </wp:inline>
        </w:drawing>
      </w:r>
    </w:p>
    <w:p w14:paraId="18DCA261" w14:textId="79FF0277" w:rsidR="00641D3B" w:rsidRPr="00421F72" w:rsidRDefault="00373858" w:rsidP="002C7DB8">
      <w:pPr>
        <w:pStyle w:val="Heading1"/>
        <w:spacing w:before="720"/>
        <w:rPr>
          <w:rFonts w:asciiTheme="minorHAnsi" w:hAnsiTheme="minorHAnsi"/>
          <w:color w:val="auto"/>
          <w:sz w:val="36"/>
          <w:szCs w:val="30"/>
        </w:rPr>
        <w:sectPr w:rsidR="00641D3B" w:rsidRPr="00421F72"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421F72">
        <w:rPr>
          <w:rFonts w:asciiTheme="minorHAnsi" w:hAnsiTheme="minorHAnsi"/>
          <w:color w:val="auto"/>
          <w:sz w:val="36"/>
          <w:szCs w:val="30"/>
        </w:rPr>
        <w:t>State Export</w:t>
      </w:r>
      <w:r w:rsidR="004F04C4" w:rsidRPr="00421F72">
        <w:rPr>
          <w:rFonts w:asciiTheme="minorHAnsi" w:hAnsiTheme="minorHAnsi"/>
          <w:color w:val="auto"/>
          <w:sz w:val="36"/>
          <w:szCs w:val="30"/>
        </w:rPr>
        <w:t>s</w:t>
      </w:r>
      <w:r w:rsidRPr="00421F72">
        <w:rPr>
          <w:rFonts w:asciiTheme="minorHAnsi" w:hAnsiTheme="minorHAnsi"/>
          <w:color w:val="auto"/>
          <w:sz w:val="36"/>
          <w:szCs w:val="30"/>
        </w:rPr>
        <w:t xml:space="preserve"> </w:t>
      </w:r>
      <w:r w:rsidR="00E41315" w:rsidRPr="00421F72">
        <w:rPr>
          <w:rFonts w:asciiTheme="minorHAnsi" w:hAnsiTheme="minorHAnsi"/>
          <w:color w:val="auto"/>
          <w:sz w:val="36"/>
          <w:szCs w:val="30"/>
        </w:rPr>
        <w:t>Jump 30</w:t>
      </w:r>
      <w:r w:rsidRPr="00421F72">
        <w:rPr>
          <w:rFonts w:asciiTheme="minorHAnsi" w:hAnsiTheme="minorHAnsi"/>
          <w:color w:val="auto"/>
          <w:sz w:val="36"/>
          <w:szCs w:val="30"/>
        </w:rPr>
        <w:t xml:space="preserve">% </w:t>
      </w:r>
      <w:r w:rsidR="00BD6641" w:rsidRPr="00421F72">
        <w:rPr>
          <w:rFonts w:asciiTheme="minorHAnsi" w:hAnsiTheme="minorHAnsi"/>
          <w:color w:val="auto"/>
          <w:sz w:val="36"/>
          <w:szCs w:val="30"/>
        </w:rPr>
        <w:t xml:space="preserve">in </w:t>
      </w:r>
      <w:r w:rsidR="0000470B" w:rsidRPr="00421F72">
        <w:rPr>
          <w:rFonts w:asciiTheme="minorHAnsi" w:hAnsiTheme="minorHAnsi"/>
          <w:color w:val="auto"/>
          <w:sz w:val="36"/>
          <w:szCs w:val="30"/>
        </w:rPr>
        <w:t>Fourth</w:t>
      </w:r>
      <w:r w:rsidR="00BD6641" w:rsidRPr="00421F72">
        <w:rPr>
          <w:rFonts w:asciiTheme="minorHAnsi" w:hAnsiTheme="minorHAnsi"/>
          <w:color w:val="auto"/>
          <w:sz w:val="36"/>
          <w:szCs w:val="30"/>
        </w:rPr>
        <w:t xml:space="preserve"> Quarter</w:t>
      </w:r>
    </w:p>
    <w:p w14:paraId="46AF4887" w14:textId="14E96371" w:rsidR="00D33037" w:rsidRPr="00421F72" w:rsidRDefault="007F1C4A" w:rsidP="00575F88">
      <w:pPr>
        <w:pStyle w:val="ListParagraph"/>
        <w:numPr>
          <w:ilvl w:val="0"/>
          <w:numId w:val="9"/>
        </w:numPr>
        <w:spacing w:after="0"/>
      </w:pPr>
      <w:r w:rsidRPr="00421F72">
        <w:t xml:space="preserve">Minnesota exports (including agricultural, </w:t>
      </w:r>
      <w:proofErr w:type="gramStart"/>
      <w:r w:rsidRPr="00421F72">
        <w:t>mining</w:t>
      </w:r>
      <w:proofErr w:type="gramEnd"/>
      <w:r w:rsidRPr="00421F72">
        <w:t xml:space="preserve"> and manufact</w:t>
      </w:r>
      <w:r w:rsidR="00A02A94" w:rsidRPr="00421F72">
        <w:t>ured products) wer</w:t>
      </w:r>
      <w:r w:rsidR="00E92FA6" w:rsidRPr="00421F72">
        <w:t>e valued at $</w:t>
      </w:r>
      <w:r w:rsidR="00271414" w:rsidRPr="00421F72">
        <w:t>6.4</w:t>
      </w:r>
      <w:r w:rsidR="00C23DAA" w:rsidRPr="00421F72">
        <w:t xml:space="preserve"> billion</w:t>
      </w:r>
      <w:r w:rsidR="00DB304D" w:rsidRPr="00421F72">
        <w:t xml:space="preserve"> in the </w:t>
      </w:r>
      <w:r w:rsidR="0000470B" w:rsidRPr="00421F72">
        <w:t>fourth</w:t>
      </w:r>
      <w:r w:rsidR="00DB304D" w:rsidRPr="00421F72">
        <w:t xml:space="preserve"> quarter of </w:t>
      </w:r>
      <w:r w:rsidR="00271414" w:rsidRPr="00421F72">
        <w:t>2021</w:t>
      </w:r>
      <w:r w:rsidR="00DB304D" w:rsidRPr="00421F72">
        <w:t xml:space="preserve">, </w:t>
      </w:r>
      <w:r w:rsidR="00271414" w:rsidRPr="00421F72">
        <w:t>jumping</w:t>
      </w:r>
      <w:r w:rsidR="004F04C4" w:rsidRPr="00421F72">
        <w:t xml:space="preserve"> </w:t>
      </w:r>
      <w:r w:rsidR="00271414" w:rsidRPr="00421F72">
        <w:t>3</w:t>
      </w:r>
      <w:r w:rsidR="0000470B" w:rsidRPr="00421F72">
        <w:t>0</w:t>
      </w:r>
      <w:r w:rsidR="007818E5" w:rsidRPr="00421F72">
        <w:t>%</w:t>
      </w:r>
      <w:r w:rsidR="00B5144B" w:rsidRPr="00421F72">
        <w:t xml:space="preserve"> (or $</w:t>
      </w:r>
      <w:r w:rsidR="00271414" w:rsidRPr="00421F72">
        <w:t>1.5</w:t>
      </w:r>
      <w:r w:rsidR="00C23DAA" w:rsidRPr="00421F72">
        <w:t xml:space="preserve"> </w:t>
      </w:r>
      <w:r w:rsidR="00271414" w:rsidRPr="00421F72">
        <w:t>b</w:t>
      </w:r>
      <w:r w:rsidR="00C23DAA" w:rsidRPr="00421F72">
        <w:t>illion</w:t>
      </w:r>
      <w:r w:rsidRPr="00421F72">
        <w:t xml:space="preserve">) </w:t>
      </w:r>
      <w:r w:rsidR="00DB304D" w:rsidRPr="00421F72">
        <w:t xml:space="preserve">since </w:t>
      </w:r>
      <w:r w:rsidRPr="00421F72">
        <w:t xml:space="preserve">the </w:t>
      </w:r>
      <w:r w:rsidR="0000470B" w:rsidRPr="00421F72">
        <w:t>fourth</w:t>
      </w:r>
      <w:r w:rsidRPr="00421F72">
        <w:t xml:space="preserve"> qu</w:t>
      </w:r>
      <w:r w:rsidR="00DB304D" w:rsidRPr="00421F72">
        <w:t>arter</w:t>
      </w:r>
      <w:r w:rsidR="00957BCF" w:rsidRPr="00421F72">
        <w:t xml:space="preserve"> of </w:t>
      </w:r>
      <w:r w:rsidR="00271414" w:rsidRPr="00421F72">
        <w:t>2020</w:t>
      </w:r>
      <w:r w:rsidR="004F04C4" w:rsidRPr="00421F72">
        <w:t>,</w:t>
      </w:r>
      <w:r w:rsidR="00271414" w:rsidRPr="00421F72">
        <w:t xml:space="preserve"> and 16% over the (pre-Covid) fourth quarter of 2019</w:t>
      </w:r>
      <w:r w:rsidR="00B85149" w:rsidRPr="00421F72">
        <w:t xml:space="preserve">. </w:t>
      </w:r>
    </w:p>
    <w:p w14:paraId="46069970" w14:textId="6C94AEF8" w:rsidR="006D7A33" w:rsidRPr="00421F72" w:rsidRDefault="004F04C4" w:rsidP="003B0D48">
      <w:pPr>
        <w:pStyle w:val="ListParagraph"/>
        <w:numPr>
          <w:ilvl w:val="0"/>
          <w:numId w:val="9"/>
        </w:numPr>
        <w:spacing w:after="0"/>
      </w:pPr>
      <w:r w:rsidRPr="00421F72">
        <w:t xml:space="preserve">Overall </w:t>
      </w:r>
      <w:r w:rsidR="00C97041" w:rsidRPr="00421F72">
        <w:t>U.S. exports</w:t>
      </w:r>
      <w:r w:rsidR="00742415" w:rsidRPr="00421F72">
        <w:t xml:space="preserve"> of goods</w:t>
      </w:r>
      <w:r w:rsidR="00C23DAA" w:rsidRPr="00421F72">
        <w:t xml:space="preserve"> </w:t>
      </w:r>
      <w:r w:rsidR="002E6040">
        <w:t xml:space="preserve">also </w:t>
      </w:r>
      <w:r w:rsidR="00271414" w:rsidRPr="00421F72">
        <w:t>rose</w:t>
      </w:r>
      <w:r w:rsidR="002E6040">
        <w:t xml:space="preserve"> strongly</w:t>
      </w:r>
      <w:r w:rsidR="00271414" w:rsidRPr="00421F72">
        <w:t xml:space="preserve"> over the </w:t>
      </w:r>
      <w:r w:rsidRPr="00421F72">
        <w:t>fourth</w:t>
      </w:r>
      <w:r w:rsidR="00271414" w:rsidRPr="00421F72">
        <w:t xml:space="preserve"> quarter</w:t>
      </w:r>
      <w:r w:rsidRPr="00421F72">
        <w:t>s</w:t>
      </w:r>
      <w:r w:rsidR="00271414" w:rsidRPr="00421F72">
        <w:t xml:space="preserve"> </w:t>
      </w:r>
      <w:r w:rsidRPr="00421F72">
        <w:t>of</w:t>
      </w:r>
      <w:r w:rsidR="00271414" w:rsidRPr="00421F72">
        <w:t xml:space="preserve"> 2020</w:t>
      </w:r>
      <w:r w:rsidRPr="00421F72">
        <w:t xml:space="preserve"> (up 23%) and 2019 (up </w:t>
      </w:r>
      <w:r w:rsidR="00271414" w:rsidRPr="00421F72">
        <w:t>16%</w:t>
      </w:r>
      <w:r w:rsidRPr="00421F72">
        <w:t>)</w:t>
      </w:r>
      <w:r w:rsidR="002E6040">
        <w:t>.</w:t>
      </w:r>
      <w:r w:rsidR="00271414" w:rsidRPr="00421F72">
        <w:t xml:space="preserve"> </w:t>
      </w:r>
      <w:r w:rsidR="002E6040">
        <w:t>A</w:t>
      </w:r>
      <w:r w:rsidR="00271414" w:rsidRPr="00421F72">
        <w:t xml:space="preserve"> </w:t>
      </w:r>
      <w:r w:rsidR="002E6040">
        <w:t xml:space="preserve">large </w:t>
      </w:r>
      <w:r w:rsidR="00271414" w:rsidRPr="00421F72">
        <w:t xml:space="preserve">majority of states </w:t>
      </w:r>
      <w:r w:rsidR="002E6040">
        <w:t>had</w:t>
      </w:r>
      <w:r w:rsidRPr="00421F72">
        <w:t xml:space="preserve"> export</w:t>
      </w:r>
      <w:r w:rsidR="00954A83" w:rsidRPr="00421F72">
        <w:t xml:space="preserve"> growth</w:t>
      </w:r>
      <w:r w:rsidR="00271414" w:rsidRPr="00421F72">
        <w:t xml:space="preserve"> over the fourth quarters of </w:t>
      </w:r>
      <w:r w:rsidRPr="00421F72">
        <w:t xml:space="preserve">both </w:t>
      </w:r>
      <w:r w:rsidR="00271414" w:rsidRPr="00421F72">
        <w:t>2020 and 2019</w:t>
      </w:r>
      <w:r w:rsidR="00CA0F8C" w:rsidRPr="00421F72">
        <w:t>.</w:t>
      </w:r>
      <w:r w:rsidR="00C23DAA" w:rsidRPr="00421F72">
        <w:t xml:space="preserve"> </w:t>
      </w:r>
    </w:p>
    <w:p w14:paraId="06392D44" w14:textId="12CE2BEF" w:rsidR="006D7A33" w:rsidRPr="00421F72" w:rsidRDefault="00692D3B" w:rsidP="006D7A33">
      <w:pPr>
        <w:pStyle w:val="ListParagraph"/>
        <w:numPr>
          <w:ilvl w:val="0"/>
          <w:numId w:val="9"/>
        </w:numPr>
        <w:spacing w:after="0"/>
      </w:pPr>
      <w:r w:rsidRPr="00421F72">
        <w:t xml:space="preserve">Minnesota </w:t>
      </w:r>
      <w:r w:rsidRPr="00421F72">
        <w:rPr>
          <w:i/>
        </w:rPr>
        <w:t>manufactured</w:t>
      </w:r>
      <w:r w:rsidR="001F7EBF" w:rsidRPr="00421F72">
        <w:t xml:space="preserve"> exports</w:t>
      </w:r>
      <w:r w:rsidR="00DD736C" w:rsidRPr="00421F72">
        <w:t xml:space="preserve"> </w:t>
      </w:r>
      <w:r w:rsidR="004F04C4" w:rsidRPr="00421F72">
        <w:t>expanded</w:t>
      </w:r>
      <w:r w:rsidR="00C97041" w:rsidRPr="00421F72">
        <w:t xml:space="preserve"> </w:t>
      </w:r>
      <w:r w:rsidR="004F04C4" w:rsidRPr="00421F72">
        <w:t>27</w:t>
      </w:r>
      <w:r w:rsidR="00742415" w:rsidRPr="00421F72">
        <w:t>%</w:t>
      </w:r>
      <w:r w:rsidR="00C97041" w:rsidRPr="00421F72">
        <w:t xml:space="preserve"> to </w:t>
      </w:r>
      <w:r w:rsidR="00956763" w:rsidRPr="00421F72">
        <w:t>$</w:t>
      </w:r>
      <w:r w:rsidR="004F04C4" w:rsidRPr="00421F72">
        <w:t>5.3</w:t>
      </w:r>
      <w:r w:rsidR="004A3CC9" w:rsidRPr="00421F72">
        <w:t xml:space="preserve"> billion</w:t>
      </w:r>
      <w:r w:rsidRPr="00421F72">
        <w:t xml:space="preserve"> </w:t>
      </w:r>
      <w:r w:rsidR="004F04C4" w:rsidRPr="00421F72">
        <w:t>between</w:t>
      </w:r>
      <w:r w:rsidR="007F1C4A" w:rsidRPr="00421F72">
        <w:t xml:space="preserve"> the </w:t>
      </w:r>
      <w:r w:rsidR="0000470B" w:rsidRPr="00421F72">
        <w:t>fourth</w:t>
      </w:r>
      <w:r w:rsidR="007F1C4A" w:rsidRPr="00421F72">
        <w:t xml:space="preserve"> quarter</w:t>
      </w:r>
      <w:r w:rsidR="004F04C4" w:rsidRPr="00421F72">
        <w:t>s</w:t>
      </w:r>
      <w:r w:rsidR="007F1C4A" w:rsidRPr="00421F72">
        <w:t xml:space="preserve"> of</w:t>
      </w:r>
      <w:r w:rsidR="004F04C4" w:rsidRPr="00421F72">
        <w:t xml:space="preserve"> 2020 and</w:t>
      </w:r>
      <w:r w:rsidR="007F1C4A" w:rsidRPr="00421F72">
        <w:t xml:space="preserve"> </w:t>
      </w:r>
      <w:r w:rsidR="00271414" w:rsidRPr="00421F72">
        <w:t>2021</w:t>
      </w:r>
      <w:r w:rsidR="004F04C4" w:rsidRPr="00421F72">
        <w:t>, while</w:t>
      </w:r>
      <w:r w:rsidR="00C23DAA" w:rsidRPr="00421F72">
        <w:t xml:space="preserve"> </w:t>
      </w:r>
      <w:r w:rsidR="00E42787" w:rsidRPr="00421F72">
        <w:t>U.S</w:t>
      </w:r>
      <w:r w:rsidR="00742415" w:rsidRPr="00421F72">
        <w:t xml:space="preserve">. </w:t>
      </w:r>
      <w:r w:rsidR="00742415" w:rsidRPr="00421F72">
        <w:rPr>
          <w:i/>
        </w:rPr>
        <w:t>manufactured</w:t>
      </w:r>
      <w:r w:rsidR="00742415" w:rsidRPr="00421F72">
        <w:t xml:space="preserve"> exports</w:t>
      </w:r>
      <w:r w:rsidR="004F04C4" w:rsidRPr="00421F72">
        <w:t xml:space="preserve"> rose</w:t>
      </w:r>
      <w:r w:rsidR="00742415" w:rsidRPr="00421F72">
        <w:t xml:space="preserve"> </w:t>
      </w:r>
      <w:r w:rsidR="004F04C4" w:rsidRPr="00421F72">
        <w:t>19</w:t>
      </w:r>
      <w:r w:rsidR="007818E5" w:rsidRPr="00421F72">
        <w:t>%</w:t>
      </w:r>
      <w:r w:rsidR="00557377" w:rsidRPr="00421F72">
        <w:t>.</w:t>
      </w:r>
    </w:p>
    <w:p w14:paraId="5A8A396E" w14:textId="198C80D9" w:rsidR="00E16ECF" w:rsidRPr="00421F72" w:rsidRDefault="00E9144E" w:rsidP="00902E31">
      <w:pPr>
        <w:pStyle w:val="ListParagraph"/>
        <w:numPr>
          <w:ilvl w:val="0"/>
          <w:numId w:val="9"/>
        </w:numPr>
        <w:spacing w:after="120" w:line="271" w:lineRule="auto"/>
      </w:pPr>
      <w:r w:rsidRPr="00421F72">
        <w:t xml:space="preserve">Minnesota exports </w:t>
      </w:r>
      <w:r w:rsidR="004F04C4" w:rsidRPr="00421F72">
        <w:t>gained</w:t>
      </w:r>
      <w:r w:rsidR="001625A3" w:rsidRPr="00421F72">
        <w:t xml:space="preserve"> </w:t>
      </w:r>
      <w:r w:rsidR="00956763" w:rsidRPr="00421F72">
        <w:t>1</w:t>
      </w:r>
      <w:r w:rsidR="004F04C4" w:rsidRPr="00421F72">
        <w:t>7</w:t>
      </w:r>
      <w:r w:rsidR="00C23DAA" w:rsidRPr="00421F72">
        <w:t>%</w:t>
      </w:r>
      <w:r w:rsidR="001625A3" w:rsidRPr="00421F72">
        <w:t xml:space="preserve"> </w:t>
      </w:r>
      <w:r w:rsidR="004F04C4" w:rsidRPr="00421F72">
        <w:t xml:space="preserve">for the year </w:t>
      </w:r>
      <w:r w:rsidR="001625A3" w:rsidRPr="00421F72">
        <w:t xml:space="preserve">between </w:t>
      </w:r>
      <w:r w:rsidR="00271414" w:rsidRPr="00421F72">
        <w:t>2020</w:t>
      </w:r>
      <w:r w:rsidR="001625A3" w:rsidRPr="00421F72">
        <w:t xml:space="preserve"> and </w:t>
      </w:r>
      <w:r w:rsidR="00271414" w:rsidRPr="00421F72">
        <w:t>2021</w:t>
      </w:r>
      <w:r w:rsidR="0065603B" w:rsidRPr="00421F72">
        <w:t>,</w:t>
      </w:r>
      <w:r w:rsidR="00C23DAA" w:rsidRPr="00421F72">
        <w:t xml:space="preserve"> while </w:t>
      </w:r>
      <w:r w:rsidRPr="00421F72">
        <w:t xml:space="preserve">U.S. </w:t>
      </w:r>
      <w:r w:rsidR="00C23DAA" w:rsidRPr="00421F72">
        <w:t xml:space="preserve">exports </w:t>
      </w:r>
      <w:r w:rsidR="004F04C4" w:rsidRPr="00421F72">
        <w:t>increased</w:t>
      </w:r>
      <w:r w:rsidRPr="00421F72">
        <w:t xml:space="preserve"> </w:t>
      </w:r>
      <w:r w:rsidR="004F04C4" w:rsidRPr="00421F72">
        <w:t>2</w:t>
      </w:r>
      <w:r w:rsidR="00956763" w:rsidRPr="00421F72">
        <w:t>3</w:t>
      </w:r>
      <w:r w:rsidRPr="00421F72">
        <w:t>%</w:t>
      </w:r>
      <w:r w:rsidR="00707559" w:rsidRPr="00421F72">
        <w:t>.</w:t>
      </w:r>
    </w:p>
    <w:p w14:paraId="03CA25DA" w14:textId="1A21C335" w:rsidR="007F1C4A" w:rsidRPr="00421F72" w:rsidRDefault="007F1C4A" w:rsidP="00707559">
      <w:pPr>
        <w:spacing w:before="120" w:after="0" w:line="271" w:lineRule="auto"/>
        <w:rPr>
          <w:rStyle w:val="Heading4Char"/>
          <w:rFonts w:eastAsiaTheme="minorEastAsia" w:cstheme="minorBidi"/>
          <w:bCs w:val="0"/>
          <w:i w:val="0"/>
          <w:iCs w:val="0"/>
          <w:color w:val="auto"/>
          <w:sz w:val="22"/>
        </w:rPr>
      </w:pPr>
      <w:r w:rsidRPr="00421F72">
        <w:rPr>
          <w:rStyle w:val="Heading4Char"/>
          <w:color w:val="auto"/>
        </w:rPr>
        <w:t xml:space="preserve">Figure </w:t>
      </w:r>
      <w:r w:rsidRPr="00421F72">
        <w:rPr>
          <w:rStyle w:val="Heading4Char"/>
          <w:color w:val="auto"/>
        </w:rPr>
        <w:fldChar w:fldCharType="begin"/>
      </w:r>
      <w:r w:rsidRPr="00421F72">
        <w:rPr>
          <w:rStyle w:val="Heading4Char"/>
          <w:color w:val="auto"/>
        </w:rPr>
        <w:instrText xml:space="preserve"> SEQ Figure \* ARABIC </w:instrText>
      </w:r>
      <w:r w:rsidRPr="00421F72">
        <w:rPr>
          <w:rStyle w:val="Heading4Char"/>
          <w:color w:val="auto"/>
        </w:rPr>
        <w:fldChar w:fldCharType="separate"/>
      </w:r>
      <w:r w:rsidR="00C430F8" w:rsidRPr="00421F72">
        <w:rPr>
          <w:rStyle w:val="Heading4Char"/>
          <w:noProof/>
          <w:color w:val="auto"/>
        </w:rPr>
        <w:t>1</w:t>
      </w:r>
      <w:r w:rsidRPr="00421F72">
        <w:rPr>
          <w:rStyle w:val="Heading4Char"/>
          <w:color w:val="auto"/>
        </w:rPr>
        <w:fldChar w:fldCharType="end"/>
      </w:r>
      <w:r w:rsidR="00A52415" w:rsidRPr="00421F72">
        <w:rPr>
          <w:rStyle w:val="Heading4Char"/>
          <w:color w:val="auto"/>
        </w:rPr>
        <w:t xml:space="preserve">. </w:t>
      </w:r>
      <w:r w:rsidR="00491633" w:rsidRPr="00421F72">
        <w:rPr>
          <w:rStyle w:val="Heading4Char"/>
          <w:color w:val="auto"/>
        </w:rPr>
        <w:t xml:space="preserve">41 States Increase </w:t>
      </w:r>
      <w:r w:rsidR="00CA0F8C" w:rsidRPr="00421F72">
        <w:rPr>
          <w:rStyle w:val="Heading4Char"/>
          <w:color w:val="auto"/>
        </w:rPr>
        <w:t>Exports</w:t>
      </w:r>
    </w:p>
    <w:p w14:paraId="7D1ADD74" w14:textId="2FFD5A59" w:rsidR="007F1C4A" w:rsidRPr="00421F72" w:rsidRDefault="00D0438E" w:rsidP="007F1C4A">
      <w:pPr>
        <w:spacing w:after="0"/>
      </w:pPr>
      <w:r w:rsidRPr="00421F72">
        <w:rPr>
          <w:noProof/>
        </w:rPr>
        <mc:AlternateContent>
          <mc:Choice Requires="wps">
            <w:drawing>
              <wp:anchor distT="0" distB="0" distL="114300" distR="114300" simplePos="0" relativeHeight="251658752" behindDoc="0" locked="0" layoutInCell="1" allowOverlap="1" wp14:anchorId="24E76B40" wp14:editId="53814BEE">
                <wp:simplePos x="0" y="0"/>
                <wp:positionH relativeFrom="margin">
                  <wp:posOffset>5974080</wp:posOffset>
                </wp:positionH>
                <wp:positionV relativeFrom="paragraph">
                  <wp:posOffset>1292225</wp:posOffset>
                </wp:positionV>
                <wp:extent cx="780415" cy="435610"/>
                <wp:effectExtent l="0" t="0" r="0" b="2540"/>
                <wp:wrapNone/>
                <wp:docPr id="307" name="Text Box 2" descr="highlight text box&#10;&#10;MN: +30%&#10;U.S.: +2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35610"/>
                        </a:xfrm>
                        <a:prstGeom prst="rect">
                          <a:avLst/>
                        </a:prstGeom>
                        <a:noFill/>
                        <a:ln w="9525">
                          <a:noFill/>
                          <a:miter lim="800000"/>
                          <a:headEnd/>
                          <a:tailEnd/>
                        </a:ln>
                      </wps:spPr>
                      <wps:txbx>
                        <w:txbxContent>
                          <w:p w14:paraId="60A296D5" w14:textId="07B1570F" w:rsidR="007F1C4A" w:rsidRPr="00681236" w:rsidRDefault="007F1C4A" w:rsidP="007F1C4A">
                            <w:pPr>
                              <w:spacing w:after="0"/>
                              <w:rPr>
                                <w:b/>
                                <w:i/>
                                <w:sz w:val="20"/>
                              </w:rPr>
                            </w:pPr>
                            <w:r w:rsidRPr="00681236">
                              <w:rPr>
                                <w:b/>
                                <w:i/>
                                <w:sz w:val="20"/>
                              </w:rPr>
                              <w:t>M</w:t>
                            </w:r>
                            <w:r w:rsidR="0065603B" w:rsidRPr="00681236">
                              <w:rPr>
                                <w:b/>
                                <w:i/>
                                <w:sz w:val="20"/>
                              </w:rPr>
                              <w:t xml:space="preserve">N:  </w:t>
                            </w:r>
                            <w:r w:rsidR="00271414">
                              <w:rPr>
                                <w:b/>
                                <w:i/>
                                <w:sz w:val="20"/>
                              </w:rPr>
                              <w:t>+3</w:t>
                            </w:r>
                            <w:r w:rsidR="0065603B" w:rsidRPr="00681236">
                              <w:rPr>
                                <w:b/>
                                <w:i/>
                                <w:sz w:val="20"/>
                              </w:rPr>
                              <w:t>0</w:t>
                            </w:r>
                            <w:r w:rsidRPr="00681236">
                              <w:rPr>
                                <w:b/>
                                <w:i/>
                                <w:sz w:val="20"/>
                              </w:rPr>
                              <w:t>%</w:t>
                            </w:r>
                          </w:p>
                          <w:p w14:paraId="588145EA" w14:textId="06973772" w:rsidR="007F1C4A" w:rsidRPr="00681236" w:rsidRDefault="00293DCF" w:rsidP="007F1C4A">
                            <w:pPr>
                              <w:spacing w:after="0"/>
                              <w:rPr>
                                <w:b/>
                                <w:i/>
                                <w:sz w:val="20"/>
                              </w:rPr>
                            </w:pPr>
                            <w:r w:rsidRPr="00681236">
                              <w:rPr>
                                <w:b/>
                                <w:i/>
                                <w:sz w:val="20"/>
                              </w:rPr>
                              <w:t xml:space="preserve">U.S.: </w:t>
                            </w:r>
                            <w:r w:rsidR="00271414">
                              <w:rPr>
                                <w:b/>
                                <w:i/>
                                <w:sz w:val="20"/>
                              </w:rPr>
                              <w:t>+23</w:t>
                            </w:r>
                            <w:r w:rsidR="007F1C4A" w:rsidRPr="00681236">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highlight text box&#10;&#10;MN: +30%&#10;U.S.: +23%&#10;" style="position:absolute;margin-left:470.4pt;margin-top:101.75pt;width:61.45pt;height:3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" filled="f" stroked="f">
                <v:textbox>
                  <w:txbxContent>
                    <w:p w14:paraId="60A296D5" w14:textId="07B1570F" w:rsidR="007F1C4A" w:rsidRPr="00681236" w:rsidRDefault="007F1C4A" w:rsidP="007F1C4A">
                      <w:pPr>
                        <w:spacing w:after="0"/>
                        <w:rPr>
                          <w:b/>
                          <w:i/>
                          <w:sz w:val="20"/>
                        </w:rPr>
                      </w:pPr>
                      <w:r w:rsidRPr="00681236">
                        <w:rPr>
                          <w:b/>
                          <w:i/>
                          <w:sz w:val="20"/>
                        </w:rPr>
                        <w:t>M</w:t>
                      </w:r>
                      <w:r w:rsidR="0065603B" w:rsidRPr="00681236">
                        <w:rPr>
                          <w:b/>
                          <w:i/>
                          <w:sz w:val="20"/>
                        </w:rPr>
                        <w:t xml:space="preserve">N:  </w:t>
                      </w:r>
                      <w:r w:rsidR="00271414">
                        <w:rPr>
                          <w:b/>
                          <w:i/>
                          <w:sz w:val="20"/>
                        </w:rPr>
                        <w:t>+3</w:t>
                      </w:r>
                      <w:r w:rsidR="0065603B" w:rsidRPr="00681236">
                        <w:rPr>
                          <w:b/>
                          <w:i/>
                          <w:sz w:val="20"/>
                        </w:rPr>
                        <w:t>0</w:t>
                      </w:r>
                      <w:r w:rsidRPr="00681236">
                        <w:rPr>
                          <w:b/>
                          <w:i/>
                          <w:sz w:val="20"/>
                        </w:rPr>
                        <w:t>%</w:t>
                      </w:r>
                    </w:p>
                    <w:p w14:paraId="588145EA" w14:textId="06973772" w:rsidR="007F1C4A" w:rsidRPr="00681236" w:rsidRDefault="00293DCF" w:rsidP="007F1C4A">
                      <w:pPr>
                        <w:spacing w:after="0"/>
                        <w:rPr>
                          <w:b/>
                          <w:i/>
                          <w:sz w:val="20"/>
                        </w:rPr>
                      </w:pPr>
                      <w:r w:rsidRPr="00681236">
                        <w:rPr>
                          <w:b/>
                          <w:i/>
                          <w:sz w:val="20"/>
                        </w:rPr>
                        <w:t xml:space="preserve">U.S.: </w:t>
                      </w:r>
                      <w:r w:rsidR="00271414">
                        <w:rPr>
                          <w:b/>
                          <w:i/>
                          <w:sz w:val="20"/>
                        </w:rPr>
                        <w:t>+23</w:t>
                      </w:r>
                      <w:r w:rsidR="007F1C4A" w:rsidRPr="00681236">
                        <w:rPr>
                          <w:b/>
                          <w:i/>
                          <w:sz w:val="20"/>
                        </w:rPr>
                        <w:t>%</w:t>
                      </w:r>
                    </w:p>
                  </w:txbxContent>
                </v:textbox>
                <w10:wrap anchorx="margin"/>
              </v:shape>
            </w:pict>
          </mc:Fallback>
        </mc:AlternateContent>
      </w:r>
      <w:r w:rsidR="007F1C4A" w:rsidRPr="00421F72">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491633" w:rsidRPr="00421F72">
        <w:rPr>
          <w:noProof/>
        </w:rPr>
        <w:drawing>
          <wp:inline distT="0" distB="0" distL="0" distR="0" wp14:anchorId="36102CE9" wp14:editId="62D510A8">
            <wp:extent cx="3228975" cy="2038350"/>
            <wp:effectExtent l="0" t="0" r="9525" b="0"/>
            <wp:docPr id="3" name="Picture 3" descr="MN Exports, &#10;State and Percent Change 2020-Q4 to 2021-Q4&#10;MN 30%&#10;US 23%&#10;AK 34%&#10;AL 16%&#10;AR 10%&#10;AZ 31%&#10;CA 5%&#10;CO 11%&#10;CT 10%&#10;DC -22%&#10;DE -2%&#10;FL 24%&#10;GA -1%&#10;HI -2%&#10;IA 17%&#10;ID -4%&#10;IL 23%&#10;IN 11%&#10;KS 16%&#10;KY 28%&#10;LA 32%&#10;MA 38%&#10;MD 28%&#10;ME 48%&#10;MI 26%&#10;MO 10%&#10;MS 38%&#10;MT 20%&#10;NC 19%&#10;ND -19%&#10;NE 23%&#10;NH 19%&#10;NJ 21%&#10;NM 19%&#10;NV -1%&#10;NY 12%&#10;OH 13%&#10;OK 26%&#10;OR 17%&#10;PA 16%&#10;RI 21%&#10;SC -6%&#10;SD 24%&#10;TN 21%&#10;TX 43%&#10;UT -17%&#10;VA 34%&#10;VT -12%&#10;WA 39%&#10;WI 23%&#10;WV 34%&#10;WY 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N Exports, &#10;State and Percent Change 2020-Q4 to 2021-Q4&#10;MN 30%&#10;US 23%&#10;AK 34%&#10;AL 16%&#10;AR 10%&#10;AZ 31%&#10;CA 5%&#10;CO 11%&#10;CT 10%&#10;DC -22%&#10;DE -2%&#10;FL 24%&#10;GA -1%&#10;HI -2%&#10;IA 17%&#10;ID -4%&#10;IL 23%&#10;IN 11%&#10;KS 16%&#10;KY 28%&#10;LA 32%&#10;MA 38%&#10;MD 28%&#10;ME 48%&#10;MI 26%&#10;MO 10%&#10;MS 38%&#10;MT 20%&#10;NC 19%&#10;ND -19%&#10;NE 23%&#10;NH 19%&#10;NJ 21%&#10;NM 19%&#10;NV -1%&#10;NY 12%&#10;OH 13%&#10;OK 26%&#10;OR 17%&#10;PA 16%&#10;RI 21%&#10;SC -6%&#10;SD 24%&#10;TN 21%&#10;TX 43%&#10;UT -17%&#10;VA 34%&#10;VT -12%&#10;WA 39%&#10;WI 23%&#10;WV 34%&#10;WY 39%&#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876"/>
                    <a:stretch/>
                  </pic:blipFill>
                  <pic:spPr bwMode="auto">
                    <a:xfrm>
                      <a:off x="0" y="0"/>
                      <a:ext cx="3228975" cy="2038350"/>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0F8CA7BD" w:rsidR="007F1C4A" w:rsidRPr="00421F72" w:rsidRDefault="007F1C4A" w:rsidP="007F1C4A">
      <w:pPr>
        <w:spacing w:after="0"/>
        <w:rPr>
          <w:i/>
          <w:sz w:val="18"/>
        </w:rPr>
      </w:pPr>
      <w:r w:rsidRPr="00421F72">
        <w:rPr>
          <w:i/>
          <w:sz w:val="18"/>
        </w:rPr>
        <w:t xml:space="preserve"> Decline     0%   Growth</w:t>
      </w:r>
    </w:p>
    <w:p w14:paraId="6B23B2F3" w14:textId="4330A419" w:rsidR="00BE4DAD" w:rsidRPr="00421F72" w:rsidRDefault="00A52415" w:rsidP="00173D78">
      <w:pPr>
        <w:spacing w:after="0"/>
        <w:rPr>
          <w:rFonts w:ascii="Arial Narrow" w:hAnsi="Arial Narrow"/>
          <w:sz w:val="2"/>
          <w:szCs w:val="2"/>
        </w:rPr>
        <w:sectPr w:rsidR="00BE4DAD" w:rsidRPr="00421F72" w:rsidSect="007F1C4A">
          <w:footnotePr>
            <w:numRestart w:val="eachSect"/>
          </w:footnotePr>
          <w:endnotePr>
            <w:numFmt w:val="decimal"/>
          </w:endnotePr>
          <w:type w:val="continuous"/>
          <w:pgSz w:w="12240" w:h="15840" w:code="1"/>
          <w:pgMar w:top="720" w:right="720" w:bottom="720" w:left="990" w:header="720" w:footer="720" w:gutter="0"/>
          <w:cols w:num="2" w:space="360"/>
          <w:titlePg/>
          <w:docGrid w:linePitch="299"/>
        </w:sectPr>
      </w:pPr>
      <w:r w:rsidRPr="00421F72">
        <w:rPr>
          <w:rFonts w:ascii="Arial Narrow" w:hAnsi="Arial Narrow"/>
          <w:noProof/>
          <w:sz w:val="2"/>
          <w:szCs w:val="2"/>
        </w:rPr>
        <w:drawing>
          <wp:inline distT="0" distB="0" distL="0" distR="0" wp14:anchorId="5C21AFCD" wp14:editId="1362234B">
            <wp:extent cx="1066800" cy="152400"/>
            <wp:effectExtent l="0" t="0" r="0" b="0"/>
            <wp:docPr id="7" name="Picture 7" descr="S:\Groups\CARD\AEO\Thu-Mai\Tableau, Viz\MTO Tableau files\Export Stats Reports\Newsletter &amp; Fact Sheet charts\2018-Q4 USMap_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09403C4A" w:rsidR="00E83789" w:rsidRPr="00421F72" w:rsidRDefault="002E6040" w:rsidP="00902E31">
      <w:pPr>
        <w:pStyle w:val="Heading2"/>
        <w:spacing w:before="0"/>
        <w:rPr>
          <w:rFonts w:asciiTheme="minorHAnsi" w:hAnsiTheme="minorHAnsi"/>
          <w:b w:val="0"/>
          <w:i/>
          <w:color w:val="auto"/>
          <w:sz w:val="28"/>
        </w:rPr>
      </w:pPr>
      <w:r>
        <w:rPr>
          <w:rFonts w:asciiTheme="minorHAnsi" w:hAnsiTheme="minorHAnsi"/>
          <w:b w:val="0"/>
          <w:i/>
          <w:color w:val="auto"/>
          <w:sz w:val="28"/>
        </w:rPr>
        <w:t xml:space="preserve">Renewed Demand in Markets in </w:t>
      </w:r>
      <w:r w:rsidR="001453E0" w:rsidRPr="00421F72">
        <w:rPr>
          <w:rFonts w:asciiTheme="minorHAnsi" w:hAnsiTheme="minorHAnsi"/>
          <w:b w:val="0"/>
          <w:i/>
          <w:color w:val="auto"/>
          <w:sz w:val="28"/>
        </w:rPr>
        <w:t>North America and Asia Fuel</w:t>
      </w:r>
      <w:r>
        <w:rPr>
          <w:rFonts w:asciiTheme="minorHAnsi" w:hAnsiTheme="minorHAnsi"/>
          <w:b w:val="0"/>
          <w:i/>
          <w:color w:val="auto"/>
          <w:sz w:val="28"/>
        </w:rPr>
        <w:t>s</w:t>
      </w:r>
      <w:r w:rsidR="001453E0" w:rsidRPr="00421F72">
        <w:rPr>
          <w:rFonts w:asciiTheme="minorHAnsi" w:hAnsiTheme="minorHAnsi"/>
          <w:b w:val="0"/>
          <w:i/>
          <w:color w:val="auto"/>
          <w:sz w:val="28"/>
        </w:rPr>
        <w:t xml:space="preserve"> Export Gains</w:t>
      </w:r>
    </w:p>
    <w:p w14:paraId="1B47E408" w14:textId="77B533EE" w:rsidR="00060AC8" w:rsidRPr="00421F72" w:rsidRDefault="002E6040" w:rsidP="00CB38A0">
      <w:pPr>
        <w:pStyle w:val="ListParagraph"/>
        <w:numPr>
          <w:ilvl w:val="0"/>
          <w:numId w:val="10"/>
        </w:numPr>
        <w:spacing w:after="0"/>
      </w:pPr>
      <w:r>
        <w:t>E</w:t>
      </w:r>
      <w:r w:rsidR="000D02DD" w:rsidRPr="00421F72">
        <w:t xml:space="preserve">xports </w:t>
      </w:r>
      <w:r w:rsidR="00136664" w:rsidRPr="00421F72">
        <w:t xml:space="preserve">to </w:t>
      </w:r>
      <w:r w:rsidR="001453E0" w:rsidRPr="00421F72">
        <w:t>the state’s</w:t>
      </w:r>
      <w:r w:rsidR="00A943AF" w:rsidRPr="00421F72">
        <w:t xml:space="preserve"> </w:t>
      </w:r>
      <w:r w:rsidR="001453E0" w:rsidRPr="00421F72">
        <w:t>main</w:t>
      </w:r>
      <w:r w:rsidR="00A943AF" w:rsidRPr="00421F72">
        <w:t xml:space="preserve"> three </w:t>
      </w:r>
      <w:r w:rsidR="001453E0" w:rsidRPr="00421F72">
        <w:t>region</w:t>
      </w:r>
      <w:r w:rsidR="00060AC8" w:rsidRPr="00421F72">
        <w:t>al market</w:t>
      </w:r>
      <w:r w:rsidR="001453E0" w:rsidRPr="00421F72">
        <w:t xml:space="preserve">s </w:t>
      </w:r>
      <w:r>
        <w:t>continued to rally</w:t>
      </w:r>
      <w:r w:rsidR="001453E0" w:rsidRPr="00421F72">
        <w:t>, driven by markets in</w:t>
      </w:r>
      <w:r w:rsidR="00FA1A86" w:rsidRPr="00421F72">
        <w:t xml:space="preserve"> </w:t>
      </w:r>
      <w:r w:rsidR="00A61566" w:rsidRPr="00421F72">
        <w:rPr>
          <w:b/>
        </w:rPr>
        <w:t>North America</w:t>
      </w:r>
      <w:r w:rsidR="001453E0" w:rsidRPr="00421F72">
        <w:rPr>
          <w:b/>
        </w:rPr>
        <w:t xml:space="preserve"> </w:t>
      </w:r>
      <w:r w:rsidR="001453E0" w:rsidRPr="00421F72">
        <w:rPr>
          <w:bCs/>
        </w:rPr>
        <w:t>(up</w:t>
      </w:r>
      <w:r w:rsidR="00A61566" w:rsidRPr="00421F72">
        <w:t xml:space="preserve"> </w:t>
      </w:r>
      <w:r w:rsidR="001453E0" w:rsidRPr="00421F72">
        <w:t>46</w:t>
      </w:r>
      <w:r w:rsidR="000D02DD" w:rsidRPr="00421F72">
        <w:t>%</w:t>
      </w:r>
      <w:r w:rsidR="001453E0" w:rsidRPr="00421F72">
        <w:t xml:space="preserve">), </w:t>
      </w:r>
      <w:r w:rsidR="000D02DD" w:rsidRPr="00421F72">
        <w:rPr>
          <w:b/>
        </w:rPr>
        <w:t>Asia</w:t>
      </w:r>
      <w:r w:rsidR="00CE7AEB" w:rsidRPr="00421F72">
        <w:t xml:space="preserve"> </w:t>
      </w:r>
      <w:r w:rsidR="001453E0" w:rsidRPr="00421F72">
        <w:t>(up</w:t>
      </w:r>
      <w:r w:rsidR="00A61566" w:rsidRPr="00421F72">
        <w:t xml:space="preserve"> </w:t>
      </w:r>
      <w:r w:rsidR="001453E0" w:rsidRPr="00421F72">
        <w:t>32</w:t>
      </w:r>
      <w:r w:rsidR="000D02DD" w:rsidRPr="00421F72">
        <w:t>%</w:t>
      </w:r>
      <w:r w:rsidR="001453E0" w:rsidRPr="00421F72">
        <w:t>) and</w:t>
      </w:r>
      <w:r w:rsidR="000D02DD" w:rsidRPr="00421F72">
        <w:t xml:space="preserve"> </w:t>
      </w:r>
      <w:r w:rsidR="001E7B61" w:rsidRPr="00421F72">
        <w:t>the</w:t>
      </w:r>
      <w:r w:rsidR="000D02DD" w:rsidRPr="00421F72">
        <w:t xml:space="preserve"> </w:t>
      </w:r>
      <w:r w:rsidR="000D02DD" w:rsidRPr="00421F72">
        <w:rPr>
          <w:b/>
        </w:rPr>
        <w:t>Europe</w:t>
      </w:r>
      <w:r w:rsidR="001E7B61" w:rsidRPr="00421F72">
        <w:rPr>
          <w:b/>
        </w:rPr>
        <w:t>an Union</w:t>
      </w:r>
      <w:r w:rsidR="001453E0" w:rsidRPr="00421F72">
        <w:t xml:space="preserve"> (up 20%). Exports to</w:t>
      </w:r>
      <w:r w:rsidR="001453E0" w:rsidRPr="00421F72">
        <w:rPr>
          <w:b/>
          <w:bCs/>
        </w:rPr>
        <w:t xml:space="preserve"> North America</w:t>
      </w:r>
      <w:r>
        <w:rPr>
          <w:b/>
          <w:bCs/>
        </w:rPr>
        <w:t>n</w:t>
      </w:r>
      <w:r w:rsidR="001453E0" w:rsidRPr="00421F72">
        <w:t xml:space="preserve"> and</w:t>
      </w:r>
      <w:r w:rsidR="001453E0" w:rsidRPr="00421F72">
        <w:rPr>
          <w:b/>
          <w:bCs/>
        </w:rPr>
        <w:t xml:space="preserve"> Asia</w:t>
      </w:r>
      <w:r>
        <w:rPr>
          <w:b/>
          <w:bCs/>
        </w:rPr>
        <w:t>n</w:t>
      </w:r>
      <w:r w:rsidR="001453E0" w:rsidRPr="00421F72">
        <w:t xml:space="preserve"> markets in the fourth quarter of 2021</w:t>
      </w:r>
      <w:r>
        <w:t xml:space="preserve"> outperformed exports to these regions </w:t>
      </w:r>
      <w:r w:rsidR="001453E0" w:rsidRPr="00421F72">
        <w:t xml:space="preserve">in 2019.  </w:t>
      </w:r>
    </w:p>
    <w:p w14:paraId="38C3CADD" w14:textId="65214884" w:rsidR="007E6CE7" w:rsidRPr="00421F72" w:rsidRDefault="00D33037" w:rsidP="00CB38A0">
      <w:pPr>
        <w:pStyle w:val="ListParagraph"/>
        <w:numPr>
          <w:ilvl w:val="0"/>
          <w:numId w:val="10"/>
        </w:numPr>
        <w:spacing w:after="0"/>
      </w:pPr>
      <w:r w:rsidRPr="00421F72">
        <w:t>Market</w:t>
      </w:r>
      <w:r w:rsidR="001453E0" w:rsidRPr="00421F72">
        <w:t>s</w:t>
      </w:r>
      <w:r w:rsidR="007E6CE7" w:rsidRPr="00421F72">
        <w:t xml:space="preserve"> </w:t>
      </w:r>
      <w:r w:rsidR="002E6040">
        <w:t>with the largest export gains</w:t>
      </w:r>
      <w:r w:rsidR="007E6CE7" w:rsidRPr="00421F72">
        <w:t xml:space="preserve"> included </w:t>
      </w:r>
      <w:r w:rsidR="007E6CE7" w:rsidRPr="00421F72">
        <w:rPr>
          <w:b/>
        </w:rPr>
        <w:t xml:space="preserve">Canada </w:t>
      </w:r>
      <w:r w:rsidR="007E6CE7" w:rsidRPr="00421F72">
        <w:t>(</w:t>
      </w:r>
      <w:r w:rsidR="001453E0" w:rsidRPr="00421F72">
        <w:t>up</w:t>
      </w:r>
      <w:r w:rsidR="007E6CE7" w:rsidRPr="00421F72">
        <w:t xml:space="preserve"> $</w:t>
      </w:r>
      <w:r w:rsidR="001453E0" w:rsidRPr="00421F72">
        <w:t>762</w:t>
      </w:r>
      <w:r w:rsidR="007E6CE7" w:rsidRPr="00421F72">
        <w:t xml:space="preserve"> million)</w:t>
      </w:r>
      <w:r w:rsidR="007E6CE7" w:rsidRPr="00421F72">
        <w:rPr>
          <w:b/>
        </w:rPr>
        <w:t xml:space="preserve">, </w:t>
      </w:r>
      <w:r w:rsidR="001453E0" w:rsidRPr="00421F72">
        <w:rPr>
          <w:b/>
        </w:rPr>
        <w:t>the Philippines</w:t>
      </w:r>
      <w:r w:rsidR="007E6CE7" w:rsidRPr="00421F72">
        <w:t xml:space="preserve"> (</w:t>
      </w:r>
      <w:r w:rsidR="001453E0" w:rsidRPr="00421F72">
        <w:t>up</w:t>
      </w:r>
      <w:r w:rsidR="007E6CE7" w:rsidRPr="00421F72">
        <w:t xml:space="preserve"> $</w:t>
      </w:r>
      <w:r w:rsidR="001453E0" w:rsidRPr="00421F72">
        <w:t>271</w:t>
      </w:r>
      <w:r w:rsidR="007E6CE7" w:rsidRPr="00421F72">
        <w:t xml:space="preserve"> million), </w:t>
      </w:r>
      <w:r w:rsidR="007E6CE7" w:rsidRPr="00421F72">
        <w:rPr>
          <w:b/>
        </w:rPr>
        <w:t>Japan</w:t>
      </w:r>
      <w:r w:rsidR="00F566C7" w:rsidRPr="00421F72">
        <w:t xml:space="preserve"> (</w:t>
      </w:r>
      <w:r w:rsidR="001453E0" w:rsidRPr="00421F72">
        <w:t>up</w:t>
      </w:r>
      <w:r w:rsidR="00F566C7" w:rsidRPr="00421F72">
        <w:t xml:space="preserve"> $</w:t>
      </w:r>
      <w:r w:rsidR="001453E0" w:rsidRPr="00421F72">
        <w:t>115</w:t>
      </w:r>
      <w:r w:rsidR="007E6CE7" w:rsidRPr="00421F72">
        <w:t xml:space="preserve"> million), </w:t>
      </w:r>
      <w:r w:rsidR="001453E0" w:rsidRPr="00421F72">
        <w:rPr>
          <w:b/>
        </w:rPr>
        <w:t>China</w:t>
      </w:r>
      <w:r w:rsidR="007E6CE7" w:rsidRPr="00421F72">
        <w:t xml:space="preserve"> (</w:t>
      </w:r>
      <w:r w:rsidR="001453E0" w:rsidRPr="00421F72">
        <w:t>up</w:t>
      </w:r>
      <w:r w:rsidR="007E6CE7" w:rsidRPr="00421F72">
        <w:t xml:space="preserve"> $</w:t>
      </w:r>
      <w:r w:rsidR="001453E0" w:rsidRPr="00421F72">
        <w:t>107</w:t>
      </w:r>
      <w:r w:rsidR="007E6CE7" w:rsidRPr="00421F72">
        <w:t xml:space="preserve"> million)</w:t>
      </w:r>
      <w:r w:rsidR="001453E0" w:rsidRPr="00421F72">
        <w:t xml:space="preserve"> and</w:t>
      </w:r>
      <w:r w:rsidR="007E6CE7" w:rsidRPr="00421F72">
        <w:t xml:space="preserve"> </w:t>
      </w:r>
      <w:r w:rsidR="001453E0" w:rsidRPr="00421F72">
        <w:rPr>
          <w:b/>
        </w:rPr>
        <w:t>India</w:t>
      </w:r>
      <w:r w:rsidR="007E6CE7" w:rsidRPr="00421F72">
        <w:t xml:space="preserve"> (</w:t>
      </w:r>
      <w:r w:rsidR="001453E0" w:rsidRPr="00421F72">
        <w:t>up</w:t>
      </w:r>
      <w:r w:rsidR="007E6CE7" w:rsidRPr="00421F72">
        <w:t xml:space="preserve"> $</w:t>
      </w:r>
      <w:r w:rsidR="001453E0" w:rsidRPr="00421F72">
        <w:t>68</w:t>
      </w:r>
      <w:r w:rsidR="007E6CE7" w:rsidRPr="00421F72">
        <w:t xml:space="preserve"> million).</w:t>
      </w:r>
    </w:p>
    <w:p w14:paraId="3381F235" w14:textId="713A3571" w:rsidR="00060AC8" w:rsidRPr="00421F72" w:rsidRDefault="00060AC8" w:rsidP="002C7DB8">
      <w:pPr>
        <w:pStyle w:val="ListParagraph"/>
        <w:numPr>
          <w:ilvl w:val="0"/>
          <w:numId w:val="10"/>
        </w:numPr>
      </w:pPr>
      <w:r w:rsidRPr="00421F72">
        <w:t xml:space="preserve">Exports </w:t>
      </w:r>
      <w:r w:rsidR="002C7DB8">
        <w:t xml:space="preserve">also grew </w:t>
      </w:r>
      <w:r w:rsidRPr="00421F72">
        <w:t xml:space="preserve">to </w:t>
      </w:r>
      <w:r w:rsidRPr="00421F72">
        <w:rPr>
          <w:b/>
          <w:bCs/>
        </w:rPr>
        <w:t>Africa</w:t>
      </w:r>
      <w:r w:rsidRPr="00421F72">
        <w:t xml:space="preserve"> ($79 million, up 43%) and </w:t>
      </w:r>
      <w:r w:rsidRPr="002C7DB8">
        <w:rPr>
          <w:b/>
          <w:bCs/>
        </w:rPr>
        <w:t>Central</w:t>
      </w:r>
      <w:r w:rsidRPr="00421F72">
        <w:t xml:space="preserve"> </w:t>
      </w:r>
      <w:r w:rsidRPr="002C7DB8">
        <w:rPr>
          <w:b/>
          <w:bCs/>
        </w:rPr>
        <w:t>and South America</w:t>
      </w:r>
      <w:r w:rsidRPr="00421F72">
        <w:t xml:space="preserve"> ($247 million, up 10%).</w:t>
      </w:r>
    </w:p>
    <w:p w14:paraId="6D419BF9" w14:textId="33BBAD0D" w:rsidR="00060AC8" w:rsidRPr="00421F72" w:rsidRDefault="002C7DB8" w:rsidP="002C7DB8">
      <w:pPr>
        <w:pStyle w:val="ListParagraph"/>
        <w:numPr>
          <w:ilvl w:val="0"/>
          <w:numId w:val="10"/>
        </w:numPr>
        <w:spacing w:after="0"/>
      </w:pPr>
      <w:r>
        <w:t>Minnesota exports</w:t>
      </w:r>
      <w:r w:rsidR="00060AC8" w:rsidRPr="00421F72">
        <w:t xml:space="preserve"> </w:t>
      </w:r>
      <w:r w:rsidR="00C93DF7">
        <w:t xml:space="preserve">faltered </w:t>
      </w:r>
      <w:r w:rsidR="00060AC8" w:rsidRPr="00421F72">
        <w:t xml:space="preserve">in the </w:t>
      </w:r>
      <w:r w:rsidR="00060AC8" w:rsidRPr="00421F72">
        <w:rPr>
          <w:b/>
          <w:bCs/>
        </w:rPr>
        <w:t>Australia-Pacific region</w:t>
      </w:r>
      <w:r w:rsidR="00060AC8" w:rsidRPr="00421F72">
        <w:t xml:space="preserve"> (down 18%)</w:t>
      </w:r>
      <w:r w:rsidR="00C93DF7">
        <w:t xml:space="preserve">, </w:t>
      </w:r>
      <w:r w:rsidR="00C93DF7" w:rsidRPr="00421F72">
        <w:rPr>
          <w:b/>
          <w:bCs/>
        </w:rPr>
        <w:t>European countries outside the EU</w:t>
      </w:r>
      <w:r w:rsidR="00C93DF7" w:rsidRPr="00421F72">
        <w:t xml:space="preserve"> (down 7%) </w:t>
      </w:r>
      <w:r>
        <w:t xml:space="preserve">and the </w:t>
      </w:r>
      <w:r w:rsidRPr="002C7DB8">
        <w:rPr>
          <w:b/>
          <w:bCs/>
        </w:rPr>
        <w:t>M</w:t>
      </w:r>
      <w:r>
        <w:rPr>
          <w:b/>
          <w:bCs/>
        </w:rPr>
        <w:t xml:space="preserve">iddle East </w:t>
      </w:r>
      <w:r w:rsidRPr="002C7DB8">
        <w:t>(down 12%)</w:t>
      </w:r>
      <w:r>
        <w:rPr>
          <w:b/>
          <w:bCs/>
        </w:rPr>
        <w:t xml:space="preserve"> </w:t>
      </w:r>
      <w:r w:rsidRPr="00421F72">
        <w:t xml:space="preserve">– </w:t>
      </w:r>
      <w:r>
        <w:t>where strong growth to</w:t>
      </w:r>
      <w:r w:rsidRPr="00157B00">
        <w:rPr>
          <w:b/>
          <w:bCs/>
        </w:rPr>
        <w:t xml:space="preserve"> Israel</w:t>
      </w:r>
      <w:r>
        <w:t xml:space="preserve"> (up 60%) was offset by declines to </w:t>
      </w:r>
      <w:r>
        <w:rPr>
          <w:b/>
          <w:bCs/>
        </w:rPr>
        <w:t xml:space="preserve">Saudi Arabia </w:t>
      </w:r>
      <w:r>
        <w:t xml:space="preserve">(down 48%) and the </w:t>
      </w:r>
      <w:r>
        <w:rPr>
          <w:b/>
          <w:bCs/>
        </w:rPr>
        <w:t xml:space="preserve">UAE </w:t>
      </w:r>
      <w:r>
        <w:t xml:space="preserve">(down 19%). </w:t>
      </w:r>
    </w:p>
    <w:p w14:paraId="481CD972" w14:textId="3BFBCF83" w:rsidR="007C165F" w:rsidRPr="00421F72" w:rsidRDefault="007C165F" w:rsidP="00491633">
      <w:pPr>
        <w:pStyle w:val="Heading4"/>
        <w:spacing w:before="120" w:after="60"/>
        <w:rPr>
          <w:color w:val="auto"/>
        </w:rPr>
      </w:pPr>
      <w:r w:rsidRPr="00421F72">
        <w:rPr>
          <w:color w:val="auto"/>
        </w:rPr>
        <w:t xml:space="preserve">Figure </w:t>
      </w:r>
      <w:r w:rsidR="00E36364" w:rsidRPr="00421F72">
        <w:rPr>
          <w:color w:val="auto"/>
        </w:rPr>
        <w:fldChar w:fldCharType="begin"/>
      </w:r>
      <w:r w:rsidR="00E36364" w:rsidRPr="00421F72">
        <w:rPr>
          <w:color w:val="auto"/>
        </w:rPr>
        <w:instrText xml:space="preserve"> SEQ Figure \* ARABIC </w:instrText>
      </w:r>
      <w:r w:rsidR="00E36364" w:rsidRPr="00421F72">
        <w:rPr>
          <w:color w:val="auto"/>
        </w:rPr>
        <w:fldChar w:fldCharType="separate"/>
      </w:r>
      <w:r w:rsidR="00C430F8" w:rsidRPr="00421F72">
        <w:rPr>
          <w:noProof/>
          <w:color w:val="auto"/>
        </w:rPr>
        <w:t>2</w:t>
      </w:r>
      <w:r w:rsidR="00E36364" w:rsidRPr="00421F72">
        <w:rPr>
          <w:color w:val="auto"/>
        </w:rPr>
        <w:fldChar w:fldCharType="end"/>
      </w:r>
      <w:r w:rsidR="00C84D0E" w:rsidRPr="00421F72">
        <w:rPr>
          <w:color w:val="auto"/>
        </w:rPr>
        <w:t xml:space="preserve">. </w:t>
      </w:r>
      <w:r w:rsidR="00A44451" w:rsidRPr="00421F72">
        <w:rPr>
          <w:color w:val="auto"/>
        </w:rPr>
        <w:t>Export Trends for</w:t>
      </w:r>
      <w:r w:rsidR="0038665A" w:rsidRPr="00421F72">
        <w:rPr>
          <w:color w:val="auto"/>
        </w:rPr>
        <w:t xml:space="preserve"> Minnesota’s Top 10 Markets, </w:t>
      </w:r>
      <w:r w:rsidR="0000470B" w:rsidRPr="00421F72">
        <w:rPr>
          <w:color w:val="auto"/>
        </w:rPr>
        <w:t>Fourth</w:t>
      </w:r>
      <w:r w:rsidR="00606AB0" w:rsidRPr="00421F72">
        <w:rPr>
          <w:color w:val="auto"/>
        </w:rPr>
        <w:t xml:space="preserve"> </w:t>
      </w:r>
      <w:r w:rsidR="00A52415" w:rsidRPr="00421F72">
        <w:rPr>
          <w:color w:val="auto"/>
        </w:rPr>
        <w:t xml:space="preserve">Quarter </w:t>
      </w:r>
      <w:r w:rsidR="00271414" w:rsidRPr="00421F72">
        <w:rPr>
          <w:color w:val="auto"/>
        </w:rPr>
        <w:t>2021</w:t>
      </w:r>
    </w:p>
    <w:p w14:paraId="4654AA75" w14:textId="2921A816" w:rsidR="00491633" w:rsidRPr="00421F72" w:rsidRDefault="00491633" w:rsidP="00157B00">
      <w:pPr>
        <w:spacing w:after="0"/>
      </w:pPr>
      <w:r w:rsidRPr="00421F72">
        <w:rPr>
          <w:noProof/>
        </w:rPr>
        <w:drawing>
          <wp:inline distT="0" distB="0" distL="0" distR="0" wp14:anchorId="131861F3" wp14:editId="53B83630">
            <wp:extent cx="6263640" cy="1930400"/>
            <wp:effectExtent l="0" t="0" r="3810" b="0"/>
            <wp:docPr id="5" name="Picture 5" descr="MN Exports to Top 10 Markets, 2021-Q4&#10;Product Exports (millions) Percent Change, 2020-Q4 to 2021-Q4&#10;WORLD  $6,446  30%&#10;Canada (1)   $1,939  65%&#10;China (2)   $712  18%&#10;Mexico (3)   $563  4%&#10;Japan (4)   $379  44%&#10;Philippines (5)   $359  306%&#10;Germany (6)   $181  6%&#10;Belgium (7)   $165  8%&#10;Korea (8)   $147  -21%&#10;Netherlands (9)   $144  23%&#10;Ireland (10)   $137  18%&#10;Other  $1,72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N Exports to Top 10 Markets, 2021-Q4&#10;Product Exports (millions) Percent Change, 2020-Q4 to 2021-Q4&#10;WORLD  $6,446  30%&#10;Canada (1)   $1,939  65%&#10;China (2)   $712  18%&#10;Mexico (3)   $563  4%&#10;Japan (4)   $379  44%&#10;Philippines (5)   $359  306%&#10;Germany (6)   $181  6%&#10;Belgium (7)   $165  8%&#10;Korea (8)   $147  -21%&#10;Netherlands (9)   $144  23%&#10;Ireland (10)   $137  18%&#10;Other  $1,720  1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1930400"/>
                    </a:xfrm>
                    <a:prstGeom prst="rect">
                      <a:avLst/>
                    </a:prstGeom>
                    <a:noFill/>
                    <a:ln>
                      <a:noFill/>
                    </a:ln>
                  </pic:spPr>
                </pic:pic>
              </a:graphicData>
            </a:graphic>
          </wp:inline>
        </w:drawing>
      </w:r>
    </w:p>
    <w:p w14:paraId="3765CDA2" w14:textId="7C21592D" w:rsidR="00BF29E1" w:rsidRPr="00421F72" w:rsidRDefault="00FB48F1" w:rsidP="00953B35">
      <w:pPr>
        <w:pStyle w:val="Heading2"/>
        <w:tabs>
          <w:tab w:val="left" w:pos="360"/>
        </w:tabs>
        <w:spacing w:before="0" w:after="120"/>
        <w:ind w:left="360" w:hanging="360"/>
        <w:rPr>
          <w:rFonts w:asciiTheme="minorHAnsi" w:hAnsiTheme="minorHAnsi"/>
          <w:b w:val="0"/>
          <w:i/>
          <w:color w:val="auto"/>
          <w:sz w:val="28"/>
        </w:rPr>
        <w:sectPr w:rsidR="00BF29E1" w:rsidRPr="00421F72"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421F72">
        <w:rPr>
          <w:rFonts w:asciiTheme="minorHAnsi" w:hAnsiTheme="minorHAnsi"/>
          <w:b w:val="0"/>
          <w:i/>
          <w:color w:val="auto"/>
          <w:sz w:val="28"/>
        </w:rPr>
        <w:lastRenderedPageBreak/>
        <w:t xml:space="preserve">Export </w:t>
      </w:r>
      <w:r w:rsidR="00FF4BDE" w:rsidRPr="00421F72">
        <w:rPr>
          <w:rFonts w:asciiTheme="minorHAnsi" w:hAnsiTheme="minorHAnsi"/>
          <w:b w:val="0"/>
          <w:i/>
          <w:color w:val="auto"/>
          <w:sz w:val="28"/>
        </w:rPr>
        <w:t>Recovery</w:t>
      </w:r>
      <w:r w:rsidRPr="00421F72">
        <w:rPr>
          <w:rFonts w:asciiTheme="minorHAnsi" w:hAnsiTheme="minorHAnsi"/>
          <w:b w:val="0"/>
          <w:i/>
          <w:color w:val="auto"/>
          <w:sz w:val="28"/>
        </w:rPr>
        <w:t xml:space="preserve"> Led by Machinery, Mineral Fuel</w:t>
      </w:r>
      <w:r w:rsidR="00FF4BDE" w:rsidRPr="00421F72">
        <w:rPr>
          <w:rFonts w:asciiTheme="minorHAnsi" w:hAnsiTheme="minorHAnsi"/>
          <w:b w:val="0"/>
          <w:i/>
          <w:color w:val="auto"/>
          <w:sz w:val="28"/>
        </w:rPr>
        <w:t>, Cereals</w:t>
      </w:r>
      <w:r w:rsidRPr="00421F72">
        <w:rPr>
          <w:rFonts w:asciiTheme="minorHAnsi" w:hAnsiTheme="minorHAnsi"/>
          <w:b w:val="0"/>
          <w:i/>
          <w:color w:val="auto"/>
          <w:sz w:val="28"/>
        </w:rPr>
        <w:t xml:space="preserve"> and Electrical Equipment</w:t>
      </w:r>
    </w:p>
    <w:p w14:paraId="26954172" w14:textId="50B0DA1F" w:rsidR="008556C1" w:rsidRPr="00421F72" w:rsidRDefault="00C93DF7" w:rsidP="00FF4BDE">
      <w:pPr>
        <w:pStyle w:val="ListParagraph"/>
        <w:numPr>
          <w:ilvl w:val="0"/>
          <w:numId w:val="7"/>
        </w:numPr>
        <w:spacing w:after="0"/>
        <w:ind w:left="360" w:right="-306"/>
      </w:pPr>
      <w:r>
        <w:t>Minnesota e</w:t>
      </w:r>
      <w:r w:rsidR="00FF4BDE" w:rsidRPr="00421F72">
        <w:t>xports continued to</w:t>
      </w:r>
      <w:r w:rsidR="00FE5772" w:rsidRPr="00421F72">
        <w:t xml:space="preserve"> </w:t>
      </w:r>
      <w:r w:rsidR="00FF4BDE" w:rsidRPr="00421F72">
        <w:t>rebound from 2020, with</w:t>
      </w:r>
      <w:r w:rsidR="00FE5772" w:rsidRPr="00421F72">
        <w:t xml:space="preserve"> </w:t>
      </w:r>
      <w:r w:rsidR="00FF4BDE" w:rsidRPr="00421F72">
        <w:t xml:space="preserve">growth </w:t>
      </w:r>
      <w:r>
        <w:t>across</w:t>
      </w:r>
      <w:r w:rsidR="00FF4BDE" w:rsidRPr="00421F72">
        <w:t xml:space="preserve"> </w:t>
      </w:r>
      <w:r>
        <w:t>most</w:t>
      </w:r>
      <w:r w:rsidR="00FA1A86" w:rsidRPr="00421F72">
        <w:t xml:space="preserve"> of the </w:t>
      </w:r>
      <w:r w:rsidR="00FF4BDE" w:rsidRPr="00421F72">
        <w:t>state’s T</w:t>
      </w:r>
      <w:r w:rsidR="00FA1A86" w:rsidRPr="00421F72">
        <w:t>op 10 products</w:t>
      </w:r>
      <w:r w:rsidR="00FF4BDE" w:rsidRPr="00421F72">
        <w:t xml:space="preserve"> – led by</w:t>
      </w:r>
      <w:r w:rsidR="00A44451" w:rsidRPr="00421F72">
        <w:t xml:space="preserve"> </w:t>
      </w:r>
      <w:r w:rsidR="00F053EF" w:rsidRPr="00421F72">
        <w:rPr>
          <w:b/>
        </w:rPr>
        <w:t>machinery</w:t>
      </w:r>
      <w:r w:rsidR="0061064A" w:rsidRPr="00421F72">
        <w:t xml:space="preserve"> (</w:t>
      </w:r>
      <w:r w:rsidR="00D6151B" w:rsidRPr="00421F72">
        <w:t>up</w:t>
      </w:r>
      <w:r w:rsidR="009B6D4C" w:rsidRPr="00421F72">
        <w:t xml:space="preserve"> </w:t>
      </w:r>
      <w:r w:rsidR="00FF4BDE" w:rsidRPr="00421F72">
        <w:t>50</w:t>
      </w:r>
      <w:r w:rsidR="0061064A" w:rsidRPr="00421F72">
        <w:t>%),</w:t>
      </w:r>
      <w:r w:rsidR="00F053EF" w:rsidRPr="00421F72">
        <w:t xml:space="preserve"> </w:t>
      </w:r>
      <w:r w:rsidR="00FF4BDE" w:rsidRPr="00421F72">
        <w:rPr>
          <w:b/>
        </w:rPr>
        <w:t>mineral fuel, oil</w:t>
      </w:r>
      <w:r w:rsidR="0061064A" w:rsidRPr="00421F72">
        <w:t xml:space="preserve"> (up</w:t>
      </w:r>
      <w:r w:rsidR="00FF4BDE" w:rsidRPr="00421F72">
        <w:t xml:space="preserve"> 237</w:t>
      </w:r>
      <w:r w:rsidR="0061064A" w:rsidRPr="00421F72">
        <w:t>%)</w:t>
      </w:r>
      <w:r w:rsidR="00FF4BDE" w:rsidRPr="00421F72">
        <w:t xml:space="preserve">, </w:t>
      </w:r>
      <w:r w:rsidR="00FF4BDE" w:rsidRPr="00421F72">
        <w:rPr>
          <w:b/>
          <w:bCs/>
        </w:rPr>
        <w:t xml:space="preserve">cereals </w:t>
      </w:r>
      <w:r w:rsidR="00FF4BDE" w:rsidRPr="00421F72">
        <w:t>(up 373%)</w:t>
      </w:r>
      <w:r w:rsidR="008A202D" w:rsidRPr="00421F72">
        <w:t xml:space="preserve"> </w:t>
      </w:r>
      <w:r w:rsidR="00952DBF" w:rsidRPr="00421F72">
        <w:t xml:space="preserve">and </w:t>
      </w:r>
      <w:r w:rsidR="00FF4BDE" w:rsidRPr="00421F72">
        <w:rPr>
          <w:b/>
        </w:rPr>
        <w:t>electrical equipment</w:t>
      </w:r>
      <w:r w:rsidR="0061064A" w:rsidRPr="00421F72">
        <w:t xml:space="preserve"> (</w:t>
      </w:r>
      <w:r w:rsidR="00D6151B" w:rsidRPr="00421F72">
        <w:t>up</w:t>
      </w:r>
      <w:r w:rsidR="009B6D4C" w:rsidRPr="00421F72">
        <w:t xml:space="preserve"> </w:t>
      </w:r>
      <w:r w:rsidR="00FF4BDE" w:rsidRPr="00421F72">
        <w:t>33</w:t>
      </w:r>
      <w:r w:rsidR="00952DBF" w:rsidRPr="00421F72">
        <w:t>%</w:t>
      </w:r>
      <w:r w:rsidR="0061064A" w:rsidRPr="00421F72">
        <w:t>)</w:t>
      </w:r>
      <w:r w:rsidR="00952DBF" w:rsidRPr="00421F72">
        <w:t>.</w:t>
      </w:r>
      <w:r w:rsidR="00D60BDF" w:rsidRPr="00421F72">
        <w:t xml:space="preserve"> </w:t>
      </w:r>
    </w:p>
    <w:p w14:paraId="6BA2F72E" w14:textId="4B7C88EE" w:rsidR="00E76FF1" w:rsidRPr="00421F72" w:rsidRDefault="00B67487" w:rsidP="00157B00">
      <w:pPr>
        <w:pStyle w:val="ListParagraph"/>
        <w:numPr>
          <w:ilvl w:val="0"/>
          <w:numId w:val="7"/>
        </w:numPr>
        <w:spacing w:after="0"/>
        <w:ind w:left="360"/>
      </w:pPr>
      <w:r w:rsidRPr="00421F72">
        <w:t xml:space="preserve">Global sales of </w:t>
      </w:r>
      <w:r w:rsidRPr="00421F72">
        <w:rPr>
          <w:b/>
        </w:rPr>
        <w:t xml:space="preserve">machinery </w:t>
      </w:r>
      <w:r w:rsidRPr="00421F72">
        <w:t xml:space="preserve">surged ahead, based on </w:t>
      </w:r>
      <w:r w:rsidRPr="00421F72">
        <w:rPr>
          <w:b/>
        </w:rPr>
        <w:t>ma</w:t>
      </w:r>
      <w:r w:rsidRPr="00421F72">
        <w:rPr>
          <w:b/>
        </w:rPr>
        <w:t>chinery for making semiconductors</w:t>
      </w:r>
      <w:r w:rsidRPr="00421F72">
        <w:t xml:space="preserve"> ($373 million, up 450% – </w:t>
      </w:r>
      <w:r w:rsidRPr="00421F72">
        <w:t>propelled</w:t>
      </w:r>
      <w:r w:rsidRPr="00421F72">
        <w:t xml:space="preserve"> by the </w:t>
      </w:r>
      <w:r w:rsidRPr="00C93DF7">
        <w:rPr>
          <w:b/>
          <w:bCs/>
        </w:rPr>
        <w:t>Philippines</w:t>
      </w:r>
      <w:r w:rsidRPr="00421F72">
        <w:t xml:space="preserve"> (up $302 million)), </w:t>
      </w:r>
      <w:r w:rsidRPr="00421F72">
        <w:rPr>
          <w:b/>
          <w:bCs/>
        </w:rPr>
        <w:t>centrifuges, filters</w:t>
      </w:r>
      <w:r w:rsidRPr="00421F72">
        <w:t xml:space="preserve"> ($181 million, up 34%) and </w:t>
      </w:r>
      <w:r w:rsidRPr="00421F72">
        <w:rPr>
          <w:b/>
          <w:bCs/>
        </w:rPr>
        <w:t>pump</w:t>
      </w:r>
      <w:r w:rsidR="00C93DF7">
        <w:rPr>
          <w:b/>
          <w:bCs/>
        </w:rPr>
        <w:t>ing equipment</w:t>
      </w:r>
      <w:r w:rsidRPr="00421F72">
        <w:t xml:space="preserve"> ($69 million, up 26%).</w:t>
      </w:r>
      <w:r w:rsidR="008F420E" w:rsidRPr="00421F72">
        <w:rPr>
          <w:rStyle w:val="Heading4Char"/>
          <w:color w:val="auto"/>
        </w:rPr>
        <w:br w:type="column"/>
      </w:r>
      <w:r w:rsidR="00E76FF1" w:rsidRPr="00421F72">
        <w:rPr>
          <w:rStyle w:val="Heading4Char"/>
          <w:color w:val="auto"/>
        </w:rPr>
        <w:t xml:space="preserve">Figure </w:t>
      </w:r>
      <w:r w:rsidR="00E76FF1" w:rsidRPr="00421F72">
        <w:rPr>
          <w:rStyle w:val="Heading4Char"/>
          <w:b/>
          <w:color w:val="auto"/>
        </w:rPr>
        <w:fldChar w:fldCharType="begin"/>
      </w:r>
      <w:r w:rsidR="00E76FF1" w:rsidRPr="00421F72">
        <w:rPr>
          <w:rStyle w:val="Heading4Char"/>
          <w:color w:val="auto"/>
        </w:rPr>
        <w:instrText xml:space="preserve"> SEQ Figure \* ARABIC </w:instrText>
      </w:r>
      <w:r w:rsidR="00E76FF1" w:rsidRPr="00421F72">
        <w:rPr>
          <w:rStyle w:val="Heading4Char"/>
          <w:b/>
          <w:color w:val="auto"/>
        </w:rPr>
        <w:fldChar w:fldCharType="separate"/>
      </w:r>
      <w:r w:rsidR="00C430F8" w:rsidRPr="00421F72">
        <w:rPr>
          <w:rStyle w:val="Heading4Char"/>
          <w:noProof/>
          <w:color w:val="auto"/>
        </w:rPr>
        <w:t>3</w:t>
      </w:r>
      <w:r w:rsidR="00E76FF1" w:rsidRPr="00421F72">
        <w:rPr>
          <w:rStyle w:val="Heading4Char"/>
          <w:b/>
          <w:color w:val="auto"/>
        </w:rPr>
        <w:fldChar w:fldCharType="end"/>
      </w:r>
      <w:r w:rsidR="00E76FF1" w:rsidRPr="00421F72">
        <w:rPr>
          <w:rStyle w:val="Heading4Char"/>
          <w:color w:val="auto"/>
        </w:rPr>
        <w:t xml:space="preserve">. </w:t>
      </w:r>
      <w:r w:rsidR="005C4AC1" w:rsidRPr="00421F72">
        <w:rPr>
          <w:rStyle w:val="Heading4Char"/>
          <w:color w:val="auto"/>
        </w:rPr>
        <w:t>Electrical Equipment</w:t>
      </w:r>
      <w:r w:rsidR="003823B0" w:rsidRPr="00421F72">
        <w:rPr>
          <w:rStyle w:val="Heading4Char"/>
          <w:color w:val="auto"/>
        </w:rPr>
        <w:t xml:space="preserve"> Exports</w:t>
      </w:r>
    </w:p>
    <w:p w14:paraId="008551DC" w14:textId="58C60470" w:rsidR="00E76FF1" w:rsidRPr="00421F72" w:rsidRDefault="00E76FF1" w:rsidP="00B67487">
      <w:pPr>
        <w:spacing w:after="120"/>
        <w:ind w:left="180" w:hanging="180"/>
        <w:sectPr w:rsidR="00E76FF1" w:rsidRPr="00421F72" w:rsidSect="00FF4BDE">
          <w:footerReference w:type="default" r:id="rId15"/>
          <w:footnotePr>
            <w:numRestart w:val="eachSect"/>
          </w:footnotePr>
          <w:endnotePr>
            <w:numFmt w:val="decimal"/>
          </w:endnotePr>
          <w:type w:val="continuous"/>
          <w:pgSz w:w="12240" w:h="15840" w:code="1"/>
          <w:pgMar w:top="936" w:right="1152" w:bottom="936" w:left="1080" w:header="720" w:footer="720" w:gutter="0"/>
          <w:cols w:num="2" w:space="720"/>
          <w:titlePg/>
          <w:docGrid w:linePitch="299"/>
        </w:sectPr>
      </w:pPr>
      <w:r w:rsidRPr="00421F72">
        <w:rPr>
          <w:noProof/>
        </w:rPr>
        <w:drawing>
          <wp:inline distT="0" distB="0" distL="0" distR="0" wp14:anchorId="15A22583" wp14:editId="3C79B562">
            <wp:extent cx="3076575" cy="1895475"/>
            <wp:effectExtent l="0" t="0" r="0" b="0"/>
            <wp:docPr id="10" name="Chart 10" descr="Figure 3 Electrical equipment exports&#10;Integrated Circuits 33%&#10;Semiconductors 8%&#10;Switches 7%&#10;Telephone Equipment 5%&#10;Insulated Wires 5%&#10;Generators 5%&#10;Other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0CF340" w14:textId="69DD847F" w:rsidR="00B67487" w:rsidRPr="00421F72" w:rsidRDefault="00C93DF7" w:rsidP="00713981">
      <w:pPr>
        <w:pStyle w:val="ListParagraph"/>
        <w:numPr>
          <w:ilvl w:val="0"/>
          <w:numId w:val="7"/>
        </w:numPr>
        <w:spacing w:after="0"/>
        <w:ind w:left="360" w:right="-306"/>
      </w:pPr>
      <w:r>
        <w:t>Fourth quarter s</w:t>
      </w:r>
      <w:r w:rsidR="00B67487" w:rsidRPr="00421F72">
        <w:t xml:space="preserve">ales of </w:t>
      </w:r>
      <w:r w:rsidR="00B67487" w:rsidRPr="00C93DF7">
        <w:rPr>
          <w:b/>
          <w:bCs/>
        </w:rPr>
        <w:t>railway equipment</w:t>
      </w:r>
      <w:r w:rsidR="00B67487" w:rsidRPr="00421F72">
        <w:t xml:space="preserve">; </w:t>
      </w:r>
      <w:r w:rsidR="00B67487" w:rsidRPr="00C93DF7">
        <w:rPr>
          <w:b/>
          <w:bCs/>
        </w:rPr>
        <w:t>optic, medical</w:t>
      </w:r>
      <w:r w:rsidR="00B67487" w:rsidRPr="00421F72">
        <w:t xml:space="preserve"> goods; </w:t>
      </w:r>
      <w:r w:rsidR="00B67487" w:rsidRPr="00C93DF7">
        <w:rPr>
          <w:b/>
          <w:bCs/>
        </w:rPr>
        <w:t>ores, slag, ash</w:t>
      </w:r>
      <w:r w:rsidR="00B67487" w:rsidRPr="00421F72">
        <w:t xml:space="preserve">; and </w:t>
      </w:r>
      <w:r w:rsidR="00B67487" w:rsidRPr="00C93DF7">
        <w:rPr>
          <w:b/>
          <w:bCs/>
        </w:rPr>
        <w:t>aircraft, spacecraft</w:t>
      </w:r>
      <w:r w:rsidR="00B67487" w:rsidRPr="00421F72">
        <w:t xml:space="preserve"> </w:t>
      </w:r>
      <w:r w:rsidR="00B67487" w:rsidRPr="00421F72">
        <w:t>each</w:t>
      </w:r>
      <w:r w:rsidR="00B67487" w:rsidRPr="00421F72">
        <w:t xml:space="preserve"> grew by more than $35 million.</w:t>
      </w:r>
      <w:r w:rsidR="00B67487" w:rsidRPr="00421F72">
        <w:t xml:space="preserve"> </w:t>
      </w:r>
      <w:r>
        <w:rPr>
          <w:b/>
          <w:bCs/>
        </w:rPr>
        <w:t>R</w:t>
      </w:r>
      <w:r w:rsidR="00B67487" w:rsidRPr="00C93DF7">
        <w:rPr>
          <w:b/>
          <w:bCs/>
        </w:rPr>
        <w:t xml:space="preserve">ailway equipment </w:t>
      </w:r>
      <w:r w:rsidR="00B67487" w:rsidRPr="00421F72">
        <w:t>exports</w:t>
      </w:r>
      <w:r w:rsidR="005071D6" w:rsidRPr="00421F72">
        <w:t xml:space="preserve"> </w:t>
      </w:r>
      <w:r w:rsidR="00856F13" w:rsidRPr="00421F72">
        <w:t xml:space="preserve">gained traction in India </w:t>
      </w:r>
      <w:r w:rsidR="005071D6" w:rsidRPr="00421F72">
        <w:t xml:space="preserve">– </w:t>
      </w:r>
      <w:r>
        <w:t xml:space="preserve">with </w:t>
      </w:r>
      <w:r w:rsidR="005071D6" w:rsidRPr="00421F72">
        <w:t>sales</w:t>
      </w:r>
      <w:r w:rsidR="00856F13" w:rsidRPr="00421F72">
        <w:t xml:space="preserve"> </w:t>
      </w:r>
      <w:r>
        <w:t>growing</w:t>
      </w:r>
      <w:r w:rsidR="005071D6" w:rsidRPr="00421F72">
        <w:t xml:space="preserve"> by $45 million</w:t>
      </w:r>
      <w:r>
        <w:t xml:space="preserve"> there, while</w:t>
      </w:r>
      <w:r w:rsidRPr="00421F72">
        <w:t xml:space="preserve"> </w:t>
      </w:r>
      <w:r w:rsidRPr="00C93DF7">
        <w:rPr>
          <w:b/>
        </w:rPr>
        <w:t>aircraft, spacecraft</w:t>
      </w:r>
      <w:r w:rsidRPr="00C93DF7">
        <w:rPr>
          <w:b/>
        </w:rPr>
        <w:t xml:space="preserve"> </w:t>
      </w:r>
      <w:r>
        <w:rPr>
          <w:bCs/>
        </w:rPr>
        <w:t>sale</w:t>
      </w:r>
      <w:r w:rsidRPr="00C93DF7">
        <w:rPr>
          <w:bCs/>
        </w:rPr>
        <w:t>s</w:t>
      </w:r>
      <w:r>
        <w:rPr>
          <w:bCs/>
        </w:rPr>
        <w:t xml:space="preserve"> were uplifted by</w:t>
      </w:r>
      <w:r w:rsidRPr="00C93DF7">
        <w:rPr>
          <w:bCs/>
        </w:rPr>
        <w:t xml:space="preserve"> </w:t>
      </w:r>
      <w:r w:rsidRPr="00C93DF7">
        <w:rPr>
          <w:b/>
          <w:bCs/>
        </w:rPr>
        <w:t>France</w:t>
      </w:r>
      <w:r w:rsidRPr="00421F72">
        <w:t xml:space="preserve"> (up 305%) and </w:t>
      </w:r>
      <w:r>
        <w:rPr>
          <w:b/>
          <w:bCs/>
        </w:rPr>
        <w:t>Mexico</w:t>
      </w:r>
      <w:r w:rsidRPr="00421F72">
        <w:t xml:space="preserve"> (up 466%)</w:t>
      </w:r>
      <w:r>
        <w:t>.</w:t>
      </w:r>
      <w:r w:rsidRPr="00421F72">
        <w:t xml:space="preserve"> </w:t>
      </w:r>
    </w:p>
    <w:p w14:paraId="2C4FDD09" w14:textId="0F54DC20" w:rsidR="003823B0" w:rsidRPr="00421F72" w:rsidRDefault="00856F13" w:rsidP="00856F13">
      <w:pPr>
        <w:pStyle w:val="ListParagraph"/>
        <w:numPr>
          <w:ilvl w:val="0"/>
          <w:numId w:val="7"/>
        </w:numPr>
        <w:spacing w:after="0"/>
        <w:ind w:left="360" w:right="-72"/>
      </w:pPr>
      <w:r w:rsidRPr="00421F72">
        <w:t xml:space="preserve">As the primary market, </w:t>
      </w:r>
      <w:r w:rsidRPr="00421F72">
        <w:rPr>
          <w:b/>
          <w:bCs/>
        </w:rPr>
        <w:t>Canada</w:t>
      </w:r>
      <w:r w:rsidRPr="00421F72">
        <w:t xml:space="preserve"> generated </w:t>
      </w:r>
      <w:r w:rsidR="009A0D0A">
        <w:t>impressive</w:t>
      </w:r>
      <w:r w:rsidR="00385E7F" w:rsidRPr="00421F72">
        <w:t xml:space="preserve"> </w:t>
      </w:r>
      <w:r w:rsidRPr="00421F72">
        <w:t>trends</w:t>
      </w:r>
      <w:r w:rsidR="00385E7F" w:rsidRPr="00421F72">
        <w:t xml:space="preserve"> </w:t>
      </w:r>
      <w:r w:rsidR="0099320B" w:rsidRPr="00421F72">
        <w:t>in</w:t>
      </w:r>
      <w:r w:rsidR="003823B0" w:rsidRPr="00421F72">
        <w:t xml:space="preserve"> </w:t>
      </w:r>
      <w:r w:rsidR="0099320B" w:rsidRPr="00421F72">
        <w:rPr>
          <w:b/>
          <w:bCs/>
        </w:rPr>
        <w:t>mineral fuel, oil</w:t>
      </w:r>
      <w:r w:rsidRPr="00421F72">
        <w:t xml:space="preserve"> (primarily light oils, including gasoline);</w:t>
      </w:r>
      <w:r w:rsidRPr="00421F72">
        <w:rPr>
          <w:b/>
          <w:bCs/>
        </w:rPr>
        <w:t xml:space="preserve"> </w:t>
      </w:r>
      <w:r w:rsidRPr="00421F72">
        <w:rPr>
          <w:b/>
          <w:bCs/>
        </w:rPr>
        <w:t>fertilizers</w:t>
      </w:r>
      <w:r w:rsidRPr="00421F72">
        <w:t xml:space="preserve">; </w:t>
      </w:r>
      <w:r w:rsidRPr="00421F72">
        <w:rPr>
          <w:b/>
          <w:bCs/>
        </w:rPr>
        <w:t xml:space="preserve">ores, slag, ash </w:t>
      </w:r>
      <w:r w:rsidRPr="00421F72">
        <w:t xml:space="preserve">(consisting of iron ores); and </w:t>
      </w:r>
      <w:r w:rsidRPr="00421F72">
        <w:rPr>
          <w:b/>
          <w:bCs/>
        </w:rPr>
        <w:t>cereals</w:t>
      </w:r>
      <w:r w:rsidRPr="00421F72">
        <w:t xml:space="preserve"> (driven by demand for </w:t>
      </w:r>
      <w:r w:rsidRPr="00421F72">
        <w:rPr>
          <w:b/>
          <w:bCs/>
        </w:rPr>
        <w:t>corn (maize)</w:t>
      </w:r>
      <w:r w:rsidRPr="00421F72">
        <w:t>).</w:t>
      </w:r>
      <w:r w:rsidRPr="00421F72">
        <w:rPr>
          <w:b/>
          <w:bCs/>
        </w:rPr>
        <w:t xml:space="preserve"> </w:t>
      </w:r>
      <w:r w:rsidR="00157B00">
        <w:t xml:space="preserve">As an emerging market for </w:t>
      </w:r>
      <w:r w:rsidR="00157B00" w:rsidRPr="00157B00">
        <w:rPr>
          <w:b/>
          <w:bCs/>
        </w:rPr>
        <w:t>cereals</w:t>
      </w:r>
      <w:r w:rsidR="00157B00">
        <w:t xml:space="preserve">, </w:t>
      </w:r>
      <w:r w:rsidR="00283FC0" w:rsidRPr="00421F72">
        <w:rPr>
          <w:b/>
          <w:bCs/>
        </w:rPr>
        <w:t>Morocco</w:t>
      </w:r>
      <w:r w:rsidR="003823B0" w:rsidRPr="00421F72">
        <w:t xml:space="preserve"> (</w:t>
      </w:r>
      <w:r w:rsidR="00AD5170" w:rsidRPr="00421F72">
        <w:t xml:space="preserve">up </w:t>
      </w:r>
      <w:r w:rsidR="003823B0" w:rsidRPr="00421F72">
        <w:t>$</w:t>
      </w:r>
      <w:r w:rsidR="00283FC0" w:rsidRPr="00421F72">
        <w:t>26</w:t>
      </w:r>
      <w:r w:rsidR="003823B0" w:rsidRPr="00421F72">
        <w:t xml:space="preserve"> million)</w:t>
      </w:r>
      <w:r w:rsidRPr="00421F72">
        <w:t xml:space="preserve"> also</w:t>
      </w:r>
      <w:r w:rsidR="00283FC0" w:rsidRPr="00421F72">
        <w:t xml:space="preserve"> s</w:t>
      </w:r>
      <w:r w:rsidR="003823B0" w:rsidRPr="00421F72">
        <w:t xml:space="preserve">purred </w:t>
      </w:r>
      <w:r w:rsidR="00283FC0" w:rsidRPr="00421F72">
        <w:t>sales</w:t>
      </w:r>
      <w:r w:rsidRPr="00421F72">
        <w:t xml:space="preserve"> </w:t>
      </w:r>
      <w:r w:rsidR="00157B00">
        <w:t>of</w:t>
      </w:r>
      <w:r w:rsidR="009A0D0A">
        <w:t xml:space="preserve"> corn</w:t>
      </w:r>
      <w:r w:rsidR="003823B0" w:rsidRPr="00421F72">
        <w:t>.</w:t>
      </w:r>
    </w:p>
    <w:p w14:paraId="26F24883" w14:textId="7712EBAE" w:rsidR="00283FC0" w:rsidRPr="00421F72" w:rsidRDefault="00157B00" w:rsidP="00283FC0">
      <w:pPr>
        <w:pStyle w:val="ListParagraph"/>
        <w:numPr>
          <w:ilvl w:val="0"/>
          <w:numId w:val="7"/>
        </w:numPr>
        <w:spacing w:before="120" w:after="120"/>
        <w:ind w:left="360" w:right="-396"/>
      </w:pPr>
      <w:r>
        <w:t>Succes</w:t>
      </w:r>
      <w:r w:rsidR="00283FC0" w:rsidRPr="00421F72">
        <w:t>s</w:t>
      </w:r>
      <w:r>
        <w:t>ful ventures in</w:t>
      </w:r>
      <w:r w:rsidR="00283FC0" w:rsidRPr="00421F72">
        <w:t xml:space="preserve"> </w:t>
      </w:r>
      <w:r w:rsidR="00283FC0" w:rsidRPr="00421F72">
        <w:rPr>
          <w:b/>
        </w:rPr>
        <w:t xml:space="preserve">electrical equipment </w:t>
      </w:r>
      <w:r w:rsidR="00283FC0" w:rsidRPr="00421F72">
        <w:t>brightened the most in</w:t>
      </w:r>
      <w:r w:rsidR="00283FC0" w:rsidRPr="00421F72">
        <w:rPr>
          <w:b/>
        </w:rPr>
        <w:t xml:space="preserve"> China</w:t>
      </w:r>
      <w:r w:rsidR="00283FC0" w:rsidRPr="00421F72">
        <w:t xml:space="preserve"> ($169 million, up 62%), </w:t>
      </w:r>
      <w:r w:rsidR="00283FC0" w:rsidRPr="00421F72">
        <w:rPr>
          <w:b/>
        </w:rPr>
        <w:t>Canada</w:t>
      </w:r>
      <w:r w:rsidR="00283FC0" w:rsidRPr="00421F72">
        <w:t xml:space="preserve"> ($93 million, up 42%), </w:t>
      </w:r>
      <w:r w:rsidR="00283FC0" w:rsidRPr="00421F72">
        <w:rPr>
          <w:b/>
        </w:rPr>
        <w:t>Japan</w:t>
      </w:r>
      <w:r w:rsidR="00283FC0" w:rsidRPr="00421F72">
        <w:t xml:space="preserve"> ($57 million, up 87%) and </w:t>
      </w:r>
      <w:r w:rsidR="00283FC0" w:rsidRPr="00421F72">
        <w:rPr>
          <w:b/>
        </w:rPr>
        <w:t>Germany</w:t>
      </w:r>
      <w:r w:rsidR="00283FC0" w:rsidRPr="00421F72">
        <w:t xml:space="preserve"> ($48 million, up 97%).</w:t>
      </w:r>
      <w:r w:rsidR="00283FC0" w:rsidRPr="00421F72">
        <w:rPr>
          <w:b/>
        </w:rPr>
        <w:t xml:space="preserve"> </w:t>
      </w:r>
      <w:r w:rsidR="00283FC0" w:rsidRPr="00421F72">
        <w:t xml:space="preserve">High-growth segments included </w:t>
      </w:r>
      <w:r w:rsidR="00283FC0" w:rsidRPr="00421F72">
        <w:rPr>
          <w:b/>
          <w:bCs/>
        </w:rPr>
        <w:t>integrated circuits</w:t>
      </w:r>
      <w:r w:rsidR="00283FC0" w:rsidRPr="00421F72">
        <w:t xml:space="preserve"> (up </w:t>
      </w:r>
      <w:r w:rsidR="009A0D0A">
        <w:t>56</w:t>
      </w:r>
      <w:r w:rsidR="00283FC0" w:rsidRPr="00421F72">
        <w:t xml:space="preserve">%), </w:t>
      </w:r>
      <w:r w:rsidR="00283FC0" w:rsidRPr="00421F72">
        <w:rPr>
          <w:b/>
        </w:rPr>
        <w:t xml:space="preserve">switches </w:t>
      </w:r>
      <w:r w:rsidR="00283FC0" w:rsidRPr="00421F72">
        <w:rPr>
          <w:bCs/>
        </w:rPr>
        <w:t>(up 75%),</w:t>
      </w:r>
      <w:r w:rsidR="00283FC0" w:rsidRPr="00421F72">
        <w:t xml:space="preserve"> </w:t>
      </w:r>
      <w:r w:rsidR="00283FC0" w:rsidRPr="00421F72">
        <w:rPr>
          <w:b/>
        </w:rPr>
        <w:t>semiconductors</w:t>
      </w:r>
      <w:r w:rsidR="00283FC0" w:rsidRPr="00421F72">
        <w:t xml:space="preserve"> (up 71%)</w:t>
      </w:r>
      <w:r w:rsidR="009A0D0A">
        <w:t xml:space="preserve"> and </w:t>
      </w:r>
      <w:r w:rsidR="009A0D0A">
        <w:rPr>
          <w:b/>
          <w:bCs/>
        </w:rPr>
        <w:t xml:space="preserve">generators </w:t>
      </w:r>
      <w:r w:rsidR="009A0D0A">
        <w:t>(up 73%).</w:t>
      </w:r>
    </w:p>
    <w:p w14:paraId="68EB0A76" w14:textId="015DC0C2" w:rsidR="00421F72" w:rsidRDefault="00421F72" w:rsidP="00EC4017">
      <w:pPr>
        <w:pStyle w:val="ListParagraph"/>
        <w:numPr>
          <w:ilvl w:val="0"/>
          <w:numId w:val="7"/>
        </w:numPr>
        <w:spacing w:before="120" w:after="60"/>
        <w:ind w:left="360" w:right="-396"/>
      </w:pPr>
      <w:r w:rsidRPr="00421F72">
        <w:rPr>
          <w:b/>
        </w:rPr>
        <w:t xml:space="preserve">Japan </w:t>
      </w:r>
      <w:r w:rsidR="00157B00">
        <w:rPr>
          <w:bCs/>
        </w:rPr>
        <w:t>drove</w:t>
      </w:r>
      <w:r w:rsidRPr="00421F72">
        <w:rPr>
          <w:bCs/>
        </w:rPr>
        <w:t xml:space="preserve"> </w:t>
      </w:r>
      <w:r w:rsidR="00157B00">
        <w:rPr>
          <w:bCs/>
        </w:rPr>
        <w:t>the spike</w:t>
      </w:r>
      <w:r w:rsidRPr="00421F72">
        <w:rPr>
          <w:bCs/>
        </w:rPr>
        <w:t xml:space="preserve"> in </w:t>
      </w:r>
      <w:r w:rsidRPr="00421F72">
        <w:rPr>
          <w:b/>
        </w:rPr>
        <w:t>m</w:t>
      </w:r>
      <w:r w:rsidR="00AD5170" w:rsidRPr="00421F72">
        <w:rPr>
          <w:b/>
        </w:rPr>
        <w:t xml:space="preserve">eat </w:t>
      </w:r>
      <w:r w:rsidR="00C93DF7">
        <w:t>sale</w:t>
      </w:r>
      <w:r w:rsidR="00AD5170" w:rsidRPr="00421F72">
        <w:t>s (up 14%)</w:t>
      </w:r>
      <w:r w:rsidR="00157B00">
        <w:t xml:space="preserve"> while</w:t>
      </w:r>
      <w:r w:rsidRPr="00421F72">
        <w:t xml:space="preserve"> </w:t>
      </w:r>
      <w:r w:rsidRPr="00421F72">
        <w:rPr>
          <w:b/>
        </w:rPr>
        <w:t xml:space="preserve">Indonesia </w:t>
      </w:r>
      <w:r w:rsidR="00157B00">
        <w:t>led the</w:t>
      </w:r>
      <w:r w:rsidRPr="00421F72">
        <w:t xml:space="preserve"> gains in </w:t>
      </w:r>
      <w:r w:rsidRPr="00421F72">
        <w:rPr>
          <w:b/>
        </w:rPr>
        <w:t>w</w:t>
      </w:r>
      <w:r w:rsidR="00283FC0" w:rsidRPr="00421F72">
        <w:rPr>
          <w:b/>
        </w:rPr>
        <w:t>ood pulp</w:t>
      </w:r>
      <w:r w:rsidR="00283FC0" w:rsidRPr="00421F72">
        <w:t xml:space="preserve"> ($67 million, up 56%)</w:t>
      </w:r>
      <w:r w:rsidRPr="00421F72">
        <w:t>.</w:t>
      </w:r>
    </w:p>
    <w:p w14:paraId="149C708A" w14:textId="7FEDA836" w:rsidR="009A0D0A" w:rsidRPr="00421F72" w:rsidRDefault="009A0D0A" w:rsidP="009A0D0A">
      <w:pPr>
        <w:pStyle w:val="ListParagraph"/>
        <w:numPr>
          <w:ilvl w:val="0"/>
          <w:numId w:val="7"/>
        </w:numPr>
        <w:spacing w:after="0"/>
        <w:ind w:left="360" w:right="-396"/>
      </w:pPr>
      <w:r>
        <w:t>D</w:t>
      </w:r>
      <w:r w:rsidRPr="00421F72">
        <w:t xml:space="preserve">emand for </w:t>
      </w:r>
      <w:r w:rsidRPr="00421F72">
        <w:rPr>
          <w:b/>
        </w:rPr>
        <w:t xml:space="preserve">vehicles </w:t>
      </w:r>
      <w:r w:rsidRPr="00421F72">
        <w:rPr>
          <w:bCs/>
        </w:rPr>
        <w:t xml:space="preserve">(down 14%) and </w:t>
      </w:r>
      <w:r w:rsidRPr="00421F72">
        <w:rPr>
          <w:b/>
        </w:rPr>
        <w:t xml:space="preserve">pharmaceuticals </w:t>
      </w:r>
      <w:r w:rsidRPr="00421F72">
        <w:rPr>
          <w:bCs/>
        </w:rPr>
        <w:t>(down 11%)</w:t>
      </w:r>
      <w:r>
        <w:rPr>
          <w:bCs/>
        </w:rPr>
        <w:t xml:space="preserve"> buckled</w:t>
      </w:r>
      <w:r w:rsidRPr="00421F72">
        <w:rPr>
          <w:bCs/>
        </w:rPr>
        <w:t xml:space="preserve"> to levels below </w:t>
      </w:r>
      <w:r>
        <w:rPr>
          <w:bCs/>
        </w:rPr>
        <w:t xml:space="preserve">those in </w:t>
      </w:r>
      <w:r w:rsidRPr="00421F72">
        <w:rPr>
          <w:bCs/>
        </w:rPr>
        <w:t xml:space="preserve">the fourth quarter of 2019. Sales of </w:t>
      </w:r>
      <w:r w:rsidRPr="00421F72">
        <w:rPr>
          <w:b/>
        </w:rPr>
        <w:t>vehicles</w:t>
      </w:r>
      <w:r w:rsidRPr="00421F72">
        <w:t xml:space="preserve"> weakened in</w:t>
      </w:r>
      <w:r w:rsidRPr="00421F72">
        <w:rPr>
          <w:bCs/>
        </w:rPr>
        <w:t xml:space="preserve"> </w:t>
      </w:r>
      <w:r w:rsidRPr="00421F72">
        <w:rPr>
          <w:b/>
        </w:rPr>
        <w:t xml:space="preserve">Mexico, </w:t>
      </w:r>
      <w:proofErr w:type="gramStart"/>
      <w:r w:rsidRPr="00421F72">
        <w:rPr>
          <w:b/>
        </w:rPr>
        <w:t>Canada</w:t>
      </w:r>
      <w:proofErr w:type="gramEnd"/>
      <w:r w:rsidRPr="00421F72">
        <w:rPr>
          <w:b/>
        </w:rPr>
        <w:t xml:space="preserve"> </w:t>
      </w:r>
      <w:r w:rsidRPr="00421F72">
        <w:rPr>
          <w:bCs/>
        </w:rPr>
        <w:t>and</w:t>
      </w:r>
      <w:r w:rsidRPr="00421F72">
        <w:rPr>
          <w:b/>
        </w:rPr>
        <w:t xml:space="preserve"> Switzerland</w:t>
      </w:r>
      <w:r w:rsidRPr="00421F72">
        <w:rPr>
          <w:bCs/>
        </w:rPr>
        <w:t xml:space="preserve">; while those of </w:t>
      </w:r>
      <w:r w:rsidRPr="00421F72">
        <w:rPr>
          <w:b/>
        </w:rPr>
        <w:t xml:space="preserve">pharmaceuticals </w:t>
      </w:r>
      <w:r>
        <w:rPr>
          <w:bCs/>
        </w:rPr>
        <w:t>tumbl</w:t>
      </w:r>
      <w:r w:rsidRPr="00421F72">
        <w:rPr>
          <w:bCs/>
        </w:rPr>
        <w:t xml:space="preserve">ed </w:t>
      </w:r>
      <w:r>
        <w:rPr>
          <w:bCs/>
        </w:rPr>
        <w:t>in</w:t>
      </w:r>
      <w:r w:rsidRPr="00421F72">
        <w:rPr>
          <w:bCs/>
        </w:rPr>
        <w:t xml:space="preserve"> numerous smaller markets, including </w:t>
      </w:r>
      <w:r w:rsidRPr="00421F72">
        <w:rPr>
          <w:b/>
        </w:rPr>
        <w:t>Saudi Arabia Russia</w:t>
      </w:r>
      <w:r w:rsidRPr="00421F72">
        <w:rPr>
          <w:bCs/>
        </w:rPr>
        <w:t xml:space="preserve">, and </w:t>
      </w:r>
      <w:r w:rsidRPr="00421F72">
        <w:rPr>
          <w:b/>
        </w:rPr>
        <w:t>Australia</w:t>
      </w:r>
      <w:r w:rsidRPr="00421F72">
        <w:rPr>
          <w:bCs/>
        </w:rPr>
        <w:t>.</w:t>
      </w:r>
    </w:p>
    <w:p w14:paraId="2531CFFE" w14:textId="302A7C30" w:rsidR="007F1C4A" w:rsidRPr="00421F72" w:rsidRDefault="007F1C4A" w:rsidP="00157B00">
      <w:pPr>
        <w:pStyle w:val="Heading4"/>
        <w:spacing w:before="120" w:after="60"/>
        <w:rPr>
          <w:color w:val="auto"/>
        </w:rPr>
      </w:pPr>
      <w:r w:rsidRPr="00421F72">
        <w:rPr>
          <w:color w:val="auto"/>
        </w:rPr>
        <w:t>Fi</w:t>
      </w:r>
      <w:r w:rsidR="00A44451" w:rsidRPr="00421F72">
        <w:rPr>
          <w:color w:val="auto"/>
        </w:rPr>
        <w:t>gure 4. Export Trends for</w:t>
      </w:r>
      <w:r w:rsidRPr="00421F72">
        <w:rPr>
          <w:color w:val="auto"/>
        </w:rPr>
        <w:t xml:space="preserve"> Minnesota’s Top 10 Products, </w:t>
      </w:r>
      <w:r w:rsidR="0000470B" w:rsidRPr="00421F72">
        <w:rPr>
          <w:color w:val="auto"/>
        </w:rPr>
        <w:t>Fourth</w:t>
      </w:r>
      <w:r w:rsidR="00A52415" w:rsidRPr="00421F72">
        <w:rPr>
          <w:color w:val="auto"/>
        </w:rPr>
        <w:t xml:space="preserve"> Quarter </w:t>
      </w:r>
      <w:r w:rsidR="00271414" w:rsidRPr="00421F72">
        <w:rPr>
          <w:color w:val="auto"/>
        </w:rPr>
        <w:t>2021</w:t>
      </w:r>
    </w:p>
    <w:p w14:paraId="73CDCF23" w14:textId="4AEBB51E" w:rsidR="004A4223" w:rsidRPr="00421F72" w:rsidRDefault="00491633" w:rsidP="00491633">
      <w:pPr>
        <w:spacing w:after="0"/>
        <w:rPr>
          <w:sz w:val="18"/>
        </w:rPr>
      </w:pPr>
      <w:r w:rsidRPr="00421F72">
        <w:rPr>
          <w:noProof/>
        </w:rPr>
        <w:drawing>
          <wp:inline distT="0" distB="0" distL="0" distR="0" wp14:anchorId="55967FD8" wp14:editId="3D78D1AF">
            <wp:extent cx="6355080" cy="1923415"/>
            <wp:effectExtent l="0" t="0" r="7620" b="635"/>
            <wp:docPr id="9" name="Picture 9" descr="MN Exports of Top 10 Products, 2021-Q4&#10;PRODUCT  Exports (millions)  Percent Change, 2020-Q4 to 2021-Q4&#10;TOTAL  $6,446  30%&#10;Machinery  $1,223  50%&#10;Optic, Medical  $984  5%&#10;Electrical Equipment  $827  33%&#10;Mineral Fuel, Oil  $537  237%&#10;Vehicles  $320  -14%&#10;Plastics  $299  0%&#10;Cereals  $275  373%&#10;Food By-Products  $170  15%&#10;Ores, Slag, Ash  $149  36%&#10;Meat  $140  14%&#10;Other  $1,521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N Exports of Top 10 Products, 2021-Q4&#10;PRODUCT  Exports (millions)  Percent Change, 2020-Q4 to 2021-Q4&#10;TOTAL  $6,446  30%&#10;Machinery  $1,223  50%&#10;Optic, Medical  $984  5%&#10;Electrical Equipment  $827  33%&#10;Mineral Fuel, Oil  $537  237%&#10;Vehicles  $320  -14%&#10;Plastics  $299  0%&#10;Cereals  $275  373%&#10;Food By-Products  $170  15%&#10;Ores, Slag, Ash  $149  36%&#10;Meat  $140  14%&#10;Other  $1,521  14%&#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5080" cy="1923415"/>
                    </a:xfrm>
                    <a:prstGeom prst="rect">
                      <a:avLst/>
                    </a:prstGeom>
                    <a:noFill/>
                    <a:ln>
                      <a:noFill/>
                    </a:ln>
                  </pic:spPr>
                </pic:pic>
              </a:graphicData>
            </a:graphic>
          </wp:inline>
        </w:drawing>
      </w:r>
    </w:p>
    <w:tbl>
      <w:tblPr>
        <w:tblpPr w:leftFromText="180" w:rightFromText="180" w:vertAnchor="page" w:horzAnchor="margin" w:tblpY="1314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accessed from WISERTrade - State HS Database, based on data collected by the U.S. Census Bureau, Foreign Trade Division. Reports are available on DEED’s website at “Export and Trade Statistics” (http://mn.gov/deed/data/export-stats/). "/>
      </w:tblPr>
      <w:tblGrid>
        <w:gridCol w:w="10255"/>
      </w:tblGrid>
      <w:tr w:rsidR="00157B00" w:rsidRPr="00421F72" w14:paraId="2485988E" w14:textId="77777777" w:rsidTr="00157B00">
        <w:trPr>
          <w:trHeight w:val="530"/>
        </w:trPr>
        <w:tc>
          <w:tcPr>
            <w:tcW w:w="10255" w:type="dxa"/>
            <w:shd w:val="clear" w:color="auto" w:fill="C9E5A6"/>
          </w:tcPr>
          <w:p w14:paraId="65A5CBBA" w14:textId="2167404E" w:rsidR="00157B00" w:rsidRPr="00157B00" w:rsidRDefault="00157B00" w:rsidP="00157B00">
            <w:pPr>
              <w:spacing w:after="40" w:line="240" w:lineRule="auto"/>
              <w:rPr>
                <w:rFonts w:ascii="Calibri" w:hAnsi="Calibri" w:cs="Calibri"/>
                <w:sz w:val="20"/>
                <w:szCs w:val="20"/>
              </w:rPr>
            </w:pPr>
            <w:r w:rsidRPr="00157B00">
              <w:rPr>
                <w:rStyle w:val="Emphasis"/>
                <w:rFonts w:cstheme="minorHAnsi"/>
                <w:sz w:val="20"/>
                <w:szCs w:val="20"/>
              </w:rPr>
              <w:t>Minnesota Quarterly Export Statistics</w:t>
            </w:r>
            <w:r w:rsidRPr="00157B00">
              <w:rPr>
                <w:rFonts w:ascii="Calibri" w:hAnsi="Calibri"/>
                <w:sz w:val="20"/>
                <w:szCs w:val="20"/>
              </w:rPr>
              <w:t xml:space="preserve"> is the most current resource available for tracking the state’s export trends in manufactured and other </w:t>
            </w:r>
            <w:proofErr w:type="gramStart"/>
            <w:r w:rsidRPr="00157B00">
              <w:rPr>
                <w:rFonts w:ascii="Calibri" w:hAnsi="Calibri"/>
                <w:sz w:val="20"/>
                <w:szCs w:val="20"/>
              </w:rPr>
              <w:t>goods, and</w:t>
            </w:r>
            <w:proofErr w:type="gramEnd"/>
            <w:r w:rsidRPr="00157B00">
              <w:rPr>
                <w:rFonts w:ascii="Calibri" w:hAnsi="Calibri"/>
                <w:sz w:val="20"/>
                <w:szCs w:val="20"/>
              </w:rPr>
              <w:t xml:space="preserve"> is prepared for the Minnesota Trade Office (MTO) by the Department of Employment and Economic Development’s (DEED) Economic Analysis Unit (Thu-Mai Ho-Kim).  </w:t>
            </w:r>
            <w:r w:rsidRPr="00157B00">
              <w:rPr>
                <w:rFonts w:ascii="Calibri" w:hAnsi="Calibri" w:cs="Calibri"/>
                <w:sz w:val="20"/>
                <w:szCs w:val="20"/>
              </w:rPr>
              <w:t>The quarterly and annual statistics reports primarily cover export data based on the Harmonized System (Schedule B),</w:t>
            </w:r>
            <w:r w:rsidRPr="00157B00">
              <w:rPr>
                <w:rFonts w:cstheme="minorHAnsi"/>
                <w:sz w:val="20"/>
                <w:szCs w:val="20"/>
              </w:rPr>
              <w:t xml:space="preserve"> accessed from </w:t>
            </w:r>
            <w:proofErr w:type="spellStart"/>
            <w:r w:rsidRPr="00157B00">
              <w:rPr>
                <w:rFonts w:cstheme="minorHAnsi"/>
                <w:sz w:val="20"/>
                <w:szCs w:val="20"/>
              </w:rPr>
              <w:t>WISERTrade</w:t>
            </w:r>
            <w:proofErr w:type="spellEnd"/>
            <w:r w:rsidRPr="00157B00">
              <w:rPr>
                <w:rFonts w:cstheme="minorHAnsi"/>
                <w:sz w:val="20"/>
                <w:szCs w:val="20"/>
              </w:rPr>
              <w:t xml:space="preserve"> - State HS Database, based on data collected by the U.S. Census Bureau, Foreign Trade Division</w:t>
            </w:r>
            <w:r w:rsidRPr="00157B00">
              <w:rPr>
                <w:rFonts w:ascii="Calibri" w:hAnsi="Calibri" w:cs="Calibri"/>
                <w:sz w:val="20"/>
                <w:szCs w:val="20"/>
              </w:rPr>
              <w:t>. Reports are available on DEED’s website at “Export and Trade Statistics” (</w:t>
            </w:r>
            <w:hyperlink r:id="rId18" w:history="1">
              <w:r w:rsidRPr="00157B00">
                <w:rPr>
                  <w:rStyle w:val="Hyperlink"/>
                  <w:color w:val="auto"/>
                  <w:sz w:val="20"/>
                  <w:szCs w:val="20"/>
                </w:rPr>
                <w:t>http://mn.gov/deed/data/export-stats/</w:t>
              </w:r>
            </w:hyperlink>
            <w:r w:rsidRPr="00157B00">
              <w:rPr>
                <w:sz w:val="20"/>
                <w:szCs w:val="20"/>
              </w:rPr>
              <w:t>)</w:t>
            </w:r>
            <w:r w:rsidRPr="00157B00">
              <w:rPr>
                <w:rFonts w:ascii="Calibri" w:hAnsi="Calibri" w:cs="Calibri"/>
                <w:sz w:val="20"/>
                <w:szCs w:val="20"/>
              </w:rPr>
              <w:t xml:space="preserve">. </w:t>
            </w:r>
          </w:p>
        </w:tc>
      </w:tr>
    </w:tbl>
    <w:p w14:paraId="7C147EF7" w14:textId="77777777" w:rsidR="007F1C4A" w:rsidRPr="00421F72" w:rsidRDefault="007F1C4A" w:rsidP="00831997">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7F1C4A" w:rsidRPr="00421F72" w:rsidSect="00426066">
      <w:footerReference w:type="default" r:id="rId19"/>
      <w:footnotePr>
        <w:numRestart w:val="eachSect"/>
      </w:footnotePr>
      <w:endnotePr>
        <w:numFmt w:val="decimal"/>
      </w:endnotePr>
      <w:type w:val="continuous"/>
      <w:pgSz w:w="12240" w:h="15840" w:code="1"/>
      <w:pgMar w:top="936" w:right="1152" w:bottom="936"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7058" w14:textId="77777777" w:rsidR="00C9090E" w:rsidRDefault="00C9090E">
      <w:r>
        <w:separator/>
      </w:r>
    </w:p>
  </w:endnote>
  <w:endnote w:type="continuationSeparator" w:id="0">
    <w:p w14:paraId="3403BC0A" w14:textId="77777777" w:rsidR="00C9090E" w:rsidRDefault="00C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7155" w14:textId="77777777" w:rsidR="00E76FF1" w:rsidRPr="00A14E15" w:rsidRDefault="00E76FF1" w:rsidP="00A1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E837" w14:textId="77777777" w:rsidR="00C9090E" w:rsidRDefault="00C9090E">
      <w:r>
        <w:separator/>
      </w:r>
    </w:p>
  </w:footnote>
  <w:footnote w:type="continuationSeparator" w:id="0">
    <w:p w14:paraId="70CDC6A3" w14:textId="77777777" w:rsidR="00C9090E" w:rsidRDefault="00C9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
  </w:num>
  <w:num w:numId="6">
    <w:abstractNumId w:val="7"/>
  </w:num>
  <w:num w:numId="7">
    <w:abstractNumId w:val="15"/>
  </w:num>
  <w:num w:numId="8">
    <w:abstractNumId w:val="13"/>
  </w:num>
  <w:num w:numId="9">
    <w:abstractNumId w:val="9"/>
  </w:num>
  <w:num w:numId="10">
    <w:abstractNumId w:val="8"/>
  </w:num>
  <w:num w:numId="11">
    <w:abstractNumId w:val="6"/>
  </w:num>
  <w:num w:numId="12">
    <w:abstractNumId w:val="2"/>
  </w:num>
  <w:num w:numId="13">
    <w:abstractNumId w:val="14"/>
  </w:num>
  <w:num w:numId="14">
    <w:abstractNumId w:val="10"/>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FDB"/>
    <w:rsid w:val="000041CC"/>
    <w:rsid w:val="0000470B"/>
    <w:rsid w:val="000112C6"/>
    <w:rsid w:val="000115BA"/>
    <w:rsid w:val="00013717"/>
    <w:rsid w:val="00015A9D"/>
    <w:rsid w:val="00017FE0"/>
    <w:rsid w:val="000218A0"/>
    <w:rsid w:val="00024BB5"/>
    <w:rsid w:val="000350A7"/>
    <w:rsid w:val="00035328"/>
    <w:rsid w:val="00036238"/>
    <w:rsid w:val="00046117"/>
    <w:rsid w:val="00051FE0"/>
    <w:rsid w:val="00051FF7"/>
    <w:rsid w:val="00052D34"/>
    <w:rsid w:val="000541A0"/>
    <w:rsid w:val="00054A6E"/>
    <w:rsid w:val="00055AAF"/>
    <w:rsid w:val="0005790D"/>
    <w:rsid w:val="00060AC8"/>
    <w:rsid w:val="00061093"/>
    <w:rsid w:val="0006144E"/>
    <w:rsid w:val="0006608A"/>
    <w:rsid w:val="000705F0"/>
    <w:rsid w:val="000716AC"/>
    <w:rsid w:val="00073109"/>
    <w:rsid w:val="000731F2"/>
    <w:rsid w:val="00073987"/>
    <w:rsid w:val="00076DF3"/>
    <w:rsid w:val="00077989"/>
    <w:rsid w:val="0008038B"/>
    <w:rsid w:val="00083199"/>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518F"/>
    <w:rsid w:val="000B6338"/>
    <w:rsid w:val="000C1CB0"/>
    <w:rsid w:val="000C2181"/>
    <w:rsid w:val="000C3AE5"/>
    <w:rsid w:val="000D02DD"/>
    <w:rsid w:val="000D1330"/>
    <w:rsid w:val="000D18A9"/>
    <w:rsid w:val="000D5D94"/>
    <w:rsid w:val="000D6FAF"/>
    <w:rsid w:val="000E0786"/>
    <w:rsid w:val="000E3376"/>
    <w:rsid w:val="000E6BD9"/>
    <w:rsid w:val="000E6F54"/>
    <w:rsid w:val="000E7ED0"/>
    <w:rsid w:val="000F0519"/>
    <w:rsid w:val="000F1844"/>
    <w:rsid w:val="000F1B22"/>
    <w:rsid w:val="000F3E1F"/>
    <w:rsid w:val="000F4C5E"/>
    <w:rsid w:val="000F54F2"/>
    <w:rsid w:val="000F6660"/>
    <w:rsid w:val="000F6CDA"/>
    <w:rsid w:val="00106910"/>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6664"/>
    <w:rsid w:val="001373C3"/>
    <w:rsid w:val="00137E8C"/>
    <w:rsid w:val="00140B5F"/>
    <w:rsid w:val="00142003"/>
    <w:rsid w:val="0014228E"/>
    <w:rsid w:val="001453E0"/>
    <w:rsid w:val="00145936"/>
    <w:rsid w:val="00147356"/>
    <w:rsid w:val="00147EEF"/>
    <w:rsid w:val="00157B00"/>
    <w:rsid w:val="001619F1"/>
    <w:rsid w:val="001625A3"/>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8D1"/>
    <w:rsid w:val="001979B1"/>
    <w:rsid w:val="001A7229"/>
    <w:rsid w:val="001A7363"/>
    <w:rsid w:val="001A787E"/>
    <w:rsid w:val="001B0716"/>
    <w:rsid w:val="001B0D71"/>
    <w:rsid w:val="001B1416"/>
    <w:rsid w:val="001B344A"/>
    <w:rsid w:val="001B3687"/>
    <w:rsid w:val="001B5950"/>
    <w:rsid w:val="001B6B06"/>
    <w:rsid w:val="001C1112"/>
    <w:rsid w:val="001C13C5"/>
    <w:rsid w:val="001C1A15"/>
    <w:rsid w:val="001C3A93"/>
    <w:rsid w:val="001C6967"/>
    <w:rsid w:val="001D0609"/>
    <w:rsid w:val="001D704D"/>
    <w:rsid w:val="001D767B"/>
    <w:rsid w:val="001E36FD"/>
    <w:rsid w:val="001E4570"/>
    <w:rsid w:val="001E4F28"/>
    <w:rsid w:val="001E53CF"/>
    <w:rsid w:val="001E6B4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231E"/>
    <w:rsid w:val="002158EE"/>
    <w:rsid w:val="00215DA6"/>
    <w:rsid w:val="00216C2D"/>
    <w:rsid w:val="00217960"/>
    <w:rsid w:val="002224AE"/>
    <w:rsid w:val="0022389E"/>
    <w:rsid w:val="00223F46"/>
    <w:rsid w:val="00226A71"/>
    <w:rsid w:val="00234444"/>
    <w:rsid w:val="00244345"/>
    <w:rsid w:val="00244370"/>
    <w:rsid w:val="00245025"/>
    <w:rsid w:val="0024609E"/>
    <w:rsid w:val="00250B75"/>
    <w:rsid w:val="002538D5"/>
    <w:rsid w:val="0025565E"/>
    <w:rsid w:val="002607E0"/>
    <w:rsid w:val="00262FF7"/>
    <w:rsid w:val="0026310F"/>
    <w:rsid w:val="00267778"/>
    <w:rsid w:val="00271414"/>
    <w:rsid w:val="002726A4"/>
    <w:rsid w:val="00272910"/>
    <w:rsid w:val="00275F40"/>
    <w:rsid w:val="0027681D"/>
    <w:rsid w:val="00277C67"/>
    <w:rsid w:val="00277E66"/>
    <w:rsid w:val="0028048A"/>
    <w:rsid w:val="00283FC0"/>
    <w:rsid w:val="00284EDE"/>
    <w:rsid w:val="00287234"/>
    <w:rsid w:val="002907B4"/>
    <w:rsid w:val="00293DCF"/>
    <w:rsid w:val="002969E6"/>
    <w:rsid w:val="00297DBE"/>
    <w:rsid w:val="002A27D6"/>
    <w:rsid w:val="002A2F54"/>
    <w:rsid w:val="002A3F50"/>
    <w:rsid w:val="002A4808"/>
    <w:rsid w:val="002A52FC"/>
    <w:rsid w:val="002B1415"/>
    <w:rsid w:val="002B329E"/>
    <w:rsid w:val="002B36A6"/>
    <w:rsid w:val="002B6B53"/>
    <w:rsid w:val="002B6EBF"/>
    <w:rsid w:val="002C0C4E"/>
    <w:rsid w:val="002C164C"/>
    <w:rsid w:val="002C52C4"/>
    <w:rsid w:val="002C6521"/>
    <w:rsid w:val="002C7DB8"/>
    <w:rsid w:val="002D2A7E"/>
    <w:rsid w:val="002D2EF5"/>
    <w:rsid w:val="002D63BC"/>
    <w:rsid w:val="002D6A99"/>
    <w:rsid w:val="002D6F33"/>
    <w:rsid w:val="002E54F1"/>
    <w:rsid w:val="002E6040"/>
    <w:rsid w:val="002F0687"/>
    <w:rsid w:val="002F1C0E"/>
    <w:rsid w:val="002F1E64"/>
    <w:rsid w:val="002F257A"/>
    <w:rsid w:val="002F285F"/>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52999"/>
    <w:rsid w:val="0035427F"/>
    <w:rsid w:val="003575CE"/>
    <w:rsid w:val="00361002"/>
    <w:rsid w:val="003610A2"/>
    <w:rsid w:val="00365F97"/>
    <w:rsid w:val="00370F35"/>
    <w:rsid w:val="00371C8B"/>
    <w:rsid w:val="00372846"/>
    <w:rsid w:val="00373858"/>
    <w:rsid w:val="00373CD5"/>
    <w:rsid w:val="00374F2A"/>
    <w:rsid w:val="00375BF0"/>
    <w:rsid w:val="0037721A"/>
    <w:rsid w:val="0038071A"/>
    <w:rsid w:val="003823B0"/>
    <w:rsid w:val="003833B0"/>
    <w:rsid w:val="00383D01"/>
    <w:rsid w:val="00385E7F"/>
    <w:rsid w:val="0038665A"/>
    <w:rsid w:val="00387942"/>
    <w:rsid w:val="00387E7F"/>
    <w:rsid w:val="00391815"/>
    <w:rsid w:val="00392609"/>
    <w:rsid w:val="00396483"/>
    <w:rsid w:val="003975D0"/>
    <w:rsid w:val="003A3D11"/>
    <w:rsid w:val="003B0B33"/>
    <w:rsid w:val="003B2771"/>
    <w:rsid w:val="003B3484"/>
    <w:rsid w:val="003B62FF"/>
    <w:rsid w:val="003C316B"/>
    <w:rsid w:val="003C3D13"/>
    <w:rsid w:val="003C43EB"/>
    <w:rsid w:val="003C53CE"/>
    <w:rsid w:val="003C57B0"/>
    <w:rsid w:val="003C7165"/>
    <w:rsid w:val="003D044E"/>
    <w:rsid w:val="003D23DD"/>
    <w:rsid w:val="003D2CFC"/>
    <w:rsid w:val="003D49DF"/>
    <w:rsid w:val="003D4F5D"/>
    <w:rsid w:val="003D6202"/>
    <w:rsid w:val="003D744B"/>
    <w:rsid w:val="003D7C4C"/>
    <w:rsid w:val="003E01C9"/>
    <w:rsid w:val="003E21CA"/>
    <w:rsid w:val="003F27BF"/>
    <w:rsid w:val="003F41C6"/>
    <w:rsid w:val="003F44C1"/>
    <w:rsid w:val="003F6B30"/>
    <w:rsid w:val="0040062C"/>
    <w:rsid w:val="00402A86"/>
    <w:rsid w:val="00405F36"/>
    <w:rsid w:val="004061B1"/>
    <w:rsid w:val="00406E6D"/>
    <w:rsid w:val="00407310"/>
    <w:rsid w:val="00410BBC"/>
    <w:rsid w:val="00412776"/>
    <w:rsid w:val="00420D04"/>
    <w:rsid w:val="00421F72"/>
    <w:rsid w:val="0042279B"/>
    <w:rsid w:val="0042285F"/>
    <w:rsid w:val="00426066"/>
    <w:rsid w:val="00426DC1"/>
    <w:rsid w:val="004303E8"/>
    <w:rsid w:val="004304CD"/>
    <w:rsid w:val="00433DBF"/>
    <w:rsid w:val="004362B0"/>
    <w:rsid w:val="00437CB6"/>
    <w:rsid w:val="0044214A"/>
    <w:rsid w:val="004430A9"/>
    <w:rsid w:val="00445385"/>
    <w:rsid w:val="00447C35"/>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10BF"/>
    <w:rsid w:val="00491633"/>
    <w:rsid w:val="00491AC8"/>
    <w:rsid w:val="00493958"/>
    <w:rsid w:val="00493DF8"/>
    <w:rsid w:val="004944A7"/>
    <w:rsid w:val="004951BC"/>
    <w:rsid w:val="00497570"/>
    <w:rsid w:val="00497998"/>
    <w:rsid w:val="004A3CC9"/>
    <w:rsid w:val="004A4223"/>
    <w:rsid w:val="004A43B9"/>
    <w:rsid w:val="004A5B9A"/>
    <w:rsid w:val="004A6B80"/>
    <w:rsid w:val="004A7FE8"/>
    <w:rsid w:val="004B0B28"/>
    <w:rsid w:val="004B4376"/>
    <w:rsid w:val="004B4BD6"/>
    <w:rsid w:val="004B74F8"/>
    <w:rsid w:val="004B7C0E"/>
    <w:rsid w:val="004C0132"/>
    <w:rsid w:val="004C31E6"/>
    <w:rsid w:val="004D0671"/>
    <w:rsid w:val="004D1EAB"/>
    <w:rsid w:val="004D6223"/>
    <w:rsid w:val="004E06B6"/>
    <w:rsid w:val="004E1A2B"/>
    <w:rsid w:val="004E1D93"/>
    <w:rsid w:val="004E7051"/>
    <w:rsid w:val="004E7967"/>
    <w:rsid w:val="004F046B"/>
    <w:rsid w:val="004F04C4"/>
    <w:rsid w:val="004F0B2F"/>
    <w:rsid w:val="004F19B8"/>
    <w:rsid w:val="004F5A09"/>
    <w:rsid w:val="004F5CE6"/>
    <w:rsid w:val="004F6DBE"/>
    <w:rsid w:val="004F73D4"/>
    <w:rsid w:val="00500A5C"/>
    <w:rsid w:val="005026CC"/>
    <w:rsid w:val="00503AD1"/>
    <w:rsid w:val="0050449A"/>
    <w:rsid w:val="005071D6"/>
    <w:rsid w:val="005078AA"/>
    <w:rsid w:val="005100D1"/>
    <w:rsid w:val="00513720"/>
    <w:rsid w:val="0051607A"/>
    <w:rsid w:val="005205F4"/>
    <w:rsid w:val="00521967"/>
    <w:rsid w:val="00524378"/>
    <w:rsid w:val="005269B7"/>
    <w:rsid w:val="005269D3"/>
    <w:rsid w:val="00530F70"/>
    <w:rsid w:val="005315EA"/>
    <w:rsid w:val="00532FD5"/>
    <w:rsid w:val="00534E9F"/>
    <w:rsid w:val="0053506A"/>
    <w:rsid w:val="0053512A"/>
    <w:rsid w:val="00535508"/>
    <w:rsid w:val="00536B13"/>
    <w:rsid w:val="00540B35"/>
    <w:rsid w:val="00544F1F"/>
    <w:rsid w:val="00545DDF"/>
    <w:rsid w:val="00545F38"/>
    <w:rsid w:val="0054634E"/>
    <w:rsid w:val="005514BE"/>
    <w:rsid w:val="0055424F"/>
    <w:rsid w:val="00557377"/>
    <w:rsid w:val="00560495"/>
    <w:rsid w:val="00560599"/>
    <w:rsid w:val="00562F8A"/>
    <w:rsid w:val="00563721"/>
    <w:rsid w:val="00565776"/>
    <w:rsid w:val="00566508"/>
    <w:rsid w:val="00566C4E"/>
    <w:rsid w:val="00570ACF"/>
    <w:rsid w:val="00573535"/>
    <w:rsid w:val="00573C2D"/>
    <w:rsid w:val="00575BB7"/>
    <w:rsid w:val="00575F88"/>
    <w:rsid w:val="0057794D"/>
    <w:rsid w:val="00582DC9"/>
    <w:rsid w:val="00585250"/>
    <w:rsid w:val="005859C8"/>
    <w:rsid w:val="00587796"/>
    <w:rsid w:val="005940DB"/>
    <w:rsid w:val="00597ABF"/>
    <w:rsid w:val="005A2AAC"/>
    <w:rsid w:val="005A3C50"/>
    <w:rsid w:val="005A61AB"/>
    <w:rsid w:val="005B0E04"/>
    <w:rsid w:val="005B2781"/>
    <w:rsid w:val="005B6872"/>
    <w:rsid w:val="005B6B09"/>
    <w:rsid w:val="005B75E6"/>
    <w:rsid w:val="005C0164"/>
    <w:rsid w:val="005C4AC1"/>
    <w:rsid w:val="005C4DE0"/>
    <w:rsid w:val="005C5B41"/>
    <w:rsid w:val="005C61D6"/>
    <w:rsid w:val="005D315F"/>
    <w:rsid w:val="005E139A"/>
    <w:rsid w:val="005E2D06"/>
    <w:rsid w:val="005E41A6"/>
    <w:rsid w:val="005E4CC6"/>
    <w:rsid w:val="005E5D9F"/>
    <w:rsid w:val="005E6921"/>
    <w:rsid w:val="005F082A"/>
    <w:rsid w:val="005F1B29"/>
    <w:rsid w:val="005F3BCE"/>
    <w:rsid w:val="005F5087"/>
    <w:rsid w:val="005F69A9"/>
    <w:rsid w:val="00600502"/>
    <w:rsid w:val="0060605E"/>
    <w:rsid w:val="00606AB0"/>
    <w:rsid w:val="00607FAE"/>
    <w:rsid w:val="0061064A"/>
    <w:rsid w:val="006139EC"/>
    <w:rsid w:val="00613CC2"/>
    <w:rsid w:val="00615BC9"/>
    <w:rsid w:val="00615CB4"/>
    <w:rsid w:val="006177AE"/>
    <w:rsid w:val="00620C18"/>
    <w:rsid w:val="00621065"/>
    <w:rsid w:val="00621A4A"/>
    <w:rsid w:val="00624E22"/>
    <w:rsid w:val="006339F5"/>
    <w:rsid w:val="0063551B"/>
    <w:rsid w:val="00635F82"/>
    <w:rsid w:val="00636B6E"/>
    <w:rsid w:val="0063763A"/>
    <w:rsid w:val="00640620"/>
    <w:rsid w:val="00641D3B"/>
    <w:rsid w:val="00646942"/>
    <w:rsid w:val="00647786"/>
    <w:rsid w:val="006519AF"/>
    <w:rsid w:val="00652A9D"/>
    <w:rsid w:val="006549A6"/>
    <w:rsid w:val="0065603B"/>
    <w:rsid w:val="0066058B"/>
    <w:rsid w:val="006618F7"/>
    <w:rsid w:val="00662222"/>
    <w:rsid w:val="00663755"/>
    <w:rsid w:val="00664A6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91D49"/>
    <w:rsid w:val="006922C8"/>
    <w:rsid w:val="00692D3B"/>
    <w:rsid w:val="00693229"/>
    <w:rsid w:val="006951FD"/>
    <w:rsid w:val="00695BB1"/>
    <w:rsid w:val="006964AF"/>
    <w:rsid w:val="006A17BE"/>
    <w:rsid w:val="006A3E64"/>
    <w:rsid w:val="006A56E4"/>
    <w:rsid w:val="006B029D"/>
    <w:rsid w:val="006B2D41"/>
    <w:rsid w:val="006B6D8D"/>
    <w:rsid w:val="006C1643"/>
    <w:rsid w:val="006C287C"/>
    <w:rsid w:val="006C3C15"/>
    <w:rsid w:val="006C7D4F"/>
    <w:rsid w:val="006D4F41"/>
    <w:rsid w:val="006D6A44"/>
    <w:rsid w:val="006D7A33"/>
    <w:rsid w:val="006E280A"/>
    <w:rsid w:val="006E6792"/>
    <w:rsid w:val="006E75E2"/>
    <w:rsid w:val="006F01B5"/>
    <w:rsid w:val="006F4AD5"/>
    <w:rsid w:val="006F5527"/>
    <w:rsid w:val="006F6211"/>
    <w:rsid w:val="00701034"/>
    <w:rsid w:val="007046F7"/>
    <w:rsid w:val="00707559"/>
    <w:rsid w:val="007076DF"/>
    <w:rsid w:val="00710701"/>
    <w:rsid w:val="00712602"/>
    <w:rsid w:val="007144F6"/>
    <w:rsid w:val="00716311"/>
    <w:rsid w:val="00723A6D"/>
    <w:rsid w:val="007269AB"/>
    <w:rsid w:val="00731691"/>
    <w:rsid w:val="00732F74"/>
    <w:rsid w:val="007332F9"/>
    <w:rsid w:val="00734ED0"/>
    <w:rsid w:val="00736085"/>
    <w:rsid w:val="00736171"/>
    <w:rsid w:val="00741394"/>
    <w:rsid w:val="007418D9"/>
    <w:rsid w:val="00742173"/>
    <w:rsid w:val="00742415"/>
    <w:rsid w:val="00743C00"/>
    <w:rsid w:val="00743CDA"/>
    <w:rsid w:val="007441D4"/>
    <w:rsid w:val="00744252"/>
    <w:rsid w:val="00746FD8"/>
    <w:rsid w:val="00750FE0"/>
    <w:rsid w:val="007548E4"/>
    <w:rsid w:val="0075548A"/>
    <w:rsid w:val="00757335"/>
    <w:rsid w:val="00760360"/>
    <w:rsid w:val="007613E1"/>
    <w:rsid w:val="00761522"/>
    <w:rsid w:val="00762E9C"/>
    <w:rsid w:val="00764F3A"/>
    <w:rsid w:val="00770689"/>
    <w:rsid w:val="00772951"/>
    <w:rsid w:val="007752C1"/>
    <w:rsid w:val="0077623A"/>
    <w:rsid w:val="007771AD"/>
    <w:rsid w:val="007818E5"/>
    <w:rsid w:val="00784103"/>
    <w:rsid w:val="00784C0B"/>
    <w:rsid w:val="007910B2"/>
    <w:rsid w:val="007964A2"/>
    <w:rsid w:val="007970F7"/>
    <w:rsid w:val="007A0496"/>
    <w:rsid w:val="007A2054"/>
    <w:rsid w:val="007A2D2F"/>
    <w:rsid w:val="007A6F27"/>
    <w:rsid w:val="007A7979"/>
    <w:rsid w:val="007A7D3B"/>
    <w:rsid w:val="007B0321"/>
    <w:rsid w:val="007B183D"/>
    <w:rsid w:val="007B1D69"/>
    <w:rsid w:val="007C165F"/>
    <w:rsid w:val="007C1DCB"/>
    <w:rsid w:val="007C29FD"/>
    <w:rsid w:val="007C542D"/>
    <w:rsid w:val="007D2377"/>
    <w:rsid w:val="007D2D9B"/>
    <w:rsid w:val="007D3342"/>
    <w:rsid w:val="007D733B"/>
    <w:rsid w:val="007E22C2"/>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792B"/>
    <w:rsid w:val="008303A2"/>
    <w:rsid w:val="00831997"/>
    <w:rsid w:val="00831E3F"/>
    <w:rsid w:val="00831F99"/>
    <w:rsid w:val="00833913"/>
    <w:rsid w:val="00835A94"/>
    <w:rsid w:val="00836835"/>
    <w:rsid w:val="00836FB4"/>
    <w:rsid w:val="00837B67"/>
    <w:rsid w:val="00837BEB"/>
    <w:rsid w:val="0084055A"/>
    <w:rsid w:val="00851C18"/>
    <w:rsid w:val="00852D9B"/>
    <w:rsid w:val="008556C1"/>
    <w:rsid w:val="00856B05"/>
    <w:rsid w:val="00856F13"/>
    <w:rsid w:val="00863EF0"/>
    <w:rsid w:val="00864F1C"/>
    <w:rsid w:val="00872803"/>
    <w:rsid w:val="00872BA2"/>
    <w:rsid w:val="00877E32"/>
    <w:rsid w:val="0088063C"/>
    <w:rsid w:val="00881039"/>
    <w:rsid w:val="00883AAA"/>
    <w:rsid w:val="00890980"/>
    <w:rsid w:val="00892EBC"/>
    <w:rsid w:val="00894E39"/>
    <w:rsid w:val="00895418"/>
    <w:rsid w:val="008957D9"/>
    <w:rsid w:val="0089788C"/>
    <w:rsid w:val="00897AF8"/>
    <w:rsid w:val="008A202D"/>
    <w:rsid w:val="008A5FCC"/>
    <w:rsid w:val="008B4846"/>
    <w:rsid w:val="008B5689"/>
    <w:rsid w:val="008B5DBC"/>
    <w:rsid w:val="008B749E"/>
    <w:rsid w:val="008C09B5"/>
    <w:rsid w:val="008C1F20"/>
    <w:rsid w:val="008C2D17"/>
    <w:rsid w:val="008C3E75"/>
    <w:rsid w:val="008C5F38"/>
    <w:rsid w:val="008C6B0E"/>
    <w:rsid w:val="008C6FC8"/>
    <w:rsid w:val="008C7870"/>
    <w:rsid w:val="008D4971"/>
    <w:rsid w:val="008D77FD"/>
    <w:rsid w:val="008E16CE"/>
    <w:rsid w:val="008E1E77"/>
    <w:rsid w:val="008E6A92"/>
    <w:rsid w:val="008F1D37"/>
    <w:rsid w:val="008F420E"/>
    <w:rsid w:val="008F4BDD"/>
    <w:rsid w:val="008F7897"/>
    <w:rsid w:val="00900302"/>
    <w:rsid w:val="0090296E"/>
    <w:rsid w:val="00902E31"/>
    <w:rsid w:val="0090379A"/>
    <w:rsid w:val="00906C03"/>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6763"/>
    <w:rsid w:val="00957BCF"/>
    <w:rsid w:val="009625F6"/>
    <w:rsid w:val="009627F9"/>
    <w:rsid w:val="009658D6"/>
    <w:rsid w:val="009676D8"/>
    <w:rsid w:val="00975F96"/>
    <w:rsid w:val="0098324A"/>
    <w:rsid w:val="00985FFB"/>
    <w:rsid w:val="00987CAC"/>
    <w:rsid w:val="00990CFC"/>
    <w:rsid w:val="0099320B"/>
    <w:rsid w:val="00993516"/>
    <w:rsid w:val="00995DD7"/>
    <w:rsid w:val="00995E0E"/>
    <w:rsid w:val="00996052"/>
    <w:rsid w:val="009960C9"/>
    <w:rsid w:val="00996C55"/>
    <w:rsid w:val="00997DA9"/>
    <w:rsid w:val="009A0D0A"/>
    <w:rsid w:val="009A2905"/>
    <w:rsid w:val="009A38CE"/>
    <w:rsid w:val="009A5B58"/>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162F"/>
    <w:rsid w:val="009D1776"/>
    <w:rsid w:val="009D5976"/>
    <w:rsid w:val="009D5A80"/>
    <w:rsid w:val="009D79AE"/>
    <w:rsid w:val="009E040A"/>
    <w:rsid w:val="009E2345"/>
    <w:rsid w:val="009E40AA"/>
    <w:rsid w:val="009E4E40"/>
    <w:rsid w:val="009E710F"/>
    <w:rsid w:val="009F206C"/>
    <w:rsid w:val="00A00B50"/>
    <w:rsid w:val="00A00E20"/>
    <w:rsid w:val="00A0253A"/>
    <w:rsid w:val="00A02A94"/>
    <w:rsid w:val="00A03293"/>
    <w:rsid w:val="00A03ADC"/>
    <w:rsid w:val="00A10193"/>
    <w:rsid w:val="00A10AC7"/>
    <w:rsid w:val="00A10DF8"/>
    <w:rsid w:val="00A11201"/>
    <w:rsid w:val="00A12A9B"/>
    <w:rsid w:val="00A14055"/>
    <w:rsid w:val="00A14E15"/>
    <w:rsid w:val="00A23BB2"/>
    <w:rsid w:val="00A24540"/>
    <w:rsid w:val="00A27388"/>
    <w:rsid w:val="00A300BF"/>
    <w:rsid w:val="00A3255E"/>
    <w:rsid w:val="00A3267D"/>
    <w:rsid w:val="00A331C8"/>
    <w:rsid w:val="00A43E28"/>
    <w:rsid w:val="00A44451"/>
    <w:rsid w:val="00A46428"/>
    <w:rsid w:val="00A46BDC"/>
    <w:rsid w:val="00A5105C"/>
    <w:rsid w:val="00A52415"/>
    <w:rsid w:val="00A57B01"/>
    <w:rsid w:val="00A60B2E"/>
    <w:rsid w:val="00A61566"/>
    <w:rsid w:val="00A6188E"/>
    <w:rsid w:val="00A62E69"/>
    <w:rsid w:val="00A67499"/>
    <w:rsid w:val="00A716CD"/>
    <w:rsid w:val="00A744D1"/>
    <w:rsid w:val="00A745E3"/>
    <w:rsid w:val="00A76173"/>
    <w:rsid w:val="00A762E1"/>
    <w:rsid w:val="00A77AE4"/>
    <w:rsid w:val="00A806F4"/>
    <w:rsid w:val="00A81FA6"/>
    <w:rsid w:val="00A84E31"/>
    <w:rsid w:val="00A8697D"/>
    <w:rsid w:val="00A873DD"/>
    <w:rsid w:val="00A9059D"/>
    <w:rsid w:val="00A943AF"/>
    <w:rsid w:val="00A96B58"/>
    <w:rsid w:val="00AA0175"/>
    <w:rsid w:val="00AA0A83"/>
    <w:rsid w:val="00AA25E4"/>
    <w:rsid w:val="00AA3112"/>
    <w:rsid w:val="00AA33FB"/>
    <w:rsid w:val="00AA6162"/>
    <w:rsid w:val="00AA733A"/>
    <w:rsid w:val="00AA78DC"/>
    <w:rsid w:val="00AA7F1A"/>
    <w:rsid w:val="00AB25F9"/>
    <w:rsid w:val="00AB2F51"/>
    <w:rsid w:val="00AB2FDC"/>
    <w:rsid w:val="00AB6229"/>
    <w:rsid w:val="00AC1689"/>
    <w:rsid w:val="00AC1FDD"/>
    <w:rsid w:val="00AC4D72"/>
    <w:rsid w:val="00AC4F4B"/>
    <w:rsid w:val="00AC71A6"/>
    <w:rsid w:val="00AD15B2"/>
    <w:rsid w:val="00AD24FE"/>
    <w:rsid w:val="00AD362B"/>
    <w:rsid w:val="00AD4B24"/>
    <w:rsid w:val="00AD5170"/>
    <w:rsid w:val="00AD6D51"/>
    <w:rsid w:val="00AE1B54"/>
    <w:rsid w:val="00AE2FF1"/>
    <w:rsid w:val="00AE36A3"/>
    <w:rsid w:val="00AE515D"/>
    <w:rsid w:val="00AE64C1"/>
    <w:rsid w:val="00AF3041"/>
    <w:rsid w:val="00AF48CD"/>
    <w:rsid w:val="00AF5E69"/>
    <w:rsid w:val="00AF5FAD"/>
    <w:rsid w:val="00AF6022"/>
    <w:rsid w:val="00AF7EC8"/>
    <w:rsid w:val="00B015A7"/>
    <w:rsid w:val="00B01F89"/>
    <w:rsid w:val="00B053D9"/>
    <w:rsid w:val="00B06556"/>
    <w:rsid w:val="00B06B85"/>
    <w:rsid w:val="00B11F31"/>
    <w:rsid w:val="00B12AB1"/>
    <w:rsid w:val="00B12C14"/>
    <w:rsid w:val="00B14090"/>
    <w:rsid w:val="00B16F92"/>
    <w:rsid w:val="00B21E7A"/>
    <w:rsid w:val="00B21EA3"/>
    <w:rsid w:val="00B2296E"/>
    <w:rsid w:val="00B328E5"/>
    <w:rsid w:val="00B3388D"/>
    <w:rsid w:val="00B34168"/>
    <w:rsid w:val="00B345D9"/>
    <w:rsid w:val="00B34DF8"/>
    <w:rsid w:val="00B37B14"/>
    <w:rsid w:val="00B43D0A"/>
    <w:rsid w:val="00B44303"/>
    <w:rsid w:val="00B47D07"/>
    <w:rsid w:val="00B5144B"/>
    <w:rsid w:val="00B5170B"/>
    <w:rsid w:val="00B53992"/>
    <w:rsid w:val="00B53D6E"/>
    <w:rsid w:val="00B67487"/>
    <w:rsid w:val="00B679D3"/>
    <w:rsid w:val="00B67FEA"/>
    <w:rsid w:val="00B708AD"/>
    <w:rsid w:val="00B710D2"/>
    <w:rsid w:val="00B7113C"/>
    <w:rsid w:val="00B712CC"/>
    <w:rsid w:val="00B723DF"/>
    <w:rsid w:val="00B731DE"/>
    <w:rsid w:val="00B734C3"/>
    <w:rsid w:val="00B74252"/>
    <w:rsid w:val="00B7678B"/>
    <w:rsid w:val="00B77533"/>
    <w:rsid w:val="00B77B05"/>
    <w:rsid w:val="00B85149"/>
    <w:rsid w:val="00B85A12"/>
    <w:rsid w:val="00B86498"/>
    <w:rsid w:val="00B9063F"/>
    <w:rsid w:val="00B945D4"/>
    <w:rsid w:val="00B94BAD"/>
    <w:rsid w:val="00BA1325"/>
    <w:rsid w:val="00BA55D1"/>
    <w:rsid w:val="00BA5870"/>
    <w:rsid w:val="00BA679F"/>
    <w:rsid w:val="00BB0399"/>
    <w:rsid w:val="00BB0CBB"/>
    <w:rsid w:val="00BB0EFB"/>
    <w:rsid w:val="00BB3223"/>
    <w:rsid w:val="00BB4344"/>
    <w:rsid w:val="00BB5D61"/>
    <w:rsid w:val="00BC2B27"/>
    <w:rsid w:val="00BC3B27"/>
    <w:rsid w:val="00BC4C9B"/>
    <w:rsid w:val="00BC609B"/>
    <w:rsid w:val="00BC7BEA"/>
    <w:rsid w:val="00BD209D"/>
    <w:rsid w:val="00BD6641"/>
    <w:rsid w:val="00BE467F"/>
    <w:rsid w:val="00BE4DAD"/>
    <w:rsid w:val="00BE5E4B"/>
    <w:rsid w:val="00BE6C2B"/>
    <w:rsid w:val="00BE716C"/>
    <w:rsid w:val="00BE7990"/>
    <w:rsid w:val="00BF1AB9"/>
    <w:rsid w:val="00BF29E1"/>
    <w:rsid w:val="00BF2F12"/>
    <w:rsid w:val="00BF30AB"/>
    <w:rsid w:val="00BF3A82"/>
    <w:rsid w:val="00BF4C9A"/>
    <w:rsid w:val="00BF58CF"/>
    <w:rsid w:val="00C0339F"/>
    <w:rsid w:val="00C0411C"/>
    <w:rsid w:val="00C057FE"/>
    <w:rsid w:val="00C07331"/>
    <w:rsid w:val="00C10955"/>
    <w:rsid w:val="00C11B85"/>
    <w:rsid w:val="00C13C70"/>
    <w:rsid w:val="00C22BC5"/>
    <w:rsid w:val="00C23063"/>
    <w:rsid w:val="00C23DAA"/>
    <w:rsid w:val="00C24103"/>
    <w:rsid w:val="00C267D7"/>
    <w:rsid w:val="00C31877"/>
    <w:rsid w:val="00C31885"/>
    <w:rsid w:val="00C347A8"/>
    <w:rsid w:val="00C4222C"/>
    <w:rsid w:val="00C42BB6"/>
    <w:rsid w:val="00C430F8"/>
    <w:rsid w:val="00C43515"/>
    <w:rsid w:val="00C46BC0"/>
    <w:rsid w:val="00C53B91"/>
    <w:rsid w:val="00C53EBB"/>
    <w:rsid w:val="00C5610C"/>
    <w:rsid w:val="00C60694"/>
    <w:rsid w:val="00C620D3"/>
    <w:rsid w:val="00C62687"/>
    <w:rsid w:val="00C64195"/>
    <w:rsid w:val="00C64773"/>
    <w:rsid w:val="00C73A21"/>
    <w:rsid w:val="00C76728"/>
    <w:rsid w:val="00C76F72"/>
    <w:rsid w:val="00C77A75"/>
    <w:rsid w:val="00C80771"/>
    <w:rsid w:val="00C836EC"/>
    <w:rsid w:val="00C84368"/>
    <w:rsid w:val="00C844F7"/>
    <w:rsid w:val="00C84D0E"/>
    <w:rsid w:val="00C859C7"/>
    <w:rsid w:val="00C8680A"/>
    <w:rsid w:val="00C87B56"/>
    <w:rsid w:val="00C87D7F"/>
    <w:rsid w:val="00C9090E"/>
    <w:rsid w:val="00C91002"/>
    <w:rsid w:val="00C93462"/>
    <w:rsid w:val="00C93DF7"/>
    <w:rsid w:val="00C97041"/>
    <w:rsid w:val="00C97042"/>
    <w:rsid w:val="00C979F3"/>
    <w:rsid w:val="00CA06CE"/>
    <w:rsid w:val="00CA0EED"/>
    <w:rsid w:val="00CA0F8C"/>
    <w:rsid w:val="00CA2794"/>
    <w:rsid w:val="00CB1364"/>
    <w:rsid w:val="00CB3215"/>
    <w:rsid w:val="00CB38A0"/>
    <w:rsid w:val="00CB630A"/>
    <w:rsid w:val="00CB65EF"/>
    <w:rsid w:val="00CB6DBB"/>
    <w:rsid w:val="00CB72F5"/>
    <w:rsid w:val="00CC03E3"/>
    <w:rsid w:val="00CC0D0A"/>
    <w:rsid w:val="00CC1B7D"/>
    <w:rsid w:val="00CC3D8E"/>
    <w:rsid w:val="00CC41DA"/>
    <w:rsid w:val="00CC5AB4"/>
    <w:rsid w:val="00CC6C4E"/>
    <w:rsid w:val="00CC6EA3"/>
    <w:rsid w:val="00CD49EC"/>
    <w:rsid w:val="00CE313B"/>
    <w:rsid w:val="00CE475C"/>
    <w:rsid w:val="00CE7AEB"/>
    <w:rsid w:val="00CE7E3D"/>
    <w:rsid w:val="00CF0ECB"/>
    <w:rsid w:val="00CF1D5A"/>
    <w:rsid w:val="00CF3C7B"/>
    <w:rsid w:val="00D0254C"/>
    <w:rsid w:val="00D02A61"/>
    <w:rsid w:val="00D02D91"/>
    <w:rsid w:val="00D038F3"/>
    <w:rsid w:val="00D0438E"/>
    <w:rsid w:val="00D06225"/>
    <w:rsid w:val="00D075C8"/>
    <w:rsid w:val="00D126B7"/>
    <w:rsid w:val="00D13636"/>
    <w:rsid w:val="00D14F5B"/>
    <w:rsid w:val="00D17713"/>
    <w:rsid w:val="00D17CB6"/>
    <w:rsid w:val="00D20356"/>
    <w:rsid w:val="00D20FFB"/>
    <w:rsid w:val="00D2478F"/>
    <w:rsid w:val="00D260F8"/>
    <w:rsid w:val="00D26D78"/>
    <w:rsid w:val="00D3214A"/>
    <w:rsid w:val="00D32E6E"/>
    <w:rsid w:val="00D33037"/>
    <w:rsid w:val="00D350D0"/>
    <w:rsid w:val="00D41699"/>
    <w:rsid w:val="00D445FA"/>
    <w:rsid w:val="00D4503A"/>
    <w:rsid w:val="00D4520B"/>
    <w:rsid w:val="00D4777B"/>
    <w:rsid w:val="00D54752"/>
    <w:rsid w:val="00D56B8F"/>
    <w:rsid w:val="00D5791A"/>
    <w:rsid w:val="00D60BDF"/>
    <w:rsid w:val="00D60DC5"/>
    <w:rsid w:val="00D6151B"/>
    <w:rsid w:val="00D61780"/>
    <w:rsid w:val="00D623EB"/>
    <w:rsid w:val="00D637FE"/>
    <w:rsid w:val="00D63F04"/>
    <w:rsid w:val="00D66D1C"/>
    <w:rsid w:val="00D72133"/>
    <w:rsid w:val="00D73FB7"/>
    <w:rsid w:val="00D73FB9"/>
    <w:rsid w:val="00D75FCF"/>
    <w:rsid w:val="00D76B66"/>
    <w:rsid w:val="00D773D0"/>
    <w:rsid w:val="00D77DC0"/>
    <w:rsid w:val="00D80073"/>
    <w:rsid w:val="00D80EB6"/>
    <w:rsid w:val="00D81A8E"/>
    <w:rsid w:val="00D8329D"/>
    <w:rsid w:val="00D83715"/>
    <w:rsid w:val="00D84A3A"/>
    <w:rsid w:val="00D863CC"/>
    <w:rsid w:val="00D87B9A"/>
    <w:rsid w:val="00D90D24"/>
    <w:rsid w:val="00D90EBF"/>
    <w:rsid w:val="00D956BD"/>
    <w:rsid w:val="00D9611D"/>
    <w:rsid w:val="00D97463"/>
    <w:rsid w:val="00D9773D"/>
    <w:rsid w:val="00D97C6C"/>
    <w:rsid w:val="00DA09EB"/>
    <w:rsid w:val="00DA4B88"/>
    <w:rsid w:val="00DA7EEA"/>
    <w:rsid w:val="00DB304D"/>
    <w:rsid w:val="00DB3AAA"/>
    <w:rsid w:val="00DC2D48"/>
    <w:rsid w:val="00DC3253"/>
    <w:rsid w:val="00DC5FA6"/>
    <w:rsid w:val="00DC6760"/>
    <w:rsid w:val="00DD30F7"/>
    <w:rsid w:val="00DD388E"/>
    <w:rsid w:val="00DD60C4"/>
    <w:rsid w:val="00DD736C"/>
    <w:rsid w:val="00DE5657"/>
    <w:rsid w:val="00DF0316"/>
    <w:rsid w:val="00DF0E5F"/>
    <w:rsid w:val="00DF11D0"/>
    <w:rsid w:val="00DF519C"/>
    <w:rsid w:val="00DF57DB"/>
    <w:rsid w:val="00E00339"/>
    <w:rsid w:val="00E014FE"/>
    <w:rsid w:val="00E025F4"/>
    <w:rsid w:val="00E04238"/>
    <w:rsid w:val="00E076E5"/>
    <w:rsid w:val="00E10F45"/>
    <w:rsid w:val="00E12E0B"/>
    <w:rsid w:val="00E1539A"/>
    <w:rsid w:val="00E16ECF"/>
    <w:rsid w:val="00E206EA"/>
    <w:rsid w:val="00E230B4"/>
    <w:rsid w:val="00E24CCA"/>
    <w:rsid w:val="00E254A0"/>
    <w:rsid w:val="00E2702D"/>
    <w:rsid w:val="00E30182"/>
    <w:rsid w:val="00E3229A"/>
    <w:rsid w:val="00E33AF6"/>
    <w:rsid w:val="00E36364"/>
    <w:rsid w:val="00E36A70"/>
    <w:rsid w:val="00E41315"/>
    <w:rsid w:val="00E41451"/>
    <w:rsid w:val="00E415B8"/>
    <w:rsid w:val="00E42787"/>
    <w:rsid w:val="00E427EE"/>
    <w:rsid w:val="00E45817"/>
    <w:rsid w:val="00E45BFB"/>
    <w:rsid w:val="00E46F93"/>
    <w:rsid w:val="00E513D0"/>
    <w:rsid w:val="00E6068D"/>
    <w:rsid w:val="00E61C32"/>
    <w:rsid w:val="00E704F7"/>
    <w:rsid w:val="00E70C45"/>
    <w:rsid w:val="00E73382"/>
    <w:rsid w:val="00E75ABE"/>
    <w:rsid w:val="00E7646B"/>
    <w:rsid w:val="00E76542"/>
    <w:rsid w:val="00E76FF1"/>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D5D"/>
    <w:rsid w:val="00EA692F"/>
    <w:rsid w:val="00EB37A8"/>
    <w:rsid w:val="00EB40B0"/>
    <w:rsid w:val="00EB4443"/>
    <w:rsid w:val="00EB74BC"/>
    <w:rsid w:val="00EC16F8"/>
    <w:rsid w:val="00EC336E"/>
    <w:rsid w:val="00ED2C08"/>
    <w:rsid w:val="00ED3A64"/>
    <w:rsid w:val="00ED560D"/>
    <w:rsid w:val="00ED605B"/>
    <w:rsid w:val="00ED6B98"/>
    <w:rsid w:val="00ED6C94"/>
    <w:rsid w:val="00EE1040"/>
    <w:rsid w:val="00EE5B40"/>
    <w:rsid w:val="00EE7685"/>
    <w:rsid w:val="00EF0BF1"/>
    <w:rsid w:val="00EF0EA0"/>
    <w:rsid w:val="00EF35D0"/>
    <w:rsid w:val="00EF4C89"/>
    <w:rsid w:val="00EF5F9F"/>
    <w:rsid w:val="00EF64BD"/>
    <w:rsid w:val="00F0242A"/>
    <w:rsid w:val="00F05050"/>
    <w:rsid w:val="00F053EF"/>
    <w:rsid w:val="00F12FA6"/>
    <w:rsid w:val="00F141DF"/>
    <w:rsid w:val="00F15307"/>
    <w:rsid w:val="00F16041"/>
    <w:rsid w:val="00F17A7A"/>
    <w:rsid w:val="00F216B1"/>
    <w:rsid w:val="00F25611"/>
    <w:rsid w:val="00F30A87"/>
    <w:rsid w:val="00F31DA3"/>
    <w:rsid w:val="00F3371D"/>
    <w:rsid w:val="00F35CBE"/>
    <w:rsid w:val="00F406A9"/>
    <w:rsid w:val="00F40BF4"/>
    <w:rsid w:val="00F41942"/>
    <w:rsid w:val="00F4261F"/>
    <w:rsid w:val="00F43B0B"/>
    <w:rsid w:val="00F43BA6"/>
    <w:rsid w:val="00F51C02"/>
    <w:rsid w:val="00F5227C"/>
    <w:rsid w:val="00F54C78"/>
    <w:rsid w:val="00F55D28"/>
    <w:rsid w:val="00F566C7"/>
    <w:rsid w:val="00F57850"/>
    <w:rsid w:val="00F626E0"/>
    <w:rsid w:val="00F646A4"/>
    <w:rsid w:val="00F65C61"/>
    <w:rsid w:val="00F6667B"/>
    <w:rsid w:val="00F7027C"/>
    <w:rsid w:val="00F70333"/>
    <w:rsid w:val="00F73106"/>
    <w:rsid w:val="00F7494E"/>
    <w:rsid w:val="00F74B06"/>
    <w:rsid w:val="00F80AFA"/>
    <w:rsid w:val="00F8155F"/>
    <w:rsid w:val="00F82D92"/>
    <w:rsid w:val="00F860A4"/>
    <w:rsid w:val="00F86357"/>
    <w:rsid w:val="00F93C02"/>
    <w:rsid w:val="00F95C7C"/>
    <w:rsid w:val="00FA106A"/>
    <w:rsid w:val="00FA13BE"/>
    <w:rsid w:val="00FA1A86"/>
    <w:rsid w:val="00FA1B4B"/>
    <w:rsid w:val="00FA384A"/>
    <w:rsid w:val="00FA4229"/>
    <w:rsid w:val="00FA65D1"/>
    <w:rsid w:val="00FA6CA0"/>
    <w:rsid w:val="00FA701F"/>
    <w:rsid w:val="00FB01B3"/>
    <w:rsid w:val="00FB48F1"/>
    <w:rsid w:val="00FB5013"/>
    <w:rsid w:val="00FB507A"/>
    <w:rsid w:val="00FB6A28"/>
    <w:rsid w:val="00FB76CD"/>
    <w:rsid w:val="00FC662C"/>
    <w:rsid w:val="00FD2F99"/>
    <w:rsid w:val="00FD3B61"/>
    <w:rsid w:val="00FD5E0B"/>
    <w:rsid w:val="00FE4B51"/>
    <w:rsid w:val="00FE5772"/>
    <w:rsid w:val="00FE752E"/>
    <w:rsid w:val="00FE7DFE"/>
    <w:rsid w:val="00FF06F1"/>
    <w:rsid w:val="00FF2C7A"/>
    <w:rsid w:val="00FF4869"/>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3964115940615782"/>
          <c:y val="4.9056437777680014E-3"/>
          <c:w val="0.48386501222950845"/>
          <c:h val="0.87311954720743701"/>
        </c:manualLayout>
      </c:layout>
      <c:pieChart>
        <c:varyColors val="1"/>
        <c:ser>
          <c:idx val="0"/>
          <c:order val="0"/>
          <c:tx>
            <c:strRef>
              <c:f>Sheet1!$B$1</c:f>
              <c:strCache>
                <c:ptCount val="1"/>
                <c:pt idx="0">
                  <c:v> 2021-Q4 </c:v>
                </c:pt>
              </c:strCache>
            </c:strRef>
          </c:tx>
          <c:spPr>
            <a:ln w="3175">
              <a:solidFill>
                <a:schemeClr val="tx1">
                  <a:lumMod val="65000"/>
                  <a:lumOff val="35000"/>
                </a:schemeClr>
              </a:solidFill>
            </a:ln>
          </c:spPr>
          <c:dPt>
            <c:idx val="0"/>
            <c:bubble3D val="0"/>
            <c:spPr>
              <a:solidFill>
                <a:schemeClr val="accent6">
                  <a:shade val="47000"/>
                </a:schemeClr>
              </a:solidFill>
              <a:ln w="3175">
                <a:solidFill>
                  <a:schemeClr val="tx1">
                    <a:lumMod val="65000"/>
                    <a:lumOff val="35000"/>
                  </a:schemeClr>
                </a:solidFill>
              </a:ln>
              <a:effectLst/>
            </c:spPr>
            <c:extLst>
              <c:ext xmlns:c16="http://schemas.microsoft.com/office/drawing/2014/chart" uri="{C3380CC4-5D6E-409C-BE32-E72D297353CC}">
                <c16:uniqueId val="{00000001-1B88-468F-B926-1611BD07E22A}"/>
              </c:ext>
            </c:extLst>
          </c:dPt>
          <c:dPt>
            <c:idx val="1"/>
            <c:bubble3D val="0"/>
            <c:spPr>
              <a:solidFill>
                <a:schemeClr val="accent6">
                  <a:shade val="65000"/>
                </a:schemeClr>
              </a:solidFill>
              <a:ln w="3175">
                <a:solidFill>
                  <a:schemeClr val="tx1">
                    <a:lumMod val="65000"/>
                    <a:lumOff val="35000"/>
                  </a:schemeClr>
                </a:solidFill>
              </a:ln>
              <a:effectLst/>
            </c:spPr>
            <c:extLst>
              <c:ext xmlns:c16="http://schemas.microsoft.com/office/drawing/2014/chart" uri="{C3380CC4-5D6E-409C-BE32-E72D297353CC}">
                <c16:uniqueId val="{00000003-1B88-468F-B926-1611BD07E22A}"/>
              </c:ext>
            </c:extLst>
          </c:dPt>
          <c:dPt>
            <c:idx val="2"/>
            <c:bubble3D val="0"/>
            <c:spPr>
              <a:solidFill>
                <a:schemeClr val="accent6">
                  <a:shade val="82000"/>
                </a:schemeClr>
              </a:solidFill>
              <a:ln w="3175">
                <a:solidFill>
                  <a:schemeClr val="tx1">
                    <a:lumMod val="65000"/>
                    <a:lumOff val="35000"/>
                  </a:schemeClr>
                </a:solidFill>
              </a:ln>
              <a:effectLst/>
            </c:spPr>
            <c:extLst>
              <c:ext xmlns:c16="http://schemas.microsoft.com/office/drawing/2014/chart" uri="{C3380CC4-5D6E-409C-BE32-E72D297353CC}">
                <c16:uniqueId val="{00000005-1B88-468F-B926-1611BD07E22A}"/>
              </c:ext>
            </c:extLst>
          </c:dPt>
          <c:dPt>
            <c:idx val="3"/>
            <c:bubble3D val="0"/>
            <c:spPr>
              <a:solidFill>
                <a:schemeClr val="accent6"/>
              </a:solidFill>
              <a:ln w="3175">
                <a:solidFill>
                  <a:schemeClr val="tx1">
                    <a:lumMod val="65000"/>
                    <a:lumOff val="35000"/>
                  </a:schemeClr>
                </a:solidFill>
              </a:ln>
              <a:effectLst/>
            </c:spPr>
            <c:extLst>
              <c:ext xmlns:c16="http://schemas.microsoft.com/office/drawing/2014/chart" uri="{C3380CC4-5D6E-409C-BE32-E72D297353CC}">
                <c16:uniqueId val="{00000007-1B88-468F-B926-1611BD07E22A}"/>
              </c:ext>
            </c:extLst>
          </c:dPt>
          <c:dPt>
            <c:idx val="4"/>
            <c:bubble3D val="0"/>
            <c:spPr>
              <a:solidFill>
                <a:schemeClr val="accent6">
                  <a:tint val="83000"/>
                </a:schemeClr>
              </a:solidFill>
              <a:ln w="3175">
                <a:solidFill>
                  <a:schemeClr val="tx1">
                    <a:lumMod val="65000"/>
                    <a:lumOff val="35000"/>
                  </a:schemeClr>
                </a:solidFill>
              </a:ln>
              <a:effectLst/>
            </c:spPr>
            <c:extLst>
              <c:ext xmlns:c16="http://schemas.microsoft.com/office/drawing/2014/chart" uri="{C3380CC4-5D6E-409C-BE32-E72D297353CC}">
                <c16:uniqueId val="{00000009-1B88-468F-B926-1611BD07E22A}"/>
              </c:ext>
            </c:extLst>
          </c:dPt>
          <c:dPt>
            <c:idx val="5"/>
            <c:bubble3D val="0"/>
            <c:spPr>
              <a:solidFill>
                <a:schemeClr val="accent6">
                  <a:tint val="65000"/>
                </a:schemeClr>
              </a:solidFill>
              <a:ln w="3175">
                <a:solidFill>
                  <a:schemeClr val="tx1">
                    <a:lumMod val="65000"/>
                    <a:lumOff val="35000"/>
                  </a:schemeClr>
                </a:solidFill>
              </a:ln>
              <a:effectLst/>
            </c:spPr>
            <c:extLst>
              <c:ext xmlns:c16="http://schemas.microsoft.com/office/drawing/2014/chart" uri="{C3380CC4-5D6E-409C-BE32-E72D297353CC}">
                <c16:uniqueId val="{0000000B-1B88-468F-B926-1611BD07E22A}"/>
              </c:ext>
            </c:extLst>
          </c:dPt>
          <c:dPt>
            <c:idx val="6"/>
            <c:bubble3D val="0"/>
            <c:spPr>
              <a:solidFill>
                <a:schemeClr val="accent6">
                  <a:tint val="48000"/>
                </a:schemeClr>
              </a:solidFill>
              <a:ln w="3175">
                <a:solidFill>
                  <a:schemeClr val="tx1">
                    <a:lumMod val="65000"/>
                    <a:lumOff val="35000"/>
                  </a:schemeClr>
                </a:solidFill>
              </a:ln>
              <a:effectLst/>
            </c:spPr>
            <c:extLst>
              <c:ext xmlns:c16="http://schemas.microsoft.com/office/drawing/2014/chart" uri="{C3380CC4-5D6E-409C-BE32-E72D297353CC}">
                <c16:uniqueId val="{0000000D-1B88-468F-B926-1611BD07E22A}"/>
              </c:ext>
            </c:extLst>
          </c:dPt>
          <c:dPt>
            <c:idx val="7"/>
            <c:bubble3D val="0"/>
            <c:spPr>
              <a:solidFill>
                <a:schemeClr val="accent6">
                  <a:tint val="30000"/>
                </a:schemeClr>
              </a:solidFill>
              <a:ln w="3175">
                <a:solidFill>
                  <a:schemeClr val="tx1">
                    <a:lumMod val="65000"/>
                    <a:lumOff val="35000"/>
                  </a:schemeClr>
                </a:solidFill>
              </a:ln>
              <a:effectLst/>
            </c:spPr>
            <c:extLst>
              <c:ext xmlns:c16="http://schemas.microsoft.com/office/drawing/2014/chart" uri="{C3380CC4-5D6E-409C-BE32-E72D297353CC}">
                <c16:uniqueId val="{0000000F-1B88-468F-B926-1611BD07E22A}"/>
              </c:ext>
            </c:extLst>
          </c:dPt>
          <c:dPt>
            <c:idx val="8"/>
            <c:bubble3D val="0"/>
            <c:spPr>
              <a:solidFill>
                <a:schemeClr val="accent6">
                  <a:tint val="13000"/>
                </a:schemeClr>
              </a:solidFill>
              <a:ln w="3175">
                <a:solidFill>
                  <a:schemeClr val="tx1">
                    <a:lumMod val="65000"/>
                    <a:lumOff val="35000"/>
                  </a:schemeClr>
                </a:solidFill>
              </a:ln>
              <a:effectLst/>
            </c:spPr>
            <c:extLst>
              <c:ext xmlns:c16="http://schemas.microsoft.com/office/drawing/2014/chart" uri="{C3380CC4-5D6E-409C-BE32-E72D297353CC}">
                <c16:uniqueId val="{00000011-1B88-468F-B926-1611BD07E22A}"/>
              </c:ext>
            </c:extLst>
          </c:dPt>
          <c:dLbls>
            <c:dLbl>
              <c:idx val="0"/>
              <c:layout>
                <c:manualLayout>
                  <c:x val="1.8743407848012657E-2"/>
                  <c:y val="5.395387029135325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980692815874793"/>
                      <c:h val="0.22297218434287894"/>
                    </c:manualLayout>
                  </c15:layout>
                </c:ext>
                <c:ext xmlns:c16="http://schemas.microsoft.com/office/drawing/2014/chart" uri="{C3380CC4-5D6E-409C-BE32-E72D297353CC}">
                  <c16:uniqueId val="{00000001-1B88-468F-B926-1611BD07E22A}"/>
                </c:ext>
              </c:extLst>
            </c:dLbl>
            <c:dLbl>
              <c:idx val="1"/>
              <c:layout>
                <c:manualLayout>
                  <c:x val="0"/>
                  <c:y val="-5.608850569656446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254585049933774"/>
                      <c:h val="0.23773427762870419"/>
                    </c:manualLayout>
                  </c15:layout>
                </c:ext>
                <c:ext xmlns:c16="http://schemas.microsoft.com/office/drawing/2014/chart" uri="{C3380CC4-5D6E-409C-BE32-E72D297353CC}">
                  <c16:uniqueId val="{00000003-1B88-468F-B926-1611BD07E22A}"/>
                </c:ext>
              </c:extLst>
            </c:dLbl>
            <c:dLbl>
              <c:idx val="2"/>
              <c:layout>
                <c:manualLayout>
                  <c:x val="-2.3609695846842825E-2"/>
                  <c:y val="-1.9900585052566751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148793707288138"/>
                      <c:h val="0.10307717121951934"/>
                    </c:manualLayout>
                  </c15:layout>
                </c:ext>
                <c:ext xmlns:c16="http://schemas.microsoft.com/office/drawing/2014/chart" uri="{C3380CC4-5D6E-409C-BE32-E72D297353CC}">
                  <c16:uniqueId val="{00000005-1B88-468F-B926-1611BD07E22A}"/>
                </c:ext>
              </c:extLst>
            </c:dLbl>
            <c:dLbl>
              <c:idx val="3"/>
              <c:layout>
                <c:manualLayout>
                  <c:x val="-0.12276687550279125"/>
                  <c:y val="-5.9366617634335509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40466297749932956"/>
                      <c:h val="0.1145653162069825"/>
                    </c:manualLayout>
                  </c15:layout>
                </c:ext>
                <c:ext xmlns:c16="http://schemas.microsoft.com/office/drawing/2014/chart" uri="{C3380CC4-5D6E-409C-BE32-E72D297353CC}">
                  <c16:uniqueId val="{00000007-1B88-468F-B926-1611BD07E22A}"/>
                </c:ext>
              </c:extLst>
            </c:dLbl>
            <c:dLbl>
              <c:idx val="4"/>
              <c:layout>
                <c:manualLayout>
                  <c:x val="-3.1581547662579326E-2"/>
                  <c:y val="-5.9142222606789537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35573486750688676"/>
                      <c:h val="8.4839367146145844E-2"/>
                    </c:manualLayout>
                  </c15:layout>
                </c:ext>
                <c:ext xmlns:c16="http://schemas.microsoft.com/office/drawing/2014/chart" uri="{C3380CC4-5D6E-409C-BE32-E72D297353CC}">
                  <c16:uniqueId val="{00000009-1B88-468F-B926-1611BD07E22A}"/>
                </c:ext>
              </c:extLst>
            </c:dLbl>
            <c:dLbl>
              <c:idx val="5"/>
              <c:layout>
                <c:manualLayout>
                  <c:x val="-3.3978696158063829E-2"/>
                  <c:y val="-0.1414556635114160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148168011506299"/>
                      <c:h val="0.1026361090338568"/>
                    </c:manualLayout>
                  </c15:layout>
                </c:ext>
                <c:ext xmlns:c16="http://schemas.microsoft.com/office/drawing/2014/chart" uri="{C3380CC4-5D6E-409C-BE32-E72D297353CC}">
                  <c16:uniqueId val="{0000000B-1B88-468F-B926-1611BD07E22A}"/>
                </c:ext>
              </c:extLst>
            </c:dLbl>
            <c:dLbl>
              <c:idx val="6"/>
              <c:layout>
                <c:manualLayout>
                  <c:x val="1.3583936682837246E-2"/>
                  <c:y val="-6.0860129913928356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100683389808472"/>
                      <c:h val="0.13948298362146072"/>
                    </c:manualLayout>
                  </c15:layout>
                </c:ext>
                <c:ext xmlns:c16="http://schemas.microsoft.com/office/drawing/2014/chart" uri="{C3380CC4-5D6E-409C-BE32-E72D297353CC}">
                  <c16:uniqueId val="{0000000D-1B88-468F-B926-1611BD07E22A}"/>
                </c:ext>
              </c:extLst>
            </c:dLbl>
            <c:dLbl>
              <c:idx val="7"/>
              <c:layout>
                <c:manualLayout>
                  <c:x val="-9.9826388888888895E-2"/>
                  <c:y val="-3.498702690789617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421006944444446"/>
                      <c:h val="0.10159033078880406"/>
                    </c:manualLayout>
                  </c15:layout>
                </c:ext>
                <c:ext xmlns:c16="http://schemas.microsoft.com/office/drawing/2014/chart" uri="{C3380CC4-5D6E-409C-BE32-E72D297353CC}">
                  <c16:uniqueId val="{0000000F-1B88-468F-B926-1611BD07E22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Sheet1!$A$2:$A$8</c:f>
              <c:strCache>
                <c:ptCount val="7"/>
                <c:pt idx="0">
                  <c:v>Integrated Circuits</c:v>
                </c:pt>
                <c:pt idx="1">
                  <c:v>Semiconductors</c:v>
                </c:pt>
                <c:pt idx="2">
                  <c:v>Switches</c:v>
                </c:pt>
                <c:pt idx="3">
                  <c:v>Telephone Equip</c:v>
                </c:pt>
                <c:pt idx="4">
                  <c:v>Insulated Wires</c:v>
                </c:pt>
                <c:pt idx="5">
                  <c:v>Generators</c:v>
                </c:pt>
                <c:pt idx="6">
                  <c:v>Other</c:v>
                </c:pt>
              </c:strCache>
            </c:strRef>
          </c:cat>
          <c:val>
            <c:numRef>
              <c:f>Sheet1!$B$2:$B$8</c:f>
              <c:numCache>
                <c:formatCode>#,##0</c:formatCode>
                <c:ptCount val="7"/>
                <c:pt idx="0">
                  <c:v>271909305</c:v>
                </c:pt>
                <c:pt idx="1">
                  <c:v>63340627</c:v>
                </c:pt>
                <c:pt idx="2">
                  <c:v>61891906</c:v>
                </c:pt>
                <c:pt idx="3">
                  <c:v>44196545</c:v>
                </c:pt>
                <c:pt idx="4">
                  <c:v>38884431</c:v>
                </c:pt>
                <c:pt idx="5">
                  <c:v>37423756</c:v>
                </c:pt>
                <c:pt idx="6">
                  <c:v>309750313</c:v>
                </c:pt>
              </c:numCache>
            </c:numRef>
          </c:val>
          <c:extLst>
            <c:ext xmlns:c16="http://schemas.microsoft.com/office/drawing/2014/chart" uri="{C3380CC4-5D6E-409C-BE32-E72D297353CC}">
              <c16:uniqueId val="{00000012-1B88-468F-B926-1611BD07E2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0D10-ADD4-42E9-9B0B-D34B407B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Minnesota Quarterly Export Statistics, 4th Quarter 2021</vt:lpstr>
    </vt:vector>
  </TitlesOfParts>
  <Company>MN DEED</Company>
  <LinksUpToDate>false</LinksUpToDate>
  <CharactersWithSpaces>4625</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4th Quarter 2021</dc:title>
  <dc:subject>Minnesota Quarterly Export Statistics</dc:subject>
  <dc:creator>Economic Analysis Unit (T. Ho-Kim)</dc:creator>
  <dc:description>4th Quarter 2021</dc:description>
  <cp:lastModifiedBy>Thu-Mai Ho-Kim</cp:lastModifiedBy>
  <cp:revision>6</cp:revision>
  <cp:lastPrinted>2021-02-10T19:09:00Z</cp:lastPrinted>
  <dcterms:created xsi:type="dcterms:W3CDTF">2022-04-20T14:39:00Z</dcterms:created>
  <dcterms:modified xsi:type="dcterms:W3CDTF">2022-04-20T19:59:00Z</dcterms:modified>
</cp:coreProperties>
</file>