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40E19" w14:textId="77777777" w:rsidR="00CE313B" w:rsidRPr="00AF78AB" w:rsidRDefault="00EB5C34" w:rsidP="004B3151">
      <w:pPr>
        <w:tabs>
          <w:tab w:val="left" w:pos="360"/>
          <w:tab w:val="left" w:pos="6660"/>
        </w:tabs>
        <w:spacing w:after="120"/>
        <w:jc w:val="center"/>
        <w:sectPr w:rsidR="00CE313B" w:rsidRPr="00AF78AB" w:rsidSect="00BC5D6C">
          <w:headerReference w:type="even" r:id="rId8"/>
          <w:footerReference w:type="even" r:id="rId9"/>
          <w:footnotePr>
            <w:numRestart w:val="eachSect"/>
          </w:footnotePr>
          <w:endnotePr>
            <w:numFmt w:val="decimal"/>
          </w:endnotePr>
          <w:type w:val="continuous"/>
          <w:pgSz w:w="12240" w:h="15840" w:code="1"/>
          <w:pgMar w:top="864" w:right="1152" w:bottom="864" w:left="1152" w:header="720" w:footer="720" w:gutter="0"/>
          <w:cols w:space="720"/>
          <w:titlePg/>
          <w:docGrid w:linePitch="272"/>
        </w:sectPr>
      </w:pPr>
      <w:r w:rsidRPr="00AF78AB">
        <w:rPr>
          <w:noProof/>
        </w:rPr>
        <mc:AlternateContent>
          <mc:Choice Requires="wps">
            <w:drawing>
              <wp:anchor distT="0" distB="0" distL="114300" distR="114300" simplePos="0" relativeHeight="251666432" behindDoc="0" locked="0" layoutInCell="1" allowOverlap="1" wp14:anchorId="2D21032A" wp14:editId="29DD4F70">
                <wp:simplePos x="0" y="0"/>
                <wp:positionH relativeFrom="column">
                  <wp:posOffset>6350</wp:posOffset>
                </wp:positionH>
                <wp:positionV relativeFrom="paragraph">
                  <wp:posOffset>1113155</wp:posOffset>
                </wp:positionV>
                <wp:extent cx="6303010" cy="419100"/>
                <wp:effectExtent l="0" t="0" r="0" b="0"/>
                <wp:wrapNone/>
                <wp:docPr id="2" name="Text Box 2" descr="text box:&#10;Annual Data on Minnesota Manufactured Exports for 2022 – Published in March 2023&#10;For More Information: Alicia Cordes-Mayo (alicia.cordes-mayo@state.mn.us, 763-406-996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01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9F056" w14:textId="42A1D845" w:rsidR="00EB5C34" w:rsidRPr="00B577E0" w:rsidRDefault="00EB5C34" w:rsidP="00EB5C34">
                            <w:pPr>
                              <w:pStyle w:val="NoSpacing"/>
                              <w:jc w:val="center"/>
                              <w:rPr>
                                <w:rStyle w:val="Emphasis"/>
                                <w:b/>
                              </w:rPr>
                            </w:pPr>
                            <w:bookmarkStart w:id="0" w:name="_Hlk97280551"/>
                            <w:r>
                              <w:rPr>
                                <w:rStyle w:val="Emphasis"/>
                                <w:b/>
                              </w:rPr>
                              <w:t xml:space="preserve">Annual </w:t>
                            </w:r>
                            <w:r w:rsidRPr="00B577E0">
                              <w:rPr>
                                <w:rStyle w:val="Emphasis"/>
                                <w:b/>
                              </w:rPr>
                              <w:t>Dat</w:t>
                            </w:r>
                            <w:r>
                              <w:rPr>
                                <w:rStyle w:val="Emphasis"/>
                                <w:b/>
                              </w:rPr>
                              <w:t xml:space="preserve">a on Minnesota </w:t>
                            </w:r>
                            <w:r w:rsidR="00777893">
                              <w:rPr>
                                <w:rStyle w:val="Emphasis"/>
                                <w:b/>
                              </w:rPr>
                              <w:t xml:space="preserve">Manufactured </w:t>
                            </w:r>
                            <w:r>
                              <w:rPr>
                                <w:rStyle w:val="Emphasis"/>
                                <w:b/>
                              </w:rPr>
                              <w:t>Exports for 202</w:t>
                            </w:r>
                            <w:r w:rsidR="00EF4385">
                              <w:rPr>
                                <w:rStyle w:val="Emphasis"/>
                                <w:b/>
                              </w:rPr>
                              <w:t>2</w:t>
                            </w:r>
                            <w:r>
                              <w:rPr>
                                <w:rStyle w:val="Emphasis"/>
                                <w:b/>
                              </w:rPr>
                              <w:t xml:space="preserve"> – Published</w:t>
                            </w:r>
                            <w:r w:rsidR="002E7C23">
                              <w:rPr>
                                <w:rStyle w:val="Emphasis"/>
                                <w:b/>
                              </w:rPr>
                              <w:t xml:space="preserve"> in</w:t>
                            </w:r>
                            <w:r w:rsidR="00EF4385">
                              <w:rPr>
                                <w:rStyle w:val="Emphasis"/>
                                <w:b/>
                              </w:rPr>
                              <w:t xml:space="preserve"> </w:t>
                            </w:r>
                            <w:r w:rsidR="002F018D">
                              <w:rPr>
                                <w:rStyle w:val="Emphasis"/>
                                <w:b/>
                              </w:rPr>
                              <w:t>March</w:t>
                            </w:r>
                            <w:r>
                              <w:rPr>
                                <w:rStyle w:val="Emphasis"/>
                                <w:b/>
                              </w:rPr>
                              <w:t xml:space="preserve"> 202</w:t>
                            </w:r>
                            <w:r w:rsidR="00EF4385">
                              <w:rPr>
                                <w:rStyle w:val="Emphasis"/>
                                <w:b/>
                              </w:rPr>
                              <w:t>3</w:t>
                            </w:r>
                          </w:p>
                          <w:p w14:paraId="5815E523" w14:textId="0417D7ED" w:rsidR="00EB5C34" w:rsidRPr="00690C1B" w:rsidRDefault="00EB5C34" w:rsidP="00EB5C34">
                            <w:pPr>
                              <w:pStyle w:val="NoSpacing"/>
                              <w:jc w:val="center"/>
                              <w:rPr>
                                <w:rStyle w:val="Emphasis"/>
                                <w:b/>
                                <w:i w:val="0"/>
                                <w:iCs w:val="0"/>
                                <w:color w:val="FF0000"/>
                              </w:rPr>
                            </w:pPr>
                            <w:r w:rsidRPr="00690C1B">
                              <w:rPr>
                                <w:rStyle w:val="Emphasis"/>
                                <w:b/>
                              </w:rPr>
                              <w:t>For More Information</w:t>
                            </w:r>
                            <w:r w:rsidRPr="00690C1B">
                              <w:rPr>
                                <w:rStyle w:val="Emphasis"/>
                                <w:i w:val="0"/>
                                <w:iCs w:val="0"/>
                              </w:rPr>
                              <w:t xml:space="preserve">: </w:t>
                            </w:r>
                            <w:r w:rsidR="007B5C21" w:rsidRPr="00690C1B">
                              <w:rPr>
                                <w:rStyle w:val="Strong"/>
                                <w:i/>
                                <w:iCs/>
                              </w:rPr>
                              <w:t>Alicia Cordes-Mayo</w:t>
                            </w:r>
                            <w:r w:rsidR="00690C1B" w:rsidRPr="00690C1B">
                              <w:rPr>
                                <w:rStyle w:val="Strong"/>
                                <w:i/>
                                <w:iCs/>
                              </w:rPr>
                              <w:t xml:space="preserve"> (</w:t>
                            </w:r>
                            <w:r w:rsidR="00690C1B" w:rsidRPr="00690C1B">
                              <w:rPr>
                                <w:b/>
                                <w:bCs/>
                                <w:i/>
                                <w:iCs/>
                              </w:rPr>
                              <w:t>alicia.cordes-mayo@state.mn.us, 763-406-9965)</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1032A" id="_x0000_t202" coordsize="21600,21600" o:spt="202" path="m,l,21600r21600,l21600,xe">
                <v:stroke joinstyle="miter"/>
                <v:path gradientshapeok="t" o:connecttype="rect"/>
              </v:shapetype>
              <v:shape id="Text Box 2" o:spid="_x0000_s1026" type="#_x0000_t202" alt="text box:&#10;Annual Data on Minnesota Manufactured Exports for 2022 – Published in March 2023&#10;For More Information: Alicia Cordes-Mayo (alicia.cordes-mayo@state.mn.us, 763-406-9965)&#10;" style="position:absolute;left:0;text-align:left;margin-left:.5pt;margin-top:87.65pt;width:496.3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" filled="f" stroked="f">
                <v:textbox>
                  <w:txbxContent>
                    <w:p w14:paraId="42C9F056" w14:textId="42A1D845" w:rsidR="00EB5C34" w:rsidRPr="00B577E0" w:rsidRDefault="00EB5C34" w:rsidP="00EB5C34">
                      <w:pPr>
                        <w:pStyle w:val="NoSpacing"/>
                        <w:jc w:val="center"/>
                        <w:rPr>
                          <w:rStyle w:val="Emphasis"/>
                          <w:b/>
                        </w:rPr>
                      </w:pPr>
                      <w:bookmarkStart w:id="1" w:name="_Hlk97280551"/>
                      <w:r>
                        <w:rPr>
                          <w:rStyle w:val="Emphasis"/>
                          <w:b/>
                        </w:rPr>
                        <w:t xml:space="preserve">Annual </w:t>
                      </w:r>
                      <w:r w:rsidRPr="00B577E0">
                        <w:rPr>
                          <w:rStyle w:val="Emphasis"/>
                          <w:b/>
                        </w:rPr>
                        <w:t>Dat</w:t>
                      </w:r>
                      <w:r>
                        <w:rPr>
                          <w:rStyle w:val="Emphasis"/>
                          <w:b/>
                        </w:rPr>
                        <w:t xml:space="preserve">a on Minnesota </w:t>
                      </w:r>
                      <w:r w:rsidR="00777893">
                        <w:rPr>
                          <w:rStyle w:val="Emphasis"/>
                          <w:b/>
                        </w:rPr>
                        <w:t xml:space="preserve">Manufactured </w:t>
                      </w:r>
                      <w:r>
                        <w:rPr>
                          <w:rStyle w:val="Emphasis"/>
                          <w:b/>
                        </w:rPr>
                        <w:t>Exports for 202</w:t>
                      </w:r>
                      <w:r w:rsidR="00EF4385">
                        <w:rPr>
                          <w:rStyle w:val="Emphasis"/>
                          <w:b/>
                        </w:rPr>
                        <w:t>2</w:t>
                      </w:r>
                      <w:r>
                        <w:rPr>
                          <w:rStyle w:val="Emphasis"/>
                          <w:b/>
                        </w:rPr>
                        <w:t xml:space="preserve"> – Published</w:t>
                      </w:r>
                      <w:r w:rsidR="002E7C23">
                        <w:rPr>
                          <w:rStyle w:val="Emphasis"/>
                          <w:b/>
                        </w:rPr>
                        <w:t xml:space="preserve"> in</w:t>
                      </w:r>
                      <w:r w:rsidR="00EF4385">
                        <w:rPr>
                          <w:rStyle w:val="Emphasis"/>
                          <w:b/>
                        </w:rPr>
                        <w:t xml:space="preserve"> </w:t>
                      </w:r>
                      <w:r w:rsidR="002F018D">
                        <w:rPr>
                          <w:rStyle w:val="Emphasis"/>
                          <w:b/>
                        </w:rPr>
                        <w:t>March</w:t>
                      </w:r>
                      <w:r>
                        <w:rPr>
                          <w:rStyle w:val="Emphasis"/>
                          <w:b/>
                        </w:rPr>
                        <w:t xml:space="preserve"> 202</w:t>
                      </w:r>
                      <w:r w:rsidR="00EF4385">
                        <w:rPr>
                          <w:rStyle w:val="Emphasis"/>
                          <w:b/>
                        </w:rPr>
                        <w:t>3</w:t>
                      </w:r>
                    </w:p>
                    <w:p w14:paraId="5815E523" w14:textId="0417D7ED" w:rsidR="00EB5C34" w:rsidRPr="00690C1B" w:rsidRDefault="00EB5C34" w:rsidP="00EB5C34">
                      <w:pPr>
                        <w:pStyle w:val="NoSpacing"/>
                        <w:jc w:val="center"/>
                        <w:rPr>
                          <w:rStyle w:val="Emphasis"/>
                          <w:b/>
                          <w:i w:val="0"/>
                          <w:iCs w:val="0"/>
                          <w:color w:val="FF0000"/>
                        </w:rPr>
                      </w:pPr>
                      <w:r w:rsidRPr="00690C1B">
                        <w:rPr>
                          <w:rStyle w:val="Emphasis"/>
                          <w:b/>
                        </w:rPr>
                        <w:t>For More Information</w:t>
                      </w:r>
                      <w:r w:rsidRPr="00690C1B">
                        <w:rPr>
                          <w:rStyle w:val="Emphasis"/>
                          <w:i w:val="0"/>
                          <w:iCs w:val="0"/>
                        </w:rPr>
                        <w:t xml:space="preserve">: </w:t>
                      </w:r>
                      <w:r w:rsidR="007B5C21" w:rsidRPr="00690C1B">
                        <w:rPr>
                          <w:rStyle w:val="Strong"/>
                          <w:i/>
                          <w:iCs/>
                        </w:rPr>
                        <w:t>Alicia Cordes-Mayo</w:t>
                      </w:r>
                      <w:r w:rsidR="00690C1B" w:rsidRPr="00690C1B">
                        <w:rPr>
                          <w:rStyle w:val="Strong"/>
                          <w:i/>
                          <w:iCs/>
                        </w:rPr>
                        <w:t xml:space="preserve"> (</w:t>
                      </w:r>
                      <w:r w:rsidR="00690C1B" w:rsidRPr="00690C1B">
                        <w:rPr>
                          <w:b/>
                          <w:bCs/>
                          <w:i/>
                          <w:iCs/>
                        </w:rPr>
                        <w:t>alicia.cordes-mayo@state.mn.us, 763-406-9965)</w:t>
                      </w:r>
                      <w:bookmarkEnd w:id="1"/>
                    </w:p>
                  </w:txbxContent>
                </v:textbox>
              </v:shape>
            </w:pict>
          </mc:Fallback>
        </mc:AlternateContent>
      </w:r>
      <w:r w:rsidR="00634377" w:rsidRPr="00AF78AB">
        <w:rPr>
          <w:noProof/>
        </w:rPr>
        <w:drawing>
          <wp:inline distT="0" distB="0" distL="0" distR="0" wp14:anchorId="5382DE4E" wp14:editId="5E9D1485">
            <wp:extent cx="6309360" cy="1103630"/>
            <wp:effectExtent l="0" t="0" r="0" b="1270"/>
            <wp:docPr id="7" name="Picture 7" descr="title banner&#10;&#10;Annual 2022 Data on Minnesota  Manufactured Exports – Published March 2023.&#10;For More Information: Alicia Cordes-Mayo (alicia.cordes-mayo@state.mn.us, 763-406-996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itle banner&#10;&#10;Annual 2022 Data on Minnesota  Manufactured Exports – Published March 2023.&#10;For More Information: Alicia Cordes-Mayo (alicia.cordes-mayo@state.mn.us, 763-406-9965)&#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09360" cy="1103630"/>
                    </a:xfrm>
                    <a:prstGeom prst="rect">
                      <a:avLst/>
                    </a:prstGeom>
                  </pic:spPr>
                </pic:pic>
              </a:graphicData>
            </a:graphic>
          </wp:inline>
        </w:drawing>
      </w:r>
      <w:r w:rsidR="00961671" w:rsidRPr="00AF78AB">
        <w:rPr>
          <w:noProof/>
        </w:rPr>
        <w:t xml:space="preserve"> </w:t>
      </w:r>
    </w:p>
    <w:p w14:paraId="0393960A" w14:textId="4C0A67F0" w:rsidR="00D73299" w:rsidRPr="00AF78AB" w:rsidRDefault="00EF4385" w:rsidP="0000336A">
      <w:pPr>
        <w:pStyle w:val="Heading1"/>
        <w:spacing w:before="720" w:after="120"/>
        <w:sectPr w:rsidR="00D73299" w:rsidRPr="00AF78AB" w:rsidSect="00BC5D6C">
          <w:footerReference w:type="default" r:id="rId11"/>
          <w:footnotePr>
            <w:numRestart w:val="eachSect"/>
          </w:footnotePr>
          <w:endnotePr>
            <w:numFmt w:val="decimal"/>
          </w:endnotePr>
          <w:type w:val="continuous"/>
          <w:pgSz w:w="12240" w:h="15840" w:code="1"/>
          <w:pgMar w:top="864" w:right="1152" w:bottom="864" w:left="1152" w:header="720" w:footer="720" w:gutter="0"/>
          <w:cols w:space="720"/>
          <w:titlePg/>
          <w:docGrid w:linePitch="299"/>
        </w:sectPr>
      </w:pPr>
      <w:r w:rsidRPr="00AF78AB">
        <w:t xml:space="preserve">State </w:t>
      </w:r>
      <w:r w:rsidR="00F050F6" w:rsidRPr="00AF78AB">
        <w:t>Export</w:t>
      </w:r>
      <w:r w:rsidR="005F1D50" w:rsidRPr="00AF78AB">
        <w:t>s</w:t>
      </w:r>
      <w:r w:rsidR="00F050F6" w:rsidRPr="00AF78AB">
        <w:t xml:space="preserve"> </w:t>
      </w:r>
      <w:r w:rsidRPr="00AF78AB">
        <w:t>Reach Record High:</w:t>
      </w:r>
      <w:r w:rsidR="00EB5C34" w:rsidRPr="00AF78AB">
        <w:t xml:space="preserve"> $2</w:t>
      </w:r>
      <w:r w:rsidRPr="00AF78AB">
        <w:t>7</w:t>
      </w:r>
      <w:r w:rsidR="00634377" w:rsidRPr="00AF78AB">
        <w:t xml:space="preserve"> Billion</w:t>
      </w:r>
      <w:r w:rsidR="004E209A" w:rsidRPr="00AF78AB">
        <w:t xml:space="preserve"> in </w:t>
      </w:r>
      <w:r w:rsidR="002E7C23" w:rsidRPr="00AF78AB">
        <w:t>202</w:t>
      </w:r>
      <w:r w:rsidRPr="00AF78AB">
        <w:t>2</w:t>
      </w:r>
      <w:r w:rsidR="00073511" w:rsidRPr="00AF78AB">
        <w:t xml:space="preserve">, </w:t>
      </w:r>
      <w:r w:rsidR="00B6620C" w:rsidRPr="00AF78AB">
        <w:t>Up</w:t>
      </w:r>
      <w:r w:rsidR="00073511" w:rsidRPr="00AF78AB">
        <w:t xml:space="preserve"> 1</w:t>
      </w:r>
      <w:r w:rsidRPr="00AF78AB">
        <w:t>6</w:t>
      </w:r>
      <w:r w:rsidR="00073511" w:rsidRPr="00AF78AB">
        <w:t>%</w:t>
      </w:r>
    </w:p>
    <w:p w14:paraId="4FEFA4BF" w14:textId="7A1C05C2" w:rsidR="000D5400" w:rsidRPr="00AF78AB" w:rsidRDefault="007F1C4A" w:rsidP="00876C3E">
      <w:pPr>
        <w:pStyle w:val="ListParagraph"/>
        <w:numPr>
          <w:ilvl w:val="0"/>
          <w:numId w:val="27"/>
        </w:numPr>
        <w:ind w:left="450"/>
      </w:pPr>
      <w:r w:rsidRPr="00AF78AB">
        <w:t xml:space="preserve">Minnesota exports (including agricultural, </w:t>
      </w:r>
      <w:proofErr w:type="gramStart"/>
      <w:r w:rsidRPr="00AF78AB">
        <w:t>mining</w:t>
      </w:r>
      <w:proofErr w:type="gramEnd"/>
      <w:r w:rsidRPr="00AF78AB">
        <w:t xml:space="preserve"> and manufact</w:t>
      </w:r>
      <w:r w:rsidR="00A02A94" w:rsidRPr="00AF78AB">
        <w:t xml:space="preserve">ured products) </w:t>
      </w:r>
      <w:r w:rsidR="00D43A30" w:rsidRPr="00AF78AB">
        <w:t>were valued</w:t>
      </w:r>
      <w:r w:rsidR="00C5460D" w:rsidRPr="00AF78AB">
        <w:t xml:space="preserve"> at</w:t>
      </w:r>
      <w:r w:rsidR="00D43A30" w:rsidRPr="00AF78AB">
        <w:t xml:space="preserve"> </w:t>
      </w:r>
      <w:r w:rsidR="00EF4385" w:rsidRPr="00AF78AB">
        <w:t>over</w:t>
      </w:r>
      <w:r w:rsidR="002E7C23" w:rsidRPr="00AF78AB">
        <w:t xml:space="preserve"> </w:t>
      </w:r>
      <w:r w:rsidR="00E92FA6" w:rsidRPr="00AF78AB">
        <w:t>$</w:t>
      </w:r>
      <w:r w:rsidR="00EB5C34" w:rsidRPr="00AF78AB">
        <w:t>2</w:t>
      </w:r>
      <w:r w:rsidR="00EF4385" w:rsidRPr="00AF78AB">
        <w:t>7</w:t>
      </w:r>
      <w:r w:rsidR="0072390C" w:rsidRPr="00AF78AB">
        <w:t xml:space="preserve"> billion </w:t>
      </w:r>
      <w:r w:rsidR="00BF3ADC" w:rsidRPr="00AF78AB">
        <w:t xml:space="preserve">in </w:t>
      </w:r>
      <w:r w:rsidR="002E7C23" w:rsidRPr="00AF78AB">
        <w:t>202</w:t>
      </w:r>
      <w:r w:rsidR="00EF4385" w:rsidRPr="00AF78AB">
        <w:t>2</w:t>
      </w:r>
      <w:r w:rsidR="001403DF" w:rsidRPr="00AF78AB">
        <w:t xml:space="preserve">. </w:t>
      </w:r>
      <w:r w:rsidR="001D101E" w:rsidRPr="00AF78AB">
        <w:t>The state’s e</w:t>
      </w:r>
      <w:r w:rsidR="002E7C23" w:rsidRPr="00AF78AB">
        <w:t>xports</w:t>
      </w:r>
      <w:r w:rsidR="008025ED" w:rsidRPr="00AF78AB">
        <w:t xml:space="preserve"> </w:t>
      </w:r>
      <w:r w:rsidR="00EF4385" w:rsidRPr="00AF78AB">
        <w:t xml:space="preserve">continued </w:t>
      </w:r>
      <w:r w:rsidR="00CE5D2E" w:rsidRPr="00AF78AB">
        <w:t>their</w:t>
      </w:r>
      <w:r w:rsidR="00EF4385" w:rsidRPr="00AF78AB">
        <w:t xml:space="preserve"> growth streak </w:t>
      </w:r>
      <w:r w:rsidR="00B44E06" w:rsidRPr="00AF78AB">
        <w:t>from</w:t>
      </w:r>
      <w:r w:rsidR="00EF4385" w:rsidRPr="00AF78AB">
        <w:t xml:space="preserve"> 2021, </w:t>
      </w:r>
      <w:r w:rsidR="002E7C23" w:rsidRPr="00AF78AB">
        <w:t>jump</w:t>
      </w:r>
      <w:r w:rsidR="00F96126" w:rsidRPr="00AF78AB">
        <w:t>ing</w:t>
      </w:r>
      <w:r w:rsidR="002E7C23" w:rsidRPr="00AF78AB">
        <w:t xml:space="preserve"> </w:t>
      </w:r>
      <w:r w:rsidR="004D4C85" w:rsidRPr="00AF78AB">
        <w:t>1</w:t>
      </w:r>
      <w:r w:rsidR="00EF4385" w:rsidRPr="00AF78AB">
        <w:t>6</w:t>
      </w:r>
      <w:r w:rsidR="001F5C09" w:rsidRPr="00AF78AB">
        <w:t>%</w:t>
      </w:r>
      <w:r w:rsidR="004D4C85" w:rsidRPr="00AF78AB">
        <w:t xml:space="preserve"> </w:t>
      </w:r>
      <w:r w:rsidR="002E7C23" w:rsidRPr="00AF78AB">
        <w:t>in 202</w:t>
      </w:r>
      <w:r w:rsidR="00EF4385" w:rsidRPr="00AF78AB">
        <w:t>2</w:t>
      </w:r>
      <w:r w:rsidR="002E7C23" w:rsidRPr="00AF78AB">
        <w:t>.</w:t>
      </w:r>
      <w:r w:rsidR="00AA7B6C" w:rsidRPr="00AF78AB">
        <w:t xml:space="preserve"> </w:t>
      </w:r>
      <w:r w:rsidR="00846B2F" w:rsidRPr="00AF78AB">
        <w:t xml:space="preserve">U.S. exports </w:t>
      </w:r>
      <w:r w:rsidR="00B44E06" w:rsidRPr="00AF78AB">
        <w:t>grew</w:t>
      </w:r>
      <w:r w:rsidR="00D43A30" w:rsidRPr="00AF78AB">
        <w:t xml:space="preserve"> </w:t>
      </w:r>
      <w:r w:rsidR="00EF4385" w:rsidRPr="00AF78AB">
        <w:t>18</w:t>
      </w:r>
      <w:r w:rsidR="001F5C09" w:rsidRPr="00AF78AB">
        <w:t>%</w:t>
      </w:r>
      <w:r w:rsidR="00F96126" w:rsidRPr="00AF78AB">
        <w:t xml:space="preserve"> </w:t>
      </w:r>
      <w:r w:rsidR="00EF4385" w:rsidRPr="00AF78AB">
        <w:t>between</w:t>
      </w:r>
      <w:r w:rsidR="00F96126" w:rsidRPr="00AF78AB">
        <w:t xml:space="preserve"> 202</w:t>
      </w:r>
      <w:r w:rsidR="00EF4385" w:rsidRPr="00AF78AB">
        <w:t>1 and 2022</w:t>
      </w:r>
      <w:r w:rsidR="001403DF" w:rsidRPr="00AF78AB">
        <w:t>.</w:t>
      </w:r>
      <w:r w:rsidR="00EF4385" w:rsidRPr="00AF78AB">
        <w:t xml:space="preserve"> Th</w:t>
      </w:r>
      <w:r w:rsidR="00CE5D2E" w:rsidRPr="00AF78AB">
        <w:t>ese</w:t>
      </w:r>
      <w:r w:rsidR="00EF4385" w:rsidRPr="00AF78AB">
        <w:t xml:space="preserve"> growth rates </w:t>
      </w:r>
      <w:r w:rsidR="00B44E06" w:rsidRPr="00AF78AB">
        <w:t>are</w:t>
      </w:r>
      <w:r w:rsidR="00EF4385" w:rsidRPr="00AF78AB">
        <w:t xml:space="preserve"> robust, even</w:t>
      </w:r>
      <w:r w:rsidR="00B44E06" w:rsidRPr="00AF78AB">
        <w:t xml:space="preserve"> </w:t>
      </w:r>
      <w:r w:rsidR="008C1D0C" w:rsidRPr="00AF78AB">
        <w:t>with</w:t>
      </w:r>
      <w:r w:rsidR="00B44E06" w:rsidRPr="00AF78AB">
        <w:t xml:space="preserve"> </w:t>
      </w:r>
      <w:r w:rsidR="008C1D0C" w:rsidRPr="00AF78AB">
        <w:t>average U.S.</w:t>
      </w:r>
      <w:r w:rsidR="00EF4385" w:rsidRPr="00AF78AB">
        <w:t xml:space="preserve"> inflation </w:t>
      </w:r>
      <w:r w:rsidR="00833612" w:rsidRPr="00AF78AB">
        <w:t>of</w:t>
      </w:r>
      <w:r w:rsidR="00EF4385" w:rsidRPr="00AF78AB">
        <w:t xml:space="preserve"> 6.5% in 2022.</w:t>
      </w:r>
    </w:p>
    <w:p w14:paraId="3790062F" w14:textId="67CF3EB9" w:rsidR="00192CA0" w:rsidRPr="00AF78AB" w:rsidRDefault="00D13DB2" w:rsidP="00876C3E">
      <w:pPr>
        <w:pStyle w:val="ListParagraph"/>
        <w:numPr>
          <w:ilvl w:val="0"/>
          <w:numId w:val="27"/>
        </w:numPr>
        <w:spacing w:after="0"/>
        <w:ind w:left="450"/>
      </w:pPr>
      <w:r w:rsidRPr="00AF78AB">
        <w:t>The state</w:t>
      </w:r>
      <w:r w:rsidR="000F4677" w:rsidRPr="00AF78AB">
        <w:t xml:space="preserve"> ranked </w:t>
      </w:r>
      <w:r w:rsidR="00F96126" w:rsidRPr="00AF78AB">
        <w:t>2</w:t>
      </w:r>
      <w:r w:rsidR="00EF4385" w:rsidRPr="00AF78AB">
        <w:t>1</w:t>
      </w:r>
      <w:r w:rsidR="00EF4385" w:rsidRPr="00AF78AB">
        <w:rPr>
          <w:vertAlign w:val="superscript"/>
        </w:rPr>
        <w:t>st</w:t>
      </w:r>
      <w:r w:rsidR="000F4677" w:rsidRPr="00AF78AB">
        <w:t xml:space="preserve"> </w:t>
      </w:r>
      <w:r w:rsidR="00EF4385" w:rsidRPr="00AF78AB">
        <w:t xml:space="preserve">highest </w:t>
      </w:r>
      <w:r w:rsidRPr="00AF78AB">
        <w:t>in export</w:t>
      </w:r>
      <w:r w:rsidR="00EF4385" w:rsidRPr="00AF78AB">
        <w:t xml:space="preserve"> value and 15</w:t>
      </w:r>
      <w:r w:rsidR="00EF4385" w:rsidRPr="00AF78AB">
        <w:rPr>
          <w:vertAlign w:val="superscript"/>
        </w:rPr>
        <w:t>th</w:t>
      </w:r>
      <w:r w:rsidR="00EF4385" w:rsidRPr="00AF78AB">
        <w:t xml:space="preserve"> highest in export growth rate</w:t>
      </w:r>
      <w:r w:rsidRPr="00AF78AB">
        <w:t xml:space="preserve"> </w:t>
      </w:r>
      <w:r w:rsidR="000F4677" w:rsidRPr="00AF78AB">
        <w:t>among</w:t>
      </w:r>
      <w:r w:rsidR="00876C3E" w:rsidRPr="00AF78AB">
        <w:t xml:space="preserve"> </w:t>
      </w:r>
      <w:r w:rsidR="000F4677" w:rsidRPr="00AF78AB">
        <w:t>states</w:t>
      </w:r>
      <w:r w:rsidR="00EF4385" w:rsidRPr="00AF78AB">
        <w:t xml:space="preserve">. </w:t>
      </w:r>
    </w:p>
    <w:p w14:paraId="521DDFB1" w14:textId="78E99C1B" w:rsidR="007F1C4A" w:rsidRPr="00AF78AB" w:rsidRDefault="00C5460D" w:rsidP="00876C3E">
      <w:pPr>
        <w:pStyle w:val="ListParagraph"/>
        <w:numPr>
          <w:ilvl w:val="0"/>
          <w:numId w:val="27"/>
        </w:numPr>
        <w:spacing w:after="0"/>
        <w:ind w:left="450"/>
        <w:rPr>
          <w:rStyle w:val="Heading4Char"/>
          <w:rFonts w:eastAsiaTheme="minorEastAsia" w:cstheme="minorBidi"/>
          <w:bCs w:val="0"/>
          <w:i w:val="0"/>
          <w:iCs w:val="0"/>
          <w:color w:val="auto"/>
          <w:sz w:val="22"/>
        </w:rPr>
      </w:pPr>
      <w:r w:rsidRPr="00AF78AB">
        <w:t xml:space="preserve">State </w:t>
      </w:r>
      <w:r w:rsidRPr="00AF78AB">
        <w:rPr>
          <w:i/>
        </w:rPr>
        <w:t>m</w:t>
      </w:r>
      <w:r w:rsidR="00F050F6" w:rsidRPr="00AF78AB">
        <w:rPr>
          <w:i/>
        </w:rPr>
        <w:t>anufactured</w:t>
      </w:r>
      <w:r w:rsidR="00634377" w:rsidRPr="00AF78AB">
        <w:t xml:space="preserve"> </w:t>
      </w:r>
      <w:r w:rsidR="004344C8" w:rsidRPr="00AF78AB">
        <w:t xml:space="preserve">exports </w:t>
      </w:r>
      <w:r w:rsidR="00B44E06" w:rsidRPr="00AF78AB">
        <w:t>reached</w:t>
      </w:r>
      <w:r w:rsidR="001D101E" w:rsidRPr="00AF78AB">
        <w:t xml:space="preserve"> </w:t>
      </w:r>
      <w:r w:rsidR="004344C8" w:rsidRPr="00AF78AB">
        <w:t>$</w:t>
      </w:r>
      <w:r w:rsidR="001D101E" w:rsidRPr="00AF78AB">
        <w:t>2</w:t>
      </w:r>
      <w:r w:rsidR="00EF4385" w:rsidRPr="00AF78AB">
        <w:t>4</w:t>
      </w:r>
      <w:r w:rsidR="00634377" w:rsidRPr="00AF78AB">
        <w:t xml:space="preserve"> billion</w:t>
      </w:r>
      <w:r w:rsidR="008025ED" w:rsidRPr="00AF78AB">
        <w:t>, up 1</w:t>
      </w:r>
      <w:r w:rsidR="00EF4385" w:rsidRPr="00AF78AB">
        <w:t>2</w:t>
      </w:r>
      <w:r w:rsidR="008025ED" w:rsidRPr="00AF78AB">
        <w:t>% since 202</w:t>
      </w:r>
      <w:r w:rsidR="00EF4385" w:rsidRPr="00AF78AB">
        <w:t>1</w:t>
      </w:r>
      <w:r w:rsidR="00104038" w:rsidRPr="00AF78AB">
        <w:t xml:space="preserve">. </w:t>
      </w:r>
      <w:r w:rsidR="004D75DA" w:rsidRPr="00AF78AB">
        <w:t xml:space="preserve">Exports of goods supported </w:t>
      </w:r>
      <w:r w:rsidR="00EF4385" w:rsidRPr="00AF78AB">
        <w:t>an estimated</w:t>
      </w:r>
      <w:r w:rsidR="004D75DA" w:rsidRPr="00AF78AB">
        <w:t xml:space="preserve"> 11</w:t>
      </w:r>
      <w:r w:rsidR="00CE5D2E" w:rsidRPr="00AF78AB">
        <w:t>7</w:t>
      </w:r>
      <w:r w:rsidR="004D75DA" w:rsidRPr="00AF78AB">
        <w:t>,</w:t>
      </w:r>
      <w:r w:rsidR="00CE5D2E" w:rsidRPr="00AF78AB">
        <w:t>9</w:t>
      </w:r>
      <w:r w:rsidR="004D75DA" w:rsidRPr="00AF78AB">
        <w:t xml:space="preserve">00 jobs in Minnesota </w:t>
      </w:r>
      <w:r w:rsidR="00B6620C" w:rsidRPr="00AF78AB">
        <w:t>in 202</w:t>
      </w:r>
      <w:r w:rsidR="00CE5D2E" w:rsidRPr="00AF78AB">
        <w:t>1</w:t>
      </w:r>
      <w:r w:rsidR="004D75DA" w:rsidRPr="00AF78AB">
        <w:t>.</w:t>
      </w:r>
      <w:r w:rsidR="00AF3AAB" w:rsidRPr="00AF78AB">
        <w:br w:type="column"/>
      </w:r>
      <w:r w:rsidR="007F1C4A" w:rsidRPr="00AF78AB">
        <w:rPr>
          <w:rStyle w:val="Heading4Char"/>
          <w:color w:val="auto"/>
        </w:rPr>
        <w:t xml:space="preserve">Figure </w:t>
      </w:r>
      <w:r w:rsidR="007F1C4A" w:rsidRPr="00AF78AB">
        <w:rPr>
          <w:rStyle w:val="Heading4Char"/>
          <w:b/>
          <w:color w:val="auto"/>
        </w:rPr>
        <w:fldChar w:fldCharType="begin"/>
      </w:r>
      <w:r w:rsidR="007F1C4A" w:rsidRPr="00AF78AB">
        <w:rPr>
          <w:rStyle w:val="Heading4Char"/>
          <w:color w:val="auto"/>
        </w:rPr>
        <w:instrText xml:space="preserve"> SEQ Figure \* ARABIC </w:instrText>
      </w:r>
      <w:r w:rsidR="007F1C4A" w:rsidRPr="00AF78AB">
        <w:rPr>
          <w:rStyle w:val="Heading4Char"/>
          <w:b/>
          <w:color w:val="auto"/>
        </w:rPr>
        <w:fldChar w:fldCharType="separate"/>
      </w:r>
      <w:r w:rsidR="009D1486" w:rsidRPr="00AF78AB">
        <w:rPr>
          <w:rStyle w:val="Heading4Char"/>
          <w:noProof/>
          <w:color w:val="auto"/>
        </w:rPr>
        <w:t>1</w:t>
      </w:r>
      <w:r w:rsidR="007F1C4A" w:rsidRPr="00AF78AB">
        <w:rPr>
          <w:rStyle w:val="Heading4Char"/>
          <w:b/>
          <w:color w:val="auto"/>
        </w:rPr>
        <w:fldChar w:fldCharType="end"/>
      </w:r>
      <w:r w:rsidR="00714F39" w:rsidRPr="00AF78AB">
        <w:rPr>
          <w:rStyle w:val="Heading4Char"/>
          <w:color w:val="auto"/>
        </w:rPr>
        <w:t xml:space="preserve">. </w:t>
      </w:r>
      <w:r w:rsidR="00F96126" w:rsidRPr="00AF78AB">
        <w:rPr>
          <w:rStyle w:val="Heading4Char"/>
          <w:color w:val="auto"/>
        </w:rPr>
        <w:t xml:space="preserve"> </w:t>
      </w:r>
      <w:r w:rsidR="00E859A2" w:rsidRPr="00AF78AB">
        <w:rPr>
          <w:rStyle w:val="Heading4Char"/>
          <w:color w:val="auto"/>
        </w:rPr>
        <w:t>Widespread</w:t>
      </w:r>
      <w:r w:rsidR="004D4C85" w:rsidRPr="00AF78AB">
        <w:rPr>
          <w:rStyle w:val="Heading4Char"/>
          <w:color w:val="auto"/>
        </w:rPr>
        <w:t xml:space="preserve"> </w:t>
      </w:r>
      <w:r w:rsidR="00FA1228" w:rsidRPr="00AF78AB">
        <w:rPr>
          <w:rStyle w:val="Heading4Char"/>
          <w:color w:val="auto"/>
        </w:rPr>
        <w:t>Strong Growth</w:t>
      </w:r>
      <w:r w:rsidR="004344C8" w:rsidRPr="00AF78AB">
        <w:rPr>
          <w:rStyle w:val="Heading4Char"/>
          <w:color w:val="auto"/>
        </w:rPr>
        <w:t xml:space="preserve"> in </w:t>
      </w:r>
      <w:r w:rsidR="002E7C23" w:rsidRPr="00AF78AB">
        <w:rPr>
          <w:rStyle w:val="Heading4Char"/>
          <w:color w:val="auto"/>
        </w:rPr>
        <w:t>202</w:t>
      </w:r>
      <w:r w:rsidR="00FA1228" w:rsidRPr="00AF78AB">
        <w:rPr>
          <w:rStyle w:val="Heading4Char"/>
          <w:color w:val="auto"/>
        </w:rPr>
        <w:t>2</w:t>
      </w:r>
    </w:p>
    <w:p w14:paraId="5F1B5AAC" w14:textId="7B61612B" w:rsidR="007F1C4A" w:rsidRPr="00AF78AB" w:rsidRDefault="007F1C4A" w:rsidP="00876C3E">
      <w:pPr>
        <w:spacing w:after="0"/>
        <w:ind w:left="360"/>
      </w:pPr>
      <w:r w:rsidRPr="00AF78AB">
        <w:rPr>
          <w:noProof/>
        </w:rPr>
        <mc:AlternateContent>
          <mc:Choice Requires="wps">
            <w:drawing>
              <wp:anchor distT="0" distB="0" distL="114300" distR="114300" simplePos="0" relativeHeight="251664384" behindDoc="0" locked="0" layoutInCell="1" allowOverlap="1" wp14:anchorId="6AB82DA7" wp14:editId="1BE862EB">
                <wp:simplePos x="0" y="0"/>
                <wp:positionH relativeFrom="column">
                  <wp:posOffset>2674266</wp:posOffset>
                </wp:positionH>
                <wp:positionV relativeFrom="paragraph">
                  <wp:posOffset>1385408</wp:posOffset>
                </wp:positionV>
                <wp:extent cx="803910" cy="441960"/>
                <wp:effectExtent l="0" t="0" r="0" b="0"/>
                <wp:wrapNone/>
                <wp:docPr id="307" name="Text Box 2" descr="highlight text box&#10;MN +16%&#10;US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441960"/>
                        </a:xfrm>
                        <a:prstGeom prst="rect">
                          <a:avLst/>
                        </a:prstGeom>
                        <a:noFill/>
                        <a:ln w="9525">
                          <a:noFill/>
                          <a:miter lim="800000"/>
                          <a:headEnd/>
                          <a:tailEnd/>
                        </a:ln>
                      </wps:spPr>
                      <wps:txbx>
                        <w:txbxContent>
                          <w:p w14:paraId="51975AF3" w14:textId="4E42C645" w:rsidR="007F1C4A" w:rsidRPr="00CE0E91" w:rsidRDefault="007F1C4A" w:rsidP="007F1C4A">
                            <w:pPr>
                              <w:spacing w:after="0"/>
                              <w:rPr>
                                <w:b/>
                                <w:i/>
                                <w:sz w:val="20"/>
                              </w:rPr>
                            </w:pPr>
                            <w:r w:rsidRPr="00CE0E91">
                              <w:rPr>
                                <w:b/>
                                <w:i/>
                                <w:sz w:val="20"/>
                              </w:rPr>
                              <w:t>M</w:t>
                            </w:r>
                            <w:r w:rsidR="00AF03EA" w:rsidRPr="00CE0E91">
                              <w:rPr>
                                <w:b/>
                                <w:i/>
                                <w:sz w:val="20"/>
                              </w:rPr>
                              <w:t xml:space="preserve">N:  </w:t>
                            </w:r>
                            <w:r w:rsidR="00E859A2">
                              <w:rPr>
                                <w:b/>
                                <w:i/>
                                <w:sz w:val="20"/>
                              </w:rPr>
                              <w:t>+</w:t>
                            </w:r>
                            <w:r w:rsidR="00AF03EA" w:rsidRPr="00CE0E91">
                              <w:rPr>
                                <w:b/>
                                <w:i/>
                                <w:sz w:val="20"/>
                              </w:rPr>
                              <w:t>1</w:t>
                            </w:r>
                            <w:r w:rsidR="00B44E06">
                              <w:rPr>
                                <w:b/>
                                <w:i/>
                                <w:sz w:val="20"/>
                              </w:rPr>
                              <w:t>6</w:t>
                            </w:r>
                            <w:r w:rsidRPr="00CE0E91">
                              <w:rPr>
                                <w:b/>
                                <w:i/>
                                <w:sz w:val="20"/>
                              </w:rPr>
                              <w:t>%</w:t>
                            </w:r>
                          </w:p>
                          <w:p w14:paraId="36890F85" w14:textId="58C2206A" w:rsidR="007F1C4A" w:rsidRPr="00CE0E91" w:rsidRDefault="004344C8" w:rsidP="007F1C4A">
                            <w:pPr>
                              <w:spacing w:after="0"/>
                              <w:rPr>
                                <w:b/>
                                <w:i/>
                                <w:sz w:val="20"/>
                              </w:rPr>
                            </w:pPr>
                            <w:r w:rsidRPr="00CE0E91">
                              <w:rPr>
                                <w:b/>
                                <w:i/>
                                <w:sz w:val="20"/>
                              </w:rPr>
                              <w:t xml:space="preserve">U.S.: </w:t>
                            </w:r>
                            <w:r w:rsidR="00E859A2">
                              <w:rPr>
                                <w:b/>
                                <w:i/>
                                <w:sz w:val="20"/>
                              </w:rPr>
                              <w:t>+</w:t>
                            </w:r>
                            <w:r w:rsidR="00B44E06">
                              <w:rPr>
                                <w:b/>
                                <w:i/>
                                <w:sz w:val="20"/>
                              </w:rPr>
                              <w:t>18</w:t>
                            </w:r>
                            <w:r w:rsidR="007F1C4A" w:rsidRPr="00CE0E91">
                              <w:rPr>
                                <w:b/>
                                <w:i/>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82DA7" id="_x0000_s1027" type="#_x0000_t202" alt="highlight text box&#10;MN +16%&#10;US +18%" style="position:absolute;left:0;text-align:left;margin-left:210.55pt;margin-top:109.1pt;width:63.3pt;height:3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" filled="f" stroked="f">
                <v:textbox>
                  <w:txbxContent>
                    <w:p w14:paraId="51975AF3" w14:textId="4E42C645" w:rsidR="007F1C4A" w:rsidRPr="00CE0E91" w:rsidRDefault="007F1C4A" w:rsidP="007F1C4A">
                      <w:pPr>
                        <w:spacing w:after="0"/>
                        <w:rPr>
                          <w:b/>
                          <w:i/>
                          <w:sz w:val="20"/>
                        </w:rPr>
                      </w:pPr>
                      <w:r w:rsidRPr="00CE0E91">
                        <w:rPr>
                          <w:b/>
                          <w:i/>
                          <w:sz w:val="20"/>
                        </w:rPr>
                        <w:t>M</w:t>
                      </w:r>
                      <w:r w:rsidR="00AF03EA" w:rsidRPr="00CE0E91">
                        <w:rPr>
                          <w:b/>
                          <w:i/>
                          <w:sz w:val="20"/>
                        </w:rPr>
                        <w:t xml:space="preserve">N:  </w:t>
                      </w:r>
                      <w:r w:rsidR="00E859A2">
                        <w:rPr>
                          <w:b/>
                          <w:i/>
                          <w:sz w:val="20"/>
                        </w:rPr>
                        <w:t>+</w:t>
                      </w:r>
                      <w:r w:rsidR="00AF03EA" w:rsidRPr="00CE0E91">
                        <w:rPr>
                          <w:b/>
                          <w:i/>
                          <w:sz w:val="20"/>
                        </w:rPr>
                        <w:t>1</w:t>
                      </w:r>
                      <w:r w:rsidR="00B44E06">
                        <w:rPr>
                          <w:b/>
                          <w:i/>
                          <w:sz w:val="20"/>
                        </w:rPr>
                        <w:t>6</w:t>
                      </w:r>
                      <w:r w:rsidRPr="00CE0E91">
                        <w:rPr>
                          <w:b/>
                          <w:i/>
                          <w:sz w:val="20"/>
                        </w:rPr>
                        <w:t>%</w:t>
                      </w:r>
                    </w:p>
                    <w:p w14:paraId="36890F85" w14:textId="58C2206A" w:rsidR="007F1C4A" w:rsidRPr="00CE0E91" w:rsidRDefault="004344C8" w:rsidP="007F1C4A">
                      <w:pPr>
                        <w:spacing w:after="0"/>
                        <w:rPr>
                          <w:b/>
                          <w:i/>
                          <w:sz w:val="20"/>
                        </w:rPr>
                      </w:pPr>
                      <w:r w:rsidRPr="00CE0E91">
                        <w:rPr>
                          <w:b/>
                          <w:i/>
                          <w:sz w:val="20"/>
                        </w:rPr>
                        <w:t xml:space="preserve">U.S.: </w:t>
                      </w:r>
                      <w:r w:rsidR="00E859A2">
                        <w:rPr>
                          <w:b/>
                          <w:i/>
                          <w:sz w:val="20"/>
                        </w:rPr>
                        <w:t>+</w:t>
                      </w:r>
                      <w:r w:rsidR="00B44E06">
                        <w:rPr>
                          <w:b/>
                          <w:i/>
                          <w:sz w:val="20"/>
                        </w:rPr>
                        <w:t>18</w:t>
                      </w:r>
                      <w:r w:rsidR="007F1C4A" w:rsidRPr="00CE0E91">
                        <w:rPr>
                          <w:b/>
                          <w:i/>
                          <w:sz w:val="20"/>
                        </w:rPr>
                        <w:t>%</w:t>
                      </w:r>
                    </w:p>
                  </w:txbxContent>
                </v:textbox>
              </v:shape>
            </w:pict>
          </mc:Fallback>
        </mc:AlternateContent>
      </w:r>
      <w:r w:rsidRPr="00AF78AB">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00833612" w:rsidRPr="00AF78AB">
        <w:rPr>
          <w:noProof/>
        </w:rPr>
        <w:drawing>
          <wp:inline distT="0" distB="0" distL="0" distR="0" wp14:anchorId="137A5DB0" wp14:editId="0A8B0D4B">
            <wp:extent cx="3108605" cy="1733107"/>
            <wp:effectExtent l="0" t="0" r="0" b="635"/>
            <wp:docPr id="1" name="Picture 1" descr="State Pct Change&#10;Minnesota 16%&#10;United States 18%&#10;Alabama 22%&#10;Alaska -7%&#10;Arizona 13%&#10;Arkansas 5%&#10;California 6%&#10;Colorado 13%&#10;Connecticut 5%&#10;Delaware 10%&#10;District of Columbia 1%&#10;Florida 21%&#10;Georgia 11%&#10;Hawaii 107%&#10;Idaho 8%&#10;Illinois 18%&#10;Indiana 10%&#10;Iowa 14%&#10;Kansas 11%&#10;Kentucky 16%&#10;Louisiana 60%&#10;Maine 10%&#10;Maryland 9%&#10;Massachusetts 1%&#10;Michigan 9%&#10;Mississippi 27%&#10;Missouri 4%&#10;Montana -1%&#10;Nebraska 12%&#10;Nevada -4%&#10;New Hampshire 14%&#10;New Jersey -6%&#10;New Mexico -12%&#10;New York 18%&#10;North Carolina 20%&#10;North Dakota 1%&#10;Ohio 11%&#10;Oklahoma 9%&#10;Oregon 13%&#10;Pennsylvania 11%&#10;Rhode Island -2%&#10;South Carolina 6%&#10;South Dakota 27%&#10;Tennessee 10%&#10;Texas 29%&#10;Utah -9%&#10;Vermont -3%&#10;Virginia 25%&#10;Washington 14%&#10;West Virginia 21%&#10;Wisconsin 10%&#10;Wyoming 3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Pct Change&#10;Minnesota 16%&#10;United States 18%&#10;Alabama 22%&#10;Alaska -7%&#10;Arizona 13%&#10;Arkansas 5%&#10;California 6%&#10;Colorado 13%&#10;Connecticut 5%&#10;Delaware 10%&#10;District of Columbia 1%&#10;Florida 21%&#10;Georgia 11%&#10;Hawaii 107%&#10;Idaho 8%&#10;Illinois 18%&#10;Indiana 10%&#10;Iowa 14%&#10;Kansas 11%&#10;Kentucky 16%&#10;Louisiana 60%&#10;Maine 10%&#10;Maryland 9%&#10;Massachusetts 1%&#10;Michigan 9%&#10;Mississippi 27%&#10;Missouri 4%&#10;Montana -1%&#10;Nebraska 12%&#10;Nevada -4%&#10;New Hampshire 14%&#10;New Jersey -6%&#10;New Mexico -12%&#10;New York 18%&#10;North Carolina 20%&#10;North Dakota 1%&#10;Ohio 11%&#10;Oklahoma 9%&#10;Oregon 13%&#10;Pennsylvania 11%&#10;Rhode Island -2%&#10;South Carolina 6%&#10;South Dakota 27%&#10;Tennessee 10%&#10;Texas 29%&#10;Utah -9%&#10;Vermont -3%&#10;Virginia 25%&#10;Washington 14%&#10;West Virginia 21%&#10;Wisconsin 10%&#10;Wyoming 32%&#10;"/>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8510" b="9888"/>
                    <a:stretch/>
                  </pic:blipFill>
                  <pic:spPr bwMode="auto">
                    <a:xfrm>
                      <a:off x="0" y="0"/>
                      <a:ext cx="3108960" cy="1733305"/>
                    </a:xfrm>
                    <a:prstGeom prst="rect">
                      <a:avLst/>
                    </a:prstGeom>
                    <a:noFill/>
                    <a:ln>
                      <a:noFill/>
                    </a:ln>
                    <a:extLst>
                      <a:ext uri="{53640926-AAD7-44D8-BBD7-CCE9431645EC}">
                        <a14:shadowObscured xmlns:a14="http://schemas.microsoft.com/office/drawing/2010/main"/>
                      </a:ext>
                    </a:extLst>
                  </pic:spPr>
                </pic:pic>
              </a:graphicData>
            </a:graphic>
          </wp:inline>
        </w:drawing>
      </w:r>
    </w:p>
    <w:p w14:paraId="37725C5D" w14:textId="77777777" w:rsidR="007F1C4A" w:rsidRPr="00AF78AB" w:rsidRDefault="007F1C4A" w:rsidP="00876C3E">
      <w:pPr>
        <w:tabs>
          <w:tab w:val="left" w:pos="450"/>
        </w:tabs>
        <w:spacing w:after="0"/>
        <w:ind w:left="360"/>
        <w:rPr>
          <w:i/>
          <w:sz w:val="18"/>
        </w:rPr>
      </w:pPr>
      <w:r w:rsidRPr="00AF78AB">
        <w:rPr>
          <w:i/>
          <w:sz w:val="18"/>
        </w:rPr>
        <w:t>Decline     0%   Growth</w:t>
      </w:r>
    </w:p>
    <w:p w14:paraId="394E3A7F" w14:textId="77777777" w:rsidR="00D811FA" w:rsidRPr="00AF78AB" w:rsidRDefault="00E2669F" w:rsidP="00876C3E">
      <w:pPr>
        <w:tabs>
          <w:tab w:val="left" w:pos="450"/>
        </w:tabs>
        <w:spacing w:after="0"/>
        <w:ind w:left="360"/>
      </w:pPr>
      <w:r w:rsidRPr="00AF78AB">
        <w:rPr>
          <w:noProof/>
        </w:rPr>
        <w:drawing>
          <wp:inline distT="0" distB="0" distL="0" distR="0" wp14:anchorId="4B03B774" wp14:editId="68A1C271">
            <wp:extent cx="1066800" cy="152400"/>
            <wp:effectExtent l="0" t="0" r="0" b="0"/>
            <wp:docPr id="6" name="Picture 6" descr="color legend for map (yellow for negative trend/decline, green for positive trend/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roups\CARD\AEO\Thu-Mai\Tableau, Viz\MTO Tableau files\Export Stats Reports\Newsletter &amp; Fact Sheet charts\2018-Q4 USMap_legend.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41380" b="24137"/>
                    <a:stretch/>
                  </pic:blipFill>
                  <pic:spPr bwMode="auto">
                    <a:xfrm>
                      <a:off x="0" y="0"/>
                      <a:ext cx="1066800" cy="152400"/>
                    </a:xfrm>
                    <a:prstGeom prst="rect">
                      <a:avLst/>
                    </a:prstGeom>
                    <a:noFill/>
                    <a:ln>
                      <a:noFill/>
                    </a:ln>
                    <a:extLst>
                      <a:ext uri="{53640926-AAD7-44D8-BBD7-CCE9431645EC}">
                        <a14:shadowObscured xmlns:a14="http://schemas.microsoft.com/office/drawing/2010/main"/>
                      </a:ext>
                    </a:extLst>
                  </pic:spPr>
                </pic:pic>
              </a:graphicData>
            </a:graphic>
          </wp:inline>
        </w:drawing>
      </w:r>
    </w:p>
    <w:p w14:paraId="0926E465" w14:textId="77777777" w:rsidR="00D73299" w:rsidRPr="00AF78AB" w:rsidRDefault="00D73299" w:rsidP="00876C3E">
      <w:pPr>
        <w:pStyle w:val="ListParagraph"/>
        <w:ind w:left="360"/>
        <w:sectPr w:rsidR="00D73299" w:rsidRPr="00AF78AB" w:rsidSect="00FA08BA">
          <w:footnotePr>
            <w:numRestart w:val="eachSect"/>
          </w:footnotePr>
          <w:endnotePr>
            <w:numFmt w:val="decimal"/>
          </w:endnotePr>
          <w:type w:val="continuous"/>
          <w:pgSz w:w="12240" w:h="15840" w:code="1"/>
          <w:pgMar w:top="1440" w:right="1080" w:bottom="1440" w:left="1080" w:header="720" w:footer="720" w:gutter="0"/>
          <w:cols w:num="2" w:space="288"/>
          <w:titlePg/>
          <w:docGrid w:linePitch="299"/>
        </w:sectPr>
      </w:pPr>
    </w:p>
    <w:p w14:paraId="17983E9E" w14:textId="0FBE8F1F" w:rsidR="001D101E" w:rsidRPr="00AF78AB" w:rsidRDefault="001D101E" w:rsidP="00876C3E">
      <w:pPr>
        <w:pStyle w:val="ListParagraph"/>
        <w:numPr>
          <w:ilvl w:val="0"/>
          <w:numId w:val="27"/>
        </w:numPr>
        <w:spacing w:after="0"/>
        <w:ind w:left="360"/>
        <w:rPr>
          <w:b/>
          <w:i/>
        </w:rPr>
      </w:pPr>
      <w:r w:rsidRPr="00AF78AB">
        <w:t>Minnesota conducted $</w:t>
      </w:r>
      <w:r w:rsidR="006D1BBC" w:rsidRPr="00AF78AB">
        <w:t>70</w:t>
      </w:r>
      <w:r w:rsidRPr="00AF78AB">
        <w:t xml:space="preserve"> billion in </w:t>
      </w:r>
      <w:r w:rsidRPr="00AF78AB">
        <w:rPr>
          <w:i/>
        </w:rPr>
        <w:t>total trade</w:t>
      </w:r>
      <w:r w:rsidRPr="00AF78AB">
        <w:t xml:space="preserve"> with 21</w:t>
      </w:r>
      <w:r w:rsidR="006D1BBC" w:rsidRPr="00AF78AB">
        <w:t>5</w:t>
      </w:r>
      <w:r w:rsidRPr="00AF78AB">
        <w:t xml:space="preserve"> countries in 202</w:t>
      </w:r>
      <w:r w:rsidR="006D1BBC" w:rsidRPr="00AF78AB">
        <w:t>2</w:t>
      </w:r>
      <w:r w:rsidR="000215A5" w:rsidRPr="00AF78AB">
        <w:t>. Total trade grew</w:t>
      </w:r>
      <w:r w:rsidRPr="00AF78AB">
        <w:t xml:space="preserve"> </w:t>
      </w:r>
      <w:r w:rsidR="006D1BBC" w:rsidRPr="00AF78AB">
        <w:t>25</w:t>
      </w:r>
      <w:r w:rsidRPr="00AF78AB">
        <w:t>% since 202</w:t>
      </w:r>
      <w:r w:rsidR="006D1BBC" w:rsidRPr="00AF78AB">
        <w:t>1</w:t>
      </w:r>
      <w:r w:rsidRPr="00AF78AB">
        <w:t>. With</w:t>
      </w:r>
      <w:r w:rsidR="006D1BBC" w:rsidRPr="00AF78AB">
        <w:t xml:space="preserve"> nearly</w:t>
      </w:r>
      <w:r w:rsidRPr="00AF78AB">
        <w:t xml:space="preserve"> $</w:t>
      </w:r>
      <w:r w:rsidR="006D1BBC" w:rsidRPr="00AF78AB">
        <w:t>43</w:t>
      </w:r>
      <w:r w:rsidRPr="00AF78AB">
        <w:t xml:space="preserve"> billion in </w:t>
      </w:r>
      <w:r w:rsidRPr="00AF78AB">
        <w:rPr>
          <w:i/>
        </w:rPr>
        <w:t>imports</w:t>
      </w:r>
      <w:r w:rsidR="006D1BBC" w:rsidRPr="00AF78AB">
        <w:t xml:space="preserve"> (up 31%)</w:t>
      </w:r>
      <w:r w:rsidR="00876C3E" w:rsidRPr="00AF78AB">
        <w:t>,</w:t>
      </w:r>
      <w:r w:rsidRPr="00AF78AB">
        <w:t xml:space="preserve"> the state ran a </w:t>
      </w:r>
      <w:r w:rsidRPr="00AF78AB">
        <w:rPr>
          <w:i/>
        </w:rPr>
        <w:t>trade deficit</w:t>
      </w:r>
      <w:r w:rsidRPr="00AF78AB">
        <w:t xml:space="preserve"> of </w:t>
      </w:r>
      <w:r w:rsidR="00833612" w:rsidRPr="00AF78AB">
        <w:t xml:space="preserve">about </w:t>
      </w:r>
      <w:r w:rsidRPr="00AF78AB">
        <w:t>$</w:t>
      </w:r>
      <w:r w:rsidR="006D1BBC" w:rsidRPr="00AF78AB">
        <w:t>15</w:t>
      </w:r>
      <w:r w:rsidRPr="00AF78AB">
        <w:t xml:space="preserve"> billion in 202</w:t>
      </w:r>
      <w:r w:rsidR="006D1BBC" w:rsidRPr="00AF78AB">
        <w:t>2</w:t>
      </w:r>
      <w:r w:rsidRPr="00AF78AB">
        <w:t>.</w:t>
      </w:r>
    </w:p>
    <w:p w14:paraId="3414AA65" w14:textId="4FF666A5" w:rsidR="00E83789" w:rsidRPr="00AF78AB" w:rsidRDefault="008025ED" w:rsidP="00DD6A21">
      <w:pPr>
        <w:pStyle w:val="Heading2"/>
      </w:pPr>
      <w:r w:rsidRPr="00AF78AB">
        <w:t>North American Markets</w:t>
      </w:r>
      <w:r w:rsidR="00B6620C" w:rsidRPr="00AF78AB">
        <w:t xml:space="preserve"> Drove Export Growth</w:t>
      </w:r>
      <w:r w:rsidR="009A2C9D" w:rsidRPr="00AF78AB">
        <w:t xml:space="preserve"> in 202</w:t>
      </w:r>
      <w:r w:rsidR="009B7CC1" w:rsidRPr="00AF78AB">
        <w:t>2</w:t>
      </w:r>
    </w:p>
    <w:p w14:paraId="7BEFD786" w14:textId="7C356A64" w:rsidR="00A5262D" w:rsidRPr="00AF78AB" w:rsidRDefault="004E2649" w:rsidP="00FA08BA">
      <w:pPr>
        <w:pStyle w:val="ListParagraph"/>
        <w:numPr>
          <w:ilvl w:val="0"/>
          <w:numId w:val="27"/>
        </w:numPr>
        <w:spacing w:after="0"/>
        <w:ind w:left="360"/>
      </w:pPr>
      <w:r w:rsidRPr="00AF78AB">
        <w:t>Minnesota</w:t>
      </w:r>
      <w:r w:rsidR="00104038" w:rsidRPr="00AF78AB">
        <w:t xml:space="preserve"> exports </w:t>
      </w:r>
      <w:r w:rsidR="008025ED" w:rsidRPr="00AF78AB">
        <w:t xml:space="preserve">to </w:t>
      </w:r>
      <w:r w:rsidR="008025ED" w:rsidRPr="00AF78AB">
        <w:rPr>
          <w:b/>
          <w:bCs/>
        </w:rPr>
        <w:t>North America</w:t>
      </w:r>
      <w:r w:rsidR="008025ED" w:rsidRPr="00AF78AB">
        <w:t xml:space="preserve"> </w:t>
      </w:r>
      <w:r w:rsidR="00876C3E" w:rsidRPr="00AF78AB">
        <w:t>grew to</w:t>
      </w:r>
      <w:r w:rsidR="00833612" w:rsidRPr="00AF78AB">
        <w:t xml:space="preserve"> nearly</w:t>
      </w:r>
      <w:r w:rsidR="00876C3E" w:rsidRPr="00AF78AB">
        <w:t xml:space="preserve"> </w:t>
      </w:r>
      <w:r w:rsidR="008025ED" w:rsidRPr="00AF78AB">
        <w:t>$</w:t>
      </w:r>
      <w:r w:rsidR="009B7CC1" w:rsidRPr="00AF78AB">
        <w:t>11.8</w:t>
      </w:r>
      <w:r w:rsidR="008025ED" w:rsidRPr="00AF78AB">
        <w:t xml:space="preserve"> billion</w:t>
      </w:r>
      <w:r w:rsidR="00833612" w:rsidRPr="00AF78AB">
        <w:t xml:space="preserve"> and </w:t>
      </w:r>
      <w:r w:rsidR="009B7CC1" w:rsidRPr="00AF78AB">
        <w:t>gain</w:t>
      </w:r>
      <w:r w:rsidR="00833612" w:rsidRPr="00AF78AB">
        <w:t>ed</w:t>
      </w:r>
      <w:r w:rsidR="009B7CC1" w:rsidRPr="00AF78AB">
        <w:t xml:space="preserve"> $2.7 billion</w:t>
      </w:r>
      <w:r w:rsidR="00876C3E" w:rsidRPr="00AF78AB">
        <w:t xml:space="preserve"> (</w:t>
      </w:r>
      <w:r w:rsidR="009B7CC1" w:rsidRPr="00AF78AB">
        <w:t>or up 30%</w:t>
      </w:r>
      <w:r w:rsidR="00876C3E" w:rsidRPr="00AF78AB">
        <w:t>)</w:t>
      </w:r>
      <w:r w:rsidR="009B7CC1" w:rsidRPr="00AF78AB">
        <w:t xml:space="preserve"> over </w:t>
      </w:r>
      <w:r w:rsidR="008025ED" w:rsidRPr="00AF78AB">
        <w:t>202</w:t>
      </w:r>
      <w:r w:rsidR="009B7CC1" w:rsidRPr="00AF78AB">
        <w:t>1</w:t>
      </w:r>
      <w:r w:rsidR="008025ED" w:rsidRPr="00AF78AB">
        <w:t xml:space="preserve">. </w:t>
      </w:r>
      <w:r w:rsidR="00D13DB2" w:rsidRPr="00AF78AB">
        <w:t>Export</w:t>
      </w:r>
      <w:r w:rsidR="00833612" w:rsidRPr="00AF78AB">
        <w:t>s</w:t>
      </w:r>
      <w:r w:rsidR="00D13DB2" w:rsidRPr="00AF78AB">
        <w:t xml:space="preserve"> </w:t>
      </w:r>
      <w:r w:rsidR="00833612" w:rsidRPr="00AF78AB">
        <w:t xml:space="preserve">also </w:t>
      </w:r>
      <w:r w:rsidR="009B7CC1" w:rsidRPr="00AF78AB">
        <w:t>strong</w:t>
      </w:r>
      <w:r w:rsidR="00833612" w:rsidRPr="00AF78AB">
        <w:t>ly</w:t>
      </w:r>
      <w:r w:rsidR="009B7CC1" w:rsidRPr="00AF78AB">
        <w:t xml:space="preserve"> </w:t>
      </w:r>
      <w:r w:rsidR="00833612" w:rsidRPr="00AF78AB">
        <w:t xml:space="preserve">increased </w:t>
      </w:r>
      <w:r w:rsidR="009B7CC1" w:rsidRPr="00AF78AB">
        <w:t xml:space="preserve">to </w:t>
      </w:r>
      <w:r w:rsidR="00833612" w:rsidRPr="00AF78AB">
        <w:t xml:space="preserve">the </w:t>
      </w:r>
      <w:r w:rsidR="009B7CC1" w:rsidRPr="00AF78AB">
        <w:rPr>
          <w:b/>
          <w:bCs/>
        </w:rPr>
        <w:t>Europe</w:t>
      </w:r>
      <w:r w:rsidR="00833612" w:rsidRPr="00AF78AB">
        <w:rPr>
          <w:b/>
          <w:bCs/>
        </w:rPr>
        <w:t>an Union</w:t>
      </w:r>
      <w:r w:rsidR="009B7CC1" w:rsidRPr="00AF78AB">
        <w:t xml:space="preserve"> ($</w:t>
      </w:r>
      <w:r w:rsidR="00833612" w:rsidRPr="00AF78AB">
        <w:t>4</w:t>
      </w:r>
      <w:r w:rsidR="009B7CC1" w:rsidRPr="00AF78AB">
        <w:t>.8 billion, up 2</w:t>
      </w:r>
      <w:r w:rsidR="00833612" w:rsidRPr="00AF78AB">
        <w:t>6</w:t>
      </w:r>
      <w:r w:rsidR="009B7CC1" w:rsidRPr="00AF78AB">
        <w:t>%)</w:t>
      </w:r>
      <w:r w:rsidR="00833612" w:rsidRPr="00AF78AB">
        <w:t>;</w:t>
      </w:r>
      <w:r w:rsidR="009B7CC1" w:rsidRPr="00AF78AB">
        <w:t xml:space="preserve"> </w:t>
      </w:r>
      <w:r w:rsidR="00A5262D" w:rsidRPr="00AF78AB">
        <w:t xml:space="preserve">the </w:t>
      </w:r>
      <w:r w:rsidR="00A5262D" w:rsidRPr="00AF78AB">
        <w:rPr>
          <w:b/>
          <w:bCs/>
        </w:rPr>
        <w:t>Caribbean,</w:t>
      </w:r>
      <w:r w:rsidR="00A5262D" w:rsidRPr="00AF78AB">
        <w:t xml:space="preserve"> </w:t>
      </w:r>
      <w:r w:rsidR="009B7CC1" w:rsidRPr="00AF78AB">
        <w:rPr>
          <w:b/>
          <w:bCs/>
        </w:rPr>
        <w:t>Central</w:t>
      </w:r>
      <w:r w:rsidR="00A5262D" w:rsidRPr="00AF78AB">
        <w:rPr>
          <w:b/>
          <w:bCs/>
        </w:rPr>
        <w:t xml:space="preserve"> </w:t>
      </w:r>
      <w:proofErr w:type="gramStart"/>
      <w:r w:rsidR="00A5262D" w:rsidRPr="00AF78AB">
        <w:rPr>
          <w:b/>
          <w:bCs/>
        </w:rPr>
        <w:t>America</w:t>
      </w:r>
      <w:proofErr w:type="gramEnd"/>
      <w:r w:rsidR="009B7CC1" w:rsidRPr="00AF78AB">
        <w:rPr>
          <w:b/>
          <w:bCs/>
        </w:rPr>
        <w:t xml:space="preserve"> and South America</w:t>
      </w:r>
      <w:r w:rsidR="009B7CC1" w:rsidRPr="00AF78AB">
        <w:t xml:space="preserve"> ($1.2 billion, up 22%) and the </w:t>
      </w:r>
      <w:r w:rsidR="009B7CC1" w:rsidRPr="00AF78AB">
        <w:rPr>
          <w:b/>
          <w:bCs/>
        </w:rPr>
        <w:t>Middle East</w:t>
      </w:r>
      <w:r w:rsidR="009B7CC1" w:rsidRPr="00AF78AB">
        <w:t xml:space="preserve"> ($447 million, up 30%). </w:t>
      </w:r>
    </w:p>
    <w:p w14:paraId="17D9A4E8" w14:textId="326AF787" w:rsidR="003E6250" w:rsidRPr="00AF78AB" w:rsidRDefault="00A5262D" w:rsidP="00FA08BA">
      <w:pPr>
        <w:pStyle w:val="ListParagraph"/>
        <w:numPr>
          <w:ilvl w:val="0"/>
          <w:numId w:val="27"/>
        </w:numPr>
        <w:spacing w:after="0"/>
        <w:ind w:left="360"/>
      </w:pPr>
      <w:r w:rsidRPr="00AF78AB">
        <w:t>The state’s e</w:t>
      </w:r>
      <w:r w:rsidR="00D13DB2" w:rsidRPr="00AF78AB">
        <w:t>xports</w:t>
      </w:r>
      <w:r w:rsidR="009B7CC1" w:rsidRPr="00AF78AB">
        <w:t xml:space="preserve"> </w:t>
      </w:r>
      <w:r w:rsidRPr="00AF78AB">
        <w:t xml:space="preserve">fell to </w:t>
      </w:r>
      <w:r w:rsidRPr="00AF78AB">
        <w:rPr>
          <w:b/>
          <w:bCs/>
        </w:rPr>
        <w:t>Asia</w:t>
      </w:r>
      <w:r w:rsidRPr="00AF78AB">
        <w:t xml:space="preserve"> (down 2%), </w:t>
      </w:r>
      <w:r w:rsidRPr="00AF78AB">
        <w:rPr>
          <w:b/>
          <w:bCs/>
        </w:rPr>
        <w:t>Africa</w:t>
      </w:r>
      <w:r w:rsidRPr="00AF78AB">
        <w:t xml:space="preserve"> (down 7%) and the </w:t>
      </w:r>
      <w:r w:rsidRPr="00AF78AB">
        <w:rPr>
          <w:b/>
          <w:bCs/>
        </w:rPr>
        <w:t>Australia-Pacific</w:t>
      </w:r>
      <w:r w:rsidRPr="00AF78AB">
        <w:t xml:space="preserve"> region (down 1%).</w:t>
      </w:r>
    </w:p>
    <w:p w14:paraId="681099EE" w14:textId="0B2E28E1" w:rsidR="005968B2" w:rsidRPr="00AF78AB" w:rsidRDefault="009B7CC1" w:rsidP="00FA08BA">
      <w:pPr>
        <w:pStyle w:val="ListParagraph"/>
        <w:numPr>
          <w:ilvl w:val="0"/>
          <w:numId w:val="27"/>
        </w:numPr>
        <w:spacing w:before="80" w:after="0"/>
        <w:ind w:left="360"/>
        <w:rPr>
          <w:rFonts w:eastAsiaTheme="majorEastAsia" w:cstheme="majorBidi"/>
          <w:bCs/>
          <w:i/>
          <w:iCs/>
          <w:sz w:val="24"/>
        </w:rPr>
      </w:pPr>
      <w:r w:rsidRPr="00AF78AB">
        <w:t>Markets contributing the most to growth in 2022 were</w:t>
      </w:r>
      <w:r w:rsidR="00D52764" w:rsidRPr="00AF78AB">
        <w:t xml:space="preserve"> </w:t>
      </w:r>
      <w:r w:rsidR="00D52764" w:rsidRPr="00AF78AB">
        <w:rPr>
          <w:b/>
          <w:bCs/>
        </w:rPr>
        <w:t xml:space="preserve">Canada </w:t>
      </w:r>
      <w:r w:rsidR="00D52764" w:rsidRPr="00AF78AB">
        <w:t>(</w:t>
      </w:r>
      <w:r w:rsidR="00A5262D" w:rsidRPr="00AF78AB">
        <w:t xml:space="preserve">$9 billion, </w:t>
      </w:r>
      <w:r w:rsidR="00D52764" w:rsidRPr="00AF78AB">
        <w:t>up $</w:t>
      </w:r>
      <w:r w:rsidRPr="00AF78AB">
        <w:t>2.3</w:t>
      </w:r>
      <w:r w:rsidR="00D52764" w:rsidRPr="00AF78AB">
        <w:t xml:space="preserve"> billion), </w:t>
      </w:r>
      <w:r w:rsidR="00D52764" w:rsidRPr="00AF78AB">
        <w:rPr>
          <w:b/>
          <w:bCs/>
        </w:rPr>
        <w:t>Mexico</w:t>
      </w:r>
      <w:r w:rsidR="00D52764" w:rsidRPr="00AF78AB">
        <w:t xml:space="preserve"> (</w:t>
      </w:r>
      <w:r w:rsidR="00A5262D" w:rsidRPr="00AF78AB">
        <w:t xml:space="preserve">$2.8 billion, </w:t>
      </w:r>
      <w:r w:rsidR="00D52764" w:rsidRPr="00AF78AB">
        <w:t>up $</w:t>
      </w:r>
      <w:r w:rsidRPr="00AF78AB">
        <w:t>349 m</w:t>
      </w:r>
      <w:r w:rsidR="00D52764" w:rsidRPr="00AF78AB">
        <w:t>illion), the</w:t>
      </w:r>
      <w:r w:rsidR="00D52764" w:rsidRPr="00AF78AB">
        <w:rPr>
          <w:b/>
          <w:bCs/>
        </w:rPr>
        <w:t xml:space="preserve"> </w:t>
      </w:r>
      <w:r w:rsidRPr="00AF78AB">
        <w:rPr>
          <w:b/>
          <w:bCs/>
        </w:rPr>
        <w:t>Netherlands</w:t>
      </w:r>
      <w:r w:rsidR="00D52764" w:rsidRPr="00AF78AB">
        <w:t xml:space="preserve"> (</w:t>
      </w:r>
      <w:r w:rsidR="00A5262D" w:rsidRPr="00AF78AB">
        <w:t xml:space="preserve">$777 million, </w:t>
      </w:r>
      <w:r w:rsidR="00D52764" w:rsidRPr="00AF78AB">
        <w:t>up $</w:t>
      </w:r>
      <w:r w:rsidRPr="00AF78AB">
        <w:t>239</w:t>
      </w:r>
      <w:r w:rsidR="00D52764" w:rsidRPr="00AF78AB">
        <w:t xml:space="preserve"> millio</w:t>
      </w:r>
      <w:r w:rsidR="00A5262D" w:rsidRPr="00AF78AB">
        <w:t>n</w:t>
      </w:r>
      <w:r w:rsidR="00D52764" w:rsidRPr="00AF78AB">
        <w:t xml:space="preserve">), </w:t>
      </w:r>
      <w:r w:rsidRPr="00AF78AB">
        <w:rPr>
          <w:b/>
          <w:bCs/>
        </w:rPr>
        <w:t>Korea</w:t>
      </w:r>
      <w:r w:rsidR="00D52764" w:rsidRPr="00AF78AB">
        <w:t xml:space="preserve"> (</w:t>
      </w:r>
      <w:r w:rsidR="00A5262D" w:rsidRPr="00AF78AB">
        <w:t xml:space="preserve">$794 million, </w:t>
      </w:r>
      <w:r w:rsidR="00D52764" w:rsidRPr="00AF78AB">
        <w:t>up $2</w:t>
      </w:r>
      <w:r w:rsidRPr="00AF78AB">
        <w:t>11</w:t>
      </w:r>
      <w:r w:rsidR="00D52764" w:rsidRPr="00AF78AB">
        <w:t xml:space="preserve"> million)</w:t>
      </w:r>
      <w:r w:rsidRPr="00AF78AB">
        <w:t xml:space="preserve"> and </w:t>
      </w:r>
      <w:r w:rsidRPr="00AF78AB">
        <w:rPr>
          <w:b/>
          <w:bCs/>
        </w:rPr>
        <w:t>Spain</w:t>
      </w:r>
      <w:r w:rsidR="00D52764" w:rsidRPr="00AF78AB">
        <w:t xml:space="preserve"> (</w:t>
      </w:r>
      <w:r w:rsidR="00A5262D" w:rsidRPr="00AF78AB">
        <w:t xml:space="preserve">$232 million, </w:t>
      </w:r>
      <w:r w:rsidR="00D52764" w:rsidRPr="00AF78AB">
        <w:t>up $</w:t>
      </w:r>
      <w:r w:rsidRPr="00AF78AB">
        <w:t>158</w:t>
      </w:r>
      <w:r w:rsidR="00D52764" w:rsidRPr="00AF78AB">
        <w:t xml:space="preserve"> million,</w:t>
      </w:r>
      <w:r w:rsidRPr="00AF78AB">
        <w:t xml:space="preserve"> 23</w:t>
      </w:r>
      <w:r w:rsidRPr="00AF78AB">
        <w:rPr>
          <w:vertAlign w:val="superscript"/>
        </w:rPr>
        <w:t>rd</w:t>
      </w:r>
      <w:r w:rsidRPr="00AF78AB">
        <w:t xml:space="preserve"> larges</w:t>
      </w:r>
      <w:r w:rsidR="00A5262D" w:rsidRPr="00AF78AB">
        <w:t>t</w:t>
      </w:r>
      <w:r w:rsidR="005968B2" w:rsidRPr="00AF78AB">
        <w:t>).</w:t>
      </w:r>
    </w:p>
    <w:p w14:paraId="3927CA69" w14:textId="2FFC911C" w:rsidR="0018019E" w:rsidRPr="00AF78AB" w:rsidRDefault="007C165F" w:rsidP="00FA1228">
      <w:pPr>
        <w:spacing w:before="80" w:after="40"/>
        <w:rPr>
          <w:rStyle w:val="Heading4Char"/>
          <w:color w:val="auto"/>
        </w:rPr>
      </w:pPr>
      <w:r w:rsidRPr="00AF78AB">
        <w:rPr>
          <w:rStyle w:val="Heading4Char"/>
          <w:color w:val="auto"/>
        </w:rPr>
        <w:t xml:space="preserve">Figure </w:t>
      </w:r>
      <w:r w:rsidR="00E36364" w:rsidRPr="00AF78AB">
        <w:rPr>
          <w:rStyle w:val="Heading4Char"/>
          <w:color w:val="auto"/>
        </w:rPr>
        <w:fldChar w:fldCharType="begin"/>
      </w:r>
      <w:r w:rsidR="00E36364" w:rsidRPr="00AF78AB">
        <w:rPr>
          <w:rStyle w:val="Heading4Char"/>
          <w:color w:val="auto"/>
        </w:rPr>
        <w:instrText xml:space="preserve"> SEQ Figure \* ARABIC </w:instrText>
      </w:r>
      <w:r w:rsidR="00E36364" w:rsidRPr="00AF78AB">
        <w:rPr>
          <w:rStyle w:val="Heading4Char"/>
          <w:color w:val="auto"/>
        </w:rPr>
        <w:fldChar w:fldCharType="separate"/>
      </w:r>
      <w:r w:rsidR="009D1486" w:rsidRPr="00AF78AB">
        <w:rPr>
          <w:rStyle w:val="Heading4Char"/>
          <w:noProof/>
          <w:color w:val="auto"/>
        </w:rPr>
        <w:t>2</w:t>
      </w:r>
      <w:r w:rsidR="00E36364" w:rsidRPr="00AF78AB">
        <w:rPr>
          <w:rStyle w:val="Heading4Char"/>
          <w:color w:val="auto"/>
        </w:rPr>
        <w:fldChar w:fldCharType="end"/>
      </w:r>
      <w:r w:rsidR="00C84D0E" w:rsidRPr="00AF78AB">
        <w:rPr>
          <w:rStyle w:val="Heading4Char"/>
          <w:color w:val="auto"/>
        </w:rPr>
        <w:t xml:space="preserve">. </w:t>
      </w:r>
      <w:r w:rsidR="00542EF2" w:rsidRPr="00AF78AB">
        <w:rPr>
          <w:rStyle w:val="Heading4Char"/>
          <w:color w:val="auto"/>
        </w:rPr>
        <w:t>Exports for</w:t>
      </w:r>
      <w:r w:rsidR="0038665A" w:rsidRPr="00AF78AB">
        <w:rPr>
          <w:rStyle w:val="Heading4Char"/>
          <w:color w:val="auto"/>
        </w:rPr>
        <w:t xml:space="preserve"> Minnesota’s Top 10 Markets</w:t>
      </w:r>
      <w:r w:rsidR="00705190" w:rsidRPr="00AF78AB">
        <w:rPr>
          <w:rStyle w:val="Heading4Char"/>
          <w:color w:val="auto"/>
        </w:rPr>
        <w:t xml:space="preserve"> in</w:t>
      </w:r>
      <w:r w:rsidR="0038665A" w:rsidRPr="00AF78AB">
        <w:rPr>
          <w:rStyle w:val="Heading4Char"/>
          <w:color w:val="auto"/>
        </w:rPr>
        <w:t xml:space="preserve"> </w:t>
      </w:r>
      <w:r w:rsidR="002E7C23" w:rsidRPr="00AF78AB">
        <w:rPr>
          <w:rStyle w:val="Heading4Char"/>
          <w:color w:val="auto"/>
        </w:rPr>
        <w:t>202</w:t>
      </w:r>
      <w:r w:rsidR="006479EA" w:rsidRPr="00AF78AB">
        <w:rPr>
          <w:rStyle w:val="Heading4Char"/>
          <w:color w:val="auto"/>
        </w:rPr>
        <w:t>2</w:t>
      </w:r>
    </w:p>
    <w:p w14:paraId="217599AF" w14:textId="2DA9D96F" w:rsidR="00D060D7" w:rsidRPr="00AF78AB" w:rsidRDefault="006479EA" w:rsidP="00FA1228">
      <w:pPr>
        <w:spacing w:after="0"/>
        <w:rPr>
          <w:rStyle w:val="Heading4Char"/>
          <w:color w:val="auto"/>
        </w:rPr>
      </w:pPr>
      <w:r w:rsidRPr="00AF78AB">
        <w:rPr>
          <w:noProof/>
        </w:rPr>
        <w:drawing>
          <wp:inline distT="0" distB="0" distL="0" distR="0" wp14:anchorId="7DBBDB1C" wp14:editId="1EDD2DFD">
            <wp:extent cx="6253538" cy="2041451"/>
            <wp:effectExtent l="0" t="0" r="0" b="0"/>
            <wp:docPr id="5" name="Picture 5" descr="MN exports to top 10 markets 2022&#10;Country Exports (billions) Percent Change, 2021 to 2022&#10;WORLD  $27.3  16%&#10;Canada (1)   $9.0  36%&#10;Mexico (2)   $2.8  14%&#10;China (3)   $2.7  0%&#10;Japan (4)   $1.1  -15%&#10;Germany (5)   $1.0  18%&#10;Korea (6)   $0.8  36%&#10;Netherlands (7)   $0.8  44%&#10;Belgium (8)   $0.7  16%&#10;Taiwan (9)   $0.6  16%&#10;Ireland (10)   $0.6  8%&#10;Other  $7.3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N exports to top 10 markets 2022&#10;Country Exports (billions) Percent Change, 2021 to 2022&#10;WORLD  $27.3  16%&#10;Canada (1)   $9.0  36%&#10;Mexico (2)   $2.8  14%&#10;China (3)   $2.7  0%&#10;Japan (4)   $1.1  -15%&#10;Germany (5)   $1.0  18%&#10;Korea (6)   $0.8  36%&#10;Netherlands (7)   $0.8  44%&#10;Belgium (8)   $0.7  16%&#10;Taiwan (9)   $0.6  16%&#10;Ireland (10)   $0.6  8%&#10;Other  $7.3  7%&#10;"/>
                    <pic:cNvPicPr>
                      <a:picLocks noChangeAspect="1" noChangeArrowheads="1"/>
                    </pic:cNvPicPr>
                  </pic:nvPicPr>
                  <pic:blipFill rotWithShape="1">
                    <a:blip r:embed="rId14">
                      <a:extLst>
                        <a:ext uri="{28A0092B-C50C-407E-A947-70E740481C1C}">
                          <a14:useLocalDpi xmlns:a14="http://schemas.microsoft.com/office/drawing/2010/main" val="0"/>
                        </a:ext>
                      </a:extLst>
                    </a:blip>
                    <a:srcRect t="6740"/>
                    <a:stretch/>
                  </pic:blipFill>
                  <pic:spPr bwMode="auto">
                    <a:xfrm>
                      <a:off x="0" y="0"/>
                      <a:ext cx="6267731" cy="2046084"/>
                    </a:xfrm>
                    <a:prstGeom prst="rect">
                      <a:avLst/>
                    </a:prstGeom>
                    <a:noFill/>
                    <a:ln>
                      <a:noFill/>
                    </a:ln>
                    <a:extLst>
                      <a:ext uri="{53640926-AAD7-44D8-BBD7-CCE9431645EC}">
                        <a14:shadowObscured xmlns:a14="http://schemas.microsoft.com/office/drawing/2010/main"/>
                      </a:ext>
                    </a:extLst>
                  </pic:spPr>
                </pic:pic>
              </a:graphicData>
            </a:graphic>
          </wp:inline>
        </w:drawing>
      </w:r>
    </w:p>
    <w:p w14:paraId="29AFD6FC" w14:textId="5492B2CB" w:rsidR="00AD20E9" w:rsidRPr="00AF78AB" w:rsidRDefault="005F2A2C" w:rsidP="00DD6A21">
      <w:pPr>
        <w:pStyle w:val="Heading2"/>
        <w:spacing w:after="120"/>
        <w:sectPr w:rsidR="00AD20E9" w:rsidRPr="00AF78AB" w:rsidSect="009D4735">
          <w:footnotePr>
            <w:numRestart w:val="eachSect"/>
          </w:footnotePr>
          <w:endnotePr>
            <w:numFmt w:val="decimal"/>
          </w:endnotePr>
          <w:type w:val="continuous"/>
          <w:pgSz w:w="12240" w:h="15840" w:code="1"/>
          <w:pgMar w:top="864" w:right="1152" w:bottom="864" w:left="1152" w:header="432" w:footer="432" w:gutter="0"/>
          <w:cols w:space="720"/>
          <w:docGrid w:linePitch="299"/>
        </w:sectPr>
      </w:pPr>
      <w:r w:rsidRPr="00AF78AB">
        <w:lastRenderedPageBreak/>
        <w:t>Mineral Fuel</w:t>
      </w:r>
      <w:r w:rsidR="00546280" w:rsidRPr="00AF78AB">
        <w:t xml:space="preserve"> &amp; Oil</w:t>
      </w:r>
      <w:r w:rsidR="00BC4C10" w:rsidRPr="00AF78AB">
        <w:t>, Electrical Equipment and Cereals Lead in</w:t>
      </w:r>
      <w:r w:rsidR="009A2C9D" w:rsidRPr="00AF78AB">
        <w:t xml:space="preserve"> </w:t>
      </w:r>
      <w:r w:rsidR="00546280" w:rsidRPr="00AF78AB">
        <w:t>Export</w:t>
      </w:r>
      <w:r w:rsidR="002C724E" w:rsidRPr="00AF78AB">
        <w:t xml:space="preserve"> Gains</w:t>
      </w:r>
    </w:p>
    <w:p w14:paraId="59D74E92" w14:textId="3D6F2487" w:rsidR="00A1620E" w:rsidRPr="00AF78AB" w:rsidRDefault="00FA08BA" w:rsidP="00BC4C10">
      <w:pPr>
        <w:pStyle w:val="ListParagraph"/>
        <w:numPr>
          <w:ilvl w:val="0"/>
          <w:numId w:val="7"/>
        </w:numPr>
        <w:spacing w:before="60" w:after="0" w:line="271" w:lineRule="auto"/>
        <w:ind w:left="360" w:right="18"/>
        <w:rPr>
          <w:b/>
          <w:sz w:val="24"/>
        </w:rPr>
      </w:pPr>
      <w:r w:rsidRPr="00AF78AB">
        <w:t>Surging g</w:t>
      </w:r>
      <w:r w:rsidR="00961E35" w:rsidRPr="00AF78AB">
        <w:t>lobal sales</w:t>
      </w:r>
      <w:r w:rsidR="00546280" w:rsidRPr="00AF78AB">
        <w:t xml:space="preserve"> </w:t>
      </w:r>
      <w:r w:rsidR="005363FA" w:rsidRPr="00AF78AB">
        <w:t xml:space="preserve">of </w:t>
      </w:r>
      <w:r w:rsidR="00BE7D73" w:rsidRPr="00AF78AB">
        <w:rPr>
          <w:b/>
        </w:rPr>
        <w:t xml:space="preserve">mineral fuel, oil </w:t>
      </w:r>
      <w:r w:rsidR="00BE7D73" w:rsidRPr="00AF78AB">
        <w:rPr>
          <w:bCs/>
        </w:rPr>
        <w:t xml:space="preserve">(up </w:t>
      </w:r>
      <w:r w:rsidR="005911D1" w:rsidRPr="00AF78AB">
        <w:rPr>
          <w:bCs/>
        </w:rPr>
        <w:t>$</w:t>
      </w:r>
      <w:r w:rsidR="00BC4C10" w:rsidRPr="00AF78AB">
        <w:rPr>
          <w:bCs/>
        </w:rPr>
        <w:t>1.8</w:t>
      </w:r>
      <w:r w:rsidR="005911D1" w:rsidRPr="00AF78AB">
        <w:rPr>
          <w:bCs/>
        </w:rPr>
        <w:t xml:space="preserve"> </w:t>
      </w:r>
      <w:r w:rsidR="00BC4C10" w:rsidRPr="00AF78AB">
        <w:rPr>
          <w:bCs/>
        </w:rPr>
        <w:t>b</w:t>
      </w:r>
      <w:r w:rsidR="005911D1" w:rsidRPr="00AF78AB">
        <w:rPr>
          <w:bCs/>
        </w:rPr>
        <w:t>illion</w:t>
      </w:r>
      <w:r w:rsidR="00BE7D73" w:rsidRPr="00AF78AB">
        <w:rPr>
          <w:bCs/>
        </w:rPr>
        <w:t>)</w:t>
      </w:r>
      <w:r w:rsidR="00BC4C10" w:rsidRPr="00AF78AB">
        <w:rPr>
          <w:bCs/>
        </w:rPr>
        <w:t>,</w:t>
      </w:r>
      <w:r w:rsidR="009A2C9D" w:rsidRPr="00AF78AB">
        <w:rPr>
          <w:bCs/>
        </w:rPr>
        <w:t xml:space="preserve"> </w:t>
      </w:r>
      <w:r w:rsidR="009A2C9D" w:rsidRPr="00AF78AB">
        <w:rPr>
          <w:b/>
        </w:rPr>
        <w:t xml:space="preserve">electrical equipment </w:t>
      </w:r>
      <w:r w:rsidR="009A2C9D" w:rsidRPr="00AF78AB">
        <w:rPr>
          <w:bCs/>
        </w:rPr>
        <w:t>(up $</w:t>
      </w:r>
      <w:r w:rsidR="00BC4C10" w:rsidRPr="00AF78AB">
        <w:rPr>
          <w:bCs/>
        </w:rPr>
        <w:t>681</w:t>
      </w:r>
      <w:r w:rsidR="009A2C9D" w:rsidRPr="00AF78AB">
        <w:rPr>
          <w:bCs/>
        </w:rPr>
        <w:t xml:space="preserve"> million)</w:t>
      </w:r>
      <w:r w:rsidR="005911D1" w:rsidRPr="00AF78AB">
        <w:t xml:space="preserve"> </w:t>
      </w:r>
      <w:r w:rsidR="00BC4C10" w:rsidRPr="00AF78AB">
        <w:t xml:space="preserve">and </w:t>
      </w:r>
      <w:r w:rsidR="00BC4C10" w:rsidRPr="00AF78AB">
        <w:rPr>
          <w:b/>
        </w:rPr>
        <w:t xml:space="preserve">cereals </w:t>
      </w:r>
      <w:r w:rsidR="00BC4C10" w:rsidRPr="00AF78AB">
        <w:rPr>
          <w:bCs/>
        </w:rPr>
        <w:t>(up $618 million) contribut</w:t>
      </w:r>
      <w:r w:rsidRPr="00AF78AB">
        <w:rPr>
          <w:bCs/>
        </w:rPr>
        <w:t>ed</w:t>
      </w:r>
      <w:r w:rsidR="00BC4C10" w:rsidRPr="00AF78AB">
        <w:rPr>
          <w:bCs/>
        </w:rPr>
        <w:t xml:space="preserve"> the most to </w:t>
      </w:r>
      <w:r w:rsidR="00FA1228" w:rsidRPr="00AF78AB">
        <w:rPr>
          <w:bCs/>
        </w:rPr>
        <w:t>Minnesota</w:t>
      </w:r>
      <w:r w:rsidR="00BC4C10" w:rsidRPr="00AF78AB">
        <w:rPr>
          <w:bCs/>
        </w:rPr>
        <w:t>’s export gains</w:t>
      </w:r>
      <w:r w:rsidRPr="00AF78AB">
        <w:rPr>
          <w:bCs/>
        </w:rPr>
        <w:t xml:space="preserve"> in 2022</w:t>
      </w:r>
      <w:r w:rsidR="00BC4C10" w:rsidRPr="00AF78AB">
        <w:rPr>
          <w:bCs/>
        </w:rPr>
        <w:t>.</w:t>
      </w:r>
      <w:r w:rsidR="00BC4C10" w:rsidRPr="00AF78AB">
        <w:t xml:space="preserve"> </w:t>
      </w:r>
    </w:p>
    <w:p w14:paraId="4F938F3B" w14:textId="69ED7097" w:rsidR="00BC4C10" w:rsidRPr="00AF78AB" w:rsidRDefault="00BC4C10" w:rsidP="00BC4C10">
      <w:pPr>
        <w:pStyle w:val="ListParagraph"/>
        <w:numPr>
          <w:ilvl w:val="0"/>
          <w:numId w:val="7"/>
        </w:numPr>
        <w:spacing w:after="0" w:line="271" w:lineRule="auto"/>
        <w:ind w:left="360"/>
      </w:pPr>
      <w:r w:rsidRPr="00AF78AB">
        <w:rPr>
          <w:b/>
        </w:rPr>
        <w:t xml:space="preserve">Mineral fuel, oil </w:t>
      </w:r>
      <w:r w:rsidRPr="00AF78AB">
        <w:t>exports</w:t>
      </w:r>
      <w:r w:rsidRPr="00AF78AB">
        <w:rPr>
          <w:b/>
        </w:rPr>
        <w:t xml:space="preserve"> </w:t>
      </w:r>
      <w:r w:rsidR="001A0504" w:rsidRPr="00AF78AB">
        <w:t>doubled</w:t>
      </w:r>
      <w:r w:rsidRPr="00AF78AB">
        <w:t xml:space="preserve"> to $</w:t>
      </w:r>
      <w:r w:rsidR="00FA1228" w:rsidRPr="00AF78AB">
        <w:t>3.6</w:t>
      </w:r>
      <w:r w:rsidRPr="00AF78AB">
        <w:t xml:space="preserve"> billion – propelled by </w:t>
      </w:r>
      <w:r w:rsidRPr="00AF78AB">
        <w:rPr>
          <w:b/>
        </w:rPr>
        <w:t>Canad</w:t>
      </w:r>
      <w:r w:rsidR="00275B48" w:rsidRPr="00AF78AB">
        <w:rPr>
          <w:b/>
        </w:rPr>
        <w:t>a</w:t>
      </w:r>
      <w:r w:rsidR="00B76132" w:rsidRPr="00AF78AB">
        <w:rPr>
          <w:bCs/>
        </w:rPr>
        <w:t xml:space="preserve"> and</w:t>
      </w:r>
      <w:r w:rsidRPr="00AF78AB">
        <w:t xml:space="preserve"> </w:t>
      </w:r>
      <w:r w:rsidRPr="00AF78AB">
        <w:rPr>
          <w:b/>
        </w:rPr>
        <w:t>petroleum</w:t>
      </w:r>
      <w:r w:rsidR="008C1D0C" w:rsidRPr="00AF78AB">
        <w:rPr>
          <w:b/>
        </w:rPr>
        <w:t xml:space="preserve"> products.</w:t>
      </w:r>
    </w:p>
    <w:p w14:paraId="723DA1C2" w14:textId="536705CC" w:rsidR="00BC4C10" w:rsidRPr="00AF78AB" w:rsidRDefault="00C4191F" w:rsidP="00BC4C10">
      <w:pPr>
        <w:pStyle w:val="ListParagraph"/>
        <w:numPr>
          <w:ilvl w:val="0"/>
          <w:numId w:val="7"/>
        </w:numPr>
        <w:spacing w:after="0" w:line="271" w:lineRule="auto"/>
        <w:ind w:left="360"/>
      </w:pPr>
      <w:r w:rsidRPr="00AF78AB">
        <w:rPr>
          <w:bCs/>
        </w:rPr>
        <w:t xml:space="preserve">High-growth markets for </w:t>
      </w:r>
      <w:r w:rsidRPr="00AF78AB">
        <w:rPr>
          <w:b/>
        </w:rPr>
        <w:t xml:space="preserve">electrical equipment </w:t>
      </w:r>
      <w:r w:rsidRPr="00AF78AB">
        <w:rPr>
          <w:bCs/>
        </w:rPr>
        <w:t xml:space="preserve">included </w:t>
      </w:r>
      <w:r w:rsidR="001A0504" w:rsidRPr="00AF78AB">
        <w:rPr>
          <w:b/>
        </w:rPr>
        <w:t xml:space="preserve">Canada </w:t>
      </w:r>
      <w:r w:rsidR="001A0504" w:rsidRPr="00AF78AB">
        <w:rPr>
          <w:bCs/>
        </w:rPr>
        <w:t>(up 38%)</w:t>
      </w:r>
      <w:r w:rsidR="001A0504" w:rsidRPr="00AF78AB">
        <w:rPr>
          <w:b/>
        </w:rPr>
        <w:t xml:space="preserve">, Germany </w:t>
      </w:r>
      <w:r w:rsidR="001A0504" w:rsidRPr="00AF78AB">
        <w:rPr>
          <w:bCs/>
        </w:rPr>
        <w:t>(up 49%) and</w:t>
      </w:r>
      <w:r w:rsidR="001A0504" w:rsidRPr="00AF78AB">
        <w:rPr>
          <w:b/>
        </w:rPr>
        <w:t xml:space="preserve"> Singapore </w:t>
      </w:r>
      <w:r w:rsidR="001A0504" w:rsidRPr="00AF78AB">
        <w:rPr>
          <w:bCs/>
        </w:rPr>
        <w:t>(up 50%)</w:t>
      </w:r>
      <w:r w:rsidR="00BC4C10" w:rsidRPr="00AF78AB">
        <w:rPr>
          <w:b/>
        </w:rPr>
        <w:t>.</w:t>
      </w:r>
      <w:r w:rsidR="001A0504" w:rsidRPr="00AF78AB">
        <w:rPr>
          <w:b/>
        </w:rPr>
        <w:t xml:space="preserve"> </w:t>
      </w:r>
      <w:r w:rsidRPr="00AF78AB">
        <w:rPr>
          <w:bCs/>
        </w:rPr>
        <w:t>Key s</w:t>
      </w:r>
      <w:r w:rsidR="001A0504" w:rsidRPr="00AF78AB">
        <w:rPr>
          <w:bCs/>
        </w:rPr>
        <w:t xml:space="preserve">egments </w:t>
      </w:r>
      <w:r w:rsidRPr="00AF78AB">
        <w:rPr>
          <w:bCs/>
        </w:rPr>
        <w:t xml:space="preserve">were </w:t>
      </w:r>
      <w:r w:rsidRPr="00AF78AB">
        <w:rPr>
          <w:b/>
        </w:rPr>
        <w:t>integrated circuits</w:t>
      </w:r>
      <w:r w:rsidRPr="00AF78AB">
        <w:rPr>
          <w:bCs/>
        </w:rPr>
        <w:t xml:space="preserve"> ($1.1 billion, up 13%) and </w:t>
      </w:r>
      <w:r w:rsidRPr="00AF78AB">
        <w:rPr>
          <w:b/>
        </w:rPr>
        <w:t>electric generators</w:t>
      </w:r>
      <w:r w:rsidRPr="00AF78AB">
        <w:rPr>
          <w:bCs/>
        </w:rPr>
        <w:t xml:space="preserve"> ($312 million, up 109%).</w:t>
      </w:r>
    </w:p>
    <w:p w14:paraId="5337A94D" w14:textId="18F62578" w:rsidR="003329A5" w:rsidRPr="00AF78AB" w:rsidRDefault="003329A5" w:rsidP="00B76132">
      <w:pPr>
        <w:pStyle w:val="ListParagraph"/>
        <w:spacing w:before="120" w:after="0" w:line="271" w:lineRule="auto"/>
        <w:ind w:left="360" w:right="18"/>
        <w:rPr>
          <w:b/>
          <w:sz w:val="24"/>
        </w:rPr>
      </w:pPr>
      <w:r w:rsidRPr="00AF78AB">
        <w:rPr>
          <w:rStyle w:val="Heading4Char"/>
          <w:color w:val="auto"/>
        </w:rPr>
        <w:t xml:space="preserve">Figure </w:t>
      </w:r>
      <w:r w:rsidRPr="00AF78AB">
        <w:rPr>
          <w:rStyle w:val="Heading4Char"/>
          <w:b/>
          <w:color w:val="auto"/>
        </w:rPr>
        <w:fldChar w:fldCharType="begin"/>
      </w:r>
      <w:r w:rsidRPr="00AF78AB">
        <w:rPr>
          <w:rStyle w:val="Heading4Char"/>
          <w:color w:val="auto"/>
        </w:rPr>
        <w:instrText xml:space="preserve"> SEQ Figure \* ARABIC </w:instrText>
      </w:r>
      <w:r w:rsidRPr="00AF78AB">
        <w:rPr>
          <w:rStyle w:val="Heading4Char"/>
          <w:b/>
          <w:color w:val="auto"/>
        </w:rPr>
        <w:fldChar w:fldCharType="separate"/>
      </w:r>
      <w:r w:rsidRPr="00AF78AB">
        <w:rPr>
          <w:rStyle w:val="Heading4Char"/>
          <w:noProof/>
          <w:color w:val="auto"/>
        </w:rPr>
        <w:t>3</w:t>
      </w:r>
      <w:r w:rsidRPr="00AF78AB">
        <w:rPr>
          <w:rStyle w:val="Heading4Char"/>
          <w:b/>
          <w:color w:val="auto"/>
        </w:rPr>
        <w:fldChar w:fldCharType="end"/>
      </w:r>
      <w:r w:rsidR="00576FFD" w:rsidRPr="00AF78AB">
        <w:rPr>
          <w:rStyle w:val="Heading4Char"/>
          <w:color w:val="auto"/>
        </w:rPr>
        <w:t xml:space="preserve">. </w:t>
      </w:r>
      <w:r w:rsidR="00DD6A21" w:rsidRPr="00AF78AB">
        <w:rPr>
          <w:rStyle w:val="Heading4Char"/>
          <w:color w:val="auto"/>
        </w:rPr>
        <w:t>Electrical Equipment</w:t>
      </w:r>
      <w:r w:rsidR="003754FD" w:rsidRPr="00AF78AB">
        <w:rPr>
          <w:rStyle w:val="Heading4Char"/>
          <w:color w:val="auto"/>
        </w:rPr>
        <w:t xml:space="preserve"> </w:t>
      </w:r>
      <w:r w:rsidR="00DD6A21" w:rsidRPr="00AF78AB">
        <w:rPr>
          <w:rStyle w:val="Heading4Char"/>
          <w:color w:val="auto"/>
        </w:rPr>
        <w:t>Exports</w:t>
      </w:r>
    </w:p>
    <w:p w14:paraId="1966C9DD" w14:textId="77777777" w:rsidR="003329A5" w:rsidRPr="00AF78AB" w:rsidRDefault="003329A5" w:rsidP="00747332">
      <w:pPr>
        <w:spacing w:after="120" w:line="271" w:lineRule="auto"/>
        <w:sectPr w:rsidR="003329A5" w:rsidRPr="00AF78AB" w:rsidSect="00864EE6">
          <w:footerReference w:type="default" r:id="rId15"/>
          <w:footnotePr>
            <w:numRestart w:val="eachSect"/>
          </w:footnotePr>
          <w:endnotePr>
            <w:numFmt w:val="decimal"/>
          </w:endnotePr>
          <w:type w:val="continuous"/>
          <w:pgSz w:w="12240" w:h="15840" w:code="1"/>
          <w:pgMar w:top="864" w:right="1152" w:bottom="864" w:left="1152" w:header="720" w:footer="720" w:gutter="0"/>
          <w:cols w:num="2" w:space="360"/>
          <w:titlePg/>
          <w:docGrid w:linePitch="299"/>
        </w:sectPr>
      </w:pPr>
      <w:r w:rsidRPr="00AF78AB">
        <w:rPr>
          <w:noProof/>
        </w:rPr>
        <w:drawing>
          <wp:inline distT="0" distB="0" distL="0" distR="0" wp14:anchorId="45C6D587" wp14:editId="13130263">
            <wp:extent cx="3017520" cy="1859280"/>
            <wp:effectExtent l="0" t="0" r="0" b="0"/>
            <wp:docPr id="3" name="Chart 3" descr="Figure 3 Major exported electrical equipment products&#10;Integrated Circuits 29%&#10;Generators 8%&#10;Diodes, Transistors 8%&#10;Switches 7%&#10;Telecommunications 6%&#10;Insulated Wire, Cable 5%&#10;Other 3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9D19326" w14:textId="4F9A9FB5" w:rsidR="00D86A3A" w:rsidRPr="00AF78AB" w:rsidRDefault="001A0504" w:rsidP="00B76132">
      <w:pPr>
        <w:pStyle w:val="ListParagraph"/>
        <w:numPr>
          <w:ilvl w:val="0"/>
          <w:numId w:val="7"/>
        </w:numPr>
        <w:spacing w:before="120" w:after="0" w:line="271" w:lineRule="auto"/>
        <w:ind w:left="360"/>
      </w:pPr>
      <w:r w:rsidRPr="00AF78AB">
        <w:rPr>
          <w:b/>
          <w:bCs/>
        </w:rPr>
        <w:t>Canada</w:t>
      </w:r>
      <w:r w:rsidR="0039082F" w:rsidRPr="00AF78AB">
        <w:rPr>
          <w:b/>
          <w:bCs/>
        </w:rPr>
        <w:t xml:space="preserve"> </w:t>
      </w:r>
      <w:r w:rsidR="0039082F" w:rsidRPr="00AF78AB">
        <w:t>($774 million, up 197%)</w:t>
      </w:r>
      <w:r w:rsidRPr="00AF78AB">
        <w:rPr>
          <w:b/>
          <w:bCs/>
        </w:rPr>
        <w:t xml:space="preserve"> </w:t>
      </w:r>
      <w:r w:rsidR="0039082F" w:rsidRPr="00AF78AB">
        <w:t>wa</w:t>
      </w:r>
      <w:r w:rsidR="00D86A3A" w:rsidRPr="00AF78AB">
        <w:t xml:space="preserve">s the </w:t>
      </w:r>
      <w:r w:rsidR="00B76132" w:rsidRPr="00AF78AB">
        <w:t>main</w:t>
      </w:r>
      <w:r w:rsidR="00D86A3A" w:rsidRPr="00AF78AB">
        <w:t xml:space="preserve"> </w:t>
      </w:r>
      <w:r w:rsidR="00B76132" w:rsidRPr="00AF78AB">
        <w:t>market</w:t>
      </w:r>
      <w:r w:rsidR="0039082F" w:rsidRPr="00AF78AB">
        <w:t xml:space="preserve"> </w:t>
      </w:r>
      <w:r w:rsidR="00B76132" w:rsidRPr="00AF78AB">
        <w:t>for</w:t>
      </w:r>
      <w:r w:rsidR="00D86A3A" w:rsidRPr="00AF78AB">
        <w:t xml:space="preserve"> </w:t>
      </w:r>
      <w:r w:rsidRPr="00AF78AB">
        <w:rPr>
          <w:b/>
          <w:bCs/>
        </w:rPr>
        <w:t>cereals</w:t>
      </w:r>
      <w:r w:rsidR="00D86A3A" w:rsidRPr="00AF78AB">
        <w:t xml:space="preserve">. </w:t>
      </w:r>
      <w:r w:rsidR="00B76132" w:rsidRPr="00AF78AB">
        <w:t>E</w:t>
      </w:r>
      <w:r w:rsidR="00FA08BA" w:rsidRPr="00AF78AB">
        <w:t xml:space="preserve">merging </w:t>
      </w:r>
      <w:r w:rsidR="00D86A3A" w:rsidRPr="00AF78AB">
        <w:t xml:space="preserve">markets </w:t>
      </w:r>
      <w:r w:rsidR="00FA08BA" w:rsidRPr="00AF78AB">
        <w:t xml:space="preserve">for </w:t>
      </w:r>
      <w:r w:rsidR="00FA08BA" w:rsidRPr="00AF78AB">
        <w:rPr>
          <w:b/>
          <w:bCs/>
        </w:rPr>
        <w:t>wheat</w:t>
      </w:r>
      <w:r w:rsidR="00FA08BA" w:rsidRPr="00AF78AB">
        <w:t xml:space="preserve"> </w:t>
      </w:r>
      <w:r w:rsidR="008B558F" w:rsidRPr="00AF78AB">
        <w:t>were</w:t>
      </w:r>
      <w:r w:rsidR="00D86A3A" w:rsidRPr="00AF78AB">
        <w:t xml:space="preserve"> </w:t>
      </w:r>
      <w:r w:rsidR="00D86A3A" w:rsidRPr="00AF78AB">
        <w:rPr>
          <w:b/>
          <w:bCs/>
        </w:rPr>
        <w:t>Yemen</w:t>
      </w:r>
      <w:r w:rsidR="00D86A3A" w:rsidRPr="00AF78AB">
        <w:t xml:space="preserve"> ($79 million, up from none)</w:t>
      </w:r>
      <w:r w:rsidR="008B558F" w:rsidRPr="00AF78AB">
        <w:t xml:space="preserve"> and</w:t>
      </w:r>
      <w:r w:rsidR="00D86A3A" w:rsidRPr="00AF78AB">
        <w:t xml:space="preserve"> </w:t>
      </w:r>
      <w:r w:rsidR="00D86A3A" w:rsidRPr="00AF78AB">
        <w:rPr>
          <w:b/>
          <w:bCs/>
        </w:rPr>
        <w:t>Indonesia</w:t>
      </w:r>
      <w:r w:rsidR="00D86A3A" w:rsidRPr="00AF78AB">
        <w:t xml:space="preserve"> ($51 million, up from none)</w:t>
      </w:r>
      <w:r w:rsidR="008B558F" w:rsidRPr="00AF78AB">
        <w:t>.</w:t>
      </w:r>
    </w:p>
    <w:p w14:paraId="425B3418" w14:textId="39717E68" w:rsidR="00864EE6" w:rsidRPr="00AF78AB" w:rsidRDefault="00BC4C10" w:rsidP="002E12C5">
      <w:pPr>
        <w:pStyle w:val="ListParagraph"/>
        <w:numPr>
          <w:ilvl w:val="0"/>
          <w:numId w:val="7"/>
        </w:numPr>
        <w:spacing w:before="60" w:after="0" w:line="271" w:lineRule="auto"/>
        <w:ind w:left="360" w:right="18"/>
        <w:rPr>
          <w:b/>
          <w:sz w:val="24"/>
        </w:rPr>
      </w:pPr>
      <w:r w:rsidRPr="00AF78AB">
        <w:t xml:space="preserve">After struggling in 2021, </w:t>
      </w:r>
      <w:r w:rsidR="00FA08BA" w:rsidRPr="00AF78AB">
        <w:t>exports</w:t>
      </w:r>
      <w:r w:rsidRPr="00AF78AB">
        <w:t xml:space="preserve"> of </w:t>
      </w:r>
      <w:r w:rsidRPr="00AF78AB">
        <w:rPr>
          <w:b/>
          <w:bCs/>
        </w:rPr>
        <w:t>o</w:t>
      </w:r>
      <w:r w:rsidR="00864EE6" w:rsidRPr="00AF78AB">
        <w:rPr>
          <w:b/>
          <w:bCs/>
        </w:rPr>
        <w:t>ptic</w:t>
      </w:r>
      <w:r w:rsidR="007648FB" w:rsidRPr="00AF78AB">
        <w:rPr>
          <w:b/>
          <w:bCs/>
        </w:rPr>
        <w:t>al</w:t>
      </w:r>
      <w:r w:rsidR="00864EE6" w:rsidRPr="00AF78AB">
        <w:rPr>
          <w:b/>
          <w:bCs/>
        </w:rPr>
        <w:t xml:space="preserve">, medical goods </w:t>
      </w:r>
      <w:r w:rsidRPr="00AF78AB">
        <w:t>re</w:t>
      </w:r>
      <w:r w:rsidR="003E7BE4" w:rsidRPr="00AF78AB">
        <w:t xml:space="preserve">covered </w:t>
      </w:r>
      <w:r w:rsidR="008B558F" w:rsidRPr="00AF78AB">
        <w:t xml:space="preserve">(to 2020 levels) and </w:t>
      </w:r>
      <w:r w:rsidR="003E7BE4" w:rsidRPr="00AF78AB">
        <w:t>gr</w:t>
      </w:r>
      <w:r w:rsidR="008B558F" w:rsidRPr="00AF78AB">
        <w:t>ew</w:t>
      </w:r>
      <w:r w:rsidR="003E7BE4" w:rsidRPr="00AF78AB">
        <w:t xml:space="preserve"> </w:t>
      </w:r>
      <w:r w:rsidRPr="00AF78AB">
        <w:t>6%</w:t>
      </w:r>
      <w:r w:rsidR="00623165" w:rsidRPr="00AF78AB">
        <w:t xml:space="preserve">. </w:t>
      </w:r>
      <w:r w:rsidR="008B558F" w:rsidRPr="00AF78AB">
        <w:t>Swelling</w:t>
      </w:r>
      <w:r w:rsidR="00DC1618" w:rsidRPr="00AF78AB">
        <w:t xml:space="preserve"> </w:t>
      </w:r>
      <w:r w:rsidR="00351C1E" w:rsidRPr="00AF78AB">
        <w:t>demand for</w:t>
      </w:r>
      <w:r w:rsidR="00DC1618" w:rsidRPr="00AF78AB">
        <w:t xml:space="preserve"> </w:t>
      </w:r>
      <w:r w:rsidR="00623165" w:rsidRPr="00AF78AB">
        <w:rPr>
          <w:b/>
          <w:bCs/>
        </w:rPr>
        <w:t>orthopedic/a</w:t>
      </w:r>
      <w:r w:rsidR="00DC1618" w:rsidRPr="00AF78AB">
        <w:rPr>
          <w:b/>
          <w:bCs/>
        </w:rPr>
        <w:t>rtificial</w:t>
      </w:r>
      <w:r w:rsidR="00623165" w:rsidRPr="00AF78AB">
        <w:rPr>
          <w:b/>
          <w:bCs/>
        </w:rPr>
        <w:t xml:space="preserve"> body parts</w:t>
      </w:r>
      <w:r w:rsidR="00DC1618" w:rsidRPr="00AF78AB">
        <w:rPr>
          <w:b/>
          <w:bCs/>
        </w:rPr>
        <w:t xml:space="preserve"> </w:t>
      </w:r>
      <w:r w:rsidR="00623165" w:rsidRPr="00AF78AB">
        <w:t xml:space="preserve">($809 million, up 52%) </w:t>
      </w:r>
      <w:r w:rsidR="00C042A6" w:rsidRPr="00AF78AB">
        <w:t xml:space="preserve">and </w:t>
      </w:r>
      <w:r w:rsidR="00351C1E" w:rsidRPr="00AF78AB">
        <w:t>strong</w:t>
      </w:r>
      <w:r w:rsidR="008B558F" w:rsidRPr="00AF78AB">
        <w:t>er</w:t>
      </w:r>
      <w:r w:rsidR="00351C1E" w:rsidRPr="00AF78AB">
        <w:t xml:space="preserve"> market</w:t>
      </w:r>
      <w:r w:rsidR="008B558F" w:rsidRPr="00AF78AB">
        <w:t>s</w:t>
      </w:r>
      <w:r w:rsidR="002E12C5" w:rsidRPr="00AF78AB">
        <w:t xml:space="preserve"> – including</w:t>
      </w:r>
      <w:r w:rsidR="00C042A6" w:rsidRPr="00AF78AB">
        <w:t xml:space="preserve"> </w:t>
      </w:r>
      <w:r w:rsidR="00C042A6" w:rsidRPr="00AF78AB">
        <w:rPr>
          <w:b/>
          <w:bCs/>
        </w:rPr>
        <w:t>Netherlands</w:t>
      </w:r>
      <w:r w:rsidR="00C042A6" w:rsidRPr="00AF78AB">
        <w:t xml:space="preserve"> (up 44%)</w:t>
      </w:r>
      <w:r w:rsidR="00247785" w:rsidRPr="00AF78AB">
        <w:t xml:space="preserve">, </w:t>
      </w:r>
      <w:r w:rsidR="00247785" w:rsidRPr="00AF78AB">
        <w:rPr>
          <w:b/>
          <w:bCs/>
        </w:rPr>
        <w:t>Costa Rica</w:t>
      </w:r>
      <w:r w:rsidR="00247785" w:rsidRPr="00AF78AB">
        <w:t xml:space="preserve"> (</w:t>
      </w:r>
      <w:r w:rsidR="002E12C5" w:rsidRPr="00AF78AB">
        <w:t xml:space="preserve">up </w:t>
      </w:r>
      <w:r w:rsidR="00247785" w:rsidRPr="00AF78AB">
        <w:t>33%)</w:t>
      </w:r>
      <w:r w:rsidR="002E12C5" w:rsidRPr="00AF78AB">
        <w:t xml:space="preserve"> and</w:t>
      </w:r>
      <w:r w:rsidR="00247785" w:rsidRPr="00AF78AB">
        <w:t xml:space="preserve"> </w:t>
      </w:r>
      <w:r w:rsidR="00C042A6" w:rsidRPr="00AF78AB">
        <w:rPr>
          <w:b/>
          <w:bCs/>
        </w:rPr>
        <w:t xml:space="preserve">Germany </w:t>
      </w:r>
      <w:r w:rsidR="00C042A6" w:rsidRPr="00AF78AB">
        <w:t>(up 25%)</w:t>
      </w:r>
      <w:r w:rsidR="002E12C5" w:rsidRPr="00AF78AB">
        <w:t xml:space="preserve"> –</w:t>
      </w:r>
      <w:r w:rsidR="00247785" w:rsidRPr="00AF78AB">
        <w:t xml:space="preserve"> </w:t>
      </w:r>
      <w:r w:rsidR="00351C1E" w:rsidRPr="00AF78AB">
        <w:t xml:space="preserve">helped to </w:t>
      </w:r>
      <w:r w:rsidR="00623165" w:rsidRPr="00AF78AB">
        <w:t>fuel growth.</w:t>
      </w:r>
    </w:p>
    <w:p w14:paraId="691DE89D" w14:textId="18DC290B" w:rsidR="0088746C" w:rsidRPr="00AF78AB" w:rsidRDefault="002E12C5" w:rsidP="00C202D6">
      <w:pPr>
        <w:pStyle w:val="ListParagraph"/>
        <w:numPr>
          <w:ilvl w:val="0"/>
          <w:numId w:val="7"/>
        </w:numPr>
        <w:spacing w:before="60" w:after="0" w:line="271" w:lineRule="auto"/>
        <w:ind w:left="360" w:right="18"/>
        <w:rPr>
          <w:b/>
          <w:sz w:val="24"/>
        </w:rPr>
      </w:pPr>
      <w:r w:rsidRPr="00AF78AB">
        <w:rPr>
          <w:b/>
          <w:bCs/>
        </w:rPr>
        <w:t>China</w:t>
      </w:r>
      <w:r w:rsidRPr="00AF78AB">
        <w:t xml:space="preserve"> ($219 million, up 494%) spurred e</w:t>
      </w:r>
      <w:r w:rsidR="00BF7790" w:rsidRPr="00AF78AB">
        <w:t xml:space="preserve">xport growth in </w:t>
      </w:r>
      <w:r w:rsidR="003E7BE4" w:rsidRPr="00AF78AB">
        <w:rPr>
          <w:b/>
          <w:bCs/>
        </w:rPr>
        <w:t>misc. chemicals</w:t>
      </w:r>
      <w:r w:rsidR="0088746C" w:rsidRPr="00AF78AB">
        <w:rPr>
          <w:b/>
          <w:bCs/>
        </w:rPr>
        <w:t xml:space="preserve"> </w:t>
      </w:r>
      <w:r w:rsidR="0088746C" w:rsidRPr="00AF78AB">
        <w:t>(</w:t>
      </w:r>
      <w:r w:rsidR="003E7BE4" w:rsidRPr="00AF78AB">
        <w:t>$4</w:t>
      </w:r>
      <w:r w:rsidRPr="00AF78AB">
        <w:t>6</w:t>
      </w:r>
      <w:r w:rsidR="003E7BE4" w:rsidRPr="00AF78AB">
        <w:t>0 million, up 147%</w:t>
      </w:r>
      <w:r w:rsidR="0088746C" w:rsidRPr="00AF78AB">
        <w:t>)</w:t>
      </w:r>
      <w:r w:rsidRPr="00AF78AB">
        <w:rPr>
          <w:b/>
          <w:bCs/>
        </w:rPr>
        <w:t xml:space="preserve">, </w:t>
      </w:r>
      <w:r w:rsidR="00747332" w:rsidRPr="00AF78AB">
        <w:t xml:space="preserve">driven by </w:t>
      </w:r>
      <w:r w:rsidR="00351C1E" w:rsidRPr="00AF78AB">
        <w:t xml:space="preserve">a spike in demand </w:t>
      </w:r>
      <w:r w:rsidR="00747332" w:rsidRPr="00AF78AB">
        <w:t>for</w:t>
      </w:r>
      <w:r w:rsidR="00351C1E" w:rsidRPr="00AF78AB">
        <w:t xml:space="preserve"> </w:t>
      </w:r>
      <w:r w:rsidR="00351C1E" w:rsidRPr="00AF78AB">
        <w:rPr>
          <w:b/>
          <w:bCs/>
        </w:rPr>
        <w:t xml:space="preserve">composite diagnostic or laboratory reagents </w:t>
      </w:r>
      <w:r w:rsidR="00351C1E" w:rsidRPr="00AF78AB">
        <w:t>($202 million, up 977%).</w:t>
      </w:r>
    </w:p>
    <w:p w14:paraId="6782B6C7" w14:textId="30CC5652" w:rsidR="003E7BE4" w:rsidRPr="00AF78AB" w:rsidRDefault="003E7BE4" w:rsidP="003E7BE4">
      <w:pPr>
        <w:pStyle w:val="ListParagraph"/>
        <w:numPr>
          <w:ilvl w:val="0"/>
          <w:numId w:val="7"/>
        </w:numPr>
        <w:spacing w:after="0" w:line="271" w:lineRule="auto"/>
        <w:ind w:left="360"/>
      </w:pPr>
      <w:r w:rsidRPr="00AF78AB">
        <w:t xml:space="preserve">Other products that gained over $50 million in exports in 2022 included </w:t>
      </w:r>
      <w:r w:rsidRPr="00AF78AB">
        <w:rPr>
          <w:b/>
          <w:bCs/>
        </w:rPr>
        <w:t>vehicles</w:t>
      </w:r>
      <w:r w:rsidRPr="00AF78AB">
        <w:t xml:space="preserve"> ($1.4 billion, up 18%</w:t>
      </w:r>
      <w:r w:rsidR="00BC25C1" w:rsidRPr="00AF78AB">
        <w:t xml:space="preserve"> - bolstered by </w:t>
      </w:r>
      <w:r w:rsidR="00BC25C1" w:rsidRPr="00AF78AB">
        <w:rPr>
          <w:b/>
          <w:bCs/>
        </w:rPr>
        <w:t>vehicle parts</w:t>
      </w:r>
      <w:r w:rsidR="00BC25C1" w:rsidRPr="00AF78AB">
        <w:t xml:space="preserve"> and </w:t>
      </w:r>
      <w:r w:rsidR="00BC25C1" w:rsidRPr="00AF78AB">
        <w:rPr>
          <w:b/>
          <w:bCs/>
        </w:rPr>
        <w:t>passenger vehicles</w:t>
      </w:r>
      <w:r w:rsidRPr="00AF78AB">
        <w:t>),</w:t>
      </w:r>
      <w:r w:rsidRPr="00AF78AB">
        <w:rPr>
          <w:b/>
          <w:bCs/>
        </w:rPr>
        <w:t xml:space="preserve"> iron and steel products </w:t>
      </w:r>
      <w:r w:rsidRPr="00AF78AB">
        <w:t>($438 million, up 33%</w:t>
      </w:r>
      <w:r w:rsidR="00BC25C1" w:rsidRPr="00AF78AB">
        <w:t xml:space="preserve"> - </w:t>
      </w:r>
      <w:r w:rsidR="002E12C5" w:rsidRPr="00AF78AB">
        <w:t>boosted by</w:t>
      </w:r>
      <w:r w:rsidR="00BC25C1" w:rsidRPr="00AF78AB">
        <w:t xml:space="preserve"> demand in </w:t>
      </w:r>
      <w:r w:rsidR="00BC25C1" w:rsidRPr="00AF78AB">
        <w:rPr>
          <w:b/>
          <w:bCs/>
        </w:rPr>
        <w:t>North America</w:t>
      </w:r>
      <w:r w:rsidR="00E609C4" w:rsidRPr="00AF78AB">
        <w:t xml:space="preserve">) </w:t>
      </w:r>
      <w:r w:rsidRPr="00AF78AB">
        <w:t xml:space="preserve">and </w:t>
      </w:r>
      <w:r w:rsidRPr="00AF78AB">
        <w:rPr>
          <w:b/>
          <w:bCs/>
        </w:rPr>
        <w:t>food by-products</w:t>
      </w:r>
      <w:r w:rsidRPr="00AF78AB">
        <w:t xml:space="preserve"> ($748 million, up 8%).</w:t>
      </w:r>
      <w:r w:rsidR="00E609C4" w:rsidRPr="00AF78AB">
        <w:t xml:space="preserve"> As the primary market, </w:t>
      </w:r>
      <w:r w:rsidR="00E609C4" w:rsidRPr="00AF78AB">
        <w:rPr>
          <w:b/>
          <w:bCs/>
        </w:rPr>
        <w:t>Canada</w:t>
      </w:r>
      <w:r w:rsidR="00E609C4" w:rsidRPr="00AF78AB">
        <w:t xml:space="preserve"> uplifted </w:t>
      </w:r>
      <w:r w:rsidR="00E609C4" w:rsidRPr="00AF78AB">
        <w:rPr>
          <w:b/>
          <w:bCs/>
        </w:rPr>
        <w:t>beverages, spirits</w:t>
      </w:r>
      <w:r w:rsidR="00E609C4" w:rsidRPr="00AF78AB">
        <w:t xml:space="preserve"> ($208 million, up 37%) and </w:t>
      </w:r>
      <w:r w:rsidR="00E609C4" w:rsidRPr="00AF78AB">
        <w:rPr>
          <w:b/>
          <w:bCs/>
        </w:rPr>
        <w:t>fertilizers</w:t>
      </w:r>
      <w:r w:rsidR="00E609C4" w:rsidRPr="00AF78AB">
        <w:t xml:space="preserve"> ($350 million, up 105%). </w:t>
      </w:r>
    </w:p>
    <w:p w14:paraId="310F0D71" w14:textId="05E2C15C" w:rsidR="00747332" w:rsidRPr="00AF78AB" w:rsidRDefault="00747332" w:rsidP="00BC25C1">
      <w:pPr>
        <w:pStyle w:val="ListParagraph"/>
        <w:numPr>
          <w:ilvl w:val="0"/>
          <w:numId w:val="7"/>
        </w:numPr>
        <w:spacing w:before="60" w:after="0" w:line="271" w:lineRule="auto"/>
        <w:ind w:left="360" w:right="18"/>
        <w:rPr>
          <w:b/>
          <w:sz w:val="24"/>
        </w:rPr>
      </w:pPr>
      <w:r w:rsidRPr="00AF78AB">
        <w:t xml:space="preserve">Exports of </w:t>
      </w:r>
      <w:r w:rsidRPr="00AF78AB">
        <w:rPr>
          <w:b/>
          <w:bCs/>
        </w:rPr>
        <w:t xml:space="preserve">machinery </w:t>
      </w:r>
      <w:r w:rsidRPr="00AF78AB">
        <w:t xml:space="preserve">dropped 8%. While sales grew strongly to markets including </w:t>
      </w:r>
      <w:r w:rsidRPr="00AF78AB">
        <w:rPr>
          <w:b/>
          <w:bCs/>
        </w:rPr>
        <w:t xml:space="preserve">Mexico, </w:t>
      </w:r>
      <w:proofErr w:type="gramStart"/>
      <w:r w:rsidRPr="00AF78AB">
        <w:rPr>
          <w:b/>
          <w:bCs/>
        </w:rPr>
        <w:t>China</w:t>
      </w:r>
      <w:proofErr w:type="gramEnd"/>
      <w:r w:rsidRPr="00AF78AB">
        <w:t xml:space="preserve"> and </w:t>
      </w:r>
      <w:r w:rsidRPr="00AF78AB">
        <w:rPr>
          <w:b/>
          <w:bCs/>
        </w:rPr>
        <w:t>Canada</w:t>
      </w:r>
      <w:r w:rsidRPr="00AF78AB">
        <w:t xml:space="preserve">, they plunged 91% to the </w:t>
      </w:r>
      <w:r w:rsidRPr="00AF78AB">
        <w:rPr>
          <w:b/>
          <w:bCs/>
        </w:rPr>
        <w:t>Philippines</w:t>
      </w:r>
      <w:r w:rsidRPr="00AF78AB">
        <w:t xml:space="preserve"> – largely due to </w:t>
      </w:r>
      <w:r w:rsidRPr="00AF78AB">
        <w:rPr>
          <w:b/>
          <w:bCs/>
        </w:rPr>
        <w:t xml:space="preserve">machines for making semiconductors. </w:t>
      </w:r>
    </w:p>
    <w:p w14:paraId="7A324B63" w14:textId="2EE7487C" w:rsidR="000D50BF" w:rsidRDefault="00C72BBA" w:rsidP="009D4735">
      <w:pPr>
        <w:pStyle w:val="Heading4"/>
        <w:spacing w:before="80" w:after="80"/>
        <w:rPr>
          <w:color w:val="auto"/>
        </w:rPr>
      </w:pPr>
      <w:r w:rsidRPr="00AF78AB">
        <w:rPr>
          <w:color w:val="auto"/>
        </w:rPr>
        <w:t>Figure 4</w:t>
      </w:r>
      <w:r w:rsidR="00542EF2" w:rsidRPr="00AF78AB">
        <w:rPr>
          <w:color w:val="auto"/>
        </w:rPr>
        <w:t>. Exports for</w:t>
      </w:r>
      <w:r w:rsidR="007F1C4A" w:rsidRPr="00AF78AB">
        <w:rPr>
          <w:color w:val="auto"/>
        </w:rPr>
        <w:t xml:space="preserve"> Minnesota’s Top 10 Products</w:t>
      </w:r>
      <w:r w:rsidR="001130EE" w:rsidRPr="00AF78AB">
        <w:rPr>
          <w:color w:val="auto"/>
        </w:rPr>
        <w:t xml:space="preserve"> in</w:t>
      </w:r>
      <w:r w:rsidR="007F1C4A" w:rsidRPr="00AF78AB">
        <w:rPr>
          <w:color w:val="auto"/>
        </w:rPr>
        <w:t xml:space="preserve"> </w:t>
      </w:r>
      <w:r w:rsidR="002E7C23" w:rsidRPr="00AF78AB">
        <w:rPr>
          <w:color w:val="auto"/>
        </w:rPr>
        <w:t>202</w:t>
      </w:r>
      <w:r w:rsidR="00FA1228" w:rsidRPr="00AF78AB">
        <w:rPr>
          <w:color w:val="auto"/>
        </w:rPr>
        <w:t>2</w:t>
      </w:r>
    </w:p>
    <w:tbl>
      <w:tblPr>
        <w:tblpPr w:leftFromText="180" w:rightFromText="180" w:vertAnchor="page" w:horzAnchor="margin" w:tblpY="12796"/>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FBB"/>
        <w:tblLook w:val="04A0" w:firstRow="1" w:lastRow="0" w:firstColumn="1" w:lastColumn="0" w:noHBand="0" w:noVBand="1"/>
        <w:tblCaption w:val="Additional information"/>
        <w:tblDescription w:val="Minnesota Export Statistics is the most current resource available for tracking the state’s trends of exports of goods and is prepared for the Minnesota Trade Office (MTO) by the Department of Employment and Economic Development’s (DEED) Economic Analysis Unit (by Thu-Mai Ho-Kim).  The quarterly and annual statistics reports primarily cover export data based on the Harmonized Tariff System (Schedule B), collected by the U.S. Department of Commerce (USDOC) and distributed by IHS Markit. Reports are available on DEED’s website at “Export and Trade Statistics” (http://mn.gov/deed/data/export-stats/).  Additional Notes: The U.S. Department of Agriculture (USDA) publishes alternate annual agricultural export estimates based on different methodology. USDA estimated that Minnesota exported $6.9 billion in agricultural and related food products in 2017, ranking fifth highest among all states. Data on services exports are limited. The Coalition of Services Industries, a national industry group, estimated Minnesota services exports at $11 billion in 2017. DEED estimated Minnesota’s services exports at $14 billion for 2019, based on pro-rating U.S. services exports data, using the state’s GDP industry shares."/>
      </w:tblPr>
      <w:tblGrid>
        <w:gridCol w:w="10165"/>
      </w:tblGrid>
      <w:tr w:rsidR="009D4735" w:rsidRPr="009D4735" w14:paraId="0F19B306" w14:textId="77777777" w:rsidTr="009D4735">
        <w:trPr>
          <w:trHeight w:val="440"/>
        </w:trPr>
        <w:tc>
          <w:tcPr>
            <w:tcW w:w="10165" w:type="dxa"/>
            <w:shd w:val="clear" w:color="auto" w:fill="DAEFBB"/>
          </w:tcPr>
          <w:p w14:paraId="7D10F87C" w14:textId="12F08492" w:rsidR="009D4735" w:rsidRPr="009D4735" w:rsidRDefault="009D4735" w:rsidP="009D4735">
            <w:pPr>
              <w:spacing w:after="0"/>
              <w:rPr>
                <w:rFonts w:asciiTheme="majorHAnsi" w:hAnsiTheme="majorHAnsi" w:cstheme="minorHAnsi"/>
                <w:sz w:val="16"/>
                <w:szCs w:val="16"/>
              </w:rPr>
            </w:pPr>
            <w:r w:rsidRPr="009D4735">
              <w:rPr>
                <w:rStyle w:val="Emphasis"/>
                <w:rFonts w:asciiTheme="majorHAnsi" w:hAnsiTheme="majorHAnsi" w:cstheme="minorHAnsi"/>
                <w:sz w:val="16"/>
                <w:szCs w:val="16"/>
              </w:rPr>
              <w:t xml:space="preserve">Minnesota Export Statistics </w:t>
            </w:r>
            <w:r w:rsidRPr="009D4735">
              <w:rPr>
                <w:rFonts w:asciiTheme="majorHAnsi" w:hAnsiTheme="majorHAnsi" w:cstheme="minorHAnsi"/>
                <w:sz w:val="16"/>
                <w:szCs w:val="16"/>
              </w:rPr>
              <w:t>tracks the state’s trends in exports of goods and is prepared for the Minnesota Trade Office by DEED’s Economic Analysis Unit (by Thu-Mai Ho-Kim). The quarterly and annual reports primarily cover export data based on the Harmonized Tariff System (Schedule B), collected by the Foreign Trade Division, Census Bureau, U.S. Dept of Commerce and accessed through USA</w:t>
            </w:r>
            <w:r>
              <w:rPr>
                <w:rFonts w:asciiTheme="majorHAnsi" w:hAnsiTheme="majorHAnsi" w:cstheme="minorHAnsi"/>
                <w:sz w:val="16"/>
                <w:szCs w:val="16"/>
              </w:rPr>
              <w:t xml:space="preserve"> </w:t>
            </w:r>
            <w:r w:rsidRPr="009D4735">
              <w:rPr>
                <w:rFonts w:asciiTheme="majorHAnsi" w:hAnsiTheme="majorHAnsi" w:cstheme="minorHAnsi"/>
                <w:sz w:val="16"/>
                <w:szCs w:val="16"/>
              </w:rPr>
              <w:t>Trade</w:t>
            </w:r>
            <w:r>
              <w:rPr>
                <w:rFonts w:asciiTheme="majorHAnsi" w:hAnsiTheme="majorHAnsi" w:cstheme="minorHAnsi"/>
                <w:sz w:val="16"/>
                <w:szCs w:val="16"/>
              </w:rPr>
              <w:t xml:space="preserve"> Online</w:t>
            </w:r>
            <w:r w:rsidRPr="009D4735">
              <w:rPr>
                <w:rFonts w:asciiTheme="majorHAnsi" w:hAnsiTheme="majorHAnsi" w:cstheme="minorHAnsi"/>
                <w:sz w:val="16"/>
                <w:szCs w:val="16"/>
              </w:rPr>
              <w:t xml:space="preserve"> (Census Bureau) and Trade Data Monitor (TDM). Historical reports are available on DEED’s website at “Export and Trade Statistics” (</w:t>
            </w:r>
            <w:hyperlink r:id="rId17" w:history="1">
              <w:r w:rsidRPr="009D4735">
                <w:rPr>
                  <w:rStyle w:val="Hyperlink"/>
                  <w:rFonts w:asciiTheme="majorHAnsi" w:hAnsiTheme="majorHAnsi" w:cstheme="minorHAnsi"/>
                  <w:color w:val="auto"/>
                  <w:sz w:val="16"/>
                  <w:szCs w:val="16"/>
                </w:rPr>
                <w:t>http://mn.gov/deed/data/export-stats/</w:t>
              </w:r>
            </w:hyperlink>
            <w:r w:rsidRPr="009D4735">
              <w:rPr>
                <w:rFonts w:asciiTheme="majorHAnsi" w:hAnsiTheme="majorHAnsi" w:cstheme="minorHAnsi"/>
                <w:sz w:val="16"/>
                <w:szCs w:val="16"/>
              </w:rPr>
              <w:t>).  The U.S. Department of Agriculture (USDA) publishes alternate agricultural export data based on different methodology. USDA estimated that Minnesota exported $9.4 billion in ag and food products in 2021 and ranked fourth highest among states. Data on services exports are limited; Minnesota exported an estimated $12 billion in services in 2019, according to the Coalition of Services Industries. Jobs supported by exports are estimated by the International Trade Administration, U.S. Dept of Commerce.</w:t>
            </w:r>
          </w:p>
        </w:tc>
      </w:tr>
    </w:tbl>
    <w:p w14:paraId="42CF7DFC" w14:textId="278BD359" w:rsidR="007F1C4A" w:rsidRDefault="003A2478" w:rsidP="003A2478">
      <w:pPr>
        <w:spacing w:after="0"/>
        <w:rPr>
          <w:noProof/>
        </w:rPr>
      </w:pPr>
      <w:r>
        <w:rPr>
          <w:noProof/>
        </w:rPr>
        <w:drawing>
          <wp:inline distT="0" distB="0" distL="0" distR="0" wp14:anchorId="36F41697" wp14:editId="792F22F8">
            <wp:extent cx="6400800" cy="2049854"/>
            <wp:effectExtent l="0" t="0" r="0" b="7620"/>
            <wp:docPr id="10" name="Picture 10" descr="MN Exports top 10 products 2022&#10;PRODUCT Exports (billions) Percent Change, 2021 to 2022&#10;TOTAL  $27.3  16%&#10;Optic, Medical  $3.9  6%&#10;Machinery  $3.8  -8%&#10;Electrical Equipment  $3.8  22%&#10;Mineral Fuel, Oil  $3.6  99%&#10;Vehicles  $1.4  18%&#10;Plastics  $1.2  -2%&#10;Cereals  $1.1  138%&#10;Food By-Products  $0.7  8%&#10;Meat  $0.5  0%&#10;Ores, Slag, Ash  $0.5  4%&#10;Other  $6.7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MN Exports top 10 products 2022&#10;PRODUCT Exports (billions) Percent Change, 2021 to 2022&#10;TOTAL  $27.3  16%&#10;Optic, Medical  $3.9  6%&#10;Machinery  $3.8  -8%&#10;Electrical Equipment  $3.8  22%&#10;Mineral Fuel, Oil  $3.6  99%&#10;Vehicles  $1.4  18%&#10;Plastics  $1.2  -2%&#10;Cereals  $1.1  138%&#10;Food By-Products  $0.7  8%&#10;Meat  $0.5  0%&#10;Ores, Slag, Ash  $0.5  4%&#10;Other  $6.7  8%&#10;"/>
                    <pic:cNvPicPr>
                      <a:picLocks noChangeAspect="1" noChangeArrowheads="1"/>
                    </pic:cNvPicPr>
                  </pic:nvPicPr>
                  <pic:blipFill rotWithShape="1">
                    <a:blip r:embed="rId18">
                      <a:extLst>
                        <a:ext uri="{28A0092B-C50C-407E-A947-70E740481C1C}">
                          <a14:useLocalDpi xmlns:a14="http://schemas.microsoft.com/office/drawing/2010/main" val="0"/>
                        </a:ext>
                      </a:extLst>
                    </a:blip>
                    <a:srcRect t="6191"/>
                    <a:stretch/>
                  </pic:blipFill>
                  <pic:spPr bwMode="auto">
                    <a:xfrm>
                      <a:off x="0" y="0"/>
                      <a:ext cx="6415792" cy="2054655"/>
                    </a:xfrm>
                    <a:prstGeom prst="rect">
                      <a:avLst/>
                    </a:prstGeom>
                    <a:noFill/>
                    <a:ln>
                      <a:noFill/>
                    </a:ln>
                    <a:extLst>
                      <a:ext uri="{53640926-AAD7-44D8-BBD7-CCE9431645EC}">
                        <a14:shadowObscured xmlns:a14="http://schemas.microsoft.com/office/drawing/2010/main"/>
                      </a:ext>
                    </a:extLst>
                  </pic:spPr>
                </pic:pic>
              </a:graphicData>
            </a:graphic>
          </wp:inline>
        </w:drawing>
      </w:r>
    </w:p>
    <w:p w14:paraId="37A30B84" w14:textId="77777777" w:rsidR="00A729A4" w:rsidRPr="00AF78AB" w:rsidRDefault="00A729A4" w:rsidP="003A2478"/>
    <w:sectPr w:rsidR="00A729A4" w:rsidRPr="00AF78AB" w:rsidSect="004B3151">
      <w:footerReference w:type="default" r:id="rId19"/>
      <w:footnotePr>
        <w:numRestart w:val="eachSect"/>
      </w:footnotePr>
      <w:endnotePr>
        <w:numFmt w:val="decimal"/>
      </w:endnotePr>
      <w:type w:val="continuous"/>
      <w:pgSz w:w="12240" w:h="15840" w:code="1"/>
      <w:pgMar w:top="720" w:right="1152" w:bottom="720" w:left="1152"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9D974" w14:textId="77777777" w:rsidR="009C6D3D" w:rsidRDefault="009C6D3D">
      <w:r>
        <w:separator/>
      </w:r>
    </w:p>
  </w:endnote>
  <w:endnote w:type="continuationSeparator" w:id="0">
    <w:p w14:paraId="3A639508" w14:textId="77777777" w:rsidR="009C6D3D" w:rsidRDefault="009C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6EC55" w14:textId="4333A254" w:rsidR="00CC1B7D" w:rsidRDefault="00CC1B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2478">
      <w:rPr>
        <w:rStyle w:val="PageNumber"/>
        <w:noProof/>
      </w:rPr>
      <w:t>2</w:t>
    </w:r>
    <w:r>
      <w:rPr>
        <w:rStyle w:val="PageNumber"/>
      </w:rPr>
      <w:fldChar w:fldCharType="end"/>
    </w:r>
  </w:p>
  <w:p w14:paraId="54D5374B" w14:textId="77777777" w:rsidR="00CC1B7D" w:rsidRDefault="00CC1B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0F35D" w14:textId="77777777" w:rsidR="00A14E15" w:rsidRPr="009D4735" w:rsidRDefault="00A14E15" w:rsidP="009D47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F5DE" w14:textId="77777777" w:rsidR="003329A5" w:rsidRPr="00A14E15" w:rsidRDefault="003329A5" w:rsidP="00A14E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835635"/>
      <w:docPartObj>
        <w:docPartGallery w:val="Page Numbers (Bottom of Page)"/>
        <w:docPartUnique/>
      </w:docPartObj>
    </w:sdtPr>
    <w:sdtEndPr>
      <w:rPr>
        <w:noProof/>
      </w:rPr>
    </w:sdtEndPr>
    <w:sdtContent>
      <w:p w14:paraId="69CAE3AE" w14:textId="77777777" w:rsidR="00EF688D" w:rsidRDefault="00EF688D">
        <w:pPr>
          <w:pStyle w:val="Footer"/>
          <w:jc w:val="right"/>
        </w:pPr>
        <w:r>
          <w:fldChar w:fldCharType="begin"/>
        </w:r>
        <w:r>
          <w:instrText xml:space="preserve"> PAGE   \* MERGEFORMAT </w:instrText>
        </w:r>
        <w:r>
          <w:fldChar w:fldCharType="separate"/>
        </w:r>
        <w:r w:rsidR="00275CD0">
          <w:rPr>
            <w:noProof/>
          </w:rPr>
          <w:t>3</w:t>
        </w:r>
        <w:r>
          <w:rPr>
            <w:noProof/>
          </w:rPr>
          <w:fldChar w:fldCharType="end"/>
        </w:r>
      </w:p>
    </w:sdtContent>
  </w:sdt>
  <w:p w14:paraId="278D84B8" w14:textId="77777777" w:rsidR="00C72BBA" w:rsidRPr="00A14E15" w:rsidRDefault="00C72BBA" w:rsidP="00A14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B6C29" w14:textId="77777777" w:rsidR="009C6D3D" w:rsidRDefault="009C6D3D">
      <w:r>
        <w:separator/>
      </w:r>
    </w:p>
  </w:footnote>
  <w:footnote w:type="continuationSeparator" w:id="0">
    <w:p w14:paraId="25F7522F" w14:textId="77777777" w:rsidR="009C6D3D" w:rsidRDefault="009C6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E364" w14:textId="77777777" w:rsidR="00CC1B7D" w:rsidRDefault="00CC1B7D" w:rsidP="00E014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361D9" w14:textId="77777777" w:rsidR="00CC1B7D" w:rsidRDefault="00CC1B7D" w:rsidP="00E014F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89482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AD003E"/>
    <w:multiLevelType w:val="hybridMultilevel"/>
    <w:tmpl w:val="EFA89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D06D6"/>
    <w:multiLevelType w:val="hybridMultilevel"/>
    <w:tmpl w:val="D708D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D7251"/>
    <w:multiLevelType w:val="hybridMultilevel"/>
    <w:tmpl w:val="A20C3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8A56C3"/>
    <w:multiLevelType w:val="hybridMultilevel"/>
    <w:tmpl w:val="9BE2D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055FB0"/>
    <w:multiLevelType w:val="hybridMultilevel"/>
    <w:tmpl w:val="39F01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9B22E7"/>
    <w:multiLevelType w:val="hybridMultilevel"/>
    <w:tmpl w:val="3D58A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9E1423"/>
    <w:multiLevelType w:val="hybridMultilevel"/>
    <w:tmpl w:val="47CE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21A5E"/>
    <w:multiLevelType w:val="hybridMultilevel"/>
    <w:tmpl w:val="787C9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7B210F"/>
    <w:multiLevelType w:val="hybridMultilevel"/>
    <w:tmpl w:val="EF88C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61121C"/>
    <w:multiLevelType w:val="hybridMultilevel"/>
    <w:tmpl w:val="CFAA2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A22BE2"/>
    <w:multiLevelType w:val="hybridMultilevel"/>
    <w:tmpl w:val="52E8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B7674F"/>
    <w:multiLevelType w:val="hybridMultilevel"/>
    <w:tmpl w:val="28C6AC0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3D731D63"/>
    <w:multiLevelType w:val="hybridMultilevel"/>
    <w:tmpl w:val="0FB4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E81A19"/>
    <w:multiLevelType w:val="hybridMultilevel"/>
    <w:tmpl w:val="B832D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373CB2"/>
    <w:multiLevelType w:val="hybridMultilevel"/>
    <w:tmpl w:val="B27CD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1704E9"/>
    <w:multiLevelType w:val="hybridMultilevel"/>
    <w:tmpl w:val="187CA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6C2E21"/>
    <w:multiLevelType w:val="hybridMultilevel"/>
    <w:tmpl w:val="BB483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38056F"/>
    <w:multiLevelType w:val="hybridMultilevel"/>
    <w:tmpl w:val="88CEE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DA42E3"/>
    <w:multiLevelType w:val="hybridMultilevel"/>
    <w:tmpl w:val="8A0ED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9554E84"/>
    <w:multiLevelType w:val="hybridMultilevel"/>
    <w:tmpl w:val="0A9C833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64DC224F"/>
    <w:multiLevelType w:val="hybridMultilevel"/>
    <w:tmpl w:val="B9AE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802F2B"/>
    <w:multiLevelType w:val="hybridMultilevel"/>
    <w:tmpl w:val="92C4D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975A35"/>
    <w:multiLevelType w:val="hybridMultilevel"/>
    <w:tmpl w:val="E5021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9F11FFB"/>
    <w:multiLevelType w:val="hybridMultilevel"/>
    <w:tmpl w:val="4CDAD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BE717D2"/>
    <w:multiLevelType w:val="hybridMultilevel"/>
    <w:tmpl w:val="8FA4E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6131549">
    <w:abstractNumId w:val="0"/>
  </w:num>
  <w:num w:numId="2" w16cid:durableId="952709957">
    <w:abstractNumId w:val="19"/>
  </w:num>
  <w:num w:numId="3" w16cid:durableId="1884754658">
    <w:abstractNumId w:val="18"/>
  </w:num>
  <w:num w:numId="4" w16cid:durableId="449662904">
    <w:abstractNumId w:val="8"/>
  </w:num>
  <w:num w:numId="5" w16cid:durableId="1460957330">
    <w:abstractNumId w:val="3"/>
  </w:num>
  <w:num w:numId="6" w16cid:durableId="1206873112">
    <w:abstractNumId w:val="13"/>
  </w:num>
  <w:num w:numId="7" w16cid:durableId="2123065712">
    <w:abstractNumId w:val="25"/>
  </w:num>
  <w:num w:numId="8" w16cid:durableId="581717029">
    <w:abstractNumId w:val="23"/>
  </w:num>
  <w:num w:numId="9" w16cid:durableId="2118088977">
    <w:abstractNumId w:val="15"/>
  </w:num>
  <w:num w:numId="10" w16cid:durableId="1771394721">
    <w:abstractNumId w:val="14"/>
  </w:num>
  <w:num w:numId="11" w16cid:durableId="1801680926">
    <w:abstractNumId w:val="10"/>
  </w:num>
  <w:num w:numId="12" w16cid:durableId="978191781">
    <w:abstractNumId w:val="5"/>
  </w:num>
  <w:num w:numId="13" w16cid:durableId="633293954">
    <w:abstractNumId w:val="24"/>
  </w:num>
  <w:num w:numId="14" w16cid:durableId="219097138">
    <w:abstractNumId w:val="17"/>
  </w:num>
  <w:num w:numId="15" w16cid:durableId="1375232504">
    <w:abstractNumId w:val="12"/>
  </w:num>
  <w:num w:numId="16" w16cid:durableId="1619481738">
    <w:abstractNumId w:val="16"/>
  </w:num>
  <w:num w:numId="17" w16cid:durableId="1329282912">
    <w:abstractNumId w:val="7"/>
  </w:num>
  <w:num w:numId="18" w16cid:durableId="962614777">
    <w:abstractNumId w:val="1"/>
  </w:num>
  <w:num w:numId="19" w16cid:durableId="1818254638">
    <w:abstractNumId w:val="6"/>
  </w:num>
  <w:num w:numId="20" w16cid:durableId="2070762075">
    <w:abstractNumId w:val="6"/>
  </w:num>
  <w:num w:numId="21" w16cid:durableId="737945085">
    <w:abstractNumId w:val="22"/>
  </w:num>
  <w:num w:numId="22" w16cid:durableId="1878081607">
    <w:abstractNumId w:val="9"/>
  </w:num>
  <w:num w:numId="23" w16cid:durableId="1845968903">
    <w:abstractNumId w:val="11"/>
  </w:num>
  <w:num w:numId="24" w16cid:durableId="2013607395">
    <w:abstractNumId w:val="20"/>
  </w:num>
  <w:num w:numId="25" w16cid:durableId="1284194146">
    <w:abstractNumId w:val="2"/>
  </w:num>
  <w:num w:numId="26" w16cid:durableId="946087402">
    <w:abstractNumId w:val="4"/>
  </w:num>
  <w:num w:numId="27" w16cid:durableId="126885107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Formatting/>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EAB"/>
    <w:rsid w:val="00002128"/>
    <w:rsid w:val="0000336A"/>
    <w:rsid w:val="000041CC"/>
    <w:rsid w:val="00007266"/>
    <w:rsid w:val="000115BA"/>
    <w:rsid w:val="0001235B"/>
    <w:rsid w:val="00013717"/>
    <w:rsid w:val="000146CA"/>
    <w:rsid w:val="00017FE0"/>
    <w:rsid w:val="000215A5"/>
    <w:rsid w:val="000218A0"/>
    <w:rsid w:val="00024BB5"/>
    <w:rsid w:val="00034C5A"/>
    <w:rsid w:val="00034FBE"/>
    <w:rsid w:val="00035328"/>
    <w:rsid w:val="00036238"/>
    <w:rsid w:val="00041E17"/>
    <w:rsid w:val="00045958"/>
    <w:rsid w:val="00046117"/>
    <w:rsid w:val="00051FE0"/>
    <w:rsid w:val="00051FF7"/>
    <w:rsid w:val="00055A2D"/>
    <w:rsid w:val="00055A45"/>
    <w:rsid w:val="0005790D"/>
    <w:rsid w:val="0006144E"/>
    <w:rsid w:val="00070016"/>
    <w:rsid w:val="000716AC"/>
    <w:rsid w:val="0007242D"/>
    <w:rsid w:val="000731F2"/>
    <w:rsid w:val="00073511"/>
    <w:rsid w:val="00073987"/>
    <w:rsid w:val="00073E4C"/>
    <w:rsid w:val="000750C3"/>
    <w:rsid w:val="00076DF3"/>
    <w:rsid w:val="00077712"/>
    <w:rsid w:val="00077989"/>
    <w:rsid w:val="00077EF4"/>
    <w:rsid w:val="0008038B"/>
    <w:rsid w:val="00084F9F"/>
    <w:rsid w:val="000859F2"/>
    <w:rsid w:val="00085EED"/>
    <w:rsid w:val="000903C9"/>
    <w:rsid w:val="00090B7B"/>
    <w:rsid w:val="0009219A"/>
    <w:rsid w:val="00092621"/>
    <w:rsid w:val="0009348A"/>
    <w:rsid w:val="00096FFD"/>
    <w:rsid w:val="000A409A"/>
    <w:rsid w:val="000A491B"/>
    <w:rsid w:val="000A4AB3"/>
    <w:rsid w:val="000A5664"/>
    <w:rsid w:val="000A7EF0"/>
    <w:rsid w:val="000B2A85"/>
    <w:rsid w:val="000B2D86"/>
    <w:rsid w:val="000B38B1"/>
    <w:rsid w:val="000B3EC3"/>
    <w:rsid w:val="000B445D"/>
    <w:rsid w:val="000B518F"/>
    <w:rsid w:val="000C1CB0"/>
    <w:rsid w:val="000C2181"/>
    <w:rsid w:val="000C3AE5"/>
    <w:rsid w:val="000C7D1B"/>
    <w:rsid w:val="000D18A9"/>
    <w:rsid w:val="000D50BF"/>
    <w:rsid w:val="000D5400"/>
    <w:rsid w:val="000D5C2B"/>
    <w:rsid w:val="000D5D94"/>
    <w:rsid w:val="000D6FAF"/>
    <w:rsid w:val="000E0786"/>
    <w:rsid w:val="000E3376"/>
    <w:rsid w:val="000E5242"/>
    <w:rsid w:val="000E6BD9"/>
    <w:rsid w:val="000E7ED0"/>
    <w:rsid w:val="000F0519"/>
    <w:rsid w:val="000F1844"/>
    <w:rsid w:val="000F1B22"/>
    <w:rsid w:val="000F3E1F"/>
    <w:rsid w:val="000F4677"/>
    <w:rsid w:val="000F54F2"/>
    <w:rsid w:val="000F6660"/>
    <w:rsid w:val="000F6CDA"/>
    <w:rsid w:val="00100204"/>
    <w:rsid w:val="00104038"/>
    <w:rsid w:val="00107686"/>
    <w:rsid w:val="001104C3"/>
    <w:rsid w:val="001127F8"/>
    <w:rsid w:val="00112A1D"/>
    <w:rsid w:val="00112A91"/>
    <w:rsid w:val="001130EE"/>
    <w:rsid w:val="00114D4B"/>
    <w:rsid w:val="00116C04"/>
    <w:rsid w:val="00117F52"/>
    <w:rsid w:val="001214D7"/>
    <w:rsid w:val="00121B5D"/>
    <w:rsid w:val="0012471B"/>
    <w:rsid w:val="001250AB"/>
    <w:rsid w:val="001263E2"/>
    <w:rsid w:val="00130080"/>
    <w:rsid w:val="00131B23"/>
    <w:rsid w:val="00131EDB"/>
    <w:rsid w:val="00132A66"/>
    <w:rsid w:val="00133985"/>
    <w:rsid w:val="00134ECC"/>
    <w:rsid w:val="00134F20"/>
    <w:rsid w:val="001360E3"/>
    <w:rsid w:val="001403DF"/>
    <w:rsid w:val="001406DC"/>
    <w:rsid w:val="00142003"/>
    <w:rsid w:val="0014228E"/>
    <w:rsid w:val="00147356"/>
    <w:rsid w:val="00155169"/>
    <w:rsid w:val="00155C52"/>
    <w:rsid w:val="00160C41"/>
    <w:rsid w:val="00162EF3"/>
    <w:rsid w:val="0016340E"/>
    <w:rsid w:val="00170A9E"/>
    <w:rsid w:val="00171E5B"/>
    <w:rsid w:val="00173478"/>
    <w:rsid w:val="00173D78"/>
    <w:rsid w:val="00176E55"/>
    <w:rsid w:val="00177D5B"/>
    <w:rsid w:val="0018019E"/>
    <w:rsid w:val="0018375B"/>
    <w:rsid w:val="0018461A"/>
    <w:rsid w:val="001866EF"/>
    <w:rsid w:val="00191624"/>
    <w:rsid w:val="00192539"/>
    <w:rsid w:val="00192CA0"/>
    <w:rsid w:val="001942D2"/>
    <w:rsid w:val="001968E6"/>
    <w:rsid w:val="001978D1"/>
    <w:rsid w:val="001979B1"/>
    <w:rsid w:val="001A0504"/>
    <w:rsid w:val="001A08C3"/>
    <w:rsid w:val="001A52A7"/>
    <w:rsid w:val="001B0716"/>
    <w:rsid w:val="001B0D71"/>
    <w:rsid w:val="001B1416"/>
    <w:rsid w:val="001B344A"/>
    <w:rsid w:val="001B3687"/>
    <w:rsid w:val="001B3ED7"/>
    <w:rsid w:val="001B6B06"/>
    <w:rsid w:val="001C28D2"/>
    <w:rsid w:val="001C3A93"/>
    <w:rsid w:val="001C6967"/>
    <w:rsid w:val="001C6C05"/>
    <w:rsid w:val="001D0609"/>
    <w:rsid w:val="001D101E"/>
    <w:rsid w:val="001D704D"/>
    <w:rsid w:val="001E3D72"/>
    <w:rsid w:val="001E4570"/>
    <w:rsid w:val="001E4F28"/>
    <w:rsid w:val="001E53CF"/>
    <w:rsid w:val="001E6B49"/>
    <w:rsid w:val="001E6F3B"/>
    <w:rsid w:val="001E79C1"/>
    <w:rsid w:val="001F3A7C"/>
    <w:rsid w:val="001F56E0"/>
    <w:rsid w:val="001F5C09"/>
    <w:rsid w:val="001F62FF"/>
    <w:rsid w:val="002003FA"/>
    <w:rsid w:val="0020291D"/>
    <w:rsid w:val="00202963"/>
    <w:rsid w:val="00203298"/>
    <w:rsid w:val="002040F2"/>
    <w:rsid w:val="00204236"/>
    <w:rsid w:val="0020462B"/>
    <w:rsid w:val="00205084"/>
    <w:rsid w:val="0021036F"/>
    <w:rsid w:val="00211025"/>
    <w:rsid w:val="0021231E"/>
    <w:rsid w:val="00214302"/>
    <w:rsid w:val="0021557D"/>
    <w:rsid w:val="002158EE"/>
    <w:rsid w:val="00215DA6"/>
    <w:rsid w:val="00217960"/>
    <w:rsid w:val="002224AE"/>
    <w:rsid w:val="00222FBC"/>
    <w:rsid w:val="0022389E"/>
    <w:rsid w:val="00225F0B"/>
    <w:rsid w:val="00226A71"/>
    <w:rsid w:val="002303BC"/>
    <w:rsid w:val="0023239F"/>
    <w:rsid w:val="00235FD0"/>
    <w:rsid w:val="002408B6"/>
    <w:rsid w:val="00245025"/>
    <w:rsid w:val="0024609E"/>
    <w:rsid w:val="00247785"/>
    <w:rsid w:val="002503A5"/>
    <w:rsid w:val="00250661"/>
    <w:rsid w:val="00253674"/>
    <w:rsid w:val="002538D5"/>
    <w:rsid w:val="00254B81"/>
    <w:rsid w:val="002607E0"/>
    <w:rsid w:val="0026310F"/>
    <w:rsid w:val="00270CC6"/>
    <w:rsid w:val="00271EFA"/>
    <w:rsid w:val="00272910"/>
    <w:rsid w:val="00275B48"/>
    <w:rsid w:val="00275CD0"/>
    <w:rsid w:val="00275F40"/>
    <w:rsid w:val="00277973"/>
    <w:rsid w:val="00277C67"/>
    <w:rsid w:val="0028048A"/>
    <w:rsid w:val="00281C4F"/>
    <w:rsid w:val="00282533"/>
    <w:rsid w:val="002831FE"/>
    <w:rsid w:val="00284EDE"/>
    <w:rsid w:val="00287234"/>
    <w:rsid w:val="002907B4"/>
    <w:rsid w:val="00294EDA"/>
    <w:rsid w:val="002969E6"/>
    <w:rsid w:val="00297DBE"/>
    <w:rsid w:val="002A27D6"/>
    <w:rsid w:val="002A2F54"/>
    <w:rsid w:val="002A3F50"/>
    <w:rsid w:val="002A4808"/>
    <w:rsid w:val="002A52FC"/>
    <w:rsid w:val="002B1415"/>
    <w:rsid w:val="002B36A6"/>
    <w:rsid w:val="002B38F3"/>
    <w:rsid w:val="002B6B53"/>
    <w:rsid w:val="002B6EBF"/>
    <w:rsid w:val="002C0C4E"/>
    <w:rsid w:val="002C164C"/>
    <w:rsid w:val="002C52C4"/>
    <w:rsid w:val="002C6521"/>
    <w:rsid w:val="002C724E"/>
    <w:rsid w:val="002C74B4"/>
    <w:rsid w:val="002D12D7"/>
    <w:rsid w:val="002D22E6"/>
    <w:rsid w:val="002D2A7E"/>
    <w:rsid w:val="002D2EF5"/>
    <w:rsid w:val="002D4A79"/>
    <w:rsid w:val="002D6206"/>
    <w:rsid w:val="002D6A99"/>
    <w:rsid w:val="002D6F33"/>
    <w:rsid w:val="002D73E6"/>
    <w:rsid w:val="002E12C5"/>
    <w:rsid w:val="002E3F44"/>
    <w:rsid w:val="002E54F1"/>
    <w:rsid w:val="002E71A7"/>
    <w:rsid w:val="002E7C23"/>
    <w:rsid w:val="002F018D"/>
    <w:rsid w:val="002F0687"/>
    <w:rsid w:val="002F1C0E"/>
    <w:rsid w:val="002F1FEC"/>
    <w:rsid w:val="002F285F"/>
    <w:rsid w:val="002F5753"/>
    <w:rsid w:val="002F7ABC"/>
    <w:rsid w:val="00302918"/>
    <w:rsid w:val="003047CE"/>
    <w:rsid w:val="00304E7F"/>
    <w:rsid w:val="0031398E"/>
    <w:rsid w:val="003139FE"/>
    <w:rsid w:val="0031458A"/>
    <w:rsid w:val="00314865"/>
    <w:rsid w:val="00314D15"/>
    <w:rsid w:val="00314EBD"/>
    <w:rsid w:val="00320905"/>
    <w:rsid w:val="0032597F"/>
    <w:rsid w:val="00326558"/>
    <w:rsid w:val="00326E34"/>
    <w:rsid w:val="00327817"/>
    <w:rsid w:val="0033034E"/>
    <w:rsid w:val="00330852"/>
    <w:rsid w:val="00332036"/>
    <w:rsid w:val="003329A5"/>
    <w:rsid w:val="00332B6B"/>
    <w:rsid w:val="00337018"/>
    <w:rsid w:val="00337315"/>
    <w:rsid w:val="003413C6"/>
    <w:rsid w:val="003415A0"/>
    <w:rsid w:val="00342DD3"/>
    <w:rsid w:val="00343C68"/>
    <w:rsid w:val="00344A16"/>
    <w:rsid w:val="0034596F"/>
    <w:rsid w:val="00351C1E"/>
    <w:rsid w:val="00352999"/>
    <w:rsid w:val="00353947"/>
    <w:rsid w:val="0035427F"/>
    <w:rsid w:val="003608E7"/>
    <w:rsid w:val="00361002"/>
    <w:rsid w:val="003610A2"/>
    <w:rsid w:val="00365F97"/>
    <w:rsid w:val="00370F35"/>
    <w:rsid w:val="00371C8B"/>
    <w:rsid w:val="00373CD5"/>
    <w:rsid w:val="00374F2A"/>
    <w:rsid w:val="003754FD"/>
    <w:rsid w:val="00375BF0"/>
    <w:rsid w:val="0037721A"/>
    <w:rsid w:val="003816E0"/>
    <w:rsid w:val="0038303E"/>
    <w:rsid w:val="003833B0"/>
    <w:rsid w:val="00383D01"/>
    <w:rsid w:val="0038665A"/>
    <w:rsid w:val="0039075E"/>
    <w:rsid w:val="0039082F"/>
    <w:rsid w:val="00390F3B"/>
    <w:rsid w:val="00391815"/>
    <w:rsid w:val="00391E28"/>
    <w:rsid w:val="00392609"/>
    <w:rsid w:val="00396483"/>
    <w:rsid w:val="003A0A16"/>
    <w:rsid w:val="003A2478"/>
    <w:rsid w:val="003A3D11"/>
    <w:rsid w:val="003B0B33"/>
    <w:rsid w:val="003B2771"/>
    <w:rsid w:val="003B3B3A"/>
    <w:rsid w:val="003B4BE4"/>
    <w:rsid w:val="003B4D8B"/>
    <w:rsid w:val="003B62FF"/>
    <w:rsid w:val="003C316B"/>
    <w:rsid w:val="003C3E3E"/>
    <w:rsid w:val="003C57B0"/>
    <w:rsid w:val="003C7165"/>
    <w:rsid w:val="003D03FE"/>
    <w:rsid w:val="003D044E"/>
    <w:rsid w:val="003D23DD"/>
    <w:rsid w:val="003D2B14"/>
    <w:rsid w:val="003D4F5D"/>
    <w:rsid w:val="003D744B"/>
    <w:rsid w:val="003D7C4C"/>
    <w:rsid w:val="003E1B39"/>
    <w:rsid w:val="003E6250"/>
    <w:rsid w:val="003E7BE4"/>
    <w:rsid w:val="003E7EAB"/>
    <w:rsid w:val="003F11AE"/>
    <w:rsid w:val="003F24D7"/>
    <w:rsid w:val="003F27BF"/>
    <w:rsid w:val="003F41C6"/>
    <w:rsid w:val="003F44C1"/>
    <w:rsid w:val="004003DF"/>
    <w:rsid w:val="0040053E"/>
    <w:rsid w:val="0040062C"/>
    <w:rsid w:val="00402A86"/>
    <w:rsid w:val="00405F36"/>
    <w:rsid w:val="004061B1"/>
    <w:rsid w:val="00406C81"/>
    <w:rsid w:val="00406E6D"/>
    <w:rsid w:val="00407310"/>
    <w:rsid w:val="00411E0D"/>
    <w:rsid w:val="00412776"/>
    <w:rsid w:val="00415D0D"/>
    <w:rsid w:val="00420D04"/>
    <w:rsid w:val="0042279B"/>
    <w:rsid w:val="0042285F"/>
    <w:rsid w:val="00426066"/>
    <w:rsid w:val="00426DC1"/>
    <w:rsid w:val="004303E8"/>
    <w:rsid w:val="004304CD"/>
    <w:rsid w:val="00433DBF"/>
    <w:rsid w:val="004344C8"/>
    <w:rsid w:val="0043482D"/>
    <w:rsid w:val="00435C4F"/>
    <w:rsid w:val="004362B0"/>
    <w:rsid w:val="00437CB6"/>
    <w:rsid w:val="0044214A"/>
    <w:rsid w:val="004430A9"/>
    <w:rsid w:val="00445385"/>
    <w:rsid w:val="00447207"/>
    <w:rsid w:val="00447943"/>
    <w:rsid w:val="00447B4E"/>
    <w:rsid w:val="00450EC4"/>
    <w:rsid w:val="004527A6"/>
    <w:rsid w:val="00453DF8"/>
    <w:rsid w:val="00455C32"/>
    <w:rsid w:val="0045745E"/>
    <w:rsid w:val="00457D79"/>
    <w:rsid w:val="00464190"/>
    <w:rsid w:val="0046423E"/>
    <w:rsid w:val="00464C8D"/>
    <w:rsid w:val="00464CC9"/>
    <w:rsid w:val="0046665A"/>
    <w:rsid w:val="0047028E"/>
    <w:rsid w:val="00470FED"/>
    <w:rsid w:val="004713E0"/>
    <w:rsid w:val="004736AA"/>
    <w:rsid w:val="0047469E"/>
    <w:rsid w:val="00475201"/>
    <w:rsid w:val="00475D79"/>
    <w:rsid w:val="0047760E"/>
    <w:rsid w:val="00480418"/>
    <w:rsid w:val="00481845"/>
    <w:rsid w:val="0048185B"/>
    <w:rsid w:val="00481E39"/>
    <w:rsid w:val="0048260A"/>
    <w:rsid w:val="00482FFB"/>
    <w:rsid w:val="00484906"/>
    <w:rsid w:val="00485683"/>
    <w:rsid w:val="004867A4"/>
    <w:rsid w:val="00486B23"/>
    <w:rsid w:val="00487935"/>
    <w:rsid w:val="00487C0D"/>
    <w:rsid w:val="004900B8"/>
    <w:rsid w:val="004907DB"/>
    <w:rsid w:val="004910BF"/>
    <w:rsid w:val="00491AC8"/>
    <w:rsid w:val="00493958"/>
    <w:rsid w:val="00493DF8"/>
    <w:rsid w:val="004944A7"/>
    <w:rsid w:val="00497570"/>
    <w:rsid w:val="00497998"/>
    <w:rsid w:val="004A106F"/>
    <w:rsid w:val="004A3CC9"/>
    <w:rsid w:val="004A43B9"/>
    <w:rsid w:val="004A5B9A"/>
    <w:rsid w:val="004A7FE8"/>
    <w:rsid w:val="004B3151"/>
    <w:rsid w:val="004B4BD6"/>
    <w:rsid w:val="004B6E42"/>
    <w:rsid w:val="004B74F8"/>
    <w:rsid w:val="004B7C0E"/>
    <w:rsid w:val="004C46FF"/>
    <w:rsid w:val="004C58F4"/>
    <w:rsid w:val="004D1EAB"/>
    <w:rsid w:val="004D23D5"/>
    <w:rsid w:val="004D2FBE"/>
    <w:rsid w:val="004D4C85"/>
    <w:rsid w:val="004D6223"/>
    <w:rsid w:val="004D75DA"/>
    <w:rsid w:val="004E1A2B"/>
    <w:rsid w:val="004E209A"/>
    <w:rsid w:val="004E2649"/>
    <w:rsid w:val="004E7051"/>
    <w:rsid w:val="004E7967"/>
    <w:rsid w:val="004F046B"/>
    <w:rsid w:val="004F0B2F"/>
    <w:rsid w:val="004F5228"/>
    <w:rsid w:val="004F5A09"/>
    <w:rsid w:val="004F5A6F"/>
    <w:rsid w:val="004F5CE6"/>
    <w:rsid w:val="00500A5C"/>
    <w:rsid w:val="005026CC"/>
    <w:rsid w:val="00502E58"/>
    <w:rsid w:val="00503AD1"/>
    <w:rsid w:val="0050449A"/>
    <w:rsid w:val="005061AE"/>
    <w:rsid w:val="005109CF"/>
    <w:rsid w:val="00511827"/>
    <w:rsid w:val="00511E71"/>
    <w:rsid w:val="00513720"/>
    <w:rsid w:val="0051607A"/>
    <w:rsid w:val="00520464"/>
    <w:rsid w:val="005205F4"/>
    <w:rsid w:val="00524378"/>
    <w:rsid w:val="005269B7"/>
    <w:rsid w:val="00526AD1"/>
    <w:rsid w:val="005315EA"/>
    <w:rsid w:val="00535283"/>
    <w:rsid w:val="00535508"/>
    <w:rsid w:val="005363FA"/>
    <w:rsid w:val="00542EF2"/>
    <w:rsid w:val="00545F38"/>
    <w:rsid w:val="00546280"/>
    <w:rsid w:val="0054634E"/>
    <w:rsid w:val="00552465"/>
    <w:rsid w:val="0055424F"/>
    <w:rsid w:val="00555E17"/>
    <w:rsid w:val="00557377"/>
    <w:rsid w:val="00560599"/>
    <w:rsid w:val="00563721"/>
    <w:rsid w:val="0056477B"/>
    <w:rsid w:val="00565776"/>
    <w:rsid w:val="00566508"/>
    <w:rsid w:val="00570ACF"/>
    <w:rsid w:val="00573535"/>
    <w:rsid w:val="00573C2D"/>
    <w:rsid w:val="00575BB7"/>
    <w:rsid w:val="00576FFD"/>
    <w:rsid w:val="00580E08"/>
    <w:rsid w:val="00585250"/>
    <w:rsid w:val="00586F18"/>
    <w:rsid w:val="00587796"/>
    <w:rsid w:val="005911D1"/>
    <w:rsid w:val="00593AA7"/>
    <w:rsid w:val="005940DB"/>
    <w:rsid w:val="00594587"/>
    <w:rsid w:val="00595776"/>
    <w:rsid w:val="005968B2"/>
    <w:rsid w:val="005A1B0C"/>
    <w:rsid w:val="005A2891"/>
    <w:rsid w:val="005A2AAC"/>
    <w:rsid w:val="005A3C50"/>
    <w:rsid w:val="005A61AB"/>
    <w:rsid w:val="005B0E04"/>
    <w:rsid w:val="005B0E05"/>
    <w:rsid w:val="005B17CE"/>
    <w:rsid w:val="005B23D6"/>
    <w:rsid w:val="005B2781"/>
    <w:rsid w:val="005B6872"/>
    <w:rsid w:val="005B6B09"/>
    <w:rsid w:val="005C4DE0"/>
    <w:rsid w:val="005C5B41"/>
    <w:rsid w:val="005C61D6"/>
    <w:rsid w:val="005C7F9E"/>
    <w:rsid w:val="005D315F"/>
    <w:rsid w:val="005D7A63"/>
    <w:rsid w:val="005E2D06"/>
    <w:rsid w:val="005F1D50"/>
    <w:rsid w:val="005F2A2C"/>
    <w:rsid w:val="005F3BCE"/>
    <w:rsid w:val="005F5087"/>
    <w:rsid w:val="005F5CDA"/>
    <w:rsid w:val="005F69A9"/>
    <w:rsid w:val="00600502"/>
    <w:rsid w:val="0060091E"/>
    <w:rsid w:val="00603AFF"/>
    <w:rsid w:val="0060605E"/>
    <w:rsid w:val="006107AB"/>
    <w:rsid w:val="006139EC"/>
    <w:rsid w:val="00613CC2"/>
    <w:rsid w:val="00615CB4"/>
    <w:rsid w:val="006177AE"/>
    <w:rsid w:val="00620C18"/>
    <w:rsid w:val="0062175F"/>
    <w:rsid w:val="00621A4A"/>
    <w:rsid w:val="00623165"/>
    <w:rsid w:val="00624E22"/>
    <w:rsid w:val="00626765"/>
    <w:rsid w:val="006267B7"/>
    <w:rsid w:val="006267C6"/>
    <w:rsid w:val="00626D4E"/>
    <w:rsid w:val="00632673"/>
    <w:rsid w:val="006339F5"/>
    <w:rsid w:val="00634377"/>
    <w:rsid w:val="0063551B"/>
    <w:rsid w:val="00635F82"/>
    <w:rsid w:val="00636B16"/>
    <w:rsid w:val="00636B6E"/>
    <w:rsid w:val="00640620"/>
    <w:rsid w:val="00641D3B"/>
    <w:rsid w:val="00642531"/>
    <w:rsid w:val="00646942"/>
    <w:rsid w:val="006470D8"/>
    <w:rsid w:val="006479EA"/>
    <w:rsid w:val="006519AF"/>
    <w:rsid w:val="006549A6"/>
    <w:rsid w:val="0066058B"/>
    <w:rsid w:val="006618F7"/>
    <w:rsid w:val="00662222"/>
    <w:rsid w:val="00663755"/>
    <w:rsid w:val="006674D7"/>
    <w:rsid w:val="00674128"/>
    <w:rsid w:val="00674A82"/>
    <w:rsid w:val="00674D0B"/>
    <w:rsid w:val="00675227"/>
    <w:rsid w:val="006754B7"/>
    <w:rsid w:val="00675630"/>
    <w:rsid w:val="006756C0"/>
    <w:rsid w:val="00676C69"/>
    <w:rsid w:val="00680F03"/>
    <w:rsid w:val="0068122B"/>
    <w:rsid w:val="006826BB"/>
    <w:rsid w:val="006830C9"/>
    <w:rsid w:val="0068364A"/>
    <w:rsid w:val="0068525B"/>
    <w:rsid w:val="00685D4F"/>
    <w:rsid w:val="00685DD6"/>
    <w:rsid w:val="006869A1"/>
    <w:rsid w:val="00686D73"/>
    <w:rsid w:val="00687B31"/>
    <w:rsid w:val="00690C1B"/>
    <w:rsid w:val="006918FD"/>
    <w:rsid w:val="00691D49"/>
    <w:rsid w:val="00692D3B"/>
    <w:rsid w:val="006A17BE"/>
    <w:rsid w:val="006A26EE"/>
    <w:rsid w:val="006A28F1"/>
    <w:rsid w:val="006A3E64"/>
    <w:rsid w:val="006A3EBB"/>
    <w:rsid w:val="006A515F"/>
    <w:rsid w:val="006A56E4"/>
    <w:rsid w:val="006B029D"/>
    <w:rsid w:val="006B197C"/>
    <w:rsid w:val="006B2D41"/>
    <w:rsid w:val="006B6D8D"/>
    <w:rsid w:val="006B7D05"/>
    <w:rsid w:val="006C0226"/>
    <w:rsid w:val="006C1643"/>
    <w:rsid w:val="006C295B"/>
    <w:rsid w:val="006C3C15"/>
    <w:rsid w:val="006C7D4F"/>
    <w:rsid w:val="006D1BBC"/>
    <w:rsid w:val="006D28F6"/>
    <w:rsid w:val="006D66D6"/>
    <w:rsid w:val="006D6A44"/>
    <w:rsid w:val="006E75E2"/>
    <w:rsid w:val="006E7964"/>
    <w:rsid w:val="006F01B5"/>
    <w:rsid w:val="006F2A06"/>
    <w:rsid w:val="006F45EE"/>
    <w:rsid w:val="006F4AD5"/>
    <w:rsid w:val="006F5527"/>
    <w:rsid w:val="006F6211"/>
    <w:rsid w:val="00702DA8"/>
    <w:rsid w:val="007046F7"/>
    <w:rsid w:val="00705190"/>
    <w:rsid w:val="007076DF"/>
    <w:rsid w:val="007117CE"/>
    <w:rsid w:val="0071377D"/>
    <w:rsid w:val="007138EB"/>
    <w:rsid w:val="007144F6"/>
    <w:rsid w:val="00714F39"/>
    <w:rsid w:val="007163FD"/>
    <w:rsid w:val="00716EA8"/>
    <w:rsid w:val="00717F98"/>
    <w:rsid w:val="0072390C"/>
    <w:rsid w:val="00723A6D"/>
    <w:rsid w:val="007269AB"/>
    <w:rsid w:val="00727A28"/>
    <w:rsid w:val="0073043A"/>
    <w:rsid w:val="00732F74"/>
    <w:rsid w:val="007332F9"/>
    <w:rsid w:val="00734ED0"/>
    <w:rsid w:val="00736085"/>
    <w:rsid w:val="00740D9C"/>
    <w:rsid w:val="00741394"/>
    <w:rsid w:val="007418D9"/>
    <w:rsid w:val="00741FA2"/>
    <w:rsid w:val="00742173"/>
    <w:rsid w:val="00743CDA"/>
    <w:rsid w:val="00744252"/>
    <w:rsid w:val="00745488"/>
    <w:rsid w:val="00746FD8"/>
    <w:rsid w:val="00747332"/>
    <w:rsid w:val="00750FE0"/>
    <w:rsid w:val="007548E4"/>
    <w:rsid w:val="0075694F"/>
    <w:rsid w:val="00757335"/>
    <w:rsid w:val="007613E1"/>
    <w:rsid w:val="00761522"/>
    <w:rsid w:val="00762E9C"/>
    <w:rsid w:val="007648FB"/>
    <w:rsid w:val="00764F3A"/>
    <w:rsid w:val="0076720B"/>
    <w:rsid w:val="00770689"/>
    <w:rsid w:val="00772951"/>
    <w:rsid w:val="007752C1"/>
    <w:rsid w:val="007761E6"/>
    <w:rsid w:val="0077623A"/>
    <w:rsid w:val="00776D3B"/>
    <w:rsid w:val="007771AD"/>
    <w:rsid w:val="00777893"/>
    <w:rsid w:val="00777BE5"/>
    <w:rsid w:val="00784103"/>
    <w:rsid w:val="00784C0B"/>
    <w:rsid w:val="00792FA5"/>
    <w:rsid w:val="00795196"/>
    <w:rsid w:val="00795A9B"/>
    <w:rsid w:val="007964A2"/>
    <w:rsid w:val="007970F7"/>
    <w:rsid w:val="007A0496"/>
    <w:rsid w:val="007A2D2F"/>
    <w:rsid w:val="007A6F27"/>
    <w:rsid w:val="007A7979"/>
    <w:rsid w:val="007A7D3B"/>
    <w:rsid w:val="007B0321"/>
    <w:rsid w:val="007B502E"/>
    <w:rsid w:val="007B5C21"/>
    <w:rsid w:val="007C024D"/>
    <w:rsid w:val="007C035E"/>
    <w:rsid w:val="007C165F"/>
    <w:rsid w:val="007C1DCB"/>
    <w:rsid w:val="007C2679"/>
    <w:rsid w:val="007C29FD"/>
    <w:rsid w:val="007D01BE"/>
    <w:rsid w:val="007D082D"/>
    <w:rsid w:val="007D2377"/>
    <w:rsid w:val="007E1CBA"/>
    <w:rsid w:val="007E22C2"/>
    <w:rsid w:val="007E3861"/>
    <w:rsid w:val="007E4433"/>
    <w:rsid w:val="007E4D02"/>
    <w:rsid w:val="007E5495"/>
    <w:rsid w:val="007F1C4A"/>
    <w:rsid w:val="007F3673"/>
    <w:rsid w:val="007F3B3E"/>
    <w:rsid w:val="007F507E"/>
    <w:rsid w:val="007F61BA"/>
    <w:rsid w:val="007F63B6"/>
    <w:rsid w:val="00800885"/>
    <w:rsid w:val="00800E2F"/>
    <w:rsid w:val="0080162F"/>
    <w:rsid w:val="0080204A"/>
    <w:rsid w:val="008022A8"/>
    <w:rsid w:val="008025ED"/>
    <w:rsid w:val="0080286D"/>
    <w:rsid w:val="00811627"/>
    <w:rsid w:val="008117B6"/>
    <w:rsid w:val="00813F99"/>
    <w:rsid w:val="00817E9E"/>
    <w:rsid w:val="00824824"/>
    <w:rsid w:val="0082792B"/>
    <w:rsid w:val="008303A2"/>
    <w:rsid w:val="00830532"/>
    <w:rsid w:val="00831E3F"/>
    <w:rsid w:val="00833612"/>
    <w:rsid w:val="00833913"/>
    <w:rsid w:val="008341D8"/>
    <w:rsid w:val="00835A94"/>
    <w:rsid w:val="00836835"/>
    <w:rsid w:val="00836FB4"/>
    <w:rsid w:val="00837B67"/>
    <w:rsid w:val="00837BEB"/>
    <w:rsid w:val="0084055A"/>
    <w:rsid w:val="00846AB1"/>
    <w:rsid w:val="00846B2F"/>
    <w:rsid w:val="00851C18"/>
    <w:rsid w:val="00861C24"/>
    <w:rsid w:val="00863EF0"/>
    <w:rsid w:val="00864EE6"/>
    <w:rsid w:val="00864F1C"/>
    <w:rsid w:val="00872803"/>
    <w:rsid w:val="00872BA2"/>
    <w:rsid w:val="00876C3E"/>
    <w:rsid w:val="008801AF"/>
    <w:rsid w:val="00881039"/>
    <w:rsid w:val="00882877"/>
    <w:rsid w:val="00883AAA"/>
    <w:rsid w:val="00883CEC"/>
    <w:rsid w:val="0088746C"/>
    <w:rsid w:val="00890980"/>
    <w:rsid w:val="00892EBC"/>
    <w:rsid w:val="00893DD6"/>
    <w:rsid w:val="00895418"/>
    <w:rsid w:val="0089788C"/>
    <w:rsid w:val="00897A7F"/>
    <w:rsid w:val="00897AF8"/>
    <w:rsid w:val="008A09F3"/>
    <w:rsid w:val="008A37E5"/>
    <w:rsid w:val="008A5515"/>
    <w:rsid w:val="008A56A8"/>
    <w:rsid w:val="008A5FCC"/>
    <w:rsid w:val="008B4846"/>
    <w:rsid w:val="008B558F"/>
    <w:rsid w:val="008B749E"/>
    <w:rsid w:val="008C09B5"/>
    <w:rsid w:val="008C1D0C"/>
    <w:rsid w:val="008C2D17"/>
    <w:rsid w:val="008C3E75"/>
    <w:rsid w:val="008C3F62"/>
    <w:rsid w:val="008C560F"/>
    <w:rsid w:val="008C5F38"/>
    <w:rsid w:val="008C6A20"/>
    <w:rsid w:val="008C7870"/>
    <w:rsid w:val="008D2E08"/>
    <w:rsid w:val="008D4733"/>
    <w:rsid w:val="008D4971"/>
    <w:rsid w:val="008D77FD"/>
    <w:rsid w:val="008E1E77"/>
    <w:rsid w:val="008E6A92"/>
    <w:rsid w:val="008F4C17"/>
    <w:rsid w:val="008F5F07"/>
    <w:rsid w:val="008F7897"/>
    <w:rsid w:val="00901A9F"/>
    <w:rsid w:val="0090296E"/>
    <w:rsid w:val="00905BBE"/>
    <w:rsid w:val="009078DB"/>
    <w:rsid w:val="009106E6"/>
    <w:rsid w:val="00910785"/>
    <w:rsid w:val="0091354B"/>
    <w:rsid w:val="00913E49"/>
    <w:rsid w:val="00914B6D"/>
    <w:rsid w:val="00916358"/>
    <w:rsid w:val="009204BB"/>
    <w:rsid w:val="0092107D"/>
    <w:rsid w:val="009214D3"/>
    <w:rsid w:val="009225DE"/>
    <w:rsid w:val="00922AFC"/>
    <w:rsid w:val="00922F72"/>
    <w:rsid w:val="009237A5"/>
    <w:rsid w:val="009271CA"/>
    <w:rsid w:val="009301DE"/>
    <w:rsid w:val="009315F5"/>
    <w:rsid w:val="00933571"/>
    <w:rsid w:val="00933919"/>
    <w:rsid w:val="00934718"/>
    <w:rsid w:val="009370E2"/>
    <w:rsid w:val="009379AA"/>
    <w:rsid w:val="00940535"/>
    <w:rsid w:val="0094275A"/>
    <w:rsid w:val="00945F19"/>
    <w:rsid w:val="00950841"/>
    <w:rsid w:val="00954414"/>
    <w:rsid w:val="00957BCF"/>
    <w:rsid w:val="00961671"/>
    <w:rsid w:val="00961E35"/>
    <w:rsid w:val="00961E58"/>
    <w:rsid w:val="00962B5C"/>
    <w:rsid w:val="009658D6"/>
    <w:rsid w:val="00970CFD"/>
    <w:rsid w:val="00975F96"/>
    <w:rsid w:val="0098324A"/>
    <w:rsid w:val="00985FFB"/>
    <w:rsid w:val="00987CAC"/>
    <w:rsid w:val="00990CFC"/>
    <w:rsid w:val="00993516"/>
    <w:rsid w:val="0099535F"/>
    <w:rsid w:val="00995C10"/>
    <w:rsid w:val="00995DD7"/>
    <w:rsid w:val="00995E0E"/>
    <w:rsid w:val="00996052"/>
    <w:rsid w:val="009960C9"/>
    <w:rsid w:val="00996C55"/>
    <w:rsid w:val="00997193"/>
    <w:rsid w:val="00997DA9"/>
    <w:rsid w:val="009A2905"/>
    <w:rsid w:val="009A2C6B"/>
    <w:rsid w:val="009A2C9D"/>
    <w:rsid w:val="009A38CE"/>
    <w:rsid w:val="009A4A95"/>
    <w:rsid w:val="009A5690"/>
    <w:rsid w:val="009A5B58"/>
    <w:rsid w:val="009A6EB1"/>
    <w:rsid w:val="009A72B6"/>
    <w:rsid w:val="009B159B"/>
    <w:rsid w:val="009B4294"/>
    <w:rsid w:val="009B430C"/>
    <w:rsid w:val="009B5295"/>
    <w:rsid w:val="009B7374"/>
    <w:rsid w:val="009B7C98"/>
    <w:rsid w:val="009B7CC1"/>
    <w:rsid w:val="009C0727"/>
    <w:rsid w:val="009C1EF7"/>
    <w:rsid w:val="009C2556"/>
    <w:rsid w:val="009C52A7"/>
    <w:rsid w:val="009C6C52"/>
    <w:rsid w:val="009C6D3D"/>
    <w:rsid w:val="009D0295"/>
    <w:rsid w:val="009D06AE"/>
    <w:rsid w:val="009D1486"/>
    <w:rsid w:val="009D162F"/>
    <w:rsid w:val="009D1776"/>
    <w:rsid w:val="009D2EA2"/>
    <w:rsid w:val="009D4735"/>
    <w:rsid w:val="009D5976"/>
    <w:rsid w:val="009D79AE"/>
    <w:rsid w:val="009E040A"/>
    <w:rsid w:val="009E2345"/>
    <w:rsid w:val="009E40AA"/>
    <w:rsid w:val="009E4E40"/>
    <w:rsid w:val="009E710F"/>
    <w:rsid w:val="009F5B77"/>
    <w:rsid w:val="009F6A10"/>
    <w:rsid w:val="00A0253A"/>
    <w:rsid w:val="00A02A94"/>
    <w:rsid w:val="00A02B06"/>
    <w:rsid w:val="00A03293"/>
    <w:rsid w:val="00A0443D"/>
    <w:rsid w:val="00A10193"/>
    <w:rsid w:val="00A14055"/>
    <w:rsid w:val="00A14E15"/>
    <w:rsid w:val="00A1620E"/>
    <w:rsid w:val="00A24540"/>
    <w:rsid w:val="00A25107"/>
    <w:rsid w:val="00A27388"/>
    <w:rsid w:val="00A300BF"/>
    <w:rsid w:val="00A30F95"/>
    <w:rsid w:val="00A3163E"/>
    <w:rsid w:val="00A3255E"/>
    <w:rsid w:val="00A331C8"/>
    <w:rsid w:val="00A420D4"/>
    <w:rsid w:val="00A43E28"/>
    <w:rsid w:val="00A46428"/>
    <w:rsid w:val="00A47436"/>
    <w:rsid w:val="00A5105C"/>
    <w:rsid w:val="00A5262D"/>
    <w:rsid w:val="00A54B31"/>
    <w:rsid w:val="00A5691B"/>
    <w:rsid w:val="00A729A4"/>
    <w:rsid w:val="00A76173"/>
    <w:rsid w:val="00A762E1"/>
    <w:rsid w:val="00A77AE4"/>
    <w:rsid w:val="00A801C4"/>
    <w:rsid w:val="00A806F4"/>
    <w:rsid w:val="00A81FA6"/>
    <w:rsid w:val="00A84237"/>
    <w:rsid w:val="00A84E31"/>
    <w:rsid w:val="00A8697D"/>
    <w:rsid w:val="00A86A1F"/>
    <w:rsid w:val="00A873DD"/>
    <w:rsid w:val="00A9059D"/>
    <w:rsid w:val="00A928F7"/>
    <w:rsid w:val="00A949FF"/>
    <w:rsid w:val="00A955CC"/>
    <w:rsid w:val="00A957E0"/>
    <w:rsid w:val="00AA0175"/>
    <w:rsid w:val="00AA0A83"/>
    <w:rsid w:val="00AA25E4"/>
    <w:rsid w:val="00AA3112"/>
    <w:rsid w:val="00AA5510"/>
    <w:rsid w:val="00AA6162"/>
    <w:rsid w:val="00AA733A"/>
    <w:rsid w:val="00AA7B6C"/>
    <w:rsid w:val="00AA7F1A"/>
    <w:rsid w:val="00AB1420"/>
    <w:rsid w:val="00AB25F9"/>
    <w:rsid w:val="00AB2F51"/>
    <w:rsid w:val="00AB3D47"/>
    <w:rsid w:val="00AB444F"/>
    <w:rsid w:val="00AB49F5"/>
    <w:rsid w:val="00AC1689"/>
    <w:rsid w:val="00AC1FDD"/>
    <w:rsid w:val="00AC2DE2"/>
    <w:rsid w:val="00AC4D72"/>
    <w:rsid w:val="00AC4F4B"/>
    <w:rsid w:val="00AC639C"/>
    <w:rsid w:val="00AC71A6"/>
    <w:rsid w:val="00AD15E0"/>
    <w:rsid w:val="00AD20E9"/>
    <w:rsid w:val="00AD24FE"/>
    <w:rsid w:val="00AD362B"/>
    <w:rsid w:val="00AD4B24"/>
    <w:rsid w:val="00AD729C"/>
    <w:rsid w:val="00AD73C3"/>
    <w:rsid w:val="00AE0192"/>
    <w:rsid w:val="00AE2FF1"/>
    <w:rsid w:val="00AE36A3"/>
    <w:rsid w:val="00AE515D"/>
    <w:rsid w:val="00AF03EA"/>
    <w:rsid w:val="00AF3041"/>
    <w:rsid w:val="00AF3AAB"/>
    <w:rsid w:val="00AF48CD"/>
    <w:rsid w:val="00AF59D2"/>
    <w:rsid w:val="00AF5E69"/>
    <w:rsid w:val="00AF5FAD"/>
    <w:rsid w:val="00AF78AB"/>
    <w:rsid w:val="00AF7EC8"/>
    <w:rsid w:val="00B015A7"/>
    <w:rsid w:val="00B01F89"/>
    <w:rsid w:val="00B040D7"/>
    <w:rsid w:val="00B053D9"/>
    <w:rsid w:val="00B06556"/>
    <w:rsid w:val="00B07368"/>
    <w:rsid w:val="00B11F31"/>
    <w:rsid w:val="00B12C14"/>
    <w:rsid w:val="00B14C89"/>
    <w:rsid w:val="00B16F92"/>
    <w:rsid w:val="00B21E7A"/>
    <w:rsid w:val="00B21EA3"/>
    <w:rsid w:val="00B30072"/>
    <w:rsid w:val="00B3388D"/>
    <w:rsid w:val="00B345D9"/>
    <w:rsid w:val="00B34DF8"/>
    <w:rsid w:val="00B372BF"/>
    <w:rsid w:val="00B42940"/>
    <w:rsid w:val="00B43883"/>
    <w:rsid w:val="00B43D0A"/>
    <w:rsid w:val="00B43FEF"/>
    <w:rsid w:val="00B44303"/>
    <w:rsid w:val="00B44E06"/>
    <w:rsid w:val="00B47D07"/>
    <w:rsid w:val="00B507A0"/>
    <w:rsid w:val="00B5144B"/>
    <w:rsid w:val="00B5170B"/>
    <w:rsid w:val="00B53992"/>
    <w:rsid w:val="00B53D6E"/>
    <w:rsid w:val="00B56DF0"/>
    <w:rsid w:val="00B6337E"/>
    <w:rsid w:val="00B63DBF"/>
    <w:rsid w:val="00B64873"/>
    <w:rsid w:val="00B651E3"/>
    <w:rsid w:val="00B6620C"/>
    <w:rsid w:val="00B67FEA"/>
    <w:rsid w:val="00B710D2"/>
    <w:rsid w:val="00B7113C"/>
    <w:rsid w:val="00B712CC"/>
    <w:rsid w:val="00B723DF"/>
    <w:rsid w:val="00B731DE"/>
    <w:rsid w:val="00B74252"/>
    <w:rsid w:val="00B753FC"/>
    <w:rsid w:val="00B75E73"/>
    <w:rsid w:val="00B76132"/>
    <w:rsid w:val="00B77533"/>
    <w:rsid w:val="00B85149"/>
    <w:rsid w:val="00B85A12"/>
    <w:rsid w:val="00B86498"/>
    <w:rsid w:val="00B87E22"/>
    <w:rsid w:val="00B9063F"/>
    <w:rsid w:val="00B93F1B"/>
    <w:rsid w:val="00B945D4"/>
    <w:rsid w:val="00B94BAD"/>
    <w:rsid w:val="00BA084B"/>
    <w:rsid w:val="00BA0B3A"/>
    <w:rsid w:val="00BA55C7"/>
    <w:rsid w:val="00BA5870"/>
    <w:rsid w:val="00BA679F"/>
    <w:rsid w:val="00BB0399"/>
    <w:rsid w:val="00BB0EFB"/>
    <w:rsid w:val="00BB3223"/>
    <w:rsid w:val="00BB3B1B"/>
    <w:rsid w:val="00BB4344"/>
    <w:rsid w:val="00BB5074"/>
    <w:rsid w:val="00BC25C1"/>
    <w:rsid w:val="00BC308B"/>
    <w:rsid w:val="00BC3B27"/>
    <w:rsid w:val="00BC4C10"/>
    <w:rsid w:val="00BC4C9B"/>
    <w:rsid w:val="00BC5D6C"/>
    <w:rsid w:val="00BC7BEA"/>
    <w:rsid w:val="00BD209D"/>
    <w:rsid w:val="00BD4BBB"/>
    <w:rsid w:val="00BE08C4"/>
    <w:rsid w:val="00BE0BE8"/>
    <w:rsid w:val="00BE467F"/>
    <w:rsid w:val="00BE4DAD"/>
    <w:rsid w:val="00BE5E4B"/>
    <w:rsid w:val="00BE6C2B"/>
    <w:rsid w:val="00BE716C"/>
    <w:rsid w:val="00BE7D73"/>
    <w:rsid w:val="00BF1AB9"/>
    <w:rsid w:val="00BF29E1"/>
    <w:rsid w:val="00BF2F12"/>
    <w:rsid w:val="00BF328B"/>
    <w:rsid w:val="00BF3A82"/>
    <w:rsid w:val="00BF3ADC"/>
    <w:rsid w:val="00BF4C9A"/>
    <w:rsid w:val="00BF58CF"/>
    <w:rsid w:val="00BF7554"/>
    <w:rsid w:val="00BF7790"/>
    <w:rsid w:val="00C0339F"/>
    <w:rsid w:val="00C039E9"/>
    <w:rsid w:val="00C042A6"/>
    <w:rsid w:val="00C07331"/>
    <w:rsid w:val="00C10955"/>
    <w:rsid w:val="00C128B5"/>
    <w:rsid w:val="00C13C70"/>
    <w:rsid w:val="00C15006"/>
    <w:rsid w:val="00C16D3F"/>
    <w:rsid w:val="00C16F89"/>
    <w:rsid w:val="00C20A34"/>
    <w:rsid w:val="00C22BC5"/>
    <w:rsid w:val="00C22CEA"/>
    <w:rsid w:val="00C24103"/>
    <w:rsid w:val="00C3073F"/>
    <w:rsid w:val="00C31877"/>
    <w:rsid w:val="00C31885"/>
    <w:rsid w:val="00C325D1"/>
    <w:rsid w:val="00C347A8"/>
    <w:rsid w:val="00C35F80"/>
    <w:rsid w:val="00C37101"/>
    <w:rsid w:val="00C4191F"/>
    <w:rsid w:val="00C4222C"/>
    <w:rsid w:val="00C42BB6"/>
    <w:rsid w:val="00C43515"/>
    <w:rsid w:val="00C46BC0"/>
    <w:rsid w:val="00C50F36"/>
    <w:rsid w:val="00C53B91"/>
    <w:rsid w:val="00C53E3A"/>
    <w:rsid w:val="00C5460D"/>
    <w:rsid w:val="00C5610C"/>
    <w:rsid w:val="00C60629"/>
    <w:rsid w:val="00C60694"/>
    <w:rsid w:val="00C620D3"/>
    <w:rsid w:val="00C62687"/>
    <w:rsid w:val="00C63D62"/>
    <w:rsid w:val="00C64195"/>
    <w:rsid w:val="00C64773"/>
    <w:rsid w:val="00C72BBA"/>
    <w:rsid w:val="00C73A21"/>
    <w:rsid w:val="00C76728"/>
    <w:rsid w:val="00C80771"/>
    <w:rsid w:val="00C836EC"/>
    <w:rsid w:val="00C83BB4"/>
    <w:rsid w:val="00C844F7"/>
    <w:rsid w:val="00C84D0E"/>
    <w:rsid w:val="00C859C7"/>
    <w:rsid w:val="00C8680A"/>
    <w:rsid w:val="00C87B56"/>
    <w:rsid w:val="00C87D7F"/>
    <w:rsid w:val="00C909D3"/>
    <w:rsid w:val="00C91002"/>
    <w:rsid w:val="00C91F78"/>
    <w:rsid w:val="00C93462"/>
    <w:rsid w:val="00C9375C"/>
    <w:rsid w:val="00C96EAD"/>
    <w:rsid w:val="00C97042"/>
    <w:rsid w:val="00C979F3"/>
    <w:rsid w:val="00CA0EED"/>
    <w:rsid w:val="00CA2318"/>
    <w:rsid w:val="00CA2794"/>
    <w:rsid w:val="00CA32A9"/>
    <w:rsid w:val="00CB1215"/>
    <w:rsid w:val="00CB1C21"/>
    <w:rsid w:val="00CB1FB4"/>
    <w:rsid w:val="00CB322C"/>
    <w:rsid w:val="00CB630A"/>
    <w:rsid w:val="00CB65EF"/>
    <w:rsid w:val="00CB6DBB"/>
    <w:rsid w:val="00CB7903"/>
    <w:rsid w:val="00CC03E3"/>
    <w:rsid w:val="00CC0D0A"/>
    <w:rsid w:val="00CC0FBB"/>
    <w:rsid w:val="00CC1B7D"/>
    <w:rsid w:val="00CC2F73"/>
    <w:rsid w:val="00CC41DA"/>
    <w:rsid w:val="00CC4CE1"/>
    <w:rsid w:val="00CC5AB4"/>
    <w:rsid w:val="00CC6C4E"/>
    <w:rsid w:val="00CC6EA3"/>
    <w:rsid w:val="00CD31AC"/>
    <w:rsid w:val="00CD397A"/>
    <w:rsid w:val="00CD6700"/>
    <w:rsid w:val="00CD6C71"/>
    <w:rsid w:val="00CE0E91"/>
    <w:rsid w:val="00CE1F32"/>
    <w:rsid w:val="00CE313B"/>
    <w:rsid w:val="00CE496A"/>
    <w:rsid w:val="00CE5D2E"/>
    <w:rsid w:val="00CF0ECB"/>
    <w:rsid w:val="00CF1D5A"/>
    <w:rsid w:val="00D01CEF"/>
    <w:rsid w:val="00D02A61"/>
    <w:rsid w:val="00D038F3"/>
    <w:rsid w:val="00D0526A"/>
    <w:rsid w:val="00D060D7"/>
    <w:rsid w:val="00D06225"/>
    <w:rsid w:val="00D06537"/>
    <w:rsid w:val="00D075C8"/>
    <w:rsid w:val="00D1367B"/>
    <w:rsid w:val="00D13DB2"/>
    <w:rsid w:val="00D14F5B"/>
    <w:rsid w:val="00D15973"/>
    <w:rsid w:val="00D17713"/>
    <w:rsid w:val="00D17CB6"/>
    <w:rsid w:val="00D200CF"/>
    <w:rsid w:val="00D20FFB"/>
    <w:rsid w:val="00D260F8"/>
    <w:rsid w:val="00D26D78"/>
    <w:rsid w:val="00D32E6E"/>
    <w:rsid w:val="00D350D0"/>
    <w:rsid w:val="00D41050"/>
    <w:rsid w:val="00D41699"/>
    <w:rsid w:val="00D42DF4"/>
    <w:rsid w:val="00D438A0"/>
    <w:rsid w:val="00D43A30"/>
    <w:rsid w:val="00D445FA"/>
    <w:rsid w:val="00D4503A"/>
    <w:rsid w:val="00D4520B"/>
    <w:rsid w:val="00D46B21"/>
    <w:rsid w:val="00D4777B"/>
    <w:rsid w:val="00D52764"/>
    <w:rsid w:val="00D54752"/>
    <w:rsid w:val="00D56B8F"/>
    <w:rsid w:val="00D5791A"/>
    <w:rsid w:val="00D60DC5"/>
    <w:rsid w:val="00D623EB"/>
    <w:rsid w:val="00D637FE"/>
    <w:rsid w:val="00D66D1C"/>
    <w:rsid w:val="00D67BB2"/>
    <w:rsid w:val="00D70AB4"/>
    <w:rsid w:val="00D70DBD"/>
    <w:rsid w:val="00D72133"/>
    <w:rsid w:val="00D73299"/>
    <w:rsid w:val="00D75FCF"/>
    <w:rsid w:val="00D7605F"/>
    <w:rsid w:val="00D76B66"/>
    <w:rsid w:val="00D773D0"/>
    <w:rsid w:val="00D77DC0"/>
    <w:rsid w:val="00D80073"/>
    <w:rsid w:val="00D8119D"/>
    <w:rsid w:val="00D811FA"/>
    <w:rsid w:val="00D81A8E"/>
    <w:rsid w:val="00D8329D"/>
    <w:rsid w:val="00D85ED0"/>
    <w:rsid w:val="00D86A3A"/>
    <w:rsid w:val="00D90957"/>
    <w:rsid w:val="00D90EBF"/>
    <w:rsid w:val="00D91EF5"/>
    <w:rsid w:val="00D9611D"/>
    <w:rsid w:val="00D97463"/>
    <w:rsid w:val="00D9773D"/>
    <w:rsid w:val="00D97C6C"/>
    <w:rsid w:val="00DA658C"/>
    <w:rsid w:val="00DA6F34"/>
    <w:rsid w:val="00DB17B0"/>
    <w:rsid w:val="00DB3AAA"/>
    <w:rsid w:val="00DB5405"/>
    <w:rsid w:val="00DC1618"/>
    <w:rsid w:val="00DC3046"/>
    <w:rsid w:val="00DC3253"/>
    <w:rsid w:val="00DC5FA6"/>
    <w:rsid w:val="00DC6760"/>
    <w:rsid w:val="00DD38FF"/>
    <w:rsid w:val="00DD4B3A"/>
    <w:rsid w:val="00DD60C4"/>
    <w:rsid w:val="00DD6A21"/>
    <w:rsid w:val="00DE5657"/>
    <w:rsid w:val="00DE7AA5"/>
    <w:rsid w:val="00DE7B47"/>
    <w:rsid w:val="00DF0316"/>
    <w:rsid w:val="00DF0BF2"/>
    <w:rsid w:val="00DF11D0"/>
    <w:rsid w:val="00DF4473"/>
    <w:rsid w:val="00DF519C"/>
    <w:rsid w:val="00DF57DB"/>
    <w:rsid w:val="00E00339"/>
    <w:rsid w:val="00E014FE"/>
    <w:rsid w:val="00E01CBD"/>
    <w:rsid w:val="00E04238"/>
    <w:rsid w:val="00E12E0B"/>
    <w:rsid w:val="00E1539A"/>
    <w:rsid w:val="00E1624D"/>
    <w:rsid w:val="00E206EA"/>
    <w:rsid w:val="00E20875"/>
    <w:rsid w:val="00E22C4B"/>
    <w:rsid w:val="00E230B4"/>
    <w:rsid w:val="00E24CCA"/>
    <w:rsid w:val="00E25E62"/>
    <w:rsid w:val="00E25F82"/>
    <w:rsid w:val="00E2669F"/>
    <w:rsid w:val="00E2702D"/>
    <w:rsid w:val="00E30182"/>
    <w:rsid w:val="00E3229A"/>
    <w:rsid w:val="00E33D16"/>
    <w:rsid w:val="00E34520"/>
    <w:rsid w:val="00E36364"/>
    <w:rsid w:val="00E41451"/>
    <w:rsid w:val="00E415B8"/>
    <w:rsid w:val="00E427EE"/>
    <w:rsid w:val="00E45817"/>
    <w:rsid w:val="00E45BFB"/>
    <w:rsid w:val="00E46F93"/>
    <w:rsid w:val="00E47084"/>
    <w:rsid w:val="00E47A3B"/>
    <w:rsid w:val="00E560A6"/>
    <w:rsid w:val="00E6068D"/>
    <w:rsid w:val="00E609C4"/>
    <w:rsid w:val="00E61C32"/>
    <w:rsid w:val="00E629D1"/>
    <w:rsid w:val="00E6557B"/>
    <w:rsid w:val="00E66945"/>
    <w:rsid w:val="00E70C45"/>
    <w:rsid w:val="00E7213A"/>
    <w:rsid w:val="00E73382"/>
    <w:rsid w:val="00E75502"/>
    <w:rsid w:val="00E75ABE"/>
    <w:rsid w:val="00E7646B"/>
    <w:rsid w:val="00E77F8B"/>
    <w:rsid w:val="00E8014F"/>
    <w:rsid w:val="00E81560"/>
    <w:rsid w:val="00E83789"/>
    <w:rsid w:val="00E83838"/>
    <w:rsid w:val="00E850BA"/>
    <w:rsid w:val="00E8562C"/>
    <w:rsid w:val="00E859A2"/>
    <w:rsid w:val="00E86556"/>
    <w:rsid w:val="00E907EA"/>
    <w:rsid w:val="00E91310"/>
    <w:rsid w:val="00E92FA6"/>
    <w:rsid w:val="00E9477E"/>
    <w:rsid w:val="00E958D7"/>
    <w:rsid w:val="00E95B7E"/>
    <w:rsid w:val="00E9694D"/>
    <w:rsid w:val="00EA1AF6"/>
    <w:rsid w:val="00EA2EEB"/>
    <w:rsid w:val="00EA342A"/>
    <w:rsid w:val="00EA5D5D"/>
    <w:rsid w:val="00EA692F"/>
    <w:rsid w:val="00EB37A8"/>
    <w:rsid w:val="00EB3B15"/>
    <w:rsid w:val="00EB40B0"/>
    <w:rsid w:val="00EB4443"/>
    <w:rsid w:val="00EB532B"/>
    <w:rsid w:val="00EB5C34"/>
    <w:rsid w:val="00EC097B"/>
    <w:rsid w:val="00EC16F8"/>
    <w:rsid w:val="00EC1C7C"/>
    <w:rsid w:val="00EC336E"/>
    <w:rsid w:val="00EC7BBB"/>
    <w:rsid w:val="00ED249E"/>
    <w:rsid w:val="00ED2C08"/>
    <w:rsid w:val="00ED428E"/>
    <w:rsid w:val="00ED560D"/>
    <w:rsid w:val="00ED6B98"/>
    <w:rsid w:val="00ED6C94"/>
    <w:rsid w:val="00EE1040"/>
    <w:rsid w:val="00EE58ED"/>
    <w:rsid w:val="00EE5B40"/>
    <w:rsid w:val="00EE67F7"/>
    <w:rsid w:val="00EE7685"/>
    <w:rsid w:val="00EF029E"/>
    <w:rsid w:val="00EF0EA0"/>
    <w:rsid w:val="00EF35D0"/>
    <w:rsid w:val="00EF4385"/>
    <w:rsid w:val="00EF4396"/>
    <w:rsid w:val="00EF4C89"/>
    <w:rsid w:val="00EF4EBE"/>
    <w:rsid w:val="00EF5F9F"/>
    <w:rsid w:val="00EF64BD"/>
    <w:rsid w:val="00EF688D"/>
    <w:rsid w:val="00F00EB5"/>
    <w:rsid w:val="00F04897"/>
    <w:rsid w:val="00F05050"/>
    <w:rsid w:val="00F050F6"/>
    <w:rsid w:val="00F122FF"/>
    <w:rsid w:val="00F12FA6"/>
    <w:rsid w:val="00F141DF"/>
    <w:rsid w:val="00F15307"/>
    <w:rsid w:val="00F16041"/>
    <w:rsid w:val="00F17A7A"/>
    <w:rsid w:val="00F2130D"/>
    <w:rsid w:val="00F22538"/>
    <w:rsid w:val="00F25611"/>
    <w:rsid w:val="00F273E2"/>
    <w:rsid w:val="00F303CA"/>
    <w:rsid w:val="00F30A87"/>
    <w:rsid w:val="00F31DA3"/>
    <w:rsid w:val="00F3371D"/>
    <w:rsid w:val="00F33DBC"/>
    <w:rsid w:val="00F406A9"/>
    <w:rsid w:val="00F40BF4"/>
    <w:rsid w:val="00F41942"/>
    <w:rsid w:val="00F43BA6"/>
    <w:rsid w:val="00F43D8C"/>
    <w:rsid w:val="00F46882"/>
    <w:rsid w:val="00F5227C"/>
    <w:rsid w:val="00F52DF8"/>
    <w:rsid w:val="00F54C78"/>
    <w:rsid w:val="00F57850"/>
    <w:rsid w:val="00F6011C"/>
    <w:rsid w:val="00F61778"/>
    <w:rsid w:val="00F643DA"/>
    <w:rsid w:val="00F64763"/>
    <w:rsid w:val="00F656AF"/>
    <w:rsid w:val="00F65C61"/>
    <w:rsid w:val="00F6667B"/>
    <w:rsid w:val="00F67A1C"/>
    <w:rsid w:val="00F7027C"/>
    <w:rsid w:val="00F70333"/>
    <w:rsid w:val="00F73106"/>
    <w:rsid w:val="00F7494E"/>
    <w:rsid w:val="00F74B06"/>
    <w:rsid w:val="00F800CB"/>
    <w:rsid w:val="00F80AFA"/>
    <w:rsid w:val="00F8155F"/>
    <w:rsid w:val="00F82889"/>
    <w:rsid w:val="00F82D92"/>
    <w:rsid w:val="00F860A4"/>
    <w:rsid w:val="00F86357"/>
    <w:rsid w:val="00F87BF8"/>
    <w:rsid w:val="00F91CC1"/>
    <w:rsid w:val="00F93C02"/>
    <w:rsid w:val="00F95C7C"/>
    <w:rsid w:val="00F96126"/>
    <w:rsid w:val="00FA08BA"/>
    <w:rsid w:val="00FA1228"/>
    <w:rsid w:val="00FA13BE"/>
    <w:rsid w:val="00FA4229"/>
    <w:rsid w:val="00FA65D1"/>
    <w:rsid w:val="00FA6CA0"/>
    <w:rsid w:val="00FA701F"/>
    <w:rsid w:val="00FA7CEA"/>
    <w:rsid w:val="00FB01B3"/>
    <w:rsid w:val="00FB06F3"/>
    <w:rsid w:val="00FB49ED"/>
    <w:rsid w:val="00FB5013"/>
    <w:rsid w:val="00FB6A28"/>
    <w:rsid w:val="00FC1241"/>
    <w:rsid w:val="00FC1311"/>
    <w:rsid w:val="00FC1F82"/>
    <w:rsid w:val="00FC260C"/>
    <w:rsid w:val="00FC662C"/>
    <w:rsid w:val="00FC7B75"/>
    <w:rsid w:val="00FC7FB2"/>
    <w:rsid w:val="00FD2F99"/>
    <w:rsid w:val="00FD3B61"/>
    <w:rsid w:val="00FD5E0B"/>
    <w:rsid w:val="00FD6BB7"/>
    <w:rsid w:val="00FE317E"/>
    <w:rsid w:val="00FE4B51"/>
    <w:rsid w:val="00FE752E"/>
    <w:rsid w:val="00FE7DFE"/>
    <w:rsid w:val="00FF06F1"/>
    <w:rsid w:val="00FF2C7A"/>
    <w:rsid w:val="00FF4869"/>
    <w:rsid w:val="00FF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78EE6"/>
  <w15:docId w15:val="{3A5DA09F-BFB4-4848-9451-EF5E8F85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65F"/>
  </w:style>
  <w:style w:type="paragraph" w:styleId="Heading1">
    <w:name w:val="heading 1"/>
    <w:basedOn w:val="Normal"/>
    <w:next w:val="Normal"/>
    <w:link w:val="Heading1Char"/>
    <w:uiPriority w:val="9"/>
    <w:qFormat/>
    <w:rsid w:val="00DD6A21"/>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DD6A21"/>
    <w:pPr>
      <w:keepNext/>
      <w:keepLines/>
      <w:spacing w:before="200" w:after="0"/>
      <w:outlineLvl w:val="1"/>
    </w:pPr>
    <w:rPr>
      <w:rFonts w:eastAsiaTheme="majorEastAsia" w:cstheme="majorBidi"/>
      <w:bCs/>
      <w:i/>
      <w:sz w:val="28"/>
      <w:szCs w:val="26"/>
    </w:rPr>
  </w:style>
  <w:style w:type="paragraph" w:styleId="Heading3">
    <w:name w:val="heading 3"/>
    <w:basedOn w:val="Normal"/>
    <w:next w:val="Normal"/>
    <w:link w:val="Heading3Char"/>
    <w:uiPriority w:val="9"/>
    <w:unhideWhenUsed/>
    <w:qFormat/>
    <w:rsid w:val="007C16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C639C"/>
    <w:pPr>
      <w:keepNext/>
      <w:keepLines/>
      <w:spacing w:before="200" w:after="0"/>
      <w:outlineLvl w:val="3"/>
    </w:pPr>
    <w:rPr>
      <w:rFonts w:eastAsiaTheme="majorEastAsia" w:cstheme="majorBidi"/>
      <w:bCs/>
      <w:i/>
      <w:iCs/>
      <w:color w:val="4F81BD" w:themeColor="accent1"/>
      <w:sz w:val="24"/>
    </w:rPr>
  </w:style>
  <w:style w:type="paragraph" w:styleId="Heading5">
    <w:name w:val="heading 5"/>
    <w:basedOn w:val="Normal"/>
    <w:next w:val="Normal"/>
    <w:link w:val="Heading5Char"/>
    <w:uiPriority w:val="9"/>
    <w:unhideWhenUsed/>
    <w:qFormat/>
    <w:rsid w:val="007C16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C16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C16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C16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C16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rsid w:val="00E91310"/>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rsid w:val="00E91310"/>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rsid w:val="00E9131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rsid w:val="00E9131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rsid w:val="00E9131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rsid w:val="00E913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rsid w:val="00E9131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rsid w:val="00E9131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Triangles">
    <w:name w:val="1Triangles"/>
    <w:rsid w:val="00E91310"/>
    <w:pPr>
      <w:widowControl w:val="0"/>
      <w:tabs>
        <w:tab w:val="left" w:pos="720"/>
      </w:tabs>
      <w:autoSpaceDE w:val="0"/>
      <w:autoSpaceDN w:val="0"/>
      <w:adjustRightInd w:val="0"/>
      <w:ind w:left="720" w:hanging="720"/>
      <w:jc w:val="both"/>
    </w:pPr>
    <w:rPr>
      <w:sz w:val="24"/>
      <w:szCs w:val="24"/>
    </w:rPr>
  </w:style>
  <w:style w:type="paragraph" w:customStyle="1" w:styleId="2Triangles">
    <w:name w:val="2Triangles"/>
    <w:rsid w:val="00E91310"/>
    <w:pPr>
      <w:widowControl w:val="0"/>
      <w:tabs>
        <w:tab w:val="left" w:pos="720"/>
        <w:tab w:val="left" w:pos="1440"/>
      </w:tabs>
      <w:autoSpaceDE w:val="0"/>
      <w:autoSpaceDN w:val="0"/>
      <w:adjustRightInd w:val="0"/>
      <w:ind w:left="1440" w:hanging="720"/>
      <w:jc w:val="both"/>
    </w:pPr>
    <w:rPr>
      <w:sz w:val="24"/>
      <w:szCs w:val="24"/>
    </w:rPr>
  </w:style>
  <w:style w:type="paragraph" w:customStyle="1" w:styleId="3Triangles">
    <w:name w:val="3Triangles"/>
    <w:rsid w:val="00E9131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Triangles">
    <w:name w:val="4Triangles"/>
    <w:rsid w:val="00E9131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Triangles">
    <w:name w:val="5Triangles"/>
    <w:rsid w:val="00E9131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Triangles">
    <w:name w:val="6Triangles"/>
    <w:rsid w:val="00E913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Triangles">
    <w:name w:val="7Triangles"/>
    <w:rsid w:val="00E9131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Triangles">
    <w:name w:val="8Triangles"/>
    <w:rsid w:val="00E9131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a">
    <w:name w:val="_"/>
    <w:rsid w:val="00E91310"/>
    <w:pPr>
      <w:widowControl w:val="0"/>
      <w:autoSpaceDE w:val="0"/>
      <w:autoSpaceDN w:val="0"/>
      <w:adjustRightInd w:val="0"/>
      <w:ind w:left="-1080"/>
    </w:pPr>
    <w:rPr>
      <w:sz w:val="24"/>
      <w:szCs w:val="24"/>
    </w:rPr>
  </w:style>
  <w:style w:type="character" w:customStyle="1" w:styleId="DefaultPara">
    <w:name w:val="Default Para"/>
    <w:rsid w:val="00E91310"/>
  </w:style>
  <w:style w:type="character" w:customStyle="1" w:styleId="SYSHYPERTEXT">
    <w:name w:val="SYS_HYPERTEXT"/>
    <w:rsid w:val="00E91310"/>
    <w:rPr>
      <w:color w:val="0000FF"/>
    </w:rPr>
  </w:style>
  <w:style w:type="paragraph" w:styleId="Header">
    <w:name w:val="header"/>
    <w:basedOn w:val="Normal"/>
    <w:rsid w:val="00E91310"/>
    <w:pPr>
      <w:tabs>
        <w:tab w:val="center" w:pos="4320"/>
        <w:tab w:val="right" w:pos="8640"/>
      </w:tabs>
    </w:pPr>
  </w:style>
  <w:style w:type="character" w:styleId="PageNumber">
    <w:name w:val="page number"/>
    <w:basedOn w:val="DefaultParagraphFont"/>
    <w:rsid w:val="00E91310"/>
  </w:style>
  <w:style w:type="paragraph" w:styleId="BodyText">
    <w:name w:val="Body Text"/>
    <w:basedOn w:val="Normal"/>
    <w:link w:val="BodyTextChar"/>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FF00FF"/>
    </w:rPr>
  </w:style>
  <w:style w:type="paragraph" w:styleId="Caption">
    <w:name w:val="caption"/>
    <w:basedOn w:val="Normal"/>
    <w:next w:val="Normal"/>
    <w:uiPriority w:val="35"/>
    <w:unhideWhenUsed/>
    <w:qFormat/>
    <w:rsid w:val="007C165F"/>
    <w:pPr>
      <w:spacing w:line="240" w:lineRule="auto"/>
    </w:pPr>
    <w:rPr>
      <w:b/>
      <w:bCs/>
      <w:color w:val="4F81BD" w:themeColor="accent1"/>
      <w:sz w:val="18"/>
      <w:szCs w:val="18"/>
    </w:rPr>
  </w:style>
  <w:style w:type="paragraph" w:styleId="BodyText2">
    <w:name w:val="Body Text 2"/>
    <w:basedOn w:val="Normal"/>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styleId="BodyText3">
    <w:name w:val="Body Text 3"/>
    <w:basedOn w:val="Normal"/>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styleId="Hyperlink">
    <w:name w:val="Hyperlink"/>
    <w:rsid w:val="00E91310"/>
    <w:rPr>
      <w:color w:val="0000FF"/>
      <w:u w:val="single"/>
    </w:rPr>
  </w:style>
  <w:style w:type="character" w:styleId="FollowedHyperlink">
    <w:name w:val="FollowedHyperlink"/>
    <w:rsid w:val="00E91310"/>
    <w:rPr>
      <w:color w:val="800080"/>
      <w:u w:val="single"/>
    </w:rPr>
  </w:style>
  <w:style w:type="paragraph" w:styleId="Footer">
    <w:name w:val="footer"/>
    <w:basedOn w:val="Normal"/>
    <w:link w:val="FooterChar"/>
    <w:uiPriority w:val="99"/>
    <w:rsid w:val="00E91310"/>
    <w:pPr>
      <w:tabs>
        <w:tab w:val="center" w:pos="4320"/>
        <w:tab w:val="right" w:pos="8640"/>
      </w:tabs>
    </w:pPr>
  </w:style>
  <w:style w:type="paragraph" w:customStyle="1" w:styleId="Default">
    <w:name w:val="Default"/>
    <w:rsid w:val="00800885"/>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6059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4C89"/>
    <w:rPr>
      <w:rFonts w:ascii="Tahoma" w:hAnsi="Tahoma" w:cs="Tahoma"/>
      <w:sz w:val="16"/>
      <w:szCs w:val="16"/>
    </w:rPr>
  </w:style>
  <w:style w:type="paragraph" w:styleId="ListParagraph">
    <w:name w:val="List Paragraph"/>
    <w:basedOn w:val="Normal"/>
    <w:uiPriority w:val="34"/>
    <w:qFormat/>
    <w:rsid w:val="007C165F"/>
    <w:pPr>
      <w:ind w:left="720"/>
      <w:contextualSpacing/>
    </w:pPr>
  </w:style>
  <w:style w:type="paragraph" w:styleId="ListBullet">
    <w:name w:val="List Bullet"/>
    <w:basedOn w:val="Normal"/>
    <w:rsid w:val="00C4222C"/>
    <w:pPr>
      <w:numPr>
        <w:numId w:val="1"/>
      </w:numPr>
      <w:spacing w:after="120"/>
    </w:pPr>
  </w:style>
  <w:style w:type="character" w:customStyle="1" w:styleId="BodyTextChar">
    <w:name w:val="Body Text Char"/>
    <w:basedOn w:val="DefaultParagraphFont"/>
    <w:link w:val="BodyText"/>
    <w:rsid w:val="00CE313B"/>
    <w:rPr>
      <w:color w:val="FF00FF"/>
      <w:sz w:val="22"/>
      <w:szCs w:val="22"/>
    </w:rPr>
  </w:style>
  <w:style w:type="paragraph" w:customStyle="1" w:styleId="StyleListBulletAfter12pt">
    <w:name w:val="Style List Bullet + After:  12 pt"/>
    <w:basedOn w:val="ListBullet"/>
    <w:rsid w:val="00C4222C"/>
  </w:style>
  <w:style w:type="character" w:styleId="Strong">
    <w:name w:val="Strong"/>
    <w:basedOn w:val="DefaultParagraphFont"/>
    <w:uiPriority w:val="22"/>
    <w:qFormat/>
    <w:rsid w:val="007C165F"/>
    <w:rPr>
      <w:b/>
      <w:bCs/>
    </w:rPr>
  </w:style>
  <w:style w:type="character" w:styleId="Emphasis">
    <w:name w:val="Emphasis"/>
    <w:basedOn w:val="DefaultParagraphFont"/>
    <w:qFormat/>
    <w:rsid w:val="007C165F"/>
    <w:rPr>
      <w:i/>
      <w:iCs/>
    </w:rPr>
  </w:style>
  <w:style w:type="paragraph" w:styleId="Revision">
    <w:name w:val="Revision"/>
    <w:hidden/>
    <w:uiPriority w:val="99"/>
    <w:semiHidden/>
    <w:rsid w:val="00895418"/>
  </w:style>
  <w:style w:type="paragraph" w:styleId="NoSpacing">
    <w:name w:val="No Spacing"/>
    <w:uiPriority w:val="1"/>
    <w:qFormat/>
    <w:rsid w:val="007C165F"/>
    <w:pPr>
      <w:spacing w:after="0" w:line="240" w:lineRule="auto"/>
    </w:pPr>
  </w:style>
  <w:style w:type="character" w:customStyle="1" w:styleId="Heading1Char">
    <w:name w:val="Heading 1 Char"/>
    <w:basedOn w:val="DefaultParagraphFont"/>
    <w:link w:val="Heading1"/>
    <w:uiPriority w:val="9"/>
    <w:rsid w:val="00DD6A21"/>
    <w:rPr>
      <w:rFonts w:eastAsiaTheme="majorEastAsia" w:cstheme="majorBidi"/>
      <w:b/>
      <w:bCs/>
      <w:sz w:val="36"/>
      <w:szCs w:val="28"/>
    </w:rPr>
  </w:style>
  <w:style w:type="character" w:customStyle="1" w:styleId="Heading2Char">
    <w:name w:val="Heading 2 Char"/>
    <w:basedOn w:val="DefaultParagraphFont"/>
    <w:link w:val="Heading2"/>
    <w:uiPriority w:val="9"/>
    <w:rsid w:val="00DD6A21"/>
    <w:rPr>
      <w:rFonts w:eastAsiaTheme="majorEastAsia" w:cstheme="majorBidi"/>
      <w:bCs/>
      <w:i/>
      <w:sz w:val="28"/>
      <w:szCs w:val="26"/>
    </w:rPr>
  </w:style>
  <w:style w:type="character" w:customStyle="1" w:styleId="Heading3Char">
    <w:name w:val="Heading 3 Char"/>
    <w:basedOn w:val="DefaultParagraphFont"/>
    <w:link w:val="Heading3"/>
    <w:uiPriority w:val="9"/>
    <w:rsid w:val="007C16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C639C"/>
    <w:rPr>
      <w:rFonts w:eastAsiaTheme="majorEastAsia" w:cstheme="majorBidi"/>
      <w:bCs/>
      <w:i/>
      <w:iCs/>
      <w:color w:val="4F81BD" w:themeColor="accent1"/>
      <w:sz w:val="24"/>
    </w:rPr>
  </w:style>
  <w:style w:type="character" w:customStyle="1" w:styleId="Heading5Char">
    <w:name w:val="Heading 5 Char"/>
    <w:basedOn w:val="DefaultParagraphFont"/>
    <w:link w:val="Heading5"/>
    <w:uiPriority w:val="9"/>
    <w:rsid w:val="007C16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C16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C16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C165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C165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7C16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165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C16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C165F"/>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7C165F"/>
    <w:rPr>
      <w:i/>
      <w:iCs/>
      <w:color w:val="000000" w:themeColor="text1"/>
    </w:rPr>
  </w:style>
  <w:style w:type="character" w:customStyle="1" w:styleId="QuoteChar">
    <w:name w:val="Quote Char"/>
    <w:basedOn w:val="DefaultParagraphFont"/>
    <w:link w:val="Quote"/>
    <w:uiPriority w:val="29"/>
    <w:rsid w:val="007C165F"/>
    <w:rPr>
      <w:i/>
      <w:iCs/>
      <w:color w:val="000000" w:themeColor="text1"/>
    </w:rPr>
  </w:style>
  <w:style w:type="paragraph" w:styleId="IntenseQuote">
    <w:name w:val="Intense Quote"/>
    <w:basedOn w:val="Normal"/>
    <w:next w:val="Normal"/>
    <w:link w:val="IntenseQuoteChar"/>
    <w:uiPriority w:val="30"/>
    <w:qFormat/>
    <w:rsid w:val="007C16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C165F"/>
    <w:rPr>
      <w:b/>
      <w:bCs/>
      <w:i/>
      <w:iCs/>
      <w:color w:val="4F81BD" w:themeColor="accent1"/>
    </w:rPr>
  </w:style>
  <w:style w:type="character" w:styleId="SubtleEmphasis">
    <w:name w:val="Subtle Emphasis"/>
    <w:basedOn w:val="DefaultParagraphFont"/>
    <w:uiPriority w:val="19"/>
    <w:qFormat/>
    <w:rsid w:val="007C165F"/>
    <w:rPr>
      <w:i/>
      <w:iCs/>
      <w:color w:val="808080" w:themeColor="text1" w:themeTint="7F"/>
    </w:rPr>
  </w:style>
  <w:style w:type="character" w:styleId="IntenseEmphasis">
    <w:name w:val="Intense Emphasis"/>
    <w:basedOn w:val="DefaultParagraphFont"/>
    <w:uiPriority w:val="21"/>
    <w:qFormat/>
    <w:rsid w:val="007C165F"/>
    <w:rPr>
      <w:b/>
      <w:bCs/>
      <w:i/>
      <w:iCs/>
      <w:color w:val="4F81BD" w:themeColor="accent1"/>
    </w:rPr>
  </w:style>
  <w:style w:type="character" w:styleId="SubtleReference">
    <w:name w:val="Subtle Reference"/>
    <w:basedOn w:val="DefaultParagraphFont"/>
    <w:uiPriority w:val="31"/>
    <w:qFormat/>
    <w:rsid w:val="007C165F"/>
    <w:rPr>
      <w:smallCaps/>
      <w:color w:val="C0504D" w:themeColor="accent2"/>
      <w:u w:val="single"/>
    </w:rPr>
  </w:style>
  <w:style w:type="character" w:styleId="IntenseReference">
    <w:name w:val="Intense Reference"/>
    <w:basedOn w:val="DefaultParagraphFont"/>
    <w:uiPriority w:val="32"/>
    <w:qFormat/>
    <w:rsid w:val="007C165F"/>
    <w:rPr>
      <w:b/>
      <w:bCs/>
      <w:smallCaps/>
      <w:color w:val="C0504D" w:themeColor="accent2"/>
      <w:spacing w:val="5"/>
      <w:u w:val="single"/>
    </w:rPr>
  </w:style>
  <w:style w:type="character" w:styleId="BookTitle">
    <w:name w:val="Book Title"/>
    <w:basedOn w:val="DefaultParagraphFont"/>
    <w:uiPriority w:val="33"/>
    <w:qFormat/>
    <w:rsid w:val="007C165F"/>
    <w:rPr>
      <w:b/>
      <w:bCs/>
      <w:smallCaps/>
      <w:spacing w:val="5"/>
    </w:rPr>
  </w:style>
  <w:style w:type="paragraph" w:styleId="TOCHeading">
    <w:name w:val="TOC Heading"/>
    <w:basedOn w:val="Heading1"/>
    <w:next w:val="Normal"/>
    <w:uiPriority w:val="39"/>
    <w:semiHidden/>
    <w:unhideWhenUsed/>
    <w:qFormat/>
    <w:rsid w:val="007C165F"/>
    <w:pPr>
      <w:outlineLvl w:val="9"/>
    </w:pPr>
  </w:style>
  <w:style w:type="character" w:customStyle="1" w:styleId="FooterChar">
    <w:name w:val="Footer Char"/>
    <w:basedOn w:val="DefaultParagraphFont"/>
    <w:link w:val="Footer"/>
    <w:uiPriority w:val="99"/>
    <w:rsid w:val="001B6B06"/>
  </w:style>
  <w:style w:type="character" w:styleId="UnresolvedMention">
    <w:name w:val="Unresolved Mention"/>
    <w:basedOn w:val="DefaultParagraphFont"/>
    <w:uiPriority w:val="99"/>
    <w:semiHidden/>
    <w:unhideWhenUsed/>
    <w:rsid w:val="00F96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1572">
      <w:bodyDiv w:val="1"/>
      <w:marLeft w:val="60"/>
      <w:marRight w:val="60"/>
      <w:marTop w:val="60"/>
      <w:marBottom w:val="15"/>
      <w:divBdr>
        <w:top w:val="none" w:sz="0" w:space="0" w:color="auto"/>
        <w:left w:val="none" w:sz="0" w:space="0" w:color="auto"/>
        <w:bottom w:val="none" w:sz="0" w:space="0" w:color="auto"/>
        <w:right w:val="none" w:sz="0" w:space="0" w:color="auto"/>
      </w:divBdr>
      <w:divsChild>
        <w:div w:id="130952323">
          <w:marLeft w:val="0"/>
          <w:marRight w:val="0"/>
          <w:marTop w:val="0"/>
          <w:marBottom w:val="0"/>
          <w:divBdr>
            <w:top w:val="none" w:sz="0" w:space="0" w:color="auto"/>
            <w:left w:val="none" w:sz="0" w:space="0" w:color="auto"/>
            <w:bottom w:val="none" w:sz="0" w:space="0" w:color="auto"/>
            <w:right w:val="none" w:sz="0" w:space="0" w:color="auto"/>
          </w:divBdr>
        </w:div>
        <w:div w:id="135029660">
          <w:marLeft w:val="0"/>
          <w:marRight w:val="0"/>
          <w:marTop w:val="0"/>
          <w:marBottom w:val="0"/>
          <w:divBdr>
            <w:top w:val="none" w:sz="0" w:space="0" w:color="auto"/>
            <w:left w:val="none" w:sz="0" w:space="0" w:color="auto"/>
            <w:bottom w:val="none" w:sz="0" w:space="0" w:color="auto"/>
            <w:right w:val="none" w:sz="0" w:space="0" w:color="auto"/>
          </w:divBdr>
        </w:div>
        <w:div w:id="140199586">
          <w:marLeft w:val="0"/>
          <w:marRight w:val="0"/>
          <w:marTop w:val="0"/>
          <w:marBottom w:val="0"/>
          <w:divBdr>
            <w:top w:val="none" w:sz="0" w:space="0" w:color="auto"/>
            <w:left w:val="none" w:sz="0" w:space="0" w:color="auto"/>
            <w:bottom w:val="none" w:sz="0" w:space="0" w:color="auto"/>
            <w:right w:val="none" w:sz="0" w:space="0" w:color="auto"/>
          </w:divBdr>
        </w:div>
        <w:div w:id="165025019">
          <w:marLeft w:val="0"/>
          <w:marRight w:val="0"/>
          <w:marTop w:val="0"/>
          <w:marBottom w:val="0"/>
          <w:divBdr>
            <w:top w:val="none" w:sz="0" w:space="0" w:color="auto"/>
            <w:left w:val="none" w:sz="0" w:space="0" w:color="auto"/>
            <w:bottom w:val="none" w:sz="0" w:space="0" w:color="auto"/>
            <w:right w:val="none" w:sz="0" w:space="0" w:color="auto"/>
          </w:divBdr>
        </w:div>
        <w:div w:id="233275361">
          <w:marLeft w:val="0"/>
          <w:marRight w:val="0"/>
          <w:marTop w:val="0"/>
          <w:marBottom w:val="0"/>
          <w:divBdr>
            <w:top w:val="none" w:sz="0" w:space="0" w:color="auto"/>
            <w:left w:val="none" w:sz="0" w:space="0" w:color="auto"/>
            <w:bottom w:val="none" w:sz="0" w:space="0" w:color="auto"/>
            <w:right w:val="none" w:sz="0" w:space="0" w:color="auto"/>
          </w:divBdr>
        </w:div>
        <w:div w:id="236519906">
          <w:marLeft w:val="0"/>
          <w:marRight w:val="0"/>
          <w:marTop w:val="0"/>
          <w:marBottom w:val="0"/>
          <w:divBdr>
            <w:top w:val="none" w:sz="0" w:space="0" w:color="auto"/>
            <w:left w:val="none" w:sz="0" w:space="0" w:color="auto"/>
            <w:bottom w:val="none" w:sz="0" w:space="0" w:color="auto"/>
            <w:right w:val="none" w:sz="0" w:space="0" w:color="auto"/>
          </w:divBdr>
        </w:div>
        <w:div w:id="274560804">
          <w:marLeft w:val="0"/>
          <w:marRight w:val="0"/>
          <w:marTop w:val="0"/>
          <w:marBottom w:val="0"/>
          <w:divBdr>
            <w:top w:val="none" w:sz="0" w:space="0" w:color="auto"/>
            <w:left w:val="none" w:sz="0" w:space="0" w:color="auto"/>
            <w:bottom w:val="none" w:sz="0" w:space="0" w:color="auto"/>
            <w:right w:val="none" w:sz="0" w:space="0" w:color="auto"/>
          </w:divBdr>
        </w:div>
        <w:div w:id="331493830">
          <w:marLeft w:val="0"/>
          <w:marRight w:val="0"/>
          <w:marTop w:val="0"/>
          <w:marBottom w:val="0"/>
          <w:divBdr>
            <w:top w:val="none" w:sz="0" w:space="0" w:color="auto"/>
            <w:left w:val="none" w:sz="0" w:space="0" w:color="auto"/>
            <w:bottom w:val="none" w:sz="0" w:space="0" w:color="auto"/>
            <w:right w:val="none" w:sz="0" w:space="0" w:color="auto"/>
          </w:divBdr>
        </w:div>
        <w:div w:id="444538856">
          <w:marLeft w:val="0"/>
          <w:marRight w:val="0"/>
          <w:marTop w:val="0"/>
          <w:marBottom w:val="0"/>
          <w:divBdr>
            <w:top w:val="none" w:sz="0" w:space="0" w:color="auto"/>
            <w:left w:val="none" w:sz="0" w:space="0" w:color="auto"/>
            <w:bottom w:val="none" w:sz="0" w:space="0" w:color="auto"/>
            <w:right w:val="none" w:sz="0" w:space="0" w:color="auto"/>
          </w:divBdr>
        </w:div>
        <w:div w:id="513375455">
          <w:marLeft w:val="0"/>
          <w:marRight w:val="0"/>
          <w:marTop w:val="0"/>
          <w:marBottom w:val="0"/>
          <w:divBdr>
            <w:top w:val="none" w:sz="0" w:space="0" w:color="auto"/>
            <w:left w:val="none" w:sz="0" w:space="0" w:color="auto"/>
            <w:bottom w:val="none" w:sz="0" w:space="0" w:color="auto"/>
            <w:right w:val="none" w:sz="0" w:space="0" w:color="auto"/>
          </w:divBdr>
        </w:div>
        <w:div w:id="514464967">
          <w:marLeft w:val="0"/>
          <w:marRight w:val="0"/>
          <w:marTop w:val="0"/>
          <w:marBottom w:val="0"/>
          <w:divBdr>
            <w:top w:val="none" w:sz="0" w:space="0" w:color="auto"/>
            <w:left w:val="none" w:sz="0" w:space="0" w:color="auto"/>
            <w:bottom w:val="none" w:sz="0" w:space="0" w:color="auto"/>
            <w:right w:val="none" w:sz="0" w:space="0" w:color="auto"/>
          </w:divBdr>
        </w:div>
        <w:div w:id="522091692">
          <w:marLeft w:val="0"/>
          <w:marRight w:val="0"/>
          <w:marTop w:val="0"/>
          <w:marBottom w:val="0"/>
          <w:divBdr>
            <w:top w:val="none" w:sz="0" w:space="0" w:color="auto"/>
            <w:left w:val="none" w:sz="0" w:space="0" w:color="auto"/>
            <w:bottom w:val="none" w:sz="0" w:space="0" w:color="auto"/>
            <w:right w:val="none" w:sz="0" w:space="0" w:color="auto"/>
          </w:divBdr>
        </w:div>
        <w:div w:id="549847490">
          <w:marLeft w:val="0"/>
          <w:marRight w:val="0"/>
          <w:marTop w:val="0"/>
          <w:marBottom w:val="0"/>
          <w:divBdr>
            <w:top w:val="none" w:sz="0" w:space="0" w:color="auto"/>
            <w:left w:val="none" w:sz="0" w:space="0" w:color="auto"/>
            <w:bottom w:val="none" w:sz="0" w:space="0" w:color="auto"/>
            <w:right w:val="none" w:sz="0" w:space="0" w:color="auto"/>
          </w:divBdr>
        </w:div>
        <w:div w:id="571158826">
          <w:marLeft w:val="0"/>
          <w:marRight w:val="0"/>
          <w:marTop w:val="0"/>
          <w:marBottom w:val="0"/>
          <w:divBdr>
            <w:top w:val="none" w:sz="0" w:space="0" w:color="auto"/>
            <w:left w:val="none" w:sz="0" w:space="0" w:color="auto"/>
            <w:bottom w:val="none" w:sz="0" w:space="0" w:color="auto"/>
            <w:right w:val="none" w:sz="0" w:space="0" w:color="auto"/>
          </w:divBdr>
        </w:div>
        <w:div w:id="734858534">
          <w:marLeft w:val="0"/>
          <w:marRight w:val="0"/>
          <w:marTop w:val="0"/>
          <w:marBottom w:val="0"/>
          <w:divBdr>
            <w:top w:val="none" w:sz="0" w:space="0" w:color="auto"/>
            <w:left w:val="none" w:sz="0" w:space="0" w:color="auto"/>
            <w:bottom w:val="none" w:sz="0" w:space="0" w:color="auto"/>
            <w:right w:val="none" w:sz="0" w:space="0" w:color="auto"/>
          </w:divBdr>
        </w:div>
        <w:div w:id="852917297">
          <w:marLeft w:val="0"/>
          <w:marRight w:val="0"/>
          <w:marTop w:val="0"/>
          <w:marBottom w:val="0"/>
          <w:divBdr>
            <w:top w:val="none" w:sz="0" w:space="0" w:color="auto"/>
            <w:left w:val="none" w:sz="0" w:space="0" w:color="auto"/>
            <w:bottom w:val="none" w:sz="0" w:space="0" w:color="auto"/>
            <w:right w:val="none" w:sz="0" w:space="0" w:color="auto"/>
          </w:divBdr>
        </w:div>
        <w:div w:id="885220769">
          <w:marLeft w:val="0"/>
          <w:marRight w:val="0"/>
          <w:marTop w:val="0"/>
          <w:marBottom w:val="0"/>
          <w:divBdr>
            <w:top w:val="none" w:sz="0" w:space="0" w:color="auto"/>
            <w:left w:val="none" w:sz="0" w:space="0" w:color="auto"/>
            <w:bottom w:val="none" w:sz="0" w:space="0" w:color="auto"/>
            <w:right w:val="none" w:sz="0" w:space="0" w:color="auto"/>
          </w:divBdr>
        </w:div>
        <w:div w:id="921719138">
          <w:marLeft w:val="0"/>
          <w:marRight w:val="0"/>
          <w:marTop w:val="0"/>
          <w:marBottom w:val="0"/>
          <w:divBdr>
            <w:top w:val="none" w:sz="0" w:space="0" w:color="auto"/>
            <w:left w:val="none" w:sz="0" w:space="0" w:color="auto"/>
            <w:bottom w:val="none" w:sz="0" w:space="0" w:color="auto"/>
            <w:right w:val="none" w:sz="0" w:space="0" w:color="auto"/>
          </w:divBdr>
        </w:div>
        <w:div w:id="1124808185">
          <w:marLeft w:val="0"/>
          <w:marRight w:val="0"/>
          <w:marTop w:val="0"/>
          <w:marBottom w:val="0"/>
          <w:divBdr>
            <w:top w:val="none" w:sz="0" w:space="0" w:color="auto"/>
            <w:left w:val="none" w:sz="0" w:space="0" w:color="auto"/>
            <w:bottom w:val="none" w:sz="0" w:space="0" w:color="auto"/>
            <w:right w:val="none" w:sz="0" w:space="0" w:color="auto"/>
          </w:divBdr>
        </w:div>
        <w:div w:id="1298149345">
          <w:marLeft w:val="0"/>
          <w:marRight w:val="0"/>
          <w:marTop w:val="0"/>
          <w:marBottom w:val="0"/>
          <w:divBdr>
            <w:top w:val="none" w:sz="0" w:space="0" w:color="auto"/>
            <w:left w:val="none" w:sz="0" w:space="0" w:color="auto"/>
            <w:bottom w:val="none" w:sz="0" w:space="0" w:color="auto"/>
            <w:right w:val="none" w:sz="0" w:space="0" w:color="auto"/>
          </w:divBdr>
        </w:div>
        <w:div w:id="1319269194">
          <w:marLeft w:val="0"/>
          <w:marRight w:val="0"/>
          <w:marTop w:val="0"/>
          <w:marBottom w:val="0"/>
          <w:divBdr>
            <w:top w:val="none" w:sz="0" w:space="0" w:color="auto"/>
            <w:left w:val="none" w:sz="0" w:space="0" w:color="auto"/>
            <w:bottom w:val="none" w:sz="0" w:space="0" w:color="auto"/>
            <w:right w:val="none" w:sz="0" w:space="0" w:color="auto"/>
          </w:divBdr>
        </w:div>
        <w:div w:id="1368215720">
          <w:marLeft w:val="0"/>
          <w:marRight w:val="0"/>
          <w:marTop w:val="0"/>
          <w:marBottom w:val="0"/>
          <w:divBdr>
            <w:top w:val="none" w:sz="0" w:space="0" w:color="auto"/>
            <w:left w:val="none" w:sz="0" w:space="0" w:color="auto"/>
            <w:bottom w:val="none" w:sz="0" w:space="0" w:color="auto"/>
            <w:right w:val="none" w:sz="0" w:space="0" w:color="auto"/>
          </w:divBdr>
        </w:div>
        <w:div w:id="1411851049">
          <w:marLeft w:val="0"/>
          <w:marRight w:val="0"/>
          <w:marTop w:val="0"/>
          <w:marBottom w:val="0"/>
          <w:divBdr>
            <w:top w:val="none" w:sz="0" w:space="0" w:color="auto"/>
            <w:left w:val="none" w:sz="0" w:space="0" w:color="auto"/>
            <w:bottom w:val="none" w:sz="0" w:space="0" w:color="auto"/>
            <w:right w:val="none" w:sz="0" w:space="0" w:color="auto"/>
          </w:divBdr>
        </w:div>
        <w:div w:id="1519932120">
          <w:marLeft w:val="0"/>
          <w:marRight w:val="0"/>
          <w:marTop w:val="0"/>
          <w:marBottom w:val="0"/>
          <w:divBdr>
            <w:top w:val="none" w:sz="0" w:space="0" w:color="auto"/>
            <w:left w:val="none" w:sz="0" w:space="0" w:color="auto"/>
            <w:bottom w:val="none" w:sz="0" w:space="0" w:color="auto"/>
            <w:right w:val="none" w:sz="0" w:space="0" w:color="auto"/>
          </w:divBdr>
        </w:div>
        <w:div w:id="1557472255">
          <w:marLeft w:val="0"/>
          <w:marRight w:val="0"/>
          <w:marTop w:val="0"/>
          <w:marBottom w:val="0"/>
          <w:divBdr>
            <w:top w:val="none" w:sz="0" w:space="0" w:color="auto"/>
            <w:left w:val="none" w:sz="0" w:space="0" w:color="auto"/>
            <w:bottom w:val="none" w:sz="0" w:space="0" w:color="auto"/>
            <w:right w:val="none" w:sz="0" w:space="0" w:color="auto"/>
          </w:divBdr>
        </w:div>
        <w:div w:id="1582105048">
          <w:marLeft w:val="0"/>
          <w:marRight w:val="0"/>
          <w:marTop w:val="0"/>
          <w:marBottom w:val="0"/>
          <w:divBdr>
            <w:top w:val="none" w:sz="0" w:space="0" w:color="auto"/>
            <w:left w:val="none" w:sz="0" w:space="0" w:color="auto"/>
            <w:bottom w:val="none" w:sz="0" w:space="0" w:color="auto"/>
            <w:right w:val="none" w:sz="0" w:space="0" w:color="auto"/>
          </w:divBdr>
        </w:div>
        <w:div w:id="1710063345">
          <w:marLeft w:val="0"/>
          <w:marRight w:val="0"/>
          <w:marTop w:val="0"/>
          <w:marBottom w:val="0"/>
          <w:divBdr>
            <w:top w:val="none" w:sz="0" w:space="0" w:color="auto"/>
            <w:left w:val="none" w:sz="0" w:space="0" w:color="auto"/>
            <w:bottom w:val="none" w:sz="0" w:space="0" w:color="auto"/>
            <w:right w:val="none" w:sz="0" w:space="0" w:color="auto"/>
          </w:divBdr>
        </w:div>
        <w:div w:id="1752772614">
          <w:marLeft w:val="0"/>
          <w:marRight w:val="0"/>
          <w:marTop w:val="0"/>
          <w:marBottom w:val="0"/>
          <w:divBdr>
            <w:top w:val="none" w:sz="0" w:space="0" w:color="auto"/>
            <w:left w:val="none" w:sz="0" w:space="0" w:color="auto"/>
            <w:bottom w:val="none" w:sz="0" w:space="0" w:color="auto"/>
            <w:right w:val="none" w:sz="0" w:space="0" w:color="auto"/>
          </w:divBdr>
        </w:div>
        <w:div w:id="1813214408">
          <w:marLeft w:val="0"/>
          <w:marRight w:val="0"/>
          <w:marTop w:val="0"/>
          <w:marBottom w:val="0"/>
          <w:divBdr>
            <w:top w:val="none" w:sz="0" w:space="0" w:color="auto"/>
            <w:left w:val="none" w:sz="0" w:space="0" w:color="auto"/>
            <w:bottom w:val="none" w:sz="0" w:space="0" w:color="auto"/>
            <w:right w:val="none" w:sz="0" w:space="0" w:color="auto"/>
          </w:divBdr>
        </w:div>
        <w:div w:id="1819223066">
          <w:marLeft w:val="0"/>
          <w:marRight w:val="0"/>
          <w:marTop w:val="0"/>
          <w:marBottom w:val="0"/>
          <w:divBdr>
            <w:top w:val="none" w:sz="0" w:space="0" w:color="auto"/>
            <w:left w:val="none" w:sz="0" w:space="0" w:color="auto"/>
            <w:bottom w:val="none" w:sz="0" w:space="0" w:color="auto"/>
            <w:right w:val="none" w:sz="0" w:space="0" w:color="auto"/>
          </w:divBdr>
        </w:div>
        <w:div w:id="1850943744">
          <w:marLeft w:val="0"/>
          <w:marRight w:val="0"/>
          <w:marTop w:val="0"/>
          <w:marBottom w:val="0"/>
          <w:divBdr>
            <w:top w:val="none" w:sz="0" w:space="0" w:color="auto"/>
            <w:left w:val="none" w:sz="0" w:space="0" w:color="auto"/>
            <w:bottom w:val="none" w:sz="0" w:space="0" w:color="auto"/>
            <w:right w:val="none" w:sz="0" w:space="0" w:color="auto"/>
          </w:divBdr>
        </w:div>
        <w:div w:id="1886482137">
          <w:marLeft w:val="0"/>
          <w:marRight w:val="0"/>
          <w:marTop w:val="0"/>
          <w:marBottom w:val="0"/>
          <w:divBdr>
            <w:top w:val="none" w:sz="0" w:space="0" w:color="auto"/>
            <w:left w:val="none" w:sz="0" w:space="0" w:color="auto"/>
            <w:bottom w:val="none" w:sz="0" w:space="0" w:color="auto"/>
            <w:right w:val="none" w:sz="0" w:space="0" w:color="auto"/>
          </w:divBdr>
        </w:div>
        <w:div w:id="1978029152">
          <w:marLeft w:val="0"/>
          <w:marRight w:val="0"/>
          <w:marTop w:val="0"/>
          <w:marBottom w:val="0"/>
          <w:divBdr>
            <w:top w:val="none" w:sz="0" w:space="0" w:color="auto"/>
            <w:left w:val="none" w:sz="0" w:space="0" w:color="auto"/>
            <w:bottom w:val="none" w:sz="0" w:space="0" w:color="auto"/>
            <w:right w:val="none" w:sz="0" w:space="0" w:color="auto"/>
          </w:divBdr>
        </w:div>
        <w:div w:id="2045397593">
          <w:marLeft w:val="0"/>
          <w:marRight w:val="0"/>
          <w:marTop w:val="0"/>
          <w:marBottom w:val="0"/>
          <w:divBdr>
            <w:top w:val="none" w:sz="0" w:space="0" w:color="auto"/>
            <w:left w:val="none" w:sz="0" w:space="0" w:color="auto"/>
            <w:bottom w:val="none" w:sz="0" w:space="0" w:color="auto"/>
            <w:right w:val="none" w:sz="0" w:space="0" w:color="auto"/>
          </w:divBdr>
        </w:div>
      </w:divsChild>
    </w:div>
    <w:div w:id="148258125">
      <w:bodyDiv w:val="1"/>
      <w:marLeft w:val="0"/>
      <w:marRight w:val="0"/>
      <w:marTop w:val="0"/>
      <w:marBottom w:val="0"/>
      <w:divBdr>
        <w:top w:val="none" w:sz="0" w:space="0" w:color="auto"/>
        <w:left w:val="none" w:sz="0" w:space="0" w:color="auto"/>
        <w:bottom w:val="none" w:sz="0" w:space="0" w:color="auto"/>
        <w:right w:val="none" w:sz="0" w:space="0" w:color="auto"/>
      </w:divBdr>
    </w:div>
    <w:div w:id="507446586">
      <w:bodyDiv w:val="1"/>
      <w:marLeft w:val="0"/>
      <w:marRight w:val="0"/>
      <w:marTop w:val="0"/>
      <w:marBottom w:val="0"/>
      <w:divBdr>
        <w:top w:val="none" w:sz="0" w:space="0" w:color="auto"/>
        <w:left w:val="none" w:sz="0" w:space="0" w:color="auto"/>
        <w:bottom w:val="none" w:sz="0" w:space="0" w:color="auto"/>
        <w:right w:val="none" w:sz="0" w:space="0" w:color="auto"/>
      </w:divBdr>
    </w:div>
    <w:div w:id="556091595">
      <w:bodyDiv w:val="1"/>
      <w:marLeft w:val="0"/>
      <w:marRight w:val="0"/>
      <w:marTop w:val="0"/>
      <w:marBottom w:val="0"/>
      <w:divBdr>
        <w:top w:val="none" w:sz="0" w:space="0" w:color="auto"/>
        <w:left w:val="none" w:sz="0" w:space="0" w:color="auto"/>
        <w:bottom w:val="none" w:sz="0" w:space="0" w:color="auto"/>
        <w:right w:val="none" w:sz="0" w:space="0" w:color="auto"/>
      </w:divBdr>
    </w:div>
    <w:div w:id="569192947">
      <w:bodyDiv w:val="1"/>
      <w:marLeft w:val="0"/>
      <w:marRight w:val="0"/>
      <w:marTop w:val="0"/>
      <w:marBottom w:val="0"/>
      <w:divBdr>
        <w:top w:val="none" w:sz="0" w:space="0" w:color="auto"/>
        <w:left w:val="none" w:sz="0" w:space="0" w:color="auto"/>
        <w:bottom w:val="none" w:sz="0" w:space="0" w:color="auto"/>
        <w:right w:val="none" w:sz="0" w:space="0" w:color="auto"/>
      </w:divBdr>
    </w:div>
    <w:div w:id="617833075">
      <w:bodyDiv w:val="1"/>
      <w:marLeft w:val="0"/>
      <w:marRight w:val="0"/>
      <w:marTop w:val="0"/>
      <w:marBottom w:val="0"/>
      <w:divBdr>
        <w:top w:val="none" w:sz="0" w:space="0" w:color="auto"/>
        <w:left w:val="none" w:sz="0" w:space="0" w:color="auto"/>
        <w:bottom w:val="none" w:sz="0" w:space="0" w:color="auto"/>
        <w:right w:val="none" w:sz="0" w:space="0" w:color="auto"/>
      </w:divBdr>
    </w:div>
    <w:div w:id="692461976">
      <w:bodyDiv w:val="1"/>
      <w:marLeft w:val="0"/>
      <w:marRight w:val="0"/>
      <w:marTop w:val="0"/>
      <w:marBottom w:val="0"/>
      <w:divBdr>
        <w:top w:val="none" w:sz="0" w:space="0" w:color="auto"/>
        <w:left w:val="none" w:sz="0" w:space="0" w:color="auto"/>
        <w:bottom w:val="none" w:sz="0" w:space="0" w:color="auto"/>
        <w:right w:val="none" w:sz="0" w:space="0" w:color="auto"/>
      </w:divBdr>
    </w:div>
    <w:div w:id="799149858">
      <w:bodyDiv w:val="1"/>
      <w:marLeft w:val="0"/>
      <w:marRight w:val="0"/>
      <w:marTop w:val="0"/>
      <w:marBottom w:val="0"/>
      <w:divBdr>
        <w:top w:val="none" w:sz="0" w:space="0" w:color="auto"/>
        <w:left w:val="none" w:sz="0" w:space="0" w:color="auto"/>
        <w:bottom w:val="none" w:sz="0" w:space="0" w:color="auto"/>
        <w:right w:val="none" w:sz="0" w:space="0" w:color="auto"/>
      </w:divBdr>
    </w:div>
    <w:div w:id="846596447">
      <w:bodyDiv w:val="1"/>
      <w:marLeft w:val="0"/>
      <w:marRight w:val="0"/>
      <w:marTop w:val="0"/>
      <w:marBottom w:val="0"/>
      <w:divBdr>
        <w:top w:val="none" w:sz="0" w:space="0" w:color="auto"/>
        <w:left w:val="none" w:sz="0" w:space="0" w:color="auto"/>
        <w:bottom w:val="none" w:sz="0" w:space="0" w:color="auto"/>
        <w:right w:val="none" w:sz="0" w:space="0" w:color="auto"/>
      </w:divBdr>
    </w:div>
    <w:div w:id="1491678343">
      <w:bodyDiv w:val="1"/>
      <w:marLeft w:val="60"/>
      <w:marRight w:val="60"/>
      <w:marTop w:val="60"/>
      <w:marBottom w:val="15"/>
      <w:divBdr>
        <w:top w:val="none" w:sz="0" w:space="0" w:color="auto"/>
        <w:left w:val="none" w:sz="0" w:space="0" w:color="auto"/>
        <w:bottom w:val="none" w:sz="0" w:space="0" w:color="auto"/>
        <w:right w:val="none" w:sz="0" w:space="0" w:color="auto"/>
      </w:divBdr>
      <w:divsChild>
        <w:div w:id="6180454">
          <w:marLeft w:val="0"/>
          <w:marRight w:val="0"/>
          <w:marTop w:val="0"/>
          <w:marBottom w:val="0"/>
          <w:divBdr>
            <w:top w:val="none" w:sz="0" w:space="0" w:color="auto"/>
            <w:left w:val="none" w:sz="0" w:space="0" w:color="auto"/>
            <w:bottom w:val="none" w:sz="0" w:space="0" w:color="auto"/>
            <w:right w:val="none" w:sz="0" w:space="0" w:color="auto"/>
          </w:divBdr>
        </w:div>
        <w:div w:id="48652241">
          <w:marLeft w:val="0"/>
          <w:marRight w:val="0"/>
          <w:marTop w:val="0"/>
          <w:marBottom w:val="0"/>
          <w:divBdr>
            <w:top w:val="none" w:sz="0" w:space="0" w:color="auto"/>
            <w:left w:val="none" w:sz="0" w:space="0" w:color="auto"/>
            <w:bottom w:val="none" w:sz="0" w:space="0" w:color="auto"/>
            <w:right w:val="none" w:sz="0" w:space="0" w:color="auto"/>
          </w:divBdr>
        </w:div>
        <w:div w:id="75983683">
          <w:marLeft w:val="0"/>
          <w:marRight w:val="0"/>
          <w:marTop w:val="0"/>
          <w:marBottom w:val="0"/>
          <w:divBdr>
            <w:top w:val="none" w:sz="0" w:space="0" w:color="auto"/>
            <w:left w:val="none" w:sz="0" w:space="0" w:color="auto"/>
            <w:bottom w:val="none" w:sz="0" w:space="0" w:color="auto"/>
            <w:right w:val="none" w:sz="0" w:space="0" w:color="auto"/>
          </w:divBdr>
        </w:div>
        <w:div w:id="264308144">
          <w:marLeft w:val="0"/>
          <w:marRight w:val="0"/>
          <w:marTop w:val="0"/>
          <w:marBottom w:val="0"/>
          <w:divBdr>
            <w:top w:val="none" w:sz="0" w:space="0" w:color="auto"/>
            <w:left w:val="none" w:sz="0" w:space="0" w:color="auto"/>
            <w:bottom w:val="none" w:sz="0" w:space="0" w:color="auto"/>
            <w:right w:val="none" w:sz="0" w:space="0" w:color="auto"/>
          </w:divBdr>
        </w:div>
        <w:div w:id="320622269">
          <w:marLeft w:val="0"/>
          <w:marRight w:val="0"/>
          <w:marTop w:val="0"/>
          <w:marBottom w:val="0"/>
          <w:divBdr>
            <w:top w:val="none" w:sz="0" w:space="0" w:color="auto"/>
            <w:left w:val="none" w:sz="0" w:space="0" w:color="auto"/>
            <w:bottom w:val="none" w:sz="0" w:space="0" w:color="auto"/>
            <w:right w:val="none" w:sz="0" w:space="0" w:color="auto"/>
          </w:divBdr>
        </w:div>
        <w:div w:id="379676130">
          <w:marLeft w:val="0"/>
          <w:marRight w:val="0"/>
          <w:marTop w:val="0"/>
          <w:marBottom w:val="0"/>
          <w:divBdr>
            <w:top w:val="none" w:sz="0" w:space="0" w:color="auto"/>
            <w:left w:val="none" w:sz="0" w:space="0" w:color="auto"/>
            <w:bottom w:val="none" w:sz="0" w:space="0" w:color="auto"/>
            <w:right w:val="none" w:sz="0" w:space="0" w:color="auto"/>
          </w:divBdr>
        </w:div>
        <w:div w:id="433013661">
          <w:marLeft w:val="0"/>
          <w:marRight w:val="0"/>
          <w:marTop w:val="0"/>
          <w:marBottom w:val="0"/>
          <w:divBdr>
            <w:top w:val="none" w:sz="0" w:space="0" w:color="auto"/>
            <w:left w:val="none" w:sz="0" w:space="0" w:color="auto"/>
            <w:bottom w:val="none" w:sz="0" w:space="0" w:color="auto"/>
            <w:right w:val="none" w:sz="0" w:space="0" w:color="auto"/>
          </w:divBdr>
        </w:div>
        <w:div w:id="491798577">
          <w:marLeft w:val="0"/>
          <w:marRight w:val="0"/>
          <w:marTop w:val="0"/>
          <w:marBottom w:val="0"/>
          <w:divBdr>
            <w:top w:val="none" w:sz="0" w:space="0" w:color="auto"/>
            <w:left w:val="none" w:sz="0" w:space="0" w:color="auto"/>
            <w:bottom w:val="none" w:sz="0" w:space="0" w:color="auto"/>
            <w:right w:val="none" w:sz="0" w:space="0" w:color="auto"/>
          </w:divBdr>
        </w:div>
        <w:div w:id="533082959">
          <w:marLeft w:val="0"/>
          <w:marRight w:val="0"/>
          <w:marTop w:val="0"/>
          <w:marBottom w:val="0"/>
          <w:divBdr>
            <w:top w:val="none" w:sz="0" w:space="0" w:color="auto"/>
            <w:left w:val="none" w:sz="0" w:space="0" w:color="auto"/>
            <w:bottom w:val="none" w:sz="0" w:space="0" w:color="auto"/>
            <w:right w:val="none" w:sz="0" w:space="0" w:color="auto"/>
          </w:divBdr>
        </w:div>
        <w:div w:id="549615924">
          <w:marLeft w:val="0"/>
          <w:marRight w:val="0"/>
          <w:marTop w:val="0"/>
          <w:marBottom w:val="0"/>
          <w:divBdr>
            <w:top w:val="none" w:sz="0" w:space="0" w:color="auto"/>
            <w:left w:val="none" w:sz="0" w:space="0" w:color="auto"/>
            <w:bottom w:val="none" w:sz="0" w:space="0" w:color="auto"/>
            <w:right w:val="none" w:sz="0" w:space="0" w:color="auto"/>
          </w:divBdr>
        </w:div>
        <w:div w:id="693576273">
          <w:marLeft w:val="0"/>
          <w:marRight w:val="0"/>
          <w:marTop w:val="0"/>
          <w:marBottom w:val="0"/>
          <w:divBdr>
            <w:top w:val="none" w:sz="0" w:space="0" w:color="auto"/>
            <w:left w:val="none" w:sz="0" w:space="0" w:color="auto"/>
            <w:bottom w:val="none" w:sz="0" w:space="0" w:color="auto"/>
            <w:right w:val="none" w:sz="0" w:space="0" w:color="auto"/>
          </w:divBdr>
        </w:div>
        <w:div w:id="733507878">
          <w:marLeft w:val="0"/>
          <w:marRight w:val="0"/>
          <w:marTop w:val="0"/>
          <w:marBottom w:val="0"/>
          <w:divBdr>
            <w:top w:val="none" w:sz="0" w:space="0" w:color="auto"/>
            <w:left w:val="none" w:sz="0" w:space="0" w:color="auto"/>
            <w:bottom w:val="none" w:sz="0" w:space="0" w:color="auto"/>
            <w:right w:val="none" w:sz="0" w:space="0" w:color="auto"/>
          </w:divBdr>
        </w:div>
        <w:div w:id="738329561">
          <w:marLeft w:val="0"/>
          <w:marRight w:val="0"/>
          <w:marTop w:val="0"/>
          <w:marBottom w:val="0"/>
          <w:divBdr>
            <w:top w:val="none" w:sz="0" w:space="0" w:color="auto"/>
            <w:left w:val="none" w:sz="0" w:space="0" w:color="auto"/>
            <w:bottom w:val="none" w:sz="0" w:space="0" w:color="auto"/>
            <w:right w:val="none" w:sz="0" w:space="0" w:color="auto"/>
          </w:divBdr>
        </w:div>
        <w:div w:id="766539687">
          <w:marLeft w:val="0"/>
          <w:marRight w:val="0"/>
          <w:marTop w:val="0"/>
          <w:marBottom w:val="0"/>
          <w:divBdr>
            <w:top w:val="none" w:sz="0" w:space="0" w:color="auto"/>
            <w:left w:val="none" w:sz="0" w:space="0" w:color="auto"/>
            <w:bottom w:val="none" w:sz="0" w:space="0" w:color="auto"/>
            <w:right w:val="none" w:sz="0" w:space="0" w:color="auto"/>
          </w:divBdr>
        </w:div>
        <w:div w:id="814761948">
          <w:marLeft w:val="0"/>
          <w:marRight w:val="0"/>
          <w:marTop w:val="0"/>
          <w:marBottom w:val="0"/>
          <w:divBdr>
            <w:top w:val="none" w:sz="0" w:space="0" w:color="auto"/>
            <w:left w:val="none" w:sz="0" w:space="0" w:color="auto"/>
            <w:bottom w:val="none" w:sz="0" w:space="0" w:color="auto"/>
            <w:right w:val="none" w:sz="0" w:space="0" w:color="auto"/>
          </w:divBdr>
        </w:div>
        <w:div w:id="897323485">
          <w:marLeft w:val="0"/>
          <w:marRight w:val="0"/>
          <w:marTop w:val="0"/>
          <w:marBottom w:val="0"/>
          <w:divBdr>
            <w:top w:val="none" w:sz="0" w:space="0" w:color="auto"/>
            <w:left w:val="none" w:sz="0" w:space="0" w:color="auto"/>
            <w:bottom w:val="none" w:sz="0" w:space="0" w:color="auto"/>
            <w:right w:val="none" w:sz="0" w:space="0" w:color="auto"/>
          </w:divBdr>
        </w:div>
        <w:div w:id="956451479">
          <w:marLeft w:val="0"/>
          <w:marRight w:val="0"/>
          <w:marTop w:val="0"/>
          <w:marBottom w:val="0"/>
          <w:divBdr>
            <w:top w:val="none" w:sz="0" w:space="0" w:color="auto"/>
            <w:left w:val="none" w:sz="0" w:space="0" w:color="auto"/>
            <w:bottom w:val="none" w:sz="0" w:space="0" w:color="auto"/>
            <w:right w:val="none" w:sz="0" w:space="0" w:color="auto"/>
          </w:divBdr>
        </w:div>
        <w:div w:id="1027292865">
          <w:marLeft w:val="0"/>
          <w:marRight w:val="0"/>
          <w:marTop w:val="0"/>
          <w:marBottom w:val="0"/>
          <w:divBdr>
            <w:top w:val="none" w:sz="0" w:space="0" w:color="auto"/>
            <w:left w:val="none" w:sz="0" w:space="0" w:color="auto"/>
            <w:bottom w:val="none" w:sz="0" w:space="0" w:color="auto"/>
            <w:right w:val="none" w:sz="0" w:space="0" w:color="auto"/>
          </w:divBdr>
        </w:div>
        <w:div w:id="1049381007">
          <w:marLeft w:val="0"/>
          <w:marRight w:val="0"/>
          <w:marTop w:val="0"/>
          <w:marBottom w:val="0"/>
          <w:divBdr>
            <w:top w:val="none" w:sz="0" w:space="0" w:color="auto"/>
            <w:left w:val="none" w:sz="0" w:space="0" w:color="auto"/>
            <w:bottom w:val="none" w:sz="0" w:space="0" w:color="auto"/>
            <w:right w:val="none" w:sz="0" w:space="0" w:color="auto"/>
          </w:divBdr>
        </w:div>
        <w:div w:id="1226143700">
          <w:marLeft w:val="0"/>
          <w:marRight w:val="0"/>
          <w:marTop w:val="0"/>
          <w:marBottom w:val="0"/>
          <w:divBdr>
            <w:top w:val="none" w:sz="0" w:space="0" w:color="auto"/>
            <w:left w:val="none" w:sz="0" w:space="0" w:color="auto"/>
            <w:bottom w:val="none" w:sz="0" w:space="0" w:color="auto"/>
            <w:right w:val="none" w:sz="0" w:space="0" w:color="auto"/>
          </w:divBdr>
        </w:div>
        <w:div w:id="1273366763">
          <w:marLeft w:val="0"/>
          <w:marRight w:val="0"/>
          <w:marTop w:val="0"/>
          <w:marBottom w:val="0"/>
          <w:divBdr>
            <w:top w:val="none" w:sz="0" w:space="0" w:color="auto"/>
            <w:left w:val="none" w:sz="0" w:space="0" w:color="auto"/>
            <w:bottom w:val="none" w:sz="0" w:space="0" w:color="auto"/>
            <w:right w:val="none" w:sz="0" w:space="0" w:color="auto"/>
          </w:divBdr>
        </w:div>
        <w:div w:id="1293752070">
          <w:marLeft w:val="0"/>
          <w:marRight w:val="0"/>
          <w:marTop w:val="0"/>
          <w:marBottom w:val="0"/>
          <w:divBdr>
            <w:top w:val="none" w:sz="0" w:space="0" w:color="auto"/>
            <w:left w:val="none" w:sz="0" w:space="0" w:color="auto"/>
            <w:bottom w:val="none" w:sz="0" w:space="0" w:color="auto"/>
            <w:right w:val="none" w:sz="0" w:space="0" w:color="auto"/>
          </w:divBdr>
        </w:div>
        <w:div w:id="1295713079">
          <w:marLeft w:val="0"/>
          <w:marRight w:val="0"/>
          <w:marTop w:val="0"/>
          <w:marBottom w:val="0"/>
          <w:divBdr>
            <w:top w:val="none" w:sz="0" w:space="0" w:color="auto"/>
            <w:left w:val="none" w:sz="0" w:space="0" w:color="auto"/>
            <w:bottom w:val="none" w:sz="0" w:space="0" w:color="auto"/>
            <w:right w:val="none" w:sz="0" w:space="0" w:color="auto"/>
          </w:divBdr>
        </w:div>
        <w:div w:id="1302806349">
          <w:marLeft w:val="0"/>
          <w:marRight w:val="0"/>
          <w:marTop w:val="0"/>
          <w:marBottom w:val="0"/>
          <w:divBdr>
            <w:top w:val="none" w:sz="0" w:space="0" w:color="auto"/>
            <w:left w:val="none" w:sz="0" w:space="0" w:color="auto"/>
            <w:bottom w:val="none" w:sz="0" w:space="0" w:color="auto"/>
            <w:right w:val="none" w:sz="0" w:space="0" w:color="auto"/>
          </w:divBdr>
        </w:div>
        <w:div w:id="1509902587">
          <w:marLeft w:val="0"/>
          <w:marRight w:val="0"/>
          <w:marTop w:val="0"/>
          <w:marBottom w:val="0"/>
          <w:divBdr>
            <w:top w:val="none" w:sz="0" w:space="0" w:color="auto"/>
            <w:left w:val="none" w:sz="0" w:space="0" w:color="auto"/>
            <w:bottom w:val="none" w:sz="0" w:space="0" w:color="auto"/>
            <w:right w:val="none" w:sz="0" w:space="0" w:color="auto"/>
          </w:divBdr>
        </w:div>
        <w:div w:id="1553730171">
          <w:marLeft w:val="0"/>
          <w:marRight w:val="0"/>
          <w:marTop w:val="0"/>
          <w:marBottom w:val="0"/>
          <w:divBdr>
            <w:top w:val="none" w:sz="0" w:space="0" w:color="auto"/>
            <w:left w:val="none" w:sz="0" w:space="0" w:color="auto"/>
            <w:bottom w:val="none" w:sz="0" w:space="0" w:color="auto"/>
            <w:right w:val="none" w:sz="0" w:space="0" w:color="auto"/>
          </w:divBdr>
        </w:div>
        <w:div w:id="1627736823">
          <w:marLeft w:val="0"/>
          <w:marRight w:val="0"/>
          <w:marTop w:val="0"/>
          <w:marBottom w:val="0"/>
          <w:divBdr>
            <w:top w:val="none" w:sz="0" w:space="0" w:color="auto"/>
            <w:left w:val="none" w:sz="0" w:space="0" w:color="auto"/>
            <w:bottom w:val="none" w:sz="0" w:space="0" w:color="auto"/>
            <w:right w:val="none" w:sz="0" w:space="0" w:color="auto"/>
          </w:divBdr>
        </w:div>
        <w:div w:id="1653365614">
          <w:marLeft w:val="0"/>
          <w:marRight w:val="0"/>
          <w:marTop w:val="0"/>
          <w:marBottom w:val="0"/>
          <w:divBdr>
            <w:top w:val="none" w:sz="0" w:space="0" w:color="auto"/>
            <w:left w:val="none" w:sz="0" w:space="0" w:color="auto"/>
            <w:bottom w:val="none" w:sz="0" w:space="0" w:color="auto"/>
            <w:right w:val="none" w:sz="0" w:space="0" w:color="auto"/>
          </w:divBdr>
        </w:div>
        <w:div w:id="1741712463">
          <w:marLeft w:val="0"/>
          <w:marRight w:val="0"/>
          <w:marTop w:val="0"/>
          <w:marBottom w:val="0"/>
          <w:divBdr>
            <w:top w:val="none" w:sz="0" w:space="0" w:color="auto"/>
            <w:left w:val="none" w:sz="0" w:space="0" w:color="auto"/>
            <w:bottom w:val="none" w:sz="0" w:space="0" w:color="auto"/>
            <w:right w:val="none" w:sz="0" w:space="0" w:color="auto"/>
          </w:divBdr>
        </w:div>
        <w:div w:id="1887374909">
          <w:marLeft w:val="0"/>
          <w:marRight w:val="0"/>
          <w:marTop w:val="0"/>
          <w:marBottom w:val="0"/>
          <w:divBdr>
            <w:top w:val="none" w:sz="0" w:space="0" w:color="auto"/>
            <w:left w:val="none" w:sz="0" w:space="0" w:color="auto"/>
            <w:bottom w:val="none" w:sz="0" w:space="0" w:color="auto"/>
            <w:right w:val="none" w:sz="0" w:space="0" w:color="auto"/>
          </w:divBdr>
        </w:div>
        <w:div w:id="1951157452">
          <w:marLeft w:val="0"/>
          <w:marRight w:val="0"/>
          <w:marTop w:val="0"/>
          <w:marBottom w:val="0"/>
          <w:divBdr>
            <w:top w:val="none" w:sz="0" w:space="0" w:color="auto"/>
            <w:left w:val="none" w:sz="0" w:space="0" w:color="auto"/>
            <w:bottom w:val="none" w:sz="0" w:space="0" w:color="auto"/>
            <w:right w:val="none" w:sz="0" w:space="0" w:color="auto"/>
          </w:divBdr>
        </w:div>
        <w:div w:id="2075657967">
          <w:marLeft w:val="0"/>
          <w:marRight w:val="0"/>
          <w:marTop w:val="0"/>
          <w:marBottom w:val="0"/>
          <w:divBdr>
            <w:top w:val="none" w:sz="0" w:space="0" w:color="auto"/>
            <w:left w:val="none" w:sz="0" w:space="0" w:color="auto"/>
            <w:bottom w:val="none" w:sz="0" w:space="0" w:color="auto"/>
            <w:right w:val="none" w:sz="0" w:space="0" w:color="auto"/>
          </w:divBdr>
        </w:div>
        <w:div w:id="2090153335">
          <w:marLeft w:val="0"/>
          <w:marRight w:val="0"/>
          <w:marTop w:val="0"/>
          <w:marBottom w:val="0"/>
          <w:divBdr>
            <w:top w:val="none" w:sz="0" w:space="0" w:color="auto"/>
            <w:left w:val="none" w:sz="0" w:space="0" w:color="auto"/>
            <w:bottom w:val="none" w:sz="0" w:space="0" w:color="auto"/>
            <w:right w:val="none" w:sz="0" w:space="0" w:color="auto"/>
          </w:divBdr>
        </w:div>
        <w:div w:id="2134706714">
          <w:marLeft w:val="0"/>
          <w:marRight w:val="0"/>
          <w:marTop w:val="0"/>
          <w:marBottom w:val="0"/>
          <w:divBdr>
            <w:top w:val="none" w:sz="0" w:space="0" w:color="auto"/>
            <w:left w:val="none" w:sz="0" w:space="0" w:color="auto"/>
            <w:bottom w:val="none" w:sz="0" w:space="0" w:color="auto"/>
            <w:right w:val="none" w:sz="0" w:space="0" w:color="auto"/>
          </w:divBdr>
        </w:div>
      </w:divsChild>
    </w:div>
    <w:div w:id="1549027890">
      <w:bodyDiv w:val="1"/>
      <w:marLeft w:val="0"/>
      <w:marRight w:val="0"/>
      <w:marTop w:val="0"/>
      <w:marBottom w:val="0"/>
      <w:divBdr>
        <w:top w:val="none" w:sz="0" w:space="0" w:color="auto"/>
        <w:left w:val="none" w:sz="0" w:space="0" w:color="auto"/>
        <w:bottom w:val="none" w:sz="0" w:space="0" w:color="auto"/>
        <w:right w:val="none" w:sz="0" w:space="0" w:color="auto"/>
      </w:divBdr>
    </w:div>
    <w:div w:id="1580869024">
      <w:bodyDiv w:val="1"/>
      <w:marLeft w:val="0"/>
      <w:marRight w:val="0"/>
      <w:marTop w:val="0"/>
      <w:marBottom w:val="0"/>
      <w:divBdr>
        <w:top w:val="none" w:sz="0" w:space="0" w:color="auto"/>
        <w:left w:val="none" w:sz="0" w:space="0" w:color="auto"/>
        <w:bottom w:val="none" w:sz="0" w:space="0" w:color="auto"/>
        <w:right w:val="none" w:sz="0" w:space="0" w:color="auto"/>
      </w:divBdr>
    </w:div>
    <w:div w:id="1581252783">
      <w:bodyDiv w:val="1"/>
      <w:marLeft w:val="0"/>
      <w:marRight w:val="0"/>
      <w:marTop w:val="0"/>
      <w:marBottom w:val="0"/>
      <w:divBdr>
        <w:top w:val="none" w:sz="0" w:space="0" w:color="auto"/>
        <w:left w:val="none" w:sz="0" w:space="0" w:color="auto"/>
        <w:bottom w:val="none" w:sz="0" w:space="0" w:color="auto"/>
        <w:right w:val="none" w:sz="0" w:space="0" w:color="auto"/>
      </w:divBdr>
    </w:div>
    <w:div w:id="1588879076">
      <w:bodyDiv w:val="1"/>
      <w:marLeft w:val="0"/>
      <w:marRight w:val="0"/>
      <w:marTop w:val="0"/>
      <w:marBottom w:val="0"/>
      <w:divBdr>
        <w:top w:val="none" w:sz="0" w:space="0" w:color="auto"/>
        <w:left w:val="none" w:sz="0" w:space="0" w:color="auto"/>
        <w:bottom w:val="none" w:sz="0" w:space="0" w:color="auto"/>
        <w:right w:val="none" w:sz="0" w:space="0" w:color="auto"/>
      </w:divBdr>
    </w:div>
    <w:div w:id="1724938557">
      <w:bodyDiv w:val="1"/>
      <w:marLeft w:val="0"/>
      <w:marRight w:val="0"/>
      <w:marTop w:val="0"/>
      <w:marBottom w:val="0"/>
      <w:divBdr>
        <w:top w:val="none" w:sz="0" w:space="0" w:color="auto"/>
        <w:left w:val="none" w:sz="0" w:space="0" w:color="auto"/>
        <w:bottom w:val="none" w:sz="0" w:space="0" w:color="auto"/>
        <w:right w:val="none" w:sz="0" w:space="0" w:color="auto"/>
      </w:divBdr>
    </w:div>
    <w:div w:id="1728409520">
      <w:bodyDiv w:val="1"/>
      <w:marLeft w:val="0"/>
      <w:marRight w:val="0"/>
      <w:marTop w:val="0"/>
      <w:marBottom w:val="0"/>
      <w:divBdr>
        <w:top w:val="none" w:sz="0" w:space="0" w:color="auto"/>
        <w:left w:val="none" w:sz="0" w:space="0" w:color="auto"/>
        <w:bottom w:val="none" w:sz="0" w:space="0" w:color="auto"/>
        <w:right w:val="none" w:sz="0" w:space="0" w:color="auto"/>
      </w:divBdr>
    </w:div>
    <w:div w:id="1981425106">
      <w:bodyDiv w:val="1"/>
      <w:marLeft w:val="0"/>
      <w:marRight w:val="0"/>
      <w:marTop w:val="0"/>
      <w:marBottom w:val="0"/>
      <w:divBdr>
        <w:top w:val="none" w:sz="0" w:space="0" w:color="auto"/>
        <w:left w:val="none" w:sz="0" w:space="0" w:color="auto"/>
        <w:bottom w:val="none" w:sz="0" w:space="0" w:color="auto"/>
        <w:right w:val="none" w:sz="0" w:space="0" w:color="auto"/>
      </w:divBdr>
    </w:div>
    <w:div w:id="200593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mn.gov/deed/data/export-stats/"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5579615048118987"/>
          <c:y val="5.1614065659825306E-2"/>
          <c:w val="0.48232820329277021"/>
          <c:h val="0.78279495288498768"/>
        </c:manualLayout>
      </c:layout>
      <c:pieChart>
        <c:varyColors val="1"/>
        <c:ser>
          <c:idx val="0"/>
          <c:order val="0"/>
          <c:tx>
            <c:strRef>
              <c:f>Sheet1!$B$1</c:f>
              <c:strCache>
                <c:ptCount val="1"/>
                <c:pt idx="0">
                  <c:v>  2,022  </c:v>
                </c:pt>
              </c:strCache>
            </c:strRef>
          </c:tx>
          <c:spPr>
            <a:ln>
              <a:solidFill>
                <a:schemeClr val="tx1">
                  <a:lumMod val="65000"/>
                  <a:lumOff val="35000"/>
                </a:schemeClr>
              </a:solidFill>
            </a:ln>
          </c:spPr>
          <c:dPt>
            <c:idx val="0"/>
            <c:bubble3D val="0"/>
            <c:spPr>
              <a:solidFill>
                <a:schemeClr val="accent1">
                  <a:shade val="47000"/>
                </a:schemeClr>
              </a:solidFill>
              <a:ln>
                <a:solidFill>
                  <a:schemeClr val="tx1">
                    <a:lumMod val="65000"/>
                    <a:lumOff val="35000"/>
                  </a:schemeClr>
                </a:solidFill>
              </a:ln>
              <a:effectLst/>
            </c:spPr>
            <c:extLst>
              <c:ext xmlns:c16="http://schemas.microsoft.com/office/drawing/2014/chart" uri="{C3380CC4-5D6E-409C-BE32-E72D297353CC}">
                <c16:uniqueId val="{00000001-ED29-4537-8016-AAA72727FCAA}"/>
              </c:ext>
            </c:extLst>
          </c:dPt>
          <c:dPt>
            <c:idx val="1"/>
            <c:bubble3D val="0"/>
            <c:spPr>
              <a:solidFill>
                <a:schemeClr val="accent1">
                  <a:shade val="65000"/>
                </a:schemeClr>
              </a:solidFill>
              <a:ln>
                <a:solidFill>
                  <a:schemeClr val="tx1">
                    <a:lumMod val="65000"/>
                    <a:lumOff val="35000"/>
                  </a:schemeClr>
                </a:solidFill>
              </a:ln>
              <a:effectLst/>
            </c:spPr>
            <c:extLst>
              <c:ext xmlns:c16="http://schemas.microsoft.com/office/drawing/2014/chart" uri="{C3380CC4-5D6E-409C-BE32-E72D297353CC}">
                <c16:uniqueId val="{00000003-ED29-4537-8016-AAA72727FCAA}"/>
              </c:ext>
            </c:extLst>
          </c:dPt>
          <c:dPt>
            <c:idx val="2"/>
            <c:bubble3D val="0"/>
            <c:spPr>
              <a:solidFill>
                <a:schemeClr val="accent1">
                  <a:shade val="82000"/>
                </a:schemeClr>
              </a:solidFill>
              <a:ln>
                <a:solidFill>
                  <a:schemeClr val="tx1">
                    <a:lumMod val="65000"/>
                    <a:lumOff val="35000"/>
                  </a:schemeClr>
                </a:solidFill>
              </a:ln>
              <a:effectLst/>
            </c:spPr>
            <c:extLst>
              <c:ext xmlns:c16="http://schemas.microsoft.com/office/drawing/2014/chart" uri="{C3380CC4-5D6E-409C-BE32-E72D297353CC}">
                <c16:uniqueId val="{00000005-ED29-4537-8016-AAA72727FCAA}"/>
              </c:ext>
            </c:extLst>
          </c:dPt>
          <c:dPt>
            <c:idx val="3"/>
            <c:bubble3D val="0"/>
            <c:spPr>
              <a:solidFill>
                <a:schemeClr val="accent1"/>
              </a:solidFill>
              <a:ln>
                <a:solidFill>
                  <a:schemeClr val="tx1">
                    <a:lumMod val="65000"/>
                    <a:lumOff val="35000"/>
                  </a:schemeClr>
                </a:solidFill>
              </a:ln>
              <a:effectLst/>
            </c:spPr>
            <c:extLst>
              <c:ext xmlns:c16="http://schemas.microsoft.com/office/drawing/2014/chart" uri="{C3380CC4-5D6E-409C-BE32-E72D297353CC}">
                <c16:uniqueId val="{00000007-ED29-4537-8016-AAA72727FCAA}"/>
              </c:ext>
            </c:extLst>
          </c:dPt>
          <c:dPt>
            <c:idx val="4"/>
            <c:bubble3D val="0"/>
            <c:spPr>
              <a:solidFill>
                <a:schemeClr val="accent1">
                  <a:tint val="83000"/>
                </a:schemeClr>
              </a:solidFill>
              <a:ln>
                <a:solidFill>
                  <a:schemeClr val="tx1">
                    <a:lumMod val="65000"/>
                    <a:lumOff val="35000"/>
                  </a:schemeClr>
                </a:solidFill>
              </a:ln>
              <a:effectLst/>
            </c:spPr>
            <c:extLst>
              <c:ext xmlns:c16="http://schemas.microsoft.com/office/drawing/2014/chart" uri="{C3380CC4-5D6E-409C-BE32-E72D297353CC}">
                <c16:uniqueId val="{00000009-ED29-4537-8016-AAA72727FCAA}"/>
              </c:ext>
            </c:extLst>
          </c:dPt>
          <c:dPt>
            <c:idx val="5"/>
            <c:bubble3D val="0"/>
            <c:spPr>
              <a:solidFill>
                <a:schemeClr val="accent1">
                  <a:tint val="65000"/>
                </a:schemeClr>
              </a:solidFill>
              <a:ln>
                <a:solidFill>
                  <a:schemeClr val="tx1">
                    <a:lumMod val="65000"/>
                    <a:lumOff val="35000"/>
                  </a:schemeClr>
                </a:solidFill>
              </a:ln>
              <a:effectLst/>
            </c:spPr>
            <c:extLst>
              <c:ext xmlns:c16="http://schemas.microsoft.com/office/drawing/2014/chart" uri="{C3380CC4-5D6E-409C-BE32-E72D297353CC}">
                <c16:uniqueId val="{0000000B-ED29-4537-8016-AAA72727FCAA}"/>
              </c:ext>
            </c:extLst>
          </c:dPt>
          <c:dPt>
            <c:idx val="6"/>
            <c:bubble3D val="0"/>
            <c:spPr>
              <a:solidFill>
                <a:schemeClr val="accent1">
                  <a:tint val="48000"/>
                </a:schemeClr>
              </a:solidFill>
              <a:ln>
                <a:solidFill>
                  <a:schemeClr val="tx1">
                    <a:lumMod val="65000"/>
                    <a:lumOff val="35000"/>
                  </a:schemeClr>
                </a:solidFill>
              </a:ln>
              <a:effectLst/>
            </c:spPr>
            <c:extLst>
              <c:ext xmlns:c16="http://schemas.microsoft.com/office/drawing/2014/chart" uri="{C3380CC4-5D6E-409C-BE32-E72D297353CC}">
                <c16:uniqueId val="{0000000D-ED29-4537-8016-AAA72727FCAA}"/>
              </c:ext>
            </c:extLst>
          </c:dPt>
          <c:dPt>
            <c:idx val="7"/>
            <c:bubble3D val="0"/>
            <c:spPr>
              <a:solidFill>
                <a:schemeClr val="accent1">
                  <a:tint val="30000"/>
                </a:schemeClr>
              </a:solidFill>
              <a:ln>
                <a:solidFill>
                  <a:schemeClr val="tx1">
                    <a:lumMod val="65000"/>
                    <a:lumOff val="35000"/>
                  </a:schemeClr>
                </a:solidFill>
              </a:ln>
              <a:effectLst/>
            </c:spPr>
            <c:extLst>
              <c:ext xmlns:c16="http://schemas.microsoft.com/office/drawing/2014/chart" uri="{C3380CC4-5D6E-409C-BE32-E72D297353CC}">
                <c16:uniqueId val="{0000000F-ED29-4537-8016-AAA72727FCAA}"/>
              </c:ext>
            </c:extLst>
          </c:dPt>
          <c:dLbls>
            <c:dLbl>
              <c:idx val="0"/>
              <c:layout>
                <c:manualLayout>
                  <c:x val="-2.3148148148148227E-2"/>
                  <c:y val="2.2398186394733444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30557875341339907"/>
                      <c:h val="0.28368131749924697"/>
                    </c:manualLayout>
                  </c15:layout>
                </c:ext>
                <c:ext xmlns:c16="http://schemas.microsoft.com/office/drawing/2014/chart" uri="{C3380CC4-5D6E-409C-BE32-E72D297353CC}">
                  <c16:uniqueId val="{00000001-ED29-4537-8016-AAA72727FCAA}"/>
                </c:ext>
              </c:extLst>
            </c:dLbl>
            <c:dLbl>
              <c:idx val="1"/>
              <c:layout>
                <c:manualLayout>
                  <c:x val="1.4730639730639731E-2"/>
                  <c:y val="-0.11470085194268743"/>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6581928205943955"/>
                      <c:h val="0.23844122456004474"/>
                    </c:manualLayout>
                  </c15:layout>
                </c:ext>
                <c:ext xmlns:c16="http://schemas.microsoft.com/office/drawing/2014/chart" uri="{C3380CC4-5D6E-409C-BE32-E72D297353CC}">
                  <c16:uniqueId val="{00000003-ED29-4537-8016-AAA72727FCAA}"/>
                </c:ext>
              </c:extLst>
            </c:dLbl>
            <c:dLbl>
              <c:idx val="2"/>
              <c:layout>
                <c:manualLayout>
                  <c:x val="3.8216482409395638E-2"/>
                  <c:y val="-8.2299599845101323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8884646994883217"/>
                      <c:h val="0.1920571403984338"/>
                    </c:manualLayout>
                  </c15:layout>
                </c:ext>
                <c:ext xmlns:c16="http://schemas.microsoft.com/office/drawing/2014/chart" uri="{C3380CC4-5D6E-409C-BE32-E72D297353CC}">
                  <c16:uniqueId val="{00000005-ED29-4537-8016-AAA72727FCAA}"/>
                </c:ext>
              </c:extLst>
            </c:dLbl>
            <c:dLbl>
              <c:idx val="3"/>
              <c:layout>
                <c:manualLayout>
                  <c:x val="5.2726079694583629E-2"/>
                  <c:y val="1.797012822167721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24029898724780616"/>
                      <c:h val="9.4743664214104364E-2"/>
                    </c:manualLayout>
                  </c15:layout>
                </c:ext>
                <c:ext xmlns:c16="http://schemas.microsoft.com/office/drawing/2014/chart" uri="{C3380CC4-5D6E-409C-BE32-E72D297353CC}">
                  <c16:uniqueId val="{00000007-ED29-4537-8016-AAA72727FCAA}"/>
                </c:ext>
              </c:extLst>
            </c:dLbl>
            <c:dLbl>
              <c:idx val="4"/>
              <c:layout>
                <c:manualLayout>
                  <c:x val="0"/>
                  <c:y val="2.0491803278688523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ect">
                      <a:avLst/>
                    </a:prstGeom>
                    <a:noFill/>
                    <a:ln>
                      <a:noFill/>
                    </a:ln>
                  </c15:spPr>
                  <c15:layout>
                    <c:manualLayout>
                      <c:w val="0.45656897054534851"/>
                      <c:h val="0.11446957962221935"/>
                    </c:manualLayout>
                  </c15:layout>
                </c:ext>
                <c:ext xmlns:c16="http://schemas.microsoft.com/office/drawing/2014/chart" uri="{C3380CC4-5D6E-409C-BE32-E72D297353CC}">
                  <c16:uniqueId val="{00000009-ED29-4537-8016-AAA72727FCAA}"/>
                </c:ext>
              </c:extLst>
            </c:dLbl>
            <c:dLbl>
              <c:idx val="5"/>
              <c:layout>
                <c:manualLayout>
                  <c:x val="-4.9988069673109051E-2"/>
                  <c:y val="-0.13361462501613541"/>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9789429730374611"/>
                      <c:h val="0.19364969235402951"/>
                    </c:manualLayout>
                  </c15:layout>
                </c:ext>
                <c:ext xmlns:c16="http://schemas.microsoft.com/office/drawing/2014/chart" uri="{C3380CC4-5D6E-409C-BE32-E72D297353CC}">
                  <c16:uniqueId val="{0000000B-ED29-4537-8016-AAA72727FCAA}"/>
                </c:ext>
              </c:extLst>
            </c:dLbl>
            <c:dLbl>
              <c:idx val="6"/>
              <c:layout>
                <c:manualLayout>
                  <c:x val="-2.0815106445027706E-3"/>
                  <c:y val="-0.11721123230497828"/>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24194968053235769"/>
                      <c:h val="0.12767361559313281"/>
                    </c:manualLayout>
                  </c15:layout>
                </c:ext>
                <c:ext xmlns:c16="http://schemas.microsoft.com/office/drawing/2014/chart" uri="{C3380CC4-5D6E-409C-BE32-E72D297353CC}">
                  <c16:uniqueId val="{0000000D-ED29-4537-8016-AAA72727FCAA}"/>
                </c:ext>
              </c:extLst>
            </c:dLbl>
            <c:dLbl>
              <c:idx val="7"/>
              <c:layout>
                <c:manualLayout>
                  <c:x val="-1.3888888888888895E-2"/>
                  <c:y val="-7.98300436660664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5883967629046367"/>
                      <c:h val="0.19127620258230052"/>
                    </c:manualLayout>
                  </c15:layout>
                </c:ext>
                <c:ext xmlns:c16="http://schemas.microsoft.com/office/drawing/2014/chart" uri="{C3380CC4-5D6E-409C-BE32-E72D297353CC}">
                  <c16:uniqueId val="{0000000F-ED29-4537-8016-AAA72727FCAA}"/>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separator> </c:separator>
            <c:showLeaderLines val="1"/>
            <c:leaderLines>
              <c:spPr>
                <a:ln w="9525" cap="flat" cmpd="sng" algn="ctr">
                  <a:solidFill>
                    <a:schemeClr val="tx1">
                      <a:lumMod val="50000"/>
                      <a:lumOff val="50000"/>
                    </a:schemeClr>
                  </a:solidFill>
                  <a:prstDash val="solid"/>
                  <a:round/>
                </a:ln>
                <a:effectLst/>
              </c:spPr>
            </c:leaderLines>
            <c:extLst>
              <c:ext xmlns:c15="http://schemas.microsoft.com/office/drawing/2012/chart" uri="{CE6537A1-D6FC-4f65-9D91-7224C49458BB}"/>
            </c:extLst>
          </c:dLbls>
          <c:cat>
            <c:strRef>
              <c:f>Sheet1!$A$2:$A$8</c:f>
              <c:strCache>
                <c:ptCount val="7"/>
                <c:pt idx="0">
                  <c:v>Integrated Circuits</c:v>
                </c:pt>
                <c:pt idx="1">
                  <c:v>Generators</c:v>
                </c:pt>
                <c:pt idx="2">
                  <c:v>Diodes, Transistors</c:v>
                </c:pt>
                <c:pt idx="3">
                  <c:v>Switches</c:v>
                </c:pt>
                <c:pt idx="4">
                  <c:v>Telecommunications</c:v>
                </c:pt>
                <c:pt idx="5">
                  <c:v>Insulated Wire, Cable</c:v>
                </c:pt>
                <c:pt idx="6">
                  <c:v>Other</c:v>
                </c:pt>
              </c:strCache>
            </c:strRef>
          </c:cat>
          <c:val>
            <c:numRef>
              <c:f>Sheet1!$B$2:$B$8</c:f>
              <c:numCache>
                <c:formatCode>_(* #,##0_);_(* \(#,##0\);_(* "-"??_);_(@_)</c:formatCode>
                <c:ptCount val="7"/>
                <c:pt idx="0">
                  <c:v>1107943441</c:v>
                </c:pt>
                <c:pt idx="1">
                  <c:v>312035004</c:v>
                </c:pt>
                <c:pt idx="2">
                  <c:v>286196607</c:v>
                </c:pt>
                <c:pt idx="3">
                  <c:v>269943639</c:v>
                </c:pt>
                <c:pt idx="4">
                  <c:v>204324508</c:v>
                </c:pt>
                <c:pt idx="5" formatCode="_(&quot;$&quot;* #,##0_);_(&quot;$&quot;* \(#,##0\);_(&quot;$&quot;* &quot;-&quot;??_);_(@_)">
                  <c:v>190879760</c:v>
                </c:pt>
                <c:pt idx="6" formatCode="_(&quot;$&quot;* #,##0_);_(&quot;$&quot;* \(#,##0\);_(&quot;$&quot;* &quot;-&quot;??_);_(@_)">
                  <c:v>1413916299</c:v>
                </c:pt>
              </c:numCache>
            </c:numRef>
          </c:val>
          <c:extLst>
            <c:ext xmlns:c16="http://schemas.microsoft.com/office/drawing/2014/chart" uri="{C3380CC4-5D6E-409C-BE32-E72D297353CC}">
              <c16:uniqueId val="{00000012-ED29-4537-8016-AAA72727FCAA}"/>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3175" cap="flat" cmpd="sng" algn="ctr">
      <a:no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103">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E5F4D-CB18-4770-8543-9DBB6AD8C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Minnesota Annual Export Statistics, 2022</vt:lpstr>
    </vt:vector>
  </TitlesOfParts>
  <Company>MN DEED</Company>
  <LinksUpToDate>false</LinksUpToDate>
  <CharactersWithSpaces>4871</CharactersWithSpaces>
  <SharedDoc>false</SharedDoc>
  <HLinks>
    <vt:vector size="12" baseType="variant">
      <vt:variant>
        <vt:i4>6488181</vt:i4>
      </vt:variant>
      <vt:variant>
        <vt:i4>9</vt:i4>
      </vt:variant>
      <vt:variant>
        <vt:i4>0</vt:i4>
      </vt:variant>
      <vt:variant>
        <vt:i4>5</vt:i4>
      </vt:variant>
      <vt:variant>
        <vt:lpwstr>http://www.deed.state.mn.us/facts/manufacturing.htm</vt:lpwstr>
      </vt:variant>
      <vt:variant>
        <vt:lpwstr/>
      </vt:variant>
      <vt:variant>
        <vt:i4>3211383</vt:i4>
      </vt:variant>
      <vt:variant>
        <vt:i4>6</vt:i4>
      </vt:variant>
      <vt:variant>
        <vt:i4>0</vt:i4>
      </vt:variant>
      <vt:variant>
        <vt:i4>5</vt:i4>
      </vt:variant>
      <vt:variant>
        <vt:lpwstr>http://www.exportminnesota.com/itradestats.htm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Annual Export Statistics, 2022</dc:title>
  <dc:subject>Minnesota Annual Export Statistics, 2022</dc:subject>
  <dc:creator>Economic Analysis Unit (T. Ho-Kim)</dc:creator>
  <cp:keywords/>
  <dc:description>Prepared March 2023</dc:description>
  <cp:lastModifiedBy>Ho-Kim, Thu-Mai (DEED)</cp:lastModifiedBy>
  <cp:revision>3</cp:revision>
  <cp:lastPrinted>2019-03-11T18:11:00Z</cp:lastPrinted>
  <dcterms:created xsi:type="dcterms:W3CDTF">2023-03-02T20:22:00Z</dcterms:created>
  <dcterms:modified xsi:type="dcterms:W3CDTF">2023-03-02T20:23:00Z</dcterms:modified>
</cp:coreProperties>
</file>