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A081E" w14:textId="58461DF5" w:rsidR="00A30328" w:rsidRPr="00C00C0A" w:rsidRDefault="00A30328" w:rsidP="007F1C4A">
      <w:pPr>
        <w:tabs>
          <w:tab w:val="left" w:pos="360"/>
          <w:tab w:val="left" w:pos="6660"/>
        </w:tabs>
        <w:spacing w:after="240"/>
        <w:jc w:val="center"/>
      </w:pPr>
      <w:r w:rsidRPr="00C00C0A">
        <w:rPr>
          <w:noProof/>
        </w:rPr>
        <mc:AlternateContent>
          <mc:Choice Requires="wps">
            <w:drawing>
              <wp:anchor distT="0" distB="0" distL="114300" distR="114300" simplePos="0" relativeHeight="251656704" behindDoc="0" locked="0" layoutInCell="1" allowOverlap="1" wp14:anchorId="3957BDA5" wp14:editId="5750B402">
                <wp:simplePos x="0" y="0"/>
                <wp:positionH relativeFrom="margin">
                  <wp:align>left</wp:align>
                </wp:positionH>
                <wp:positionV relativeFrom="paragraph">
                  <wp:posOffset>1273810</wp:posOffset>
                </wp:positionV>
                <wp:extent cx="6472362" cy="419100"/>
                <wp:effectExtent l="0" t="0" r="0" b="0"/>
                <wp:wrapNone/>
                <wp:docPr id="2" name="Text Box 2" descr="Text box&#10;Data on Minnesota Exports for Second Quarter 2022 – Published September 2022&#10;For More Information: Alicia Cordes-Mayo (alicia.cordes-mayo@state.mn.us, 763-406-996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362"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B0058" w14:textId="49DA935F" w:rsidR="007F1C4A" w:rsidRPr="00B577E0" w:rsidRDefault="007F1C4A" w:rsidP="008919A2">
                            <w:pPr>
                              <w:pStyle w:val="NoSpacing"/>
                              <w:jc w:val="center"/>
                              <w:rPr>
                                <w:rStyle w:val="Emphasis"/>
                                <w:b/>
                              </w:rPr>
                            </w:pPr>
                            <w:r w:rsidRPr="00B577E0">
                              <w:rPr>
                                <w:rStyle w:val="Emphasis"/>
                                <w:b/>
                              </w:rPr>
                              <w:t>Dat</w:t>
                            </w:r>
                            <w:r w:rsidR="00B85149">
                              <w:rPr>
                                <w:rStyle w:val="Emphasis"/>
                                <w:b/>
                              </w:rPr>
                              <w:t>a</w:t>
                            </w:r>
                            <w:r w:rsidR="00856B05">
                              <w:rPr>
                                <w:rStyle w:val="Emphasis"/>
                                <w:b/>
                              </w:rPr>
                              <w:t xml:space="preserve"> on Minnesota Exports for </w:t>
                            </w:r>
                            <w:r w:rsidR="00F152E7">
                              <w:rPr>
                                <w:rStyle w:val="Emphasis"/>
                                <w:b/>
                              </w:rPr>
                              <w:t>Second</w:t>
                            </w:r>
                            <w:r w:rsidR="007818E5">
                              <w:rPr>
                                <w:rStyle w:val="Emphasis"/>
                                <w:b/>
                              </w:rPr>
                              <w:t xml:space="preserve"> Quarter </w:t>
                            </w:r>
                            <w:r w:rsidR="00A30328">
                              <w:rPr>
                                <w:rStyle w:val="Emphasis"/>
                                <w:b/>
                              </w:rPr>
                              <w:t>202</w:t>
                            </w:r>
                            <w:r w:rsidR="00507309">
                              <w:rPr>
                                <w:rStyle w:val="Emphasis"/>
                                <w:b/>
                              </w:rPr>
                              <w:t>2</w:t>
                            </w:r>
                            <w:r w:rsidR="00A43E28">
                              <w:rPr>
                                <w:rStyle w:val="Emphasis"/>
                                <w:b/>
                              </w:rPr>
                              <w:t xml:space="preserve"> – Published </w:t>
                            </w:r>
                            <w:r w:rsidR="00507309">
                              <w:rPr>
                                <w:rStyle w:val="Emphasis"/>
                                <w:b/>
                              </w:rPr>
                              <w:t>September</w:t>
                            </w:r>
                            <w:r w:rsidR="008A5071">
                              <w:rPr>
                                <w:rStyle w:val="Emphasis"/>
                                <w:b/>
                              </w:rPr>
                              <w:t xml:space="preserve"> 9,</w:t>
                            </w:r>
                            <w:r w:rsidR="0000470B">
                              <w:rPr>
                                <w:rStyle w:val="Emphasis"/>
                                <w:b/>
                              </w:rPr>
                              <w:t xml:space="preserve"> 202</w:t>
                            </w:r>
                            <w:r w:rsidR="00507309">
                              <w:rPr>
                                <w:rStyle w:val="Emphasis"/>
                                <w:b/>
                              </w:rPr>
                              <w:t>2</w:t>
                            </w:r>
                          </w:p>
                          <w:p w14:paraId="2FFEFC8A" w14:textId="77777777" w:rsidR="00507309" w:rsidRPr="00B577E0" w:rsidRDefault="00507309" w:rsidP="00507309">
                            <w:pPr>
                              <w:pStyle w:val="NoSpacing"/>
                              <w:jc w:val="center"/>
                              <w:rPr>
                                <w:rStyle w:val="Emphasis"/>
                                <w:b/>
                              </w:rPr>
                            </w:pPr>
                            <w:r>
                              <w:rPr>
                                <w:rStyle w:val="Emphasis"/>
                                <w:b/>
                              </w:rPr>
                              <w:t>For More Information</w:t>
                            </w:r>
                            <w:r w:rsidRPr="007818E5">
                              <w:rPr>
                                <w:rStyle w:val="Emphasis"/>
                              </w:rPr>
                              <w:t xml:space="preserve">: </w:t>
                            </w:r>
                            <w:r w:rsidRPr="00690C1B">
                              <w:rPr>
                                <w:rStyle w:val="Strong"/>
                                <w:i/>
                                <w:iCs/>
                              </w:rPr>
                              <w:t>Alicia Cordes-Mayo (</w:t>
                            </w:r>
                            <w:r w:rsidRPr="00690C1B">
                              <w:rPr>
                                <w:b/>
                                <w:bCs/>
                                <w:i/>
                                <w:iCs/>
                              </w:rPr>
                              <w:t>alicia.cordes-mayo@state.mn.us, 763-406-9965)</w:t>
                            </w:r>
                          </w:p>
                          <w:p w14:paraId="34B91C04" w14:textId="03ED3A40" w:rsidR="007F1C4A" w:rsidRPr="00B577E0" w:rsidRDefault="007F1C4A" w:rsidP="008919A2">
                            <w:pPr>
                              <w:pStyle w:val="NoSpacing"/>
                              <w:jc w:val="center"/>
                              <w:rPr>
                                <w:rStyle w:val="Emphasi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7BDA5" id="_x0000_t202" coordsize="21600,21600" o:spt="202" path="m,l,21600r21600,l21600,xe">
                <v:stroke joinstyle="miter"/>
                <v:path gradientshapeok="t" o:connecttype="rect"/>
              </v:shapetype>
              <v:shape id="Text Box 2" o:spid="_x0000_s1026" type="#_x0000_t202" alt="Text box&#10;Data on Minnesota Exports for Second Quarter 2022 – Published September 2022&#10;For More Information: Alicia Cordes-Mayo (alicia.cordes-mayo@state.mn.us, 763-406-9965)&#10;" style="position:absolute;left:0;text-align:left;margin-left:0;margin-top:100.3pt;width:509.65pt;height:33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" filled="f" stroked="f">
                <v:textbox>
                  <w:txbxContent>
                    <w:p w14:paraId="482B0058" w14:textId="49DA935F" w:rsidR="007F1C4A" w:rsidRPr="00B577E0" w:rsidRDefault="007F1C4A" w:rsidP="008919A2">
                      <w:pPr>
                        <w:pStyle w:val="NoSpacing"/>
                        <w:jc w:val="center"/>
                        <w:rPr>
                          <w:rStyle w:val="Emphasis"/>
                          <w:b/>
                        </w:rPr>
                      </w:pPr>
                      <w:r w:rsidRPr="00B577E0">
                        <w:rPr>
                          <w:rStyle w:val="Emphasis"/>
                          <w:b/>
                        </w:rPr>
                        <w:t>Dat</w:t>
                      </w:r>
                      <w:r w:rsidR="00B85149">
                        <w:rPr>
                          <w:rStyle w:val="Emphasis"/>
                          <w:b/>
                        </w:rPr>
                        <w:t>a</w:t>
                      </w:r>
                      <w:r w:rsidR="00856B05">
                        <w:rPr>
                          <w:rStyle w:val="Emphasis"/>
                          <w:b/>
                        </w:rPr>
                        <w:t xml:space="preserve"> on Minnesota Exports for </w:t>
                      </w:r>
                      <w:r w:rsidR="00F152E7">
                        <w:rPr>
                          <w:rStyle w:val="Emphasis"/>
                          <w:b/>
                        </w:rPr>
                        <w:t>Second</w:t>
                      </w:r>
                      <w:r w:rsidR="007818E5">
                        <w:rPr>
                          <w:rStyle w:val="Emphasis"/>
                          <w:b/>
                        </w:rPr>
                        <w:t xml:space="preserve"> Quarter </w:t>
                      </w:r>
                      <w:r w:rsidR="00A30328">
                        <w:rPr>
                          <w:rStyle w:val="Emphasis"/>
                          <w:b/>
                        </w:rPr>
                        <w:t>202</w:t>
                      </w:r>
                      <w:r w:rsidR="00507309">
                        <w:rPr>
                          <w:rStyle w:val="Emphasis"/>
                          <w:b/>
                        </w:rPr>
                        <w:t>2</w:t>
                      </w:r>
                      <w:r w:rsidR="00A43E28">
                        <w:rPr>
                          <w:rStyle w:val="Emphasis"/>
                          <w:b/>
                        </w:rPr>
                        <w:t xml:space="preserve"> – Published </w:t>
                      </w:r>
                      <w:r w:rsidR="00507309">
                        <w:rPr>
                          <w:rStyle w:val="Emphasis"/>
                          <w:b/>
                        </w:rPr>
                        <w:t>September</w:t>
                      </w:r>
                      <w:r w:rsidR="008A5071">
                        <w:rPr>
                          <w:rStyle w:val="Emphasis"/>
                          <w:b/>
                        </w:rPr>
                        <w:t xml:space="preserve"> 9,</w:t>
                      </w:r>
                      <w:r w:rsidR="0000470B">
                        <w:rPr>
                          <w:rStyle w:val="Emphasis"/>
                          <w:b/>
                        </w:rPr>
                        <w:t xml:space="preserve"> 202</w:t>
                      </w:r>
                      <w:r w:rsidR="00507309">
                        <w:rPr>
                          <w:rStyle w:val="Emphasis"/>
                          <w:b/>
                        </w:rPr>
                        <w:t>2</w:t>
                      </w:r>
                    </w:p>
                    <w:p w14:paraId="2FFEFC8A" w14:textId="77777777" w:rsidR="00507309" w:rsidRPr="00B577E0" w:rsidRDefault="00507309" w:rsidP="00507309">
                      <w:pPr>
                        <w:pStyle w:val="NoSpacing"/>
                        <w:jc w:val="center"/>
                        <w:rPr>
                          <w:rStyle w:val="Emphasis"/>
                          <w:b/>
                        </w:rPr>
                      </w:pPr>
                      <w:r>
                        <w:rPr>
                          <w:rStyle w:val="Emphasis"/>
                          <w:b/>
                        </w:rPr>
                        <w:t>For More Information</w:t>
                      </w:r>
                      <w:r w:rsidRPr="007818E5">
                        <w:rPr>
                          <w:rStyle w:val="Emphasis"/>
                        </w:rPr>
                        <w:t xml:space="preserve">: </w:t>
                      </w:r>
                      <w:r w:rsidRPr="00690C1B">
                        <w:rPr>
                          <w:rStyle w:val="Strong"/>
                          <w:i/>
                          <w:iCs/>
                        </w:rPr>
                        <w:t>Alicia Cordes-Mayo (</w:t>
                      </w:r>
                      <w:r w:rsidRPr="00690C1B">
                        <w:rPr>
                          <w:b/>
                          <w:bCs/>
                          <w:i/>
                          <w:iCs/>
                        </w:rPr>
                        <w:t>alicia.cordes-mayo@state.mn.us, 763-406-9965)</w:t>
                      </w:r>
                    </w:p>
                    <w:p w14:paraId="34B91C04" w14:textId="03ED3A40" w:rsidR="007F1C4A" w:rsidRPr="00B577E0" w:rsidRDefault="007F1C4A" w:rsidP="008919A2">
                      <w:pPr>
                        <w:pStyle w:val="NoSpacing"/>
                        <w:jc w:val="center"/>
                        <w:rPr>
                          <w:rStyle w:val="Emphasis"/>
                          <w:b/>
                        </w:rPr>
                      </w:pPr>
                    </w:p>
                  </w:txbxContent>
                </v:textbox>
                <w10:wrap anchorx="margin"/>
              </v:shape>
            </w:pict>
          </mc:Fallback>
        </mc:AlternateContent>
      </w:r>
      <w:r w:rsidR="006B1B1A" w:rsidRPr="00C00C0A">
        <w:t xml:space="preserve">                   </w:t>
      </w:r>
      <w:r w:rsidR="00F152E7" w:rsidRPr="00C00C0A">
        <w:rPr>
          <w:noProof/>
        </w:rPr>
        <w:drawing>
          <wp:inline distT="0" distB="0" distL="0" distR="0" wp14:anchorId="5522DB93" wp14:editId="7E32D655">
            <wp:extent cx="6309360" cy="1104265"/>
            <wp:effectExtent l="0" t="0" r="0" b="635"/>
            <wp:docPr id="4" name="Picture 4" descr="DEED Logo and Export Newsletter Header, 2nd Quarter&#10;&#10;Data on Minnesota Exports for Second Quarter 2022 – Published September 2022&#10;For More Information: Alicia Cordes-Mayo (alicia.cordes-mayo@state.mn.us, 763-406-9965)"/>
            <wp:cNvGraphicFramePr/>
            <a:graphic xmlns:a="http://schemas.openxmlformats.org/drawingml/2006/main">
              <a:graphicData uri="http://schemas.openxmlformats.org/drawingml/2006/picture">
                <pic:pic xmlns:pic="http://schemas.openxmlformats.org/drawingml/2006/picture">
                  <pic:nvPicPr>
                    <pic:cNvPr id="4" name="Picture 4" descr="DEED Logo and Export Newsletter Header, 2nd Quarter&#10;&#10;Data on Minnesota Exports for Second Quarter 2022 – Published September 2022&#10;For More Information: Alicia Cordes-Mayo (alicia.cordes-mayo@state.mn.us, 763-406-996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9360" cy="1104265"/>
                    </a:xfrm>
                    <a:prstGeom prst="rect">
                      <a:avLst/>
                    </a:prstGeom>
                  </pic:spPr>
                </pic:pic>
              </a:graphicData>
            </a:graphic>
          </wp:inline>
        </w:drawing>
      </w:r>
    </w:p>
    <w:p w14:paraId="4EAE8978" w14:textId="57D94662" w:rsidR="00CE313B" w:rsidRPr="00C00C0A" w:rsidRDefault="00CE313B" w:rsidP="007F1C4A">
      <w:pPr>
        <w:tabs>
          <w:tab w:val="left" w:pos="360"/>
          <w:tab w:val="left" w:pos="6660"/>
        </w:tabs>
        <w:spacing w:after="240"/>
        <w:jc w:val="center"/>
        <w:sectPr w:rsidR="00CE313B" w:rsidRPr="00C00C0A" w:rsidSect="00C00C0A">
          <w:headerReference w:type="even" r:id="rId9"/>
          <w:headerReference w:type="default" r:id="rId10"/>
          <w:footerReference w:type="even" r:id="rId11"/>
          <w:footnotePr>
            <w:numRestart w:val="eachSect"/>
          </w:footnotePr>
          <w:endnotePr>
            <w:numFmt w:val="decimal"/>
          </w:endnotePr>
          <w:type w:val="continuous"/>
          <w:pgSz w:w="12240" w:h="15840" w:code="1"/>
          <w:pgMar w:top="720" w:right="1008" w:bottom="720" w:left="1008" w:header="720" w:footer="720" w:gutter="0"/>
          <w:cols w:space="720"/>
          <w:titlePg/>
          <w:docGrid w:linePitch="272"/>
        </w:sectPr>
      </w:pPr>
    </w:p>
    <w:p w14:paraId="18DCA261" w14:textId="6BF92FFE" w:rsidR="00641D3B" w:rsidRPr="00C00C0A" w:rsidRDefault="00C641A6" w:rsidP="007A7784">
      <w:pPr>
        <w:pStyle w:val="Heading1"/>
        <w:spacing w:before="600" w:after="120"/>
        <w:rPr>
          <w:rFonts w:asciiTheme="minorHAnsi" w:hAnsiTheme="minorHAnsi"/>
          <w:color w:val="auto"/>
          <w:sz w:val="36"/>
          <w:szCs w:val="30"/>
        </w:rPr>
        <w:sectPr w:rsidR="00641D3B" w:rsidRPr="00C00C0A" w:rsidSect="00641D3B">
          <w:footnotePr>
            <w:numRestart w:val="eachSect"/>
          </w:footnotePr>
          <w:endnotePr>
            <w:numFmt w:val="decimal"/>
          </w:endnotePr>
          <w:type w:val="continuous"/>
          <w:pgSz w:w="12240" w:h="15840" w:code="1"/>
          <w:pgMar w:top="720" w:right="1008" w:bottom="547" w:left="1008" w:header="720" w:footer="720" w:gutter="0"/>
          <w:cols w:space="720"/>
          <w:titlePg/>
          <w:docGrid w:linePitch="272"/>
        </w:sectPr>
      </w:pPr>
      <w:r w:rsidRPr="00C00C0A">
        <w:rPr>
          <w:rFonts w:asciiTheme="minorHAnsi" w:hAnsiTheme="minorHAnsi"/>
          <w:color w:val="auto"/>
          <w:sz w:val="36"/>
          <w:szCs w:val="30"/>
        </w:rPr>
        <w:t xml:space="preserve">State’s </w:t>
      </w:r>
      <w:r w:rsidR="005A7751" w:rsidRPr="00C00C0A">
        <w:rPr>
          <w:rFonts w:asciiTheme="minorHAnsi" w:hAnsiTheme="minorHAnsi"/>
          <w:color w:val="auto"/>
          <w:sz w:val="36"/>
          <w:szCs w:val="30"/>
        </w:rPr>
        <w:t xml:space="preserve">Second Quarter </w:t>
      </w:r>
      <w:r w:rsidR="007B7FBF" w:rsidRPr="00C00C0A">
        <w:rPr>
          <w:rFonts w:asciiTheme="minorHAnsi" w:hAnsiTheme="minorHAnsi"/>
          <w:color w:val="auto"/>
          <w:sz w:val="36"/>
          <w:szCs w:val="30"/>
        </w:rPr>
        <w:t>Exports</w:t>
      </w:r>
      <w:r w:rsidR="005A7751" w:rsidRPr="00C00C0A">
        <w:rPr>
          <w:rFonts w:asciiTheme="minorHAnsi" w:hAnsiTheme="minorHAnsi"/>
          <w:color w:val="auto"/>
          <w:sz w:val="36"/>
          <w:szCs w:val="30"/>
        </w:rPr>
        <w:t xml:space="preserve"> Soar to Record High $6.7 Billion</w:t>
      </w:r>
    </w:p>
    <w:p w14:paraId="0A15A5C4" w14:textId="5EBED08C" w:rsidR="00F521C7" w:rsidRPr="00C00C0A" w:rsidRDefault="007F1C4A" w:rsidP="005A7751">
      <w:pPr>
        <w:pStyle w:val="ListParagraph"/>
        <w:numPr>
          <w:ilvl w:val="0"/>
          <w:numId w:val="9"/>
        </w:numPr>
        <w:spacing w:after="0"/>
      </w:pPr>
      <w:r w:rsidRPr="00C00C0A">
        <w:t>Minnesota exports</w:t>
      </w:r>
      <w:r w:rsidR="00F20245" w:rsidRPr="00C00C0A">
        <w:t xml:space="preserve"> of goods</w:t>
      </w:r>
      <w:r w:rsidRPr="00C00C0A">
        <w:t xml:space="preserve"> (including agricultural, </w:t>
      </w:r>
      <w:proofErr w:type="gramStart"/>
      <w:r w:rsidRPr="00C00C0A">
        <w:t>mining</w:t>
      </w:r>
      <w:proofErr w:type="gramEnd"/>
      <w:r w:rsidRPr="00C00C0A">
        <w:t xml:space="preserve"> and manufact</w:t>
      </w:r>
      <w:r w:rsidR="00A02A94" w:rsidRPr="00C00C0A">
        <w:t xml:space="preserve">ured products) </w:t>
      </w:r>
      <w:r w:rsidR="005A7751" w:rsidRPr="00C00C0A">
        <w:t>jump</w:t>
      </w:r>
      <w:r w:rsidR="006B1B1A" w:rsidRPr="00C00C0A">
        <w:t xml:space="preserve">ed </w:t>
      </w:r>
      <w:r w:rsidR="005A7751" w:rsidRPr="00C00C0A">
        <w:t>1</w:t>
      </w:r>
      <w:r w:rsidR="006B1B1A" w:rsidRPr="00C00C0A">
        <w:t xml:space="preserve">2% to </w:t>
      </w:r>
      <w:r w:rsidR="00E92FA6" w:rsidRPr="00C00C0A">
        <w:t>$</w:t>
      </w:r>
      <w:r w:rsidR="00955D44" w:rsidRPr="00C00C0A">
        <w:t>6</w:t>
      </w:r>
      <w:r w:rsidR="005A7751" w:rsidRPr="00C00C0A">
        <w:t>.7</w:t>
      </w:r>
      <w:r w:rsidR="00C23DAA" w:rsidRPr="00C00C0A">
        <w:t xml:space="preserve"> billion</w:t>
      </w:r>
      <w:r w:rsidR="00DB304D" w:rsidRPr="00C00C0A">
        <w:t xml:space="preserve"> in the </w:t>
      </w:r>
      <w:r w:rsidR="00955D44" w:rsidRPr="00C00C0A">
        <w:t>second</w:t>
      </w:r>
      <w:r w:rsidR="00DB304D" w:rsidRPr="00C00C0A">
        <w:t xml:space="preserve"> quarter of </w:t>
      </w:r>
      <w:r w:rsidR="00507309" w:rsidRPr="00C00C0A">
        <w:t>2022</w:t>
      </w:r>
      <w:r w:rsidR="005A7751" w:rsidRPr="00C00C0A">
        <w:t xml:space="preserve"> – a record high </w:t>
      </w:r>
      <w:r w:rsidR="00C641A6" w:rsidRPr="00C00C0A">
        <w:t xml:space="preserve">for </w:t>
      </w:r>
      <w:r w:rsidR="005A7751" w:rsidRPr="00C00C0A">
        <w:t xml:space="preserve">state </w:t>
      </w:r>
      <w:r w:rsidR="00C641A6" w:rsidRPr="00C00C0A">
        <w:t xml:space="preserve">quarterly </w:t>
      </w:r>
      <w:r w:rsidR="005A7751" w:rsidRPr="00C00C0A">
        <w:t>exports</w:t>
      </w:r>
      <w:r w:rsidR="00B85149" w:rsidRPr="00C00C0A">
        <w:t>.</w:t>
      </w:r>
      <w:r w:rsidR="006B1B1A" w:rsidRPr="00C00C0A">
        <w:t xml:space="preserve"> </w:t>
      </w:r>
    </w:p>
    <w:p w14:paraId="46069970" w14:textId="50567F81" w:rsidR="006D7A33" w:rsidRPr="00C00C0A" w:rsidRDefault="00C97041" w:rsidP="00A5022A">
      <w:pPr>
        <w:pStyle w:val="ListParagraph"/>
        <w:numPr>
          <w:ilvl w:val="0"/>
          <w:numId w:val="9"/>
        </w:numPr>
        <w:spacing w:after="0"/>
      </w:pPr>
      <w:r w:rsidRPr="00C00C0A">
        <w:t>U.S. exports</w:t>
      </w:r>
      <w:r w:rsidR="00742415" w:rsidRPr="00C00C0A">
        <w:t xml:space="preserve"> of goods</w:t>
      </w:r>
      <w:r w:rsidR="00C23DAA" w:rsidRPr="00C00C0A">
        <w:t xml:space="preserve"> </w:t>
      </w:r>
      <w:r w:rsidR="00955D44" w:rsidRPr="00C00C0A">
        <w:t xml:space="preserve">increased </w:t>
      </w:r>
      <w:r w:rsidR="005A7751" w:rsidRPr="00C00C0A">
        <w:t>22</w:t>
      </w:r>
      <w:r w:rsidR="007818E5" w:rsidRPr="00C00C0A">
        <w:t>%</w:t>
      </w:r>
      <w:r w:rsidR="00521967" w:rsidRPr="00C00C0A">
        <w:t xml:space="preserve"> </w:t>
      </w:r>
      <w:r w:rsidR="006B1B1A" w:rsidRPr="00C00C0A">
        <w:t>between the</w:t>
      </w:r>
      <w:r w:rsidR="007216E3" w:rsidRPr="00C00C0A">
        <w:t xml:space="preserve"> </w:t>
      </w:r>
      <w:r w:rsidR="00955D44" w:rsidRPr="00C00C0A">
        <w:t>second</w:t>
      </w:r>
      <w:r w:rsidR="007216E3" w:rsidRPr="00C00C0A">
        <w:t xml:space="preserve"> quarter</w:t>
      </w:r>
      <w:r w:rsidR="006B1B1A" w:rsidRPr="00C00C0A">
        <w:t xml:space="preserve">s of </w:t>
      </w:r>
      <w:r w:rsidR="00507309" w:rsidRPr="00C00C0A">
        <w:t>2021</w:t>
      </w:r>
      <w:r w:rsidR="006B1B1A" w:rsidRPr="00C00C0A">
        <w:t xml:space="preserve"> and </w:t>
      </w:r>
      <w:r w:rsidR="00507309" w:rsidRPr="00C00C0A">
        <w:t>2022</w:t>
      </w:r>
      <w:r w:rsidR="00956763" w:rsidRPr="00C00C0A">
        <w:t xml:space="preserve">. </w:t>
      </w:r>
      <w:r w:rsidR="00C641A6" w:rsidRPr="00C00C0A">
        <w:t xml:space="preserve">Exports grew from 42 </w:t>
      </w:r>
      <w:r w:rsidR="001625A3" w:rsidRPr="00C00C0A">
        <w:t>states</w:t>
      </w:r>
      <w:r w:rsidR="00360C28" w:rsidRPr="00C00C0A">
        <w:t xml:space="preserve"> </w:t>
      </w:r>
      <w:r w:rsidR="00955D44" w:rsidRPr="00C00C0A">
        <w:t>during this period.</w:t>
      </w:r>
    </w:p>
    <w:p w14:paraId="00C94465" w14:textId="77777777" w:rsidR="009141EA" w:rsidRDefault="00692D3B" w:rsidP="009141EA">
      <w:pPr>
        <w:pStyle w:val="ListParagraph"/>
        <w:numPr>
          <w:ilvl w:val="0"/>
          <w:numId w:val="9"/>
        </w:numPr>
        <w:spacing w:after="0"/>
      </w:pPr>
      <w:r w:rsidRPr="00C00C0A">
        <w:t>Minnesota</w:t>
      </w:r>
      <w:r w:rsidR="007216E3" w:rsidRPr="00C00C0A">
        <w:t>’s</w:t>
      </w:r>
      <w:r w:rsidRPr="00C00C0A">
        <w:t xml:space="preserve"> </w:t>
      </w:r>
      <w:r w:rsidRPr="00C00C0A">
        <w:rPr>
          <w:i/>
        </w:rPr>
        <w:t>manufactured</w:t>
      </w:r>
      <w:r w:rsidR="001F7EBF" w:rsidRPr="00C00C0A">
        <w:t xml:space="preserve"> exports</w:t>
      </w:r>
      <w:r w:rsidR="00DD736C" w:rsidRPr="00C00C0A">
        <w:t xml:space="preserve"> </w:t>
      </w:r>
      <w:r w:rsidR="00360C28" w:rsidRPr="00C00C0A">
        <w:t>grew to $6</w:t>
      </w:r>
      <w:r w:rsidR="00E6687D" w:rsidRPr="00C00C0A">
        <w:t>.0</w:t>
      </w:r>
      <w:r w:rsidR="00360C28" w:rsidRPr="00C00C0A">
        <w:t xml:space="preserve"> billion, gaining 10</w:t>
      </w:r>
      <w:r w:rsidR="00742415" w:rsidRPr="00C00C0A">
        <w:t>%</w:t>
      </w:r>
      <w:r w:rsidR="00360C28" w:rsidRPr="00C00C0A">
        <w:t xml:space="preserve"> </w:t>
      </w:r>
      <w:r w:rsidR="006913B8" w:rsidRPr="00C00C0A">
        <w:t xml:space="preserve">between the second quarters of </w:t>
      </w:r>
      <w:r w:rsidR="00507309" w:rsidRPr="00C00C0A">
        <w:t>2021</w:t>
      </w:r>
      <w:r w:rsidR="006913B8" w:rsidRPr="00C00C0A">
        <w:t xml:space="preserve"> and </w:t>
      </w:r>
      <w:r w:rsidR="00507309" w:rsidRPr="00C00C0A">
        <w:t>2022</w:t>
      </w:r>
      <w:r w:rsidR="006913B8" w:rsidRPr="00C00C0A">
        <w:t>, while</w:t>
      </w:r>
      <w:r w:rsidR="00C23DAA" w:rsidRPr="00C00C0A">
        <w:t xml:space="preserve"> </w:t>
      </w:r>
      <w:r w:rsidR="00E42787" w:rsidRPr="00C00C0A">
        <w:t>U.S</w:t>
      </w:r>
      <w:r w:rsidR="00742415" w:rsidRPr="00C00C0A">
        <w:t xml:space="preserve">. </w:t>
      </w:r>
      <w:r w:rsidR="00742415" w:rsidRPr="00C00C0A">
        <w:rPr>
          <w:i/>
        </w:rPr>
        <w:t>manufactured</w:t>
      </w:r>
      <w:r w:rsidR="00742415" w:rsidRPr="00C00C0A">
        <w:t xml:space="preserve"> exports </w:t>
      </w:r>
      <w:r w:rsidR="00507C77" w:rsidRPr="00C00C0A">
        <w:t>increased</w:t>
      </w:r>
      <w:r w:rsidR="00956763" w:rsidRPr="00C00C0A">
        <w:t xml:space="preserve"> </w:t>
      </w:r>
      <w:r w:rsidR="00360C28" w:rsidRPr="00C00C0A">
        <w:t>17</w:t>
      </w:r>
      <w:r w:rsidR="007818E5" w:rsidRPr="00C00C0A">
        <w:t>%</w:t>
      </w:r>
      <w:r w:rsidR="00557377" w:rsidRPr="00C00C0A">
        <w:t>.</w:t>
      </w:r>
    </w:p>
    <w:p w14:paraId="46959C6F" w14:textId="77777777" w:rsidR="009141EA" w:rsidRDefault="00C641A6" w:rsidP="0049438B">
      <w:pPr>
        <w:pStyle w:val="ListParagraph"/>
        <w:numPr>
          <w:ilvl w:val="0"/>
          <w:numId w:val="9"/>
        </w:numPr>
        <w:spacing w:after="0" w:line="271" w:lineRule="auto"/>
        <w:rPr>
          <w:rStyle w:val="Heading4Char"/>
          <w:color w:val="auto"/>
        </w:rPr>
      </w:pPr>
      <w:r w:rsidRPr="00C00C0A">
        <w:t>For the year-to-date</w:t>
      </w:r>
      <w:r w:rsidR="00107130" w:rsidRPr="00C00C0A">
        <w:t xml:space="preserve">, Minnesota exports </w:t>
      </w:r>
      <w:r w:rsidR="00360C28" w:rsidRPr="00C00C0A">
        <w:t>were up</w:t>
      </w:r>
      <w:r w:rsidR="00107130" w:rsidRPr="00C00C0A">
        <w:t xml:space="preserve"> 1</w:t>
      </w:r>
      <w:r w:rsidR="00360C28" w:rsidRPr="00C00C0A">
        <w:t>2</w:t>
      </w:r>
      <w:r w:rsidR="00107130" w:rsidRPr="00C00C0A">
        <w:t xml:space="preserve">%, while U.S. exports </w:t>
      </w:r>
      <w:r w:rsidR="00360C28" w:rsidRPr="00C00C0A">
        <w:t>grew</w:t>
      </w:r>
      <w:r w:rsidR="00107130" w:rsidRPr="00C00C0A">
        <w:t xml:space="preserve"> </w:t>
      </w:r>
      <w:r w:rsidR="00E6687D" w:rsidRPr="00C00C0A">
        <w:t>20</w:t>
      </w:r>
      <w:r w:rsidR="00107130" w:rsidRPr="00C00C0A">
        <w:t>%.</w:t>
      </w:r>
    </w:p>
    <w:p w14:paraId="03CA25DA" w14:textId="4A47FBD9" w:rsidR="007F1C4A" w:rsidRPr="009141EA" w:rsidRDefault="007F1C4A" w:rsidP="009141EA">
      <w:pPr>
        <w:spacing w:after="0" w:line="271" w:lineRule="auto"/>
        <w:rPr>
          <w:rStyle w:val="Heading4Char"/>
          <w:color w:val="auto"/>
        </w:rPr>
      </w:pPr>
      <w:r w:rsidRPr="009141EA">
        <w:rPr>
          <w:rStyle w:val="Heading4Char"/>
          <w:color w:val="auto"/>
        </w:rPr>
        <w:t xml:space="preserve">Figure </w:t>
      </w:r>
      <w:r w:rsidRPr="009141EA">
        <w:rPr>
          <w:rStyle w:val="Heading4Char"/>
          <w:color w:val="auto"/>
        </w:rPr>
        <w:fldChar w:fldCharType="begin"/>
      </w:r>
      <w:r w:rsidRPr="009141EA">
        <w:rPr>
          <w:rStyle w:val="Heading4Char"/>
          <w:color w:val="auto"/>
        </w:rPr>
        <w:instrText xml:space="preserve"> SEQ Figure \* ARABIC </w:instrText>
      </w:r>
      <w:r w:rsidRPr="009141EA">
        <w:rPr>
          <w:rStyle w:val="Heading4Char"/>
          <w:color w:val="auto"/>
        </w:rPr>
        <w:fldChar w:fldCharType="separate"/>
      </w:r>
      <w:r w:rsidR="00C430F8" w:rsidRPr="009141EA">
        <w:rPr>
          <w:rStyle w:val="Heading4Char"/>
          <w:noProof/>
          <w:color w:val="auto"/>
        </w:rPr>
        <w:t>1</w:t>
      </w:r>
      <w:r w:rsidRPr="009141EA">
        <w:rPr>
          <w:rStyle w:val="Heading4Char"/>
          <w:color w:val="auto"/>
        </w:rPr>
        <w:fldChar w:fldCharType="end"/>
      </w:r>
      <w:r w:rsidR="00A52415" w:rsidRPr="009141EA">
        <w:rPr>
          <w:rStyle w:val="Heading4Char"/>
          <w:color w:val="auto"/>
        </w:rPr>
        <w:t xml:space="preserve">. </w:t>
      </w:r>
      <w:r w:rsidR="00FB2147" w:rsidRPr="009141EA">
        <w:rPr>
          <w:rStyle w:val="Heading4Char"/>
          <w:color w:val="auto"/>
        </w:rPr>
        <w:t>Exports</w:t>
      </w:r>
      <w:r w:rsidR="00E6687D" w:rsidRPr="009141EA">
        <w:rPr>
          <w:rStyle w:val="Heading4Char"/>
          <w:color w:val="auto"/>
        </w:rPr>
        <w:t xml:space="preserve"> </w:t>
      </w:r>
      <w:r w:rsidR="004F6D22" w:rsidRPr="009141EA">
        <w:rPr>
          <w:rStyle w:val="Heading4Char"/>
          <w:color w:val="auto"/>
        </w:rPr>
        <w:t>from</w:t>
      </w:r>
      <w:r w:rsidR="0046703D" w:rsidRPr="009141EA">
        <w:rPr>
          <w:rStyle w:val="Heading4Char"/>
          <w:color w:val="auto"/>
        </w:rPr>
        <w:t xml:space="preserve"> </w:t>
      </w:r>
      <w:r w:rsidR="00360C28" w:rsidRPr="009141EA">
        <w:rPr>
          <w:rStyle w:val="Heading4Char"/>
          <w:color w:val="auto"/>
        </w:rPr>
        <w:t>42</w:t>
      </w:r>
      <w:r w:rsidR="00CA0F8C" w:rsidRPr="009141EA">
        <w:rPr>
          <w:rStyle w:val="Heading4Char"/>
          <w:color w:val="auto"/>
        </w:rPr>
        <w:t xml:space="preserve"> States</w:t>
      </w:r>
      <w:r w:rsidR="00E6687D" w:rsidRPr="009141EA">
        <w:rPr>
          <w:rStyle w:val="Heading4Char"/>
          <w:color w:val="auto"/>
        </w:rPr>
        <w:t xml:space="preserve"> Increased</w:t>
      </w:r>
    </w:p>
    <w:p w14:paraId="5316D7DA" w14:textId="69CB4ED1" w:rsidR="004F6D22" w:rsidRPr="00C00C0A" w:rsidRDefault="004F6D22" w:rsidP="00C641A6">
      <w:pPr>
        <w:spacing w:after="0" w:line="271" w:lineRule="auto"/>
        <w:rPr>
          <w:rStyle w:val="Heading4Char"/>
          <w:rFonts w:eastAsiaTheme="minorEastAsia" w:cstheme="minorBidi"/>
          <w:bCs w:val="0"/>
          <w:i w:val="0"/>
          <w:iCs w:val="0"/>
          <w:color w:val="auto"/>
          <w:sz w:val="22"/>
        </w:rPr>
      </w:pPr>
      <w:r w:rsidRPr="00C00C0A">
        <w:rPr>
          <w:noProof/>
        </w:rPr>
        <mc:AlternateContent>
          <mc:Choice Requires="wps">
            <w:drawing>
              <wp:anchor distT="0" distB="0" distL="114300" distR="114300" simplePos="0" relativeHeight="251658752" behindDoc="0" locked="0" layoutInCell="1" allowOverlap="1" wp14:anchorId="24E76B40" wp14:editId="03264E9E">
                <wp:simplePos x="0" y="0"/>
                <wp:positionH relativeFrom="column">
                  <wp:align>right</wp:align>
                </wp:positionH>
                <wp:positionV relativeFrom="paragraph">
                  <wp:posOffset>1247775</wp:posOffset>
                </wp:positionV>
                <wp:extent cx="714375" cy="435610"/>
                <wp:effectExtent l="0" t="0" r="0" b="2540"/>
                <wp:wrapNone/>
                <wp:docPr id="307" name="Text Box 2" descr="text box with map highlighting MN and US trends&#10;MN: +12%&#10;U.S.: +2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35610"/>
                        </a:xfrm>
                        <a:prstGeom prst="rect">
                          <a:avLst/>
                        </a:prstGeom>
                        <a:noFill/>
                        <a:ln w="9525">
                          <a:noFill/>
                          <a:miter lim="800000"/>
                          <a:headEnd/>
                          <a:tailEnd/>
                        </a:ln>
                      </wps:spPr>
                      <wps:txbx>
                        <w:txbxContent>
                          <w:p w14:paraId="60A296D5" w14:textId="35613589" w:rsidR="007F1C4A" w:rsidRPr="00681236" w:rsidRDefault="007F1C4A" w:rsidP="00C641A6">
                            <w:pPr>
                              <w:spacing w:after="0"/>
                              <w:jc w:val="right"/>
                              <w:rPr>
                                <w:b/>
                                <w:i/>
                                <w:sz w:val="20"/>
                              </w:rPr>
                            </w:pPr>
                            <w:r w:rsidRPr="00681236">
                              <w:rPr>
                                <w:b/>
                                <w:i/>
                                <w:sz w:val="20"/>
                              </w:rPr>
                              <w:t>M</w:t>
                            </w:r>
                            <w:r w:rsidR="0065603B" w:rsidRPr="00681236">
                              <w:rPr>
                                <w:b/>
                                <w:i/>
                                <w:sz w:val="20"/>
                              </w:rPr>
                              <w:t xml:space="preserve">N: </w:t>
                            </w:r>
                            <w:r w:rsidR="00C641A6">
                              <w:rPr>
                                <w:b/>
                                <w:i/>
                                <w:sz w:val="20"/>
                              </w:rPr>
                              <w:t>12</w:t>
                            </w:r>
                            <w:r w:rsidRPr="00681236">
                              <w:rPr>
                                <w:b/>
                                <w:i/>
                                <w:sz w:val="20"/>
                              </w:rPr>
                              <w:t>%</w:t>
                            </w:r>
                          </w:p>
                          <w:p w14:paraId="588145EA" w14:textId="75413F77" w:rsidR="007F1C4A" w:rsidRPr="00681236" w:rsidRDefault="00293DCF" w:rsidP="00C641A6">
                            <w:pPr>
                              <w:spacing w:after="0"/>
                              <w:jc w:val="right"/>
                              <w:rPr>
                                <w:b/>
                                <w:i/>
                                <w:sz w:val="20"/>
                              </w:rPr>
                            </w:pPr>
                            <w:r w:rsidRPr="00681236">
                              <w:rPr>
                                <w:b/>
                                <w:i/>
                                <w:sz w:val="20"/>
                              </w:rPr>
                              <w:t xml:space="preserve">U.S.: </w:t>
                            </w:r>
                            <w:r w:rsidR="00C641A6">
                              <w:rPr>
                                <w:b/>
                                <w:i/>
                                <w:sz w:val="20"/>
                              </w:rPr>
                              <w:t>22</w:t>
                            </w:r>
                            <w:r w:rsidR="007F1C4A" w:rsidRPr="00681236">
                              <w:rPr>
                                <w:b/>
                                <w:i/>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76B40" id="_x0000_s1027" type="#_x0000_t202" alt="text box with map highlighting MN and US trends&#10;MN: +12%&#10;U.S.: +22%&#10;" style="position:absolute;margin-left:5.05pt;margin-top:98.25pt;width:56.25pt;height:34.3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" filled="f" stroked="f">
                <v:textbox>
                  <w:txbxContent>
                    <w:p w14:paraId="60A296D5" w14:textId="35613589" w:rsidR="007F1C4A" w:rsidRPr="00681236" w:rsidRDefault="007F1C4A" w:rsidP="00C641A6">
                      <w:pPr>
                        <w:spacing w:after="0"/>
                        <w:jc w:val="right"/>
                        <w:rPr>
                          <w:b/>
                          <w:i/>
                          <w:sz w:val="20"/>
                        </w:rPr>
                      </w:pPr>
                      <w:r w:rsidRPr="00681236">
                        <w:rPr>
                          <w:b/>
                          <w:i/>
                          <w:sz w:val="20"/>
                        </w:rPr>
                        <w:t>M</w:t>
                      </w:r>
                      <w:r w:rsidR="0065603B" w:rsidRPr="00681236">
                        <w:rPr>
                          <w:b/>
                          <w:i/>
                          <w:sz w:val="20"/>
                        </w:rPr>
                        <w:t xml:space="preserve">N: </w:t>
                      </w:r>
                      <w:r w:rsidR="00C641A6">
                        <w:rPr>
                          <w:b/>
                          <w:i/>
                          <w:sz w:val="20"/>
                        </w:rPr>
                        <w:t>12</w:t>
                      </w:r>
                      <w:r w:rsidRPr="00681236">
                        <w:rPr>
                          <w:b/>
                          <w:i/>
                          <w:sz w:val="20"/>
                        </w:rPr>
                        <w:t>%</w:t>
                      </w:r>
                    </w:p>
                    <w:p w14:paraId="588145EA" w14:textId="75413F77" w:rsidR="007F1C4A" w:rsidRPr="00681236" w:rsidRDefault="00293DCF" w:rsidP="00C641A6">
                      <w:pPr>
                        <w:spacing w:after="0"/>
                        <w:jc w:val="right"/>
                        <w:rPr>
                          <w:b/>
                          <w:i/>
                          <w:sz w:val="20"/>
                        </w:rPr>
                      </w:pPr>
                      <w:r w:rsidRPr="00681236">
                        <w:rPr>
                          <w:b/>
                          <w:i/>
                          <w:sz w:val="20"/>
                        </w:rPr>
                        <w:t xml:space="preserve">U.S.: </w:t>
                      </w:r>
                      <w:r w:rsidR="00C641A6">
                        <w:rPr>
                          <w:b/>
                          <w:i/>
                          <w:sz w:val="20"/>
                        </w:rPr>
                        <w:t>22</w:t>
                      </w:r>
                      <w:r w:rsidR="007F1C4A" w:rsidRPr="00681236">
                        <w:rPr>
                          <w:b/>
                          <w:i/>
                          <w:sz w:val="20"/>
                        </w:rPr>
                        <w:t>%</w:t>
                      </w:r>
                    </w:p>
                  </w:txbxContent>
                </v:textbox>
              </v:shape>
            </w:pict>
          </mc:Fallback>
        </mc:AlternateContent>
      </w:r>
      <w:r w:rsidR="00C641A6" w:rsidRPr="00C00C0A">
        <w:rPr>
          <w:noProof/>
        </w:rPr>
        <w:drawing>
          <wp:inline distT="0" distB="0" distL="0" distR="0" wp14:anchorId="7AC3CEF4" wp14:editId="544DC29E">
            <wp:extent cx="3200400" cy="1809750"/>
            <wp:effectExtent l="0" t="0" r="0" b="0"/>
            <wp:docPr id="1" name="Picture 1" descr="State Percent Change&#10;Minnesota 12%&#10;United States 22%&#10;Alabama 24%&#10;Alaska -27%&#10;Arizona 2%&#10;Arkansas 19%&#10;California 7%&#10;Colorado 11%&#10;Connecticut 3%&#10;Delaware -4%&#10;Dist of Columbia -19%&#10;Florida 25%&#10;Georgia 11%&#10;Hawaii 126%&#10;Idaho 9%&#10;Illinois 20%&#10;Indiana 15%&#10;Iowa 18%&#10;Kansas 16%&#10;Kentucky 22%&#10;Louisiana 72%&#10;Maine 25%&#10;Maryland 11%&#10;Massachusetts 9%&#10;Michigan 21%&#10;Mississippi 40%&#10;Missouri 13%&#10;Montana 8%&#10;Nebraska 18%&#10;Nevada -15%&#10;New Hampshire 9%&#10;New Jersey -6%&#10;New Mexico -40%&#10;New York 20%&#10;North Carolina 28%&#10;North Dakota 4%&#10;Ohio 15%&#10;Oklahoma 8%&#10;Oregon 28%&#10;Pennsylvania 13%&#10;Rhode Island 1%&#10;South Carolina -6%&#10;South Dakota 33%&#10;Tennessee 17%&#10;Texas 40%&#10;Utah -16%&#10;Vermont -7%&#10;Virginia 44%&#10;Washington 28%&#10;West Virginia 35%&#10;Wisconsin 19%&#10;Wyom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Percent Change&#10;Minnesota 12%&#10;United States 22%&#10;Alabama 24%&#10;Alaska -27%&#10;Arizona 2%&#10;Arkansas 19%&#10;California 7%&#10;Colorado 11%&#10;Connecticut 3%&#10;Delaware -4%&#10;Dist of Columbia -19%&#10;Florida 25%&#10;Georgia 11%&#10;Hawaii 126%&#10;Idaho 9%&#10;Illinois 20%&#10;Indiana 15%&#10;Iowa 18%&#10;Kansas 16%&#10;Kentucky 22%&#10;Louisiana 72%&#10;Maine 25%&#10;Maryland 11%&#10;Massachusetts 9%&#10;Michigan 21%&#10;Mississippi 40%&#10;Missouri 13%&#10;Montana 8%&#10;Nebraska 18%&#10;Nevada -15%&#10;New Hampshire 9%&#10;New Jersey -6%&#10;New Mexico -40%&#10;New York 20%&#10;North Carolina 28%&#10;North Dakota 4%&#10;Ohio 15%&#10;Oklahoma 8%&#10;Oregon 28%&#10;Pennsylvania 13%&#10;Rhode Island 1%&#10;South Carolina -6%&#10;South Dakota 33%&#10;Tennessee 17%&#10;Texas 40%&#10;Utah -16%&#10;Vermont -7%&#10;Virginia 44%&#10;Washington 28%&#10;West Virginia 35%&#10;Wisconsin 19%&#10;Wyoming 4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8693" b="8723"/>
                    <a:stretch/>
                  </pic:blipFill>
                  <pic:spPr bwMode="auto">
                    <a:xfrm>
                      <a:off x="0" y="0"/>
                      <a:ext cx="3200400" cy="1809750"/>
                    </a:xfrm>
                    <a:prstGeom prst="rect">
                      <a:avLst/>
                    </a:prstGeom>
                    <a:noFill/>
                    <a:ln>
                      <a:noFill/>
                    </a:ln>
                    <a:extLst>
                      <a:ext uri="{53640926-AAD7-44D8-BBD7-CCE9431645EC}">
                        <a14:shadowObscured xmlns:a14="http://schemas.microsoft.com/office/drawing/2010/main"/>
                      </a:ext>
                    </a:extLst>
                  </pic:spPr>
                </pic:pic>
              </a:graphicData>
            </a:graphic>
          </wp:inline>
        </w:drawing>
      </w:r>
    </w:p>
    <w:p w14:paraId="567BEDF5" w14:textId="4C9C6579" w:rsidR="00BE4DAD" w:rsidRPr="00C00C0A" w:rsidRDefault="00BE4DAD" w:rsidP="00173D78">
      <w:pPr>
        <w:spacing w:after="0"/>
        <w:rPr>
          <w:rFonts w:ascii="Arial Narrow" w:hAnsi="Arial Narrow"/>
          <w:sz w:val="2"/>
          <w:szCs w:val="2"/>
        </w:rPr>
      </w:pPr>
    </w:p>
    <w:p w14:paraId="559D2393" w14:textId="77777777" w:rsidR="00C641A6" w:rsidRPr="00C00C0A" w:rsidRDefault="00C641A6" w:rsidP="00C641A6">
      <w:pPr>
        <w:spacing w:after="0"/>
        <w:rPr>
          <w:i/>
          <w:sz w:val="18"/>
        </w:rPr>
      </w:pPr>
      <w:r w:rsidRPr="00C00C0A">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Pr="00C00C0A">
        <w:rPr>
          <w:i/>
          <w:sz w:val="18"/>
        </w:rPr>
        <w:t xml:space="preserve"> Decline     0%   Growth</w:t>
      </w:r>
    </w:p>
    <w:p w14:paraId="086AB431" w14:textId="77777777" w:rsidR="00C641A6" w:rsidRPr="00C00C0A" w:rsidRDefault="00C641A6" w:rsidP="00C641A6">
      <w:pPr>
        <w:spacing w:after="0"/>
        <w:rPr>
          <w:rFonts w:ascii="Arial Narrow" w:hAnsi="Arial Narrow"/>
          <w:sz w:val="2"/>
          <w:szCs w:val="2"/>
        </w:rPr>
        <w:sectPr w:rsidR="00C641A6" w:rsidRPr="00C00C0A" w:rsidSect="00FE15EB">
          <w:footnotePr>
            <w:numRestart w:val="eachSect"/>
          </w:footnotePr>
          <w:endnotePr>
            <w:numFmt w:val="decimal"/>
          </w:endnotePr>
          <w:type w:val="continuous"/>
          <w:pgSz w:w="12240" w:h="15840" w:code="1"/>
          <w:pgMar w:top="864" w:right="1008" w:bottom="864" w:left="1008" w:header="720" w:footer="720" w:gutter="0"/>
          <w:cols w:num="2" w:space="450"/>
          <w:titlePg/>
          <w:docGrid w:linePitch="299"/>
        </w:sectPr>
      </w:pPr>
      <w:r w:rsidRPr="00C00C0A">
        <w:rPr>
          <w:rFonts w:ascii="Arial Narrow" w:hAnsi="Arial Narrow"/>
          <w:noProof/>
          <w:sz w:val="2"/>
          <w:szCs w:val="2"/>
        </w:rPr>
        <w:drawing>
          <wp:inline distT="0" distB="0" distL="0" distR="0" wp14:anchorId="008F83F6" wp14:editId="6D34B1DC">
            <wp:extent cx="1066800" cy="152400"/>
            <wp:effectExtent l="0" t="0" r="0" b="0"/>
            <wp:docPr id="7" name="Picture 7" descr="Map legend&#10;Yellow for decline (less than 0%)&#10;Green for growth (more tha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 legend&#10;Yellow for decline (less than 0%)&#10;Green for growth (more than 0%)"/>
                    <pic:cNvPicPr>
                      <a:picLocks noChangeAspect="1" noChangeArrowheads="1"/>
                    </pic:cNvPicPr>
                  </pic:nvPicPr>
                  <pic:blipFill rotWithShape="1">
                    <a:blip r:embed="rId13">
                      <a:extLst>
                        <a:ext uri="{28A0092B-C50C-407E-A947-70E740481C1C}">
                          <a14:useLocalDpi xmlns:a14="http://schemas.microsoft.com/office/drawing/2010/main" val="0"/>
                        </a:ext>
                      </a:extLst>
                    </a:blip>
                    <a:srcRect t="41379" b="24138"/>
                    <a:stretch/>
                  </pic:blipFill>
                  <pic:spPr bwMode="auto">
                    <a:xfrm>
                      <a:off x="0" y="0"/>
                      <a:ext cx="1066800" cy="152400"/>
                    </a:xfrm>
                    <a:prstGeom prst="rect">
                      <a:avLst/>
                    </a:prstGeom>
                    <a:noFill/>
                    <a:ln>
                      <a:noFill/>
                    </a:ln>
                    <a:extLst>
                      <a:ext uri="{53640926-AAD7-44D8-BBD7-CCE9431645EC}">
                        <a14:shadowObscured xmlns:a14="http://schemas.microsoft.com/office/drawing/2010/main"/>
                      </a:ext>
                    </a:extLst>
                  </pic:spPr>
                </pic:pic>
              </a:graphicData>
            </a:graphic>
          </wp:inline>
        </w:drawing>
      </w:r>
    </w:p>
    <w:p w14:paraId="1A33A2C5" w14:textId="77777777" w:rsidR="005A5CF0" w:rsidRPr="00C00C0A" w:rsidRDefault="005A5CF0" w:rsidP="00C641A6">
      <w:pPr>
        <w:spacing w:after="0"/>
        <w:rPr>
          <w:rFonts w:ascii="Arial Narrow" w:hAnsi="Arial Narrow"/>
          <w:sz w:val="2"/>
          <w:szCs w:val="2"/>
        </w:rPr>
      </w:pPr>
    </w:p>
    <w:p w14:paraId="53950F02" w14:textId="76AA07B7" w:rsidR="00E83789" w:rsidRPr="00C00C0A" w:rsidRDefault="005F3DDB" w:rsidP="00C641A6">
      <w:pPr>
        <w:pStyle w:val="Heading2"/>
        <w:spacing w:before="120"/>
        <w:rPr>
          <w:rFonts w:asciiTheme="minorHAnsi" w:hAnsiTheme="minorHAnsi"/>
          <w:b w:val="0"/>
          <w:i/>
          <w:color w:val="auto"/>
          <w:sz w:val="28"/>
        </w:rPr>
      </w:pPr>
      <w:r w:rsidRPr="00C00C0A">
        <w:rPr>
          <w:rFonts w:asciiTheme="minorHAnsi" w:hAnsiTheme="minorHAnsi"/>
          <w:b w:val="0"/>
          <w:i/>
          <w:color w:val="auto"/>
          <w:sz w:val="28"/>
        </w:rPr>
        <w:t xml:space="preserve">Canada and </w:t>
      </w:r>
      <w:r w:rsidR="000C706C" w:rsidRPr="00C00C0A">
        <w:rPr>
          <w:rFonts w:asciiTheme="minorHAnsi" w:hAnsiTheme="minorHAnsi"/>
          <w:b w:val="0"/>
          <w:i/>
          <w:color w:val="auto"/>
          <w:sz w:val="28"/>
        </w:rPr>
        <w:t xml:space="preserve">Markets in </w:t>
      </w:r>
      <w:r w:rsidRPr="00C00C0A">
        <w:rPr>
          <w:rFonts w:asciiTheme="minorHAnsi" w:hAnsiTheme="minorHAnsi"/>
          <w:b w:val="0"/>
          <w:i/>
          <w:color w:val="auto"/>
          <w:sz w:val="28"/>
        </w:rPr>
        <w:t>the European Union</w:t>
      </w:r>
      <w:r w:rsidR="000C706C" w:rsidRPr="00C00C0A">
        <w:rPr>
          <w:rFonts w:asciiTheme="minorHAnsi" w:hAnsiTheme="minorHAnsi"/>
          <w:b w:val="0"/>
          <w:i/>
          <w:color w:val="auto"/>
          <w:sz w:val="28"/>
        </w:rPr>
        <w:t xml:space="preserve"> Drive Gains in Exports</w:t>
      </w:r>
    </w:p>
    <w:p w14:paraId="2303A7C0" w14:textId="77777777" w:rsidR="00960D3C" w:rsidRPr="00C00C0A" w:rsidRDefault="005F3DDB" w:rsidP="00E6687D">
      <w:pPr>
        <w:pStyle w:val="ListParagraph"/>
        <w:numPr>
          <w:ilvl w:val="0"/>
          <w:numId w:val="10"/>
        </w:numPr>
        <w:spacing w:after="0"/>
      </w:pPr>
      <w:r w:rsidRPr="00C00C0A">
        <w:t>T</w:t>
      </w:r>
      <w:r w:rsidR="007B7FBF" w:rsidRPr="00C00C0A">
        <w:t xml:space="preserve">he </w:t>
      </w:r>
      <w:r w:rsidR="00136664" w:rsidRPr="00C00C0A">
        <w:t>state’s e</w:t>
      </w:r>
      <w:r w:rsidR="000D02DD" w:rsidRPr="00C00C0A">
        <w:t xml:space="preserve">xports </w:t>
      </w:r>
      <w:r w:rsidR="00751E26" w:rsidRPr="00C00C0A">
        <w:t>increased</w:t>
      </w:r>
      <w:r w:rsidR="00F75C80" w:rsidRPr="00C00C0A">
        <w:t xml:space="preserve"> </w:t>
      </w:r>
      <w:r w:rsidRPr="00C00C0A">
        <w:t>29</w:t>
      </w:r>
      <w:r w:rsidR="005727A5" w:rsidRPr="00C00C0A">
        <w:t>%</w:t>
      </w:r>
      <w:r w:rsidR="00277E66" w:rsidRPr="00C00C0A">
        <w:t xml:space="preserve"> </w:t>
      </w:r>
      <w:r w:rsidR="00136664" w:rsidRPr="00C00C0A">
        <w:t xml:space="preserve">to </w:t>
      </w:r>
      <w:r w:rsidR="005727A5" w:rsidRPr="00C00C0A">
        <w:rPr>
          <w:b/>
          <w:bCs/>
        </w:rPr>
        <w:t>North America</w:t>
      </w:r>
      <w:r w:rsidR="00A90983" w:rsidRPr="00C00C0A">
        <w:rPr>
          <w:b/>
          <w:bCs/>
        </w:rPr>
        <w:t xml:space="preserve"> – </w:t>
      </w:r>
      <w:r w:rsidR="005727A5" w:rsidRPr="00C00C0A">
        <w:t xml:space="preserve">the state’s </w:t>
      </w:r>
      <w:r w:rsidR="00A943AF" w:rsidRPr="00C00C0A">
        <w:t xml:space="preserve">top </w:t>
      </w:r>
      <w:r w:rsidR="00A61566" w:rsidRPr="00C00C0A">
        <w:t>regional market</w:t>
      </w:r>
      <w:r w:rsidR="00E6687D" w:rsidRPr="00C00C0A">
        <w:t xml:space="preserve">, driven by </w:t>
      </w:r>
      <w:r w:rsidR="00E6687D" w:rsidRPr="00C00C0A">
        <w:rPr>
          <w:b/>
          <w:bCs/>
        </w:rPr>
        <w:t xml:space="preserve">Canada </w:t>
      </w:r>
      <w:r w:rsidR="00E6687D" w:rsidRPr="00C00C0A">
        <w:t xml:space="preserve">(up 42%); and </w:t>
      </w:r>
      <w:r w:rsidR="00960D3C" w:rsidRPr="00C00C0A">
        <w:t xml:space="preserve">grew 8% </w:t>
      </w:r>
      <w:r w:rsidR="00E6687D" w:rsidRPr="00C00C0A">
        <w:t xml:space="preserve">to markets in the </w:t>
      </w:r>
      <w:r w:rsidR="00E6687D" w:rsidRPr="00C00C0A">
        <w:rPr>
          <w:b/>
          <w:bCs/>
        </w:rPr>
        <w:t>European Union</w:t>
      </w:r>
      <w:r w:rsidR="00E6687D" w:rsidRPr="00C00C0A">
        <w:t xml:space="preserve"> </w:t>
      </w:r>
      <w:r w:rsidR="00960D3C" w:rsidRPr="00C00C0A">
        <w:rPr>
          <w:b/>
          <w:bCs/>
        </w:rPr>
        <w:t>–</w:t>
      </w:r>
      <w:r w:rsidR="00E6687D" w:rsidRPr="00C00C0A">
        <w:t xml:space="preserve"> led by gains in</w:t>
      </w:r>
      <w:r w:rsidR="00E6687D" w:rsidRPr="00C00C0A">
        <w:rPr>
          <w:b/>
          <w:bCs/>
        </w:rPr>
        <w:t xml:space="preserve"> Germany</w:t>
      </w:r>
      <w:r w:rsidR="00E6687D" w:rsidRPr="00C00C0A">
        <w:t xml:space="preserve"> (up 14%),</w:t>
      </w:r>
      <w:r w:rsidR="00E6687D" w:rsidRPr="00C00C0A">
        <w:rPr>
          <w:b/>
          <w:bCs/>
        </w:rPr>
        <w:t xml:space="preserve"> Portugal</w:t>
      </w:r>
      <w:r w:rsidR="00E6687D" w:rsidRPr="00C00C0A">
        <w:t xml:space="preserve"> ($18 million, up 742%), </w:t>
      </w:r>
      <w:r w:rsidR="00E6687D" w:rsidRPr="00C00C0A">
        <w:rPr>
          <w:b/>
          <w:bCs/>
        </w:rPr>
        <w:t>Ireland</w:t>
      </w:r>
      <w:r w:rsidR="00E6687D" w:rsidRPr="00C00C0A">
        <w:t xml:space="preserve"> (up 11%) and </w:t>
      </w:r>
      <w:r w:rsidR="00E6687D" w:rsidRPr="00C00C0A">
        <w:rPr>
          <w:b/>
          <w:bCs/>
        </w:rPr>
        <w:t>Belgium</w:t>
      </w:r>
      <w:r w:rsidR="00E6687D" w:rsidRPr="00C00C0A">
        <w:t xml:space="preserve"> (up 10%). </w:t>
      </w:r>
    </w:p>
    <w:p w14:paraId="31BD1DBF" w14:textId="77777777" w:rsidR="00334E27" w:rsidRPr="00C00C0A" w:rsidRDefault="00334E27" w:rsidP="00334E27">
      <w:pPr>
        <w:pStyle w:val="ListParagraph"/>
        <w:numPr>
          <w:ilvl w:val="0"/>
          <w:numId w:val="10"/>
        </w:numPr>
        <w:spacing w:after="0"/>
      </w:pPr>
      <w:r w:rsidRPr="00C00C0A">
        <w:t xml:space="preserve">Exports to </w:t>
      </w:r>
      <w:r w:rsidRPr="00C00C0A">
        <w:rPr>
          <w:b/>
          <w:bCs/>
        </w:rPr>
        <w:t xml:space="preserve">Asia </w:t>
      </w:r>
      <w:r w:rsidRPr="00C00C0A">
        <w:t xml:space="preserve">slipped 4%. Exports were robust in </w:t>
      </w:r>
      <w:r w:rsidRPr="00C00C0A">
        <w:rPr>
          <w:b/>
          <w:bCs/>
        </w:rPr>
        <w:t xml:space="preserve">Thailand </w:t>
      </w:r>
      <w:r w:rsidRPr="00C00C0A">
        <w:t xml:space="preserve">(up 36%), </w:t>
      </w:r>
      <w:r w:rsidRPr="00C00C0A">
        <w:rPr>
          <w:b/>
          <w:bCs/>
        </w:rPr>
        <w:t xml:space="preserve">Korea </w:t>
      </w:r>
      <w:r w:rsidRPr="00C00C0A">
        <w:t>(up 19%) and</w:t>
      </w:r>
      <w:r w:rsidRPr="00C00C0A">
        <w:rPr>
          <w:b/>
          <w:bCs/>
        </w:rPr>
        <w:t xml:space="preserve"> India</w:t>
      </w:r>
      <w:r w:rsidRPr="00C00C0A">
        <w:t xml:space="preserve"> (up 35%) but slumped in the </w:t>
      </w:r>
      <w:r w:rsidRPr="00C00C0A">
        <w:rPr>
          <w:b/>
          <w:bCs/>
        </w:rPr>
        <w:t>Philippines</w:t>
      </w:r>
      <w:r w:rsidRPr="00C00C0A">
        <w:t xml:space="preserve"> (down $76 million), </w:t>
      </w:r>
      <w:r w:rsidRPr="00C00C0A">
        <w:rPr>
          <w:b/>
          <w:bCs/>
        </w:rPr>
        <w:t>Japan</w:t>
      </w:r>
      <w:r w:rsidRPr="00C00C0A">
        <w:t xml:space="preserve"> (down $60 million) and </w:t>
      </w:r>
      <w:r w:rsidRPr="00C00C0A">
        <w:rPr>
          <w:b/>
          <w:bCs/>
        </w:rPr>
        <w:t>China</w:t>
      </w:r>
      <w:r w:rsidRPr="00C00C0A">
        <w:t xml:space="preserve"> (down $29 million).</w:t>
      </w:r>
    </w:p>
    <w:p w14:paraId="3DE14BD7" w14:textId="76B95DA3" w:rsidR="009D3FB6" w:rsidRPr="00C00C0A" w:rsidRDefault="00960D3C" w:rsidP="0021782A">
      <w:pPr>
        <w:pStyle w:val="ListParagraph"/>
        <w:numPr>
          <w:ilvl w:val="0"/>
          <w:numId w:val="10"/>
        </w:numPr>
        <w:spacing w:after="0"/>
      </w:pPr>
      <w:r w:rsidRPr="00C00C0A">
        <w:t>Businesses made significant inroads</w:t>
      </w:r>
      <w:r w:rsidR="00E6687D" w:rsidRPr="00C00C0A">
        <w:t xml:space="preserve"> </w:t>
      </w:r>
      <w:r w:rsidRPr="00C00C0A">
        <w:t>in</w:t>
      </w:r>
      <w:r w:rsidR="00E6687D" w:rsidRPr="00C00C0A">
        <w:t xml:space="preserve"> </w:t>
      </w:r>
      <w:r w:rsidR="00E6687D" w:rsidRPr="00C00C0A">
        <w:rPr>
          <w:b/>
        </w:rPr>
        <w:t>Central and South America</w:t>
      </w:r>
      <w:r w:rsidR="00E6687D" w:rsidRPr="00C00C0A">
        <w:t xml:space="preserve"> </w:t>
      </w:r>
      <w:r w:rsidRPr="00C00C0A">
        <w:t xml:space="preserve">(up 22%) </w:t>
      </w:r>
      <w:r w:rsidR="00E6687D" w:rsidRPr="00C00C0A">
        <w:t>and</w:t>
      </w:r>
      <w:r w:rsidRPr="00C00C0A">
        <w:t xml:space="preserve"> in</w:t>
      </w:r>
      <w:r w:rsidR="00E6687D" w:rsidRPr="00C00C0A">
        <w:t xml:space="preserve"> </w:t>
      </w:r>
      <w:r w:rsidR="00E6687D" w:rsidRPr="00C00C0A">
        <w:rPr>
          <w:b/>
          <w:bCs/>
        </w:rPr>
        <w:t>the Middle East</w:t>
      </w:r>
      <w:bookmarkStart w:id="0" w:name="_Hlk71710426"/>
      <w:r w:rsidRPr="00C00C0A">
        <w:rPr>
          <w:b/>
          <w:bCs/>
        </w:rPr>
        <w:t xml:space="preserve"> </w:t>
      </w:r>
      <w:r w:rsidRPr="00C00C0A">
        <w:t xml:space="preserve">(up 23%). Key Central and South American markets were </w:t>
      </w:r>
      <w:r w:rsidR="009D3FB6" w:rsidRPr="00C00C0A">
        <w:rPr>
          <w:b/>
          <w:bCs/>
        </w:rPr>
        <w:t>Costa Rica</w:t>
      </w:r>
      <w:r w:rsidR="009D3FB6" w:rsidRPr="00C00C0A">
        <w:t xml:space="preserve"> (up 24%), </w:t>
      </w:r>
      <w:r w:rsidR="009D3FB6" w:rsidRPr="00C00C0A">
        <w:rPr>
          <w:b/>
          <w:bCs/>
        </w:rPr>
        <w:t xml:space="preserve">Brazil </w:t>
      </w:r>
      <w:r w:rsidR="009D3FB6" w:rsidRPr="00C00C0A">
        <w:t xml:space="preserve">(up 33%) and </w:t>
      </w:r>
      <w:r w:rsidR="009D3FB6" w:rsidRPr="00C00C0A">
        <w:rPr>
          <w:b/>
          <w:bCs/>
        </w:rPr>
        <w:t>Honduras</w:t>
      </w:r>
      <w:r w:rsidR="009D3FB6" w:rsidRPr="00C00C0A">
        <w:t xml:space="preserve"> (</w:t>
      </w:r>
      <w:r w:rsidRPr="00C00C0A">
        <w:t xml:space="preserve">up </w:t>
      </w:r>
      <w:r w:rsidR="00BB0605" w:rsidRPr="00C00C0A">
        <w:t>$1</w:t>
      </w:r>
      <w:r w:rsidRPr="00C00C0A">
        <w:t>5 million</w:t>
      </w:r>
      <w:r w:rsidR="009D3FB6" w:rsidRPr="00C00C0A">
        <w:t>)</w:t>
      </w:r>
      <w:r w:rsidRPr="00C00C0A">
        <w:t xml:space="preserve">; while notable Middle Eastern markets were </w:t>
      </w:r>
      <w:r w:rsidR="009D3FB6" w:rsidRPr="00C00C0A">
        <w:rPr>
          <w:b/>
          <w:bCs/>
        </w:rPr>
        <w:t>Yemen</w:t>
      </w:r>
      <w:r w:rsidR="009D3FB6" w:rsidRPr="00C00C0A">
        <w:t xml:space="preserve"> (up $13 million)</w:t>
      </w:r>
      <w:r w:rsidR="00BB0605" w:rsidRPr="00C00C0A">
        <w:t xml:space="preserve"> and </w:t>
      </w:r>
      <w:r w:rsidR="009D3FB6" w:rsidRPr="00C00C0A">
        <w:rPr>
          <w:b/>
          <w:bCs/>
        </w:rPr>
        <w:t xml:space="preserve">Israel </w:t>
      </w:r>
      <w:r w:rsidR="009D3FB6" w:rsidRPr="00C00C0A">
        <w:t>(up</w:t>
      </w:r>
      <w:r w:rsidRPr="00C00C0A">
        <w:t xml:space="preserve"> 38%</w:t>
      </w:r>
      <w:r w:rsidR="009D3FB6" w:rsidRPr="00C00C0A">
        <w:t>)</w:t>
      </w:r>
      <w:r w:rsidR="00BB0605" w:rsidRPr="00C00C0A">
        <w:t>.</w:t>
      </w:r>
      <w:r w:rsidR="009D3FB6" w:rsidRPr="00C00C0A">
        <w:t xml:space="preserve"> </w:t>
      </w:r>
    </w:p>
    <w:p w14:paraId="28F21B96" w14:textId="0E379110" w:rsidR="00BB0605" w:rsidRPr="00C00C0A" w:rsidRDefault="00BB0605" w:rsidP="00334E27">
      <w:pPr>
        <w:pStyle w:val="ListParagraph"/>
        <w:numPr>
          <w:ilvl w:val="0"/>
          <w:numId w:val="10"/>
        </w:numPr>
        <w:spacing w:after="0"/>
      </w:pPr>
      <w:r w:rsidRPr="00C00C0A">
        <w:t>Outreach</w:t>
      </w:r>
      <w:r w:rsidR="00334E27" w:rsidRPr="00C00C0A">
        <w:t xml:space="preserve"> </w:t>
      </w:r>
      <w:r w:rsidRPr="00C00C0A">
        <w:t xml:space="preserve">increased </w:t>
      </w:r>
      <w:r w:rsidR="00FD15E2">
        <w:t>to</w:t>
      </w:r>
      <w:r w:rsidRPr="00C00C0A">
        <w:t xml:space="preserve"> the </w:t>
      </w:r>
      <w:r w:rsidR="00BA23E9" w:rsidRPr="00C00C0A">
        <w:rPr>
          <w:b/>
          <w:bCs/>
        </w:rPr>
        <w:t xml:space="preserve">Australia-Pacific </w:t>
      </w:r>
      <w:r w:rsidR="00FD15E2" w:rsidRPr="00FD15E2">
        <w:t>region</w:t>
      </w:r>
      <w:r w:rsidR="00FD15E2">
        <w:rPr>
          <w:b/>
          <w:bCs/>
        </w:rPr>
        <w:t xml:space="preserve"> </w:t>
      </w:r>
      <w:r w:rsidR="00BA23E9" w:rsidRPr="00C00C0A">
        <w:t>(</w:t>
      </w:r>
      <w:r w:rsidRPr="00C00C0A">
        <w:t xml:space="preserve">$122 million, </w:t>
      </w:r>
      <w:r w:rsidR="00BA23E9" w:rsidRPr="00C00C0A">
        <w:t xml:space="preserve">up </w:t>
      </w:r>
      <w:r w:rsidRPr="00C00C0A">
        <w:t>8</w:t>
      </w:r>
      <w:r w:rsidR="00BA23E9" w:rsidRPr="00C00C0A">
        <w:t>%)</w:t>
      </w:r>
      <w:bookmarkEnd w:id="0"/>
      <w:r w:rsidRPr="00C00C0A">
        <w:t xml:space="preserve"> and </w:t>
      </w:r>
      <w:r w:rsidRPr="00C00C0A">
        <w:rPr>
          <w:b/>
          <w:bCs/>
        </w:rPr>
        <w:t xml:space="preserve">Africa </w:t>
      </w:r>
      <w:r w:rsidRPr="00C00C0A">
        <w:t>($50 million, up 10%).</w:t>
      </w:r>
    </w:p>
    <w:p w14:paraId="481CD972" w14:textId="1ED693D5" w:rsidR="007C165F" w:rsidRPr="00C00C0A" w:rsidRDefault="007C165F" w:rsidP="009141EA">
      <w:pPr>
        <w:pStyle w:val="Heading4"/>
        <w:spacing w:before="120"/>
        <w:rPr>
          <w:color w:val="auto"/>
        </w:rPr>
      </w:pPr>
      <w:r w:rsidRPr="00C00C0A">
        <w:rPr>
          <w:color w:val="auto"/>
        </w:rPr>
        <w:t xml:space="preserve">Figure </w:t>
      </w:r>
      <w:r w:rsidR="004A1E09" w:rsidRPr="00C00C0A">
        <w:rPr>
          <w:color w:val="auto"/>
        </w:rPr>
        <w:fldChar w:fldCharType="begin"/>
      </w:r>
      <w:r w:rsidR="004A1E09" w:rsidRPr="00C00C0A">
        <w:rPr>
          <w:color w:val="auto"/>
        </w:rPr>
        <w:instrText xml:space="preserve"> SEQ Figure \* ARABIC </w:instrText>
      </w:r>
      <w:r w:rsidR="004A1E09" w:rsidRPr="00C00C0A">
        <w:rPr>
          <w:color w:val="auto"/>
        </w:rPr>
        <w:fldChar w:fldCharType="separate"/>
      </w:r>
      <w:r w:rsidR="00C430F8" w:rsidRPr="00C00C0A">
        <w:rPr>
          <w:noProof/>
          <w:color w:val="auto"/>
        </w:rPr>
        <w:t>2</w:t>
      </w:r>
      <w:r w:rsidR="004A1E09" w:rsidRPr="00C00C0A">
        <w:rPr>
          <w:noProof/>
          <w:color w:val="auto"/>
        </w:rPr>
        <w:fldChar w:fldCharType="end"/>
      </w:r>
      <w:r w:rsidR="00C84D0E" w:rsidRPr="00C00C0A">
        <w:rPr>
          <w:color w:val="auto"/>
        </w:rPr>
        <w:t xml:space="preserve">. </w:t>
      </w:r>
      <w:r w:rsidR="00A44451" w:rsidRPr="00C00C0A">
        <w:rPr>
          <w:color w:val="auto"/>
        </w:rPr>
        <w:t>Export Trends for</w:t>
      </w:r>
      <w:r w:rsidR="0038665A" w:rsidRPr="00C00C0A">
        <w:rPr>
          <w:color w:val="auto"/>
        </w:rPr>
        <w:t xml:space="preserve"> Minnesota’s Top 10 Markets, </w:t>
      </w:r>
      <w:r w:rsidR="00955D44" w:rsidRPr="00C00C0A">
        <w:rPr>
          <w:color w:val="auto"/>
        </w:rPr>
        <w:t>Second</w:t>
      </w:r>
      <w:r w:rsidR="00606AB0" w:rsidRPr="00C00C0A">
        <w:rPr>
          <w:color w:val="auto"/>
        </w:rPr>
        <w:t xml:space="preserve"> </w:t>
      </w:r>
      <w:r w:rsidR="00A52415" w:rsidRPr="00C00C0A">
        <w:rPr>
          <w:color w:val="auto"/>
        </w:rPr>
        <w:t xml:space="preserve">Quarter </w:t>
      </w:r>
      <w:r w:rsidR="00507309" w:rsidRPr="00C00C0A">
        <w:rPr>
          <w:color w:val="auto"/>
        </w:rPr>
        <w:t>2022</w:t>
      </w:r>
    </w:p>
    <w:p w14:paraId="2D92FB79" w14:textId="230267C7" w:rsidR="007A7784" w:rsidRPr="00C00C0A" w:rsidRDefault="000C706C" w:rsidP="007A7784">
      <w:pPr>
        <w:spacing w:after="0"/>
      </w:pPr>
      <w:r w:rsidRPr="00C00C0A">
        <w:rPr>
          <w:noProof/>
        </w:rPr>
        <w:drawing>
          <wp:inline distT="0" distB="0" distL="0" distR="0" wp14:anchorId="50A57DA0" wp14:editId="6E7D2E33">
            <wp:extent cx="6263640" cy="1849120"/>
            <wp:effectExtent l="0" t="0" r="3810" b="0"/>
            <wp:docPr id="6" name="Picture 6" descr="Country Exports (millions) Percent Change, 2021-Q2 to 2022-Q2&#10;WORLD  $6,687  12%&#10;Canada (1)   $2,319  42%&#10;China (2)   $704  -4%&#10;Mexico (3)   $637  -4%&#10;Japan (4)   $277  -18%&#10;Germany (5)   $230  14%&#10;Korea (6)   $175  19%&#10;Netherlands (7)   $169  9%&#10;Belgium (8)   $165  10%&#10;Ireland (9)   $155  11%&#10;U.K. (10)   $143  -11%&#10;Other  $1,712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untry Exports (millions) Percent Change, 2021-Q2 to 2022-Q2&#10;WORLD  $6,687  12%&#10;Canada (1)   $2,319  42%&#10;China (2)   $704  -4%&#10;Mexico (3)   $637  -4%&#10;Japan (4)   $277  -18%&#10;Germany (5)   $230  14%&#10;Korea (6)   $175  19%&#10;Netherlands (7)   $169  9%&#10;Belgium (8)   $165  10%&#10;Ireland (9)   $155  11%&#10;U.K. (10)   $143  -11%&#10;Other  $1,712  5%"/>
                    <pic:cNvPicPr>
                      <a:picLocks noChangeAspect="1" noChangeArrowheads="1"/>
                    </pic:cNvPicPr>
                  </pic:nvPicPr>
                  <pic:blipFill rotWithShape="1">
                    <a:blip r:embed="rId14">
                      <a:extLst>
                        <a:ext uri="{28A0092B-C50C-407E-A947-70E740481C1C}">
                          <a14:useLocalDpi xmlns:a14="http://schemas.microsoft.com/office/drawing/2010/main" val="0"/>
                        </a:ext>
                      </a:extLst>
                    </a:blip>
                    <a:srcRect t="7614"/>
                    <a:stretch/>
                  </pic:blipFill>
                  <pic:spPr bwMode="auto">
                    <a:xfrm>
                      <a:off x="0" y="0"/>
                      <a:ext cx="6263640" cy="1849120"/>
                    </a:xfrm>
                    <a:prstGeom prst="rect">
                      <a:avLst/>
                    </a:prstGeom>
                    <a:noFill/>
                    <a:ln>
                      <a:noFill/>
                    </a:ln>
                    <a:extLst>
                      <a:ext uri="{53640926-AAD7-44D8-BBD7-CCE9431645EC}">
                        <a14:shadowObscured xmlns:a14="http://schemas.microsoft.com/office/drawing/2010/main"/>
                      </a:ext>
                    </a:extLst>
                  </pic:spPr>
                </pic:pic>
              </a:graphicData>
            </a:graphic>
          </wp:inline>
        </w:drawing>
      </w:r>
    </w:p>
    <w:p w14:paraId="3765CDA2" w14:textId="045FC9F3" w:rsidR="00BF29E1" w:rsidRPr="00C00C0A" w:rsidRDefault="00C641A6" w:rsidP="00BC1307">
      <w:pPr>
        <w:pStyle w:val="Heading2"/>
        <w:tabs>
          <w:tab w:val="left" w:pos="360"/>
        </w:tabs>
        <w:spacing w:before="0" w:after="120"/>
        <w:ind w:left="360" w:hanging="360"/>
        <w:rPr>
          <w:rFonts w:asciiTheme="minorHAnsi" w:hAnsiTheme="minorHAnsi"/>
          <w:b w:val="0"/>
          <w:i/>
          <w:color w:val="auto"/>
          <w:sz w:val="28"/>
        </w:rPr>
        <w:sectPr w:rsidR="00BF29E1" w:rsidRPr="00C00C0A" w:rsidSect="00334E27">
          <w:footnotePr>
            <w:numRestart w:val="eachSect"/>
          </w:footnotePr>
          <w:endnotePr>
            <w:numFmt w:val="decimal"/>
          </w:endnotePr>
          <w:type w:val="continuous"/>
          <w:pgSz w:w="12240" w:h="15840" w:code="1"/>
          <w:pgMar w:top="1008" w:right="1170" w:bottom="1008" w:left="1080" w:header="720" w:footer="720" w:gutter="0"/>
          <w:cols w:space="720"/>
          <w:titlePg/>
          <w:docGrid w:linePitch="299"/>
        </w:sectPr>
      </w:pPr>
      <w:r w:rsidRPr="00C00C0A">
        <w:rPr>
          <w:rFonts w:asciiTheme="minorHAnsi" w:hAnsiTheme="minorHAnsi"/>
          <w:b w:val="0"/>
          <w:i/>
          <w:color w:val="auto"/>
          <w:sz w:val="28"/>
        </w:rPr>
        <w:lastRenderedPageBreak/>
        <w:t xml:space="preserve">Cereals, Mineral Fuel and </w:t>
      </w:r>
      <w:r w:rsidR="000C706C" w:rsidRPr="00C00C0A">
        <w:rPr>
          <w:rFonts w:asciiTheme="minorHAnsi" w:hAnsiTheme="minorHAnsi"/>
          <w:b w:val="0"/>
          <w:i/>
          <w:color w:val="auto"/>
          <w:sz w:val="28"/>
        </w:rPr>
        <w:t>Electrical Equipment Surge in Second Quarter</w:t>
      </w:r>
    </w:p>
    <w:p w14:paraId="243FC245" w14:textId="6055EE2D" w:rsidR="00E76FF1" w:rsidRPr="00C00C0A" w:rsidRDefault="00073CA8" w:rsidP="00FD77B2">
      <w:pPr>
        <w:pStyle w:val="ListParagraph"/>
        <w:numPr>
          <w:ilvl w:val="0"/>
          <w:numId w:val="7"/>
        </w:numPr>
        <w:spacing w:after="0"/>
        <w:ind w:left="360" w:right="-396"/>
      </w:pPr>
      <w:r w:rsidRPr="00C00C0A">
        <w:t>Solid growth in e</w:t>
      </w:r>
      <w:r w:rsidR="000C706C" w:rsidRPr="00C00C0A">
        <w:t xml:space="preserve">xports of </w:t>
      </w:r>
      <w:r w:rsidR="00AF3197" w:rsidRPr="00C00C0A">
        <w:rPr>
          <w:b/>
          <w:bCs/>
        </w:rPr>
        <w:t>mineral fuels</w:t>
      </w:r>
      <w:r w:rsidR="00E877CE" w:rsidRPr="00C00C0A">
        <w:rPr>
          <w:b/>
          <w:bCs/>
        </w:rPr>
        <w:t xml:space="preserve">, </w:t>
      </w:r>
      <w:r w:rsidR="00AF3197" w:rsidRPr="00C00C0A">
        <w:rPr>
          <w:b/>
          <w:bCs/>
        </w:rPr>
        <w:t>oils</w:t>
      </w:r>
      <w:r w:rsidR="000C706C" w:rsidRPr="00C00C0A">
        <w:rPr>
          <w:b/>
          <w:bCs/>
        </w:rPr>
        <w:t xml:space="preserve"> </w:t>
      </w:r>
      <w:r w:rsidR="000C706C" w:rsidRPr="00C00C0A">
        <w:t xml:space="preserve">(up </w:t>
      </w:r>
      <w:r w:rsidR="005A7F78" w:rsidRPr="00C00C0A">
        <w:t xml:space="preserve">69%, or up </w:t>
      </w:r>
      <w:r w:rsidR="000C706C" w:rsidRPr="00C00C0A">
        <w:t>$287 million),</w:t>
      </w:r>
      <w:r w:rsidR="00AF3197" w:rsidRPr="00C00C0A">
        <w:rPr>
          <w:b/>
          <w:bCs/>
        </w:rPr>
        <w:t xml:space="preserve"> </w:t>
      </w:r>
      <w:r w:rsidR="000C706C" w:rsidRPr="00C00C0A">
        <w:rPr>
          <w:b/>
          <w:bCs/>
        </w:rPr>
        <w:t xml:space="preserve">cereals </w:t>
      </w:r>
      <w:r w:rsidR="000C706C" w:rsidRPr="00C00C0A">
        <w:t>(</w:t>
      </w:r>
      <w:r w:rsidR="005A7F78" w:rsidRPr="00C00C0A">
        <w:t xml:space="preserve">up 394%, or </w:t>
      </w:r>
      <w:r w:rsidR="000C706C" w:rsidRPr="00C00C0A">
        <w:t xml:space="preserve">up $246 million), and </w:t>
      </w:r>
      <w:r w:rsidR="000C706C" w:rsidRPr="00C00C0A">
        <w:rPr>
          <w:b/>
          <w:bCs/>
        </w:rPr>
        <w:t xml:space="preserve">electrical equipment </w:t>
      </w:r>
      <w:r w:rsidR="000C706C" w:rsidRPr="00C00C0A">
        <w:t>(</w:t>
      </w:r>
      <w:r w:rsidR="005A7F78" w:rsidRPr="00C00C0A">
        <w:t xml:space="preserve">up 13%, or </w:t>
      </w:r>
      <w:r w:rsidR="000C706C" w:rsidRPr="00C00C0A">
        <w:t>up $105 million)</w:t>
      </w:r>
      <w:r w:rsidR="000C706C" w:rsidRPr="00C00C0A">
        <w:rPr>
          <w:b/>
          <w:bCs/>
        </w:rPr>
        <w:t xml:space="preserve"> </w:t>
      </w:r>
      <w:r w:rsidR="000C06E3" w:rsidRPr="00C00C0A">
        <w:t>boost</w:t>
      </w:r>
      <w:r w:rsidR="00E877CE" w:rsidRPr="00C00C0A">
        <w:t>ed state export</w:t>
      </w:r>
      <w:r w:rsidRPr="00C00C0A">
        <w:t>s</w:t>
      </w:r>
      <w:r w:rsidR="00E877CE" w:rsidRPr="00C00C0A">
        <w:t xml:space="preserve"> </w:t>
      </w:r>
      <w:r w:rsidR="005A7F78" w:rsidRPr="00C00C0A">
        <w:t>this</w:t>
      </w:r>
      <w:r w:rsidR="00E877CE" w:rsidRPr="00C00C0A">
        <w:t xml:space="preserve"> quarter.</w:t>
      </w:r>
    </w:p>
    <w:p w14:paraId="6B7ED7C4" w14:textId="256D71C9" w:rsidR="00452722" w:rsidRPr="00C00C0A" w:rsidRDefault="00D61B6F" w:rsidP="00536A86">
      <w:pPr>
        <w:pStyle w:val="ListParagraph"/>
        <w:numPr>
          <w:ilvl w:val="0"/>
          <w:numId w:val="7"/>
        </w:numPr>
        <w:spacing w:after="0"/>
        <w:ind w:left="360" w:right="-396"/>
        <w:rPr>
          <w:rStyle w:val="Heading4Char"/>
          <w:color w:val="auto"/>
        </w:rPr>
      </w:pPr>
      <w:r w:rsidRPr="00C00C0A">
        <w:rPr>
          <w:bCs/>
        </w:rPr>
        <w:t xml:space="preserve">Demand in Canada spurred exports of </w:t>
      </w:r>
      <w:r w:rsidR="00E877CE" w:rsidRPr="00C00C0A">
        <w:rPr>
          <w:b/>
        </w:rPr>
        <w:t>mineral fuels, oils</w:t>
      </w:r>
      <w:r w:rsidR="00BC1307" w:rsidRPr="00C00C0A">
        <w:t xml:space="preserve"> </w:t>
      </w:r>
      <w:r w:rsidR="00E877CE" w:rsidRPr="00C00C0A">
        <w:t>(up $253 million to Canada,</w:t>
      </w:r>
      <w:r w:rsidR="00E877CE" w:rsidRPr="00C00C0A">
        <w:rPr>
          <w:b/>
          <w:bCs/>
        </w:rPr>
        <w:t xml:space="preserve"> </w:t>
      </w:r>
      <w:r w:rsidR="00E877CE" w:rsidRPr="00C00C0A">
        <w:t xml:space="preserve">largely </w:t>
      </w:r>
      <w:r w:rsidR="00E877CE" w:rsidRPr="00C00C0A">
        <w:rPr>
          <w:b/>
          <w:bCs/>
        </w:rPr>
        <w:t xml:space="preserve">light </w:t>
      </w:r>
      <w:r w:rsidR="000C06E3" w:rsidRPr="00C00C0A">
        <w:rPr>
          <w:b/>
          <w:bCs/>
        </w:rPr>
        <w:t xml:space="preserve">oils, including motor </w:t>
      </w:r>
      <w:r w:rsidR="00E877CE" w:rsidRPr="00C00C0A">
        <w:rPr>
          <w:b/>
          <w:bCs/>
        </w:rPr>
        <w:t>fuels</w:t>
      </w:r>
      <w:r w:rsidR="00E877CE" w:rsidRPr="00C00C0A">
        <w:t xml:space="preserve">) and </w:t>
      </w:r>
      <w:r w:rsidR="00E877CE" w:rsidRPr="00C00C0A">
        <w:rPr>
          <w:b/>
          <w:bCs/>
        </w:rPr>
        <w:t xml:space="preserve">cereals </w:t>
      </w:r>
      <w:r w:rsidR="00E877CE" w:rsidRPr="00C00C0A">
        <w:t xml:space="preserve">(up $264 million to Canada, largely </w:t>
      </w:r>
      <w:r w:rsidR="000C06E3" w:rsidRPr="00C00C0A">
        <w:rPr>
          <w:b/>
          <w:bCs/>
        </w:rPr>
        <w:t>corn (maize)</w:t>
      </w:r>
      <w:r w:rsidR="00E877CE" w:rsidRPr="00C00C0A">
        <w:t>).</w:t>
      </w:r>
      <w:r w:rsidRPr="00C00C0A">
        <w:t xml:space="preserve"> </w:t>
      </w:r>
      <w:r w:rsidRPr="00C00C0A">
        <w:rPr>
          <w:b/>
        </w:rPr>
        <w:t>Canada</w:t>
      </w:r>
      <w:r w:rsidRPr="00C00C0A">
        <w:rPr>
          <w:bCs/>
        </w:rPr>
        <w:t xml:space="preserve">’s market share for each of these products </w:t>
      </w:r>
      <w:r w:rsidR="001275CA" w:rsidRPr="00C00C0A">
        <w:rPr>
          <w:bCs/>
        </w:rPr>
        <w:t>wa</w:t>
      </w:r>
      <w:r w:rsidRPr="00C00C0A">
        <w:rPr>
          <w:bCs/>
        </w:rPr>
        <w:t xml:space="preserve">s </w:t>
      </w:r>
      <w:r w:rsidR="000378FD" w:rsidRPr="00C00C0A">
        <w:rPr>
          <w:bCs/>
        </w:rPr>
        <w:t xml:space="preserve">about </w:t>
      </w:r>
      <w:r w:rsidRPr="00C00C0A">
        <w:rPr>
          <w:bCs/>
        </w:rPr>
        <w:t>90%.</w:t>
      </w:r>
      <w:r w:rsidR="00334E27" w:rsidRPr="00C00C0A">
        <w:rPr>
          <w:bCs/>
        </w:rPr>
        <w:t xml:space="preserve"> </w:t>
      </w:r>
      <w:r w:rsidR="000378FD" w:rsidRPr="00C00C0A">
        <w:rPr>
          <w:bCs/>
        </w:rPr>
        <w:t>Among other markets for</w:t>
      </w:r>
      <w:r w:rsidR="00334E27" w:rsidRPr="00C00C0A">
        <w:rPr>
          <w:bCs/>
        </w:rPr>
        <w:t xml:space="preserve"> </w:t>
      </w:r>
      <w:r w:rsidR="00334E27" w:rsidRPr="00C00C0A">
        <w:rPr>
          <w:b/>
        </w:rPr>
        <w:t>cereals</w:t>
      </w:r>
      <w:r w:rsidR="000378FD" w:rsidRPr="00C00C0A">
        <w:rPr>
          <w:bCs/>
        </w:rPr>
        <w:t xml:space="preserve">, exports fell $23 million to </w:t>
      </w:r>
      <w:r w:rsidR="00334E27" w:rsidRPr="00C00C0A">
        <w:rPr>
          <w:b/>
        </w:rPr>
        <w:t>Mexico</w:t>
      </w:r>
      <w:r w:rsidR="00334E27" w:rsidRPr="00C00C0A">
        <w:rPr>
          <w:bCs/>
        </w:rPr>
        <w:t xml:space="preserve"> </w:t>
      </w:r>
      <w:r w:rsidR="000378FD" w:rsidRPr="00C00C0A">
        <w:rPr>
          <w:bCs/>
        </w:rPr>
        <w:t xml:space="preserve">but rose $12 million to </w:t>
      </w:r>
      <w:r w:rsidR="000378FD" w:rsidRPr="00C00C0A">
        <w:rPr>
          <w:b/>
        </w:rPr>
        <w:t>Yemen</w:t>
      </w:r>
      <w:r w:rsidR="00334E27" w:rsidRPr="00C00C0A">
        <w:rPr>
          <w:bCs/>
        </w:rPr>
        <w:t>.</w:t>
      </w:r>
      <w:r w:rsidR="00452722" w:rsidRPr="00C00C0A">
        <w:rPr>
          <w:rStyle w:val="Heading4Char"/>
          <w:color w:val="auto"/>
        </w:rPr>
        <w:br w:type="column"/>
      </w:r>
      <w:r w:rsidR="00452722" w:rsidRPr="00C00C0A">
        <w:rPr>
          <w:rStyle w:val="Heading4Char"/>
          <w:color w:val="auto"/>
        </w:rPr>
        <w:t xml:space="preserve">Figure </w:t>
      </w:r>
      <w:r w:rsidR="00452722" w:rsidRPr="00C00C0A">
        <w:rPr>
          <w:rStyle w:val="Heading4Char"/>
          <w:b/>
          <w:color w:val="auto"/>
        </w:rPr>
        <w:fldChar w:fldCharType="begin"/>
      </w:r>
      <w:r w:rsidR="00452722" w:rsidRPr="00C00C0A">
        <w:rPr>
          <w:rStyle w:val="Heading4Char"/>
          <w:color w:val="auto"/>
        </w:rPr>
        <w:instrText xml:space="preserve"> SEQ Figure \* ARABIC </w:instrText>
      </w:r>
      <w:r w:rsidR="00452722" w:rsidRPr="00C00C0A">
        <w:rPr>
          <w:rStyle w:val="Heading4Char"/>
          <w:b/>
          <w:color w:val="auto"/>
        </w:rPr>
        <w:fldChar w:fldCharType="separate"/>
      </w:r>
      <w:r w:rsidR="00452722" w:rsidRPr="00C00C0A">
        <w:rPr>
          <w:rStyle w:val="Heading4Char"/>
          <w:noProof/>
          <w:color w:val="auto"/>
        </w:rPr>
        <w:t>3</w:t>
      </w:r>
      <w:r w:rsidR="00452722" w:rsidRPr="00C00C0A">
        <w:rPr>
          <w:rStyle w:val="Heading4Char"/>
          <w:b/>
          <w:color w:val="auto"/>
        </w:rPr>
        <w:fldChar w:fldCharType="end"/>
      </w:r>
      <w:r w:rsidR="00452722" w:rsidRPr="00C00C0A">
        <w:rPr>
          <w:rStyle w:val="Heading4Char"/>
          <w:color w:val="auto"/>
        </w:rPr>
        <w:t>. Top Electrical Equipment Segments</w:t>
      </w:r>
    </w:p>
    <w:p w14:paraId="7C286413" w14:textId="0C701DC7" w:rsidR="00452722" w:rsidRPr="00C00C0A" w:rsidRDefault="00073CA8" w:rsidP="00D61B6F">
      <w:pPr>
        <w:spacing w:after="0"/>
        <w:ind w:right="-396"/>
        <w:rPr>
          <w:rFonts w:eastAsiaTheme="majorEastAsia" w:cstheme="majorBidi"/>
          <w:bCs/>
          <w:i/>
          <w:iCs/>
          <w:sz w:val="24"/>
        </w:rPr>
      </w:pPr>
      <w:r w:rsidRPr="00C00C0A">
        <w:rPr>
          <w:noProof/>
        </w:rPr>
        <w:drawing>
          <wp:inline distT="0" distB="0" distL="0" distR="0" wp14:anchorId="4B4E2699" wp14:editId="3A1B9036">
            <wp:extent cx="3017520" cy="1919579"/>
            <wp:effectExtent l="0" t="0" r="0" b="5080"/>
            <wp:docPr id="3" name="Chart 3" descr="Exports of Electrical Equipment 2021&#10;Integrated circuits 32%&#10;Electrical switches 7%&#10;Semiconductors 7%&#10;Electric generators 6%&#10;Phone equipment 5%&#10;Insulate wire, cable 5%&#10;Other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4942011" w14:textId="77777777" w:rsidR="00452722" w:rsidRPr="00C00C0A" w:rsidRDefault="00452722" w:rsidP="00452722">
      <w:pPr>
        <w:pStyle w:val="ListParagraph"/>
        <w:numPr>
          <w:ilvl w:val="0"/>
          <w:numId w:val="17"/>
        </w:numPr>
        <w:spacing w:after="0" w:line="271" w:lineRule="auto"/>
        <w:rPr>
          <w:b/>
        </w:rPr>
        <w:sectPr w:rsidR="00452722" w:rsidRPr="00C00C0A" w:rsidSect="00D61B6F">
          <w:footnotePr>
            <w:numRestart w:val="eachSect"/>
          </w:footnotePr>
          <w:endnotePr>
            <w:numFmt w:val="decimal"/>
          </w:endnotePr>
          <w:type w:val="continuous"/>
          <w:pgSz w:w="12240" w:h="15840" w:code="1"/>
          <w:pgMar w:top="864" w:right="1008" w:bottom="864" w:left="1008" w:header="720" w:footer="720" w:gutter="0"/>
          <w:cols w:num="2" w:space="900"/>
          <w:titlePg/>
          <w:docGrid w:linePitch="299"/>
        </w:sectPr>
      </w:pPr>
    </w:p>
    <w:p w14:paraId="4C294127" w14:textId="5EA0341B" w:rsidR="00C318A3" w:rsidRPr="00C00C0A" w:rsidRDefault="00C318A3" w:rsidP="00C00C0A">
      <w:pPr>
        <w:pStyle w:val="ListParagraph"/>
        <w:numPr>
          <w:ilvl w:val="0"/>
          <w:numId w:val="7"/>
        </w:numPr>
        <w:spacing w:after="0"/>
        <w:ind w:left="360" w:right="-36"/>
      </w:pPr>
      <w:r w:rsidRPr="00C00C0A">
        <w:rPr>
          <w:b/>
        </w:rPr>
        <w:t>Electrical equipment</w:t>
      </w:r>
      <w:r w:rsidRPr="00C00C0A">
        <w:rPr>
          <w:bCs/>
        </w:rPr>
        <w:t xml:space="preserve"> surged to major markets </w:t>
      </w:r>
      <w:r w:rsidR="00C00C0A" w:rsidRPr="00C00C0A">
        <w:rPr>
          <w:bCs/>
        </w:rPr>
        <w:t>such as</w:t>
      </w:r>
      <w:r w:rsidRPr="00C00C0A">
        <w:rPr>
          <w:bCs/>
        </w:rPr>
        <w:t xml:space="preserve"> </w:t>
      </w:r>
      <w:r w:rsidRPr="00C00C0A">
        <w:rPr>
          <w:b/>
        </w:rPr>
        <w:t>Germany</w:t>
      </w:r>
      <w:r w:rsidRPr="00C00C0A">
        <w:rPr>
          <w:bCs/>
        </w:rPr>
        <w:t xml:space="preserve"> (up 40%), </w:t>
      </w:r>
      <w:r w:rsidRPr="00C00C0A">
        <w:rPr>
          <w:b/>
        </w:rPr>
        <w:t>Canada</w:t>
      </w:r>
      <w:r w:rsidRPr="00C00C0A">
        <w:rPr>
          <w:bCs/>
        </w:rPr>
        <w:t xml:space="preserve"> (up 15%), </w:t>
      </w:r>
      <w:r w:rsidRPr="00C00C0A">
        <w:rPr>
          <w:b/>
        </w:rPr>
        <w:t xml:space="preserve">Thailand </w:t>
      </w:r>
      <w:r w:rsidRPr="00C00C0A">
        <w:rPr>
          <w:bCs/>
        </w:rPr>
        <w:t xml:space="preserve">(up 25%) and </w:t>
      </w:r>
      <w:r w:rsidRPr="00C00C0A">
        <w:rPr>
          <w:b/>
        </w:rPr>
        <w:t>Switzerland</w:t>
      </w:r>
      <w:r w:rsidRPr="00C00C0A">
        <w:rPr>
          <w:bCs/>
        </w:rPr>
        <w:t xml:space="preserve"> (up 33%). </w:t>
      </w:r>
      <w:r w:rsidR="00C00C0A" w:rsidRPr="00C00C0A">
        <w:rPr>
          <w:b/>
        </w:rPr>
        <w:t>I</w:t>
      </w:r>
      <w:r w:rsidRPr="00C00C0A">
        <w:rPr>
          <w:b/>
        </w:rPr>
        <w:t xml:space="preserve">ntegrated circuits </w:t>
      </w:r>
      <w:r w:rsidRPr="00C00C0A">
        <w:rPr>
          <w:bCs/>
        </w:rPr>
        <w:t xml:space="preserve">(up 12%), </w:t>
      </w:r>
      <w:r w:rsidRPr="00C00C0A">
        <w:rPr>
          <w:b/>
        </w:rPr>
        <w:t>electrical switches</w:t>
      </w:r>
      <w:r w:rsidRPr="00C00C0A">
        <w:rPr>
          <w:bCs/>
        </w:rPr>
        <w:t xml:space="preserve"> (up 27%)</w:t>
      </w:r>
      <w:r w:rsidR="00C00C0A" w:rsidRPr="00C00C0A">
        <w:rPr>
          <w:bCs/>
        </w:rPr>
        <w:t xml:space="preserve"> grew the most</w:t>
      </w:r>
      <w:r w:rsidRPr="00C00C0A">
        <w:rPr>
          <w:bCs/>
        </w:rPr>
        <w:t>.</w:t>
      </w:r>
    </w:p>
    <w:p w14:paraId="7A8CE65A" w14:textId="1AE81716" w:rsidR="00B43363" w:rsidRPr="00C00C0A" w:rsidRDefault="00D61B6F" w:rsidP="00C00C0A">
      <w:pPr>
        <w:pStyle w:val="ListParagraph"/>
        <w:numPr>
          <w:ilvl w:val="0"/>
          <w:numId w:val="7"/>
        </w:numPr>
        <w:spacing w:after="120"/>
        <w:ind w:left="360" w:right="-36"/>
      </w:pPr>
      <w:r w:rsidRPr="00C00C0A">
        <w:t>A spike in d</w:t>
      </w:r>
      <w:r w:rsidR="00B43363" w:rsidRPr="00C00C0A">
        <w:t xml:space="preserve">emand for </w:t>
      </w:r>
      <w:r w:rsidR="00B43363" w:rsidRPr="00C00C0A">
        <w:rPr>
          <w:b/>
          <w:bCs/>
        </w:rPr>
        <w:t>diagnostic</w:t>
      </w:r>
      <w:r w:rsidR="00EA5594" w:rsidRPr="00C00C0A">
        <w:rPr>
          <w:b/>
          <w:bCs/>
        </w:rPr>
        <w:t>/lab reagents and</w:t>
      </w:r>
      <w:r w:rsidR="00B43363" w:rsidRPr="00C00C0A">
        <w:rPr>
          <w:b/>
          <w:bCs/>
        </w:rPr>
        <w:t xml:space="preserve"> kits </w:t>
      </w:r>
      <w:r w:rsidRPr="00C00C0A">
        <w:t>(</w:t>
      </w:r>
      <w:r w:rsidR="00B43363" w:rsidRPr="00C00C0A">
        <w:t xml:space="preserve">up $65 million) – particularly by </w:t>
      </w:r>
      <w:r w:rsidR="00B43363" w:rsidRPr="00C00C0A">
        <w:rPr>
          <w:b/>
          <w:bCs/>
        </w:rPr>
        <w:t xml:space="preserve">China </w:t>
      </w:r>
      <w:r w:rsidR="00B43363" w:rsidRPr="00C00C0A">
        <w:t>(up $4</w:t>
      </w:r>
      <w:r w:rsidR="00030523" w:rsidRPr="00C00C0A">
        <w:t>4</w:t>
      </w:r>
      <w:r w:rsidR="00B43363" w:rsidRPr="00C00C0A">
        <w:t xml:space="preserve"> million) and </w:t>
      </w:r>
      <w:r w:rsidR="00B43363" w:rsidRPr="00C00C0A">
        <w:rPr>
          <w:b/>
          <w:bCs/>
        </w:rPr>
        <w:t xml:space="preserve">Italy </w:t>
      </w:r>
      <w:r w:rsidR="00B43363" w:rsidRPr="00C00C0A">
        <w:t xml:space="preserve">(up $14 million) – </w:t>
      </w:r>
      <w:r w:rsidR="00EA5594" w:rsidRPr="00C00C0A">
        <w:rPr>
          <w:bCs/>
        </w:rPr>
        <w:t>fueled</w:t>
      </w:r>
      <w:r w:rsidR="00B43363" w:rsidRPr="00C00C0A">
        <w:rPr>
          <w:bCs/>
        </w:rPr>
        <w:t xml:space="preserve"> </w:t>
      </w:r>
      <w:r w:rsidR="00EA5594" w:rsidRPr="00C00C0A">
        <w:rPr>
          <w:bCs/>
        </w:rPr>
        <w:t>strong export growth</w:t>
      </w:r>
      <w:r w:rsidR="00B43363" w:rsidRPr="00C00C0A">
        <w:rPr>
          <w:bCs/>
        </w:rPr>
        <w:t xml:space="preserve"> of </w:t>
      </w:r>
      <w:r w:rsidR="00B43363" w:rsidRPr="00C00C0A">
        <w:rPr>
          <w:b/>
        </w:rPr>
        <w:t>misc</w:t>
      </w:r>
      <w:r w:rsidRPr="00C00C0A">
        <w:rPr>
          <w:b/>
        </w:rPr>
        <w:t>ellaneous</w:t>
      </w:r>
      <w:r w:rsidR="00B43363" w:rsidRPr="00C00C0A">
        <w:rPr>
          <w:b/>
        </w:rPr>
        <w:t xml:space="preserve"> chemicals</w:t>
      </w:r>
      <w:r w:rsidR="00B43363" w:rsidRPr="00C00C0A">
        <w:rPr>
          <w:bCs/>
        </w:rPr>
        <w:t xml:space="preserve"> ($112 million, up 158%)</w:t>
      </w:r>
      <w:r w:rsidR="00904E6E" w:rsidRPr="00C00C0A">
        <w:t xml:space="preserve">. </w:t>
      </w:r>
    </w:p>
    <w:p w14:paraId="18CF1EDA" w14:textId="3640B92E" w:rsidR="00BC1307" w:rsidRPr="00C00C0A" w:rsidRDefault="00EA5594" w:rsidP="00C00C0A">
      <w:pPr>
        <w:pStyle w:val="ListParagraph"/>
        <w:numPr>
          <w:ilvl w:val="0"/>
          <w:numId w:val="7"/>
        </w:numPr>
        <w:spacing w:after="120"/>
        <w:ind w:left="360" w:right="-36"/>
      </w:pPr>
      <w:r w:rsidRPr="00C00C0A">
        <w:rPr>
          <w:b/>
          <w:bCs/>
        </w:rPr>
        <w:t>Iron</w:t>
      </w:r>
      <w:r w:rsidR="00D61B6F" w:rsidRPr="00C00C0A">
        <w:rPr>
          <w:b/>
          <w:bCs/>
        </w:rPr>
        <w:t>/</w:t>
      </w:r>
      <w:r w:rsidRPr="00C00C0A">
        <w:rPr>
          <w:b/>
          <w:bCs/>
        </w:rPr>
        <w:t xml:space="preserve">steel products </w:t>
      </w:r>
      <w:r w:rsidRPr="00C00C0A">
        <w:rPr>
          <w:bCs/>
        </w:rPr>
        <w:t>(up 47%</w:t>
      </w:r>
      <w:r w:rsidRPr="00C00C0A">
        <w:t xml:space="preserve">, </w:t>
      </w:r>
      <w:r w:rsidR="00D61B6F" w:rsidRPr="00C00C0A">
        <w:rPr>
          <w:bCs/>
        </w:rPr>
        <w:t>led</w:t>
      </w:r>
      <w:r w:rsidRPr="00C00C0A">
        <w:rPr>
          <w:bCs/>
        </w:rPr>
        <w:t xml:space="preserve"> by </w:t>
      </w:r>
      <w:r w:rsidRPr="00C00C0A">
        <w:rPr>
          <w:b/>
        </w:rPr>
        <w:t xml:space="preserve">Canada </w:t>
      </w:r>
      <w:r w:rsidRPr="00C00C0A">
        <w:rPr>
          <w:bCs/>
        </w:rPr>
        <w:t xml:space="preserve">and </w:t>
      </w:r>
      <w:r w:rsidRPr="00C00C0A">
        <w:rPr>
          <w:b/>
        </w:rPr>
        <w:t>Mexico</w:t>
      </w:r>
      <w:r w:rsidRPr="00C00C0A">
        <w:rPr>
          <w:bCs/>
        </w:rPr>
        <w:t xml:space="preserve">), </w:t>
      </w:r>
      <w:r w:rsidRPr="00C00C0A">
        <w:rPr>
          <w:b/>
          <w:bCs/>
        </w:rPr>
        <w:t>food by-products</w:t>
      </w:r>
      <w:r w:rsidRPr="00C00C0A">
        <w:t xml:space="preserve"> </w:t>
      </w:r>
      <w:r w:rsidRPr="00C00C0A">
        <w:rPr>
          <w:bCs/>
        </w:rPr>
        <w:t>(up 20%</w:t>
      </w:r>
      <w:r w:rsidRPr="00C00C0A">
        <w:t xml:space="preserve">, </w:t>
      </w:r>
      <w:r w:rsidRPr="00C00C0A">
        <w:rPr>
          <w:bCs/>
        </w:rPr>
        <w:t xml:space="preserve">driven by </w:t>
      </w:r>
      <w:r w:rsidRPr="00C00C0A">
        <w:rPr>
          <w:b/>
        </w:rPr>
        <w:t>starch/sugar</w:t>
      </w:r>
      <w:r w:rsidR="00030523" w:rsidRPr="00C00C0A">
        <w:rPr>
          <w:b/>
        </w:rPr>
        <w:t xml:space="preserve"> </w:t>
      </w:r>
      <w:r w:rsidRPr="00C00C0A">
        <w:rPr>
          <w:b/>
        </w:rPr>
        <w:t>by-products</w:t>
      </w:r>
      <w:r w:rsidRPr="00C00C0A">
        <w:rPr>
          <w:bCs/>
        </w:rPr>
        <w:t xml:space="preserve">) </w:t>
      </w:r>
      <w:r w:rsidRPr="00C00C0A">
        <w:t xml:space="preserve">and </w:t>
      </w:r>
      <w:r w:rsidRPr="00C00C0A">
        <w:rPr>
          <w:b/>
          <w:bCs/>
        </w:rPr>
        <w:t>aircraft/spacecraft</w:t>
      </w:r>
      <w:r w:rsidRPr="00C00C0A">
        <w:t xml:space="preserve"> </w:t>
      </w:r>
      <w:r w:rsidRPr="00C00C0A">
        <w:rPr>
          <w:bCs/>
        </w:rPr>
        <w:t xml:space="preserve">(up 31%, </w:t>
      </w:r>
      <w:r w:rsidR="00D61B6F" w:rsidRPr="00C00C0A">
        <w:rPr>
          <w:bCs/>
        </w:rPr>
        <w:t xml:space="preserve">consisting of </w:t>
      </w:r>
      <w:r w:rsidRPr="00C00C0A">
        <w:rPr>
          <w:b/>
        </w:rPr>
        <w:t>civilian aircraft parts</w:t>
      </w:r>
      <w:r w:rsidRPr="00C00C0A">
        <w:rPr>
          <w:bCs/>
        </w:rPr>
        <w:t xml:space="preserve">) </w:t>
      </w:r>
      <w:r w:rsidR="00D61B6F" w:rsidRPr="00C00C0A">
        <w:t>performed well</w:t>
      </w:r>
      <w:r w:rsidRPr="00C00C0A">
        <w:t>.</w:t>
      </w:r>
    </w:p>
    <w:p w14:paraId="71FFC023" w14:textId="4C91646B" w:rsidR="00D61B6F" w:rsidRPr="00C00C0A" w:rsidRDefault="00AA1D28" w:rsidP="00C00C0A">
      <w:pPr>
        <w:pStyle w:val="ListParagraph"/>
        <w:numPr>
          <w:ilvl w:val="0"/>
          <w:numId w:val="7"/>
        </w:numPr>
        <w:spacing w:after="120"/>
        <w:ind w:left="360" w:right="-36"/>
      </w:pPr>
      <w:r w:rsidRPr="00C00C0A">
        <w:t xml:space="preserve">Markets for </w:t>
      </w:r>
      <w:r w:rsidRPr="00C00C0A">
        <w:rPr>
          <w:b/>
          <w:bCs/>
        </w:rPr>
        <w:t xml:space="preserve">machinery </w:t>
      </w:r>
      <w:r w:rsidRPr="00C00C0A">
        <w:t>rallied</w:t>
      </w:r>
      <w:r w:rsidR="00C00C0A">
        <w:t>. G</w:t>
      </w:r>
      <w:r w:rsidRPr="00C00C0A">
        <w:t xml:space="preserve">rowing markets (such as </w:t>
      </w:r>
      <w:r w:rsidRPr="00C00C0A">
        <w:rPr>
          <w:b/>
          <w:bCs/>
        </w:rPr>
        <w:t xml:space="preserve">China, Canada, </w:t>
      </w:r>
      <w:proofErr w:type="gramStart"/>
      <w:r w:rsidRPr="00C00C0A">
        <w:rPr>
          <w:b/>
          <w:bCs/>
        </w:rPr>
        <w:t>Belgium</w:t>
      </w:r>
      <w:proofErr w:type="gramEnd"/>
      <w:r w:rsidRPr="00C00C0A">
        <w:rPr>
          <w:b/>
          <w:bCs/>
        </w:rPr>
        <w:t xml:space="preserve"> </w:t>
      </w:r>
      <w:r w:rsidRPr="00C00C0A">
        <w:t xml:space="preserve">and </w:t>
      </w:r>
      <w:r w:rsidRPr="00C00C0A">
        <w:rPr>
          <w:b/>
          <w:bCs/>
        </w:rPr>
        <w:t>Mexico</w:t>
      </w:r>
      <w:r w:rsidRPr="00C00C0A">
        <w:t xml:space="preserve">) offset </w:t>
      </w:r>
      <w:r w:rsidR="005A7F78" w:rsidRPr="00C00C0A">
        <w:t>slid</w:t>
      </w:r>
      <w:r w:rsidRPr="00C00C0A">
        <w:t xml:space="preserve">ing markets (mainly </w:t>
      </w:r>
      <w:r w:rsidRPr="00C00C0A">
        <w:rPr>
          <w:b/>
          <w:bCs/>
        </w:rPr>
        <w:t>the Philippines</w:t>
      </w:r>
      <w:r w:rsidR="00C3457A" w:rsidRPr="00C00C0A">
        <w:t>,</w:t>
      </w:r>
      <w:r w:rsidR="00C00C0A">
        <w:t xml:space="preserve"> as</w:t>
      </w:r>
      <w:r w:rsidR="00C3457A" w:rsidRPr="00C00C0A">
        <w:t xml:space="preserve"> demand for </w:t>
      </w:r>
      <w:r w:rsidR="00723881" w:rsidRPr="00C00C0A">
        <w:rPr>
          <w:b/>
          <w:bCs/>
        </w:rPr>
        <w:t>m</w:t>
      </w:r>
      <w:r w:rsidRPr="00C00C0A">
        <w:rPr>
          <w:b/>
          <w:bCs/>
        </w:rPr>
        <w:t>achines to manufacture semiconductors</w:t>
      </w:r>
      <w:r w:rsidR="00C3457A" w:rsidRPr="00C00C0A">
        <w:rPr>
          <w:b/>
          <w:bCs/>
        </w:rPr>
        <w:t xml:space="preserve"> </w:t>
      </w:r>
      <w:r w:rsidR="00C3457A" w:rsidRPr="00C00C0A">
        <w:t>fell $78 million).</w:t>
      </w:r>
    </w:p>
    <w:p w14:paraId="3A00046D" w14:textId="75D394AC" w:rsidR="00723881" w:rsidRPr="00C00C0A" w:rsidRDefault="00330253" w:rsidP="00330253">
      <w:pPr>
        <w:pStyle w:val="ListParagraph"/>
        <w:numPr>
          <w:ilvl w:val="0"/>
          <w:numId w:val="7"/>
        </w:numPr>
        <w:spacing w:after="0"/>
        <w:ind w:left="360" w:right="-36"/>
      </w:pPr>
      <w:r>
        <w:t>Among</w:t>
      </w:r>
      <w:r w:rsidRPr="00330253">
        <w:t xml:space="preserve"> </w:t>
      </w:r>
      <w:r>
        <w:rPr>
          <w:b/>
          <w:bCs/>
        </w:rPr>
        <w:t>o</w:t>
      </w:r>
      <w:r w:rsidR="00723881" w:rsidRPr="00C00C0A">
        <w:rPr>
          <w:b/>
          <w:bCs/>
        </w:rPr>
        <w:t>ptic, medical</w:t>
      </w:r>
      <w:r>
        <w:rPr>
          <w:b/>
          <w:bCs/>
        </w:rPr>
        <w:t xml:space="preserve"> </w:t>
      </w:r>
      <w:r w:rsidRPr="00330253">
        <w:t>segments</w:t>
      </w:r>
      <w:r>
        <w:rPr>
          <w:b/>
          <w:bCs/>
        </w:rPr>
        <w:t>,</w:t>
      </w:r>
      <w:r w:rsidR="00723881" w:rsidRPr="00C00C0A">
        <w:t xml:space="preserve"> </w:t>
      </w:r>
      <w:r w:rsidR="00723881" w:rsidRPr="00330253">
        <w:rPr>
          <w:b/>
          <w:bCs/>
        </w:rPr>
        <w:t xml:space="preserve">orthopedic, artificial body parts </w:t>
      </w:r>
      <w:r w:rsidR="00723881" w:rsidRPr="00C00C0A">
        <w:t xml:space="preserve">(up 35%) and </w:t>
      </w:r>
      <w:r w:rsidR="00723881" w:rsidRPr="00330253">
        <w:rPr>
          <w:b/>
          <w:bCs/>
        </w:rPr>
        <w:t>misc</w:t>
      </w:r>
      <w:r w:rsidR="00AC25A3" w:rsidRPr="00330253">
        <w:rPr>
          <w:b/>
          <w:bCs/>
        </w:rPr>
        <w:t>. optical/medical</w:t>
      </w:r>
      <w:r w:rsidR="00723881" w:rsidRPr="00330253">
        <w:rPr>
          <w:b/>
          <w:bCs/>
        </w:rPr>
        <w:t xml:space="preserve"> </w:t>
      </w:r>
      <w:r w:rsidR="00C3457A" w:rsidRPr="00330253">
        <w:rPr>
          <w:b/>
          <w:bCs/>
        </w:rPr>
        <w:t>machines</w:t>
      </w:r>
      <w:r w:rsidR="00723881" w:rsidRPr="00330253">
        <w:rPr>
          <w:b/>
          <w:bCs/>
        </w:rPr>
        <w:t xml:space="preserve"> </w:t>
      </w:r>
      <w:r w:rsidR="00723881" w:rsidRPr="00C00C0A">
        <w:t xml:space="preserve">(up 23%) </w:t>
      </w:r>
      <w:r w:rsidR="00AC25A3" w:rsidRPr="00C00C0A">
        <w:t xml:space="preserve">balanced </w:t>
      </w:r>
      <w:r w:rsidR="00AC25A3" w:rsidRPr="00330253">
        <w:rPr>
          <w:b/>
          <w:bCs/>
        </w:rPr>
        <w:t>medical, surgical instruments</w:t>
      </w:r>
      <w:r w:rsidR="00AC25A3" w:rsidRPr="00C00C0A">
        <w:t xml:space="preserve"> (down 10%) and </w:t>
      </w:r>
      <w:r w:rsidR="00AC25A3" w:rsidRPr="00330253">
        <w:rPr>
          <w:b/>
          <w:bCs/>
        </w:rPr>
        <w:t>optical fibers</w:t>
      </w:r>
      <w:r w:rsidR="00AC25A3" w:rsidRPr="00C00C0A">
        <w:t xml:space="preserve"> (down 29%).</w:t>
      </w:r>
      <w:r w:rsidR="004171EF" w:rsidRPr="00C00C0A">
        <w:t xml:space="preserve"> </w:t>
      </w:r>
      <w:r w:rsidR="004171EF" w:rsidRPr="00330253">
        <w:rPr>
          <w:b/>
          <w:bCs/>
        </w:rPr>
        <w:t xml:space="preserve">Costa Rica </w:t>
      </w:r>
      <w:r w:rsidR="004171EF" w:rsidRPr="00C00C0A">
        <w:t>(up 34%),</w:t>
      </w:r>
      <w:r w:rsidR="004171EF" w:rsidRPr="00330253">
        <w:rPr>
          <w:b/>
          <w:bCs/>
        </w:rPr>
        <w:t xml:space="preserve"> Ireland </w:t>
      </w:r>
      <w:r w:rsidR="004171EF" w:rsidRPr="00C00C0A">
        <w:t>(up 12%)</w:t>
      </w:r>
      <w:r w:rsidR="00334E27" w:rsidRPr="00C00C0A">
        <w:t xml:space="preserve"> and</w:t>
      </w:r>
      <w:r w:rsidR="004171EF" w:rsidRPr="00330253">
        <w:rPr>
          <w:b/>
          <w:bCs/>
        </w:rPr>
        <w:t xml:space="preserve"> Taiwan </w:t>
      </w:r>
      <w:r w:rsidR="004171EF" w:rsidRPr="00C00C0A">
        <w:t xml:space="preserve">(up 17%) </w:t>
      </w:r>
      <w:r w:rsidR="00334E27" w:rsidRPr="00C00C0A">
        <w:t>mitigated</w:t>
      </w:r>
      <w:r>
        <w:t xml:space="preserve"> adverse</w:t>
      </w:r>
      <w:r w:rsidR="00C00C0A">
        <w:t xml:space="preserve"> trend</w:t>
      </w:r>
      <w:r w:rsidR="00C3457A" w:rsidRPr="00C00C0A">
        <w:t>s in</w:t>
      </w:r>
      <w:r w:rsidR="00334E27" w:rsidRPr="00C00C0A">
        <w:t xml:space="preserve"> </w:t>
      </w:r>
      <w:r w:rsidR="00334E27" w:rsidRPr="00330253">
        <w:rPr>
          <w:b/>
          <w:bCs/>
        </w:rPr>
        <w:t>Chin</w:t>
      </w:r>
      <w:r w:rsidR="00C3457A" w:rsidRPr="00330253">
        <w:rPr>
          <w:b/>
          <w:bCs/>
        </w:rPr>
        <w:t>a</w:t>
      </w:r>
      <w:r w:rsidR="00C3457A" w:rsidRPr="00C00C0A">
        <w:t>,</w:t>
      </w:r>
      <w:r w:rsidR="00334E27" w:rsidRPr="00C00C0A">
        <w:t xml:space="preserve"> </w:t>
      </w:r>
      <w:proofErr w:type="gramStart"/>
      <w:r w:rsidR="00334E27" w:rsidRPr="00330253">
        <w:rPr>
          <w:b/>
          <w:bCs/>
        </w:rPr>
        <w:t>Japan</w:t>
      </w:r>
      <w:proofErr w:type="gramEnd"/>
      <w:r>
        <w:rPr>
          <w:b/>
          <w:bCs/>
        </w:rPr>
        <w:t xml:space="preserve"> </w:t>
      </w:r>
      <w:r>
        <w:t>and</w:t>
      </w:r>
      <w:r w:rsidR="00C3457A" w:rsidRPr="00C00C0A">
        <w:t xml:space="preserve"> </w:t>
      </w:r>
      <w:r w:rsidR="00C3457A" w:rsidRPr="00330253">
        <w:rPr>
          <w:b/>
          <w:bCs/>
        </w:rPr>
        <w:t>Belgium</w:t>
      </w:r>
      <w:r w:rsidR="00C3457A" w:rsidRPr="00C00C0A">
        <w:t>.</w:t>
      </w:r>
    </w:p>
    <w:p w14:paraId="72DED51A" w14:textId="1353DF3A" w:rsidR="00334E27" w:rsidRPr="00C00C0A" w:rsidRDefault="00C00C0A" w:rsidP="00C00C0A">
      <w:pPr>
        <w:pStyle w:val="ListParagraph"/>
        <w:numPr>
          <w:ilvl w:val="0"/>
          <w:numId w:val="7"/>
        </w:numPr>
        <w:spacing w:after="0"/>
        <w:ind w:left="360" w:right="-36"/>
      </w:pPr>
      <w:r w:rsidRPr="00C00C0A">
        <w:rPr>
          <w:b/>
          <w:bCs/>
        </w:rPr>
        <w:t xml:space="preserve">Mexico </w:t>
      </w:r>
      <w:r w:rsidRPr="00C00C0A">
        <w:t xml:space="preserve">(down $67 million) dragged down </w:t>
      </w:r>
      <w:r w:rsidRPr="00C00C0A">
        <w:rPr>
          <w:b/>
          <w:bCs/>
        </w:rPr>
        <w:t>o</w:t>
      </w:r>
      <w:r w:rsidR="007741F5" w:rsidRPr="00C00C0A">
        <w:rPr>
          <w:b/>
          <w:bCs/>
        </w:rPr>
        <w:t>il seeds, misc. grain</w:t>
      </w:r>
      <w:r w:rsidRPr="00C00C0A">
        <w:t xml:space="preserve"> ($61 million, down </w:t>
      </w:r>
      <w:r w:rsidR="007741F5" w:rsidRPr="00C00C0A">
        <w:t>49%</w:t>
      </w:r>
      <w:r w:rsidRPr="00C00C0A">
        <w:t xml:space="preserve">), while </w:t>
      </w:r>
      <w:r w:rsidRPr="00C00C0A">
        <w:rPr>
          <w:b/>
          <w:bCs/>
        </w:rPr>
        <w:t xml:space="preserve">China </w:t>
      </w:r>
      <w:r w:rsidRPr="00C00C0A">
        <w:t xml:space="preserve">(down $32 million) and </w:t>
      </w:r>
      <w:r w:rsidRPr="00C00C0A">
        <w:rPr>
          <w:b/>
          <w:bCs/>
        </w:rPr>
        <w:t xml:space="preserve">Italy </w:t>
      </w:r>
      <w:r w:rsidRPr="00C00C0A">
        <w:t xml:space="preserve">(down $15 million) most impacted </w:t>
      </w:r>
      <w:r w:rsidRPr="00C00C0A">
        <w:rPr>
          <w:b/>
          <w:bCs/>
        </w:rPr>
        <w:t>pharmaceuticals</w:t>
      </w:r>
      <w:r w:rsidRPr="00C00C0A">
        <w:t xml:space="preserve"> ($49 million, down 55%).</w:t>
      </w:r>
    </w:p>
    <w:p w14:paraId="73CDCF23" w14:textId="3922EA5C" w:rsidR="004A4223" w:rsidRPr="00C00C0A" w:rsidRDefault="007F1C4A" w:rsidP="00AC25A3">
      <w:pPr>
        <w:pStyle w:val="Heading4"/>
        <w:spacing w:before="60"/>
        <w:rPr>
          <w:color w:val="auto"/>
        </w:rPr>
      </w:pPr>
      <w:r w:rsidRPr="00C00C0A">
        <w:rPr>
          <w:color w:val="auto"/>
        </w:rPr>
        <w:t>Fi</w:t>
      </w:r>
      <w:r w:rsidR="00A44451" w:rsidRPr="00C00C0A">
        <w:rPr>
          <w:color w:val="auto"/>
        </w:rPr>
        <w:t>gure 4. Export Trends for</w:t>
      </w:r>
      <w:r w:rsidRPr="00C00C0A">
        <w:rPr>
          <w:color w:val="auto"/>
        </w:rPr>
        <w:t xml:space="preserve"> Minnesota’s Top 10 Products, </w:t>
      </w:r>
      <w:r w:rsidR="00955D44" w:rsidRPr="00C00C0A">
        <w:rPr>
          <w:color w:val="auto"/>
        </w:rPr>
        <w:t>Second</w:t>
      </w:r>
      <w:r w:rsidR="00A52415" w:rsidRPr="00C00C0A">
        <w:rPr>
          <w:color w:val="auto"/>
        </w:rPr>
        <w:t xml:space="preserve"> Quarter </w:t>
      </w:r>
      <w:r w:rsidR="00507309" w:rsidRPr="00C00C0A">
        <w:rPr>
          <w:color w:val="auto"/>
        </w:rPr>
        <w:t>2022</w:t>
      </w:r>
    </w:p>
    <w:tbl>
      <w:tblPr>
        <w:tblpPr w:leftFromText="180" w:rightFromText="180" w:vertAnchor="page" w:horzAnchor="margin" w:tblpY="1300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E5A6"/>
        <w:tblLook w:val="04A0" w:firstRow="1" w:lastRow="0" w:firstColumn="1" w:lastColumn="0" w:noHBand="0" w:noVBand="1"/>
        <w:tblCaption w:val="Additional information"/>
        <w:tblDescription w:val="Minnesota Quarterly Export Statistics is the most current resource available for tracking the state’s export trends in manufactured and other goods. The report is prepared for the Minnesota Trade Office (MTO) by the Department of Employment and Economic Development’s (DEED) Economic Analysis Unit (Thu-Mai Ho-Kim). The quarterly and annual statistics reports primarily cover export data based on the Harmonized System (Schedule B), accessed from WISERTrade - State HS Database, based on data collected by the U.S. Census Bureau, Foreign Trade Division. Reports are available on DEED’s website at “Export and Trade Statistics” (http://mn.gov/deed/data/export-stats/)"/>
      </w:tblPr>
      <w:tblGrid>
        <w:gridCol w:w="10075"/>
      </w:tblGrid>
      <w:tr w:rsidR="00C00C0A" w:rsidRPr="00C00C0A" w14:paraId="01593FEA" w14:textId="77777777" w:rsidTr="00AC25A3">
        <w:trPr>
          <w:trHeight w:val="1070"/>
        </w:trPr>
        <w:tc>
          <w:tcPr>
            <w:tcW w:w="10075" w:type="dxa"/>
            <w:shd w:val="clear" w:color="auto" w:fill="C9E5A6"/>
          </w:tcPr>
          <w:p w14:paraId="612C7389" w14:textId="77777777" w:rsidR="00507309" w:rsidRPr="00C00C0A" w:rsidRDefault="00507309" w:rsidP="00AC25A3">
            <w:pPr>
              <w:spacing w:after="0"/>
            </w:pPr>
            <w:r w:rsidRPr="00C00C0A">
              <w:rPr>
                <w:rStyle w:val="Emphasis"/>
                <w:rFonts w:cstheme="minorHAnsi"/>
                <w:sz w:val="20"/>
                <w:szCs w:val="20"/>
              </w:rPr>
              <w:t>Minnesota Quarterly Export Statistics</w:t>
            </w:r>
            <w:r w:rsidRPr="00C00C0A">
              <w:rPr>
                <w:rFonts w:ascii="Calibri" w:hAnsi="Calibri"/>
                <w:sz w:val="20"/>
                <w:szCs w:val="20"/>
              </w:rPr>
              <w:t xml:space="preserve"> is the most current resource available for tracking the state’s export trends in manufactured and other goods. The report is prepared for the Minnesota Trade Office (MTO) by the Department of Employment and Economic Development’s (DEED) Economic Analysis Unit (Thu-Mai Ho-Kim). </w:t>
            </w:r>
            <w:r w:rsidRPr="00C00C0A">
              <w:rPr>
                <w:rFonts w:ascii="Calibri" w:hAnsi="Calibri" w:cs="Calibri"/>
                <w:sz w:val="20"/>
                <w:szCs w:val="20"/>
              </w:rPr>
              <w:t>The quarterly and annual statistics reports primarily cover export data based on the Harmonized System (Schedule B),</w:t>
            </w:r>
            <w:r w:rsidRPr="00C00C0A">
              <w:rPr>
                <w:rFonts w:cstheme="minorHAnsi"/>
                <w:sz w:val="20"/>
                <w:szCs w:val="20"/>
              </w:rPr>
              <w:t xml:space="preserve"> accessed from WISERTrade - State HS Database, based on data collected by the U.S. Census Bureau, Foreign Trade Division</w:t>
            </w:r>
            <w:r w:rsidRPr="00C00C0A">
              <w:rPr>
                <w:rFonts w:ascii="Calibri" w:hAnsi="Calibri" w:cs="Calibri"/>
                <w:sz w:val="20"/>
                <w:szCs w:val="20"/>
              </w:rPr>
              <w:t>. Reports are available on DEED’s website at “Export and Trade Statistics” (</w:t>
            </w:r>
            <w:hyperlink r:id="rId16" w:history="1">
              <w:r w:rsidRPr="00C00C0A">
                <w:rPr>
                  <w:rStyle w:val="Hyperlink"/>
                  <w:color w:val="auto"/>
                  <w:sz w:val="20"/>
                  <w:szCs w:val="20"/>
                </w:rPr>
                <w:t>http://mn.gov/deed/data/export-stats/</w:t>
              </w:r>
            </w:hyperlink>
            <w:r w:rsidRPr="00C00C0A">
              <w:rPr>
                <w:sz w:val="20"/>
                <w:szCs w:val="20"/>
              </w:rPr>
              <w:t>)</w:t>
            </w:r>
          </w:p>
        </w:tc>
      </w:tr>
    </w:tbl>
    <w:p w14:paraId="16AA9AAD" w14:textId="3554B4F5" w:rsidR="005C10BC" w:rsidRPr="00C00C0A" w:rsidRDefault="000C706C" w:rsidP="00E0787A">
      <w:pPr>
        <w:spacing w:after="120"/>
      </w:pPr>
      <w:r w:rsidRPr="00C00C0A">
        <w:rPr>
          <w:noProof/>
        </w:rPr>
        <w:drawing>
          <wp:inline distT="0" distB="0" distL="0" distR="0" wp14:anchorId="10C8C650" wp14:editId="3AED451C">
            <wp:extent cx="6492240" cy="1943735"/>
            <wp:effectExtent l="0" t="0" r="3810" b="0"/>
            <wp:docPr id="10" name="Picture 10" descr="PRODUCT  Exports (millions)  Percent Change, 2021-Q2 to 2022-Q2&#10;TOTAL  $6,687  12%&#10;Machinery  $997  0%&#10;Optic, Medical  $965  1%&#10;Electrical Equipment  $911  13%&#10;Mineral Fuel, Oil  $701  69%&#10;Plastics  $313  579%&#10;Cereals  $309  394%&#10;Vehicles  $308  3%&#10;Food By-Products  $204  20%&#10;Ores, Slag, Ash  $145  -15%&#10;Aircraft, Spacecraft  $129  31%&#10;Other  $1,706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RODUCT  Exports (millions)  Percent Change, 2021-Q2 to 2022-Q2&#10;TOTAL  $6,687  12%&#10;Machinery  $997  0%&#10;Optic, Medical  $965  1%&#10;Electrical Equipment  $911  13%&#10;Mineral Fuel, Oil  $701  69%&#10;Plastics  $313  579%&#10;Cereals  $309  394%&#10;Vehicles  $308  3%&#10;Food By-Products  $204  20%&#10;Ores, Slag, Ash  $145  -15%&#10;Aircraft, Spacecraft  $129  31%&#10;Other  $1,706  3%"/>
                    <pic:cNvPicPr>
                      <a:picLocks noChangeAspect="1" noChangeArrowheads="1"/>
                    </pic:cNvPicPr>
                  </pic:nvPicPr>
                  <pic:blipFill rotWithShape="1">
                    <a:blip r:embed="rId17">
                      <a:extLst>
                        <a:ext uri="{28A0092B-C50C-407E-A947-70E740481C1C}">
                          <a14:useLocalDpi xmlns:a14="http://schemas.microsoft.com/office/drawing/2010/main" val="0"/>
                        </a:ext>
                      </a:extLst>
                    </a:blip>
                    <a:srcRect t="7690"/>
                    <a:stretch/>
                  </pic:blipFill>
                  <pic:spPr bwMode="auto">
                    <a:xfrm>
                      <a:off x="0" y="0"/>
                      <a:ext cx="6492240" cy="1943735"/>
                    </a:xfrm>
                    <a:prstGeom prst="rect">
                      <a:avLst/>
                    </a:prstGeom>
                    <a:noFill/>
                    <a:ln>
                      <a:noFill/>
                    </a:ln>
                    <a:extLst>
                      <a:ext uri="{53640926-AAD7-44D8-BBD7-CCE9431645EC}">
                        <a14:shadowObscured xmlns:a14="http://schemas.microsoft.com/office/drawing/2010/main"/>
                      </a:ext>
                    </a:extLst>
                  </pic:spPr>
                </pic:pic>
              </a:graphicData>
            </a:graphic>
          </wp:inline>
        </w:drawing>
      </w:r>
    </w:p>
    <w:p w14:paraId="7C147EF7" w14:textId="77777777" w:rsidR="007F1C4A" w:rsidRPr="00C00C0A" w:rsidRDefault="007F1C4A" w:rsidP="00831997">
      <w:pPr>
        <w:spacing w:after="240"/>
        <w:rPr>
          <w:rFonts w:ascii="Times New Roman" w:eastAsia="Times New Roman" w:hAnsi="Times New Roman" w:cs="Times New Roman"/>
          <w:snapToGrid w:val="0"/>
          <w:w w:val="0"/>
          <w:sz w:val="0"/>
          <w:szCs w:val="0"/>
          <w:u w:color="000000"/>
          <w:bdr w:val="none" w:sz="0" w:space="0" w:color="000000"/>
          <w:shd w:val="clear" w:color="000000" w:fill="000000"/>
          <w:lang w:eastAsia="x-none" w:bidi="x-none"/>
        </w:rPr>
      </w:pPr>
    </w:p>
    <w:sectPr w:rsidR="007F1C4A" w:rsidRPr="00C00C0A" w:rsidSect="00507309">
      <w:footerReference w:type="default" r:id="rId18"/>
      <w:footnotePr>
        <w:numRestart w:val="eachSect"/>
      </w:footnotePr>
      <w:endnotePr>
        <w:numFmt w:val="decimal"/>
      </w:endnotePr>
      <w:type w:val="continuous"/>
      <w:pgSz w:w="12240" w:h="15840" w:code="1"/>
      <w:pgMar w:top="864" w:right="1008" w:bottom="864" w:left="100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DC29" w14:textId="77777777" w:rsidR="00D23EF6" w:rsidRDefault="00D23EF6">
      <w:r>
        <w:separator/>
      </w:r>
    </w:p>
  </w:endnote>
  <w:endnote w:type="continuationSeparator" w:id="0">
    <w:p w14:paraId="3F82A6D3" w14:textId="77777777" w:rsidR="00D23EF6" w:rsidRDefault="00D2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11F6" w14:textId="77777777" w:rsidR="00CC1B7D" w:rsidRDefault="00CC1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82E195" w14:textId="77777777" w:rsidR="00CC1B7D" w:rsidRDefault="00CC1B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6150" w14:textId="77777777" w:rsidR="00A14E15" w:rsidRPr="00A14E15" w:rsidRDefault="00A14E15" w:rsidP="00A1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723A3" w14:textId="77777777" w:rsidR="00D23EF6" w:rsidRDefault="00D23EF6">
      <w:r>
        <w:separator/>
      </w:r>
    </w:p>
  </w:footnote>
  <w:footnote w:type="continuationSeparator" w:id="0">
    <w:p w14:paraId="7A0231AD" w14:textId="77777777" w:rsidR="00D23EF6" w:rsidRDefault="00D23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B42A"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47C6F" w14:textId="77777777" w:rsidR="00CC1B7D" w:rsidRDefault="00CC1B7D" w:rsidP="00E014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BEFB"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236">
      <w:rPr>
        <w:rStyle w:val="PageNumber"/>
        <w:noProof/>
      </w:rPr>
      <w:t>2</w:t>
    </w:r>
    <w:r>
      <w:rPr>
        <w:rStyle w:val="PageNumber"/>
      </w:rPr>
      <w:fldChar w:fldCharType="end"/>
    </w:r>
  </w:p>
  <w:p w14:paraId="4CE97ED2" w14:textId="77777777" w:rsidR="00CC1B7D" w:rsidRDefault="00CC1B7D" w:rsidP="00E014F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948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AD7251"/>
    <w:multiLevelType w:val="hybridMultilevel"/>
    <w:tmpl w:val="A20C3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055FB0"/>
    <w:multiLevelType w:val="hybridMultilevel"/>
    <w:tmpl w:val="39F0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9B22E7"/>
    <w:multiLevelType w:val="hybridMultilevel"/>
    <w:tmpl w:val="DB8C1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621A5E"/>
    <w:multiLevelType w:val="hybridMultilevel"/>
    <w:tmpl w:val="787C9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8E4940"/>
    <w:multiLevelType w:val="hybridMultilevel"/>
    <w:tmpl w:val="4AAE80EE"/>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1121C"/>
    <w:multiLevelType w:val="hybridMultilevel"/>
    <w:tmpl w:val="CFAA2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731D63"/>
    <w:multiLevelType w:val="hybridMultilevel"/>
    <w:tmpl w:val="0FB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81A19"/>
    <w:multiLevelType w:val="hybridMultilevel"/>
    <w:tmpl w:val="B832D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373CB2"/>
    <w:multiLevelType w:val="hybridMultilevel"/>
    <w:tmpl w:val="641C1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1704E9"/>
    <w:multiLevelType w:val="hybridMultilevel"/>
    <w:tmpl w:val="187C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38056F"/>
    <w:multiLevelType w:val="hybridMultilevel"/>
    <w:tmpl w:val="88CEE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DA42E3"/>
    <w:multiLevelType w:val="hybridMultilevel"/>
    <w:tmpl w:val="8A0E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9D255A"/>
    <w:multiLevelType w:val="hybridMultilevel"/>
    <w:tmpl w:val="2EE4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975A35"/>
    <w:multiLevelType w:val="hybridMultilevel"/>
    <w:tmpl w:val="E5021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F11FFB"/>
    <w:multiLevelType w:val="hybridMultilevel"/>
    <w:tmpl w:val="4CDAD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E717D2"/>
    <w:multiLevelType w:val="hybridMultilevel"/>
    <w:tmpl w:val="E334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4"/>
  </w:num>
  <w:num w:numId="5">
    <w:abstractNumId w:val="1"/>
  </w:num>
  <w:num w:numId="6">
    <w:abstractNumId w:val="7"/>
  </w:num>
  <w:num w:numId="7">
    <w:abstractNumId w:val="16"/>
  </w:num>
  <w:num w:numId="8">
    <w:abstractNumId w:val="14"/>
  </w:num>
  <w:num w:numId="9">
    <w:abstractNumId w:val="9"/>
  </w:num>
  <w:num w:numId="10">
    <w:abstractNumId w:val="8"/>
  </w:num>
  <w:num w:numId="11">
    <w:abstractNumId w:val="6"/>
  </w:num>
  <w:num w:numId="12">
    <w:abstractNumId w:val="2"/>
  </w:num>
  <w:num w:numId="13">
    <w:abstractNumId w:val="15"/>
  </w:num>
  <w:num w:numId="14">
    <w:abstractNumId w:val="10"/>
  </w:num>
  <w:num w:numId="15">
    <w:abstractNumId w:val="5"/>
  </w:num>
  <w:num w:numId="16">
    <w:abstractNumId w:val="3"/>
  </w:num>
  <w:num w:numId="1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AB"/>
    <w:rsid w:val="00003FDB"/>
    <w:rsid w:val="000041CC"/>
    <w:rsid w:val="0000470B"/>
    <w:rsid w:val="00011310"/>
    <w:rsid w:val="000115BA"/>
    <w:rsid w:val="00013717"/>
    <w:rsid w:val="00015A9D"/>
    <w:rsid w:val="00017FE0"/>
    <w:rsid w:val="000218A0"/>
    <w:rsid w:val="00024BB5"/>
    <w:rsid w:val="00030523"/>
    <w:rsid w:val="000350A7"/>
    <w:rsid w:val="00035328"/>
    <w:rsid w:val="00036238"/>
    <w:rsid w:val="000378FD"/>
    <w:rsid w:val="00046117"/>
    <w:rsid w:val="00051FE0"/>
    <w:rsid w:val="00051FF7"/>
    <w:rsid w:val="00052D34"/>
    <w:rsid w:val="000541A0"/>
    <w:rsid w:val="00054A6E"/>
    <w:rsid w:val="00055AAF"/>
    <w:rsid w:val="0005790D"/>
    <w:rsid w:val="000603F2"/>
    <w:rsid w:val="00061093"/>
    <w:rsid w:val="0006144E"/>
    <w:rsid w:val="0006608A"/>
    <w:rsid w:val="000705F0"/>
    <w:rsid w:val="000716AC"/>
    <w:rsid w:val="00073109"/>
    <w:rsid w:val="000731F2"/>
    <w:rsid w:val="00073987"/>
    <w:rsid w:val="00073CA8"/>
    <w:rsid w:val="00076DF3"/>
    <w:rsid w:val="00077989"/>
    <w:rsid w:val="0008038B"/>
    <w:rsid w:val="00083199"/>
    <w:rsid w:val="00084CB7"/>
    <w:rsid w:val="0008536A"/>
    <w:rsid w:val="000859F2"/>
    <w:rsid w:val="00085EED"/>
    <w:rsid w:val="000878A3"/>
    <w:rsid w:val="00090B7B"/>
    <w:rsid w:val="000919F2"/>
    <w:rsid w:val="0009219A"/>
    <w:rsid w:val="000924DC"/>
    <w:rsid w:val="00092621"/>
    <w:rsid w:val="0009287F"/>
    <w:rsid w:val="000929D8"/>
    <w:rsid w:val="00092FFB"/>
    <w:rsid w:val="00096FFD"/>
    <w:rsid w:val="000A1B8D"/>
    <w:rsid w:val="000A491B"/>
    <w:rsid w:val="000A4AB3"/>
    <w:rsid w:val="000A5664"/>
    <w:rsid w:val="000A7EF0"/>
    <w:rsid w:val="000B2DF3"/>
    <w:rsid w:val="000B518F"/>
    <w:rsid w:val="000B6338"/>
    <w:rsid w:val="000C06E3"/>
    <w:rsid w:val="000C1CB0"/>
    <w:rsid w:val="000C2181"/>
    <w:rsid w:val="000C2F10"/>
    <w:rsid w:val="000C3AE5"/>
    <w:rsid w:val="000C706C"/>
    <w:rsid w:val="000D02DD"/>
    <w:rsid w:val="000D1330"/>
    <w:rsid w:val="000D18A9"/>
    <w:rsid w:val="000D57C2"/>
    <w:rsid w:val="000D5D94"/>
    <w:rsid w:val="000D6FAF"/>
    <w:rsid w:val="000E0786"/>
    <w:rsid w:val="000E3376"/>
    <w:rsid w:val="000E6BD9"/>
    <w:rsid w:val="000E6F54"/>
    <w:rsid w:val="000E7ED0"/>
    <w:rsid w:val="000F0519"/>
    <w:rsid w:val="000F1844"/>
    <w:rsid w:val="000F1B22"/>
    <w:rsid w:val="000F3E1F"/>
    <w:rsid w:val="000F4C5E"/>
    <w:rsid w:val="000F54F2"/>
    <w:rsid w:val="000F6660"/>
    <w:rsid w:val="000F6CDA"/>
    <w:rsid w:val="00106910"/>
    <w:rsid w:val="00107130"/>
    <w:rsid w:val="00107686"/>
    <w:rsid w:val="001104C3"/>
    <w:rsid w:val="00111990"/>
    <w:rsid w:val="001127F8"/>
    <w:rsid w:val="00112A1D"/>
    <w:rsid w:val="00112A91"/>
    <w:rsid w:val="001214D7"/>
    <w:rsid w:val="00124698"/>
    <w:rsid w:val="0012471B"/>
    <w:rsid w:val="001250AB"/>
    <w:rsid w:val="001263E2"/>
    <w:rsid w:val="001275CA"/>
    <w:rsid w:val="00132366"/>
    <w:rsid w:val="00132A66"/>
    <w:rsid w:val="00134ECC"/>
    <w:rsid w:val="00134F20"/>
    <w:rsid w:val="00135A0B"/>
    <w:rsid w:val="001360E3"/>
    <w:rsid w:val="00136664"/>
    <w:rsid w:val="00136C1C"/>
    <w:rsid w:val="001373C3"/>
    <w:rsid w:val="00137E8C"/>
    <w:rsid w:val="00140B5F"/>
    <w:rsid w:val="00142003"/>
    <w:rsid w:val="0014228E"/>
    <w:rsid w:val="001422BE"/>
    <w:rsid w:val="00145936"/>
    <w:rsid w:val="00147356"/>
    <w:rsid w:val="00147EEF"/>
    <w:rsid w:val="001619F1"/>
    <w:rsid w:val="001625A3"/>
    <w:rsid w:val="00162EF3"/>
    <w:rsid w:val="0016340E"/>
    <w:rsid w:val="00164B97"/>
    <w:rsid w:val="00170A9E"/>
    <w:rsid w:val="00172BF4"/>
    <w:rsid w:val="00172FA7"/>
    <w:rsid w:val="00173478"/>
    <w:rsid w:val="00173D78"/>
    <w:rsid w:val="00176732"/>
    <w:rsid w:val="00176E55"/>
    <w:rsid w:val="0018069A"/>
    <w:rsid w:val="00182D30"/>
    <w:rsid w:val="0018375B"/>
    <w:rsid w:val="0018461A"/>
    <w:rsid w:val="001846AE"/>
    <w:rsid w:val="001873D8"/>
    <w:rsid w:val="00192539"/>
    <w:rsid w:val="001942D2"/>
    <w:rsid w:val="001944CA"/>
    <w:rsid w:val="001968E6"/>
    <w:rsid w:val="00197519"/>
    <w:rsid w:val="001978D1"/>
    <w:rsid w:val="001979B1"/>
    <w:rsid w:val="00197F6A"/>
    <w:rsid w:val="001A7229"/>
    <w:rsid w:val="001A7363"/>
    <w:rsid w:val="001A787E"/>
    <w:rsid w:val="001B0716"/>
    <w:rsid w:val="001B0D71"/>
    <w:rsid w:val="001B1416"/>
    <w:rsid w:val="001B344A"/>
    <w:rsid w:val="001B3687"/>
    <w:rsid w:val="001B4406"/>
    <w:rsid w:val="001B5950"/>
    <w:rsid w:val="001B6B06"/>
    <w:rsid w:val="001C1112"/>
    <w:rsid w:val="001C13C5"/>
    <w:rsid w:val="001C1A15"/>
    <w:rsid w:val="001C3A93"/>
    <w:rsid w:val="001C6967"/>
    <w:rsid w:val="001D0609"/>
    <w:rsid w:val="001D704D"/>
    <w:rsid w:val="001D767B"/>
    <w:rsid w:val="001E36FD"/>
    <w:rsid w:val="001E4570"/>
    <w:rsid w:val="001E4F28"/>
    <w:rsid w:val="001E53CF"/>
    <w:rsid w:val="001E6B49"/>
    <w:rsid w:val="001E79C1"/>
    <w:rsid w:val="001E7B61"/>
    <w:rsid w:val="001F279C"/>
    <w:rsid w:val="001F56E0"/>
    <w:rsid w:val="001F591D"/>
    <w:rsid w:val="001F62FF"/>
    <w:rsid w:val="001F7EBF"/>
    <w:rsid w:val="002003FA"/>
    <w:rsid w:val="0020291D"/>
    <w:rsid w:val="00202963"/>
    <w:rsid w:val="00203298"/>
    <w:rsid w:val="002040F2"/>
    <w:rsid w:val="00205084"/>
    <w:rsid w:val="00205F9C"/>
    <w:rsid w:val="00211025"/>
    <w:rsid w:val="0021231E"/>
    <w:rsid w:val="002127D7"/>
    <w:rsid w:val="002158EE"/>
    <w:rsid w:val="00215DA6"/>
    <w:rsid w:val="00216C2D"/>
    <w:rsid w:val="00217960"/>
    <w:rsid w:val="002224AE"/>
    <w:rsid w:val="0022389E"/>
    <w:rsid w:val="00223F46"/>
    <w:rsid w:val="00226A71"/>
    <w:rsid w:val="00234444"/>
    <w:rsid w:val="00244370"/>
    <w:rsid w:val="00245025"/>
    <w:rsid w:val="0024609E"/>
    <w:rsid w:val="00250B75"/>
    <w:rsid w:val="002538D5"/>
    <w:rsid w:val="0025565E"/>
    <w:rsid w:val="002607E0"/>
    <w:rsid w:val="00262FF7"/>
    <w:rsid w:val="0026310F"/>
    <w:rsid w:val="00267778"/>
    <w:rsid w:val="002726A4"/>
    <w:rsid w:val="00272910"/>
    <w:rsid w:val="00275F40"/>
    <w:rsid w:val="0027681D"/>
    <w:rsid w:val="00277C67"/>
    <w:rsid w:val="00277E66"/>
    <w:rsid w:val="0028048A"/>
    <w:rsid w:val="00284EDE"/>
    <w:rsid w:val="00287234"/>
    <w:rsid w:val="002907B4"/>
    <w:rsid w:val="00293DCF"/>
    <w:rsid w:val="002969E6"/>
    <w:rsid w:val="00297DBE"/>
    <w:rsid w:val="002A0D6B"/>
    <w:rsid w:val="002A27D6"/>
    <w:rsid w:val="002A2F54"/>
    <w:rsid w:val="002A3F50"/>
    <w:rsid w:val="002A4808"/>
    <w:rsid w:val="002A52FC"/>
    <w:rsid w:val="002B1415"/>
    <w:rsid w:val="002B329E"/>
    <w:rsid w:val="002B36A6"/>
    <w:rsid w:val="002B3ACE"/>
    <w:rsid w:val="002B6B53"/>
    <w:rsid w:val="002B6EBF"/>
    <w:rsid w:val="002C0C4E"/>
    <w:rsid w:val="002C164C"/>
    <w:rsid w:val="002C52C4"/>
    <w:rsid w:val="002C6521"/>
    <w:rsid w:val="002D2A7E"/>
    <w:rsid w:val="002D2EF5"/>
    <w:rsid w:val="002D63BC"/>
    <w:rsid w:val="002D6A99"/>
    <w:rsid w:val="002D6F33"/>
    <w:rsid w:val="002E54F1"/>
    <w:rsid w:val="002F0687"/>
    <w:rsid w:val="002F1C0E"/>
    <w:rsid w:val="002F1E64"/>
    <w:rsid w:val="002F257A"/>
    <w:rsid w:val="002F285F"/>
    <w:rsid w:val="002F5224"/>
    <w:rsid w:val="002F71B1"/>
    <w:rsid w:val="002F7ABC"/>
    <w:rsid w:val="00301B16"/>
    <w:rsid w:val="003047CE"/>
    <w:rsid w:val="00304E7F"/>
    <w:rsid w:val="0031458A"/>
    <w:rsid w:val="00314865"/>
    <w:rsid w:val="00314EBD"/>
    <w:rsid w:val="00320905"/>
    <w:rsid w:val="00327817"/>
    <w:rsid w:val="00330253"/>
    <w:rsid w:val="0033034E"/>
    <w:rsid w:val="00330852"/>
    <w:rsid w:val="00332036"/>
    <w:rsid w:val="00332B6B"/>
    <w:rsid w:val="00334E27"/>
    <w:rsid w:val="00335273"/>
    <w:rsid w:val="00337018"/>
    <w:rsid w:val="00337315"/>
    <w:rsid w:val="00340E9C"/>
    <w:rsid w:val="003413C6"/>
    <w:rsid w:val="003415A0"/>
    <w:rsid w:val="00342DD3"/>
    <w:rsid w:val="00343C68"/>
    <w:rsid w:val="0034514F"/>
    <w:rsid w:val="0034596F"/>
    <w:rsid w:val="00352999"/>
    <w:rsid w:val="003530DA"/>
    <w:rsid w:val="0035427F"/>
    <w:rsid w:val="00355D48"/>
    <w:rsid w:val="003575CE"/>
    <w:rsid w:val="00360C28"/>
    <w:rsid w:val="00361002"/>
    <w:rsid w:val="003610A2"/>
    <w:rsid w:val="00362053"/>
    <w:rsid w:val="00365F97"/>
    <w:rsid w:val="00370F35"/>
    <w:rsid w:val="00371C8B"/>
    <w:rsid w:val="00372846"/>
    <w:rsid w:val="00373858"/>
    <w:rsid w:val="00373CD5"/>
    <w:rsid w:val="00374F2A"/>
    <w:rsid w:val="00375BF0"/>
    <w:rsid w:val="0037721A"/>
    <w:rsid w:val="0038071A"/>
    <w:rsid w:val="003823B0"/>
    <w:rsid w:val="003833B0"/>
    <w:rsid w:val="00383D01"/>
    <w:rsid w:val="00385E7F"/>
    <w:rsid w:val="0038665A"/>
    <w:rsid w:val="00387942"/>
    <w:rsid w:val="00387E7F"/>
    <w:rsid w:val="00391815"/>
    <w:rsid w:val="00392609"/>
    <w:rsid w:val="0039324F"/>
    <w:rsid w:val="00396483"/>
    <w:rsid w:val="003975D0"/>
    <w:rsid w:val="003A3D11"/>
    <w:rsid w:val="003B0B33"/>
    <w:rsid w:val="003B2771"/>
    <w:rsid w:val="003B3484"/>
    <w:rsid w:val="003B62FF"/>
    <w:rsid w:val="003C316B"/>
    <w:rsid w:val="003C3D13"/>
    <w:rsid w:val="003C43EB"/>
    <w:rsid w:val="003C53CE"/>
    <w:rsid w:val="003C57B0"/>
    <w:rsid w:val="003C7165"/>
    <w:rsid w:val="003D044E"/>
    <w:rsid w:val="003D23DD"/>
    <w:rsid w:val="003D2CFC"/>
    <w:rsid w:val="003D3752"/>
    <w:rsid w:val="003D49DF"/>
    <w:rsid w:val="003D4F5D"/>
    <w:rsid w:val="003D6202"/>
    <w:rsid w:val="003D744B"/>
    <w:rsid w:val="003D7C4C"/>
    <w:rsid w:val="003E01C9"/>
    <w:rsid w:val="003E21CA"/>
    <w:rsid w:val="003F27BF"/>
    <w:rsid w:val="003F3601"/>
    <w:rsid w:val="003F41C6"/>
    <w:rsid w:val="003F44C1"/>
    <w:rsid w:val="003F6B30"/>
    <w:rsid w:val="0040062C"/>
    <w:rsid w:val="00402A86"/>
    <w:rsid w:val="00405F36"/>
    <w:rsid w:val="004061B1"/>
    <w:rsid w:val="00406E6D"/>
    <w:rsid w:val="00407310"/>
    <w:rsid w:val="00410564"/>
    <w:rsid w:val="00410BBC"/>
    <w:rsid w:val="00412776"/>
    <w:rsid w:val="004171EF"/>
    <w:rsid w:val="00420D04"/>
    <w:rsid w:val="0042279B"/>
    <w:rsid w:val="0042285F"/>
    <w:rsid w:val="00426066"/>
    <w:rsid w:val="00426DC1"/>
    <w:rsid w:val="004303E8"/>
    <w:rsid w:val="004304CD"/>
    <w:rsid w:val="00433DBF"/>
    <w:rsid w:val="0043422C"/>
    <w:rsid w:val="004362B0"/>
    <w:rsid w:val="00437CB6"/>
    <w:rsid w:val="0044214A"/>
    <w:rsid w:val="004430A9"/>
    <w:rsid w:val="00445385"/>
    <w:rsid w:val="00447C35"/>
    <w:rsid w:val="00452722"/>
    <w:rsid w:val="004527A6"/>
    <w:rsid w:val="0045332A"/>
    <w:rsid w:val="004550A2"/>
    <w:rsid w:val="00457D79"/>
    <w:rsid w:val="00464CC9"/>
    <w:rsid w:val="0046665A"/>
    <w:rsid w:val="00466D65"/>
    <w:rsid w:val="0046703D"/>
    <w:rsid w:val="0047028E"/>
    <w:rsid w:val="0047084F"/>
    <w:rsid w:val="00470FED"/>
    <w:rsid w:val="004713E0"/>
    <w:rsid w:val="004736AA"/>
    <w:rsid w:val="00475201"/>
    <w:rsid w:val="00475D79"/>
    <w:rsid w:val="0047760E"/>
    <w:rsid w:val="00480418"/>
    <w:rsid w:val="0048185B"/>
    <w:rsid w:val="00481E39"/>
    <w:rsid w:val="00482FFB"/>
    <w:rsid w:val="00484906"/>
    <w:rsid w:val="00485373"/>
    <w:rsid w:val="004867A4"/>
    <w:rsid w:val="00486B23"/>
    <w:rsid w:val="00487935"/>
    <w:rsid w:val="004900B8"/>
    <w:rsid w:val="004910BF"/>
    <w:rsid w:val="00491AC8"/>
    <w:rsid w:val="00493958"/>
    <w:rsid w:val="00493DF8"/>
    <w:rsid w:val="004944A7"/>
    <w:rsid w:val="004951BC"/>
    <w:rsid w:val="00497570"/>
    <w:rsid w:val="00497998"/>
    <w:rsid w:val="00497DF6"/>
    <w:rsid w:val="004A1E09"/>
    <w:rsid w:val="004A3CC9"/>
    <w:rsid w:val="004A4223"/>
    <w:rsid w:val="004A43B9"/>
    <w:rsid w:val="004A5B9A"/>
    <w:rsid w:val="004A6B80"/>
    <w:rsid w:val="004A7FE8"/>
    <w:rsid w:val="004B0B28"/>
    <w:rsid w:val="004B4376"/>
    <w:rsid w:val="004B4BD6"/>
    <w:rsid w:val="004B74F8"/>
    <w:rsid w:val="004B7C0E"/>
    <w:rsid w:val="004C0132"/>
    <w:rsid w:val="004C31E6"/>
    <w:rsid w:val="004D0671"/>
    <w:rsid w:val="004D1EAB"/>
    <w:rsid w:val="004D6223"/>
    <w:rsid w:val="004E06B6"/>
    <w:rsid w:val="004E1A2B"/>
    <w:rsid w:val="004E1D93"/>
    <w:rsid w:val="004E7051"/>
    <w:rsid w:val="004E7967"/>
    <w:rsid w:val="004F046B"/>
    <w:rsid w:val="004F0B2F"/>
    <w:rsid w:val="004F19B8"/>
    <w:rsid w:val="004F5A09"/>
    <w:rsid w:val="004F5CE6"/>
    <w:rsid w:val="004F672F"/>
    <w:rsid w:val="004F6D22"/>
    <w:rsid w:val="004F6DBE"/>
    <w:rsid w:val="004F73D4"/>
    <w:rsid w:val="00500A5C"/>
    <w:rsid w:val="005026CC"/>
    <w:rsid w:val="00503AD1"/>
    <w:rsid w:val="0050449A"/>
    <w:rsid w:val="00507309"/>
    <w:rsid w:val="005078AA"/>
    <w:rsid w:val="00507C77"/>
    <w:rsid w:val="005100D1"/>
    <w:rsid w:val="00513720"/>
    <w:rsid w:val="0051607A"/>
    <w:rsid w:val="005205F4"/>
    <w:rsid w:val="00521967"/>
    <w:rsid w:val="00524378"/>
    <w:rsid w:val="005269B7"/>
    <w:rsid w:val="005269D3"/>
    <w:rsid w:val="00530F70"/>
    <w:rsid w:val="005315EA"/>
    <w:rsid w:val="00532FD5"/>
    <w:rsid w:val="00534E9F"/>
    <w:rsid w:val="0053506A"/>
    <w:rsid w:val="0053512A"/>
    <w:rsid w:val="00535508"/>
    <w:rsid w:val="00536B13"/>
    <w:rsid w:val="00540B35"/>
    <w:rsid w:val="00544921"/>
    <w:rsid w:val="00544F1F"/>
    <w:rsid w:val="00545DDF"/>
    <w:rsid w:val="00545F38"/>
    <w:rsid w:val="0054634E"/>
    <w:rsid w:val="005514BE"/>
    <w:rsid w:val="005517D0"/>
    <w:rsid w:val="0055424F"/>
    <w:rsid w:val="00554428"/>
    <w:rsid w:val="00557377"/>
    <w:rsid w:val="00560495"/>
    <w:rsid w:val="00560599"/>
    <w:rsid w:val="00562F8A"/>
    <w:rsid w:val="00563721"/>
    <w:rsid w:val="00565776"/>
    <w:rsid w:val="00566508"/>
    <w:rsid w:val="00566C4E"/>
    <w:rsid w:val="00570ACF"/>
    <w:rsid w:val="005727A5"/>
    <w:rsid w:val="00573535"/>
    <w:rsid w:val="00573C2D"/>
    <w:rsid w:val="00575BB7"/>
    <w:rsid w:val="00575F88"/>
    <w:rsid w:val="0057794D"/>
    <w:rsid w:val="00582DC9"/>
    <w:rsid w:val="00585250"/>
    <w:rsid w:val="005859C8"/>
    <w:rsid w:val="00587796"/>
    <w:rsid w:val="005940DB"/>
    <w:rsid w:val="00597ABF"/>
    <w:rsid w:val="005A2AAC"/>
    <w:rsid w:val="005A3C50"/>
    <w:rsid w:val="005A5CF0"/>
    <w:rsid w:val="005A61AB"/>
    <w:rsid w:val="005A7751"/>
    <w:rsid w:val="005A7F78"/>
    <w:rsid w:val="005B0E04"/>
    <w:rsid w:val="005B2781"/>
    <w:rsid w:val="005B6872"/>
    <w:rsid w:val="005B6B09"/>
    <w:rsid w:val="005B75E6"/>
    <w:rsid w:val="005C0164"/>
    <w:rsid w:val="005C10BC"/>
    <w:rsid w:val="005C4DE0"/>
    <w:rsid w:val="005C5B41"/>
    <w:rsid w:val="005C61D6"/>
    <w:rsid w:val="005D315F"/>
    <w:rsid w:val="005E0664"/>
    <w:rsid w:val="005E139A"/>
    <w:rsid w:val="005E2D06"/>
    <w:rsid w:val="005E41A6"/>
    <w:rsid w:val="005E4CC6"/>
    <w:rsid w:val="005E5D9F"/>
    <w:rsid w:val="005E6921"/>
    <w:rsid w:val="005F082A"/>
    <w:rsid w:val="005F10AC"/>
    <w:rsid w:val="005F1B29"/>
    <w:rsid w:val="005F3BCE"/>
    <w:rsid w:val="005F3DDB"/>
    <w:rsid w:val="005F5087"/>
    <w:rsid w:val="005F69A9"/>
    <w:rsid w:val="00600502"/>
    <w:rsid w:val="0060605E"/>
    <w:rsid w:val="00606AB0"/>
    <w:rsid w:val="0060761A"/>
    <w:rsid w:val="00607FAE"/>
    <w:rsid w:val="0061064A"/>
    <w:rsid w:val="006139EC"/>
    <w:rsid w:val="00613CC2"/>
    <w:rsid w:val="00615BC9"/>
    <w:rsid w:val="00615CB4"/>
    <w:rsid w:val="006177AE"/>
    <w:rsid w:val="00620C18"/>
    <w:rsid w:val="00621065"/>
    <w:rsid w:val="00621A4A"/>
    <w:rsid w:val="00624E22"/>
    <w:rsid w:val="006308E7"/>
    <w:rsid w:val="006339F5"/>
    <w:rsid w:val="0063551B"/>
    <w:rsid w:val="00635F82"/>
    <w:rsid w:val="00636B6E"/>
    <w:rsid w:val="0063763A"/>
    <w:rsid w:val="00640620"/>
    <w:rsid w:val="00641D3B"/>
    <w:rsid w:val="00641E1B"/>
    <w:rsid w:val="00646942"/>
    <w:rsid w:val="00647786"/>
    <w:rsid w:val="00651369"/>
    <w:rsid w:val="006519AF"/>
    <w:rsid w:val="00652A9D"/>
    <w:rsid w:val="006549A6"/>
    <w:rsid w:val="0065603B"/>
    <w:rsid w:val="0066058B"/>
    <w:rsid w:val="006618F7"/>
    <w:rsid w:val="00662222"/>
    <w:rsid w:val="00663755"/>
    <w:rsid w:val="00664A69"/>
    <w:rsid w:val="00666745"/>
    <w:rsid w:val="006674D7"/>
    <w:rsid w:val="0067275F"/>
    <w:rsid w:val="00674A82"/>
    <w:rsid w:val="00674D0B"/>
    <w:rsid w:val="006754B7"/>
    <w:rsid w:val="00675B7D"/>
    <w:rsid w:val="00676C69"/>
    <w:rsid w:val="00680F03"/>
    <w:rsid w:val="0068122B"/>
    <w:rsid w:val="00681236"/>
    <w:rsid w:val="006826BB"/>
    <w:rsid w:val="006829E5"/>
    <w:rsid w:val="006830C9"/>
    <w:rsid w:val="0068364A"/>
    <w:rsid w:val="0068525B"/>
    <w:rsid w:val="00685D4F"/>
    <w:rsid w:val="00685DD6"/>
    <w:rsid w:val="006913B8"/>
    <w:rsid w:val="00691D49"/>
    <w:rsid w:val="006922C8"/>
    <w:rsid w:val="00692D3B"/>
    <w:rsid w:val="00693229"/>
    <w:rsid w:val="00694043"/>
    <w:rsid w:val="006951FD"/>
    <w:rsid w:val="00695BB1"/>
    <w:rsid w:val="006964AF"/>
    <w:rsid w:val="006A17BE"/>
    <w:rsid w:val="006A3E64"/>
    <w:rsid w:val="006A56E4"/>
    <w:rsid w:val="006B029D"/>
    <w:rsid w:val="006B1B1A"/>
    <w:rsid w:val="006B2D41"/>
    <w:rsid w:val="006B6D8D"/>
    <w:rsid w:val="006C1643"/>
    <w:rsid w:val="006C287C"/>
    <w:rsid w:val="006C3C15"/>
    <w:rsid w:val="006C7D4F"/>
    <w:rsid w:val="006D12B4"/>
    <w:rsid w:val="006D4F41"/>
    <w:rsid w:val="006D6A44"/>
    <w:rsid w:val="006D7A33"/>
    <w:rsid w:val="006E280A"/>
    <w:rsid w:val="006E6792"/>
    <w:rsid w:val="006E75E2"/>
    <w:rsid w:val="006F01B5"/>
    <w:rsid w:val="006F4AD5"/>
    <w:rsid w:val="006F4CA7"/>
    <w:rsid w:val="006F5527"/>
    <w:rsid w:val="006F5706"/>
    <w:rsid w:val="006F6211"/>
    <w:rsid w:val="00701034"/>
    <w:rsid w:val="007046F7"/>
    <w:rsid w:val="00707559"/>
    <w:rsid w:val="007076DF"/>
    <w:rsid w:val="00710701"/>
    <w:rsid w:val="00712602"/>
    <w:rsid w:val="007144F6"/>
    <w:rsid w:val="00716311"/>
    <w:rsid w:val="007216E3"/>
    <w:rsid w:val="00723881"/>
    <w:rsid w:val="00723A6D"/>
    <w:rsid w:val="007269AB"/>
    <w:rsid w:val="00731691"/>
    <w:rsid w:val="00732F74"/>
    <w:rsid w:val="007332F9"/>
    <w:rsid w:val="00734ED0"/>
    <w:rsid w:val="00736085"/>
    <w:rsid w:val="00736171"/>
    <w:rsid w:val="00741394"/>
    <w:rsid w:val="007418D9"/>
    <w:rsid w:val="00742173"/>
    <w:rsid w:val="00742415"/>
    <w:rsid w:val="00743593"/>
    <w:rsid w:val="00743C00"/>
    <w:rsid w:val="00743CDA"/>
    <w:rsid w:val="007441D4"/>
    <w:rsid w:val="00744252"/>
    <w:rsid w:val="00746FD8"/>
    <w:rsid w:val="00747EEC"/>
    <w:rsid w:val="00750FE0"/>
    <w:rsid w:val="00751E26"/>
    <w:rsid w:val="007548E4"/>
    <w:rsid w:val="0075548A"/>
    <w:rsid w:val="00757335"/>
    <w:rsid w:val="00760360"/>
    <w:rsid w:val="007613E1"/>
    <w:rsid w:val="00761522"/>
    <w:rsid w:val="00762462"/>
    <w:rsid w:val="00762E9C"/>
    <w:rsid w:val="00764F3A"/>
    <w:rsid w:val="00766D9B"/>
    <w:rsid w:val="00770689"/>
    <w:rsid w:val="00772951"/>
    <w:rsid w:val="007741F5"/>
    <w:rsid w:val="007752C1"/>
    <w:rsid w:val="0077623A"/>
    <w:rsid w:val="007771AD"/>
    <w:rsid w:val="00780550"/>
    <w:rsid w:val="007818E5"/>
    <w:rsid w:val="00784103"/>
    <w:rsid w:val="00784C0B"/>
    <w:rsid w:val="007910B2"/>
    <w:rsid w:val="00793ED2"/>
    <w:rsid w:val="007964A2"/>
    <w:rsid w:val="007970F7"/>
    <w:rsid w:val="007A0496"/>
    <w:rsid w:val="007A2054"/>
    <w:rsid w:val="007A2D2F"/>
    <w:rsid w:val="007A6F27"/>
    <w:rsid w:val="007A7784"/>
    <w:rsid w:val="007A7979"/>
    <w:rsid w:val="007A7D3B"/>
    <w:rsid w:val="007B0321"/>
    <w:rsid w:val="007B183D"/>
    <w:rsid w:val="007B1D69"/>
    <w:rsid w:val="007B7FBF"/>
    <w:rsid w:val="007C165F"/>
    <w:rsid w:val="007C1DCB"/>
    <w:rsid w:val="007C29FD"/>
    <w:rsid w:val="007C542D"/>
    <w:rsid w:val="007D2377"/>
    <w:rsid w:val="007D2D9B"/>
    <w:rsid w:val="007D3342"/>
    <w:rsid w:val="007D733B"/>
    <w:rsid w:val="007E22C2"/>
    <w:rsid w:val="007E3EFB"/>
    <w:rsid w:val="007E4D02"/>
    <w:rsid w:val="007E4D0D"/>
    <w:rsid w:val="007E5495"/>
    <w:rsid w:val="007E5EA9"/>
    <w:rsid w:val="007E6CE7"/>
    <w:rsid w:val="007F1C4A"/>
    <w:rsid w:val="007F3673"/>
    <w:rsid w:val="007F3B3E"/>
    <w:rsid w:val="007F507E"/>
    <w:rsid w:val="007F63B6"/>
    <w:rsid w:val="007F79B4"/>
    <w:rsid w:val="00800885"/>
    <w:rsid w:val="00800E2F"/>
    <w:rsid w:val="0080162F"/>
    <w:rsid w:val="0080204A"/>
    <w:rsid w:val="008022A8"/>
    <w:rsid w:val="0080286D"/>
    <w:rsid w:val="00811627"/>
    <w:rsid w:val="008117B6"/>
    <w:rsid w:val="00813F99"/>
    <w:rsid w:val="00817E9E"/>
    <w:rsid w:val="00824824"/>
    <w:rsid w:val="00826259"/>
    <w:rsid w:val="008274F3"/>
    <w:rsid w:val="0082792B"/>
    <w:rsid w:val="008303A2"/>
    <w:rsid w:val="00831997"/>
    <w:rsid w:val="00831E3F"/>
    <w:rsid w:val="00831F99"/>
    <w:rsid w:val="00833913"/>
    <w:rsid w:val="00834B68"/>
    <w:rsid w:val="00835A94"/>
    <w:rsid w:val="00836835"/>
    <w:rsid w:val="00836FB4"/>
    <w:rsid w:val="00837B67"/>
    <w:rsid w:val="00837BEB"/>
    <w:rsid w:val="0084055A"/>
    <w:rsid w:val="00851C18"/>
    <w:rsid w:val="0085254B"/>
    <w:rsid w:val="00852D9B"/>
    <w:rsid w:val="00856B05"/>
    <w:rsid w:val="00861FE3"/>
    <w:rsid w:val="00863EF0"/>
    <w:rsid w:val="00864F1C"/>
    <w:rsid w:val="00872803"/>
    <w:rsid w:val="00872BA2"/>
    <w:rsid w:val="00877E32"/>
    <w:rsid w:val="0088063C"/>
    <w:rsid w:val="00881039"/>
    <w:rsid w:val="00883AAA"/>
    <w:rsid w:val="00890980"/>
    <w:rsid w:val="008919A2"/>
    <w:rsid w:val="00892EBC"/>
    <w:rsid w:val="00894E39"/>
    <w:rsid w:val="00895418"/>
    <w:rsid w:val="008957D9"/>
    <w:rsid w:val="0089788C"/>
    <w:rsid w:val="00897AF8"/>
    <w:rsid w:val="008A202D"/>
    <w:rsid w:val="008A5071"/>
    <w:rsid w:val="008A5FCC"/>
    <w:rsid w:val="008B4846"/>
    <w:rsid w:val="008B5689"/>
    <w:rsid w:val="008B5DBC"/>
    <w:rsid w:val="008B749E"/>
    <w:rsid w:val="008C09B5"/>
    <w:rsid w:val="008C1F20"/>
    <w:rsid w:val="008C2D17"/>
    <w:rsid w:val="008C3E75"/>
    <w:rsid w:val="008C5F38"/>
    <w:rsid w:val="008C6B0E"/>
    <w:rsid w:val="008C6FC8"/>
    <w:rsid w:val="008C7870"/>
    <w:rsid w:val="008D4971"/>
    <w:rsid w:val="008D77FD"/>
    <w:rsid w:val="008E16CE"/>
    <w:rsid w:val="008E1E77"/>
    <w:rsid w:val="008E6A92"/>
    <w:rsid w:val="008F1D37"/>
    <w:rsid w:val="008F4BDD"/>
    <w:rsid w:val="008F7897"/>
    <w:rsid w:val="00900302"/>
    <w:rsid w:val="0090296E"/>
    <w:rsid w:val="00902E31"/>
    <w:rsid w:val="0090379A"/>
    <w:rsid w:val="00904E6E"/>
    <w:rsid w:val="00906C03"/>
    <w:rsid w:val="0091354B"/>
    <w:rsid w:val="00913E49"/>
    <w:rsid w:val="009141EA"/>
    <w:rsid w:val="009147FF"/>
    <w:rsid w:val="00916358"/>
    <w:rsid w:val="009204BB"/>
    <w:rsid w:val="009225DE"/>
    <w:rsid w:val="00922AFC"/>
    <w:rsid w:val="009237A5"/>
    <w:rsid w:val="009301DE"/>
    <w:rsid w:val="00934718"/>
    <w:rsid w:val="009370E2"/>
    <w:rsid w:val="009379AA"/>
    <w:rsid w:val="00940535"/>
    <w:rsid w:val="009407A8"/>
    <w:rsid w:val="0094395B"/>
    <w:rsid w:val="00945F19"/>
    <w:rsid w:val="00950233"/>
    <w:rsid w:val="00950841"/>
    <w:rsid w:val="00952DBF"/>
    <w:rsid w:val="00953B35"/>
    <w:rsid w:val="00954414"/>
    <w:rsid w:val="00954A83"/>
    <w:rsid w:val="00955D44"/>
    <w:rsid w:val="00956763"/>
    <w:rsid w:val="00957BCF"/>
    <w:rsid w:val="00960D3C"/>
    <w:rsid w:val="009625F6"/>
    <w:rsid w:val="009627F9"/>
    <w:rsid w:val="009658D6"/>
    <w:rsid w:val="009676D8"/>
    <w:rsid w:val="00975F96"/>
    <w:rsid w:val="0098324A"/>
    <w:rsid w:val="00985FFB"/>
    <w:rsid w:val="00987CAC"/>
    <w:rsid w:val="00990CFC"/>
    <w:rsid w:val="00992D53"/>
    <w:rsid w:val="00993516"/>
    <w:rsid w:val="00995DD7"/>
    <w:rsid w:val="00995E0E"/>
    <w:rsid w:val="00996052"/>
    <w:rsid w:val="009960C9"/>
    <w:rsid w:val="00996C55"/>
    <w:rsid w:val="00997DA9"/>
    <w:rsid w:val="009A2905"/>
    <w:rsid w:val="009A38CE"/>
    <w:rsid w:val="009A5B58"/>
    <w:rsid w:val="009A649B"/>
    <w:rsid w:val="009A6EB1"/>
    <w:rsid w:val="009A72B6"/>
    <w:rsid w:val="009B3E5B"/>
    <w:rsid w:val="009B4294"/>
    <w:rsid w:val="009B430C"/>
    <w:rsid w:val="009B5295"/>
    <w:rsid w:val="009B60BD"/>
    <w:rsid w:val="009B6D4C"/>
    <w:rsid w:val="009B70F4"/>
    <w:rsid w:val="009B7374"/>
    <w:rsid w:val="009C0727"/>
    <w:rsid w:val="009C1EF7"/>
    <w:rsid w:val="009C2556"/>
    <w:rsid w:val="009C6C52"/>
    <w:rsid w:val="009D162F"/>
    <w:rsid w:val="009D1776"/>
    <w:rsid w:val="009D3FB6"/>
    <w:rsid w:val="009D5976"/>
    <w:rsid w:val="009D5A80"/>
    <w:rsid w:val="009D79AE"/>
    <w:rsid w:val="009E0053"/>
    <w:rsid w:val="009E040A"/>
    <w:rsid w:val="009E2345"/>
    <w:rsid w:val="009E40AA"/>
    <w:rsid w:val="009E4E40"/>
    <w:rsid w:val="009E710F"/>
    <w:rsid w:val="009F206C"/>
    <w:rsid w:val="00A00B50"/>
    <w:rsid w:val="00A00E20"/>
    <w:rsid w:val="00A0253A"/>
    <w:rsid w:val="00A02A94"/>
    <w:rsid w:val="00A03293"/>
    <w:rsid w:val="00A03ADC"/>
    <w:rsid w:val="00A10193"/>
    <w:rsid w:val="00A10AC7"/>
    <w:rsid w:val="00A10DF8"/>
    <w:rsid w:val="00A11201"/>
    <w:rsid w:val="00A126F1"/>
    <w:rsid w:val="00A12A9B"/>
    <w:rsid w:val="00A14055"/>
    <w:rsid w:val="00A14E15"/>
    <w:rsid w:val="00A23BB2"/>
    <w:rsid w:val="00A24540"/>
    <w:rsid w:val="00A27388"/>
    <w:rsid w:val="00A300BF"/>
    <w:rsid w:val="00A30328"/>
    <w:rsid w:val="00A3255E"/>
    <w:rsid w:val="00A3267D"/>
    <w:rsid w:val="00A331C8"/>
    <w:rsid w:val="00A43E28"/>
    <w:rsid w:val="00A44451"/>
    <w:rsid w:val="00A46428"/>
    <w:rsid w:val="00A46BDC"/>
    <w:rsid w:val="00A5022A"/>
    <w:rsid w:val="00A5105C"/>
    <w:rsid w:val="00A52415"/>
    <w:rsid w:val="00A57B01"/>
    <w:rsid w:val="00A60B2E"/>
    <w:rsid w:val="00A61566"/>
    <w:rsid w:val="00A6188E"/>
    <w:rsid w:val="00A62E69"/>
    <w:rsid w:val="00A67499"/>
    <w:rsid w:val="00A716CD"/>
    <w:rsid w:val="00A744D1"/>
    <w:rsid w:val="00A745E3"/>
    <w:rsid w:val="00A76173"/>
    <w:rsid w:val="00A762E1"/>
    <w:rsid w:val="00A77AE4"/>
    <w:rsid w:val="00A806F4"/>
    <w:rsid w:val="00A81FA6"/>
    <w:rsid w:val="00A84E31"/>
    <w:rsid w:val="00A8697D"/>
    <w:rsid w:val="00A873DD"/>
    <w:rsid w:val="00A9059D"/>
    <w:rsid w:val="00A90983"/>
    <w:rsid w:val="00A943AF"/>
    <w:rsid w:val="00A96B58"/>
    <w:rsid w:val="00AA0175"/>
    <w:rsid w:val="00AA0A83"/>
    <w:rsid w:val="00AA1D28"/>
    <w:rsid w:val="00AA25E4"/>
    <w:rsid w:val="00AA3112"/>
    <w:rsid w:val="00AA33FB"/>
    <w:rsid w:val="00AA4C9D"/>
    <w:rsid w:val="00AA6162"/>
    <w:rsid w:val="00AA733A"/>
    <w:rsid w:val="00AA78DC"/>
    <w:rsid w:val="00AA7F1A"/>
    <w:rsid w:val="00AB10AA"/>
    <w:rsid w:val="00AB25F9"/>
    <w:rsid w:val="00AB2F51"/>
    <w:rsid w:val="00AB2FDC"/>
    <w:rsid w:val="00AB6229"/>
    <w:rsid w:val="00AC1689"/>
    <w:rsid w:val="00AC1FDD"/>
    <w:rsid w:val="00AC25A3"/>
    <w:rsid w:val="00AC4D72"/>
    <w:rsid w:val="00AC4F4B"/>
    <w:rsid w:val="00AC5ABD"/>
    <w:rsid w:val="00AC71A6"/>
    <w:rsid w:val="00AD15B2"/>
    <w:rsid w:val="00AD24FE"/>
    <w:rsid w:val="00AD2536"/>
    <w:rsid w:val="00AD362B"/>
    <w:rsid w:val="00AD4B24"/>
    <w:rsid w:val="00AD6D51"/>
    <w:rsid w:val="00AE1B54"/>
    <w:rsid w:val="00AE2FF1"/>
    <w:rsid w:val="00AE36A3"/>
    <w:rsid w:val="00AE3C57"/>
    <w:rsid w:val="00AE515D"/>
    <w:rsid w:val="00AE64C1"/>
    <w:rsid w:val="00AE6B2A"/>
    <w:rsid w:val="00AF3041"/>
    <w:rsid w:val="00AF3197"/>
    <w:rsid w:val="00AF48CD"/>
    <w:rsid w:val="00AF5E69"/>
    <w:rsid w:val="00AF5FAD"/>
    <w:rsid w:val="00AF6022"/>
    <w:rsid w:val="00AF7EC8"/>
    <w:rsid w:val="00B015A7"/>
    <w:rsid w:val="00B01F89"/>
    <w:rsid w:val="00B038CC"/>
    <w:rsid w:val="00B053D9"/>
    <w:rsid w:val="00B06556"/>
    <w:rsid w:val="00B06B85"/>
    <w:rsid w:val="00B11F31"/>
    <w:rsid w:val="00B12AB1"/>
    <w:rsid w:val="00B12C14"/>
    <w:rsid w:val="00B14090"/>
    <w:rsid w:val="00B16F92"/>
    <w:rsid w:val="00B21E7A"/>
    <w:rsid w:val="00B21EA3"/>
    <w:rsid w:val="00B2296E"/>
    <w:rsid w:val="00B328E5"/>
    <w:rsid w:val="00B3388D"/>
    <w:rsid w:val="00B34168"/>
    <w:rsid w:val="00B345D9"/>
    <w:rsid w:val="00B34DF8"/>
    <w:rsid w:val="00B37B14"/>
    <w:rsid w:val="00B43363"/>
    <w:rsid w:val="00B43D0A"/>
    <w:rsid w:val="00B43EF1"/>
    <w:rsid w:val="00B44303"/>
    <w:rsid w:val="00B47D07"/>
    <w:rsid w:val="00B5144B"/>
    <w:rsid w:val="00B5170B"/>
    <w:rsid w:val="00B52EE1"/>
    <w:rsid w:val="00B53992"/>
    <w:rsid w:val="00B53D6E"/>
    <w:rsid w:val="00B54EA4"/>
    <w:rsid w:val="00B679D3"/>
    <w:rsid w:val="00B67FEA"/>
    <w:rsid w:val="00B708AD"/>
    <w:rsid w:val="00B710D2"/>
    <w:rsid w:val="00B7113C"/>
    <w:rsid w:val="00B712CC"/>
    <w:rsid w:val="00B723DF"/>
    <w:rsid w:val="00B731DE"/>
    <w:rsid w:val="00B734C3"/>
    <w:rsid w:val="00B74252"/>
    <w:rsid w:val="00B7627A"/>
    <w:rsid w:val="00B7678B"/>
    <w:rsid w:val="00B77533"/>
    <w:rsid w:val="00B77B05"/>
    <w:rsid w:val="00B85149"/>
    <w:rsid w:val="00B85A12"/>
    <w:rsid w:val="00B86498"/>
    <w:rsid w:val="00B90481"/>
    <w:rsid w:val="00B9063F"/>
    <w:rsid w:val="00B945D4"/>
    <w:rsid w:val="00B94BAD"/>
    <w:rsid w:val="00B9782B"/>
    <w:rsid w:val="00BA1325"/>
    <w:rsid w:val="00BA23E9"/>
    <w:rsid w:val="00BA5870"/>
    <w:rsid w:val="00BA679F"/>
    <w:rsid w:val="00BB0399"/>
    <w:rsid w:val="00BB0605"/>
    <w:rsid w:val="00BB0CBB"/>
    <w:rsid w:val="00BB0EFB"/>
    <w:rsid w:val="00BB3223"/>
    <w:rsid w:val="00BB4344"/>
    <w:rsid w:val="00BB5D61"/>
    <w:rsid w:val="00BC1307"/>
    <w:rsid w:val="00BC2B27"/>
    <w:rsid w:val="00BC3B27"/>
    <w:rsid w:val="00BC4C9B"/>
    <w:rsid w:val="00BC609B"/>
    <w:rsid w:val="00BC7BEA"/>
    <w:rsid w:val="00BD0BD5"/>
    <w:rsid w:val="00BD209D"/>
    <w:rsid w:val="00BD6641"/>
    <w:rsid w:val="00BE467F"/>
    <w:rsid w:val="00BE4DAD"/>
    <w:rsid w:val="00BE5E4B"/>
    <w:rsid w:val="00BE6C2B"/>
    <w:rsid w:val="00BE716C"/>
    <w:rsid w:val="00BE7990"/>
    <w:rsid w:val="00BF1AB9"/>
    <w:rsid w:val="00BF29E1"/>
    <w:rsid w:val="00BF2F12"/>
    <w:rsid w:val="00BF30AB"/>
    <w:rsid w:val="00BF3A0E"/>
    <w:rsid w:val="00BF3A82"/>
    <w:rsid w:val="00BF4C9A"/>
    <w:rsid w:val="00BF58CF"/>
    <w:rsid w:val="00C00C0A"/>
    <w:rsid w:val="00C0339F"/>
    <w:rsid w:val="00C0411C"/>
    <w:rsid w:val="00C057FE"/>
    <w:rsid w:val="00C07331"/>
    <w:rsid w:val="00C10955"/>
    <w:rsid w:val="00C11B85"/>
    <w:rsid w:val="00C13C70"/>
    <w:rsid w:val="00C22BC5"/>
    <w:rsid w:val="00C23063"/>
    <w:rsid w:val="00C23DAA"/>
    <w:rsid w:val="00C24103"/>
    <w:rsid w:val="00C267D7"/>
    <w:rsid w:val="00C31877"/>
    <w:rsid w:val="00C31885"/>
    <w:rsid w:val="00C318A3"/>
    <w:rsid w:val="00C3457A"/>
    <w:rsid w:val="00C347A8"/>
    <w:rsid w:val="00C4222C"/>
    <w:rsid w:val="00C42806"/>
    <w:rsid w:val="00C42BB6"/>
    <w:rsid w:val="00C430F8"/>
    <w:rsid w:val="00C43515"/>
    <w:rsid w:val="00C46BC0"/>
    <w:rsid w:val="00C53B91"/>
    <w:rsid w:val="00C53EBB"/>
    <w:rsid w:val="00C5610C"/>
    <w:rsid w:val="00C60694"/>
    <w:rsid w:val="00C6189C"/>
    <w:rsid w:val="00C620D3"/>
    <w:rsid w:val="00C62687"/>
    <w:rsid w:val="00C64195"/>
    <w:rsid w:val="00C641A6"/>
    <w:rsid w:val="00C64773"/>
    <w:rsid w:val="00C73A21"/>
    <w:rsid w:val="00C76728"/>
    <w:rsid w:val="00C76F72"/>
    <w:rsid w:val="00C77A75"/>
    <w:rsid w:val="00C80771"/>
    <w:rsid w:val="00C836EC"/>
    <w:rsid w:val="00C84368"/>
    <w:rsid w:val="00C84427"/>
    <w:rsid w:val="00C844F7"/>
    <w:rsid w:val="00C84D0E"/>
    <w:rsid w:val="00C859C7"/>
    <w:rsid w:val="00C8680A"/>
    <w:rsid w:val="00C87B56"/>
    <w:rsid w:val="00C87D7F"/>
    <w:rsid w:val="00C91002"/>
    <w:rsid w:val="00C93462"/>
    <w:rsid w:val="00C97041"/>
    <w:rsid w:val="00C97042"/>
    <w:rsid w:val="00C979F3"/>
    <w:rsid w:val="00CA06CE"/>
    <w:rsid w:val="00CA0EED"/>
    <w:rsid w:val="00CA0F8C"/>
    <w:rsid w:val="00CA2794"/>
    <w:rsid w:val="00CB1364"/>
    <w:rsid w:val="00CB2990"/>
    <w:rsid w:val="00CB3215"/>
    <w:rsid w:val="00CB38A0"/>
    <w:rsid w:val="00CB630A"/>
    <w:rsid w:val="00CB65EF"/>
    <w:rsid w:val="00CB6DBB"/>
    <w:rsid w:val="00CB72F5"/>
    <w:rsid w:val="00CC03E3"/>
    <w:rsid w:val="00CC0D0A"/>
    <w:rsid w:val="00CC1B7D"/>
    <w:rsid w:val="00CC3D8E"/>
    <w:rsid w:val="00CC41DA"/>
    <w:rsid w:val="00CC5AB4"/>
    <w:rsid w:val="00CC6C4E"/>
    <w:rsid w:val="00CC6EA3"/>
    <w:rsid w:val="00CD49EC"/>
    <w:rsid w:val="00CE1F0A"/>
    <w:rsid w:val="00CE313B"/>
    <w:rsid w:val="00CE475C"/>
    <w:rsid w:val="00CE7AEB"/>
    <w:rsid w:val="00CE7E3D"/>
    <w:rsid w:val="00CF0DC4"/>
    <w:rsid w:val="00CF0ECB"/>
    <w:rsid w:val="00CF1D5A"/>
    <w:rsid w:val="00CF3C7B"/>
    <w:rsid w:val="00D0254C"/>
    <w:rsid w:val="00D02A61"/>
    <w:rsid w:val="00D02D91"/>
    <w:rsid w:val="00D038F3"/>
    <w:rsid w:val="00D0438E"/>
    <w:rsid w:val="00D06225"/>
    <w:rsid w:val="00D075C8"/>
    <w:rsid w:val="00D126B7"/>
    <w:rsid w:val="00D13636"/>
    <w:rsid w:val="00D14F5B"/>
    <w:rsid w:val="00D17713"/>
    <w:rsid w:val="00D17CB6"/>
    <w:rsid w:val="00D20356"/>
    <w:rsid w:val="00D20FFB"/>
    <w:rsid w:val="00D23EF6"/>
    <w:rsid w:val="00D2478F"/>
    <w:rsid w:val="00D260F8"/>
    <w:rsid w:val="00D26D78"/>
    <w:rsid w:val="00D3214A"/>
    <w:rsid w:val="00D32E6E"/>
    <w:rsid w:val="00D33037"/>
    <w:rsid w:val="00D350D0"/>
    <w:rsid w:val="00D41699"/>
    <w:rsid w:val="00D445FA"/>
    <w:rsid w:val="00D4503A"/>
    <w:rsid w:val="00D4520B"/>
    <w:rsid w:val="00D4777B"/>
    <w:rsid w:val="00D54752"/>
    <w:rsid w:val="00D56B8F"/>
    <w:rsid w:val="00D5791A"/>
    <w:rsid w:val="00D60BDF"/>
    <w:rsid w:val="00D60DC5"/>
    <w:rsid w:val="00D6151B"/>
    <w:rsid w:val="00D61780"/>
    <w:rsid w:val="00D61B6F"/>
    <w:rsid w:val="00D623EB"/>
    <w:rsid w:val="00D637FE"/>
    <w:rsid w:val="00D63F04"/>
    <w:rsid w:val="00D66D1C"/>
    <w:rsid w:val="00D6700B"/>
    <w:rsid w:val="00D72133"/>
    <w:rsid w:val="00D7363A"/>
    <w:rsid w:val="00D73FB7"/>
    <w:rsid w:val="00D73FB9"/>
    <w:rsid w:val="00D75FCF"/>
    <w:rsid w:val="00D76B66"/>
    <w:rsid w:val="00D773D0"/>
    <w:rsid w:val="00D77DC0"/>
    <w:rsid w:val="00D80073"/>
    <w:rsid w:val="00D80EB6"/>
    <w:rsid w:val="00D81A8E"/>
    <w:rsid w:val="00D8329D"/>
    <w:rsid w:val="00D83715"/>
    <w:rsid w:val="00D84A3A"/>
    <w:rsid w:val="00D863CC"/>
    <w:rsid w:val="00D87B9A"/>
    <w:rsid w:val="00D90D24"/>
    <w:rsid w:val="00D90EBF"/>
    <w:rsid w:val="00D956BD"/>
    <w:rsid w:val="00D9611D"/>
    <w:rsid w:val="00D97463"/>
    <w:rsid w:val="00D9773D"/>
    <w:rsid w:val="00D97C6C"/>
    <w:rsid w:val="00DA09EB"/>
    <w:rsid w:val="00DA4B88"/>
    <w:rsid w:val="00DA7EEA"/>
    <w:rsid w:val="00DB304D"/>
    <w:rsid w:val="00DB3AAA"/>
    <w:rsid w:val="00DC2D48"/>
    <w:rsid w:val="00DC3253"/>
    <w:rsid w:val="00DC5FA6"/>
    <w:rsid w:val="00DC6760"/>
    <w:rsid w:val="00DD30F7"/>
    <w:rsid w:val="00DD388E"/>
    <w:rsid w:val="00DD5660"/>
    <w:rsid w:val="00DD60C4"/>
    <w:rsid w:val="00DD736C"/>
    <w:rsid w:val="00DE14B3"/>
    <w:rsid w:val="00DE5657"/>
    <w:rsid w:val="00DF0316"/>
    <w:rsid w:val="00DF0E5F"/>
    <w:rsid w:val="00DF11D0"/>
    <w:rsid w:val="00DF13E5"/>
    <w:rsid w:val="00DF1841"/>
    <w:rsid w:val="00DF519C"/>
    <w:rsid w:val="00DF57DB"/>
    <w:rsid w:val="00DF72CB"/>
    <w:rsid w:val="00E00339"/>
    <w:rsid w:val="00E014FE"/>
    <w:rsid w:val="00E025F4"/>
    <w:rsid w:val="00E03209"/>
    <w:rsid w:val="00E04238"/>
    <w:rsid w:val="00E076E5"/>
    <w:rsid w:val="00E077E1"/>
    <w:rsid w:val="00E0787A"/>
    <w:rsid w:val="00E10F45"/>
    <w:rsid w:val="00E12E0B"/>
    <w:rsid w:val="00E1539A"/>
    <w:rsid w:val="00E16ECF"/>
    <w:rsid w:val="00E206EA"/>
    <w:rsid w:val="00E230B4"/>
    <w:rsid w:val="00E24CCA"/>
    <w:rsid w:val="00E254A0"/>
    <w:rsid w:val="00E2702D"/>
    <w:rsid w:val="00E30182"/>
    <w:rsid w:val="00E3229A"/>
    <w:rsid w:val="00E33AF6"/>
    <w:rsid w:val="00E36364"/>
    <w:rsid w:val="00E36A70"/>
    <w:rsid w:val="00E41451"/>
    <w:rsid w:val="00E415B8"/>
    <w:rsid w:val="00E42787"/>
    <w:rsid w:val="00E427EE"/>
    <w:rsid w:val="00E45817"/>
    <w:rsid w:val="00E45BFB"/>
    <w:rsid w:val="00E46F93"/>
    <w:rsid w:val="00E513D0"/>
    <w:rsid w:val="00E518F9"/>
    <w:rsid w:val="00E6068D"/>
    <w:rsid w:val="00E61C32"/>
    <w:rsid w:val="00E63FC4"/>
    <w:rsid w:val="00E66001"/>
    <w:rsid w:val="00E6687D"/>
    <w:rsid w:val="00E704F7"/>
    <w:rsid w:val="00E70C45"/>
    <w:rsid w:val="00E73382"/>
    <w:rsid w:val="00E75ABE"/>
    <w:rsid w:val="00E7646B"/>
    <w:rsid w:val="00E76542"/>
    <w:rsid w:val="00E76FF1"/>
    <w:rsid w:val="00E81560"/>
    <w:rsid w:val="00E83789"/>
    <w:rsid w:val="00E83838"/>
    <w:rsid w:val="00E83A19"/>
    <w:rsid w:val="00E850BA"/>
    <w:rsid w:val="00E8562C"/>
    <w:rsid w:val="00E86556"/>
    <w:rsid w:val="00E876CB"/>
    <w:rsid w:val="00E877CE"/>
    <w:rsid w:val="00E900A3"/>
    <w:rsid w:val="00E91310"/>
    <w:rsid w:val="00E9144E"/>
    <w:rsid w:val="00E92FA6"/>
    <w:rsid w:val="00E9477E"/>
    <w:rsid w:val="00E9694D"/>
    <w:rsid w:val="00EA1AF6"/>
    <w:rsid w:val="00EA2EEB"/>
    <w:rsid w:val="00EA4C28"/>
    <w:rsid w:val="00EA5594"/>
    <w:rsid w:val="00EA5D5D"/>
    <w:rsid w:val="00EA692F"/>
    <w:rsid w:val="00EB37A8"/>
    <w:rsid w:val="00EB40B0"/>
    <w:rsid w:val="00EB4443"/>
    <w:rsid w:val="00EB74BC"/>
    <w:rsid w:val="00EC16F8"/>
    <w:rsid w:val="00EC336E"/>
    <w:rsid w:val="00ED2C08"/>
    <w:rsid w:val="00ED2D99"/>
    <w:rsid w:val="00ED3A64"/>
    <w:rsid w:val="00ED560D"/>
    <w:rsid w:val="00ED605B"/>
    <w:rsid w:val="00ED6260"/>
    <w:rsid w:val="00ED6B98"/>
    <w:rsid w:val="00ED6C94"/>
    <w:rsid w:val="00EE1040"/>
    <w:rsid w:val="00EE5B40"/>
    <w:rsid w:val="00EE7685"/>
    <w:rsid w:val="00EF0BF1"/>
    <w:rsid w:val="00EF0EA0"/>
    <w:rsid w:val="00EF35D0"/>
    <w:rsid w:val="00EF4C89"/>
    <w:rsid w:val="00EF5F9F"/>
    <w:rsid w:val="00EF64BD"/>
    <w:rsid w:val="00F0242A"/>
    <w:rsid w:val="00F05050"/>
    <w:rsid w:val="00F053EF"/>
    <w:rsid w:val="00F07ED4"/>
    <w:rsid w:val="00F12FA6"/>
    <w:rsid w:val="00F141DF"/>
    <w:rsid w:val="00F152E7"/>
    <w:rsid w:val="00F15307"/>
    <w:rsid w:val="00F16041"/>
    <w:rsid w:val="00F17A7A"/>
    <w:rsid w:val="00F20245"/>
    <w:rsid w:val="00F216B1"/>
    <w:rsid w:val="00F25611"/>
    <w:rsid w:val="00F30A87"/>
    <w:rsid w:val="00F31DA3"/>
    <w:rsid w:val="00F3371D"/>
    <w:rsid w:val="00F35CBE"/>
    <w:rsid w:val="00F406A9"/>
    <w:rsid w:val="00F40BF4"/>
    <w:rsid w:val="00F41942"/>
    <w:rsid w:val="00F4261F"/>
    <w:rsid w:val="00F43B0B"/>
    <w:rsid w:val="00F43BA6"/>
    <w:rsid w:val="00F51C02"/>
    <w:rsid w:val="00F521C7"/>
    <w:rsid w:val="00F5227C"/>
    <w:rsid w:val="00F53635"/>
    <w:rsid w:val="00F54C78"/>
    <w:rsid w:val="00F555DD"/>
    <w:rsid w:val="00F55D28"/>
    <w:rsid w:val="00F566C7"/>
    <w:rsid w:val="00F57850"/>
    <w:rsid w:val="00F626E0"/>
    <w:rsid w:val="00F63858"/>
    <w:rsid w:val="00F646A4"/>
    <w:rsid w:val="00F65C61"/>
    <w:rsid w:val="00F6667B"/>
    <w:rsid w:val="00F7027C"/>
    <w:rsid w:val="00F70333"/>
    <w:rsid w:val="00F73106"/>
    <w:rsid w:val="00F7494E"/>
    <w:rsid w:val="00F74B06"/>
    <w:rsid w:val="00F75C80"/>
    <w:rsid w:val="00F80AFA"/>
    <w:rsid w:val="00F8155F"/>
    <w:rsid w:val="00F82D92"/>
    <w:rsid w:val="00F860A4"/>
    <w:rsid w:val="00F86357"/>
    <w:rsid w:val="00F87CD9"/>
    <w:rsid w:val="00F90FBA"/>
    <w:rsid w:val="00F93C02"/>
    <w:rsid w:val="00F95C7C"/>
    <w:rsid w:val="00F96297"/>
    <w:rsid w:val="00FA106A"/>
    <w:rsid w:val="00FA13BE"/>
    <w:rsid w:val="00FA1A86"/>
    <w:rsid w:val="00FA1B4B"/>
    <w:rsid w:val="00FA384A"/>
    <w:rsid w:val="00FA4229"/>
    <w:rsid w:val="00FA65D1"/>
    <w:rsid w:val="00FA6CA0"/>
    <w:rsid w:val="00FA701F"/>
    <w:rsid w:val="00FB01B3"/>
    <w:rsid w:val="00FB1724"/>
    <w:rsid w:val="00FB2147"/>
    <w:rsid w:val="00FB5013"/>
    <w:rsid w:val="00FB507A"/>
    <w:rsid w:val="00FB6A28"/>
    <w:rsid w:val="00FB76CD"/>
    <w:rsid w:val="00FC238D"/>
    <w:rsid w:val="00FC662C"/>
    <w:rsid w:val="00FC79BB"/>
    <w:rsid w:val="00FD15E2"/>
    <w:rsid w:val="00FD2F99"/>
    <w:rsid w:val="00FD3B61"/>
    <w:rsid w:val="00FD5E0B"/>
    <w:rsid w:val="00FE4B51"/>
    <w:rsid w:val="00FE5772"/>
    <w:rsid w:val="00FE752E"/>
    <w:rsid w:val="00FE7DFE"/>
    <w:rsid w:val="00FF06F1"/>
    <w:rsid w:val="00FF2C7A"/>
    <w:rsid w:val="00FF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18ACD"/>
  <w15:docId w15:val="{46804143-F042-4640-B650-B2CC126C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65F"/>
  </w:style>
  <w:style w:type="paragraph" w:styleId="Heading1">
    <w:name w:val="heading 1"/>
    <w:basedOn w:val="Normal"/>
    <w:next w:val="Normal"/>
    <w:link w:val="Heading1Char"/>
    <w:uiPriority w:val="9"/>
    <w:qFormat/>
    <w:rsid w:val="007C1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6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16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36A70"/>
    <w:pPr>
      <w:keepNext/>
      <w:keepLines/>
      <w:spacing w:before="200" w:after="0"/>
      <w:outlineLvl w:val="3"/>
    </w:pPr>
    <w:rPr>
      <w:rFonts w:eastAsiaTheme="majorEastAsia" w:cstheme="majorBidi"/>
      <w:bCs/>
      <w:i/>
      <w:iCs/>
      <w:color w:val="4F81BD" w:themeColor="accent1"/>
      <w:sz w:val="24"/>
    </w:rPr>
  </w:style>
  <w:style w:type="paragraph" w:styleId="Heading5">
    <w:name w:val="heading 5"/>
    <w:basedOn w:val="Normal"/>
    <w:next w:val="Normal"/>
    <w:link w:val="Heading5Char"/>
    <w:uiPriority w:val="9"/>
    <w:unhideWhenUsed/>
    <w:qFormat/>
    <w:rsid w:val="007C16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C16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16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16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C16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E91310"/>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Triangles">
    <w:name w:val="1Triangles"/>
    <w:rsid w:val="00E91310"/>
    <w:pPr>
      <w:widowControl w:val="0"/>
      <w:tabs>
        <w:tab w:val="left" w:pos="720"/>
      </w:tabs>
      <w:autoSpaceDE w:val="0"/>
      <w:autoSpaceDN w:val="0"/>
      <w:adjustRightInd w:val="0"/>
      <w:ind w:left="720" w:hanging="720"/>
      <w:jc w:val="both"/>
    </w:pPr>
    <w:rPr>
      <w:sz w:val="24"/>
      <w:szCs w:val="24"/>
    </w:rPr>
  </w:style>
  <w:style w:type="paragraph" w:customStyle="1" w:styleId="2Triangles">
    <w:name w:val="2Triangles"/>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Triangles">
    <w:name w:val="3Triangles"/>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Triangles">
    <w:name w:val="4Triangles"/>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Triangles">
    <w:name w:val="5Triangles"/>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Triangles">
    <w:name w:val="6Triangles"/>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Triangles">
    <w:name w:val="7Triangles"/>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Triangles">
    <w:name w:val="8Triangles"/>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a">
    <w:name w:val="_"/>
    <w:rsid w:val="00E91310"/>
    <w:pPr>
      <w:widowControl w:val="0"/>
      <w:autoSpaceDE w:val="0"/>
      <w:autoSpaceDN w:val="0"/>
      <w:adjustRightInd w:val="0"/>
      <w:ind w:left="-1080"/>
    </w:pPr>
    <w:rPr>
      <w:sz w:val="24"/>
      <w:szCs w:val="24"/>
    </w:rPr>
  </w:style>
  <w:style w:type="character" w:customStyle="1" w:styleId="DefaultPara">
    <w:name w:val="Default Para"/>
    <w:rsid w:val="00E91310"/>
  </w:style>
  <w:style w:type="character" w:customStyle="1" w:styleId="SYSHYPERTEXT">
    <w:name w:val="SYS_HYPERTEXT"/>
    <w:rsid w:val="00E91310"/>
    <w:rPr>
      <w:color w:val="0000FF"/>
    </w:rPr>
  </w:style>
  <w:style w:type="paragraph" w:styleId="Header">
    <w:name w:val="header"/>
    <w:basedOn w:val="Normal"/>
    <w:rsid w:val="00E91310"/>
    <w:pPr>
      <w:tabs>
        <w:tab w:val="center" w:pos="4320"/>
        <w:tab w:val="right" w:pos="8640"/>
      </w:tabs>
    </w:pPr>
  </w:style>
  <w:style w:type="character" w:styleId="PageNumber">
    <w:name w:val="page number"/>
    <w:basedOn w:val="DefaultParagraphFont"/>
    <w:rsid w:val="00E91310"/>
  </w:style>
  <w:style w:type="paragraph" w:styleId="BodyText">
    <w:name w:val="Body Text"/>
    <w:basedOn w:val="Normal"/>
    <w:link w:val="BodyTextChar"/>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FF00FF"/>
    </w:rPr>
  </w:style>
  <w:style w:type="paragraph" w:styleId="Caption">
    <w:name w:val="caption"/>
    <w:basedOn w:val="Normal"/>
    <w:next w:val="Normal"/>
    <w:uiPriority w:val="35"/>
    <w:unhideWhenUsed/>
    <w:qFormat/>
    <w:rsid w:val="007C165F"/>
    <w:pPr>
      <w:spacing w:line="240" w:lineRule="auto"/>
    </w:pPr>
    <w:rPr>
      <w:b/>
      <w:bCs/>
      <w:color w:val="4F81BD" w:themeColor="accent1"/>
      <w:sz w:val="18"/>
      <w:szCs w:val="18"/>
    </w:rPr>
  </w:style>
  <w:style w:type="paragraph" w:styleId="BodyText2">
    <w:name w:val="Body Text 2"/>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BodyText3">
    <w:name w:val="Body Text 3"/>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styleId="Hyperlink">
    <w:name w:val="Hyperlink"/>
    <w:rsid w:val="00E91310"/>
    <w:rPr>
      <w:color w:val="0000FF"/>
      <w:u w:val="single"/>
    </w:rPr>
  </w:style>
  <w:style w:type="character" w:styleId="FollowedHyperlink">
    <w:name w:val="FollowedHyperlink"/>
    <w:rsid w:val="00E91310"/>
    <w:rPr>
      <w:color w:val="800080"/>
      <w:u w:val="single"/>
    </w:rPr>
  </w:style>
  <w:style w:type="paragraph" w:styleId="Footer">
    <w:name w:val="footer"/>
    <w:basedOn w:val="Normal"/>
    <w:link w:val="FooterChar"/>
    <w:uiPriority w:val="99"/>
    <w:rsid w:val="00E91310"/>
    <w:pPr>
      <w:tabs>
        <w:tab w:val="center" w:pos="4320"/>
        <w:tab w:val="right" w:pos="8640"/>
      </w:tabs>
    </w:pPr>
  </w:style>
  <w:style w:type="paragraph" w:customStyle="1" w:styleId="Default">
    <w:name w:val="Default"/>
    <w:rsid w:val="0080088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605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C89"/>
    <w:rPr>
      <w:rFonts w:ascii="Tahoma" w:hAnsi="Tahoma" w:cs="Tahoma"/>
      <w:sz w:val="16"/>
      <w:szCs w:val="16"/>
    </w:rPr>
  </w:style>
  <w:style w:type="paragraph" w:styleId="ListParagraph">
    <w:name w:val="List Paragraph"/>
    <w:basedOn w:val="Normal"/>
    <w:qFormat/>
    <w:rsid w:val="007C165F"/>
    <w:pPr>
      <w:ind w:left="720"/>
      <w:contextualSpacing/>
    </w:pPr>
  </w:style>
  <w:style w:type="paragraph" w:styleId="ListBullet">
    <w:name w:val="List Bullet"/>
    <w:basedOn w:val="Normal"/>
    <w:rsid w:val="00C4222C"/>
    <w:pPr>
      <w:numPr>
        <w:numId w:val="1"/>
      </w:numPr>
      <w:spacing w:after="120"/>
    </w:pPr>
  </w:style>
  <w:style w:type="character" w:customStyle="1" w:styleId="BodyTextChar">
    <w:name w:val="Body Text Char"/>
    <w:basedOn w:val="DefaultParagraphFont"/>
    <w:link w:val="BodyText"/>
    <w:rsid w:val="00CE313B"/>
    <w:rPr>
      <w:color w:val="FF00FF"/>
      <w:sz w:val="22"/>
      <w:szCs w:val="22"/>
    </w:rPr>
  </w:style>
  <w:style w:type="paragraph" w:customStyle="1" w:styleId="StyleListBulletAfter12pt">
    <w:name w:val="Style List Bullet + After:  12 pt"/>
    <w:basedOn w:val="ListBullet"/>
    <w:rsid w:val="00C4222C"/>
  </w:style>
  <w:style w:type="character" w:styleId="Strong">
    <w:name w:val="Strong"/>
    <w:basedOn w:val="DefaultParagraphFont"/>
    <w:uiPriority w:val="22"/>
    <w:qFormat/>
    <w:rsid w:val="007C165F"/>
    <w:rPr>
      <w:b/>
      <w:bCs/>
    </w:rPr>
  </w:style>
  <w:style w:type="character" w:styleId="Emphasis">
    <w:name w:val="Emphasis"/>
    <w:basedOn w:val="DefaultParagraphFont"/>
    <w:qFormat/>
    <w:rsid w:val="007C165F"/>
    <w:rPr>
      <w:i/>
      <w:iCs/>
    </w:rPr>
  </w:style>
  <w:style w:type="paragraph" w:styleId="Revision">
    <w:name w:val="Revision"/>
    <w:hidden/>
    <w:uiPriority w:val="99"/>
    <w:semiHidden/>
    <w:rsid w:val="00895418"/>
  </w:style>
  <w:style w:type="paragraph" w:styleId="NoSpacing">
    <w:name w:val="No Spacing"/>
    <w:uiPriority w:val="1"/>
    <w:qFormat/>
    <w:rsid w:val="007C165F"/>
    <w:pPr>
      <w:spacing w:after="0" w:line="240" w:lineRule="auto"/>
    </w:pPr>
  </w:style>
  <w:style w:type="character" w:customStyle="1" w:styleId="Heading1Char">
    <w:name w:val="Heading 1 Char"/>
    <w:basedOn w:val="DefaultParagraphFont"/>
    <w:link w:val="Heading1"/>
    <w:uiPriority w:val="9"/>
    <w:rsid w:val="007C16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16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16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36A70"/>
    <w:rPr>
      <w:rFonts w:eastAsiaTheme="majorEastAsia" w:cstheme="majorBidi"/>
      <w:bCs/>
      <w:i/>
      <w:iCs/>
      <w:color w:val="4F81BD" w:themeColor="accent1"/>
      <w:sz w:val="24"/>
    </w:rPr>
  </w:style>
  <w:style w:type="character" w:customStyle="1" w:styleId="Heading5Char">
    <w:name w:val="Heading 5 Char"/>
    <w:basedOn w:val="DefaultParagraphFont"/>
    <w:link w:val="Heading5"/>
    <w:uiPriority w:val="9"/>
    <w:rsid w:val="007C16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C16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16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C16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C165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C16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16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C16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165F"/>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7C165F"/>
    <w:rPr>
      <w:i/>
      <w:iCs/>
      <w:color w:val="000000" w:themeColor="text1"/>
    </w:rPr>
  </w:style>
  <w:style w:type="character" w:customStyle="1" w:styleId="QuoteChar">
    <w:name w:val="Quote Char"/>
    <w:basedOn w:val="DefaultParagraphFont"/>
    <w:link w:val="Quote"/>
    <w:uiPriority w:val="29"/>
    <w:rsid w:val="007C165F"/>
    <w:rPr>
      <w:i/>
      <w:iCs/>
      <w:color w:val="000000" w:themeColor="text1"/>
    </w:rPr>
  </w:style>
  <w:style w:type="paragraph" w:styleId="IntenseQuote">
    <w:name w:val="Intense Quote"/>
    <w:basedOn w:val="Normal"/>
    <w:next w:val="Normal"/>
    <w:link w:val="IntenseQuoteChar"/>
    <w:uiPriority w:val="30"/>
    <w:qFormat/>
    <w:rsid w:val="007C16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C165F"/>
    <w:rPr>
      <w:b/>
      <w:bCs/>
      <w:i/>
      <w:iCs/>
      <w:color w:val="4F81BD" w:themeColor="accent1"/>
    </w:rPr>
  </w:style>
  <w:style w:type="character" w:styleId="SubtleEmphasis">
    <w:name w:val="Subtle Emphasis"/>
    <w:basedOn w:val="DefaultParagraphFont"/>
    <w:uiPriority w:val="19"/>
    <w:qFormat/>
    <w:rsid w:val="007C165F"/>
    <w:rPr>
      <w:i/>
      <w:iCs/>
      <w:color w:val="808080" w:themeColor="text1" w:themeTint="7F"/>
    </w:rPr>
  </w:style>
  <w:style w:type="character" w:styleId="IntenseEmphasis">
    <w:name w:val="Intense Emphasis"/>
    <w:basedOn w:val="DefaultParagraphFont"/>
    <w:uiPriority w:val="21"/>
    <w:qFormat/>
    <w:rsid w:val="007C165F"/>
    <w:rPr>
      <w:b/>
      <w:bCs/>
      <w:i/>
      <w:iCs/>
      <w:color w:val="4F81BD" w:themeColor="accent1"/>
    </w:rPr>
  </w:style>
  <w:style w:type="character" w:styleId="SubtleReference">
    <w:name w:val="Subtle Reference"/>
    <w:basedOn w:val="DefaultParagraphFont"/>
    <w:uiPriority w:val="31"/>
    <w:qFormat/>
    <w:rsid w:val="007C165F"/>
    <w:rPr>
      <w:smallCaps/>
      <w:color w:val="C0504D" w:themeColor="accent2"/>
      <w:u w:val="single"/>
    </w:rPr>
  </w:style>
  <w:style w:type="character" w:styleId="IntenseReference">
    <w:name w:val="Intense Reference"/>
    <w:basedOn w:val="DefaultParagraphFont"/>
    <w:uiPriority w:val="32"/>
    <w:qFormat/>
    <w:rsid w:val="007C165F"/>
    <w:rPr>
      <w:b/>
      <w:bCs/>
      <w:smallCaps/>
      <w:color w:val="C0504D" w:themeColor="accent2"/>
      <w:spacing w:val="5"/>
      <w:u w:val="single"/>
    </w:rPr>
  </w:style>
  <w:style w:type="character" w:styleId="BookTitle">
    <w:name w:val="Book Title"/>
    <w:basedOn w:val="DefaultParagraphFont"/>
    <w:uiPriority w:val="33"/>
    <w:qFormat/>
    <w:rsid w:val="007C165F"/>
    <w:rPr>
      <w:b/>
      <w:bCs/>
      <w:smallCaps/>
      <w:spacing w:val="5"/>
    </w:rPr>
  </w:style>
  <w:style w:type="paragraph" w:styleId="TOCHeading">
    <w:name w:val="TOC Heading"/>
    <w:basedOn w:val="Heading1"/>
    <w:next w:val="Normal"/>
    <w:uiPriority w:val="39"/>
    <w:semiHidden/>
    <w:unhideWhenUsed/>
    <w:qFormat/>
    <w:rsid w:val="007C165F"/>
    <w:pPr>
      <w:outlineLvl w:val="9"/>
    </w:pPr>
  </w:style>
  <w:style w:type="character" w:customStyle="1" w:styleId="FooterChar">
    <w:name w:val="Footer Char"/>
    <w:basedOn w:val="DefaultParagraphFont"/>
    <w:link w:val="Footer"/>
    <w:uiPriority w:val="99"/>
    <w:rsid w:val="001B6B06"/>
  </w:style>
  <w:style w:type="character" w:styleId="CommentReference">
    <w:name w:val="annotation reference"/>
    <w:basedOn w:val="DefaultParagraphFont"/>
    <w:semiHidden/>
    <w:unhideWhenUsed/>
    <w:rsid w:val="00D63F04"/>
    <w:rPr>
      <w:sz w:val="16"/>
      <w:szCs w:val="16"/>
    </w:rPr>
  </w:style>
  <w:style w:type="paragraph" w:styleId="CommentText">
    <w:name w:val="annotation text"/>
    <w:basedOn w:val="Normal"/>
    <w:link w:val="CommentTextChar"/>
    <w:semiHidden/>
    <w:unhideWhenUsed/>
    <w:rsid w:val="00D63F04"/>
    <w:pPr>
      <w:spacing w:line="240" w:lineRule="auto"/>
    </w:pPr>
    <w:rPr>
      <w:sz w:val="20"/>
      <w:szCs w:val="20"/>
    </w:rPr>
  </w:style>
  <w:style w:type="character" w:customStyle="1" w:styleId="CommentTextChar">
    <w:name w:val="Comment Text Char"/>
    <w:basedOn w:val="DefaultParagraphFont"/>
    <w:link w:val="CommentText"/>
    <w:semiHidden/>
    <w:rsid w:val="00D63F04"/>
    <w:rPr>
      <w:sz w:val="20"/>
      <w:szCs w:val="20"/>
    </w:rPr>
  </w:style>
  <w:style w:type="paragraph" w:styleId="CommentSubject">
    <w:name w:val="annotation subject"/>
    <w:basedOn w:val="CommentText"/>
    <w:next w:val="CommentText"/>
    <w:link w:val="CommentSubjectChar"/>
    <w:semiHidden/>
    <w:unhideWhenUsed/>
    <w:rsid w:val="00D63F04"/>
    <w:rPr>
      <w:b/>
      <w:bCs/>
    </w:rPr>
  </w:style>
  <w:style w:type="character" w:customStyle="1" w:styleId="CommentSubjectChar">
    <w:name w:val="Comment Subject Char"/>
    <w:basedOn w:val="CommentTextChar"/>
    <w:link w:val="CommentSubject"/>
    <w:semiHidden/>
    <w:rsid w:val="00D63F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1572">
      <w:bodyDiv w:val="1"/>
      <w:marLeft w:val="60"/>
      <w:marRight w:val="60"/>
      <w:marTop w:val="60"/>
      <w:marBottom w:val="15"/>
      <w:divBdr>
        <w:top w:val="none" w:sz="0" w:space="0" w:color="auto"/>
        <w:left w:val="none" w:sz="0" w:space="0" w:color="auto"/>
        <w:bottom w:val="none" w:sz="0" w:space="0" w:color="auto"/>
        <w:right w:val="none" w:sz="0" w:space="0" w:color="auto"/>
      </w:divBdr>
      <w:divsChild>
        <w:div w:id="130952323">
          <w:marLeft w:val="0"/>
          <w:marRight w:val="0"/>
          <w:marTop w:val="0"/>
          <w:marBottom w:val="0"/>
          <w:divBdr>
            <w:top w:val="none" w:sz="0" w:space="0" w:color="auto"/>
            <w:left w:val="none" w:sz="0" w:space="0" w:color="auto"/>
            <w:bottom w:val="none" w:sz="0" w:space="0" w:color="auto"/>
            <w:right w:val="none" w:sz="0" w:space="0" w:color="auto"/>
          </w:divBdr>
        </w:div>
        <w:div w:id="135029660">
          <w:marLeft w:val="0"/>
          <w:marRight w:val="0"/>
          <w:marTop w:val="0"/>
          <w:marBottom w:val="0"/>
          <w:divBdr>
            <w:top w:val="none" w:sz="0" w:space="0" w:color="auto"/>
            <w:left w:val="none" w:sz="0" w:space="0" w:color="auto"/>
            <w:bottom w:val="none" w:sz="0" w:space="0" w:color="auto"/>
            <w:right w:val="none" w:sz="0" w:space="0" w:color="auto"/>
          </w:divBdr>
        </w:div>
        <w:div w:id="140199586">
          <w:marLeft w:val="0"/>
          <w:marRight w:val="0"/>
          <w:marTop w:val="0"/>
          <w:marBottom w:val="0"/>
          <w:divBdr>
            <w:top w:val="none" w:sz="0" w:space="0" w:color="auto"/>
            <w:left w:val="none" w:sz="0" w:space="0" w:color="auto"/>
            <w:bottom w:val="none" w:sz="0" w:space="0" w:color="auto"/>
            <w:right w:val="none" w:sz="0" w:space="0" w:color="auto"/>
          </w:divBdr>
        </w:div>
        <w:div w:id="165025019">
          <w:marLeft w:val="0"/>
          <w:marRight w:val="0"/>
          <w:marTop w:val="0"/>
          <w:marBottom w:val="0"/>
          <w:divBdr>
            <w:top w:val="none" w:sz="0" w:space="0" w:color="auto"/>
            <w:left w:val="none" w:sz="0" w:space="0" w:color="auto"/>
            <w:bottom w:val="none" w:sz="0" w:space="0" w:color="auto"/>
            <w:right w:val="none" w:sz="0" w:space="0" w:color="auto"/>
          </w:divBdr>
        </w:div>
        <w:div w:id="233275361">
          <w:marLeft w:val="0"/>
          <w:marRight w:val="0"/>
          <w:marTop w:val="0"/>
          <w:marBottom w:val="0"/>
          <w:divBdr>
            <w:top w:val="none" w:sz="0" w:space="0" w:color="auto"/>
            <w:left w:val="none" w:sz="0" w:space="0" w:color="auto"/>
            <w:bottom w:val="none" w:sz="0" w:space="0" w:color="auto"/>
            <w:right w:val="none" w:sz="0" w:space="0" w:color="auto"/>
          </w:divBdr>
        </w:div>
        <w:div w:id="236519906">
          <w:marLeft w:val="0"/>
          <w:marRight w:val="0"/>
          <w:marTop w:val="0"/>
          <w:marBottom w:val="0"/>
          <w:divBdr>
            <w:top w:val="none" w:sz="0" w:space="0" w:color="auto"/>
            <w:left w:val="none" w:sz="0" w:space="0" w:color="auto"/>
            <w:bottom w:val="none" w:sz="0" w:space="0" w:color="auto"/>
            <w:right w:val="none" w:sz="0" w:space="0" w:color="auto"/>
          </w:divBdr>
        </w:div>
        <w:div w:id="274560804">
          <w:marLeft w:val="0"/>
          <w:marRight w:val="0"/>
          <w:marTop w:val="0"/>
          <w:marBottom w:val="0"/>
          <w:divBdr>
            <w:top w:val="none" w:sz="0" w:space="0" w:color="auto"/>
            <w:left w:val="none" w:sz="0" w:space="0" w:color="auto"/>
            <w:bottom w:val="none" w:sz="0" w:space="0" w:color="auto"/>
            <w:right w:val="none" w:sz="0" w:space="0" w:color="auto"/>
          </w:divBdr>
        </w:div>
        <w:div w:id="331493830">
          <w:marLeft w:val="0"/>
          <w:marRight w:val="0"/>
          <w:marTop w:val="0"/>
          <w:marBottom w:val="0"/>
          <w:divBdr>
            <w:top w:val="none" w:sz="0" w:space="0" w:color="auto"/>
            <w:left w:val="none" w:sz="0" w:space="0" w:color="auto"/>
            <w:bottom w:val="none" w:sz="0" w:space="0" w:color="auto"/>
            <w:right w:val="none" w:sz="0" w:space="0" w:color="auto"/>
          </w:divBdr>
        </w:div>
        <w:div w:id="444538856">
          <w:marLeft w:val="0"/>
          <w:marRight w:val="0"/>
          <w:marTop w:val="0"/>
          <w:marBottom w:val="0"/>
          <w:divBdr>
            <w:top w:val="none" w:sz="0" w:space="0" w:color="auto"/>
            <w:left w:val="none" w:sz="0" w:space="0" w:color="auto"/>
            <w:bottom w:val="none" w:sz="0" w:space="0" w:color="auto"/>
            <w:right w:val="none" w:sz="0" w:space="0" w:color="auto"/>
          </w:divBdr>
        </w:div>
        <w:div w:id="513375455">
          <w:marLeft w:val="0"/>
          <w:marRight w:val="0"/>
          <w:marTop w:val="0"/>
          <w:marBottom w:val="0"/>
          <w:divBdr>
            <w:top w:val="none" w:sz="0" w:space="0" w:color="auto"/>
            <w:left w:val="none" w:sz="0" w:space="0" w:color="auto"/>
            <w:bottom w:val="none" w:sz="0" w:space="0" w:color="auto"/>
            <w:right w:val="none" w:sz="0" w:space="0" w:color="auto"/>
          </w:divBdr>
        </w:div>
        <w:div w:id="514464967">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549847490">
          <w:marLeft w:val="0"/>
          <w:marRight w:val="0"/>
          <w:marTop w:val="0"/>
          <w:marBottom w:val="0"/>
          <w:divBdr>
            <w:top w:val="none" w:sz="0" w:space="0" w:color="auto"/>
            <w:left w:val="none" w:sz="0" w:space="0" w:color="auto"/>
            <w:bottom w:val="none" w:sz="0" w:space="0" w:color="auto"/>
            <w:right w:val="none" w:sz="0" w:space="0" w:color="auto"/>
          </w:divBdr>
        </w:div>
        <w:div w:id="571158826">
          <w:marLeft w:val="0"/>
          <w:marRight w:val="0"/>
          <w:marTop w:val="0"/>
          <w:marBottom w:val="0"/>
          <w:divBdr>
            <w:top w:val="none" w:sz="0" w:space="0" w:color="auto"/>
            <w:left w:val="none" w:sz="0" w:space="0" w:color="auto"/>
            <w:bottom w:val="none" w:sz="0" w:space="0" w:color="auto"/>
            <w:right w:val="none" w:sz="0" w:space="0" w:color="auto"/>
          </w:divBdr>
        </w:div>
        <w:div w:id="734858534">
          <w:marLeft w:val="0"/>
          <w:marRight w:val="0"/>
          <w:marTop w:val="0"/>
          <w:marBottom w:val="0"/>
          <w:divBdr>
            <w:top w:val="none" w:sz="0" w:space="0" w:color="auto"/>
            <w:left w:val="none" w:sz="0" w:space="0" w:color="auto"/>
            <w:bottom w:val="none" w:sz="0" w:space="0" w:color="auto"/>
            <w:right w:val="none" w:sz="0" w:space="0" w:color="auto"/>
          </w:divBdr>
        </w:div>
        <w:div w:id="852917297">
          <w:marLeft w:val="0"/>
          <w:marRight w:val="0"/>
          <w:marTop w:val="0"/>
          <w:marBottom w:val="0"/>
          <w:divBdr>
            <w:top w:val="none" w:sz="0" w:space="0" w:color="auto"/>
            <w:left w:val="none" w:sz="0" w:space="0" w:color="auto"/>
            <w:bottom w:val="none" w:sz="0" w:space="0" w:color="auto"/>
            <w:right w:val="none" w:sz="0" w:space="0" w:color="auto"/>
          </w:divBdr>
        </w:div>
        <w:div w:id="885220769">
          <w:marLeft w:val="0"/>
          <w:marRight w:val="0"/>
          <w:marTop w:val="0"/>
          <w:marBottom w:val="0"/>
          <w:divBdr>
            <w:top w:val="none" w:sz="0" w:space="0" w:color="auto"/>
            <w:left w:val="none" w:sz="0" w:space="0" w:color="auto"/>
            <w:bottom w:val="none" w:sz="0" w:space="0" w:color="auto"/>
            <w:right w:val="none" w:sz="0" w:space="0" w:color="auto"/>
          </w:divBdr>
        </w:div>
        <w:div w:id="921719138">
          <w:marLeft w:val="0"/>
          <w:marRight w:val="0"/>
          <w:marTop w:val="0"/>
          <w:marBottom w:val="0"/>
          <w:divBdr>
            <w:top w:val="none" w:sz="0" w:space="0" w:color="auto"/>
            <w:left w:val="none" w:sz="0" w:space="0" w:color="auto"/>
            <w:bottom w:val="none" w:sz="0" w:space="0" w:color="auto"/>
            <w:right w:val="none" w:sz="0" w:space="0" w:color="auto"/>
          </w:divBdr>
        </w:div>
        <w:div w:id="1124808185">
          <w:marLeft w:val="0"/>
          <w:marRight w:val="0"/>
          <w:marTop w:val="0"/>
          <w:marBottom w:val="0"/>
          <w:divBdr>
            <w:top w:val="none" w:sz="0" w:space="0" w:color="auto"/>
            <w:left w:val="none" w:sz="0" w:space="0" w:color="auto"/>
            <w:bottom w:val="none" w:sz="0" w:space="0" w:color="auto"/>
            <w:right w:val="none" w:sz="0" w:space="0" w:color="auto"/>
          </w:divBdr>
        </w:div>
        <w:div w:id="1298149345">
          <w:marLeft w:val="0"/>
          <w:marRight w:val="0"/>
          <w:marTop w:val="0"/>
          <w:marBottom w:val="0"/>
          <w:divBdr>
            <w:top w:val="none" w:sz="0" w:space="0" w:color="auto"/>
            <w:left w:val="none" w:sz="0" w:space="0" w:color="auto"/>
            <w:bottom w:val="none" w:sz="0" w:space="0" w:color="auto"/>
            <w:right w:val="none" w:sz="0" w:space="0" w:color="auto"/>
          </w:divBdr>
        </w:div>
        <w:div w:id="1319269194">
          <w:marLeft w:val="0"/>
          <w:marRight w:val="0"/>
          <w:marTop w:val="0"/>
          <w:marBottom w:val="0"/>
          <w:divBdr>
            <w:top w:val="none" w:sz="0" w:space="0" w:color="auto"/>
            <w:left w:val="none" w:sz="0" w:space="0" w:color="auto"/>
            <w:bottom w:val="none" w:sz="0" w:space="0" w:color="auto"/>
            <w:right w:val="none" w:sz="0" w:space="0" w:color="auto"/>
          </w:divBdr>
        </w:div>
        <w:div w:id="1368215720">
          <w:marLeft w:val="0"/>
          <w:marRight w:val="0"/>
          <w:marTop w:val="0"/>
          <w:marBottom w:val="0"/>
          <w:divBdr>
            <w:top w:val="none" w:sz="0" w:space="0" w:color="auto"/>
            <w:left w:val="none" w:sz="0" w:space="0" w:color="auto"/>
            <w:bottom w:val="none" w:sz="0" w:space="0" w:color="auto"/>
            <w:right w:val="none" w:sz="0" w:space="0" w:color="auto"/>
          </w:divBdr>
        </w:div>
        <w:div w:id="1411851049">
          <w:marLeft w:val="0"/>
          <w:marRight w:val="0"/>
          <w:marTop w:val="0"/>
          <w:marBottom w:val="0"/>
          <w:divBdr>
            <w:top w:val="none" w:sz="0" w:space="0" w:color="auto"/>
            <w:left w:val="none" w:sz="0" w:space="0" w:color="auto"/>
            <w:bottom w:val="none" w:sz="0" w:space="0" w:color="auto"/>
            <w:right w:val="none" w:sz="0" w:space="0" w:color="auto"/>
          </w:divBdr>
        </w:div>
        <w:div w:id="1519932120">
          <w:marLeft w:val="0"/>
          <w:marRight w:val="0"/>
          <w:marTop w:val="0"/>
          <w:marBottom w:val="0"/>
          <w:divBdr>
            <w:top w:val="none" w:sz="0" w:space="0" w:color="auto"/>
            <w:left w:val="none" w:sz="0" w:space="0" w:color="auto"/>
            <w:bottom w:val="none" w:sz="0" w:space="0" w:color="auto"/>
            <w:right w:val="none" w:sz="0" w:space="0" w:color="auto"/>
          </w:divBdr>
        </w:div>
        <w:div w:id="1557472255">
          <w:marLeft w:val="0"/>
          <w:marRight w:val="0"/>
          <w:marTop w:val="0"/>
          <w:marBottom w:val="0"/>
          <w:divBdr>
            <w:top w:val="none" w:sz="0" w:space="0" w:color="auto"/>
            <w:left w:val="none" w:sz="0" w:space="0" w:color="auto"/>
            <w:bottom w:val="none" w:sz="0" w:space="0" w:color="auto"/>
            <w:right w:val="none" w:sz="0" w:space="0" w:color="auto"/>
          </w:divBdr>
        </w:div>
        <w:div w:id="1582105048">
          <w:marLeft w:val="0"/>
          <w:marRight w:val="0"/>
          <w:marTop w:val="0"/>
          <w:marBottom w:val="0"/>
          <w:divBdr>
            <w:top w:val="none" w:sz="0" w:space="0" w:color="auto"/>
            <w:left w:val="none" w:sz="0" w:space="0" w:color="auto"/>
            <w:bottom w:val="none" w:sz="0" w:space="0" w:color="auto"/>
            <w:right w:val="none" w:sz="0" w:space="0" w:color="auto"/>
          </w:divBdr>
        </w:div>
        <w:div w:id="1710063345">
          <w:marLeft w:val="0"/>
          <w:marRight w:val="0"/>
          <w:marTop w:val="0"/>
          <w:marBottom w:val="0"/>
          <w:divBdr>
            <w:top w:val="none" w:sz="0" w:space="0" w:color="auto"/>
            <w:left w:val="none" w:sz="0" w:space="0" w:color="auto"/>
            <w:bottom w:val="none" w:sz="0" w:space="0" w:color="auto"/>
            <w:right w:val="none" w:sz="0" w:space="0" w:color="auto"/>
          </w:divBdr>
        </w:div>
        <w:div w:id="1752772614">
          <w:marLeft w:val="0"/>
          <w:marRight w:val="0"/>
          <w:marTop w:val="0"/>
          <w:marBottom w:val="0"/>
          <w:divBdr>
            <w:top w:val="none" w:sz="0" w:space="0" w:color="auto"/>
            <w:left w:val="none" w:sz="0" w:space="0" w:color="auto"/>
            <w:bottom w:val="none" w:sz="0" w:space="0" w:color="auto"/>
            <w:right w:val="none" w:sz="0" w:space="0" w:color="auto"/>
          </w:divBdr>
        </w:div>
        <w:div w:id="1813214408">
          <w:marLeft w:val="0"/>
          <w:marRight w:val="0"/>
          <w:marTop w:val="0"/>
          <w:marBottom w:val="0"/>
          <w:divBdr>
            <w:top w:val="none" w:sz="0" w:space="0" w:color="auto"/>
            <w:left w:val="none" w:sz="0" w:space="0" w:color="auto"/>
            <w:bottom w:val="none" w:sz="0" w:space="0" w:color="auto"/>
            <w:right w:val="none" w:sz="0" w:space="0" w:color="auto"/>
          </w:divBdr>
        </w:div>
        <w:div w:id="1819223066">
          <w:marLeft w:val="0"/>
          <w:marRight w:val="0"/>
          <w:marTop w:val="0"/>
          <w:marBottom w:val="0"/>
          <w:divBdr>
            <w:top w:val="none" w:sz="0" w:space="0" w:color="auto"/>
            <w:left w:val="none" w:sz="0" w:space="0" w:color="auto"/>
            <w:bottom w:val="none" w:sz="0" w:space="0" w:color="auto"/>
            <w:right w:val="none" w:sz="0" w:space="0" w:color="auto"/>
          </w:divBdr>
        </w:div>
        <w:div w:id="1850943744">
          <w:marLeft w:val="0"/>
          <w:marRight w:val="0"/>
          <w:marTop w:val="0"/>
          <w:marBottom w:val="0"/>
          <w:divBdr>
            <w:top w:val="none" w:sz="0" w:space="0" w:color="auto"/>
            <w:left w:val="none" w:sz="0" w:space="0" w:color="auto"/>
            <w:bottom w:val="none" w:sz="0" w:space="0" w:color="auto"/>
            <w:right w:val="none" w:sz="0" w:space="0" w:color="auto"/>
          </w:divBdr>
        </w:div>
        <w:div w:id="1886482137">
          <w:marLeft w:val="0"/>
          <w:marRight w:val="0"/>
          <w:marTop w:val="0"/>
          <w:marBottom w:val="0"/>
          <w:divBdr>
            <w:top w:val="none" w:sz="0" w:space="0" w:color="auto"/>
            <w:left w:val="none" w:sz="0" w:space="0" w:color="auto"/>
            <w:bottom w:val="none" w:sz="0" w:space="0" w:color="auto"/>
            <w:right w:val="none" w:sz="0" w:space="0" w:color="auto"/>
          </w:divBdr>
        </w:div>
        <w:div w:id="1978029152">
          <w:marLeft w:val="0"/>
          <w:marRight w:val="0"/>
          <w:marTop w:val="0"/>
          <w:marBottom w:val="0"/>
          <w:divBdr>
            <w:top w:val="none" w:sz="0" w:space="0" w:color="auto"/>
            <w:left w:val="none" w:sz="0" w:space="0" w:color="auto"/>
            <w:bottom w:val="none" w:sz="0" w:space="0" w:color="auto"/>
            <w:right w:val="none" w:sz="0" w:space="0" w:color="auto"/>
          </w:divBdr>
        </w:div>
        <w:div w:id="2045397593">
          <w:marLeft w:val="0"/>
          <w:marRight w:val="0"/>
          <w:marTop w:val="0"/>
          <w:marBottom w:val="0"/>
          <w:divBdr>
            <w:top w:val="none" w:sz="0" w:space="0" w:color="auto"/>
            <w:left w:val="none" w:sz="0" w:space="0" w:color="auto"/>
            <w:bottom w:val="none" w:sz="0" w:space="0" w:color="auto"/>
            <w:right w:val="none" w:sz="0" w:space="0" w:color="auto"/>
          </w:divBdr>
        </w:div>
      </w:divsChild>
    </w:div>
    <w:div w:id="148258125">
      <w:bodyDiv w:val="1"/>
      <w:marLeft w:val="0"/>
      <w:marRight w:val="0"/>
      <w:marTop w:val="0"/>
      <w:marBottom w:val="0"/>
      <w:divBdr>
        <w:top w:val="none" w:sz="0" w:space="0" w:color="auto"/>
        <w:left w:val="none" w:sz="0" w:space="0" w:color="auto"/>
        <w:bottom w:val="none" w:sz="0" w:space="0" w:color="auto"/>
        <w:right w:val="none" w:sz="0" w:space="0" w:color="auto"/>
      </w:divBdr>
    </w:div>
    <w:div w:id="507446586">
      <w:bodyDiv w:val="1"/>
      <w:marLeft w:val="0"/>
      <w:marRight w:val="0"/>
      <w:marTop w:val="0"/>
      <w:marBottom w:val="0"/>
      <w:divBdr>
        <w:top w:val="none" w:sz="0" w:space="0" w:color="auto"/>
        <w:left w:val="none" w:sz="0" w:space="0" w:color="auto"/>
        <w:bottom w:val="none" w:sz="0" w:space="0" w:color="auto"/>
        <w:right w:val="none" w:sz="0" w:space="0" w:color="auto"/>
      </w:divBdr>
    </w:div>
    <w:div w:id="556091595">
      <w:bodyDiv w:val="1"/>
      <w:marLeft w:val="0"/>
      <w:marRight w:val="0"/>
      <w:marTop w:val="0"/>
      <w:marBottom w:val="0"/>
      <w:divBdr>
        <w:top w:val="none" w:sz="0" w:space="0" w:color="auto"/>
        <w:left w:val="none" w:sz="0" w:space="0" w:color="auto"/>
        <w:bottom w:val="none" w:sz="0" w:space="0" w:color="auto"/>
        <w:right w:val="none" w:sz="0" w:space="0" w:color="auto"/>
      </w:divBdr>
    </w:div>
    <w:div w:id="569192947">
      <w:bodyDiv w:val="1"/>
      <w:marLeft w:val="0"/>
      <w:marRight w:val="0"/>
      <w:marTop w:val="0"/>
      <w:marBottom w:val="0"/>
      <w:divBdr>
        <w:top w:val="none" w:sz="0" w:space="0" w:color="auto"/>
        <w:left w:val="none" w:sz="0" w:space="0" w:color="auto"/>
        <w:bottom w:val="none" w:sz="0" w:space="0" w:color="auto"/>
        <w:right w:val="none" w:sz="0" w:space="0" w:color="auto"/>
      </w:divBdr>
    </w:div>
    <w:div w:id="617833075">
      <w:bodyDiv w:val="1"/>
      <w:marLeft w:val="0"/>
      <w:marRight w:val="0"/>
      <w:marTop w:val="0"/>
      <w:marBottom w:val="0"/>
      <w:divBdr>
        <w:top w:val="none" w:sz="0" w:space="0" w:color="auto"/>
        <w:left w:val="none" w:sz="0" w:space="0" w:color="auto"/>
        <w:bottom w:val="none" w:sz="0" w:space="0" w:color="auto"/>
        <w:right w:val="none" w:sz="0" w:space="0" w:color="auto"/>
      </w:divBdr>
    </w:div>
    <w:div w:id="799149858">
      <w:bodyDiv w:val="1"/>
      <w:marLeft w:val="0"/>
      <w:marRight w:val="0"/>
      <w:marTop w:val="0"/>
      <w:marBottom w:val="0"/>
      <w:divBdr>
        <w:top w:val="none" w:sz="0" w:space="0" w:color="auto"/>
        <w:left w:val="none" w:sz="0" w:space="0" w:color="auto"/>
        <w:bottom w:val="none" w:sz="0" w:space="0" w:color="auto"/>
        <w:right w:val="none" w:sz="0" w:space="0" w:color="auto"/>
      </w:divBdr>
    </w:div>
    <w:div w:id="846596447">
      <w:bodyDiv w:val="1"/>
      <w:marLeft w:val="0"/>
      <w:marRight w:val="0"/>
      <w:marTop w:val="0"/>
      <w:marBottom w:val="0"/>
      <w:divBdr>
        <w:top w:val="none" w:sz="0" w:space="0" w:color="auto"/>
        <w:left w:val="none" w:sz="0" w:space="0" w:color="auto"/>
        <w:bottom w:val="none" w:sz="0" w:space="0" w:color="auto"/>
        <w:right w:val="none" w:sz="0" w:space="0" w:color="auto"/>
      </w:divBdr>
    </w:div>
    <w:div w:id="1491678343">
      <w:bodyDiv w:val="1"/>
      <w:marLeft w:val="60"/>
      <w:marRight w:val="60"/>
      <w:marTop w:val="60"/>
      <w:marBottom w:val="15"/>
      <w:divBdr>
        <w:top w:val="none" w:sz="0" w:space="0" w:color="auto"/>
        <w:left w:val="none" w:sz="0" w:space="0" w:color="auto"/>
        <w:bottom w:val="none" w:sz="0" w:space="0" w:color="auto"/>
        <w:right w:val="none" w:sz="0" w:space="0" w:color="auto"/>
      </w:divBdr>
      <w:divsChild>
        <w:div w:id="6180454">
          <w:marLeft w:val="0"/>
          <w:marRight w:val="0"/>
          <w:marTop w:val="0"/>
          <w:marBottom w:val="0"/>
          <w:divBdr>
            <w:top w:val="none" w:sz="0" w:space="0" w:color="auto"/>
            <w:left w:val="none" w:sz="0" w:space="0" w:color="auto"/>
            <w:bottom w:val="none" w:sz="0" w:space="0" w:color="auto"/>
            <w:right w:val="none" w:sz="0" w:space="0" w:color="auto"/>
          </w:divBdr>
        </w:div>
        <w:div w:id="48652241">
          <w:marLeft w:val="0"/>
          <w:marRight w:val="0"/>
          <w:marTop w:val="0"/>
          <w:marBottom w:val="0"/>
          <w:divBdr>
            <w:top w:val="none" w:sz="0" w:space="0" w:color="auto"/>
            <w:left w:val="none" w:sz="0" w:space="0" w:color="auto"/>
            <w:bottom w:val="none" w:sz="0" w:space="0" w:color="auto"/>
            <w:right w:val="none" w:sz="0" w:space="0" w:color="auto"/>
          </w:divBdr>
        </w:div>
        <w:div w:id="75983683">
          <w:marLeft w:val="0"/>
          <w:marRight w:val="0"/>
          <w:marTop w:val="0"/>
          <w:marBottom w:val="0"/>
          <w:divBdr>
            <w:top w:val="none" w:sz="0" w:space="0" w:color="auto"/>
            <w:left w:val="none" w:sz="0" w:space="0" w:color="auto"/>
            <w:bottom w:val="none" w:sz="0" w:space="0" w:color="auto"/>
            <w:right w:val="none" w:sz="0" w:space="0" w:color="auto"/>
          </w:divBdr>
        </w:div>
        <w:div w:id="264308144">
          <w:marLeft w:val="0"/>
          <w:marRight w:val="0"/>
          <w:marTop w:val="0"/>
          <w:marBottom w:val="0"/>
          <w:divBdr>
            <w:top w:val="none" w:sz="0" w:space="0" w:color="auto"/>
            <w:left w:val="none" w:sz="0" w:space="0" w:color="auto"/>
            <w:bottom w:val="none" w:sz="0" w:space="0" w:color="auto"/>
            <w:right w:val="none" w:sz="0" w:space="0" w:color="auto"/>
          </w:divBdr>
        </w:div>
        <w:div w:id="320622269">
          <w:marLeft w:val="0"/>
          <w:marRight w:val="0"/>
          <w:marTop w:val="0"/>
          <w:marBottom w:val="0"/>
          <w:divBdr>
            <w:top w:val="none" w:sz="0" w:space="0" w:color="auto"/>
            <w:left w:val="none" w:sz="0" w:space="0" w:color="auto"/>
            <w:bottom w:val="none" w:sz="0" w:space="0" w:color="auto"/>
            <w:right w:val="none" w:sz="0" w:space="0" w:color="auto"/>
          </w:divBdr>
        </w:div>
        <w:div w:id="379676130">
          <w:marLeft w:val="0"/>
          <w:marRight w:val="0"/>
          <w:marTop w:val="0"/>
          <w:marBottom w:val="0"/>
          <w:divBdr>
            <w:top w:val="none" w:sz="0" w:space="0" w:color="auto"/>
            <w:left w:val="none" w:sz="0" w:space="0" w:color="auto"/>
            <w:bottom w:val="none" w:sz="0" w:space="0" w:color="auto"/>
            <w:right w:val="none" w:sz="0" w:space="0" w:color="auto"/>
          </w:divBdr>
        </w:div>
        <w:div w:id="433013661">
          <w:marLeft w:val="0"/>
          <w:marRight w:val="0"/>
          <w:marTop w:val="0"/>
          <w:marBottom w:val="0"/>
          <w:divBdr>
            <w:top w:val="none" w:sz="0" w:space="0" w:color="auto"/>
            <w:left w:val="none" w:sz="0" w:space="0" w:color="auto"/>
            <w:bottom w:val="none" w:sz="0" w:space="0" w:color="auto"/>
            <w:right w:val="none" w:sz="0" w:space="0" w:color="auto"/>
          </w:divBdr>
        </w:div>
        <w:div w:id="491798577">
          <w:marLeft w:val="0"/>
          <w:marRight w:val="0"/>
          <w:marTop w:val="0"/>
          <w:marBottom w:val="0"/>
          <w:divBdr>
            <w:top w:val="none" w:sz="0" w:space="0" w:color="auto"/>
            <w:left w:val="none" w:sz="0" w:space="0" w:color="auto"/>
            <w:bottom w:val="none" w:sz="0" w:space="0" w:color="auto"/>
            <w:right w:val="none" w:sz="0" w:space="0" w:color="auto"/>
          </w:divBdr>
        </w:div>
        <w:div w:id="533082959">
          <w:marLeft w:val="0"/>
          <w:marRight w:val="0"/>
          <w:marTop w:val="0"/>
          <w:marBottom w:val="0"/>
          <w:divBdr>
            <w:top w:val="none" w:sz="0" w:space="0" w:color="auto"/>
            <w:left w:val="none" w:sz="0" w:space="0" w:color="auto"/>
            <w:bottom w:val="none" w:sz="0" w:space="0" w:color="auto"/>
            <w:right w:val="none" w:sz="0" w:space="0" w:color="auto"/>
          </w:divBdr>
        </w:div>
        <w:div w:id="549615924">
          <w:marLeft w:val="0"/>
          <w:marRight w:val="0"/>
          <w:marTop w:val="0"/>
          <w:marBottom w:val="0"/>
          <w:divBdr>
            <w:top w:val="none" w:sz="0" w:space="0" w:color="auto"/>
            <w:left w:val="none" w:sz="0" w:space="0" w:color="auto"/>
            <w:bottom w:val="none" w:sz="0" w:space="0" w:color="auto"/>
            <w:right w:val="none" w:sz="0" w:space="0" w:color="auto"/>
          </w:divBdr>
        </w:div>
        <w:div w:id="693576273">
          <w:marLeft w:val="0"/>
          <w:marRight w:val="0"/>
          <w:marTop w:val="0"/>
          <w:marBottom w:val="0"/>
          <w:divBdr>
            <w:top w:val="none" w:sz="0" w:space="0" w:color="auto"/>
            <w:left w:val="none" w:sz="0" w:space="0" w:color="auto"/>
            <w:bottom w:val="none" w:sz="0" w:space="0" w:color="auto"/>
            <w:right w:val="none" w:sz="0" w:space="0" w:color="auto"/>
          </w:divBdr>
        </w:div>
        <w:div w:id="733507878">
          <w:marLeft w:val="0"/>
          <w:marRight w:val="0"/>
          <w:marTop w:val="0"/>
          <w:marBottom w:val="0"/>
          <w:divBdr>
            <w:top w:val="none" w:sz="0" w:space="0" w:color="auto"/>
            <w:left w:val="none" w:sz="0" w:space="0" w:color="auto"/>
            <w:bottom w:val="none" w:sz="0" w:space="0" w:color="auto"/>
            <w:right w:val="none" w:sz="0" w:space="0" w:color="auto"/>
          </w:divBdr>
        </w:div>
        <w:div w:id="738329561">
          <w:marLeft w:val="0"/>
          <w:marRight w:val="0"/>
          <w:marTop w:val="0"/>
          <w:marBottom w:val="0"/>
          <w:divBdr>
            <w:top w:val="none" w:sz="0" w:space="0" w:color="auto"/>
            <w:left w:val="none" w:sz="0" w:space="0" w:color="auto"/>
            <w:bottom w:val="none" w:sz="0" w:space="0" w:color="auto"/>
            <w:right w:val="none" w:sz="0" w:space="0" w:color="auto"/>
          </w:divBdr>
        </w:div>
        <w:div w:id="766539687">
          <w:marLeft w:val="0"/>
          <w:marRight w:val="0"/>
          <w:marTop w:val="0"/>
          <w:marBottom w:val="0"/>
          <w:divBdr>
            <w:top w:val="none" w:sz="0" w:space="0" w:color="auto"/>
            <w:left w:val="none" w:sz="0" w:space="0" w:color="auto"/>
            <w:bottom w:val="none" w:sz="0" w:space="0" w:color="auto"/>
            <w:right w:val="none" w:sz="0" w:space="0" w:color="auto"/>
          </w:divBdr>
        </w:div>
        <w:div w:id="814761948">
          <w:marLeft w:val="0"/>
          <w:marRight w:val="0"/>
          <w:marTop w:val="0"/>
          <w:marBottom w:val="0"/>
          <w:divBdr>
            <w:top w:val="none" w:sz="0" w:space="0" w:color="auto"/>
            <w:left w:val="none" w:sz="0" w:space="0" w:color="auto"/>
            <w:bottom w:val="none" w:sz="0" w:space="0" w:color="auto"/>
            <w:right w:val="none" w:sz="0" w:space="0" w:color="auto"/>
          </w:divBdr>
        </w:div>
        <w:div w:id="897323485">
          <w:marLeft w:val="0"/>
          <w:marRight w:val="0"/>
          <w:marTop w:val="0"/>
          <w:marBottom w:val="0"/>
          <w:divBdr>
            <w:top w:val="none" w:sz="0" w:space="0" w:color="auto"/>
            <w:left w:val="none" w:sz="0" w:space="0" w:color="auto"/>
            <w:bottom w:val="none" w:sz="0" w:space="0" w:color="auto"/>
            <w:right w:val="none" w:sz="0" w:space="0" w:color="auto"/>
          </w:divBdr>
        </w:div>
        <w:div w:id="956451479">
          <w:marLeft w:val="0"/>
          <w:marRight w:val="0"/>
          <w:marTop w:val="0"/>
          <w:marBottom w:val="0"/>
          <w:divBdr>
            <w:top w:val="none" w:sz="0" w:space="0" w:color="auto"/>
            <w:left w:val="none" w:sz="0" w:space="0" w:color="auto"/>
            <w:bottom w:val="none" w:sz="0" w:space="0" w:color="auto"/>
            <w:right w:val="none" w:sz="0" w:space="0" w:color="auto"/>
          </w:divBdr>
        </w:div>
        <w:div w:id="1027292865">
          <w:marLeft w:val="0"/>
          <w:marRight w:val="0"/>
          <w:marTop w:val="0"/>
          <w:marBottom w:val="0"/>
          <w:divBdr>
            <w:top w:val="none" w:sz="0" w:space="0" w:color="auto"/>
            <w:left w:val="none" w:sz="0" w:space="0" w:color="auto"/>
            <w:bottom w:val="none" w:sz="0" w:space="0" w:color="auto"/>
            <w:right w:val="none" w:sz="0" w:space="0" w:color="auto"/>
          </w:divBdr>
        </w:div>
        <w:div w:id="1049381007">
          <w:marLeft w:val="0"/>
          <w:marRight w:val="0"/>
          <w:marTop w:val="0"/>
          <w:marBottom w:val="0"/>
          <w:divBdr>
            <w:top w:val="none" w:sz="0" w:space="0" w:color="auto"/>
            <w:left w:val="none" w:sz="0" w:space="0" w:color="auto"/>
            <w:bottom w:val="none" w:sz="0" w:space="0" w:color="auto"/>
            <w:right w:val="none" w:sz="0" w:space="0" w:color="auto"/>
          </w:divBdr>
        </w:div>
        <w:div w:id="1226143700">
          <w:marLeft w:val="0"/>
          <w:marRight w:val="0"/>
          <w:marTop w:val="0"/>
          <w:marBottom w:val="0"/>
          <w:divBdr>
            <w:top w:val="none" w:sz="0" w:space="0" w:color="auto"/>
            <w:left w:val="none" w:sz="0" w:space="0" w:color="auto"/>
            <w:bottom w:val="none" w:sz="0" w:space="0" w:color="auto"/>
            <w:right w:val="none" w:sz="0" w:space="0" w:color="auto"/>
          </w:divBdr>
        </w:div>
        <w:div w:id="1273366763">
          <w:marLeft w:val="0"/>
          <w:marRight w:val="0"/>
          <w:marTop w:val="0"/>
          <w:marBottom w:val="0"/>
          <w:divBdr>
            <w:top w:val="none" w:sz="0" w:space="0" w:color="auto"/>
            <w:left w:val="none" w:sz="0" w:space="0" w:color="auto"/>
            <w:bottom w:val="none" w:sz="0" w:space="0" w:color="auto"/>
            <w:right w:val="none" w:sz="0" w:space="0" w:color="auto"/>
          </w:divBdr>
        </w:div>
        <w:div w:id="1293752070">
          <w:marLeft w:val="0"/>
          <w:marRight w:val="0"/>
          <w:marTop w:val="0"/>
          <w:marBottom w:val="0"/>
          <w:divBdr>
            <w:top w:val="none" w:sz="0" w:space="0" w:color="auto"/>
            <w:left w:val="none" w:sz="0" w:space="0" w:color="auto"/>
            <w:bottom w:val="none" w:sz="0" w:space="0" w:color="auto"/>
            <w:right w:val="none" w:sz="0" w:space="0" w:color="auto"/>
          </w:divBdr>
        </w:div>
        <w:div w:id="1295713079">
          <w:marLeft w:val="0"/>
          <w:marRight w:val="0"/>
          <w:marTop w:val="0"/>
          <w:marBottom w:val="0"/>
          <w:divBdr>
            <w:top w:val="none" w:sz="0" w:space="0" w:color="auto"/>
            <w:left w:val="none" w:sz="0" w:space="0" w:color="auto"/>
            <w:bottom w:val="none" w:sz="0" w:space="0" w:color="auto"/>
            <w:right w:val="none" w:sz="0" w:space="0" w:color="auto"/>
          </w:divBdr>
        </w:div>
        <w:div w:id="1302806349">
          <w:marLeft w:val="0"/>
          <w:marRight w:val="0"/>
          <w:marTop w:val="0"/>
          <w:marBottom w:val="0"/>
          <w:divBdr>
            <w:top w:val="none" w:sz="0" w:space="0" w:color="auto"/>
            <w:left w:val="none" w:sz="0" w:space="0" w:color="auto"/>
            <w:bottom w:val="none" w:sz="0" w:space="0" w:color="auto"/>
            <w:right w:val="none" w:sz="0" w:space="0" w:color="auto"/>
          </w:divBdr>
        </w:div>
        <w:div w:id="1509902587">
          <w:marLeft w:val="0"/>
          <w:marRight w:val="0"/>
          <w:marTop w:val="0"/>
          <w:marBottom w:val="0"/>
          <w:divBdr>
            <w:top w:val="none" w:sz="0" w:space="0" w:color="auto"/>
            <w:left w:val="none" w:sz="0" w:space="0" w:color="auto"/>
            <w:bottom w:val="none" w:sz="0" w:space="0" w:color="auto"/>
            <w:right w:val="none" w:sz="0" w:space="0" w:color="auto"/>
          </w:divBdr>
        </w:div>
        <w:div w:id="1553730171">
          <w:marLeft w:val="0"/>
          <w:marRight w:val="0"/>
          <w:marTop w:val="0"/>
          <w:marBottom w:val="0"/>
          <w:divBdr>
            <w:top w:val="none" w:sz="0" w:space="0" w:color="auto"/>
            <w:left w:val="none" w:sz="0" w:space="0" w:color="auto"/>
            <w:bottom w:val="none" w:sz="0" w:space="0" w:color="auto"/>
            <w:right w:val="none" w:sz="0" w:space="0" w:color="auto"/>
          </w:divBdr>
        </w:div>
        <w:div w:id="1627736823">
          <w:marLeft w:val="0"/>
          <w:marRight w:val="0"/>
          <w:marTop w:val="0"/>
          <w:marBottom w:val="0"/>
          <w:divBdr>
            <w:top w:val="none" w:sz="0" w:space="0" w:color="auto"/>
            <w:left w:val="none" w:sz="0" w:space="0" w:color="auto"/>
            <w:bottom w:val="none" w:sz="0" w:space="0" w:color="auto"/>
            <w:right w:val="none" w:sz="0" w:space="0" w:color="auto"/>
          </w:divBdr>
        </w:div>
        <w:div w:id="1653365614">
          <w:marLeft w:val="0"/>
          <w:marRight w:val="0"/>
          <w:marTop w:val="0"/>
          <w:marBottom w:val="0"/>
          <w:divBdr>
            <w:top w:val="none" w:sz="0" w:space="0" w:color="auto"/>
            <w:left w:val="none" w:sz="0" w:space="0" w:color="auto"/>
            <w:bottom w:val="none" w:sz="0" w:space="0" w:color="auto"/>
            <w:right w:val="none" w:sz="0" w:space="0" w:color="auto"/>
          </w:divBdr>
        </w:div>
        <w:div w:id="1741712463">
          <w:marLeft w:val="0"/>
          <w:marRight w:val="0"/>
          <w:marTop w:val="0"/>
          <w:marBottom w:val="0"/>
          <w:divBdr>
            <w:top w:val="none" w:sz="0" w:space="0" w:color="auto"/>
            <w:left w:val="none" w:sz="0" w:space="0" w:color="auto"/>
            <w:bottom w:val="none" w:sz="0" w:space="0" w:color="auto"/>
            <w:right w:val="none" w:sz="0" w:space="0" w:color="auto"/>
          </w:divBdr>
        </w:div>
        <w:div w:id="1887374909">
          <w:marLeft w:val="0"/>
          <w:marRight w:val="0"/>
          <w:marTop w:val="0"/>
          <w:marBottom w:val="0"/>
          <w:divBdr>
            <w:top w:val="none" w:sz="0" w:space="0" w:color="auto"/>
            <w:left w:val="none" w:sz="0" w:space="0" w:color="auto"/>
            <w:bottom w:val="none" w:sz="0" w:space="0" w:color="auto"/>
            <w:right w:val="none" w:sz="0" w:space="0" w:color="auto"/>
          </w:divBdr>
        </w:div>
        <w:div w:id="1951157452">
          <w:marLeft w:val="0"/>
          <w:marRight w:val="0"/>
          <w:marTop w:val="0"/>
          <w:marBottom w:val="0"/>
          <w:divBdr>
            <w:top w:val="none" w:sz="0" w:space="0" w:color="auto"/>
            <w:left w:val="none" w:sz="0" w:space="0" w:color="auto"/>
            <w:bottom w:val="none" w:sz="0" w:space="0" w:color="auto"/>
            <w:right w:val="none" w:sz="0" w:space="0" w:color="auto"/>
          </w:divBdr>
        </w:div>
        <w:div w:id="2075657967">
          <w:marLeft w:val="0"/>
          <w:marRight w:val="0"/>
          <w:marTop w:val="0"/>
          <w:marBottom w:val="0"/>
          <w:divBdr>
            <w:top w:val="none" w:sz="0" w:space="0" w:color="auto"/>
            <w:left w:val="none" w:sz="0" w:space="0" w:color="auto"/>
            <w:bottom w:val="none" w:sz="0" w:space="0" w:color="auto"/>
            <w:right w:val="none" w:sz="0" w:space="0" w:color="auto"/>
          </w:divBdr>
        </w:div>
        <w:div w:id="2090153335">
          <w:marLeft w:val="0"/>
          <w:marRight w:val="0"/>
          <w:marTop w:val="0"/>
          <w:marBottom w:val="0"/>
          <w:divBdr>
            <w:top w:val="none" w:sz="0" w:space="0" w:color="auto"/>
            <w:left w:val="none" w:sz="0" w:space="0" w:color="auto"/>
            <w:bottom w:val="none" w:sz="0" w:space="0" w:color="auto"/>
            <w:right w:val="none" w:sz="0" w:space="0" w:color="auto"/>
          </w:divBdr>
        </w:div>
        <w:div w:id="2134706714">
          <w:marLeft w:val="0"/>
          <w:marRight w:val="0"/>
          <w:marTop w:val="0"/>
          <w:marBottom w:val="0"/>
          <w:divBdr>
            <w:top w:val="none" w:sz="0" w:space="0" w:color="auto"/>
            <w:left w:val="none" w:sz="0" w:space="0" w:color="auto"/>
            <w:bottom w:val="none" w:sz="0" w:space="0" w:color="auto"/>
            <w:right w:val="none" w:sz="0" w:space="0" w:color="auto"/>
          </w:divBdr>
        </w:div>
      </w:divsChild>
    </w:div>
    <w:div w:id="1580869024">
      <w:bodyDiv w:val="1"/>
      <w:marLeft w:val="0"/>
      <w:marRight w:val="0"/>
      <w:marTop w:val="0"/>
      <w:marBottom w:val="0"/>
      <w:divBdr>
        <w:top w:val="none" w:sz="0" w:space="0" w:color="auto"/>
        <w:left w:val="none" w:sz="0" w:space="0" w:color="auto"/>
        <w:bottom w:val="none" w:sz="0" w:space="0" w:color="auto"/>
        <w:right w:val="none" w:sz="0" w:space="0" w:color="auto"/>
      </w:divBdr>
    </w:div>
    <w:div w:id="1581252783">
      <w:bodyDiv w:val="1"/>
      <w:marLeft w:val="0"/>
      <w:marRight w:val="0"/>
      <w:marTop w:val="0"/>
      <w:marBottom w:val="0"/>
      <w:divBdr>
        <w:top w:val="none" w:sz="0" w:space="0" w:color="auto"/>
        <w:left w:val="none" w:sz="0" w:space="0" w:color="auto"/>
        <w:bottom w:val="none" w:sz="0" w:space="0" w:color="auto"/>
        <w:right w:val="none" w:sz="0" w:space="0" w:color="auto"/>
      </w:divBdr>
    </w:div>
    <w:div w:id="1588879076">
      <w:bodyDiv w:val="1"/>
      <w:marLeft w:val="0"/>
      <w:marRight w:val="0"/>
      <w:marTop w:val="0"/>
      <w:marBottom w:val="0"/>
      <w:divBdr>
        <w:top w:val="none" w:sz="0" w:space="0" w:color="auto"/>
        <w:left w:val="none" w:sz="0" w:space="0" w:color="auto"/>
        <w:bottom w:val="none" w:sz="0" w:space="0" w:color="auto"/>
        <w:right w:val="none" w:sz="0" w:space="0" w:color="auto"/>
      </w:divBdr>
    </w:div>
    <w:div w:id="1724938557">
      <w:bodyDiv w:val="1"/>
      <w:marLeft w:val="0"/>
      <w:marRight w:val="0"/>
      <w:marTop w:val="0"/>
      <w:marBottom w:val="0"/>
      <w:divBdr>
        <w:top w:val="none" w:sz="0" w:space="0" w:color="auto"/>
        <w:left w:val="none" w:sz="0" w:space="0" w:color="auto"/>
        <w:bottom w:val="none" w:sz="0" w:space="0" w:color="auto"/>
        <w:right w:val="none" w:sz="0" w:space="0" w:color="auto"/>
      </w:divBdr>
    </w:div>
    <w:div w:id="1728409520">
      <w:bodyDiv w:val="1"/>
      <w:marLeft w:val="0"/>
      <w:marRight w:val="0"/>
      <w:marTop w:val="0"/>
      <w:marBottom w:val="0"/>
      <w:divBdr>
        <w:top w:val="none" w:sz="0" w:space="0" w:color="auto"/>
        <w:left w:val="none" w:sz="0" w:space="0" w:color="auto"/>
        <w:bottom w:val="none" w:sz="0" w:space="0" w:color="auto"/>
        <w:right w:val="none" w:sz="0" w:space="0" w:color="auto"/>
      </w:divBdr>
    </w:div>
    <w:div w:id="19814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mn.gov/deed/data/export-sta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2350506376096926"/>
          <c:y val="4.556767432528909E-2"/>
          <c:w val="0.51876574140353671"/>
          <c:h val="0.81574282036717616"/>
        </c:manualLayout>
      </c:layout>
      <c:pieChart>
        <c:varyColors val="1"/>
        <c:ser>
          <c:idx val="0"/>
          <c:order val="0"/>
          <c:tx>
            <c:strRef>
              <c:f>Sheet1!$B$1</c:f>
              <c:strCache>
                <c:ptCount val="1"/>
                <c:pt idx="0">
                  <c:v>Exports, 2022-Q2</c:v>
                </c:pt>
              </c:strCache>
            </c:strRef>
          </c:tx>
          <c:spPr>
            <a:ln>
              <a:solidFill>
                <a:schemeClr val="tx1">
                  <a:lumMod val="65000"/>
                  <a:lumOff val="35000"/>
                </a:schemeClr>
              </a:solidFill>
            </a:ln>
          </c:spPr>
          <c:dPt>
            <c:idx val="0"/>
            <c:bubble3D val="0"/>
            <c:spPr>
              <a:solidFill>
                <a:schemeClr val="accent1">
                  <a:shade val="47000"/>
                </a:schemeClr>
              </a:solidFill>
              <a:ln>
                <a:solidFill>
                  <a:schemeClr val="tx1">
                    <a:lumMod val="65000"/>
                    <a:lumOff val="35000"/>
                  </a:schemeClr>
                </a:solidFill>
              </a:ln>
              <a:effectLst/>
            </c:spPr>
            <c:extLst>
              <c:ext xmlns:c16="http://schemas.microsoft.com/office/drawing/2014/chart" uri="{C3380CC4-5D6E-409C-BE32-E72D297353CC}">
                <c16:uniqueId val="{00000001-BA94-45E4-99B8-62BFBEB3E6CF}"/>
              </c:ext>
            </c:extLst>
          </c:dPt>
          <c:dPt>
            <c:idx val="1"/>
            <c:bubble3D val="0"/>
            <c:spPr>
              <a:solidFill>
                <a:schemeClr val="accent1">
                  <a:shade val="65000"/>
                </a:schemeClr>
              </a:solidFill>
              <a:ln>
                <a:solidFill>
                  <a:schemeClr val="tx1">
                    <a:lumMod val="65000"/>
                    <a:lumOff val="35000"/>
                  </a:schemeClr>
                </a:solidFill>
              </a:ln>
              <a:effectLst/>
            </c:spPr>
            <c:extLst>
              <c:ext xmlns:c16="http://schemas.microsoft.com/office/drawing/2014/chart" uri="{C3380CC4-5D6E-409C-BE32-E72D297353CC}">
                <c16:uniqueId val="{00000003-BA94-45E4-99B8-62BFBEB3E6CF}"/>
              </c:ext>
            </c:extLst>
          </c:dPt>
          <c:dPt>
            <c:idx val="2"/>
            <c:bubble3D val="0"/>
            <c:spPr>
              <a:solidFill>
                <a:schemeClr val="accent1">
                  <a:shade val="82000"/>
                </a:schemeClr>
              </a:solidFill>
              <a:ln>
                <a:solidFill>
                  <a:schemeClr val="tx1">
                    <a:lumMod val="65000"/>
                    <a:lumOff val="35000"/>
                  </a:schemeClr>
                </a:solidFill>
              </a:ln>
              <a:effectLst/>
            </c:spPr>
            <c:extLst>
              <c:ext xmlns:c16="http://schemas.microsoft.com/office/drawing/2014/chart" uri="{C3380CC4-5D6E-409C-BE32-E72D297353CC}">
                <c16:uniqueId val="{00000005-BA94-45E4-99B8-62BFBEB3E6CF}"/>
              </c:ext>
            </c:extLst>
          </c:dPt>
          <c:dPt>
            <c:idx val="3"/>
            <c:bubble3D val="0"/>
            <c:spPr>
              <a:solidFill>
                <a:schemeClr val="accent1"/>
              </a:solidFill>
              <a:ln>
                <a:solidFill>
                  <a:schemeClr val="tx1">
                    <a:lumMod val="65000"/>
                    <a:lumOff val="35000"/>
                  </a:schemeClr>
                </a:solidFill>
              </a:ln>
              <a:effectLst/>
            </c:spPr>
            <c:extLst>
              <c:ext xmlns:c16="http://schemas.microsoft.com/office/drawing/2014/chart" uri="{C3380CC4-5D6E-409C-BE32-E72D297353CC}">
                <c16:uniqueId val="{00000007-BA94-45E4-99B8-62BFBEB3E6CF}"/>
              </c:ext>
            </c:extLst>
          </c:dPt>
          <c:dPt>
            <c:idx val="4"/>
            <c:bubble3D val="0"/>
            <c:spPr>
              <a:solidFill>
                <a:schemeClr val="accent1">
                  <a:tint val="83000"/>
                </a:schemeClr>
              </a:solidFill>
              <a:ln>
                <a:solidFill>
                  <a:schemeClr val="tx1">
                    <a:lumMod val="65000"/>
                    <a:lumOff val="35000"/>
                  </a:schemeClr>
                </a:solidFill>
              </a:ln>
              <a:effectLst/>
            </c:spPr>
            <c:extLst>
              <c:ext xmlns:c16="http://schemas.microsoft.com/office/drawing/2014/chart" uri="{C3380CC4-5D6E-409C-BE32-E72D297353CC}">
                <c16:uniqueId val="{00000009-BA94-45E4-99B8-62BFBEB3E6CF}"/>
              </c:ext>
            </c:extLst>
          </c:dPt>
          <c:dPt>
            <c:idx val="5"/>
            <c:bubble3D val="0"/>
            <c:spPr>
              <a:solidFill>
                <a:schemeClr val="accent1">
                  <a:tint val="65000"/>
                </a:schemeClr>
              </a:solidFill>
              <a:ln>
                <a:solidFill>
                  <a:schemeClr val="tx1">
                    <a:lumMod val="65000"/>
                    <a:lumOff val="35000"/>
                  </a:schemeClr>
                </a:solidFill>
              </a:ln>
              <a:effectLst/>
            </c:spPr>
            <c:extLst>
              <c:ext xmlns:c16="http://schemas.microsoft.com/office/drawing/2014/chart" uri="{C3380CC4-5D6E-409C-BE32-E72D297353CC}">
                <c16:uniqueId val="{0000000B-BA94-45E4-99B8-62BFBEB3E6CF}"/>
              </c:ext>
            </c:extLst>
          </c:dPt>
          <c:dPt>
            <c:idx val="6"/>
            <c:bubble3D val="0"/>
            <c:spPr>
              <a:solidFill>
                <a:schemeClr val="accent1">
                  <a:tint val="48000"/>
                </a:schemeClr>
              </a:solidFill>
              <a:ln>
                <a:solidFill>
                  <a:schemeClr val="tx1">
                    <a:lumMod val="65000"/>
                    <a:lumOff val="35000"/>
                  </a:schemeClr>
                </a:solidFill>
              </a:ln>
              <a:effectLst/>
            </c:spPr>
            <c:extLst>
              <c:ext xmlns:c16="http://schemas.microsoft.com/office/drawing/2014/chart" uri="{C3380CC4-5D6E-409C-BE32-E72D297353CC}">
                <c16:uniqueId val="{0000000D-BA94-45E4-99B8-62BFBEB3E6CF}"/>
              </c:ext>
            </c:extLst>
          </c:dPt>
          <c:dPt>
            <c:idx val="7"/>
            <c:bubble3D val="0"/>
            <c:spPr>
              <a:solidFill>
                <a:schemeClr val="accent1">
                  <a:tint val="30000"/>
                </a:schemeClr>
              </a:solidFill>
              <a:ln>
                <a:solidFill>
                  <a:schemeClr val="tx1">
                    <a:lumMod val="65000"/>
                    <a:lumOff val="35000"/>
                  </a:schemeClr>
                </a:solidFill>
              </a:ln>
              <a:effectLst/>
            </c:spPr>
            <c:extLst>
              <c:ext xmlns:c16="http://schemas.microsoft.com/office/drawing/2014/chart" uri="{C3380CC4-5D6E-409C-BE32-E72D297353CC}">
                <c16:uniqueId val="{0000000F-BA94-45E4-99B8-62BFBEB3E6CF}"/>
              </c:ext>
            </c:extLst>
          </c:dPt>
          <c:dPt>
            <c:idx val="8"/>
            <c:bubble3D val="0"/>
            <c:spPr>
              <a:solidFill>
                <a:schemeClr val="accent1">
                  <a:tint val="13000"/>
                </a:schemeClr>
              </a:solidFill>
              <a:ln>
                <a:solidFill>
                  <a:schemeClr val="tx1">
                    <a:lumMod val="65000"/>
                    <a:lumOff val="35000"/>
                  </a:schemeClr>
                </a:solidFill>
              </a:ln>
              <a:effectLst/>
            </c:spPr>
            <c:extLst>
              <c:ext xmlns:c16="http://schemas.microsoft.com/office/drawing/2014/chart" uri="{C3380CC4-5D6E-409C-BE32-E72D297353CC}">
                <c16:uniqueId val="{00000011-BA94-45E4-99B8-62BFBEB3E6CF}"/>
              </c:ext>
            </c:extLst>
          </c:dPt>
          <c:dLbls>
            <c:dLbl>
              <c:idx val="0"/>
              <c:layout>
                <c:manualLayout>
                  <c:x val="3.5902827487473157E-2"/>
                  <c:y val="-1.9718390594954584E-2"/>
                </c:manualLayout>
              </c:layout>
              <c:spPr>
                <a:noFill/>
                <a:ln>
                  <a:noFill/>
                </a:ln>
                <a:effectLst/>
              </c:spPr>
              <c:txPr>
                <a:bodyPr rot="0" spcFirstLastPara="1" vertOverflow="ellipsis" vert="horz" wrap="square" lIns="38100" tIns="19050" rIns="38100" bIns="19050" anchor="ctr" anchorCtr="1">
                  <a:noAutofit/>
                </a:bodyPr>
                <a:lstStyle/>
                <a:p>
                  <a:pPr>
                    <a:defRPr sz="950" b="0"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567688075135187"/>
                      <c:h val="0.19593126143322995"/>
                    </c:manualLayout>
                  </c15:layout>
                </c:ext>
                <c:ext xmlns:c16="http://schemas.microsoft.com/office/drawing/2014/chart" uri="{C3380CC4-5D6E-409C-BE32-E72D297353CC}">
                  <c16:uniqueId val="{00000001-BA94-45E4-99B8-62BFBEB3E6CF}"/>
                </c:ext>
              </c:extLst>
            </c:dLbl>
            <c:dLbl>
              <c:idx val="1"/>
              <c:layout>
                <c:manualLayout>
                  <c:x val="3.2995141705771627E-2"/>
                  <c:y val="-0.23533796776395671"/>
                </c:manualLayout>
              </c:layout>
              <c:spPr>
                <a:noFill/>
                <a:ln>
                  <a:noFill/>
                </a:ln>
                <a:effectLst/>
              </c:spPr>
              <c:txPr>
                <a:bodyPr rot="0" spcFirstLastPara="1" vertOverflow="ellipsis" vert="horz" wrap="square" lIns="38100" tIns="19050" rIns="38100" bIns="19050" anchor="ctr" anchorCtr="1">
                  <a:noAutofit/>
                </a:bodyPr>
                <a:lstStyle/>
                <a:p>
                  <a:pPr>
                    <a:defRPr sz="950" b="0"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164837349876717"/>
                      <c:h val="0.21210336795259954"/>
                    </c:manualLayout>
                  </c15:layout>
                </c:ext>
                <c:ext xmlns:c16="http://schemas.microsoft.com/office/drawing/2014/chart" uri="{C3380CC4-5D6E-409C-BE32-E72D297353CC}">
                  <c16:uniqueId val="{00000003-BA94-45E4-99B8-62BFBEB3E6CF}"/>
                </c:ext>
              </c:extLst>
            </c:dLbl>
            <c:dLbl>
              <c:idx val="2"/>
              <c:layout>
                <c:manualLayout>
                  <c:x val="5.7070541371722475E-2"/>
                  <c:y val="-0.1240196563781612"/>
                </c:manualLayout>
              </c:layout>
              <c:spPr>
                <a:noFill/>
                <a:ln>
                  <a:noFill/>
                </a:ln>
                <a:effectLst/>
              </c:spPr>
              <c:txPr>
                <a:bodyPr rot="0" spcFirstLastPara="1" vertOverflow="ellipsis" vert="horz" wrap="square" lIns="38100" tIns="19050" rIns="38100" bIns="19050" anchor="ctr" anchorCtr="1">
                  <a:noAutofit/>
                </a:bodyPr>
                <a:lstStyle/>
                <a:p>
                  <a:pPr>
                    <a:defRPr sz="950" b="0"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1814934118083721"/>
                      <c:h val="0.19596033288691328"/>
                    </c:manualLayout>
                  </c15:layout>
                </c:ext>
                <c:ext xmlns:c16="http://schemas.microsoft.com/office/drawing/2014/chart" uri="{C3380CC4-5D6E-409C-BE32-E72D297353CC}">
                  <c16:uniqueId val="{00000005-BA94-45E4-99B8-62BFBEB3E6CF}"/>
                </c:ext>
              </c:extLst>
            </c:dLbl>
            <c:dLbl>
              <c:idx val="3"/>
              <c:layout>
                <c:manualLayout>
                  <c:x val="8.7297018743869054E-2"/>
                  <c:y val="-6.6181336863005945E-3"/>
                </c:manualLayout>
              </c:layout>
              <c:spPr>
                <a:noFill/>
                <a:ln>
                  <a:noFill/>
                </a:ln>
                <a:effectLst/>
              </c:spPr>
              <c:txPr>
                <a:bodyPr rot="0" spcFirstLastPara="1" vertOverflow="ellipsis" vert="horz" wrap="square" lIns="38100" tIns="19050" rIns="38100" bIns="19050" anchor="ctr" anchorCtr="1">
                  <a:noAutofit/>
                </a:bodyPr>
                <a:lstStyle/>
                <a:p>
                  <a:pPr>
                    <a:defRPr sz="950" b="0"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42861522044592903"/>
                      <c:h val="0.13788282255585024"/>
                    </c:manualLayout>
                  </c15:layout>
                </c:ext>
                <c:ext xmlns:c16="http://schemas.microsoft.com/office/drawing/2014/chart" uri="{C3380CC4-5D6E-409C-BE32-E72D297353CC}">
                  <c16:uniqueId val="{00000007-BA94-45E4-99B8-62BFBEB3E6CF}"/>
                </c:ext>
              </c:extLst>
            </c:dLbl>
            <c:dLbl>
              <c:idx val="4"/>
              <c:layout>
                <c:manualLayout>
                  <c:x val="-4.0694345025053688E-2"/>
                  <c:y val="-7.6647889232244384E-3"/>
                </c:manualLayout>
              </c:layout>
              <c:spPr>
                <a:noFill/>
                <a:ln>
                  <a:noFill/>
                </a:ln>
                <a:effectLst/>
              </c:spPr>
              <c:txPr>
                <a:bodyPr rot="0" spcFirstLastPara="1" vertOverflow="ellipsis" vert="horz" wrap="square" lIns="38100" tIns="19050" rIns="38100" bIns="19050" anchor="ctr" anchorCtr="1">
                  <a:noAutofit/>
                </a:bodyPr>
                <a:lstStyle/>
                <a:p>
                  <a:pPr>
                    <a:defRPr sz="950" b="0"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8030667568069145"/>
                      <c:h val="0.17495062455379706"/>
                    </c:manualLayout>
                  </c15:layout>
                </c:ext>
                <c:ext xmlns:c16="http://schemas.microsoft.com/office/drawing/2014/chart" uri="{C3380CC4-5D6E-409C-BE32-E72D297353CC}">
                  <c16:uniqueId val="{00000009-BA94-45E4-99B8-62BFBEB3E6CF}"/>
                </c:ext>
              </c:extLst>
            </c:dLbl>
            <c:dLbl>
              <c:idx val="5"/>
              <c:layout>
                <c:manualLayout>
                  <c:x val="-7.2353218648873702E-2"/>
                  <c:y val="-0.14011797459553624"/>
                </c:manualLayout>
              </c:layout>
              <c:spPr>
                <a:noFill/>
                <a:ln>
                  <a:noFill/>
                </a:ln>
                <a:effectLst/>
              </c:spPr>
              <c:txPr>
                <a:bodyPr rot="0" spcFirstLastPara="1" vertOverflow="ellipsis" vert="horz" wrap="square" lIns="38100" tIns="19050" rIns="38100" bIns="19050" anchor="ctr" anchorCtr="1">
                  <a:noAutofit/>
                </a:bodyPr>
                <a:lstStyle/>
                <a:p>
                  <a:pPr>
                    <a:defRPr sz="950" b="0"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6630908825790717"/>
                      <c:h val="0.18749693846177898"/>
                    </c:manualLayout>
                  </c15:layout>
                </c:ext>
                <c:ext xmlns:c16="http://schemas.microsoft.com/office/drawing/2014/chart" uri="{C3380CC4-5D6E-409C-BE32-E72D297353CC}">
                  <c16:uniqueId val="{0000000B-BA94-45E4-99B8-62BFBEB3E6CF}"/>
                </c:ext>
              </c:extLst>
            </c:dLbl>
            <c:dLbl>
              <c:idx val="6"/>
              <c:layout>
                <c:manualLayout>
                  <c:x val="-6.4936913006356616E-3"/>
                  <c:y val="-1.8303109838542903E-2"/>
                </c:manualLayout>
              </c:layout>
              <c:spPr>
                <a:noFill/>
                <a:ln>
                  <a:noFill/>
                </a:ln>
                <a:effectLst/>
              </c:spPr>
              <c:txPr>
                <a:bodyPr rot="0" spcFirstLastPara="1" vertOverflow="ellipsis" vert="horz" wrap="square" lIns="38100" tIns="19050" rIns="38100" bIns="19050" anchor="ctr" anchorCtr="1">
                  <a:noAutofit/>
                </a:bodyPr>
                <a:lstStyle/>
                <a:p>
                  <a:pPr>
                    <a:defRPr sz="950" b="0"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3874837934414828"/>
                      <c:h val="0.13325180943291179"/>
                    </c:manualLayout>
                  </c15:layout>
                </c:ext>
                <c:ext xmlns:c16="http://schemas.microsoft.com/office/drawing/2014/chart" uri="{C3380CC4-5D6E-409C-BE32-E72D297353CC}">
                  <c16:uniqueId val="{0000000D-BA94-45E4-99B8-62BFBEB3E6CF}"/>
                </c:ext>
              </c:extLst>
            </c:dLbl>
            <c:dLbl>
              <c:idx val="7"/>
              <c:layout>
                <c:manualLayout>
                  <c:x val="4.8112133573665235E-3"/>
                  <c:y val="-0.12375825180943291"/>
                </c:manualLayout>
              </c:layout>
              <c:spPr>
                <a:noFill/>
                <a:ln>
                  <a:noFill/>
                </a:ln>
                <a:effectLst/>
              </c:spPr>
              <c:txPr>
                <a:bodyPr rot="0" spcFirstLastPara="1" vertOverflow="ellipsis" vert="horz" wrap="square" lIns="38100" tIns="19050" rIns="38100" bIns="19050" anchor="ctr" anchorCtr="1">
                  <a:noAutofit/>
                </a:bodyPr>
                <a:lstStyle/>
                <a:p>
                  <a:pPr>
                    <a:defRPr sz="950" b="0"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6696802959870986"/>
                      <c:h val="0.18279696572019408"/>
                    </c:manualLayout>
                  </c15:layout>
                </c:ext>
                <c:ext xmlns:c16="http://schemas.microsoft.com/office/drawing/2014/chart" uri="{C3380CC4-5D6E-409C-BE32-E72D297353CC}">
                  <c16:uniqueId val="{0000000F-BA94-45E4-99B8-62BFBEB3E6CF}"/>
                </c:ext>
              </c:extLst>
            </c:dLbl>
            <c:dLbl>
              <c:idx val="8"/>
              <c:layout>
                <c:manualLayout>
                  <c:x val="2.8112449799196824E-2"/>
                  <c:y val="-2.5252525252525252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1-BA94-45E4-99B8-62BFBEB3E6CF}"/>
                </c:ext>
              </c:extLst>
            </c:dLbl>
            <c:spPr>
              <a:noFill/>
              <a:ln>
                <a:noFill/>
              </a:ln>
              <a:effectLst/>
            </c:spPr>
            <c:txPr>
              <a:bodyPr rot="0" spcFirstLastPara="1" vertOverflow="ellipsis" vert="horz" wrap="square" lIns="38100" tIns="19050" rIns="38100" bIns="19050" anchor="ctr" anchorCtr="1">
                <a:spAutoFit/>
              </a:bodyPr>
              <a:lstStyle/>
              <a:p>
                <a:pPr>
                  <a:defRPr sz="950" b="0" i="0" u="none" strike="noStrike" kern="1200" baseline="0">
                    <a:solidFill>
                      <a:schemeClr val="tx1"/>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Sheet1!$A$2:$A$8</c:f>
              <c:strCache>
                <c:ptCount val="7"/>
                <c:pt idx="0">
                  <c:v>Integrated circuits</c:v>
                </c:pt>
                <c:pt idx="1">
                  <c:v>Electrical switches</c:v>
                </c:pt>
                <c:pt idx="2">
                  <c:v>Semiconductors</c:v>
                </c:pt>
                <c:pt idx="3">
                  <c:v>Electric generators</c:v>
                </c:pt>
                <c:pt idx="4">
                  <c:v>Phone equipment</c:v>
                </c:pt>
                <c:pt idx="5">
                  <c:v>Insulated wire, cable</c:v>
                </c:pt>
                <c:pt idx="6">
                  <c:v>Other</c:v>
                </c:pt>
              </c:strCache>
            </c:strRef>
          </c:cat>
          <c:val>
            <c:numRef>
              <c:f>Sheet1!$B$2:$B$8</c:f>
              <c:numCache>
                <c:formatCode>_("$"* #,##0_);_("$"* \(#,##0\);_("$"* "-"??_);_(@_)</c:formatCode>
                <c:ptCount val="7"/>
                <c:pt idx="0">
                  <c:v>291949439</c:v>
                </c:pt>
                <c:pt idx="1">
                  <c:v>65521459</c:v>
                </c:pt>
                <c:pt idx="2">
                  <c:v>61886734</c:v>
                </c:pt>
                <c:pt idx="3">
                  <c:v>52129731</c:v>
                </c:pt>
                <c:pt idx="4">
                  <c:v>48472447</c:v>
                </c:pt>
                <c:pt idx="5">
                  <c:v>42999712</c:v>
                </c:pt>
                <c:pt idx="6">
                  <c:v>347988439</c:v>
                </c:pt>
              </c:numCache>
            </c:numRef>
          </c:val>
          <c:extLst>
            <c:ext xmlns:c16="http://schemas.microsoft.com/office/drawing/2014/chart" uri="{C3380CC4-5D6E-409C-BE32-E72D297353CC}">
              <c16:uniqueId val="{00000012-BA94-45E4-99B8-62BFBEB3E6C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ED0DF-2780-4716-8F36-9853394D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Minnesota Quarterly Export Statistics, 2nd Quarter 2021</vt:lpstr>
    </vt:vector>
  </TitlesOfParts>
  <Company>MN DEED</Company>
  <LinksUpToDate>false</LinksUpToDate>
  <CharactersWithSpaces>4660</CharactersWithSpaces>
  <SharedDoc>false</SharedDoc>
  <HLinks>
    <vt:vector size="12" baseType="variant">
      <vt:variant>
        <vt:i4>6488181</vt:i4>
      </vt:variant>
      <vt:variant>
        <vt:i4>9</vt:i4>
      </vt:variant>
      <vt:variant>
        <vt:i4>0</vt:i4>
      </vt:variant>
      <vt:variant>
        <vt:i4>5</vt:i4>
      </vt:variant>
      <vt:variant>
        <vt:lpwstr>http://www.deed.state.mn.us/facts/manufacturing.htm</vt:lpwstr>
      </vt:variant>
      <vt:variant>
        <vt:lpwstr/>
      </vt:variant>
      <vt:variant>
        <vt:i4>3211383</vt:i4>
      </vt:variant>
      <vt:variant>
        <vt:i4>6</vt:i4>
      </vt:variant>
      <vt:variant>
        <vt:i4>0</vt:i4>
      </vt:variant>
      <vt:variant>
        <vt:i4>5</vt:i4>
      </vt:variant>
      <vt:variant>
        <vt:lpwstr>http://www.exportminnesota.com/itradestats.htm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Quarterly Export Statistics, 2nd Quarter 2021</dc:title>
  <dc:subject>Minnesota Quarterly Export Statistics</dc:subject>
  <dc:creator>Economic Analysis Unit (T. Ho-Kim)</dc:creator>
  <dc:description>2nd Quarter 2021</dc:description>
  <cp:lastModifiedBy>Ho-Kim, Thu-Mai (DEED)</cp:lastModifiedBy>
  <cp:revision>14</cp:revision>
  <cp:lastPrinted>2021-02-10T19:09:00Z</cp:lastPrinted>
  <dcterms:created xsi:type="dcterms:W3CDTF">2022-08-18T21:34:00Z</dcterms:created>
  <dcterms:modified xsi:type="dcterms:W3CDTF">2022-09-08T20:57:00Z</dcterms:modified>
</cp:coreProperties>
</file>