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8978" w14:textId="24568D41" w:rsidR="00CE313B" w:rsidRPr="00B418F9" w:rsidRDefault="0094395B" w:rsidP="007F1C4A">
      <w:pPr>
        <w:tabs>
          <w:tab w:val="left" w:pos="360"/>
          <w:tab w:val="left" w:pos="6660"/>
        </w:tabs>
        <w:spacing w:after="240"/>
        <w:jc w:val="center"/>
        <w:sectPr w:rsidR="00CE313B" w:rsidRPr="00B418F9" w:rsidSect="0055424F">
          <w:headerReference w:type="even" r:id="rId8"/>
          <w:headerReference w:type="default" r:id="rId9"/>
          <w:footerReference w:type="even" r:id="rId10"/>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B418F9">
        <w:rPr>
          <w:noProof/>
        </w:rPr>
        <mc:AlternateContent>
          <mc:Choice Requires="wps">
            <w:drawing>
              <wp:anchor distT="0" distB="0" distL="114300" distR="114300" simplePos="0" relativeHeight="251656704" behindDoc="0" locked="0" layoutInCell="1" allowOverlap="1" wp14:anchorId="3957BDA5" wp14:editId="4D3F1634">
                <wp:simplePos x="0" y="0"/>
                <wp:positionH relativeFrom="column">
                  <wp:posOffset>96520</wp:posOffset>
                </wp:positionH>
                <wp:positionV relativeFrom="paragraph">
                  <wp:posOffset>1092464</wp:posOffset>
                </wp:positionV>
                <wp:extent cx="6303010" cy="419100"/>
                <wp:effectExtent l="0" t="0" r="0" b="0"/>
                <wp:wrapNone/>
                <wp:docPr id="2" name="Text Box 2" descr="Data on Minnesota Exports for Third Quarter 2022 – Published November 2022&#10;For More Information: Alicia Cordes-Mayo (alicia.cordes-mayo@state.mn.us, 763-406-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5FF3B2C2"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46703D">
                              <w:rPr>
                                <w:rStyle w:val="Emphasis"/>
                                <w:b/>
                              </w:rPr>
                              <w:t>Third</w:t>
                            </w:r>
                            <w:r w:rsidR="007818E5">
                              <w:rPr>
                                <w:rStyle w:val="Emphasis"/>
                                <w:b/>
                              </w:rPr>
                              <w:t xml:space="preserve"> Quarter </w:t>
                            </w:r>
                            <w:r w:rsidR="004205AD">
                              <w:rPr>
                                <w:rStyle w:val="Emphasis"/>
                                <w:b/>
                              </w:rPr>
                              <w:t>2022</w:t>
                            </w:r>
                            <w:r w:rsidR="00A43E28">
                              <w:rPr>
                                <w:rStyle w:val="Emphasis"/>
                                <w:b/>
                              </w:rPr>
                              <w:t xml:space="preserve"> – Published </w:t>
                            </w:r>
                            <w:r w:rsidR="004205AD">
                              <w:rPr>
                                <w:rStyle w:val="Emphasis"/>
                                <w:b/>
                              </w:rPr>
                              <w:t>November</w:t>
                            </w:r>
                            <w:r w:rsidR="007818E5">
                              <w:rPr>
                                <w:rStyle w:val="Emphasis"/>
                                <w:b/>
                              </w:rPr>
                              <w:t xml:space="preserve"> 202</w:t>
                            </w:r>
                            <w:r w:rsidR="003B47AA">
                              <w:rPr>
                                <w:rStyle w:val="Emphasis"/>
                                <w:b/>
                              </w:rPr>
                              <w:t>2</w:t>
                            </w:r>
                          </w:p>
                          <w:p w14:paraId="63DE98A4" w14:textId="26B6B0A6" w:rsidR="004205AD" w:rsidRPr="00B577E0" w:rsidRDefault="004205AD" w:rsidP="004205AD">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p w14:paraId="1C09E415" w14:textId="6D92B573" w:rsidR="00277712" w:rsidRPr="00B577E0" w:rsidRDefault="00277712" w:rsidP="00277712">
                            <w:pPr>
                              <w:pStyle w:val="NoSpacing"/>
                              <w:jc w:val="center"/>
                              <w:rPr>
                                <w:rStyle w:val="Emphasis"/>
                                <w:b/>
                              </w:rPr>
                            </w:pPr>
                          </w:p>
                          <w:p w14:paraId="34B91C04" w14:textId="5CC8BD10" w:rsidR="007F1C4A" w:rsidRPr="00B577E0" w:rsidRDefault="007F1C4A" w:rsidP="00277712">
                            <w:pPr>
                              <w:pStyle w:val="NoSpacing"/>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Data on Minnesota Exports for Third Quarter 2022 – Published November 2022&#10;For More Information: Alicia Cordes-Mayo (alicia.cordes-mayo@state.mn.us, 763-406-9965)" style="position:absolute;left:0;text-align:left;margin-left:7.6pt;margin-top:86pt;width:496.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" filled="f" stroked="f">
                <v:textbox>
                  <w:txbxContent>
                    <w:p w14:paraId="482B0058" w14:textId="5FF3B2C2"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46703D">
                        <w:rPr>
                          <w:rStyle w:val="Emphasis"/>
                          <w:b/>
                        </w:rPr>
                        <w:t>Third</w:t>
                      </w:r>
                      <w:r w:rsidR="007818E5">
                        <w:rPr>
                          <w:rStyle w:val="Emphasis"/>
                          <w:b/>
                        </w:rPr>
                        <w:t xml:space="preserve"> Quarter </w:t>
                      </w:r>
                      <w:r w:rsidR="004205AD">
                        <w:rPr>
                          <w:rStyle w:val="Emphasis"/>
                          <w:b/>
                        </w:rPr>
                        <w:t>2022</w:t>
                      </w:r>
                      <w:r w:rsidR="00A43E28">
                        <w:rPr>
                          <w:rStyle w:val="Emphasis"/>
                          <w:b/>
                        </w:rPr>
                        <w:t xml:space="preserve"> – Published </w:t>
                      </w:r>
                      <w:r w:rsidR="004205AD">
                        <w:rPr>
                          <w:rStyle w:val="Emphasis"/>
                          <w:b/>
                        </w:rPr>
                        <w:t>November</w:t>
                      </w:r>
                      <w:r w:rsidR="007818E5">
                        <w:rPr>
                          <w:rStyle w:val="Emphasis"/>
                          <w:b/>
                        </w:rPr>
                        <w:t xml:space="preserve"> 202</w:t>
                      </w:r>
                      <w:r w:rsidR="003B47AA">
                        <w:rPr>
                          <w:rStyle w:val="Emphasis"/>
                          <w:b/>
                        </w:rPr>
                        <w:t>2</w:t>
                      </w:r>
                    </w:p>
                    <w:p w14:paraId="63DE98A4" w14:textId="26B6B0A6" w:rsidR="004205AD" w:rsidRPr="00B577E0" w:rsidRDefault="004205AD" w:rsidP="004205AD">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p w14:paraId="1C09E415" w14:textId="6D92B573" w:rsidR="00277712" w:rsidRPr="00B577E0" w:rsidRDefault="00277712" w:rsidP="00277712">
                      <w:pPr>
                        <w:pStyle w:val="NoSpacing"/>
                        <w:jc w:val="center"/>
                        <w:rPr>
                          <w:rStyle w:val="Emphasis"/>
                          <w:b/>
                        </w:rPr>
                      </w:pPr>
                    </w:p>
                    <w:p w14:paraId="34B91C04" w14:textId="5CC8BD10" w:rsidR="007F1C4A" w:rsidRPr="00B577E0" w:rsidRDefault="007F1C4A" w:rsidP="00277712">
                      <w:pPr>
                        <w:pStyle w:val="NoSpacing"/>
                        <w:jc w:val="center"/>
                        <w:rPr>
                          <w:rStyle w:val="Emphasis"/>
                          <w:b/>
                        </w:rPr>
                      </w:pPr>
                    </w:p>
                  </w:txbxContent>
                </v:textbox>
              </v:shape>
            </w:pict>
          </mc:Fallback>
        </mc:AlternateContent>
      </w:r>
      <w:r w:rsidR="0046703D" w:rsidRPr="00B418F9">
        <w:rPr>
          <w:noProof/>
        </w:rPr>
        <w:drawing>
          <wp:inline distT="0" distB="0" distL="0" distR="0" wp14:anchorId="2775B94D" wp14:editId="2477DB29">
            <wp:extent cx="6309360" cy="1103630"/>
            <wp:effectExtent l="0" t="0" r="0" b="1270"/>
            <wp:docPr id="3" name="Picture 3" descr="MN Export statistics header banner.&#10;Data on Minnesota Exports for Third Quarter 2022 – Published November 2022&#10;For More Information: Alicia Cordes-Mayo (alicia.cordes-mayo@state.mn.us, 763-406-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N Export statistics header banner.&#10;Data on Minnesota Exports for Third Quarter 2022 – Published November 2022&#10;For More Information: Alicia Cordes-Mayo (alicia.cordes-mayo@state.mn.us, 763-406-996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9360" cy="1103630"/>
                    </a:xfrm>
                    <a:prstGeom prst="rect">
                      <a:avLst/>
                    </a:prstGeom>
                  </pic:spPr>
                </pic:pic>
              </a:graphicData>
            </a:graphic>
          </wp:inline>
        </w:drawing>
      </w:r>
    </w:p>
    <w:p w14:paraId="18DCA261" w14:textId="378A626D" w:rsidR="00641D3B" w:rsidRPr="00B418F9" w:rsidRDefault="00C23DAA" w:rsidP="001A2004">
      <w:pPr>
        <w:pStyle w:val="Heading1"/>
        <w:spacing w:before="780" w:after="120"/>
        <w:rPr>
          <w:rFonts w:asciiTheme="minorHAnsi" w:hAnsiTheme="minorHAnsi"/>
          <w:color w:val="auto"/>
          <w:sz w:val="36"/>
          <w:szCs w:val="30"/>
        </w:rPr>
        <w:sectPr w:rsidR="00641D3B" w:rsidRPr="00B418F9"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B418F9">
        <w:rPr>
          <w:rFonts w:asciiTheme="minorHAnsi" w:hAnsiTheme="minorHAnsi"/>
          <w:color w:val="auto"/>
          <w:sz w:val="36"/>
          <w:szCs w:val="30"/>
        </w:rPr>
        <w:t>State Export</w:t>
      </w:r>
      <w:r w:rsidR="00992045" w:rsidRPr="00B418F9">
        <w:rPr>
          <w:rFonts w:asciiTheme="minorHAnsi" w:hAnsiTheme="minorHAnsi"/>
          <w:color w:val="auto"/>
          <w:sz w:val="36"/>
          <w:szCs w:val="30"/>
        </w:rPr>
        <w:t>s</w:t>
      </w:r>
      <w:r w:rsidR="000B6E79" w:rsidRPr="00B418F9">
        <w:rPr>
          <w:rFonts w:asciiTheme="minorHAnsi" w:hAnsiTheme="minorHAnsi"/>
          <w:color w:val="auto"/>
          <w:sz w:val="36"/>
          <w:szCs w:val="30"/>
        </w:rPr>
        <w:t xml:space="preserve"> </w:t>
      </w:r>
      <w:r w:rsidR="004205AD" w:rsidRPr="00B418F9">
        <w:rPr>
          <w:rFonts w:asciiTheme="minorHAnsi" w:hAnsiTheme="minorHAnsi"/>
          <w:color w:val="auto"/>
          <w:sz w:val="36"/>
          <w:szCs w:val="30"/>
        </w:rPr>
        <w:t>Surpass $7 Billion</w:t>
      </w:r>
      <w:r w:rsidR="00AF01A8" w:rsidRPr="00B418F9">
        <w:rPr>
          <w:rFonts w:asciiTheme="minorHAnsi" w:hAnsiTheme="minorHAnsi"/>
          <w:color w:val="auto"/>
          <w:sz w:val="36"/>
          <w:szCs w:val="30"/>
        </w:rPr>
        <w:t xml:space="preserve"> </w:t>
      </w:r>
      <w:r w:rsidR="00BD6641" w:rsidRPr="00B418F9">
        <w:rPr>
          <w:rFonts w:asciiTheme="minorHAnsi" w:hAnsiTheme="minorHAnsi"/>
          <w:color w:val="auto"/>
          <w:sz w:val="36"/>
          <w:szCs w:val="30"/>
        </w:rPr>
        <w:t xml:space="preserve">in </w:t>
      </w:r>
      <w:r w:rsidR="0046703D" w:rsidRPr="00B418F9">
        <w:rPr>
          <w:rFonts w:asciiTheme="minorHAnsi" w:hAnsiTheme="minorHAnsi"/>
          <w:color w:val="auto"/>
          <w:sz w:val="36"/>
          <w:szCs w:val="30"/>
        </w:rPr>
        <w:t>Third</w:t>
      </w:r>
      <w:r w:rsidR="00BD6641" w:rsidRPr="00B418F9">
        <w:rPr>
          <w:rFonts w:asciiTheme="minorHAnsi" w:hAnsiTheme="minorHAnsi"/>
          <w:color w:val="auto"/>
          <w:sz w:val="36"/>
          <w:szCs w:val="30"/>
        </w:rPr>
        <w:t xml:space="preserve"> Quarter</w:t>
      </w:r>
      <w:r w:rsidR="00AF01A8" w:rsidRPr="00B418F9">
        <w:rPr>
          <w:rFonts w:asciiTheme="minorHAnsi" w:hAnsiTheme="minorHAnsi"/>
          <w:color w:val="auto"/>
          <w:sz w:val="36"/>
          <w:szCs w:val="30"/>
        </w:rPr>
        <w:t>, Jumping 28%</w:t>
      </w:r>
    </w:p>
    <w:p w14:paraId="23F3562F" w14:textId="32A92E7E" w:rsidR="00E54679" w:rsidRPr="00B418F9" w:rsidRDefault="007F1C4A" w:rsidP="00684376">
      <w:pPr>
        <w:pStyle w:val="ListParagraph"/>
        <w:numPr>
          <w:ilvl w:val="0"/>
          <w:numId w:val="9"/>
        </w:numPr>
        <w:spacing w:after="0"/>
      </w:pPr>
      <w:r w:rsidRPr="00B418F9">
        <w:t xml:space="preserve">Minnesota exports </w:t>
      </w:r>
      <w:r w:rsidR="00B83DF0" w:rsidRPr="00B418F9">
        <w:t>of goods (</w:t>
      </w:r>
      <w:r w:rsidRPr="00B418F9">
        <w:t>including agricultural, mining and manufact</w:t>
      </w:r>
      <w:r w:rsidR="00A02A94" w:rsidRPr="00B418F9">
        <w:t xml:space="preserve">ured products) </w:t>
      </w:r>
      <w:r w:rsidR="004149B2" w:rsidRPr="00B418F9">
        <w:t>surg</w:t>
      </w:r>
      <w:r w:rsidR="001605DD" w:rsidRPr="00B418F9">
        <w:t>e</w:t>
      </w:r>
      <w:r w:rsidR="00E92FA6" w:rsidRPr="00B418F9">
        <w:t xml:space="preserve">d </w:t>
      </w:r>
      <w:r w:rsidR="001605DD" w:rsidRPr="00B418F9">
        <w:t>to</w:t>
      </w:r>
      <w:r w:rsidR="00E92FA6" w:rsidRPr="00B418F9">
        <w:t xml:space="preserve"> $</w:t>
      </w:r>
      <w:r w:rsidR="004205AD" w:rsidRPr="00B418F9">
        <w:t>7</w:t>
      </w:r>
      <w:r w:rsidR="00C23DAA" w:rsidRPr="00B418F9">
        <w:t>.</w:t>
      </w:r>
      <w:r w:rsidR="004205AD" w:rsidRPr="00B418F9">
        <w:t>3</w:t>
      </w:r>
      <w:r w:rsidR="00C23DAA" w:rsidRPr="00B418F9">
        <w:t xml:space="preserve"> billion</w:t>
      </w:r>
      <w:r w:rsidR="00DB304D" w:rsidRPr="00B418F9">
        <w:t xml:space="preserve"> in the third quarter of </w:t>
      </w:r>
      <w:r w:rsidR="004205AD" w:rsidRPr="00B418F9">
        <w:t>2022</w:t>
      </w:r>
      <w:r w:rsidR="004C2480" w:rsidRPr="00B418F9">
        <w:t xml:space="preserve"> – an historic high.</w:t>
      </w:r>
      <w:r w:rsidR="00DB304D" w:rsidRPr="00B418F9">
        <w:t xml:space="preserve"> </w:t>
      </w:r>
      <w:r w:rsidR="004C2480" w:rsidRPr="00B418F9">
        <w:t xml:space="preserve">Exports </w:t>
      </w:r>
      <w:r w:rsidR="001605DD" w:rsidRPr="00B418F9">
        <w:t>increas</w:t>
      </w:r>
      <w:r w:rsidR="004C2480" w:rsidRPr="00B418F9">
        <w:t xml:space="preserve">ed 28% – </w:t>
      </w:r>
      <w:r w:rsidR="00B5144B" w:rsidRPr="00B418F9">
        <w:t>or</w:t>
      </w:r>
      <w:r w:rsidR="0066205A" w:rsidRPr="00B418F9">
        <w:t xml:space="preserve"> up</w:t>
      </w:r>
      <w:r w:rsidR="004C2480" w:rsidRPr="00B418F9">
        <w:t xml:space="preserve"> </w:t>
      </w:r>
      <w:r w:rsidR="00B5144B" w:rsidRPr="00B418F9">
        <w:t>$</w:t>
      </w:r>
      <w:r w:rsidR="004205AD" w:rsidRPr="00B418F9">
        <w:t>1.6</w:t>
      </w:r>
      <w:r w:rsidR="00C23DAA" w:rsidRPr="00B418F9">
        <w:t xml:space="preserve"> </w:t>
      </w:r>
      <w:r w:rsidR="004205AD" w:rsidRPr="00B418F9">
        <w:t>b</w:t>
      </w:r>
      <w:r w:rsidR="00C23DAA" w:rsidRPr="00B418F9">
        <w:t>illion</w:t>
      </w:r>
      <w:r w:rsidR="004C2480" w:rsidRPr="00B418F9">
        <w:t xml:space="preserve"> – </w:t>
      </w:r>
      <w:r w:rsidR="00E54679" w:rsidRPr="00B418F9">
        <w:t>between the third quarters of 2021 and 2022.</w:t>
      </w:r>
    </w:p>
    <w:p w14:paraId="46069970" w14:textId="2FD60501" w:rsidR="006D7A33" w:rsidRPr="00B418F9" w:rsidRDefault="00C97041" w:rsidP="00684376">
      <w:pPr>
        <w:pStyle w:val="ListParagraph"/>
        <w:numPr>
          <w:ilvl w:val="0"/>
          <w:numId w:val="9"/>
        </w:numPr>
        <w:spacing w:after="0"/>
      </w:pPr>
      <w:r w:rsidRPr="00B418F9">
        <w:t>U.S. exports</w:t>
      </w:r>
      <w:r w:rsidR="00742415" w:rsidRPr="00B418F9">
        <w:t xml:space="preserve"> of goods</w:t>
      </w:r>
      <w:r w:rsidR="00C23DAA" w:rsidRPr="00B418F9">
        <w:t xml:space="preserve"> </w:t>
      </w:r>
      <w:r w:rsidR="00A65EA2" w:rsidRPr="00B418F9">
        <w:t>g</w:t>
      </w:r>
      <w:r w:rsidR="00CE31D3" w:rsidRPr="00B418F9">
        <w:t>rew</w:t>
      </w:r>
      <w:r w:rsidR="00C057FE" w:rsidRPr="00B418F9">
        <w:t xml:space="preserve"> </w:t>
      </w:r>
      <w:r w:rsidR="008C43A8" w:rsidRPr="00B418F9">
        <w:t>2</w:t>
      </w:r>
      <w:r w:rsidRPr="00B418F9">
        <w:t>3</w:t>
      </w:r>
      <w:r w:rsidR="007818E5" w:rsidRPr="00B418F9">
        <w:t>%</w:t>
      </w:r>
      <w:r w:rsidR="00521967" w:rsidRPr="00B418F9">
        <w:t xml:space="preserve"> </w:t>
      </w:r>
      <w:r w:rsidR="00E54679" w:rsidRPr="00B418F9">
        <w:t>in the same period</w:t>
      </w:r>
      <w:r w:rsidR="00902E31" w:rsidRPr="00B418F9">
        <w:t>. R</w:t>
      </w:r>
      <w:r w:rsidR="007D3342" w:rsidRPr="00B418F9">
        <w:t>eflecting</w:t>
      </w:r>
      <w:r w:rsidR="006815A5" w:rsidRPr="00B418F9">
        <w:t xml:space="preserve"> robust growth in global demand</w:t>
      </w:r>
      <w:r w:rsidR="00A65EA2" w:rsidRPr="00B418F9">
        <w:t xml:space="preserve">, </w:t>
      </w:r>
      <w:r w:rsidR="00902E31" w:rsidRPr="00B418F9">
        <w:t>e</w:t>
      </w:r>
      <w:r w:rsidR="00716311" w:rsidRPr="00B418F9">
        <w:t xml:space="preserve">xports </w:t>
      </w:r>
      <w:r w:rsidR="00CE31D3" w:rsidRPr="00B418F9">
        <w:t>made gains</w:t>
      </w:r>
      <w:r w:rsidR="00D0438E" w:rsidRPr="00B418F9">
        <w:t xml:space="preserve"> </w:t>
      </w:r>
      <w:r w:rsidR="00CE31D3" w:rsidRPr="00B418F9">
        <w:t>in</w:t>
      </w:r>
      <w:r w:rsidR="00223F46" w:rsidRPr="00B418F9">
        <w:t xml:space="preserve"> </w:t>
      </w:r>
      <w:r w:rsidR="00092FFB" w:rsidRPr="00B418F9">
        <w:t>4</w:t>
      </w:r>
      <w:r w:rsidR="006815A5" w:rsidRPr="00B418F9">
        <w:t>1</w:t>
      </w:r>
      <w:r w:rsidR="00092FFB" w:rsidRPr="00B418F9">
        <w:t xml:space="preserve"> states</w:t>
      </w:r>
      <w:r w:rsidR="00DD736C" w:rsidRPr="00B418F9">
        <w:t>.</w:t>
      </w:r>
    </w:p>
    <w:p w14:paraId="06392D44" w14:textId="13F02C76" w:rsidR="006D7A33" w:rsidRPr="00B418F9" w:rsidRDefault="00692D3B" w:rsidP="006D7A33">
      <w:pPr>
        <w:pStyle w:val="ListParagraph"/>
        <w:numPr>
          <w:ilvl w:val="0"/>
          <w:numId w:val="9"/>
        </w:numPr>
        <w:spacing w:after="0"/>
      </w:pPr>
      <w:r w:rsidRPr="00B418F9">
        <w:t xml:space="preserve">Minnesota </w:t>
      </w:r>
      <w:r w:rsidRPr="00B418F9">
        <w:rPr>
          <w:i/>
        </w:rPr>
        <w:t>manufactured</w:t>
      </w:r>
      <w:r w:rsidR="001F7EBF" w:rsidRPr="00B418F9">
        <w:t xml:space="preserve"> exports</w:t>
      </w:r>
      <w:r w:rsidR="00DD736C" w:rsidRPr="00B418F9">
        <w:t xml:space="preserve"> </w:t>
      </w:r>
      <w:r w:rsidR="00C931B5" w:rsidRPr="00B418F9">
        <w:t>expanded</w:t>
      </w:r>
      <w:r w:rsidR="0066205A" w:rsidRPr="00B418F9">
        <w:t xml:space="preserve"> by</w:t>
      </w:r>
      <w:r w:rsidR="00C931B5" w:rsidRPr="00B418F9">
        <w:t xml:space="preserve"> </w:t>
      </w:r>
      <w:r w:rsidR="00901F87" w:rsidRPr="00B418F9">
        <w:t>21</w:t>
      </w:r>
      <w:r w:rsidR="00742415" w:rsidRPr="00B418F9">
        <w:t>%</w:t>
      </w:r>
      <w:r w:rsidR="00C97041" w:rsidRPr="00B418F9">
        <w:t xml:space="preserve"> to </w:t>
      </w:r>
      <w:r w:rsidR="00C23DAA" w:rsidRPr="00B418F9">
        <w:t>$</w:t>
      </w:r>
      <w:r w:rsidR="00901F87" w:rsidRPr="00B418F9">
        <w:t>6</w:t>
      </w:r>
      <w:r w:rsidR="00C931B5" w:rsidRPr="00B418F9">
        <w:t>.</w:t>
      </w:r>
      <w:r w:rsidR="00901F87" w:rsidRPr="00B418F9">
        <w:t>4</w:t>
      </w:r>
      <w:r w:rsidR="004A3CC9" w:rsidRPr="00B418F9">
        <w:t xml:space="preserve"> billion</w:t>
      </w:r>
      <w:r w:rsidRPr="00B418F9">
        <w:t xml:space="preserve"> </w:t>
      </w:r>
      <w:r w:rsidR="00901F87" w:rsidRPr="00B418F9">
        <w:t>during this period, while</w:t>
      </w:r>
      <w:r w:rsidR="00C23DAA" w:rsidRPr="00B418F9">
        <w:t xml:space="preserve"> </w:t>
      </w:r>
      <w:r w:rsidR="00E42787" w:rsidRPr="00B418F9">
        <w:t>U.S</w:t>
      </w:r>
      <w:r w:rsidR="00742415" w:rsidRPr="00B418F9">
        <w:t xml:space="preserve">. </w:t>
      </w:r>
      <w:r w:rsidR="00742415" w:rsidRPr="00B418F9">
        <w:rPr>
          <w:i/>
        </w:rPr>
        <w:t>manufactured</w:t>
      </w:r>
      <w:r w:rsidR="00742415" w:rsidRPr="00B418F9">
        <w:t xml:space="preserve"> exports </w:t>
      </w:r>
      <w:r w:rsidR="00A65EA2" w:rsidRPr="00B418F9">
        <w:t>were up</w:t>
      </w:r>
      <w:r w:rsidR="00C23DAA" w:rsidRPr="00B418F9">
        <w:t xml:space="preserve"> </w:t>
      </w:r>
      <w:r w:rsidR="00901F87" w:rsidRPr="00B418F9">
        <w:t>18</w:t>
      </w:r>
      <w:r w:rsidR="007818E5" w:rsidRPr="00B418F9">
        <w:t>%</w:t>
      </w:r>
      <w:r w:rsidR="00557377" w:rsidRPr="00B418F9">
        <w:t>.</w:t>
      </w:r>
    </w:p>
    <w:p w14:paraId="5F47C972" w14:textId="300016F8" w:rsidR="00A65EA2" w:rsidRPr="00B418F9" w:rsidRDefault="00AA5A71" w:rsidP="00A65EA2">
      <w:pPr>
        <w:pStyle w:val="ListParagraph"/>
        <w:numPr>
          <w:ilvl w:val="0"/>
          <w:numId w:val="9"/>
        </w:numPr>
        <w:spacing w:after="0"/>
      </w:pPr>
      <w:r w:rsidRPr="00B418F9">
        <w:t>For</w:t>
      </w:r>
      <w:r w:rsidR="00A65EA2" w:rsidRPr="00B418F9">
        <w:t xml:space="preserve"> the</w:t>
      </w:r>
      <w:r w:rsidR="00C23DAA" w:rsidRPr="00B418F9">
        <w:t xml:space="preserve"> </w:t>
      </w:r>
      <w:r w:rsidRPr="00B418F9">
        <w:t>January to September period,</w:t>
      </w:r>
      <w:r w:rsidR="00E16ECF" w:rsidRPr="00B418F9">
        <w:t xml:space="preserve"> </w:t>
      </w:r>
      <w:r w:rsidR="00901F87" w:rsidRPr="00B418F9">
        <w:t xml:space="preserve">the </w:t>
      </w:r>
      <w:r w:rsidR="00A65EA2" w:rsidRPr="00B418F9">
        <w:t>state</w:t>
      </w:r>
      <w:r w:rsidR="00901F87" w:rsidRPr="00B418F9">
        <w:t>’s</w:t>
      </w:r>
      <w:r w:rsidR="00A65EA2" w:rsidRPr="00B418F9">
        <w:t xml:space="preserve"> </w:t>
      </w:r>
      <w:r w:rsidR="00E9144E" w:rsidRPr="00B418F9">
        <w:t>exports</w:t>
      </w:r>
      <w:r w:rsidR="00901F87" w:rsidRPr="00B418F9">
        <w:t xml:space="preserve"> of goods</w:t>
      </w:r>
      <w:r w:rsidR="00E9144E" w:rsidRPr="00B418F9">
        <w:t xml:space="preserve"> </w:t>
      </w:r>
      <w:r w:rsidR="008C43A8" w:rsidRPr="00B418F9">
        <w:t>grew</w:t>
      </w:r>
      <w:r w:rsidR="00C23DAA" w:rsidRPr="00B418F9">
        <w:t xml:space="preserve"> </w:t>
      </w:r>
      <w:r w:rsidR="008C43A8" w:rsidRPr="00B418F9">
        <w:t>1</w:t>
      </w:r>
      <w:r w:rsidR="006815A5" w:rsidRPr="00B418F9">
        <w:t>8</w:t>
      </w:r>
      <w:r w:rsidR="00C23DAA" w:rsidRPr="00B418F9">
        <w:t>%</w:t>
      </w:r>
      <w:r w:rsidR="006815A5" w:rsidRPr="00B418F9">
        <w:t xml:space="preserve"> </w:t>
      </w:r>
      <w:r w:rsidR="00CE31D3" w:rsidRPr="00B418F9">
        <w:t xml:space="preserve">over </w:t>
      </w:r>
      <w:r w:rsidR="004205AD" w:rsidRPr="00B418F9">
        <w:t>2021</w:t>
      </w:r>
      <w:r w:rsidR="006815A5" w:rsidRPr="00B418F9">
        <w:t>, while</w:t>
      </w:r>
      <w:r w:rsidR="00CE31D3" w:rsidRPr="00B418F9">
        <w:t xml:space="preserve"> </w:t>
      </w:r>
      <w:r w:rsidR="00E9144E" w:rsidRPr="00B418F9">
        <w:t xml:space="preserve">U.S. </w:t>
      </w:r>
      <w:r w:rsidR="00C23DAA" w:rsidRPr="00B418F9">
        <w:t xml:space="preserve">exports </w:t>
      </w:r>
      <w:r w:rsidR="00A65EA2" w:rsidRPr="00B418F9">
        <w:t>grew</w:t>
      </w:r>
      <w:r w:rsidR="008C43A8" w:rsidRPr="00B418F9">
        <w:t xml:space="preserve"> 2</w:t>
      </w:r>
      <w:r w:rsidR="006815A5" w:rsidRPr="00B418F9">
        <w:t>1</w:t>
      </w:r>
      <w:r w:rsidR="008C43A8" w:rsidRPr="00B418F9">
        <w:t>%</w:t>
      </w:r>
      <w:r w:rsidR="00A65EA2" w:rsidRPr="00B418F9">
        <w:t>.</w:t>
      </w:r>
    </w:p>
    <w:p w14:paraId="03CA25DA" w14:textId="4FF3FBAC" w:rsidR="007F1C4A" w:rsidRPr="00B418F9" w:rsidRDefault="007F1C4A" w:rsidP="00707559">
      <w:pPr>
        <w:spacing w:before="120" w:after="0" w:line="271" w:lineRule="auto"/>
        <w:rPr>
          <w:rStyle w:val="Heading4Char"/>
          <w:rFonts w:eastAsiaTheme="minorEastAsia" w:cstheme="minorBidi"/>
          <w:bCs w:val="0"/>
          <w:i w:val="0"/>
          <w:iCs w:val="0"/>
          <w:color w:val="auto"/>
          <w:sz w:val="22"/>
        </w:rPr>
      </w:pPr>
      <w:r w:rsidRPr="00B418F9">
        <w:rPr>
          <w:rStyle w:val="Heading4Char"/>
          <w:color w:val="auto"/>
        </w:rPr>
        <w:t xml:space="preserve">Figure </w:t>
      </w:r>
      <w:r w:rsidRPr="00B418F9">
        <w:rPr>
          <w:rStyle w:val="Heading4Char"/>
          <w:color w:val="auto"/>
        </w:rPr>
        <w:fldChar w:fldCharType="begin"/>
      </w:r>
      <w:r w:rsidRPr="00B418F9">
        <w:rPr>
          <w:rStyle w:val="Heading4Char"/>
          <w:color w:val="auto"/>
        </w:rPr>
        <w:instrText xml:space="preserve"> SEQ Figure \* ARABIC </w:instrText>
      </w:r>
      <w:r w:rsidRPr="00B418F9">
        <w:rPr>
          <w:rStyle w:val="Heading4Char"/>
          <w:color w:val="auto"/>
        </w:rPr>
        <w:fldChar w:fldCharType="separate"/>
      </w:r>
      <w:r w:rsidR="00900302" w:rsidRPr="00B418F9">
        <w:rPr>
          <w:rStyle w:val="Heading4Char"/>
          <w:noProof/>
          <w:color w:val="auto"/>
        </w:rPr>
        <w:t>1</w:t>
      </w:r>
      <w:r w:rsidRPr="00B418F9">
        <w:rPr>
          <w:rStyle w:val="Heading4Char"/>
          <w:color w:val="auto"/>
        </w:rPr>
        <w:fldChar w:fldCharType="end"/>
      </w:r>
      <w:r w:rsidR="00A52415" w:rsidRPr="00B418F9">
        <w:rPr>
          <w:rStyle w:val="Heading4Char"/>
          <w:color w:val="auto"/>
        </w:rPr>
        <w:t xml:space="preserve">. </w:t>
      </w:r>
      <w:r w:rsidR="00D0438E" w:rsidRPr="00B418F9">
        <w:rPr>
          <w:rStyle w:val="Heading4Char"/>
          <w:color w:val="auto"/>
        </w:rPr>
        <w:t xml:space="preserve">Exports </w:t>
      </w:r>
      <w:r w:rsidR="00A65EA2" w:rsidRPr="00B418F9">
        <w:rPr>
          <w:rStyle w:val="Heading4Char"/>
          <w:color w:val="auto"/>
        </w:rPr>
        <w:t>Increase</w:t>
      </w:r>
      <w:r w:rsidR="00D0438E" w:rsidRPr="00B418F9">
        <w:rPr>
          <w:rStyle w:val="Heading4Char"/>
          <w:color w:val="auto"/>
        </w:rPr>
        <w:t xml:space="preserve"> from</w:t>
      </w:r>
      <w:r w:rsidR="0046703D" w:rsidRPr="00B418F9">
        <w:rPr>
          <w:rStyle w:val="Heading4Char"/>
          <w:color w:val="auto"/>
        </w:rPr>
        <w:t xml:space="preserve"> </w:t>
      </w:r>
      <w:r w:rsidR="000D02DD" w:rsidRPr="00B418F9">
        <w:rPr>
          <w:rStyle w:val="Heading4Char"/>
          <w:color w:val="auto"/>
        </w:rPr>
        <w:t>4</w:t>
      </w:r>
      <w:r w:rsidR="006815A5" w:rsidRPr="00B418F9">
        <w:rPr>
          <w:rStyle w:val="Heading4Char"/>
          <w:color w:val="auto"/>
        </w:rPr>
        <w:t>1</w:t>
      </w:r>
      <w:r w:rsidR="00D0438E" w:rsidRPr="00B418F9">
        <w:rPr>
          <w:rStyle w:val="Heading4Char"/>
          <w:color w:val="auto"/>
        </w:rPr>
        <w:t xml:space="preserve"> Sta</w:t>
      </w:r>
      <w:r w:rsidR="00A65EA2" w:rsidRPr="00B418F9">
        <w:rPr>
          <w:rStyle w:val="Heading4Char"/>
          <w:color w:val="auto"/>
        </w:rPr>
        <w:t>tes</w:t>
      </w:r>
    </w:p>
    <w:p w14:paraId="7D1ADD74" w14:textId="27FD41A1" w:rsidR="007F1C4A" w:rsidRPr="00B418F9" w:rsidRDefault="00D0438E" w:rsidP="007F1C4A">
      <w:pPr>
        <w:spacing w:after="0"/>
      </w:pPr>
      <w:r w:rsidRPr="00B418F9">
        <w:rPr>
          <w:noProof/>
        </w:rPr>
        <mc:AlternateContent>
          <mc:Choice Requires="wps">
            <w:drawing>
              <wp:anchor distT="0" distB="0" distL="114300" distR="114300" simplePos="0" relativeHeight="251658752" behindDoc="0" locked="0" layoutInCell="1" allowOverlap="1" wp14:anchorId="24E76B40" wp14:editId="1239FD26">
                <wp:simplePos x="0" y="0"/>
                <wp:positionH relativeFrom="margin">
                  <wp:posOffset>6065520</wp:posOffset>
                </wp:positionH>
                <wp:positionV relativeFrom="paragraph">
                  <wp:posOffset>1510664</wp:posOffset>
                </wp:positionV>
                <wp:extent cx="688975" cy="466725"/>
                <wp:effectExtent l="0" t="0" r="0" b="0"/>
                <wp:wrapNone/>
                <wp:docPr id="307" name="Text Box 2" descr="MN: -18%&#10;U.S.: -30%&#10;"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66725"/>
                        </a:xfrm>
                        <a:prstGeom prst="rect">
                          <a:avLst/>
                        </a:prstGeom>
                        <a:noFill/>
                        <a:ln w="9525">
                          <a:noFill/>
                          <a:miter lim="800000"/>
                          <a:headEnd/>
                          <a:tailEnd/>
                        </a:ln>
                      </wps:spPr>
                      <wps:txbx>
                        <w:txbxContent>
                          <w:p w14:paraId="60A296D5" w14:textId="1546ACD5" w:rsidR="007F1C4A" w:rsidRPr="00D0438E" w:rsidRDefault="007F1C4A" w:rsidP="007F1C4A">
                            <w:pPr>
                              <w:spacing w:after="0"/>
                              <w:rPr>
                                <w:b/>
                                <w:i/>
                                <w:sz w:val="18"/>
                              </w:rPr>
                            </w:pPr>
                            <w:r w:rsidRPr="00D0438E">
                              <w:rPr>
                                <w:b/>
                                <w:i/>
                                <w:sz w:val="18"/>
                              </w:rPr>
                              <w:t>M</w:t>
                            </w:r>
                            <w:r w:rsidR="00C23DAA" w:rsidRPr="00D0438E">
                              <w:rPr>
                                <w:b/>
                                <w:i/>
                                <w:sz w:val="18"/>
                              </w:rPr>
                              <w:t xml:space="preserve">N: </w:t>
                            </w:r>
                            <w:r w:rsidR="006815A5">
                              <w:rPr>
                                <w:b/>
                                <w:i/>
                                <w:sz w:val="18"/>
                              </w:rPr>
                              <w:t>28</w:t>
                            </w:r>
                            <w:r w:rsidRPr="00D0438E">
                              <w:rPr>
                                <w:b/>
                                <w:i/>
                                <w:sz w:val="18"/>
                              </w:rPr>
                              <w:t>%</w:t>
                            </w:r>
                          </w:p>
                          <w:p w14:paraId="588145EA" w14:textId="55B1431D" w:rsidR="007F1C4A" w:rsidRPr="00D0438E" w:rsidRDefault="00293DCF" w:rsidP="007F1C4A">
                            <w:pPr>
                              <w:spacing w:after="0"/>
                              <w:rPr>
                                <w:b/>
                                <w:i/>
                                <w:sz w:val="18"/>
                              </w:rPr>
                            </w:pPr>
                            <w:r w:rsidRPr="00D0438E">
                              <w:rPr>
                                <w:b/>
                                <w:i/>
                                <w:sz w:val="18"/>
                              </w:rPr>
                              <w:t xml:space="preserve">U.S.: </w:t>
                            </w:r>
                            <w:r w:rsidR="00A65EA2">
                              <w:rPr>
                                <w:b/>
                                <w:i/>
                                <w:sz w:val="18"/>
                              </w:rPr>
                              <w:t>23</w:t>
                            </w:r>
                            <w:r w:rsidR="007F1C4A" w:rsidRPr="00D0438E">
                              <w:rPr>
                                <w:b/>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Title: highlight text box - Description: MN: -18%&#10;U.S.: -30%&#10;" style="position:absolute;margin-left:477.6pt;margin-top:118.95pt;width:54.25pt;height:3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" filled="f" stroked="f">
                <v:textbox>
                  <w:txbxContent>
                    <w:p w14:paraId="60A296D5" w14:textId="1546ACD5" w:rsidR="007F1C4A" w:rsidRPr="00D0438E" w:rsidRDefault="007F1C4A" w:rsidP="007F1C4A">
                      <w:pPr>
                        <w:spacing w:after="0"/>
                        <w:rPr>
                          <w:b/>
                          <w:i/>
                          <w:sz w:val="18"/>
                        </w:rPr>
                      </w:pPr>
                      <w:r w:rsidRPr="00D0438E">
                        <w:rPr>
                          <w:b/>
                          <w:i/>
                          <w:sz w:val="18"/>
                        </w:rPr>
                        <w:t>M</w:t>
                      </w:r>
                      <w:r w:rsidR="00C23DAA" w:rsidRPr="00D0438E">
                        <w:rPr>
                          <w:b/>
                          <w:i/>
                          <w:sz w:val="18"/>
                        </w:rPr>
                        <w:t xml:space="preserve">N: </w:t>
                      </w:r>
                      <w:r w:rsidR="006815A5">
                        <w:rPr>
                          <w:b/>
                          <w:i/>
                          <w:sz w:val="18"/>
                        </w:rPr>
                        <w:t>28</w:t>
                      </w:r>
                      <w:r w:rsidRPr="00D0438E">
                        <w:rPr>
                          <w:b/>
                          <w:i/>
                          <w:sz w:val="18"/>
                        </w:rPr>
                        <w:t>%</w:t>
                      </w:r>
                    </w:p>
                    <w:p w14:paraId="588145EA" w14:textId="55B1431D" w:rsidR="007F1C4A" w:rsidRPr="00D0438E" w:rsidRDefault="00293DCF" w:rsidP="007F1C4A">
                      <w:pPr>
                        <w:spacing w:after="0"/>
                        <w:rPr>
                          <w:b/>
                          <w:i/>
                          <w:sz w:val="18"/>
                        </w:rPr>
                      </w:pPr>
                      <w:r w:rsidRPr="00D0438E">
                        <w:rPr>
                          <w:b/>
                          <w:i/>
                          <w:sz w:val="18"/>
                        </w:rPr>
                        <w:t xml:space="preserve">U.S.: </w:t>
                      </w:r>
                      <w:r w:rsidR="00A65EA2">
                        <w:rPr>
                          <w:b/>
                          <w:i/>
                          <w:sz w:val="18"/>
                        </w:rPr>
                        <w:t>23</w:t>
                      </w:r>
                      <w:r w:rsidR="007F1C4A" w:rsidRPr="00D0438E">
                        <w:rPr>
                          <w:b/>
                          <w:i/>
                          <w:sz w:val="18"/>
                        </w:rPr>
                        <w:t>%</w:t>
                      </w:r>
                    </w:p>
                  </w:txbxContent>
                </v:textbox>
                <w10:wrap anchorx="margin"/>
              </v:shape>
            </w:pict>
          </mc:Fallback>
        </mc:AlternateContent>
      </w:r>
      <w:r w:rsidR="007F1C4A" w:rsidRPr="00B418F9">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FA62BD" w:rsidRPr="00B418F9">
        <w:rPr>
          <w:noProof/>
        </w:rPr>
        <w:drawing>
          <wp:inline distT="0" distB="0" distL="0" distR="0" wp14:anchorId="3B8E54B4" wp14:editId="3B25A3E5">
            <wp:extent cx="3228743" cy="1871932"/>
            <wp:effectExtent l="0" t="0" r="0" b="0"/>
            <wp:docPr id="1" name="Picture 1" descr="State  Percent Change 2021-Q3 to 2022-Q3 &#10;Minnesota 28%&#10;United States 23%&#10;Alabama 33%&#10;Alaska 23%&#10;Arizona 20%&#10;Arkansas -14%&#10;California 6%&#10;Colorado 13%&#10;Connecticut 6%&#10;Delaware 29%&#10;District of Columbia -4%&#10;Florida 23%&#10;Georgia 13%&#10;Hawaii 166%&#10;Idaho 15%&#10;Illinois 20%&#10;Indiana 8%&#10;Iowa 20%&#10;Kansas 8%&#10;Kentucky 17%&#10;Louisiana 110%&#10;Maine -1%&#10;Maryland 18%&#10;Massachusetts -1%&#10;Michigan 4%&#10;Mississippi 32%&#10;Missouri -2%&#10;Montana -6%&#10;Nebraska 20%&#10;Nevada -1%&#10;New Hampshire 28%&#10;New Jersey -5%&#10;New Mexico 15%&#10;New York 48%&#10;North Carolina 33%&#10;North Dakota 10%&#10;Ohio 22%&#10;Oklahoma 10%&#10;Oregon 17%&#10;Pennsylvania 14%&#10;Rhode Island -3%&#10;South Carolina 13%&#10;South Dakota 37%&#10;Tennessee 9%&#10;Texas 30%&#10;Utah 2%&#10;Vermont -7%&#10;Virginia 26%&#10;Washington 14%&#10;West Virginia 17%&#10;Wisconsin 4%&#10;Wyom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Percent Change 2021-Q3 to 2022-Q3 &#10;Minnesota 28%&#10;United States 23%&#10;Alabama 33%&#10;Alaska 23%&#10;Arizona 20%&#10;Arkansas -14%&#10;California 6%&#10;Colorado 13%&#10;Connecticut 6%&#10;Delaware 29%&#10;District of Columbia -4%&#10;Florida 23%&#10;Georgia 13%&#10;Hawaii 166%&#10;Idaho 15%&#10;Illinois 20%&#10;Indiana 8%&#10;Iowa 20%&#10;Kansas 8%&#10;Kentucky 17%&#10;Louisiana 110%&#10;Maine -1%&#10;Maryland 18%&#10;Massachusetts -1%&#10;Michigan 4%&#10;Mississippi 32%&#10;Missouri -2%&#10;Montana -6%&#10;Nebraska 20%&#10;Nevada -1%&#10;New Hampshire 28%&#10;New Jersey -5%&#10;New Mexico 15%&#10;New York 48%&#10;North Carolina 33%&#10;North Dakota 10%&#10;Ohio 22%&#10;Oklahoma 10%&#10;Oregon 17%&#10;Pennsylvania 14%&#10;Rhode Island -3%&#10;South Carolina 13%&#10;South Dakota 37%&#10;Tennessee 9%&#10;Texas 30%&#10;Utah 2%&#10;Vermont -7%&#10;Virginia 26%&#10;Washington 14%&#10;West Virginia 17%&#10;Wisconsin 4%&#10;Wyoming 3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097" b="5688"/>
                    <a:stretch/>
                  </pic:blipFill>
                  <pic:spPr bwMode="auto">
                    <a:xfrm>
                      <a:off x="0" y="0"/>
                      <a:ext cx="3228975" cy="1872066"/>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0F8CA7BD" w:rsidR="007F1C4A" w:rsidRPr="00B418F9" w:rsidRDefault="007F1C4A" w:rsidP="007F1C4A">
      <w:pPr>
        <w:spacing w:after="0"/>
        <w:rPr>
          <w:i/>
          <w:sz w:val="18"/>
        </w:rPr>
      </w:pPr>
      <w:r w:rsidRPr="00B418F9">
        <w:rPr>
          <w:i/>
          <w:sz w:val="18"/>
        </w:rPr>
        <w:t xml:space="preserve"> Decline     0%   Growth</w:t>
      </w:r>
    </w:p>
    <w:p w14:paraId="6B23B2F3" w14:textId="4330A419" w:rsidR="00BE4DAD" w:rsidRPr="00B418F9" w:rsidRDefault="00A52415" w:rsidP="00173D78">
      <w:pPr>
        <w:spacing w:after="0"/>
        <w:rPr>
          <w:rFonts w:ascii="Arial Narrow" w:hAnsi="Arial Narrow"/>
          <w:sz w:val="2"/>
          <w:szCs w:val="2"/>
        </w:rPr>
        <w:sectPr w:rsidR="00BE4DAD" w:rsidRPr="00B418F9" w:rsidSect="007F1C4A">
          <w:footnotePr>
            <w:numRestart w:val="eachSect"/>
          </w:footnotePr>
          <w:endnotePr>
            <w:numFmt w:val="decimal"/>
          </w:endnotePr>
          <w:type w:val="continuous"/>
          <w:pgSz w:w="12240" w:h="15840" w:code="1"/>
          <w:pgMar w:top="720" w:right="720" w:bottom="720" w:left="990" w:header="720" w:footer="720" w:gutter="0"/>
          <w:cols w:num="2" w:space="360"/>
          <w:titlePg/>
          <w:docGrid w:linePitch="299"/>
        </w:sectPr>
      </w:pPr>
      <w:r w:rsidRPr="00B418F9">
        <w:rPr>
          <w:rFonts w:ascii="Arial Narrow" w:hAnsi="Arial Narrow"/>
          <w:noProof/>
          <w:sz w:val="2"/>
          <w:szCs w:val="2"/>
        </w:rPr>
        <w:drawing>
          <wp:inline distT="0" distB="0" distL="0" distR="0" wp14:anchorId="5C21AFCD" wp14:editId="15F96BF6">
            <wp:extent cx="1066800" cy="152400"/>
            <wp:effectExtent l="0" t="0" r="0" b="0"/>
            <wp:docPr id="7" name="Picture 7" descr="color legend for map. yellow for declines, green for positive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lor legend for map. yellow for declines, green for positive growth"/>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363DBF5C" w:rsidR="00E83789" w:rsidRPr="00B418F9" w:rsidRDefault="00AA5A71" w:rsidP="00A65EA2">
      <w:pPr>
        <w:pStyle w:val="Heading2"/>
        <w:spacing w:before="120"/>
        <w:rPr>
          <w:rFonts w:asciiTheme="minorHAnsi" w:hAnsiTheme="minorHAnsi"/>
          <w:b w:val="0"/>
          <w:i/>
          <w:color w:val="auto"/>
          <w:sz w:val="28"/>
        </w:rPr>
      </w:pPr>
      <w:r w:rsidRPr="00B418F9">
        <w:rPr>
          <w:rFonts w:asciiTheme="minorHAnsi" w:hAnsiTheme="minorHAnsi"/>
          <w:b w:val="0"/>
          <w:i/>
          <w:color w:val="auto"/>
          <w:sz w:val="28"/>
        </w:rPr>
        <w:t xml:space="preserve">Demand </w:t>
      </w:r>
      <w:r w:rsidR="000625FE">
        <w:rPr>
          <w:rFonts w:asciiTheme="minorHAnsi" w:hAnsiTheme="minorHAnsi"/>
          <w:b w:val="0"/>
          <w:i/>
          <w:color w:val="auto"/>
          <w:sz w:val="28"/>
        </w:rPr>
        <w:t xml:space="preserve">Strengthened </w:t>
      </w:r>
      <w:r w:rsidRPr="00B418F9">
        <w:rPr>
          <w:rFonts w:asciiTheme="minorHAnsi" w:hAnsiTheme="minorHAnsi"/>
          <w:b w:val="0"/>
          <w:i/>
          <w:color w:val="auto"/>
          <w:sz w:val="28"/>
        </w:rPr>
        <w:t>Across</w:t>
      </w:r>
      <w:r w:rsidR="00D2090A" w:rsidRPr="00B418F9">
        <w:rPr>
          <w:rFonts w:asciiTheme="minorHAnsi" w:hAnsiTheme="minorHAnsi"/>
          <w:b w:val="0"/>
          <w:i/>
          <w:color w:val="auto"/>
          <w:sz w:val="28"/>
        </w:rPr>
        <w:t xml:space="preserve"> Global</w:t>
      </w:r>
      <w:r w:rsidR="006B2118" w:rsidRPr="00B418F9">
        <w:rPr>
          <w:rFonts w:asciiTheme="minorHAnsi" w:hAnsiTheme="minorHAnsi"/>
          <w:b w:val="0"/>
          <w:i/>
          <w:color w:val="auto"/>
          <w:sz w:val="28"/>
        </w:rPr>
        <w:t xml:space="preserve"> Region</w:t>
      </w:r>
      <w:r w:rsidR="00D2090A" w:rsidRPr="00B418F9">
        <w:rPr>
          <w:rFonts w:asciiTheme="minorHAnsi" w:hAnsiTheme="minorHAnsi"/>
          <w:b w:val="0"/>
          <w:i/>
          <w:color w:val="auto"/>
          <w:sz w:val="28"/>
        </w:rPr>
        <w:t>al Markets</w:t>
      </w:r>
    </w:p>
    <w:p w14:paraId="35AF9AEA" w14:textId="3B1A1632" w:rsidR="000D02DD" w:rsidRPr="00B418F9" w:rsidRDefault="00B41788" w:rsidP="00583A0A">
      <w:pPr>
        <w:pStyle w:val="ListParagraph"/>
        <w:numPr>
          <w:ilvl w:val="0"/>
          <w:numId w:val="10"/>
        </w:numPr>
      </w:pPr>
      <w:r w:rsidRPr="00B418F9">
        <w:t>Strong demand conditions propelled export</w:t>
      </w:r>
      <w:r w:rsidR="00C51787" w:rsidRPr="00B418F9">
        <w:t xml:space="preserve">s to new heights, </w:t>
      </w:r>
      <w:r w:rsidR="000C37F5" w:rsidRPr="00B418F9">
        <w:t xml:space="preserve">fueled by markets in </w:t>
      </w:r>
      <w:r w:rsidR="000D02DD" w:rsidRPr="00B418F9">
        <w:rPr>
          <w:b/>
        </w:rPr>
        <w:t>North America</w:t>
      </w:r>
      <w:r w:rsidR="00C51787" w:rsidRPr="00B418F9">
        <w:t xml:space="preserve"> ($3.2 billion, up 46%) and </w:t>
      </w:r>
      <w:r w:rsidR="001E7B61" w:rsidRPr="00B418F9">
        <w:t>the</w:t>
      </w:r>
      <w:r w:rsidR="000D02DD" w:rsidRPr="00B418F9">
        <w:t xml:space="preserve"> </w:t>
      </w:r>
      <w:r w:rsidR="000D02DD" w:rsidRPr="00B418F9">
        <w:rPr>
          <w:b/>
        </w:rPr>
        <w:t>Europe</w:t>
      </w:r>
      <w:r w:rsidR="001E7B61" w:rsidRPr="00B418F9">
        <w:rPr>
          <w:b/>
        </w:rPr>
        <w:t>an Union</w:t>
      </w:r>
      <w:r w:rsidR="00FD0567" w:rsidRPr="00B418F9">
        <w:t xml:space="preserve"> </w:t>
      </w:r>
      <w:r w:rsidR="00C51787" w:rsidRPr="00B418F9">
        <w:t xml:space="preserve">($1.4 billion, up 49%). </w:t>
      </w:r>
      <w:r w:rsidR="0094472B" w:rsidRPr="00B418F9">
        <w:t xml:space="preserve">Exports to </w:t>
      </w:r>
      <w:r w:rsidR="0094472B" w:rsidRPr="00B418F9">
        <w:rPr>
          <w:b/>
          <w:bCs/>
        </w:rPr>
        <w:t>Asia</w:t>
      </w:r>
      <w:r w:rsidR="0094472B" w:rsidRPr="00B418F9">
        <w:t xml:space="preserve"> </w:t>
      </w:r>
      <w:r w:rsidR="001605DD" w:rsidRPr="00B418F9">
        <w:t>grew</w:t>
      </w:r>
      <w:r w:rsidR="0094472B" w:rsidRPr="00B418F9">
        <w:t xml:space="preserve"> 4% to $1.9 billion. </w:t>
      </w:r>
    </w:p>
    <w:p w14:paraId="21407398" w14:textId="1DB5ED44" w:rsidR="003C43EB" w:rsidRPr="00B418F9" w:rsidRDefault="00C54EB3" w:rsidP="000A1F4F">
      <w:pPr>
        <w:pStyle w:val="ListParagraph"/>
        <w:numPr>
          <w:ilvl w:val="0"/>
          <w:numId w:val="10"/>
        </w:numPr>
        <w:spacing w:before="120" w:after="0"/>
      </w:pPr>
      <w:bookmarkStart w:id="0" w:name="OLE_LINK1"/>
      <w:r w:rsidRPr="00B418F9">
        <w:t>Top markets such as</w:t>
      </w:r>
      <w:r w:rsidR="007D2D9B" w:rsidRPr="00B418F9">
        <w:t xml:space="preserve"> </w:t>
      </w:r>
      <w:r w:rsidR="00106FFF" w:rsidRPr="00B418F9">
        <w:rPr>
          <w:b/>
          <w:bCs/>
        </w:rPr>
        <w:t>Canada</w:t>
      </w:r>
      <w:r w:rsidR="00106FFF" w:rsidRPr="00B418F9">
        <w:t xml:space="preserve"> (up $</w:t>
      </w:r>
      <w:r w:rsidR="0094472B" w:rsidRPr="00B418F9">
        <w:t>926</w:t>
      </w:r>
      <w:r w:rsidR="00106FFF" w:rsidRPr="00B418F9">
        <w:t xml:space="preserve"> million)</w:t>
      </w:r>
      <w:r w:rsidRPr="00B418F9">
        <w:t>,</w:t>
      </w:r>
      <w:r w:rsidR="00106FFF" w:rsidRPr="00B418F9">
        <w:t xml:space="preserve"> </w:t>
      </w:r>
      <w:r w:rsidR="0094472B" w:rsidRPr="00B418F9">
        <w:rPr>
          <w:b/>
        </w:rPr>
        <w:t>the Netherlands</w:t>
      </w:r>
      <w:r w:rsidR="00F216B1" w:rsidRPr="00B418F9">
        <w:rPr>
          <w:b/>
        </w:rPr>
        <w:t xml:space="preserve"> </w:t>
      </w:r>
      <w:r w:rsidR="00F216B1" w:rsidRPr="00B418F9">
        <w:t>(</w:t>
      </w:r>
      <w:r w:rsidR="00106FFF" w:rsidRPr="00B418F9">
        <w:t>up</w:t>
      </w:r>
      <w:r w:rsidR="00F216B1" w:rsidRPr="00B418F9">
        <w:t xml:space="preserve"> $</w:t>
      </w:r>
      <w:r w:rsidR="00106FFF" w:rsidRPr="00B418F9">
        <w:t>1</w:t>
      </w:r>
      <w:r w:rsidR="0094472B" w:rsidRPr="00B418F9">
        <w:t>5</w:t>
      </w:r>
      <w:r w:rsidR="00106FFF" w:rsidRPr="00B418F9">
        <w:t>2</w:t>
      </w:r>
      <w:r w:rsidR="00F216B1" w:rsidRPr="00B418F9">
        <w:t xml:space="preserve"> million)</w:t>
      </w:r>
      <w:r w:rsidRPr="00B418F9">
        <w:t xml:space="preserve">, </w:t>
      </w:r>
      <w:r w:rsidR="0094472B" w:rsidRPr="00B418F9">
        <w:rPr>
          <w:b/>
        </w:rPr>
        <w:t>Mexico</w:t>
      </w:r>
      <w:r w:rsidR="00F216B1" w:rsidRPr="00B418F9">
        <w:t xml:space="preserve"> (</w:t>
      </w:r>
      <w:r w:rsidR="00106FFF" w:rsidRPr="00B418F9">
        <w:t xml:space="preserve">up </w:t>
      </w:r>
      <w:r w:rsidR="00F216B1" w:rsidRPr="00B418F9">
        <w:t>$</w:t>
      </w:r>
      <w:r w:rsidR="00106FFF" w:rsidRPr="00B418F9">
        <w:t>8</w:t>
      </w:r>
      <w:r w:rsidR="0094472B" w:rsidRPr="00B418F9">
        <w:t>7</w:t>
      </w:r>
      <w:r w:rsidR="003C43EB" w:rsidRPr="00B418F9">
        <w:t xml:space="preserve"> million)</w:t>
      </w:r>
      <w:r w:rsidR="000F477A" w:rsidRPr="00B418F9">
        <w:t xml:space="preserve"> </w:t>
      </w:r>
      <w:r w:rsidR="0094472B" w:rsidRPr="00B418F9">
        <w:t>and</w:t>
      </w:r>
      <w:r w:rsidR="00106FFF" w:rsidRPr="00B418F9">
        <w:t xml:space="preserve"> </w:t>
      </w:r>
      <w:r w:rsidR="0094472B" w:rsidRPr="00B418F9">
        <w:rPr>
          <w:b/>
        </w:rPr>
        <w:t>Germany</w:t>
      </w:r>
      <w:r w:rsidR="003C43EB" w:rsidRPr="00B418F9">
        <w:t xml:space="preserve"> (</w:t>
      </w:r>
      <w:r w:rsidR="00106FFF" w:rsidRPr="00B418F9">
        <w:t>up</w:t>
      </w:r>
      <w:r w:rsidR="003C43EB" w:rsidRPr="00B418F9">
        <w:t xml:space="preserve"> $</w:t>
      </w:r>
      <w:r w:rsidR="0094472B" w:rsidRPr="00B418F9">
        <w:t>67</w:t>
      </w:r>
      <w:r w:rsidR="003C43EB" w:rsidRPr="00B418F9">
        <w:t xml:space="preserve"> million)</w:t>
      </w:r>
      <w:r w:rsidR="0094472B" w:rsidRPr="00B418F9">
        <w:t xml:space="preserve"> </w:t>
      </w:r>
      <w:r w:rsidR="001605DD" w:rsidRPr="00B418F9">
        <w:t>made the most not</w:t>
      </w:r>
      <w:r w:rsidR="00306ABD" w:rsidRPr="00B418F9">
        <w:t>able gains</w:t>
      </w:r>
      <w:bookmarkEnd w:id="0"/>
      <w:r w:rsidR="000A1F4F" w:rsidRPr="00B418F9">
        <w:t>.</w:t>
      </w:r>
      <w:r w:rsidR="003C43EB" w:rsidRPr="00B418F9">
        <w:t xml:space="preserve"> </w:t>
      </w:r>
      <w:r w:rsidR="000F477A" w:rsidRPr="00B418F9">
        <w:t xml:space="preserve">Other fast-growing </w:t>
      </w:r>
      <w:r w:rsidR="00176A80" w:rsidRPr="00B418F9">
        <w:t xml:space="preserve">smaller </w:t>
      </w:r>
      <w:r w:rsidR="000F477A" w:rsidRPr="00B418F9">
        <w:t xml:space="preserve">markets included </w:t>
      </w:r>
      <w:r w:rsidR="000F477A" w:rsidRPr="00B418F9">
        <w:rPr>
          <w:b/>
        </w:rPr>
        <w:t>Spain</w:t>
      </w:r>
      <w:r w:rsidR="000F477A" w:rsidRPr="00B418F9">
        <w:t xml:space="preserve"> ($87 million, up $71 million) and </w:t>
      </w:r>
      <w:r w:rsidR="000F477A" w:rsidRPr="00B418F9">
        <w:rPr>
          <w:b/>
          <w:bCs/>
        </w:rPr>
        <w:t xml:space="preserve">Lithuania </w:t>
      </w:r>
      <w:r w:rsidR="000F477A" w:rsidRPr="00B418F9">
        <w:t>($65 million, up $61 million).</w:t>
      </w:r>
    </w:p>
    <w:p w14:paraId="2C4246FA" w14:textId="383471E8" w:rsidR="00B545B0" w:rsidRPr="00B418F9" w:rsidRDefault="001A2004" w:rsidP="00B545B0">
      <w:pPr>
        <w:pStyle w:val="ListParagraph"/>
        <w:numPr>
          <w:ilvl w:val="0"/>
          <w:numId w:val="10"/>
        </w:numPr>
        <w:spacing w:after="120"/>
      </w:pPr>
      <w:r w:rsidRPr="00B418F9">
        <w:t>In Asia, s</w:t>
      </w:r>
      <w:r w:rsidR="00C20FE7" w:rsidRPr="00B418F9">
        <w:t>olid gains</w:t>
      </w:r>
      <w:r w:rsidRPr="00B418F9">
        <w:t xml:space="preserve"> in </w:t>
      </w:r>
      <w:r w:rsidRPr="00B418F9">
        <w:rPr>
          <w:b/>
          <w:bCs/>
        </w:rPr>
        <w:t>Korea</w:t>
      </w:r>
      <w:r w:rsidRPr="00B418F9">
        <w:t xml:space="preserve"> (up 40%), </w:t>
      </w:r>
      <w:r w:rsidRPr="00B418F9">
        <w:rPr>
          <w:b/>
          <w:bCs/>
        </w:rPr>
        <w:t>Indonesia</w:t>
      </w:r>
      <w:r w:rsidRPr="00B418F9">
        <w:t xml:space="preserve"> (up 74%), </w:t>
      </w:r>
      <w:r w:rsidRPr="00B418F9">
        <w:rPr>
          <w:b/>
          <w:bCs/>
        </w:rPr>
        <w:t>Taiwan</w:t>
      </w:r>
      <w:r w:rsidRPr="00B418F9">
        <w:t xml:space="preserve"> (up 26%) and </w:t>
      </w:r>
      <w:r w:rsidRPr="00B418F9">
        <w:rPr>
          <w:b/>
          <w:bCs/>
        </w:rPr>
        <w:t xml:space="preserve">Singapore </w:t>
      </w:r>
      <w:r w:rsidRPr="00B418F9">
        <w:t>(34%)</w:t>
      </w:r>
      <w:r w:rsidR="00C20FE7" w:rsidRPr="00B418F9">
        <w:t xml:space="preserve"> helped</w:t>
      </w:r>
      <w:r w:rsidRPr="00B418F9">
        <w:t xml:space="preserve"> offset declines to </w:t>
      </w:r>
      <w:r w:rsidR="0094472B" w:rsidRPr="00B418F9">
        <w:rPr>
          <w:b/>
          <w:bCs/>
        </w:rPr>
        <w:t>China</w:t>
      </w:r>
      <w:r w:rsidR="006B2118" w:rsidRPr="00B418F9">
        <w:t xml:space="preserve"> (down </w:t>
      </w:r>
      <w:r w:rsidR="0094472B" w:rsidRPr="00B418F9">
        <w:t>3</w:t>
      </w:r>
      <w:r w:rsidR="006B2118" w:rsidRPr="00B418F9">
        <w:t xml:space="preserve">%), </w:t>
      </w:r>
      <w:r w:rsidR="0094472B" w:rsidRPr="00B418F9">
        <w:rPr>
          <w:b/>
          <w:bCs/>
        </w:rPr>
        <w:t>Japan</w:t>
      </w:r>
      <w:r w:rsidR="006B2118" w:rsidRPr="00B418F9">
        <w:rPr>
          <w:b/>
          <w:bCs/>
        </w:rPr>
        <w:t xml:space="preserve"> </w:t>
      </w:r>
      <w:r w:rsidR="006B2118" w:rsidRPr="00B418F9">
        <w:t>(down 1</w:t>
      </w:r>
      <w:r w:rsidR="0094472B" w:rsidRPr="00B418F9">
        <w:t>3</w:t>
      </w:r>
      <w:r w:rsidR="006B2118" w:rsidRPr="00B418F9">
        <w:t xml:space="preserve">%) and </w:t>
      </w:r>
      <w:r w:rsidR="0094472B" w:rsidRPr="00B418F9">
        <w:t>the</w:t>
      </w:r>
      <w:r w:rsidR="0094472B" w:rsidRPr="00B418F9">
        <w:rPr>
          <w:b/>
          <w:bCs/>
        </w:rPr>
        <w:t xml:space="preserve"> Philippines</w:t>
      </w:r>
      <w:r w:rsidR="006B2118" w:rsidRPr="00B418F9">
        <w:t xml:space="preserve"> (down </w:t>
      </w:r>
      <w:r w:rsidR="0094472B" w:rsidRPr="00B418F9">
        <w:t>63</w:t>
      </w:r>
      <w:r w:rsidR="006B2118" w:rsidRPr="00B418F9">
        <w:t>%)</w:t>
      </w:r>
      <w:r w:rsidRPr="00B418F9">
        <w:t xml:space="preserve">. </w:t>
      </w:r>
    </w:p>
    <w:p w14:paraId="37A42349" w14:textId="27F8B025" w:rsidR="001A2004" w:rsidRPr="00B418F9" w:rsidRDefault="001A2004" w:rsidP="001A2004">
      <w:pPr>
        <w:pStyle w:val="ListParagraph"/>
        <w:numPr>
          <w:ilvl w:val="0"/>
          <w:numId w:val="10"/>
        </w:numPr>
        <w:spacing w:after="60"/>
      </w:pPr>
      <w:r w:rsidRPr="00B418F9">
        <w:t>The state’s exports</w:t>
      </w:r>
      <w:r w:rsidR="00176A80" w:rsidRPr="00B418F9">
        <w:t xml:space="preserve"> robustly</w:t>
      </w:r>
      <w:r w:rsidRPr="00B418F9">
        <w:t xml:space="preserve"> </w:t>
      </w:r>
      <w:r w:rsidR="000625FE" w:rsidRPr="00B418F9">
        <w:t xml:space="preserve">expanded </w:t>
      </w:r>
      <w:r w:rsidRPr="00B418F9">
        <w:t xml:space="preserve">in the </w:t>
      </w:r>
      <w:r w:rsidRPr="00B418F9">
        <w:rPr>
          <w:b/>
          <w:bCs/>
        </w:rPr>
        <w:t>Caribbean,</w:t>
      </w:r>
      <w:r w:rsidR="00176A80" w:rsidRPr="00B418F9">
        <w:rPr>
          <w:b/>
          <w:bCs/>
        </w:rPr>
        <w:t xml:space="preserve"> Central America </w:t>
      </w:r>
      <w:r w:rsidRPr="00B418F9">
        <w:rPr>
          <w:b/>
          <w:bCs/>
        </w:rPr>
        <w:t>and South America</w:t>
      </w:r>
      <w:r w:rsidRPr="00B418F9">
        <w:t xml:space="preserve"> (</w:t>
      </w:r>
      <w:r w:rsidR="00176A80" w:rsidRPr="00B418F9">
        <w:t xml:space="preserve">$290 million, </w:t>
      </w:r>
      <w:r w:rsidRPr="00B418F9">
        <w:t xml:space="preserve">up 13%), the </w:t>
      </w:r>
      <w:r w:rsidRPr="00B418F9">
        <w:rPr>
          <w:b/>
          <w:bCs/>
        </w:rPr>
        <w:t>Middle East</w:t>
      </w:r>
      <w:r w:rsidRPr="00B418F9">
        <w:t xml:space="preserve"> (</w:t>
      </w:r>
      <w:r w:rsidR="00176A80" w:rsidRPr="00B418F9">
        <w:t xml:space="preserve">$104 million, </w:t>
      </w:r>
      <w:r w:rsidRPr="00B418F9">
        <w:t xml:space="preserve">up 25%) and </w:t>
      </w:r>
      <w:r w:rsidRPr="00B418F9">
        <w:rPr>
          <w:b/>
          <w:bCs/>
        </w:rPr>
        <w:t>Africa</w:t>
      </w:r>
      <w:r w:rsidRPr="00B418F9">
        <w:t xml:space="preserve"> (</w:t>
      </w:r>
      <w:r w:rsidR="00176A80" w:rsidRPr="00B418F9">
        <w:t xml:space="preserve">$52 million, </w:t>
      </w:r>
      <w:r w:rsidRPr="00B418F9">
        <w:t>up 30%).</w:t>
      </w:r>
    </w:p>
    <w:p w14:paraId="481CD972" w14:textId="370778E2" w:rsidR="007C165F" w:rsidRPr="00B418F9" w:rsidRDefault="007C165F" w:rsidP="000F477A">
      <w:pPr>
        <w:pStyle w:val="Heading4"/>
        <w:spacing w:before="120" w:after="60"/>
        <w:rPr>
          <w:color w:val="auto"/>
        </w:rPr>
      </w:pPr>
      <w:r w:rsidRPr="00B418F9">
        <w:rPr>
          <w:color w:val="auto"/>
        </w:rPr>
        <w:t xml:space="preserve">Figure </w:t>
      </w:r>
      <w:r w:rsidR="00E36364" w:rsidRPr="00B418F9">
        <w:rPr>
          <w:color w:val="auto"/>
        </w:rPr>
        <w:fldChar w:fldCharType="begin"/>
      </w:r>
      <w:r w:rsidR="00E36364" w:rsidRPr="00B418F9">
        <w:rPr>
          <w:color w:val="auto"/>
        </w:rPr>
        <w:instrText xml:space="preserve"> SEQ Figure \* ARABIC </w:instrText>
      </w:r>
      <w:r w:rsidR="00E36364" w:rsidRPr="00B418F9">
        <w:rPr>
          <w:color w:val="auto"/>
        </w:rPr>
        <w:fldChar w:fldCharType="separate"/>
      </w:r>
      <w:r w:rsidR="00900302" w:rsidRPr="00B418F9">
        <w:rPr>
          <w:noProof/>
          <w:color w:val="auto"/>
        </w:rPr>
        <w:t>2</w:t>
      </w:r>
      <w:r w:rsidR="00E36364" w:rsidRPr="00B418F9">
        <w:rPr>
          <w:color w:val="auto"/>
        </w:rPr>
        <w:fldChar w:fldCharType="end"/>
      </w:r>
      <w:r w:rsidR="00C84D0E" w:rsidRPr="00B418F9">
        <w:rPr>
          <w:color w:val="auto"/>
        </w:rPr>
        <w:t xml:space="preserve">. </w:t>
      </w:r>
      <w:r w:rsidR="00A44451" w:rsidRPr="00B418F9">
        <w:rPr>
          <w:color w:val="auto"/>
        </w:rPr>
        <w:t>Export Trends for</w:t>
      </w:r>
      <w:r w:rsidR="0038665A" w:rsidRPr="00B418F9">
        <w:rPr>
          <w:color w:val="auto"/>
        </w:rPr>
        <w:t xml:space="preserve"> Minnesota’s Top 10 Markets, </w:t>
      </w:r>
      <w:r w:rsidR="0046703D" w:rsidRPr="00B418F9">
        <w:rPr>
          <w:color w:val="auto"/>
        </w:rPr>
        <w:t>Third</w:t>
      </w:r>
      <w:r w:rsidR="00606AB0" w:rsidRPr="00B418F9">
        <w:rPr>
          <w:color w:val="auto"/>
        </w:rPr>
        <w:t xml:space="preserve"> </w:t>
      </w:r>
      <w:r w:rsidR="00A52415" w:rsidRPr="00B418F9">
        <w:rPr>
          <w:color w:val="auto"/>
        </w:rPr>
        <w:t xml:space="preserve">Quarter </w:t>
      </w:r>
      <w:r w:rsidR="004205AD" w:rsidRPr="00B418F9">
        <w:rPr>
          <w:color w:val="auto"/>
        </w:rPr>
        <w:t>2022</w:t>
      </w:r>
    </w:p>
    <w:p w14:paraId="15CEBE43" w14:textId="4D62170F" w:rsidR="00ED605B" w:rsidRPr="00B418F9" w:rsidRDefault="00FA62BD" w:rsidP="00902E31">
      <w:pPr>
        <w:spacing w:after="0"/>
      </w:pPr>
      <w:r w:rsidRPr="00B418F9">
        <w:rPr>
          <w:noProof/>
        </w:rPr>
        <w:drawing>
          <wp:inline distT="0" distB="0" distL="0" distR="0" wp14:anchorId="3DFA4A01" wp14:editId="1DA6E851">
            <wp:extent cx="6262252" cy="1854236"/>
            <wp:effectExtent l="0" t="0" r="5715" b="0"/>
            <wp:docPr id="5" name="Picture 5" descr="MN Exports to Top 10 countries 2022-Q3&#10;Country Exports (millions) Percent Change, 2021-Q3 to 2022-Q3&#10;WORLD  $7,327  28%&#10;Canada (1)   $2,515  58%&#10;Mexico (2)   $712  14%&#10;China (3)   $651  -3%&#10;Germany (4)   $283  31%&#10;Japan (5)   $283  -13%&#10;Netherlands (6)   $276  123%&#10;Korea (7)   $182  40%&#10;Belgium (8)   $178  19%&#10;Taiwan (9)   $164  26%&#10;U.K. (10)   $145  8%&#10;Other  $1,939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N Exports to Top 10 countries 2022-Q3&#10;Country Exports (millions) Percent Change, 2021-Q3 to 2022-Q3&#10;WORLD  $7,327  28%&#10;Canada (1)   $2,515  58%&#10;Mexico (2)   $712  14%&#10;China (3)   $651  -3%&#10;Germany (4)   $283  31%&#10;Japan (5)   $283  -13%&#10;Netherlands (6)   $276  123%&#10;Korea (7)   $182  40%&#10;Belgium (8)   $178  19%&#10;Taiwan (9)   $164  26%&#10;U.K. (10)   $145  8%&#10;Other  $1,939  18%&#10;"/>
                    <pic:cNvPicPr>
                      <a:picLocks noChangeAspect="1" noChangeArrowheads="1"/>
                    </pic:cNvPicPr>
                  </pic:nvPicPr>
                  <pic:blipFill rotWithShape="1">
                    <a:blip r:embed="rId14">
                      <a:extLst>
                        <a:ext uri="{28A0092B-C50C-407E-A947-70E740481C1C}">
                          <a14:useLocalDpi xmlns:a14="http://schemas.microsoft.com/office/drawing/2010/main" val="0"/>
                        </a:ext>
                      </a:extLst>
                    </a:blip>
                    <a:srcRect t="7329"/>
                    <a:stretch/>
                  </pic:blipFill>
                  <pic:spPr bwMode="auto">
                    <a:xfrm>
                      <a:off x="0" y="0"/>
                      <a:ext cx="6270740" cy="1856749"/>
                    </a:xfrm>
                    <a:prstGeom prst="rect">
                      <a:avLst/>
                    </a:prstGeom>
                    <a:noFill/>
                    <a:ln>
                      <a:noFill/>
                    </a:ln>
                    <a:extLst>
                      <a:ext uri="{53640926-AAD7-44D8-BBD7-CCE9431645EC}">
                        <a14:shadowObscured xmlns:a14="http://schemas.microsoft.com/office/drawing/2010/main"/>
                      </a:ext>
                    </a:extLst>
                  </pic:spPr>
                </pic:pic>
              </a:graphicData>
            </a:graphic>
          </wp:inline>
        </w:drawing>
      </w:r>
    </w:p>
    <w:p w14:paraId="3765CDA2" w14:textId="469D52DC" w:rsidR="00BF29E1" w:rsidRPr="00B418F9" w:rsidRDefault="00E83A19" w:rsidP="00953B35">
      <w:pPr>
        <w:pStyle w:val="Heading2"/>
        <w:tabs>
          <w:tab w:val="left" w:pos="360"/>
        </w:tabs>
        <w:spacing w:before="0" w:after="120"/>
        <w:ind w:left="360" w:hanging="360"/>
        <w:rPr>
          <w:rFonts w:asciiTheme="minorHAnsi" w:hAnsiTheme="minorHAnsi"/>
          <w:b w:val="0"/>
          <w:i/>
          <w:color w:val="auto"/>
          <w:sz w:val="28"/>
        </w:rPr>
        <w:sectPr w:rsidR="00BF29E1" w:rsidRPr="00B418F9" w:rsidSect="00426066">
          <w:footnotePr>
            <w:numRestart w:val="eachSect"/>
          </w:footnotePr>
          <w:endnotePr>
            <w:numFmt w:val="decimal"/>
          </w:endnotePr>
          <w:type w:val="continuous"/>
          <w:pgSz w:w="12240" w:h="15840" w:code="1"/>
          <w:pgMar w:top="1008" w:right="1296" w:bottom="1008" w:left="1080" w:header="720" w:footer="720" w:gutter="0"/>
          <w:cols w:space="720"/>
          <w:titlePg/>
          <w:docGrid w:linePitch="299"/>
        </w:sectPr>
      </w:pPr>
      <w:r w:rsidRPr="00B418F9">
        <w:rPr>
          <w:rFonts w:asciiTheme="minorHAnsi" w:hAnsiTheme="minorHAnsi"/>
          <w:b w:val="0"/>
          <w:i/>
          <w:color w:val="auto"/>
          <w:sz w:val="28"/>
        </w:rPr>
        <w:lastRenderedPageBreak/>
        <w:t>Mineral Fuels</w:t>
      </w:r>
      <w:r w:rsidR="00BC4F7B" w:rsidRPr="00B418F9">
        <w:rPr>
          <w:rFonts w:asciiTheme="minorHAnsi" w:hAnsiTheme="minorHAnsi"/>
          <w:b w:val="0"/>
          <w:i/>
          <w:color w:val="auto"/>
          <w:sz w:val="28"/>
        </w:rPr>
        <w:t>,</w:t>
      </w:r>
      <w:r w:rsidRPr="00B418F9">
        <w:rPr>
          <w:rFonts w:asciiTheme="minorHAnsi" w:hAnsiTheme="minorHAnsi"/>
          <w:b w:val="0"/>
          <w:i/>
          <w:color w:val="auto"/>
          <w:sz w:val="28"/>
        </w:rPr>
        <w:t xml:space="preserve"> </w:t>
      </w:r>
      <w:r w:rsidR="007447F0" w:rsidRPr="00B418F9">
        <w:rPr>
          <w:rFonts w:asciiTheme="minorHAnsi" w:hAnsiTheme="minorHAnsi"/>
          <w:b w:val="0"/>
          <w:i/>
          <w:color w:val="auto"/>
          <w:sz w:val="28"/>
        </w:rPr>
        <w:t>Electrical Equipment</w:t>
      </w:r>
      <w:r w:rsidR="00BC4F7B" w:rsidRPr="00B418F9">
        <w:rPr>
          <w:rFonts w:asciiTheme="minorHAnsi" w:hAnsiTheme="minorHAnsi"/>
          <w:b w:val="0"/>
          <w:i/>
          <w:color w:val="auto"/>
          <w:sz w:val="28"/>
        </w:rPr>
        <w:t>, Cereals and Vehicles</w:t>
      </w:r>
      <w:r w:rsidR="00540B35" w:rsidRPr="00B418F9">
        <w:rPr>
          <w:rFonts w:asciiTheme="minorHAnsi" w:hAnsiTheme="minorHAnsi"/>
          <w:b w:val="0"/>
          <w:i/>
          <w:color w:val="auto"/>
          <w:sz w:val="28"/>
        </w:rPr>
        <w:t xml:space="preserve"> </w:t>
      </w:r>
      <w:r w:rsidR="00BC4F7B" w:rsidRPr="00B418F9">
        <w:rPr>
          <w:rFonts w:asciiTheme="minorHAnsi" w:hAnsiTheme="minorHAnsi"/>
          <w:b w:val="0"/>
          <w:i/>
          <w:color w:val="auto"/>
          <w:sz w:val="28"/>
        </w:rPr>
        <w:t>Help Fuel Record</w:t>
      </w:r>
      <w:r w:rsidR="00540B35" w:rsidRPr="00B418F9">
        <w:rPr>
          <w:rFonts w:asciiTheme="minorHAnsi" w:hAnsiTheme="minorHAnsi"/>
          <w:b w:val="0"/>
          <w:i/>
          <w:color w:val="auto"/>
          <w:sz w:val="28"/>
        </w:rPr>
        <w:t xml:space="preserve"> </w:t>
      </w:r>
      <w:r w:rsidR="007447F0" w:rsidRPr="00B418F9">
        <w:rPr>
          <w:rFonts w:asciiTheme="minorHAnsi" w:hAnsiTheme="minorHAnsi"/>
          <w:b w:val="0"/>
          <w:i/>
          <w:color w:val="auto"/>
          <w:sz w:val="28"/>
        </w:rPr>
        <w:t>Growth</w:t>
      </w:r>
    </w:p>
    <w:p w14:paraId="243FC245" w14:textId="61D2E91E" w:rsidR="00E76FF1" w:rsidRPr="00B418F9" w:rsidRDefault="004E701E" w:rsidP="00EC379F">
      <w:pPr>
        <w:pStyle w:val="ListParagraph"/>
        <w:numPr>
          <w:ilvl w:val="0"/>
          <w:numId w:val="7"/>
        </w:numPr>
        <w:spacing w:after="0"/>
        <w:ind w:left="360" w:right="-90"/>
      </w:pPr>
      <w:r w:rsidRPr="00B418F9">
        <w:t>Exports of many</w:t>
      </w:r>
      <w:r w:rsidR="00623D95" w:rsidRPr="00B418F9">
        <w:t xml:space="preserve"> of the state’s top</w:t>
      </w:r>
      <w:r w:rsidRPr="00B418F9">
        <w:t xml:space="preserve"> </w:t>
      </w:r>
      <w:r w:rsidR="00623D95" w:rsidRPr="00B418F9">
        <w:t xml:space="preserve">products </w:t>
      </w:r>
      <w:r w:rsidRPr="00B418F9">
        <w:t>grew strongly</w:t>
      </w:r>
      <w:r w:rsidR="00AA5A71" w:rsidRPr="00B418F9">
        <w:t>.</w:t>
      </w:r>
      <w:r w:rsidR="00A44451" w:rsidRPr="00B418F9">
        <w:t xml:space="preserve"> </w:t>
      </w:r>
      <w:r w:rsidR="00623D95" w:rsidRPr="00B418F9">
        <w:rPr>
          <w:b/>
        </w:rPr>
        <w:t>M</w:t>
      </w:r>
      <w:r w:rsidR="000A25F5" w:rsidRPr="00B418F9">
        <w:rPr>
          <w:b/>
        </w:rPr>
        <w:t xml:space="preserve">ineral fuel, oil </w:t>
      </w:r>
      <w:r w:rsidR="000A25F5" w:rsidRPr="00B418F9">
        <w:rPr>
          <w:bCs/>
        </w:rPr>
        <w:t>(up 1</w:t>
      </w:r>
      <w:r w:rsidR="00623D95" w:rsidRPr="00B418F9">
        <w:rPr>
          <w:bCs/>
        </w:rPr>
        <w:t>88</w:t>
      </w:r>
      <w:r w:rsidR="000A25F5" w:rsidRPr="00B418F9">
        <w:rPr>
          <w:bCs/>
        </w:rPr>
        <w:t>%)</w:t>
      </w:r>
      <w:r w:rsidR="00623D95" w:rsidRPr="00B418F9">
        <w:rPr>
          <w:bCs/>
        </w:rPr>
        <w:t xml:space="preserve">, </w:t>
      </w:r>
      <w:r w:rsidR="00623D95" w:rsidRPr="00B418F9">
        <w:rPr>
          <w:b/>
        </w:rPr>
        <w:t xml:space="preserve">electrical equipment </w:t>
      </w:r>
      <w:r w:rsidR="00623D95" w:rsidRPr="00B418F9">
        <w:rPr>
          <w:bCs/>
        </w:rPr>
        <w:t>(up 32%)</w:t>
      </w:r>
      <w:r w:rsidRPr="00B418F9">
        <w:rPr>
          <w:bCs/>
        </w:rPr>
        <w:t>,</w:t>
      </w:r>
      <w:r w:rsidR="00623D95" w:rsidRPr="00B418F9">
        <w:rPr>
          <w:bCs/>
        </w:rPr>
        <w:t xml:space="preserve"> </w:t>
      </w:r>
      <w:r w:rsidRPr="00B418F9">
        <w:rPr>
          <w:b/>
        </w:rPr>
        <w:t>cereals</w:t>
      </w:r>
      <w:r w:rsidR="00623D95" w:rsidRPr="00B418F9">
        <w:t xml:space="preserve"> (up </w:t>
      </w:r>
      <w:r w:rsidRPr="00B418F9">
        <w:t>315</w:t>
      </w:r>
      <w:r w:rsidR="00623D95" w:rsidRPr="00B418F9">
        <w:t>%)</w:t>
      </w:r>
      <w:r w:rsidRPr="00B418F9">
        <w:t xml:space="preserve"> and </w:t>
      </w:r>
      <w:r w:rsidRPr="00B418F9">
        <w:rPr>
          <w:b/>
          <w:bCs/>
        </w:rPr>
        <w:t xml:space="preserve">vehicles </w:t>
      </w:r>
      <w:r w:rsidRPr="00B418F9">
        <w:t>(up 44%)</w:t>
      </w:r>
      <w:r w:rsidR="000A25F5" w:rsidRPr="00B418F9">
        <w:rPr>
          <w:bCs/>
        </w:rPr>
        <w:t xml:space="preserve"> </w:t>
      </w:r>
      <w:r w:rsidR="00623D95" w:rsidRPr="00B418F9">
        <w:rPr>
          <w:bCs/>
        </w:rPr>
        <w:t>fueled growth, mitigating against</w:t>
      </w:r>
      <w:r w:rsidR="006C1D03" w:rsidRPr="00B418F9">
        <w:rPr>
          <w:bCs/>
        </w:rPr>
        <w:t xml:space="preserve"> declines </w:t>
      </w:r>
      <w:r w:rsidR="00623D95" w:rsidRPr="00B418F9">
        <w:rPr>
          <w:bCs/>
        </w:rPr>
        <w:t xml:space="preserve">in </w:t>
      </w:r>
      <w:r w:rsidR="00623D95" w:rsidRPr="00B418F9">
        <w:rPr>
          <w:b/>
        </w:rPr>
        <w:t xml:space="preserve">pharmaceuticals </w:t>
      </w:r>
      <w:r w:rsidR="00623D95" w:rsidRPr="00B418F9">
        <w:rPr>
          <w:bCs/>
        </w:rPr>
        <w:t>(down 52%),</w:t>
      </w:r>
      <w:r w:rsidR="006C1D03" w:rsidRPr="00B418F9">
        <w:rPr>
          <w:bCs/>
        </w:rPr>
        <w:t xml:space="preserve"> </w:t>
      </w:r>
      <w:r w:rsidR="00623D95" w:rsidRPr="00B418F9">
        <w:rPr>
          <w:b/>
        </w:rPr>
        <w:t>machinery</w:t>
      </w:r>
      <w:r w:rsidR="00A44451" w:rsidRPr="00B418F9">
        <w:t xml:space="preserve"> </w:t>
      </w:r>
      <w:r w:rsidR="007447F0" w:rsidRPr="00B418F9">
        <w:t xml:space="preserve">(down </w:t>
      </w:r>
      <w:r w:rsidR="00623D95" w:rsidRPr="00B418F9">
        <w:t>3</w:t>
      </w:r>
      <w:r w:rsidR="007447F0" w:rsidRPr="00B418F9">
        <w:t>%),</w:t>
      </w:r>
      <w:r w:rsidR="007447F0" w:rsidRPr="00B418F9">
        <w:rPr>
          <w:b/>
        </w:rPr>
        <w:t xml:space="preserve"> </w:t>
      </w:r>
      <w:r w:rsidR="00623D95" w:rsidRPr="00B418F9">
        <w:rPr>
          <w:b/>
        </w:rPr>
        <w:t>oil seeds, misc</w:t>
      </w:r>
      <w:r w:rsidRPr="00B418F9">
        <w:rPr>
          <w:b/>
        </w:rPr>
        <w:t>.</w:t>
      </w:r>
      <w:r w:rsidR="00623D95" w:rsidRPr="00B418F9">
        <w:rPr>
          <w:b/>
        </w:rPr>
        <w:t xml:space="preserve"> grains</w:t>
      </w:r>
      <w:r w:rsidR="007447F0" w:rsidRPr="00B418F9">
        <w:rPr>
          <w:b/>
        </w:rPr>
        <w:t xml:space="preserve"> </w:t>
      </w:r>
      <w:r w:rsidR="007447F0" w:rsidRPr="00B418F9">
        <w:rPr>
          <w:bCs/>
        </w:rPr>
        <w:t xml:space="preserve">(down </w:t>
      </w:r>
      <w:r w:rsidR="00623D95" w:rsidRPr="00B418F9">
        <w:rPr>
          <w:bCs/>
        </w:rPr>
        <w:t>21</w:t>
      </w:r>
      <w:r w:rsidR="007447F0" w:rsidRPr="00B418F9">
        <w:rPr>
          <w:bCs/>
        </w:rPr>
        <w:t xml:space="preserve">%) and </w:t>
      </w:r>
      <w:r w:rsidR="00623D95" w:rsidRPr="00B418F9">
        <w:rPr>
          <w:b/>
        </w:rPr>
        <w:t>dairy, eggs</w:t>
      </w:r>
      <w:r w:rsidR="007447F0" w:rsidRPr="00B418F9">
        <w:rPr>
          <w:b/>
        </w:rPr>
        <w:t xml:space="preserve"> </w:t>
      </w:r>
      <w:r w:rsidR="007447F0" w:rsidRPr="00B418F9">
        <w:rPr>
          <w:bCs/>
        </w:rPr>
        <w:t>(down 3</w:t>
      </w:r>
      <w:r w:rsidR="00623D95" w:rsidRPr="00B418F9">
        <w:rPr>
          <w:bCs/>
        </w:rPr>
        <w:t>5</w:t>
      </w:r>
      <w:r w:rsidR="007447F0" w:rsidRPr="00B418F9">
        <w:rPr>
          <w:bCs/>
        </w:rPr>
        <w:t>%).</w:t>
      </w:r>
    </w:p>
    <w:p w14:paraId="6BA2F72E" w14:textId="6AA5B2B0" w:rsidR="00E76FF1" w:rsidRPr="00B418F9" w:rsidRDefault="004E701E" w:rsidP="00E76FF1">
      <w:pPr>
        <w:pStyle w:val="ListParagraph"/>
        <w:numPr>
          <w:ilvl w:val="0"/>
          <w:numId w:val="7"/>
        </w:numPr>
        <w:spacing w:after="0"/>
        <w:ind w:left="360" w:right="-396"/>
      </w:pPr>
      <w:r w:rsidRPr="00B418F9">
        <w:rPr>
          <w:bCs/>
        </w:rPr>
        <w:t xml:space="preserve">Global sales of </w:t>
      </w:r>
      <w:r w:rsidRPr="00B418F9">
        <w:rPr>
          <w:b/>
        </w:rPr>
        <w:t>m</w:t>
      </w:r>
      <w:r w:rsidR="007447F0" w:rsidRPr="00B418F9">
        <w:rPr>
          <w:b/>
        </w:rPr>
        <w:t>isc</w:t>
      </w:r>
      <w:r w:rsidRPr="00B418F9">
        <w:rPr>
          <w:b/>
        </w:rPr>
        <w:t>. chemicals</w:t>
      </w:r>
      <w:r w:rsidR="00D60BDF" w:rsidRPr="00B418F9">
        <w:t xml:space="preserve"> ($1</w:t>
      </w:r>
      <w:r w:rsidRPr="00B418F9">
        <w:t>2</w:t>
      </w:r>
      <w:r w:rsidR="007447F0" w:rsidRPr="00B418F9">
        <w:t>2 million, up 1</w:t>
      </w:r>
      <w:r w:rsidRPr="00B418F9">
        <w:t>75</w:t>
      </w:r>
      <w:r w:rsidR="00647786" w:rsidRPr="00B418F9">
        <w:t xml:space="preserve">%), </w:t>
      </w:r>
      <w:r w:rsidRPr="00B418F9">
        <w:rPr>
          <w:b/>
        </w:rPr>
        <w:t>optic, medical</w:t>
      </w:r>
      <w:r w:rsidR="00647786" w:rsidRPr="00B418F9">
        <w:rPr>
          <w:b/>
        </w:rPr>
        <w:t xml:space="preserve"> </w:t>
      </w:r>
      <w:r w:rsidR="005C0164" w:rsidRPr="00B418F9">
        <w:t>($</w:t>
      </w:r>
      <w:r w:rsidRPr="00B418F9">
        <w:t>978</w:t>
      </w:r>
      <w:r w:rsidR="005C0164" w:rsidRPr="00B418F9">
        <w:t xml:space="preserve"> million, </w:t>
      </w:r>
      <w:r w:rsidR="007447F0" w:rsidRPr="00B418F9">
        <w:t>up</w:t>
      </w:r>
      <w:r w:rsidR="005C0164" w:rsidRPr="00B418F9">
        <w:t xml:space="preserve"> </w:t>
      </w:r>
      <w:r w:rsidR="007447F0" w:rsidRPr="00B418F9">
        <w:t>7</w:t>
      </w:r>
      <w:r w:rsidR="00647786" w:rsidRPr="00B418F9">
        <w:t>%)</w:t>
      </w:r>
      <w:r w:rsidRPr="00B418F9">
        <w:t>,</w:t>
      </w:r>
      <w:r w:rsidR="00647786" w:rsidRPr="00B418F9">
        <w:t xml:space="preserve"> </w:t>
      </w:r>
      <w:r w:rsidR="00647786" w:rsidRPr="00B418F9">
        <w:rPr>
          <w:b/>
        </w:rPr>
        <w:t>f</w:t>
      </w:r>
      <w:r w:rsidRPr="00B418F9">
        <w:rPr>
          <w:b/>
        </w:rPr>
        <w:t>ertilizers</w:t>
      </w:r>
      <w:r w:rsidR="00647786" w:rsidRPr="00B418F9">
        <w:rPr>
          <w:b/>
        </w:rPr>
        <w:t xml:space="preserve"> </w:t>
      </w:r>
      <w:r w:rsidR="00647786" w:rsidRPr="00B418F9">
        <w:t>(</w:t>
      </w:r>
      <w:r w:rsidR="005C0164" w:rsidRPr="00B418F9">
        <w:t>$</w:t>
      </w:r>
      <w:r w:rsidRPr="00B418F9">
        <w:t>84</w:t>
      </w:r>
      <w:r w:rsidR="00B679D3" w:rsidRPr="00B418F9">
        <w:t xml:space="preserve"> million, </w:t>
      </w:r>
      <w:r w:rsidR="007447F0" w:rsidRPr="00B418F9">
        <w:t>up</w:t>
      </w:r>
      <w:r w:rsidR="00B679D3" w:rsidRPr="00B418F9">
        <w:t xml:space="preserve"> </w:t>
      </w:r>
      <w:r w:rsidRPr="00B418F9">
        <w:t>96</w:t>
      </w:r>
      <w:r w:rsidR="00647786" w:rsidRPr="00B418F9">
        <w:t>%)</w:t>
      </w:r>
      <w:r w:rsidRPr="00B418F9">
        <w:t xml:space="preserve"> and </w:t>
      </w:r>
      <w:r w:rsidRPr="00B418F9">
        <w:rPr>
          <w:b/>
          <w:bCs/>
        </w:rPr>
        <w:t xml:space="preserve">beverages </w:t>
      </w:r>
      <w:r w:rsidRPr="00B418F9">
        <w:t>($59 million, up 146%) also gained significant traction.</w:t>
      </w:r>
      <w:r w:rsidR="00647786" w:rsidRPr="00B418F9">
        <w:br w:type="column"/>
      </w:r>
      <w:r w:rsidR="00E76FF1" w:rsidRPr="00B418F9">
        <w:rPr>
          <w:rStyle w:val="Heading4Char"/>
          <w:color w:val="auto"/>
        </w:rPr>
        <w:t xml:space="preserve">Figure </w:t>
      </w:r>
      <w:r w:rsidR="00E76FF1" w:rsidRPr="00B418F9">
        <w:rPr>
          <w:rStyle w:val="Heading4Char"/>
          <w:b/>
          <w:color w:val="auto"/>
        </w:rPr>
        <w:fldChar w:fldCharType="begin"/>
      </w:r>
      <w:r w:rsidR="00E76FF1" w:rsidRPr="00B418F9">
        <w:rPr>
          <w:rStyle w:val="Heading4Char"/>
          <w:color w:val="auto"/>
        </w:rPr>
        <w:instrText xml:space="preserve"> SEQ Figure \* ARABIC </w:instrText>
      </w:r>
      <w:r w:rsidR="00E76FF1" w:rsidRPr="00B418F9">
        <w:rPr>
          <w:rStyle w:val="Heading4Char"/>
          <w:b/>
          <w:color w:val="auto"/>
        </w:rPr>
        <w:fldChar w:fldCharType="separate"/>
      </w:r>
      <w:r w:rsidR="00E76FF1" w:rsidRPr="00B418F9">
        <w:rPr>
          <w:rStyle w:val="Heading4Char"/>
          <w:noProof/>
          <w:color w:val="auto"/>
        </w:rPr>
        <w:t>3</w:t>
      </w:r>
      <w:r w:rsidR="00E76FF1" w:rsidRPr="00B418F9">
        <w:rPr>
          <w:rStyle w:val="Heading4Char"/>
          <w:b/>
          <w:color w:val="auto"/>
        </w:rPr>
        <w:fldChar w:fldCharType="end"/>
      </w:r>
      <w:r w:rsidR="00E76FF1" w:rsidRPr="00B418F9">
        <w:rPr>
          <w:rStyle w:val="Heading4Char"/>
          <w:color w:val="auto"/>
        </w:rPr>
        <w:t xml:space="preserve">. </w:t>
      </w:r>
      <w:r w:rsidR="00702531" w:rsidRPr="00B418F9">
        <w:rPr>
          <w:rStyle w:val="Heading4Char"/>
          <w:color w:val="auto"/>
        </w:rPr>
        <w:t xml:space="preserve">Top </w:t>
      </w:r>
      <w:r w:rsidR="00443080" w:rsidRPr="00B418F9">
        <w:rPr>
          <w:rStyle w:val="Heading4Char"/>
          <w:color w:val="auto"/>
        </w:rPr>
        <w:t>Export Segments</w:t>
      </w:r>
      <w:r w:rsidR="006474B9" w:rsidRPr="00B418F9">
        <w:rPr>
          <w:rStyle w:val="Heading4Char"/>
          <w:color w:val="auto"/>
        </w:rPr>
        <w:t xml:space="preserve"> for </w:t>
      </w:r>
      <w:r w:rsidR="00443080" w:rsidRPr="00B418F9">
        <w:rPr>
          <w:rStyle w:val="Heading4Char"/>
          <w:color w:val="auto"/>
        </w:rPr>
        <w:t>Vehicles</w:t>
      </w:r>
    </w:p>
    <w:p w14:paraId="008551DC" w14:textId="59B70030" w:rsidR="00702531" w:rsidRPr="00B418F9" w:rsidRDefault="00702531" w:rsidP="00A11201">
      <w:pPr>
        <w:spacing w:after="0"/>
        <w:ind w:left="180" w:hanging="180"/>
        <w:sectPr w:rsidR="00702531" w:rsidRPr="00B418F9" w:rsidSect="004E701E">
          <w:footerReference w:type="default" r:id="rId15"/>
          <w:footnotePr>
            <w:numRestart w:val="eachSect"/>
          </w:footnotePr>
          <w:endnotePr>
            <w:numFmt w:val="decimal"/>
          </w:endnotePr>
          <w:type w:val="continuous"/>
          <w:pgSz w:w="12240" w:h="15840" w:code="1"/>
          <w:pgMar w:top="936" w:right="1152" w:bottom="936" w:left="1080" w:header="720" w:footer="720" w:gutter="0"/>
          <w:cols w:num="2" w:space="648"/>
          <w:titlePg/>
          <w:docGrid w:linePitch="299"/>
        </w:sectPr>
      </w:pPr>
      <w:r w:rsidRPr="00B418F9">
        <w:rPr>
          <w:noProof/>
        </w:rPr>
        <w:drawing>
          <wp:inline distT="0" distB="0" distL="0" distR="0" wp14:anchorId="5C8F24D3" wp14:editId="5388A009">
            <wp:extent cx="2971800" cy="1889895"/>
            <wp:effectExtent l="0" t="0" r="0" b="0"/>
            <wp:docPr id="4" name="Chart 4" descr="Top Export Segments for Vehicles 2022-Q3 &#10;Product Segment for HS 87 Vehicles&#10; Parts for Tractors, Public Transport Vehicles 39% &#10; For Passengers (incl. Snowmobiles, ATVs) 25%&#10; Special Purpose 10%&#10; 10+ Passenger 7%&#10; Trucks for Transporting Goods 6% &#10;Other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3F4A56" w14:textId="3D195905" w:rsidR="00E83A19" w:rsidRPr="00B418F9" w:rsidRDefault="004149B2" w:rsidP="005078AA">
      <w:pPr>
        <w:pStyle w:val="ListParagraph"/>
        <w:numPr>
          <w:ilvl w:val="0"/>
          <w:numId w:val="7"/>
        </w:numPr>
        <w:spacing w:after="0"/>
        <w:ind w:left="360"/>
      </w:pPr>
      <w:r w:rsidRPr="00B418F9">
        <w:t>As the primary market, Canada drove export growth of</w:t>
      </w:r>
      <w:r w:rsidRPr="00B418F9">
        <w:rPr>
          <w:b/>
        </w:rPr>
        <w:t xml:space="preserve"> m</w:t>
      </w:r>
      <w:r w:rsidR="004E701E" w:rsidRPr="00B418F9">
        <w:rPr>
          <w:b/>
        </w:rPr>
        <w:t xml:space="preserve">ineral fuel, oil </w:t>
      </w:r>
      <w:r w:rsidR="004E701E" w:rsidRPr="00B418F9">
        <w:rPr>
          <w:bCs/>
        </w:rPr>
        <w:t>(</w:t>
      </w:r>
      <w:r w:rsidR="00D7245E">
        <w:rPr>
          <w:bCs/>
        </w:rPr>
        <w:t xml:space="preserve">such as </w:t>
      </w:r>
      <w:r w:rsidR="00D7245E">
        <w:rPr>
          <w:b/>
        </w:rPr>
        <w:t>motor fuel</w:t>
      </w:r>
      <w:r w:rsidR="004E701E" w:rsidRPr="00B418F9">
        <w:rPr>
          <w:bCs/>
        </w:rPr>
        <w:t>)</w:t>
      </w:r>
      <w:r w:rsidR="008D2ACC" w:rsidRPr="00B418F9">
        <w:t>,</w:t>
      </w:r>
      <w:r w:rsidRPr="00B418F9">
        <w:t xml:space="preserve"> </w:t>
      </w:r>
      <w:r w:rsidR="00394F64" w:rsidRPr="00B418F9">
        <w:rPr>
          <w:b/>
          <w:bCs/>
        </w:rPr>
        <w:t xml:space="preserve">beverages </w:t>
      </w:r>
      <w:r w:rsidR="00394F64" w:rsidRPr="00B418F9">
        <w:t>(</w:t>
      </w:r>
      <w:r w:rsidRPr="00B418F9">
        <w:t>largely,</w:t>
      </w:r>
      <w:r w:rsidRPr="00B418F9">
        <w:rPr>
          <w:b/>
          <w:bCs/>
        </w:rPr>
        <w:t xml:space="preserve"> </w:t>
      </w:r>
      <w:r w:rsidR="00394F64" w:rsidRPr="00B418F9">
        <w:rPr>
          <w:b/>
          <w:bCs/>
        </w:rPr>
        <w:t>spirits</w:t>
      </w:r>
      <w:r w:rsidR="00394F64" w:rsidRPr="00B418F9">
        <w:t xml:space="preserve">) and </w:t>
      </w:r>
      <w:r w:rsidR="00394F64" w:rsidRPr="00B418F9">
        <w:rPr>
          <w:b/>
          <w:bCs/>
        </w:rPr>
        <w:t>fertilizers</w:t>
      </w:r>
      <w:r w:rsidR="00394F64" w:rsidRPr="00B418F9">
        <w:t>.</w:t>
      </w:r>
      <w:r w:rsidR="00394F64" w:rsidRPr="00B418F9">
        <w:rPr>
          <w:b/>
          <w:bCs/>
        </w:rPr>
        <w:t xml:space="preserve"> </w:t>
      </w:r>
      <w:r w:rsidR="008D2ACC" w:rsidRPr="00B418F9">
        <w:rPr>
          <w:b/>
          <w:bCs/>
        </w:rPr>
        <w:t xml:space="preserve">Mineral, fuel oil </w:t>
      </w:r>
      <w:r w:rsidR="008D2ACC" w:rsidRPr="00B418F9">
        <w:t xml:space="preserve">sales more than doubled to </w:t>
      </w:r>
      <w:r w:rsidR="008D2ACC" w:rsidRPr="00B418F9">
        <w:rPr>
          <w:b/>
        </w:rPr>
        <w:t>Canada</w:t>
      </w:r>
      <w:r w:rsidR="008D2ACC" w:rsidRPr="00B418F9">
        <w:t xml:space="preserve"> ($909 million, up 112%) and made inroads in</w:t>
      </w:r>
      <w:r w:rsidR="00E267A1" w:rsidRPr="00B418F9">
        <w:t xml:space="preserve"> emerging</w:t>
      </w:r>
      <w:r w:rsidR="000F477A" w:rsidRPr="00B418F9">
        <w:t xml:space="preserve"> markets</w:t>
      </w:r>
      <w:r w:rsidR="00A55CB8">
        <w:t xml:space="preserve">, </w:t>
      </w:r>
      <w:r w:rsidR="008D2ACC" w:rsidRPr="00B418F9">
        <w:t>such as</w:t>
      </w:r>
      <w:r w:rsidR="008D2ACC" w:rsidRPr="00B418F9">
        <w:rPr>
          <w:b/>
          <w:bCs/>
        </w:rPr>
        <w:t xml:space="preserve"> the Netherlands</w:t>
      </w:r>
      <w:r w:rsidR="008D2ACC" w:rsidRPr="00B418F9">
        <w:t>,</w:t>
      </w:r>
      <w:r w:rsidR="008D2ACC" w:rsidRPr="00B418F9">
        <w:rPr>
          <w:b/>
          <w:bCs/>
        </w:rPr>
        <w:t xml:space="preserve"> Lithuania </w:t>
      </w:r>
      <w:r w:rsidR="008D2ACC" w:rsidRPr="00B418F9">
        <w:t>and</w:t>
      </w:r>
      <w:r w:rsidR="008D2ACC" w:rsidRPr="00B418F9">
        <w:rPr>
          <w:b/>
          <w:bCs/>
        </w:rPr>
        <w:t xml:space="preserve"> Spain</w:t>
      </w:r>
      <w:r w:rsidR="008D2ACC" w:rsidRPr="00B418F9">
        <w:t xml:space="preserve">. </w:t>
      </w:r>
    </w:p>
    <w:p w14:paraId="4F029B20" w14:textId="074D89B9" w:rsidR="004E5F71" w:rsidRPr="00B418F9" w:rsidRDefault="0030080C" w:rsidP="003B0265">
      <w:pPr>
        <w:pStyle w:val="ListParagraph"/>
        <w:numPr>
          <w:ilvl w:val="0"/>
          <w:numId w:val="7"/>
        </w:numPr>
        <w:spacing w:after="0"/>
        <w:ind w:left="360" w:right="-72"/>
      </w:pPr>
      <w:r w:rsidRPr="00B418F9">
        <w:t xml:space="preserve">Sales in </w:t>
      </w:r>
      <w:r w:rsidRPr="00B418F9">
        <w:rPr>
          <w:b/>
          <w:bCs/>
        </w:rPr>
        <w:t>c</w:t>
      </w:r>
      <w:r w:rsidR="004E5F71" w:rsidRPr="00B418F9">
        <w:rPr>
          <w:b/>
          <w:bCs/>
        </w:rPr>
        <w:t xml:space="preserve">ereals </w:t>
      </w:r>
      <w:r w:rsidR="004E5F71" w:rsidRPr="00B418F9">
        <w:t>were driven by</w:t>
      </w:r>
      <w:r w:rsidRPr="00B418F9">
        <w:t xml:space="preserve"> </w:t>
      </w:r>
      <w:r w:rsidRPr="00B418F9">
        <w:rPr>
          <w:b/>
          <w:bCs/>
        </w:rPr>
        <w:t>corn (maize)</w:t>
      </w:r>
      <w:r w:rsidR="004E5F71" w:rsidRPr="00B418F9">
        <w:t xml:space="preserve"> </w:t>
      </w:r>
      <w:r w:rsidRPr="00B418F9">
        <w:t xml:space="preserve">to </w:t>
      </w:r>
      <w:r w:rsidR="004E5F71" w:rsidRPr="00B418F9">
        <w:rPr>
          <w:b/>
          <w:bCs/>
        </w:rPr>
        <w:t>Canada</w:t>
      </w:r>
      <w:r w:rsidR="004149B2" w:rsidRPr="00B418F9">
        <w:t xml:space="preserve">, </w:t>
      </w:r>
      <w:r w:rsidR="004E5F71" w:rsidRPr="00B418F9">
        <w:t xml:space="preserve">and </w:t>
      </w:r>
      <w:r w:rsidRPr="00B418F9">
        <w:rPr>
          <w:b/>
          <w:bCs/>
        </w:rPr>
        <w:t>wheat</w:t>
      </w:r>
      <w:r w:rsidRPr="00B418F9">
        <w:t xml:space="preserve"> to </w:t>
      </w:r>
      <w:r w:rsidR="004E5F71" w:rsidRPr="00B418F9">
        <w:rPr>
          <w:b/>
          <w:bCs/>
        </w:rPr>
        <w:t>Indonesia</w:t>
      </w:r>
      <w:r w:rsidRPr="00B418F9">
        <w:t>,</w:t>
      </w:r>
      <w:r w:rsidRPr="00B418F9">
        <w:rPr>
          <w:b/>
          <w:bCs/>
        </w:rPr>
        <w:t xml:space="preserve"> Italy</w:t>
      </w:r>
      <w:r w:rsidRPr="00B418F9">
        <w:t xml:space="preserve"> and </w:t>
      </w:r>
      <w:r w:rsidRPr="00B418F9">
        <w:rPr>
          <w:b/>
          <w:bCs/>
        </w:rPr>
        <w:t>Yemen</w:t>
      </w:r>
      <w:r w:rsidRPr="00B418F9">
        <w:t>.</w:t>
      </w:r>
    </w:p>
    <w:p w14:paraId="66CC4855" w14:textId="3C90B7A1" w:rsidR="001448C3" w:rsidRPr="00B418F9" w:rsidRDefault="00145F43" w:rsidP="003B0265">
      <w:pPr>
        <w:pStyle w:val="ListParagraph"/>
        <w:numPr>
          <w:ilvl w:val="0"/>
          <w:numId w:val="7"/>
        </w:numPr>
        <w:spacing w:after="0"/>
        <w:ind w:left="360" w:right="-72"/>
      </w:pPr>
      <w:r w:rsidRPr="00B418F9">
        <w:rPr>
          <w:b/>
          <w:bCs/>
        </w:rPr>
        <w:t>E</w:t>
      </w:r>
      <w:r w:rsidR="001448C3" w:rsidRPr="00B418F9">
        <w:rPr>
          <w:b/>
          <w:bCs/>
        </w:rPr>
        <w:t xml:space="preserve">lectrical equipment </w:t>
      </w:r>
      <w:r w:rsidR="00043906" w:rsidRPr="00B418F9">
        <w:t xml:space="preserve">exports </w:t>
      </w:r>
      <w:r w:rsidR="001448C3" w:rsidRPr="00B418F9">
        <w:t xml:space="preserve">surged </w:t>
      </w:r>
      <w:r w:rsidR="00BB2BA6" w:rsidRPr="00B418F9">
        <w:t>to markets such as</w:t>
      </w:r>
      <w:r w:rsidR="001448C3" w:rsidRPr="00B418F9">
        <w:t xml:space="preserve"> </w:t>
      </w:r>
      <w:r w:rsidR="001448C3" w:rsidRPr="00B418F9">
        <w:rPr>
          <w:b/>
          <w:bCs/>
        </w:rPr>
        <w:t>C</w:t>
      </w:r>
      <w:r w:rsidR="00BB2BA6" w:rsidRPr="00B418F9">
        <w:rPr>
          <w:b/>
          <w:bCs/>
        </w:rPr>
        <w:t>anada</w:t>
      </w:r>
      <w:r w:rsidRPr="00B418F9">
        <w:t>,</w:t>
      </w:r>
      <w:r w:rsidR="001448C3" w:rsidRPr="00B418F9">
        <w:t xml:space="preserve"> </w:t>
      </w:r>
      <w:r w:rsidR="00BB2BA6" w:rsidRPr="00B418F9">
        <w:rPr>
          <w:b/>
          <w:bCs/>
        </w:rPr>
        <w:t>Germany</w:t>
      </w:r>
      <w:r w:rsidR="001448C3" w:rsidRPr="00B418F9">
        <w:t xml:space="preserve">, </w:t>
      </w:r>
      <w:r w:rsidR="00BB2BA6" w:rsidRPr="00B418F9">
        <w:rPr>
          <w:b/>
          <w:bCs/>
        </w:rPr>
        <w:t>Mexico</w:t>
      </w:r>
      <w:r w:rsidR="001448C3" w:rsidRPr="00B418F9">
        <w:rPr>
          <w:b/>
          <w:bCs/>
        </w:rPr>
        <w:t xml:space="preserve"> </w:t>
      </w:r>
      <w:r w:rsidR="001448C3" w:rsidRPr="00B418F9">
        <w:t xml:space="preserve">and </w:t>
      </w:r>
      <w:r w:rsidR="00BB2BA6" w:rsidRPr="00B418F9">
        <w:rPr>
          <w:b/>
          <w:bCs/>
        </w:rPr>
        <w:t>Malaysia</w:t>
      </w:r>
      <w:r w:rsidR="00E267A1" w:rsidRPr="000625FE">
        <w:t>;</w:t>
      </w:r>
      <w:r w:rsidR="001448C3" w:rsidRPr="00B418F9">
        <w:rPr>
          <w:b/>
          <w:bCs/>
        </w:rPr>
        <w:t xml:space="preserve"> </w:t>
      </w:r>
      <w:r w:rsidR="00BB2BA6" w:rsidRPr="00B418F9">
        <w:t>and for products such as</w:t>
      </w:r>
      <w:r w:rsidR="00BB2BA6" w:rsidRPr="00B418F9">
        <w:rPr>
          <w:b/>
          <w:bCs/>
        </w:rPr>
        <w:t xml:space="preserve"> electric generators, </w:t>
      </w:r>
      <w:r w:rsidR="00864F13" w:rsidRPr="00B418F9">
        <w:rPr>
          <w:b/>
        </w:rPr>
        <w:t>i</w:t>
      </w:r>
      <w:r w:rsidRPr="00B418F9">
        <w:rPr>
          <w:b/>
        </w:rPr>
        <w:t>ntegrated circuits</w:t>
      </w:r>
      <w:r w:rsidR="00864F13" w:rsidRPr="00B418F9">
        <w:rPr>
          <w:b/>
        </w:rPr>
        <w:t xml:space="preserve">, </w:t>
      </w:r>
      <w:r w:rsidR="00BB2BA6" w:rsidRPr="00B418F9">
        <w:rPr>
          <w:bCs/>
        </w:rPr>
        <w:t>and</w:t>
      </w:r>
      <w:r w:rsidR="00BB2BA6" w:rsidRPr="00B418F9">
        <w:rPr>
          <w:b/>
        </w:rPr>
        <w:t xml:space="preserve"> </w:t>
      </w:r>
      <w:r w:rsidRPr="00B418F9">
        <w:rPr>
          <w:b/>
        </w:rPr>
        <w:t>diode</w:t>
      </w:r>
      <w:r w:rsidR="00BB2BA6" w:rsidRPr="00B418F9">
        <w:rPr>
          <w:b/>
        </w:rPr>
        <w:t>s/transistors</w:t>
      </w:r>
      <w:r w:rsidR="00864F13" w:rsidRPr="00B418F9">
        <w:rPr>
          <w:b/>
        </w:rPr>
        <w:t>.</w:t>
      </w:r>
    </w:p>
    <w:p w14:paraId="269FED82" w14:textId="3B17AE00" w:rsidR="00F75171" w:rsidRPr="00B418F9" w:rsidRDefault="00BC4F7B" w:rsidP="00F75171">
      <w:pPr>
        <w:pStyle w:val="ListParagraph"/>
        <w:numPr>
          <w:ilvl w:val="0"/>
          <w:numId w:val="7"/>
        </w:numPr>
        <w:spacing w:after="0"/>
        <w:ind w:left="360" w:right="-396"/>
        <w:rPr>
          <w:bCs/>
        </w:rPr>
      </w:pPr>
      <w:r w:rsidRPr="00B418F9">
        <w:rPr>
          <w:b/>
        </w:rPr>
        <w:t xml:space="preserve">Mexico </w:t>
      </w:r>
      <w:r w:rsidRPr="00B418F9">
        <w:rPr>
          <w:bCs/>
        </w:rPr>
        <w:t xml:space="preserve">(up 95%) and </w:t>
      </w:r>
      <w:r w:rsidRPr="00B418F9">
        <w:rPr>
          <w:b/>
        </w:rPr>
        <w:t xml:space="preserve">Canada </w:t>
      </w:r>
      <w:r w:rsidRPr="00B418F9">
        <w:rPr>
          <w:bCs/>
        </w:rPr>
        <w:t xml:space="preserve">(up 38%) </w:t>
      </w:r>
      <w:r w:rsidR="00F75171" w:rsidRPr="00B418F9">
        <w:rPr>
          <w:bCs/>
        </w:rPr>
        <w:t xml:space="preserve">drove </w:t>
      </w:r>
      <w:r w:rsidRPr="00B418F9">
        <w:rPr>
          <w:bCs/>
        </w:rPr>
        <w:t xml:space="preserve">growth in </w:t>
      </w:r>
      <w:r w:rsidRPr="00B418F9">
        <w:rPr>
          <w:b/>
        </w:rPr>
        <w:t xml:space="preserve">vehicles </w:t>
      </w:r>
      <w:r w:rsidRPr="00B418F9">
        <w:rPr>
          <w:bCs/>
        </w:rPr>
        <w:t>exports and accounted for 82% of these sales.</w:t>
      </w:r>
    </w:p>
    <w:p w14:paraId="61A23A8D" w14:textId="7B6122A7" w:rsidR="00864F13" w:rsidRPr="00B418F9" w:rsidRDefault="007D4D82" w:rsidP="007D4D82">
      <w:pPr>
        <w:pStyle w:val="ListParagraph"/>
        <w:numPr>
          <w:ilvl w:val="0"/>
          <w:numId w:val="7"/>
        </w:numPr>
        <w:spacing w:after="0"/>
        <w:ind w:left="360" w:right="-396"/>
        <w:rPr>
          <w:bCs/>
        </w:rPr>
      </w:pPr>
      <w:r w:rsidRPr="00B418F9">
        <w:rPr>
          <w:bCs/>
        </w:rPr>
        <w:t>Export growth</w:t>
      </w:r>
      <w:r w:rsidR="00BB2BA6" w:rsidRPr="00B418F9">
        <w:rPr>
          <w:bCs/>
        </w:rPr>
        <w:t xml:space="preserve"> </w:t>
      </w:r>
      <w:r w:rsidRPr="00B418F9">
        <w:rPr>
          <w:bCs/>
        </w:rPr>
        <w:t>of</w:t>
      </w:r>
      <w:r w:rsidR="00BB2BA6" w:rsidRPr="00B418F9">
        <w:rPr>
          <w:b/>
        </w:rPr>
        <w:t xml:space="preserve"> m</w:t>
      </w:r>
      <w:r w:rsidR="00864F13" w:rsidRPr="00B418F9">
        <w:rPr>
          <w:b/>
        </w:rPr>
        <w:t>isc. chemicals</w:t>
      </w:r>
      <w:r w:rsidRPr="00B418F9">
        <w:rPr>
          <w:b/>
        </w:rPr>
        <w:t xml:space="preserve"> </w:t>
      </w:r>
      <w:r w:rsidRPr="00B418F9">
        <w:rPr>
          <w:bCs/>
        </w:rPr>
        <w:t>– particularly</w:t>
      </w:r>
      <w:r w:rsidRPr="00B418F9">
        <w:rPr>
          <w:b/>
        </w:rPr>
        <w:t xml:space="preserve"> diagnostic/lab reagents</w:t>
      </w:r>
      <w:r w:rsidRPr="00B418F9">
        <w:rPr>
          <w:bCs/>
        </w:rPr>
        <w:t xml:space="preserve"> – was driven by </w:t>
      </w:r>
      <w:r w:rsidRPr="00B418F9">
        <w:rPr>
          <w:b/>
        </w:rPr>
        <w:t xml:space="preserve">China </w:t>
      </w:r>
      <w:r w:rsidRPr="00B418F9">
        <w:rPr>
          <w:bCs/>
        </w:rPr>
        <w:t>(up 737%).</w:t>
      </w:r>
    </w:p>
    <w:p w14:paraId="3ECADC38" w14:textId="62845B0A" w:rsidR="004E5F71" w:rsidRPr="00B418F9" w:rsidRDefault="007D4D82" w:rsidP="004E5F71">
      <w:pPr>
        <w:pStyle w:val="ListParagraph"/>
        <w:numPr>
          <w:ilvl w:val="0"/>
          <w:numId w:val="7"/>
        </w:numPr>
        <w:spacing w:after="0"/>
        <w:ind w:left="360" w:right="-396"/>
      </w:pPr>
      <w:r w:rsidRPr="00B418F9">
        <w:rPr>
          <w:bCs/>
        </w:rPr>
        <w:t xml:space="preserve">Among </w:t>
      </w:r>
      <w:r w:rsidRPr="00B418F9">
        <w:rPr>
          <w:b/>
        </w:rPr>
        <w:t>optic, medical</w:t>
      </w:r>
      <w:r w:rsidRPr="00B418F9">
        <w:rPr>
          <w:bCs/>
        </w:rPr>
        <w:t xml:space="preserve"> </w:t>
      </w:r>
      <w:r w:rsidR="00A63E70" w:rsidRPr="00B418F9">
        <w:rPr>
          <w:bCs/>
        </w:rPr>
        <w:t>product</w:t>
      </w:r>
      <w:r w:rsidRPr="00B418F9">
        <w:rPr>
          <w:bCs/>
        </w:rPr>
        <w:t xml:space="preserve">s, strong </w:t>
      </w:r>
      <w:r w:rsidR="00A63E70" w:rsidRPr="00B418F9">
        <w:rPr>
          <w:bCs/>
        </w:rPr>
        <w:t>strides</w:t>
      </w:r>
      <w:r w:rsidRPr="00B418F9">
        <w:rPr>
          <w:bCs/>
        </w:rPr>
        <w:t xml:space="preserve"> in </w:t>
      </w:r>
      <w:r w:rsidRPr="00B418F9">
        <w:rPr>
          <w:b/>
        </w:rPr>
        <w:t xml:space="preserve">orthopedic, artificial body parts </w:t>
      </w:r>
      <w:r w:rsidRPr="00B418F9">
        <w:rPr>
          <w:bCs/>
        </w:rPr>
        <w:t xml:space="preserve">(up 53%) and </w:t>
      </w:r>
      <w:r w:rsidRPr="00B418F9">
        <w:rPr>
          <w:b/>
        </w:rPr>
        <w:t xml:space="preserve">measuring instruments </w:t>
      </w:r>
      <w:r w:rsidRPr="00B418F9">
        <w:rPr>
          <w:bCs/>
        </w:rPr>
        <w:t xml:space="preserve">(up </w:t>
      </w:r>
      <w:r w:rsidR="00A63E70" w:rsidRPr="00B418F9">
        <w:rPr>
          <w:bCs/>
        </w:rPr>
        <w:t>16</w:t>
      </w:r>
      <w:r w:rsidRPr="00B418F9">
        <w:rPr>
          <w:bCs/>
        </w:rPr>
        <w:t xml:space="preserve">%) </w:t>
      </w:r>
      <w:r w:rsidR="008D2ACC" w:rsidRPr="00B418F9">
        <w:rPr>
          <w:bCs/>
        </w:rPr>
        <w:t xml:space="preserve">helped </w:t>
      </w:r>
      <w:r w:rsidR="00C20FE7" w:rsidRPr="00B418F9">
        <w:rPr>
          <w:bCs/>
        </w:rPr>
        <w:t>mitigate</w:t>
      </w:r>
      <w:r w:rsidR="00A63E70" w:rsidRPr="00B418F9">
        <w:rPr>
          <w:bCs/>
        </w:rPr>
        <w:t xml:space="preserve"> sharp declines in </w:t>
      </w:r>
      <w:r w:rsidR="00A63E70" w:rsidRPr="00B418F9">
        <w:rPr>
          <w:b/>
        </w:rPr>
        <w:t>medical, surgical instruments</w:t>
      </w:r>
      <w:r w:rsidR="00A63E70" w:rsidRPr="00B418F9">
        <w:rPr>
          <w:bCs/>
        </w:rPr>
        <w:t xml:space="preserve"> and </w:t>
      </w:r>
      <w:r w:rsidR="00A63E70" w:rsidRPr="00B418F9">
        <w:rPr>
          <w:b/>
        </w:rPr>
        <w:t>optical fibers</w:t>
      </w:r>
      <w:r w:rsidRPr="00B418F9">
        <w:rPr>
          <w:bCs/>
        </w:rPr>
        <w:t>.</w:t>
      </w:r>
    </w:p>
    <w:p w14:paraId="7B4732A6" w14:textId="16F40834" w:rsidR="004E5F71" w:rsidRPr="00B418F9" w:rsidRDefault="00F75171" w:rsidP="004E5F71">
      <w:pPr>
        <w:pStyle w:val="ListParagraph"/>
        <w:numPr>
          <w:ilvl w:val="0"/>
          <w:numId w:val="7"/>
        </w:numPr>
        <w:spacing w:after="0"/>
        <w:ind w:left="360" w:right="-72"/>
      </w:pPr>
      <w:r w:rsidRPr="00B418F9">
        <w:t>G</w:t>
      </w:r>
      <w:r w:rsidR="00A63E70" w:rsidRPr="00B418F9">
        <w:t>row</w:t>
      </w:r>
      <w:r w:rsidR="00BC4F7B" w:rsidRPr="00B418F9">
        <w:t xml:space="preserve">th in </w:t>
      </w:r>
      <w:r w:rsidR="00394F64" w:rsidRPr="00B418F9">
        <w:rPr>
          <w:b/>
          <w:bCs/>
        </w:rPr>
        <w:t xml:space="preserve">machinery </w:t>
      </w:r>
      <w:r w:rsidR="008D2ACC" w:rsidRPr="00B418F9">
        <w:t>segments such as</w:t>
      </w:r>
      <w:r w:rsidR="00A63E70" w:rsidRPr="00B418F9">
        <w:t xml:space="preserve"> </w:t>
      </w:r>
      <w:r w:rsidR="00A63E70" w:rsidRPr="00B418F9">
        <w:rPr>
          <w:b/>
          <w:bCs/>
        </w:rPr>
        <w:t>additive manufacturing</w:t>
      </w:r>
      <w:r w:rsidR="008D2ACC" w:rsidRPr="00B418F9">
        <w:rPr>
          <w:b/>
          <w:bCs/>
        </w:rPr>
        <w:t xml:space="preserve"> equipment</w:t>
      </w:r>
      <w:r w:rsidR="00A63E70" w:rsidRPr="00B418F9">
        <w:t xml:space="preserve"> ($13 million, up from none), </w:t>
      </w:r>
      <w:r w:rsidR="00A63E70" w:rsidRPr="00B418F9">
        <w:rPr>
          <w:b/>
          <w:bCs/>
        </w:rPr>
        <w:t>engine parts</w:t>
      </w:r>
      <w:r w:rsidR="00A63E70" w:rsidRPr="00B418F9">
        <w:t xml:space="preserve"> (up 111%), </w:t>
      </w:r>
      <w:r w:rsidR="00A63E70" w:rsidRPr="00B418F9">
        <w:rPr>
          <w:b/>
          <w:bCs/>
        </w:rPr>
        <w:t>lifting equipment</w:t>
      </w:r>
      <w:r w:rsidR="00176A80" w:rsidRPr="00B418F9">
        <w:rPr>
          <w:b/>
          <w:bCs/>
        </w:rPr>
        <w:t xml:space="preserve"> parts</w:t>
      </w:r>
      <w:r w:rsidR="00A63E70" w:rsidRPr="00B418F9">
        <w:t xml:space="preserve"> (up 40%) and </w:t>
      </w:r>
      <w:r w:rsidR="00A63E70" w:rsidRPr="00B418F9">
        <w:rPr>
          <w:b/>
          <w:bCs/>
        </w:rPr>
        <w:t>cleaning</w:t>
      </w:r>
      <w:r w:rsidR="00176A80" w:rsidRPr="00B418F9">
        <w:rPr>
          <w:b/>
          <w:bCs/>
        </w:rPr>
        <w:t>/</w:t>
      </w:r>
      <w:r w:rsidR="00B418F9" w:rsidRPr="00B418F9">
        <w:rPr>
          <w:b/>
          <w:bCs/>
        </w:rPr>
        <w:t>fill</w:t>
      </w:r>
      <w:r w:rsidR="00A63E70" w:rsidRPr="00B418F9">
        <w:rPr>
          <w:b/>
          <w:bCs/>
        </w:rPr>
        <w:t>ing equipment</w:t>
      </w:r>
      <w:r w:rsidR="00A63E70" w:rsidRPr="00B418F9">
        <w:t xml:space="preserve"> (up 46%)</w:t>
      </w:r>
      <w:r w:rsidR="008D2ACC" w:rsidRPr="00B418F9">
        <w:t xml:space="preserve"> were outmatched</w:t>
      </w:r>
      <w:r w:rsidR="00394F64" w:rsidRPr="00B418F9">
        <w:t xml:space="preserve"> by </w:t>
      </w:r>
      <w:r w:rsidR="008D2ACC" w:rsidRPr="00B418F9">
        <w:t xml:space="preserve">the plunge in </w:t>
      </w:r>
      <w:r w:rsidR="008D2ACC" w:rsidRPr="00B418F9">
        <w:rPr>
          <w:b/>
          <w:bCs/>
        </w:rPr>
        <w:t xml:space="preserve">machinery for making </w:t>
      </w:r>
      <w:r w:rsidR="00394F64" w:rsidRPr="00B418F9">
        <w:rPr>
          <w:b/>
        </w:rPr>
        <w:t>semiconductor</w:t>
      </w:r>
      <w:r w:rsidR="008D2ACC" w:rsidRPr="00B418F9">
        <w:rPr>
          <w:b/>
        </w:rPr>
        <w:t xml:space="preserve">s </w:t>
      </w:r>
      <w:r w:rsidR="00394F64" w:rsidRPr="00B418F9">
        <w:t>(</w:t>
      </w:r>
      <w:r w:rsidRPr="00B418F9">
        <w:t>down</w:t>
      </w:r>
      <w:r w:rsidR="00394F64" w:rsidRPr="00B418F9">
        <w:t xml:space="preserve"> $11</w:t>
      </w:r>
      <w:r w:rsidRPr="00B418F9">
        <w:t>6</w:t>
      </w:r>
      <w:r w:rsidR="00394F64" w:rsidRPr="00B418F9">
        <w:t xml:space="preserve"> million) </w:t>
      </w:r>
      <w:r w:rsidRPr="00B418F9">
        <w:t>to</w:t>
      </w:r>
      <w:r w:rsidR="00394F64" w:rsidRPr="00B418F9">
        <w:t xml:space="preserve"> </w:t>
      </w:r>
      <w:r w:rsidR="00394F64" w:rsidRPr="00B418F9">
        <w:rPr>
          <w:b/>
          <w:bCs/>
        </w:rPr>
        <w:t>the Philippines.</w:t>
      </w:r>
    </w:p>
    <w:p w14:paraId="2531CFFE" w14:textId="2B443CAA" w:rsidR="007F1C4A" w:rsidRPr="00B418F9" w:rsidRDefault="007F1C4A" w:rsidP="00FA62BD">
      <w:pPr>
        <w:pStyle w:val="Heading4"/>
        <w:spacing w:before="120"/>
        <w:rPr>
          <w:color w:val="auto"/>
        </w:rPr>
      </w:pPr>
      <w:r w:rsidRPr="00B418F9">
        <w:rPr>
          <w:color w:val="auto"/>
        </w:rPr>
        <w:t>Fi</w:t>
      </w:r>
      <w:r w:rsidR="00A44451" w:rsidRPr="00B418F9">
        <w:rPr>
          <w:color w:val="auto"/>
        </w:rPr>
        <w:t>gure 4. Export Trends for</w:t>
      </w:r>
      <w:r w:rsidRPr="00B418F9">
        <w:rPr>
          <w:color w:val="auto"/>
        </w:rPr>
        <w:t xml:space="preserve"> Minnesota’s Top 10 Products, </w:t>
      </w:r>
      <w:r w:rsidR="0046703D" w:rsidRPr="00B418F9">
        <w:rPr>
          <w:color w:val="auto"/>
        </w:rPr>
        <w:t>Third</w:t>
      </w:r>
      <w:r w:rsidR="00A52415" w:rsidRPr="00B418F9">
        <w:rPr>
          <w:color w:val="auto"/>
        </w:rPr>
        <w:t xml:space="preserve"> Quarter </w:t>
      </w:r>
      <w:r w:rsidR="004205AD" w:rsidRPr="00B418F9">
        <w:rPr>
          <w:color w:val="auto"/>
        </w:rPr>
        <w:t>2022</w:t>
      </w:r>
    </w:p>
    <w:p w14:paraId="73CDCF23" w14:textId="270737BB" w:rsidR="004A4223" w:rsidRPr="00B418F9" w:rsidRDefault="00FA62BD" w:rsidP="00FA62BD">
      <w:pPr>
        <w:spacing w:after="120"/>
      </w:pPr>
      <w:r w:rsidRPr="00B418F9">
        <w:rPr>
          <w:noProof/>
        </w:rPr>
        <w:drawing>
          <wp:inline distT="0" distB="0" distL="0" distR="0" wp14:anchorId="367DDEFC" wp14:editId="0041B6FD">
            <wp:extent cx="6355080" cy="2075479"/>
            <wp:effectExtent l="0" t="0" r="7620" b="1270"/>
            <wp:docPr id="6" name="Picture 6" descr="MN Exports to top 10 products, 2022-Q3&#10;PRODUCT  Exports (millions)  Percent Change, 2021-Q3 to 2022-Q3&#10;TOTAL  $7,327  28%&#10;Mineral Fuel, Oil  $1,269  188%&#10;Electrical Equipment  $999  32%&#10;Optic, Medical  $978  7%&#10;Machinery  $945  -3%&#10;Vehicles  $379  44%&#10;Plastics  $297  4%&#10;Cereals  $228  315%&#10;Ores, Slag, Ash  $188  22%&#10;Food By-Products  $180  7%&#10;Meat  $145  7%&#10;Other  $1,718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N Exports to top 10 products, 2022-Q3&#10;PRODUCT  Exports (millions)  Percent Change, 2021-Q3 to 2022-Q3&#10;TOTAL  $7,327  28%&#10;Mineral Fuel, Oil  $1,269  188%&#10;Electrical Equipment  $999  32%&#10;Optic, Medical  $978  7%&#10;Machinery  $945  -3%&#10;Vehicles  $379  44%&#10;Plastics  $297  4%&#10;Cereals  $228  315%&#10;Ores, Slag, Ash  $188  22%&#10;Food By-Products  $180  7%&#10;Meat  $145  7%&#10;Other  $1,718  9%&#10;"/>
                    <pic:cNvPicPr>
                      <a:picLocks noChangeAspect="1" noChangeArrowheads="1"/>
                    </pic:cNvPicPr>
                  </pic:nvPicPr>
                  <pic:blipFill rotWithShape="1">
                    <a:blip r:embed="rId17">
                      <a:extLst>
                        <a:ext uri="{28A0092B-C50C-407E-A947-70E740481C1C}">
                          <a14:useLocalDpi xmlns:a14="http://schemas.microsoft.com/office/drawing/2010/main" val="0"/>
                        </a:ext>
                      </a:extLst>
                    </a:blip>
                    <a:srcRect t="6961"/>
                    <a:stretch/>
                  </pic:blipFill>
                  <pic:spPr bwMode="auto">
                    <a:xfrm>
                      <a:off x="0" y="0"/>
                      <a:ext cx="6355080" cy="2075479"/>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Y="13437"/>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w:tblPr>
      <w:tblGrid>
        <w:gridCol w:w="10255"/>
      </w:tblGrid>
      <w:tr w:rsidR="00B418F9" w:rsidRPr="00B418F9" w14:paraId="7688E05E" w14:textId="77777777" w:rsidTr="00FA62BD">
        <w:trPr>
          <w:trHeight w:val="1070"/>
        </w:trPr>
        <w:tc>
          <w:tcPr>
            <w:tcW w:w="10255" w:type="dxa"/>
            <w:shd w:val="clear" w:color="auto" w:fill="C9E5A6"/>
          </w:tcPr>
          <w:p w14:paraId="39907943" w14:textId="435945A3" w:rsidR="00D80EB6" w:rsidRPr="00B418F9" w:rsidRDefault="00277712" w:rsidP="00FA62BD">
            <w:pPr>
              <w:spacing w:after="0"/>
            </w:pPr>
            <w:r w:rsidRPr="00B418F9">
              <w:rPr>
                <w:rStyle w:val="Emphasis"/>
                <w:rFonts w:cstheme="minorHAnsi"/>
                <w:sz w:val="18"/>
              </w:rPr>
              <w:t>Minnesota Quarterly Export Statistics</w:t>
            </w:r>
            <w:r w:rsidRPr="00B418F9">
              <w:rPr>
                <w:rFonts w:ascii="Calibri" w:hAnsi="Calibri"/>
                <w:sz w:val="14"/>
              </w:rPr>
              <w:t xml:space="preserve"> </w:t>
            </w:r>
            <w:r w:rsidRPr="00B418F9">
              <w:rPr>
                <w:rFonts w:ascii="Calibri" w:hAnsi="Calibri"/>
                <w:sz w:val="18"/>
              </w:rPr>
              <w:t xml:space="preserve">is the most current resource available for tracking the state’s export trends in manufactured and other good. The report is prepared for the Minnesota Trade Office (MTO) by the Department of Employment and Economic Development’s (DEED) Economic Analysis Unit (Thu-Mai Ho-Kim).  </w:t>
            </w:r>
            <w:r w:rsidRPr="00B418F9">
              <w:rPr>
                <w:rFonts w:ascii="Calibri" w:hAnsi="Calibri" w:cs="Calibri"/>
                <w:sz w:val="18"/>
                <w:szCs w:val="18"/>
              </w:rPr>
              <w:t xml:space="preserve">The quarterly and annual statistics reports primarily cover export data based on the Harmonized Tariff System (Schedule B), collected by the U.S. Department of Commerce (USDOC) and </w:t>
            </w:r>
            <w:r w:rsidR="00AF01A8" w:rsidRPr="00B418F9">
              <w:rPr>
                <w:rFonts w:ascii="Calibri" w:hAnsi="Calibri" w:cs="Calibri"/>
                <w:sz w:val="18"/>
                <w:szCs w:val="18"/>
              </w:rPr>
              <w:t>access</w:t>
            </w:r>
            <w:r w:rsidRPr="00B418F9">
              <w:rPr>
                <w:rFonts w:ascii="Calibri" w:hAnsi="Calibri" w:cs="Calibri"/>
                <w:sz w:val="18"/>
                <w:szCs w:val="18"/>
              </w:rPr>
              <w:t xml:space="preserve">ed </w:t>
            </w:r>
            <w:r w:rsidR="00AF01A8" w:rsidRPr="00B418F9">
              <w:rPr>
                <w:rFonts w:ascii="Calibri" w:hAnsi="Calibri" w:cs="Calibri"/>
                <w:sz w:val="18"/>
                <w:szCs w:val="18"/>
              </w:rPr>
              <w:t>through</w:t>
            </w:r>
            <w:r w:rsidRPr="00B418F9">
              <w:rPr>
                <w:rFonts w:ascii="Calibri" w:hAnsi="Calibri" w:cs="Calibri"/>
                <w:sz w:val="18"/>
                <w:szCs w:val="18"/>
              </w:rPr>
              <w:t xml:space="preserve"> </w:t>
            </w:r>
            <w:r w:rsidR="00AF01A8" w:rsidRPr="00B418F9">
              <w:rPr>
                <w:rFonts w:ascii="Calibri" w:hAnsi="Calibri" w:cs="Calibri"/>
                <w:sz w:val="18"/>
                <w:szCs w:val="18"/>
              </w:rPr>
              <w:t>Trade Data Monitor</w:t>
            </w:r>
            <w:r w:rsidRPr="00B418F9">
              <w:rPr>
                <w:rFonts w:ascii="Calibri" w:hAnsi="Calibri" w:cs="Calibri"/>
                <w:sz w:val="18"/>
                <w:szCs w:val="18"/>
              </w:rPr>
              <w:t>. Reports are available on DEED’s website at “Export and Trade Statistics” (</w:t>
            </w:r>
            <w:hyperlink r:id="rId18" w:history="1">
              <w:r w:rsidRPr="00B418F9">
                <w:rPr>
                  <w:rStyle w:val="Hyperlink"/>
                  <w:color w:val="auto"/>
                  <w:sz w:val="18"/>
                  <w:szCs w:val="18"/>
                </w:rPr>
                <w:t>http://mn.gov/deed/data/export-stats/</w:t>
              </w:r>
            </w:hyperlink>
            <w:r w:rsidRPr="00B418F9">
              <w:rPr>
                <w:sz w:val="18"/>
                <w:szCs w:val="18"/>
              </w:rPr>
              <w:t>)</w:t>
            </w:r>
            <w:r w:rsidRPr="00B418F9">
              <w:rPr>
                <w:rFonts w:ascii="Calibri" w:hAnsi="Calibri" w:cs="Calibri"/>
                <w:sz w:val="18"/>
                <w:szCs w:val="18"/>
              </w:rPr>
              <w:t>.</w:t>
            </w:r>
          </w:p>
        </w:tc>
      </w:tr>
    </w:tbl>
    <w:p w14:paraId="7C147EF7" w14:textId="77777777" w:rsidR="007F1C4A" w:rsidRPr="00B418F9" w:rsidRDefault="007F1C4A" w:rsidP="00831997">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7F1C4A" w:rsidRPr="00B418F9" w:rsidSect="00176A80">
      <w:footerReference w:type="default" r:id="rId19"/>
      <w:footnotePr>
        <w:numRestart w:val="eachSect"/>
      </w:footnotePr>
      <w:endnotePr>
        <w:numFmt w:val="decimal"/>
      </w:endnotePr>
      <w:type w:val="continuous"/>
      <w:pgSz w:w="12240" w:h="15840" w:code="1"/>
      <w:pgMar w:top="936" w:right="1080" w:bottom="936"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647D" w14:textId="77777777" w:rsidR="00523263" w:rsidRDefault="00523263">
      <w:r>
        <w:separator/>
      </w:r>
    </w:p>
  </w:endnote>
  <w:endnote w:type="continuationSeparator" w:id="0">
    <w:p w14:paraId="3A38E07A" w14:textId="77777777" w:rsidR="00523263" w:rsidRDefault="0052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7155" w14:textId="77777777" w:rsidR="00E76FF1" w:rsidRPr="00A14E15" w:rsidRDefault="00E76FF1" w:rsidP="00A1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50" w14:textId="77777777"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1052" w14:textId="77777777" w:rsidR="00523263" w:rsidRDefault="00523263">
      <w:r>
        <w:separator/>
      </w:r>
    </w:p>
  </w:footnote>
  <w:footnote w:type="continuationSeparator" w:id="0">
    <w:p w14:paraId="3CFDCE5F" w14:textId="77777777" w:rsidR="00523263" w:rsidRDefault="0052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A9B">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
  </w:num>
  <w:num w:numId="6">
    <w:abstractNumId w:val="7"/>
  </w:num>
  <w:num w:numId="7">
    <w:abstractNumId w:val="15"/>
  </w:num>
  <w:num w:numId="8">
    <w:abstractNumId w:val="13"/>
  </w:num>
  <w:num w:numId="9">
    <w:abstractNumId w:val="9"/>
  </w:num>
  <w:num w:numId="10">
    <w:abstractNumId w:val="8"/>
  </w:num>
  <w:num w:numId="11">
    <w:abstractNumId w:val="6"/>
  </w:num>
  <w:num w:numId="12">
    <w:abstractNumId w:val="2"/>
  </w:num>
  <w:num w:numId="13">
    <w:abstractNumId w:val="14"/>
  </w:num>
  <w:num w:numId="14">
    <w:abstractNumId w:val="10"/>
  </w:num>
  <w:num w:numId="15">
    <w:abstractNumId w:val="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E4C"/>
    <w:rsid w:val="000041CC"/>
    <w:rsid w:val="00007E8B"/>
    <w:rsid w:val="000115BA"/>
    <w:rsid w:val="00013717"/>
    <w:rsid w:val="00015A9D"/>
    <w:rsid w:val="00017FE0"/>
    <w:rsid w:val="000218A0"/>
    <w:rsid w:val="00024BB5"/>
    <w:rsid w:val="000350A7"/>
    <w:rsid w:val="00035328"/>
    <w:rsid w:val="00036238"/>
    <w:rsid w:val="00043906"/>
    <w:rsid w:val="00046117"/>
    <w:rsid w:val="00051FE0"/>
    <w:rsid w:val="00051FF7"/>
    <w:rsid w:val="00052D34"/>
    <w:rsid w:val="000541A0"/>
    <w:rsid w:val="00054A6E"/>
    <w:rsid w:val="00055AAF"/>
    <w:rsid w:val="0005790D"/>
    <w:rsid w:val="00061093"/>
    <w:rsid w:val="0006116C"/>
    <w:rsid w:val="0006144E"/>
    <w:rsid w:val="000625FE"/>
    <w:rsid w:val="0006608A"/>
    <w:rsid w:val="000705F0"/>
    <w:rsid w:val="000716AC"/>
    <w:rsid w:val="000731F2"/>
    <w:rsid w:val="00073987"/>
    <w:rsid w:val="00076DF3"/>
    <w:rsid w:val="00077989"/>
    <w:rsid w:val="0008038B"/>
    <w:rsid w:val="00083199"/>
    <w:rsid w:val="000859F2"/>
    <w:rsid w:val="00085EED"/>
    <w:rsid w:val="000878A3"/>
    <w:rsid w:val="00090B7B"/>
    <w:rsid w:val="0009219A"/>
    <w:rsid w:val="000924DC"/>
    <w:rsid w:val="00092621"/>
    <w:rsid w:val="0009287F"/>
    <w:rsid w:val="000929D8"/>
    <w:rsid w:val="00092FFB"/>
    <w:rsid w:val="00096FFD"/>
    <w:rsid w:val="000A1B8D"/>
    <w:rsid w:val="000A1F4F"/>
    <w:rsid w:val="000A25F5"/>
    <w:rsid w:val="000A491B"/>
    <w:rsid w:val="000A4AB3"/>
    <w:rsid w:val="000A5664"/>
    <w:rsid w:val="000A7EF0"/>
    <w:rsid w:val="000B518F"/>
    <w:rsid w:val="000B6338"/>
    <w:rsid w:val="000B6E79"/>
    <w:rsid w:val="000C1CB0"/>
    <w:rsid w:val="000C2181"/>
    <w:rsid w:val="000C37F5"/>
    <w:rsid w:val="000C3AE5"/>
    <w:rsid w:val="000D02DD"/>
    <w:rsid w:val="000D1330"/>
    <w:rsid w:val="000D18A9"/>
    <w:rsid w:val="000D5D94"/>
    <w:rsid w:val="000D6FAF"/>
    <w:rsid w:val="000E0786"/>
    <w:rsid w:val="000E3376"/>
    <w:rsid w:val="000E6BD9"/>
    <w:rsid w:val="000E7ED0"/>
    <w:rsid w:val="000F0519"/>
    <w:rsid w:val="000F1844"/>
    <w:rsid w:val="000F1B22"/>
    <w:rsid w:val="000F3E1F"/>
    <w:rsid w:val="000F477A"/>
    <w:rsid w:val="000F4C5E"/>
    <w:rsid w:val="000F54F2"/>
    <w:rsid w:val="000F6660"/>
    <w:rsid w:val="000F6CDA"/>
    <w:rsid w:val="00106FFF"/>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73C3"/>
    <w:rsid w:val="00137E8C"/>
    <w:rsid w:val="00140B5F"/>
    <w:rsid w:val="00142003"/>
    <w:rsid w:val="0014228E"/>
    <w:rsid w:val="001448C3"/>
    <w:rsid w:val="00145936"/>
    <w:rsid w:val="00145F43"/>
    <w:rsid w:val="00147356"/>
    <w:rsid w:val="00147EEF"/>
    <w:rsid w:val="001605DD"/>
    <w:rsid w:val="001619F1"/>
    <w:rsid w:val="00162EF3"/>
    <w:rsid w:val="0016340E"/>
    <w:rsid w:val="00164B97"/>
    <w:rsid w:val="00170A9E"/>
    <w:rsid w:val="00172BF4"/>
    <w:rsid w:val="00172FA7"/>
    <w:rsid w:val="00173478"/>
    <w:rsid w:val="00173D78"/>
    <w:rsid w:val="00176732"/>
    <w:rsid w:val="00176A80"/>
    <w:rsid w:val="00176E55"/>
    <w:rsid w:val="0018069A"/>
    <w:rsid w:val="00182D30"/>
    <w:rsid w:val="0018375B"/>
    <w:rsid w:val="0018461A"/>
    <w:rsid w:val="001846AE"/>
    <w:rsid w:val="00192539"/>
    <w:rsid w:val="001942D2"/>
    <w:rsid w:val="001944CA"/>
    <w:rsid w:val="001968E6"/>
    <w:rsid w:val="001978D1"/>
    <w:rsid w:val="001979B1"/>
    <w:rsid w:val="001A2004"/>
    <w:rsid w:val="001A7229"/>
    <w:rsid w:val="001A7363"/>
    <w:rsid w:val="001B0716"/>
    <w:rsid w:val="001B0D71"/>
    <w:rsid w:val="001B1416"/>
    <w:rsid w:val="001B344A"/>
    <w:rsid w:val="001B3687"/>
    <w:rsid w:val="001B5950"/>
    <w:rsid w:val="001B6B06"/>
    <w:rsid w:val="001C1A15"/>
    <w:rsid w:val="001C2855"/>
    <w:rsid w:val="001C3A93"/>
    <w:rsid w:val="001C6967"/>
    <w:rsid w:val="001D0609"/>
    <w:rsid w:val="001D704D"/>
    <w:rsid w:val="001D767B"/>
    <w:rsid w:val="001E4570"/>
    <w:rsid w:val="001E4F28"/>
    <w:rsid w:val="001E53CF"/>
    <w:rsid w:val="001E6B49"/>
    <w:rsid w:val="001E79C1"/>
    <w:rsid w:val="001E7B61"/>
    <w:rsid w:val="001F56E0"/>
    <w:rsid w:val="001F591D"/>
    <w:rsid w:val="001F62FF"/>
    <w:rsid w:val="001F7EBF"/>
    <w:rsid w:val="002003FA"/>
    <w:rsid w:val="0020291D"/>
    <w:rsid w:val="00202963"/>
    <w:rsid w:val="00203298"/>
    <w:rsid w:val="002040F2"/>
    <w:rsid w:val="00205084"/>
    <w:rsid w:val="00205F9C"/>
    <w:rsid w:val="002101BC"/>
    <w:rsid w:val="00211025"/>
    <w:rsid w:val="0021231E"/>
    <w:rsid w:val="002158EE"/>
    <w:rsid w:val="00215DA6"/>
    <w:rsid w:val="00216C2D"/>
    <w:rsid w:val="00217960"/>
    <w:rsid w:val="002224AE"/>
    <w:rsid w:val="0022389E"/>
    <w:rsid w:val="00223F46"/>
    <w:rsid w:val="00226A71"/>
    <w:rsid w:val="00234444"/>
    <w:rsid w:val="00244370"/>
    <w:rsid w:val="00245025"/>
    <w:rsid w:val="0024609E"/>
    <w:rsid w:val="002538D5"/>
    <w:rsid w:val="0025565E"/>
    <w:rsid w:val="002607E0"/>
    <w:rsid w:val="00262FF7"/>
    <w:rsid w:val="0026310F"/>
    <w:rsid w:val="00267778"/>
    <w:rsid w:val="002726A4"/>
    <w:rsid w:val="00272910"/>
    <w:rsid w:val="00275F40"/>
    <w:rsid w:val="00277712"/>
    <w:rsid w:val="00277C67"/>
    <w:rsid w:val="0028048A"/>
    <w:rsid w:val="00284EDE"/>
    <w:rsid w:val="00287234"/>
    <w:rsid w:val="002907B4"/>
    <w:rsid w:val="00293DCF"/>
    <w:rsid w:val="002969E6"/>
    <w:rsid w:val="00297DBE"/>
    <w:rsid w:val="002A27D6"/>
    <w:rsid w:val="002A2F54"/>
    <w:rsid w:val="002A3F50"/>
    <w:rsid w:val="002A4808"/>
    <w:rsid w:val="002A52FC"/>
    <w:rsid w:val="002B1415"/>
    <w:rsid w:val="002B2616"/>
    <w:rsid w:val="002B329E"/>
    <w:rsid w:val="002B36A6"/>
    <w:rsid w:val="002B6B53"/>
    <w:rsid w:val="002B6EBF"/>
    <w:rsid w:val="002C0C4E"/>
    <w:rsid w:val="002C164C"/>
    <w:rsid w:val="002C52C4"/>
    <w:rsid w:val="002C6521"/>
    <w:rsid w:val="002D2A7E"/>
    <w:rsid w:val="002D2EF5"/>
    <w:rsid w:val="002D6A99"/>
    <w:rsid w:val="002D6F33"/>
    <w:rsid w:val="002E1704"/>
    <w:rsid w:val="002E54F1"/>
    <w:rsid w:val="002E6924"/>
    <w:rsid w:val="002F0687"/>
    <w:rsid w:val="002F1C0E"/>
    <w:rsid w:val="002F1E64"/>
    <w:rsid w:val="002F257A"/>
    <w:rsid w:val="002F285F"/>
    <w:rsid w:val="002F71B1"/>
    <w:rsid w:val="002F7ABC"/>
    <w:rsid w:val="0030080C"/>
    <w:rsid w:val="00301B16"/>
    <w:rsid w:val="003047CE"/>
    <w:rsid w:val="00304E7F"/>
    <w:rsid w:val="00306ABD"/>
    <w:rsid w:val="0031458A"/>
    <w:rsid w:val="00314865"/>
    <w:rsid w:val="00314EBD"/>
    <w:rsid w:val="00320905"/>
    <w:rsid w:val="00326E88"/>
    <w:rsid w:val="00327817"/>
    <w:rsid w:val="0033034E"/>
    <w:rsid w:val="00330852"/>
    <w:rsid w:val="00332036"/>
    <w:rsid w:val="00332B6B"/>
    <w:rsid w:val="00337018"/>
    <w:rsid w:val="00337315"/>
    <w:rsid w:val="00340E9C"/>
    <w:rsid w:val="003413C6"/>
    <w:rsid w:val="003415A0"/>
    <w:rsid w:val="00342DD3"/>
    <w:rsid w:val="00343C68"/>
    <w:rsid w:val="0034596F"/>
    <w:rsid w:val="00352999"/>
    <w:rsid w:val="0035427F"/>
    <w:rsid w:val="003575CE"/>
    <w:rsid w:val="00361002"/>
    <w:rsid w:val="003610A2"/>
    <w:rsid w:val="00365F97"/>
    <w:rsid w:val="00370F35"/>
    <w:rsid w:val="00371C8B"/>
    <w:rsid w:val="00372846"/>
    <w:rsid w:val="00373CD5"/>
    <w:rsid w:val="00374F2A"/>
    <w:rsid w:val="00375BF0"/>
    <w:rsid w:val="0037721A"/>
    <w:rsid w:val="0038071A"/>
    <w:rsid w:val="003833B0"/>
    <w:rsid w:val="00383D01"/>
    <w:rsid w:val="0038665A"/>
    <w:rsid w:val="00387942"/>
    <w:rsid w:val="00387E7F"/>
    <w:rsid w:val="00391815"/>
    <w:rsid w:val="00392609"/>
    <w:rsid w:val="00394F64"/>
    <w:rsid w:val="00396483"/>
    <w:rsid w:val="003975D0"/>
    <w:rsid w:val="003A3D11"/>
    <w:rsid w:val="003B0B33"/>
    <w:rsid w:val="003B2771"/>
    <w:rsid w:val="003B3484"/>
    <w:rsid w:val="003B47AA"/>
    <w:rsid w:val="003B62FF"/>
    <w:rsid w:val="003C316B"/>
    <w:rsid w:val="003C43EB"/>
    <w:rsid w:val="003C53CE"/>
    <w:rsid w:val="003C57B0"/>
    <w:rsid w:val="003C6D40"/>
    <w:rsid w:val="003C7165"/>
    <w:rsid w:val="003D044E"/>
    <w:rsid w:val="003D23DD"/>
    <w:rsid w:val="003D4F5D"/>
    <w:rsid w:val="003D6202"/>
    <w:rsid w:val="003D744B"/>
    <w:rsid w:val="003D7C4C"/>
    <w:rsid w:val="003E01C9"/>
    <w:rsid w:val="003F27BF"/>
    <w:rsid w:val="003F41C6"/>
    <w:rsid w:val="003F44C1"/>
    <w:rsid w:val="003F6B30"/>
    <w:rsid w:val="0040062C"/>
    <w:rsid w:val="00402A86"/>
    <w:rsid w:val="00405F36"/>
    <w:rsid w:val="004061B1"/>
    <w:rsid w:val="00406E6D"/>
    <w:rsid w:val="00407310"/>
    <w:rsid w:val="00410BBC"/>
    <w:rsid w:val="00412776"/>
    <w:rsid w:val="004149B2"/>
    <w:rsid w:val="004205AD"/>
    <w:rsid w:val="00420D04"/>
    <w:rsid w:val="0042279B"/>
    <w:rsid w:val="0042285F"/>
    <w:rsid w:val="00426066"/>
    <w:rsid w:val="00426DC1"/>
    <w:rsid w:val="004303E8"/>
    <w:rsid w:val="004304CD"/>
    <w:rsid w:val="00433DBF"/>
    <w:rsid w:val="004362B0"/>
    <w:rsid w:val="00437CB6"/>
    <w:rsid w:val="0044214A"/>
    <w:rsid w:val="00443080"/>
    <w:rsid w:val="004430A9"/>
    <w:rsid w:val="00445385"/>
    <w:rsid w:val="00447C35"/>
    <w:rsid w:val="004527A6"/>
    <w:rsid w:val="0045332A"/>
    <w:rsid w:val="004550A2"/>
    <w:rsid w:val="00457D79"/>
    <w:rsid w:val="00464CC9"/>
    <w:rsid w:val="0046665A"/>
    <w:rsid w:val="00466D65"/>
    <w:rsid w:val="0046703D"/>
    <w:rsid w:val="0047028E"/>
    <w:rsid w:val="0047084F"/>
    <w:rsid w:val="00470FED"/>
    <w:rsid w:val="004713E0"/>
    <w:rsid w:val="004736AA"/>
    <w:rsid w:val="00475201"/>
    <w:rsid w:val="00475D79"/>
    <w:rsid w:val="0047760E"/>
    <w:rsid w:val="00480418"/>
    <w:rsid w:val="0048185B"/>
    <w:rsid w:val="00481E39"/>
    <w:rsid w:val="00482FFB"/>
    <w:rsid w:val="00484906"/>
    <w:rsid w:val="004867A4"/>
    <w:rsid w:val="00486B23"/>
    <w:rsid w:val="00487935"/>
    <w:rsid w:val="004900B8"/>
    <w:rsid w:val="004910BF"/>
    <w:rsid w:val="00491AC8"/>
    <w:rsid w:val="00493958"/>
    <w:rsid w:val="00493DF8"/>
    <w:rsid w:val="004944A7"/>
    <w:rsid w:val="004951BC"/>
    <w:rsid w:val="00497570"/>
    <w:rsid w:val="00497998"/>
    <w:rsid w:val="004A3CC9"/>
    <w:rsid w:val="004A4223"/>
    <w:rsid w:val="004A43B9"/>
    <w:rsid w:val="004A5B9A"/>
    <w:rsid w:val="004A6B80"/>
    <w:rsid w:val="004A7FE8"/>
    <w:rsid w:val="004B0B28"/>
    <w:rsid w:val="004B4376"/>
    <w:rsid w:val="004B44AC"/>
    <w:rsid w:val="004B4BD6"/>
    <w:rsid w:val="004B74F8"/>
    <w:rsid w:val="004B7C0E"/>
    <w:rsid w:val="004C2480"/>
    <w:rsid w:val="004C31E6"/>
    <w:rsid w:val="004D0671"/>
    <w:rsid w:val="004D1EAB"/>
    <w:rsid w:val="004D6223"/>
    <w:rsid w:val="004E1A2B"/>
    <w:rsid w:val="004E1D93"/>
    <w:rsid w:val="004E5F71"/>
    <w:rsid w:val="004E65E3"/>
    <w:rsid w:val="004E701E"/>
    <w:rsid w:val="004E7051"/>
    <w:rsid w:val="004E7967"/>
    <w:rsid w:val="004F046B"/>
    <w:rsid w:val="004F0B2F"/>
    <w:rsid w:val="004F19B8"/>
    <w:rsid w:val="004F5A09"/>
    <w:rsid w:val="004F5CE6"/>
    <w:rsid w:val="004F73D4"/>
    <w:rsid w:val="00500A5C"/>
    <w:rsid w:val="005026CC"/>
    <w:rsid w:val="00503AD1"/>
    <w:rsid w:val="0050449A"/>
    <w:rsid w:val="005078AA"/>
    <w:rsid w:val="005100D1"/>
    <w:rsid w:val="00513720"/>
    <w:rsid w:val="0051607A"/>
    <w:rsid w:val="005205F4"/>
    <w:rsid w:val="00521967"/>
    <w:rsid w:val="00523263"/>
    <w:rsid w:val="00524378"/>
    <w:rsid w:val="005269B7"/>
    <w:rsid w:val="005269D3"/>
    <w:rsid w:val="00530F70"/>
    <w:rsid w:val="005315EA"/>
    <w:rsid w:val="00532FD5"/>
    <w:rsid w:val="00534E9F"/>
    <w:rsid w:val="0053506A"/>
    <w:rsid w:val="0053512A"/>
    <w:rsid w:val="00535508"/>
    <w:rsid w:val="00536B13"/>
    <w:rsid w:val="00540B35"/>
    <w:rsid w:val="00544F1F"/>
    <w:rsid w:val="00545F38"/>
    <w:rsid w:val="0054634E"/>
    <w:rsid w:val="00550428"/>
    <w:rsid w:val="005514BE"/>
    <w:rsid w:val="0055424F"/>
    <w:rsid w:val="00557377"/>
    <w:rsid w:val="00560599"/>
    <w:rsid w:val="00562F8A"/>
    <w:rsid w:val="00563721"/>
    <w:rsid w:val="00565776"/>
    <w:rsid w:val="00566508"/>
    <w:rsid w:val="00566C4E"/>
    <w:rsid w:val="00570ACF"/>
    <w:rsid w:val="00573535"/>
    <w:rsid w:val="00573C2D"/>
    <w:rsid w:val="00575BB7"/>
    <w:rsid w:val="00575F88"/>
    <w:rsid w:val="0057794D"/>
    <w:rsid w:val="00582DC9"/>
    <w:rsid w:val="00583139"/>
    <w:rsid w:val="00583A0A"/>
    <w:rsid w:val="00585250"/>
    <w:rsid w:val="005859C8"/>
    <w:rsid w:val="00587796"/>
    <w:rsid w:val="005940DB"/>
    <w:rsid w:val="005A2AAC"/>
    <w:rsid w:val="005A3C50"/>
    <w:rsid w:val="005A61AB"/>
    <w:rsid w:val="005B0E04"/>
    <w:rsid w:val="005B2781"/>
    <w:rsid w:val="005B6872"/>
    <w:rsid w:val="005B6B09"/>
    <w:rsid w:val="005B75E6"/>
    <w:rsid w:val="005C0164"/>
    <w:rsid w:val="005C4DE0"/>
    <w:rsid w:val="005C5B41"/>
    <w:rsid w:val="005C61D6"/>
    <w:rsid w:val="005C6D46"/>
    <w:rsid w:val="005D315F"/>
    <w:rsid w:val="005E139A"/>
    <w:rsid w:val="005E2D06"/>
    <w:rsid w:val="005E4CC6"/>
    <w:rsid w:val="005E5D9F"/>
    <w:rsid w:val="005E6921"/>
    <w:rsid w:val="005E79E7"/>
    <w:rsid w:val="005F082A"/>
    <w:rsid w:val="005F1B29"/>
    <w:rsid w:val="005F3BCE"/>
    <w:rsid w:val="005F5087"/>
    <w:rsid w:val="005F69A9"/>
    <w:rsid w:val="00600502"/>
    <w:rsid w:val="006015E6"/>
    <w:rsid w:val="0060605E"/>
    <w:rsid w:val="0060684A"/>
    <w:rsid w:val="00606AB0"/>
    <w:rsid w:val="00607FAE"/>
    <w:rsid w:val="006139EC"/>
    <w:rsid w:val="00613CC2"/>
    <w:rsid w:val="00615BC9"/>
    <w:rsid w:val="00615CB4"/>
    <w:rsid w:val="006177AE"/>
    <w:rsid w:val="00620C18"/>
    <w:rsid w:val="00621065"/>
    <w:rsid w:val="00621A4A"/>
    <w:rsid w:val="00623D95"/>
    <w:rsid w:val="00624E22"/>
    <w:rsid w:val="006339F5"/>
    <w:rsid w:val="0063551B"/>
    <w:rsid w:val="00635F82"/>
    <w:rsid w:val="00636B6E"/>
    <w:rsid w:val="0063763A"/>
    <w:rsid w:val="00640620"/>
    <w:rsid w:val="00641D3B"/>
    <w:rsid w:val="00646942"/>
    <w:rsid w:val="006474B9"/>
    <w:rsid w:val="00647786"/>
    <w:rsid w:val="00647FFD"/>
    <w:rsid w:val="006519AF"/>
    <w:rsid w:val="00652A9D"/>
    <w:rsid w:val="006549A6"/>
    <w:rsid w:val="0066058B"/>
    <w:rsid w:val="006618F7"/>
    <w:rsid w:val="0066205A"/>
    <w:rsid w:val="00662222"/>
    <w:rsid w:val="00663755"/>
    <w:rsid w:val="00666745"/>
    <w:rsid w:val="006674D7"/>
    <w:rsid w:val="0067275F"/>
    <w:rsid w:val="00674A82"/>
    <w:rsid w:val="00674D0B"/>
    <w:rsid w:val="006754B7"/>
    <w:rsid w:val="00675B7D"/>
    <w:rsid w:val="00676C69"/>
    <w:rsid w:val="00680F03"/>
    <w:rsid w:val="0068122B"/>
    <w:rsid w:val="006815A5"/>
    <w:rsid w:val="006826BB"/>
    <w:rsid w:val="006829E5"/>
    <w:rsid w:val="006830C9"/>
    <w:rsid w:val="0068364A"/>
    <w:rsid w:val="0068525B"/>
    <w:rsid w:val="00685D4F"/>
    <w:rsid w:val="00685DD6"/>
    <w:rsid w:val="00687743"/>
    <w:rsid w:val="00691D49"/>
    <w:rsid w:val="006922C8"/>
    <w:rsid w:val="00692D3B"/>
    <w:rsid w:val="00693229"/>
    <w:rsid w:val="006951FD"/>
    <w:rsid w:val="00695BB1"/>
    <w:rsid w:val="006964AF"/>
    <w:rsid w:val="006A17BE"/>
    <w:rsid w:val="006A3E64"/>
    <w:rsid w:val="006A56E4"/>
    <w:rsid w:val="006B029D"/>
    <w:rsid w:val="006B2118"/>
    <w:rsid w:val="006B2D41"/>
    <w:rsid w:val="006B6D8D"/>
    <w:rsid w:val="006C1643"/>
    <w:rsid w:val="006C1D03"/>
    <w:rsid w:val="006C287C"/>
    <w:rsid w:val="006C3C15"/>
    <w:rsid w:val="006C7D4F"/>
    <w:rsid w:val="006D4F41"/>
    <w:rsid w:val="006D6A44"/>
    <w:rsid w:val="006D7A33"/>
    <w:rsid w:val="006E280A"/>
    <w:rsid w:val="006E6792"/>
    <w:rsid w:val="006E75E2"/>
    <w:rsid w:val="006F01B5"/>
    <w:rsid w:val="006F4AD5"/>
    <w:rsid w:val="006F5527"/>
    <w:rsid w:val="006F6211"/>
    <w:rsid w:val="00700297"/>
    <w:rsid w:val="00701034"/>
    <w:rsid w:val="00702531"/>
    <w:rsid w:val="007046F7"/>
    <w:rsid w:val="00707559"/>
    <w:rsid w:val="007076DF"/>
    <w:rsid w:val="00710701"/>
    <w:rsid w:val="007144F6"/>
    <w:rsid w:val="00716311"/>
    <w:rsid w:val="00723A6D"/>
    <w:rsid w:val="007269AB"/>
    <w:rsid w:val="00732F74"/>
    <w:rsid w:val="007332F9"/>
    <w:rsid w:val="00734ED0"/>
    <w:rsid w:val="00736085"/>
    <w:rsid w:val="00736171"/>
    <w:rsid w:val="00741394"/>
    <w:rsid w:val="007418D9"/>
    <w:rsid w:val="00742173"/>
    <w:rsid w:val="00742415"/>
    <w:rsid w:val="00743C00"/>
    <w:rsid w:val="00743CDA"/>
    <w:rsid w:val="007441D4"/>
    <w:rsid w:val="00744252"/>
    <w:rsid w:val="007447F0"/>
    <w:rsid w:val="00746FD8"/>
    <w:rsid w:val="00750291"/>
    <w:rsid w:val="00750FE0"/>
    <w:rsid w:val="007548E4"/>
    <w:rsid w:val="0075548A"/>
    <w:rsid w:val="00757335"/>
    <w:rsid w:val="00760360"/>
    <w:rsid w:val="007613E1"/>
    <w:rsid w:val="00761522"/>
    <w:rsid w:val="00762E9C"/>
    <w:rsid w:val="00764F3A"/>
    <w:rsid w:val="00770689"/>
    <w:rsid w:val="00772951"/>
    <w:rsid w:val="007752C1"/>
    <w:rsid w:val="0077623A"/>
    <w:rsid w:val="007771AD"/>
    <w:rsid w:val="007818E5"/>
    <w:rsid w:val="00784103"/>
    <w:rsid w:val="00784C0B"/>
    <w:rsid w:val="007910B2"/>
    <w:rsid w:val="007964A2"/>
    <w:rsid w:val="007970F7"/>
    <w:rsid w:val="007A0496"/>
    <w:rsid w:val="007A2D2F"/>
    <w:rsid w:val="007A6F27"/>
    <w:rsid w:val="007A7979"/>
    <w:rsid w:val="007A7D3B"/>
    <w:rsid w:val="007B0321"/>
    <w:rsid w:val="007B183D"/>
    <w:rsid w:val="007B1D69"/>
    <w:rsid w:val="007C165F"/>
    <w:rsid w:val="007C1DCB"/>
    <w:rsid w:val="007C29FD"/>
    <w:rsid w:val="007D2377"/>
    <w:rsid w:val="007D2D9B"/>
    <w:rsid w:val="007D3342"/>
    <w:rsid w:val="007D4D82"/>
    <w:rsid w:val="007D733B"/>
    <w:rsid w:val="007E19C3"/>
    <w:rsid w:val="007E22C2"/>
    <w:rsid w:val="007E3EFB"/>
    <w:rsid w:val="007E4D02"/>
    <w:rsid w:val="007E4D0D"/>
    <w:rsid w:val="007E5495"/>
    <w:rsid w:val="007E5EA9"/>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3D8"/>
    <w:rsid w:val="00824824"/>
    <w:rsid w:val="0082792B"/>
    <w:rsid w:val="008303A2"/>
    <w:rsid w:val="00831997"/>
    <w:rsid w:val="00831E3F"/>
    <w:rsid w:val="00831F99"/>
    <w:rsid w:val="00833913"/>
    <w:rsid w:val="00835A94"/>
    <w:rsid w:val="00836835"/>
    <w:rsid w:val="00836FB4"/>
    <w:rsid w:val="00837B67"/>
    <w:rsid w:val="00837BEB"/>
    <w:rsid w:val="0084055A"/>
    <w:rsid w:val="00851C18"/>
    <w:rsid w:val="00852D9B"/>
    <w:rsid w:val="00856B05"/>
    <w:rsid w:val="00863EF0"/>
    <w:rsid w:val="00864F13"/>
    <w:rsid w:val="00864F1C"/>
    <w:rsid w:val="00872803"/>
    <w:rsid w:val="00872BA2"/>
    <w:rsid w:val="00877E32"/>
    <w:rsid w:val="0088063C"/>
    <w:rsid w:val="00881039"/>
    <w:rsid w:val="00883AAA"/>
    <w:rsid w:val="00884104"/>
    <w:rsid w:val="00890980"/>
    <w:rsid w:val="00892EBC"/>
    <w:rsid w:val="00894E39"/>
    <w:rsid w:val="00895418"/>
    <w:rsid w:val="008957D9"/>
    <w:rsid w:val="0089788C"/>
    <w:rsid w:val="00897AF8"/>
    <w:rsid w:val="008A202D"/>
    <w:rsid w:val="008A5FCC"/>
    <w:rsid w:val="008A7298"/>
    <w:rsid w:val="008B4846"/>
    <w:rsid w:val="008B5689"/>
    <w:rsid w:val="008B5DBC"/>
    <w:rsid w:val="008B749E"/>
    <w:rsid w:val="008C09B5"/>
    <w:rsid w:val="008C1F20"/>
    <w:rsid w:val="008C2D17"/>
    <w:rsid w:val="008C3E75"/>
    <w:rsid w:val="008C43A8"/>
    <w:rsid w:val="008C5F38"/>
    <w:rsid w:val="008C6FC8"/>
    <w:rsid w:val="008C7870"/>
    <w:rsid w:val="008D2ACC"/>
    <w:rsid w:val="008D4971"/>
    <w:rsid w:val="008D77FD"/>
    <w:rsid w:val="008E1E77"/>
    <w:rsid w:val="008E6A92"/>
    <w:rsid w:val="008F1D37"/>
    <w:rsid w:val="008F4BDD"/>
    <w:rsid w:val="008F7897"/>
    <w:rsid w:val="00900302"/>
    <w:rsid w:val="00901F87"/>
    <w:rsid w:val="0090296E"/>
    <w:rsid w:val="00902E31"/>
    <w:rsid w:val="0090379A"/>
    <w:rsid w:val="0091354B"/>
    <w:rsid w:val="00913E49"/>
    <w:rsid w:val="009147FF"/>
    <w:rsid w:val="00916358"/>
    <w:rsid w:val="009204BB"/>
    <w:rsid w:val="009225DE"/>
    <w:rsid w:val="00922AFC"/>
    <w:rsid w:val="009237A5"/>
    <w:rsid w:val="009301DE"/>
    <w:rsid w:val="00934718"/>
    <w:rsid w:val="009370E2"/>
    <w:rsid w:val="009379AA"/>
    <w:rsid w:val="00940535"/>
    <w:rsid w:val="009407A8"/>
    <w:rsid w:val="0094395B"/>
    <w:rsid w:val="0094472B"/>
    <w:rsid w:val="00945F19"/>
    <w:rsid w:val="00950233"/>
    <w:rsid w:val="00950841"/>
    <w:rsid w:val="00952451"/>
    <w:rsid w:val="00952DBF"/>
    <w:rsid w:val="00953B35"/>
    <w:rsid w:val="00954414"/>
    <w:rsid w:val="00957BCF"/>
    <w:rsid w:val="009625F6"/>
    <w:rsid w:val="009627F9"/>
    <w:rsid w:val="009658D6"/>
    <w:rsid w:val="009676D8"/>
    <w:rsid w:val="00975F96"/>
    <w:rsid w:val="0098324A"/>
    <w:rsid w:val="00985FFB"/>
    <w:rsid w:val="00987CAC"/>
    <w:rsid w:val="00990CFC"/>
    <w:rsid w:val="00992045"/>
    <w:rsid w:val="00993516"/>
    <w:rsid w:val="00995DD7"/>
    <w:rsid w:val="00995E0E"/>
    <w:rsid w:val="00996052"/>
    <w:rsid w:val="009960C9"/>
    <w:rsid w:val="00996C55"/>
    <w:rsid w:val="00997DA9"/>
    <w:rsid w:val="009A2905"/>
    <w:rsid w:val="009A38CE"/>
    <w:rsid w:val="009A5B58"/>
    <w:rsid w:val="009A649B"/>
    <w:rsid w:val="009A6EB1"/>
    <w:rsid w:val="009A72B6"/>
    <w:rsid w:val="009B3E5B"/>
    <w:rsid w:val="009B4294"/>
    <w:rsid w:val="009B430C"/>
    <w:rsid w:val="009B5295"/>
    <w:rsid w:val="009B60BD"/>
    <w:rsid w:val="009B70F4"/>
    <w:rsid w:val="009B7374"/>
    <w:rsid w:val="009C0727"/>
    <w:rsid w:val="009C1EF7"/>
    <w:rsid w:val="009C2556"/>
    <w:rsid w:val="009C6C52"/>
    <w:rsid w:val="009D162F"/>
    <w:rsid w:val="009D1776"/>
    <w:rsid w:val="009D5976"/>
    <w:rsid w:val="009D5A80"/>
    <w:rsid w:val="009D79AE"/>
    <w:rsid w:val="009E040A"/>
    <w:rsid w:val="009E2345"/>
    <w:rsid w:val="009E40AA"/>
    <w:rsid w:val="009E4E40"/>
    <w:rsid w:val="009E710F"/>
    <w:rsid w:val="009F206C"/>
    <w:rsid w:val="00A0253A"/>
    <w:rsid w:val="00A02A94"/>
    <w:rsid w:val="00A03293"/>
    <w:rsid w:val="00A03ADC"/>
    <w:rsid w:val="00A10193"/>
    <w:rsid w:val="00A10AC7"/>
    <w:rsid w:val="00A10DF8"/>
    <w:rsid w:val="00A11201"/>
    <w:rsid w:val="00A12A9B"/>
    <w:rsid w:val="00A14055"/>
    <w:rsid w:val="00A14E15"/>
    <w:rsid w:val="00A23BB2"/>
    <w:rsid w:val="00A24540"/>
    <w:rsid w:val="00A27388"/>
    <w:rsid w:val="00A300BF"/>
    <w:rsid w:val="00A3255E"/>
    <w:rsid w:val="00A3267D"/>
    <w:rsid w:val="00A331C8"/>
    <w:rsid w:val="00A4264C"/>
    <w:rsid w:val="00A43E28"/>
    <w:rsid w:val="00A44451"/>
    <w:rsid w:val="00A46428"/>
    <w:rsid w:val="00A46BDC"/>
    <w:rsid w:val="00A5105C"/>
    <w:rsid w:val="00A517BD"/>
    <w:rsid w:val="00A52415"/>
    <w:rsid w:val="00A55CB8"/>
    <w:rsid w:val="00A57B01"/>
    <w:rsid w:val="00A60B2E"/>
    <w:rsid w:val="00A6188E"/>
    <w:rsid w:val="00A62E69"/>
    <w:rsid w:val="00A63E70"/>
    <w:rsid w:val="00A65EA2"/>
    <w:rsid w:val="00A67499"/>
    <w:rsid w:val="00A716CD"/>
    <w:rsid w:val="00A745E3"/>
    <w:rsid w:val="00A76173"/>
    <w:rsid w:val="00A762E1"/>
    <w:rsid w:val="00A77AE4"/>
    <w:rsid w:val="00A806F4"/>
    <w:rsid w:val="00A81FA6"/>
    <w:rsid w:val="00A84E31"/>
    <w:rsid w:val="00A865B0"/>
    <w:rsid w:val="00A8697D"/>
    <w:rsid w:val="00A873DD"/>
    <w:rsid w:val="00A9059D"/>
    <w:rsid w:val="00AA0175"/>
    <w:rsid w:val="00AA0A83"/>
    <w:rsid w:val="00AA25E4"/>
    <w:rsid w:val="00AA3112"/>
    <w:rsid w:val="00AA5A71"/>
    <w:rsid w:val="00AA6162"/>
    <w:rsid w:val="00AA733A"/>
    <w:rsid w:val="00AA78DC"/>
    <w:rsid w:val="00AA7F1A"/>
    <w:rsid w:val="00AB25F9"/>
    <w:rsid w:val="00AB2F51"/>
    <w:rsid w:val="00AB2FDC"/>
    <w:rsid w:val="00AB6229"/>
    <w:rsid w:val="00AB6B6D"/>
    <w:rsid w:val="00AC1689"/>
    <w:rsid w:val="00AC1FDD"/>
    <w:rsid w:val="00AC4D72"/>
    <w:rsid w:val="00AC4F4B"/>
    <w:rsid w:val="00AC71A6"/>
    <w:rsid w:val="00AD15B2"/>
    <w:rsid w:val="00AD24FE"/>
    <w:rsid w:val="00AD362B"/>
    <w:rsid w:val="00AD4B24"/>
    <w:rsid w:val="00AD6D51"/>
    <w:rsid w:val="00AE0E55"/>
    <w:rsid w:val="00AE1B54"/>
    <w:rsid w:val="00AE2FF1"/>
    <w:rsid w:val="00AE36A3"/>
    <w:rsid w:val="00AE515D"/>
    <w:rsid w:val="00AE64C1"/>
    <w:rsid w:val="00AF01A8"/>
    <w:rsid w:val="00AF3041"/>
    <w:rsid w:val="00AF48CD"/>
    <w:rsid w:val="00AF5E69"/>
    <w:rsid w:val="00AF5FAD"/>
    <w:rsid w:val="00AF6022"/>
    <w:rsid w:val="00AF7EC8"/>
    <w:rsid w:val="00B015A7"/>
    <w:rsid w:val="00B01F89"/>
    <w:rsid w:val="00B053D9"/>
    <w:rsid w:val="00B06556"/>
    <w:rsid w:val="00B06B85"/>
    <w:rsid w:val="00B11F31"/>
    <w:rsid w:val="00B12AB1"/>
    <w:rsid w:val="00B12C14"/>
    <w:rsid w:val="00B14090"/>
    <w:rsid w:val="00B16F92"/>
    <w:rsid w:val="00B21E7A"/>
    <w:rsid w:val="00B21EA3"/>
    <w:rsid w:val="00B2296E"/>
    <w:rsid w:val="00B25E71"/>
    <w:rsid w:val="00B328E5"/>
    <w:rsid w:val="00B3388D"/>
    <w:rsid w:val="00B34168"/>
    <w:rsid w:val="00B345D9"/>
    <w:rsid w:val="00B34DF8"/>
    <w:rsid w:val="00B37B14"/>
    <w:rsid w:val="00B41788"/>
    <w:rsid w:val="00B418F9"/>
    <w:rsid w:val="00B43D0A"/>
    <w:rsid w:val="00B44303"/>
    <w:rsid w:val="00B47D07"/>
    <w:rsid w:val="00B5144B"/>
    <w:rsid w:val="00B5170B"/>
    <w:rsid w:val="00B53992"/>
    <w:rsid w:val="00B53D6E"/>
    <w:rsid w:val="00B545B0"/>
    <w:rsid w:val="00B679D3"/>
    <w:rsid w:val="00B67FEA"/>
    <w:rsid w:val="00B708AD"/>
    <w:rsid w:val="00B710D2"/>
    <w:rsid w:val="00B7113C"/>
    <w:rsid w:val="00B712CC"/>
    <w:rsid w:val="00B723DF"/>
    <w:rsid w:val="00B731DE"/>
    <w:rsid w:val="00B734C3"/>
    <w:rsid w:val="00B74252"/>
    <w:rsid w:val="00B7678B"/>
    <w:rsid w:val="00B77533"/>
    <w:rsid w:val="00B77B05"/>
    <w:rsid w:val="00B83DF0"/>
    <w:rsid w:val="00B8410D"/>
    <w:rsid w:val="00B85149"/>
    <w:rsid w:val="00B85A12"/>
    <w:rsid w:val="00B86498"/>
    <w:rsid w:val="00B9063F"/>
    <w:rsid w:val="00B945D4"/>
    <w:rsid w:val="00B94BAD"/>
    <w:rsid w:val="00BA5870"/>
    <w:rsid w:val="00BA679F"/>
    <w:rsid w:val="00BB0399"/>
    <w:rsid w:val="00BB0CBB"/>
    <w:rsid w:val="00BB0EFB"/>
    <w:rsid w:val="00BB2BA6"/>
    <w:rsid w:val="00BB3223"/>
    <w:rsid w:val="00BB4344"/>
    <w:rsid w:val="00BB5D61"/>
    <w:rsid w:val="00BC2B27"/>
    <w:rsid w:val="00BC3B27"/>
    <w:rsid w:val="00BC4C9B"/>
    <w:rsid w:val="00BC4F7B"/>
    <w:rsid w:val="00BC609B"/>
    <w:rsid w:val="00BC7BEA"/>
    <w:rsid w:val="00BD209D"/>
    <w:rsid w:val="00BD6641"/>
    <w:rsid w:val="00BE467F"/>
    <w:rsid w:val="00BE4DAD"/>
    <w:rsid w:val="00BE5E4B"/>
    <w:rsid w:val="00BE6C2B"/>
    <w:rsid w:val="00BE716C"/>
    <w:rsid w:val="00BE7990"/>
    <w:rsid w:val="00BF1AB9"/>
    <w:rsid w:val="00BF29E1"/>
    <w:rsid w:val="00BF2F12"/>
    <w:rsid w:val="00BF30AB"/>
    <w:rsid w:val="00BF3A82"/>
    <w:rsid w:val="00BF4C9A"/>
    <w:rsid w:val="00BF5230"/>
    <w:rsid w:val="00BF58CF"/>
    <w:rsid w:val="00C0339F"/>
    <w:rsid w:val="00C0411C"/>
    <w:rsid w:val="00C057FE"/>
    <w:rsid w:val="00C07331"/>
    <w:rsid w:val="00C10955"/>
    <w:rsid w:val="00C11B85"/>
    <w:rsid w:val="00C13C70"/>
    <w:rsid w:val="00C1543F"/>
    <w:rsid w:val="00C167B9"/>
    <w:rsid w:val="00C20FE7"/>
    <w:rsid w:val="00C22BC5"/>
    <w:rsid w:val="00C23063"/>
    <w:rsid w:val="00C23DAA"/>
    <w:rsid w:val="00C24103"/>
    <w:rsid w:val="00C31877"/>
    <w:rsid w:val="00C31885"/>
    <w:rsid w:val="00C347A8"/>
    <w:rsid w:val="00C4222C"/>
    <w:rsid w:val="00C42BB6"/>
    <w:rsid w:val="00C43515"/>
    <w:rsid w:val="00C46BC0"/>
    <w:rsid w:val="00C51787"/>
    <w:rsid w:val="00C53B91"/>
    <w:rsid w:val="00C53EBB"/>
    <w:rsid w:val="00C54EB3"/>
    <w:rsid w:val="00C5610C"/>
    <w:rsid w:val="00C60694"/>
    <w:rsid w:val="00C620D3"/>
    <w:rsid w:val="00C62687"/>
    <w:rsid w:val="00C64195"/>
    <w:rsid w:val="00C64773"/>
    <w:rsid w:val="00C73A21"/>
    <w:rsid w:val="00C76728"/>
    <w:rsid w:val="00C76F72"/>
    <w:rsid w:val="00C80771"/>
    <w:rsid w:val="00C836EC"/>
    <w:rsid w:val="00C84368"/>
    <w:rsid w:val="00C844F7"/>
    <w:rsid w:val="00C84D0E"/>
    <w:rsid w:val="00C859C7"/>
    <w:rsid w:val="00C8680A"/>
    <w:rsid w:val="00C87B56"/>
    <w:rsid w:val="00C87D7F"/>
    <w:rsid w:val="00C91002"/>
    <w:rsid w:val="00C931B5"/>
    <w:rsid w:val="00C93462"/>
    <w:rsid w:val="00C97041"/>
    <w:rsid w:val="00C97042"/>
    <w:rsid w:val="00C979F3"/>
    <w:rsid w:val="00CA0EED"/>
    <w:rsid w:val="00CA2794"/>
    <w:rsid w:val="00CB1364"/>
    <w:rsid w:val="00CB3215"/>
    <w:rsid w:val="00CB630A"/>
    <w:rsid w:val="00CB65EF"/>
    <w:rsid w:val="00CB6DBB"/>
    <w:rsid w:val="00CB72F5"/>
    <w:rsid w:val="00CC03E3"/>
    <w:rsid w:val="00CC0D0A"/>
    <w:rsid w:val="00CC1B7D"/>
    <w:rsid w:val="00CC3D8E"/>
    <w:rsid w:val="00CC41DA"/>
    <w:rsid w:val="00CC5AB4"/>
    <w:rsid w:val="00CC6C4E"/>
    <w:rsid w:val="00CC6EA3"/>
    <w:rsid w:val="00CD49EC"/>
    <w:rsid w:val="00CE313B"/>
    <w:rsid w:val="00CE31D3"/>
    <w:rsid w:val="00CE475C"/>
    <w:rsid w:val="00CE4799"/>
    <w:rsid w:val="00CE7E3D"/>
    <w:rsid w:val="00CF0ECB"/>
    <w:rsid w:val="00CF1D5A"/>
    <w:rsid w:val="00CF3C7B"/>
    <w:rsid w:val="00D02A61"/>
    <w:rsid w:val="00D02D91"/>
    <w:rsid w:val="00D038F3"/>
    <w:rsid w:val="00D0438E"/>
    <w:rsid w:val="00D06225"/>
    <w:rsid w:val="00D075C8"/>
    <w:rsid w:val="00D107C2"/>
    <w:rsid w:val="00D126B7"/>
    <w:rsid w:val="00D13636"/>
    <w:rsid w:val="00D14F5B"/>
    <w:rsid w:val="00D17713"/>
    <w:rsid w:val="00D17CB6"/>
    <w:rsid w:val="00D2090A"/>
    <w:rsid w:val="00D20FFB"/>
    <w:rsid w:val="00D2478F"/>
    <w:rsid w:val="00D260F8"/>
    <w:rsid w:val="00D26D78"/>
    <w:rsid w:val="00D3214A"/>
    <w:rsid w:val="00D32E6E"/>
    <w:rsid w:val="00D350D0"/>
    <w:rsid w:val="00D41699"/>
    <w:rsid w:val="00D445FA"/>
    <w:rsid w:val="00D4503A"/>
    <w:rsid w:val="00D4520B"/>
    <w:rsid w:val="00D4777B"/>
    <w:rsid w:val="00D54752"/>
    <w:rsid w:val="00D56B8F"/>
    <w:rsid w:val="00D5791A"/>
    <w:rsid w:val="00D60BDF"/>
    <w:rsid w:val="00D60DC5"/>
    <w:rsid w:val="00D61780"/>
    <w:rsid w:val="00D623EB"/>
    <w:rsid w:val="00D637FE"/>
    <w:rsid w:val="00D63F04"/>
    <w:rsid w:val="00D66D1C"/>
    <w:rsid w:val="00D72133"/>
    <w:rsid w:val="00D7245E"/>
    <w:rsid w:val="00D73FB9"/>
    <w:rsid w:val="00D75FCF"/>
    <w:rsid w:val="00D76B66"/>
    <w:rsid w:val="00D773D0"/>
    <w:rsid w:val="00D77DC0"/>
    <w:rsid w:val="00D80073"/>
    <w:rsid w:val="00D80EB6"/>
    <w:rsid w:val="00D81A8E"/>
    <w:rsid w:val="00D8329D"/>
    <w:rsid w:val="00D84A3A"/>
    <w:rsid w:val="00D863CC"/>
    <w:rsid w:val="00D90D24"/>
    <w:rsid w:val="00D90EBF"/>
    <w:rsid w:val="00D9611D"/>
    <w:rsid w:val="00D97463"/>
    <w:rsid w:val="00D9773D"/>
    <w:rsid w:val="00D97C6C"/>
    <w:rsid w:val="00DA4B88"/>
    <w:rsid w:val="00DA7EEA"/>
    <w:rsid w:val="00DB304D"/>
    <w:rsid w:val="00DB3AAA"/>
    <w:rsid w:val="00DC2D48"/>
    <w:rsid w:val="00DC3253"/>
    <w:rsid w:val="00DC5FA6"/>
    <w:rsid w:val="00DC6760"/>
    <w:rsid w:val="00DD30F7"/>
    <w:rsid w:val="00DD60C4"/>
    <w:rsid w:val="00DD736C"/>
    <w:rsid w:val="00DE222B"/>
    <w:rsid w:val="00DE5657"/>
    <w:rsid w:val="00DF0316"/>
    <w:rsid w:val="00DF0E5F"/>
    <w:rsid w:val="00DF11D0"/>
    <w:rsid w:val="00DF519C"/>
    <w:rsid w:val="00DF57DB"/>
    <w:rsid w:val="00E00339"/>
    <w:rsid w:val="00E0061B"/>
    <w:rsid w:val="00E014FE"/>
    <w:rsid w:val="00E025F4"/>
    <w:rsid w:val="00E04238"/>
    <w:rsid w:val="00E076E5"/>
    <w:rsid w:val="00E10F45"/>
    <w:rsid w:val="00E115F4"/>
    <w:rsid w:val="00E12E0B"/>
    <w:rsid w:val="00E1539A"/>
    <w:rsid w:val="00E16ECF"/>
    <w:rsid w:val="00E206EA"/>
    <w:rsid w:val="00E230B4"/>
    <w:rsid w:val="00E24CCA"/>
    <w:rsid w:val="00E254A0"/>
    <w:rsid w:val="00E267A1"/>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54679"/>
    <w:rsid w:val="00E6068D"/>
    <w:rsid w:val="00E61C32"/>
    <w:rsid w:val="00E62235"/>
    <w:rsid w:val="00E704F7"/>
    <w:rsid w:val="00E70C45"/>
    <w:rsid w:val="00E73382"/>
    <w:rsid w:val="00E756FE"/>
    <w:rsid w:val="00E75ABE"/>
    <w:rsid w:val="00E7646B"/>
    <w:rsid w:val="00E76542"/>
    <w:rsid w:val="00E76FF1"/>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D5D"/>
    <w:rsid w:val="00EA692F"/>
    <w:rsid w:val="00EB37A8"/>
    <w:rsid w:val="00EB40B0"/>
    <w:rsid w:val="00EB4443"/>
    <w:rsid w:val="00EB74BC"/>
    <w:rsid w:val="00EC16F8"/>
    <w:rsid w:val="00EC336E"/>
    <w:rsid w:val="00EC379F"/>
    <w:rsid w:val="00ED2C08"/>
    <w:rsid w:val="00ED3A64"/>
    <w:rsid w:val="00ED560D"/>
    <w:rsid w:val="00ED605B"/>
    <w:rsid w:val="00ED6B98"/>
    <w:rsid w:val="00ED6C94"/>
    <w:rsid w:val="00EE1040"/>
    <w:rsid w:val="00EE5B40"/>
    <w:rsid w:val="00EE7685"/>
    <w:rsid w:val="00EF0EA0"/>
    <w:rsid w:val="00EF35D0"/>
    <w:rsid w:val="00EF4C89"/>
    <w:rsid w:val="00EF5F9F"/>
    <w:rsid w:val="00EF64BD"/>
    <w:rsid w:val="00F0242A"/>
    <w:rsid w:val="00F05050"/>
    <w:rsid w:val="00F053EF"/>
    <w:rsid w:val="00F12FA6"/>
    <w:rsid w:val="00F141DF"/>
    <w:rsid w:val="00F15307"/>
    <w:rsid w:val="00F16041"/>
    <w:rsid w:val="00F17A7A"/>
    <w:rsid w:val="00F20CBE"/>
    <w:rsid w:val="00F216B1"/>
    <w:rsid w:val="00F25611"/>
    <w:rsid w:val="00F30A87"/>
    <w:rsid w:val="00F31DA3"/>
    <w:rsid w:val="00F3371D"/>
    <w:rsid w:val="00F35CBE"/>
    <w:rsid w:val="00F406A9"/>
    <w:rsid w:val="00F40BF4"/>
    <w:rsid w:val="00F41942"/>
    <w:rsid w:val="00F4261F"/>
    <w:rsid w:val="00F43674"/>
    <w:rsid w:val="00F43B0B"/>
    <w:rsid w:val="00F43BA6"/>
    <w:rsid w:val="00F51C02"/>
    <w:rsid w:val="00F5227C"/>
    <w:rsid w:val="00F54C78"/>
    <w:rsid w:val="00F55D28"/>
    <w:rsid w:val="00F57850"/>
    <w:rsid w:val="00F60A20"/>
    <w:rsid w:val="00F626E0"/>
    <w:rsid w:val="00F646A4"/>
    <w:rsid w:val="00F65C61"/>
    <w:rsid w:val="00F6667B"/>
    <w:rsid w:val="00F7027C"/>
    <w:rsid w:val="00F70333"/>
    <w:rsid w:val="00F73106"/>
    <w:rsid w:val="00F7494E"/>
    <w:rsid w:val="00F74B06"/>
    <w:rsid w:val="00F75171"/>
    <w:rsid w:val="00F80AFA"/>
    <w:rsid w:val="00F8155F"/>
    <w:rsid w:val="00F82D92"/>
    <w:rsid w:val="00F860A4"/>
    <w:rsid w:val="00F86357"/>
    <w:rsid w:val="00F93C02"/>
    <w:rsid w:val="00F95C7C"/>
    <w:rsid w:val="00FA106A"/>
    <w:rsid w:val="00FA13BE"/>
    <w:rsid w:val="00FA1B4B"/>
    <w:rsid w:val="00FA384A"/>
    <w:rsid w:val="00FA4229"/>
    <w:rsid w:val="00FA62BD"/>
    <w:rsid w:val="00FA65D1"/>
    <w:rsid w:val="00FA6CA0"/>
    <w:rsid w:val="00FA701F"/>
    <w:rsid w:val="00FB01B3"/>
    <w:rsid w:val="00FB5013"/>
    <w:rsid w:val="00FB507A"/>
    <w:rsid w:val="00FB6A28"/>
    <w:rsid w:val="00FB76CD"/>
    <w:rsid w:val="00FC662C"/>
    <w:rsid w:val="00FD0567"/>
    <w:rsid w:val="00FD2F99"/>
    <w:rsid w:val="00FD3B61"/>
    <w:rsid w:val="00FD5E0B"/>
    <w:rsid w:val="00FE4B51"/>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148644808">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6627700383605896"/>
          <c:y val="0.13293328253323172"/>
          <c:w val="0.47599367386768959"/>
          <c:h val="0.7485384387435442"/>
        </c:manualLayout>
      </c:layout>
      <c:pieChart>
        <c:varyColors val="1"/>
        <c:ser>
          <c:idx val="0"/>
          <c:order val="0"/>
          <c:tx>
            <c:strRef>
              <c:f>Sheet1!$B$1</c:f>
              <c:strCache>
                <c:ptCount val="1"/>
                <c:pt idx="0">
                  <c:v>Exports, 2022-Q3</c:v>
                </c:pt>
              </c:strCache>
            </c:strRef>
          </c:tx>
          <c:spPr>
            <a:ln>
              <a:solidFill>
                <a:schemeClr val="tx1"/>
              </a:solidFill>
            </a:ln>
          </c:spPr>
          <c:dPt>
            <c:idx val="0"/>
            <c:bubble3D val="0"/>
            <c:spPr>
              <a:solidFill>
                <a:schemeClr val="accent4">
                  <a:shade val="50000"/>
                </a:schemeClr>
              </a:solidFill>
              <a:ln>
                <a:solidFill>
                  <a:schemeClr val="tx1"/>
                </a:solidFill>
              </a:ln>
              <a:effectLst/>
            </c:spPr>
            <c:extLst>
              <c:ext xmlns:c16="http://schemas.microsoft.com/office/drawing/2014/chart" uri="{C3380CC4-5D6E-409C-BE32-E72D297353CC}">
                <c16:uniqueId val="{00000001-DEC3-414C-AA19-5CB577663378}"/>
              </c:ext>
            </c:extLst>
          </c:dPt>
          <c:dPt>
            <c:idx val="1"/>
            <c:bubble3D val="0"/>
            <c:spPr>
              <a:solidFill>
                <a:schemeClr val="accent4">
                  <a:shade val="70000"/>
                </a:schemeClr>
              </a:solidFill>
              <a:ln>
                <a:solidFill>
                  <a:schemeClr val="tx1"/>
                </a:solidFill>
              </a:ln>
              <a:effectLst/>
            </c:spPr>
            <c:extLst>
              <c:ext xmlns:c16="http://schemas.microsoft.com/office/drawing/2014/chart" uri="{C3380CC4-5D6E-409C-BE32-E72D297353CC}">
                <c16:uniqueId val="{00000003-DEC3-414C-AA19-5CB577663378}"/>
              </c:ext>
            </c:extLst>
          </c:dPt>
          <c:dPt>
            <c:idx val="2"/>
            <c:bubble3D val="0"/>
            <c:spPr>
              <a:solidFill>
                <a:schemeClr val="accent4">
                  <a:shade val="90000"/>
                </a:schemeClr>
              </a:solidFill>
              <a:ln>
                <a:solidFill>
                  <a:schemeClr val="tx1"/>
                </a:solidFill>
              </a:ln>
              <a:effectLst/>
            </c:spPr>
            <c:extLst>
              <c:ext xmlns:c16="http://schemas.microsoft.com/office/drawing/2014/chart" uri="{C3380CC4-5D6E-409C-BE32-E72D297353CC}">
                <c16:uniqueId val="{00000005-DEC3-414C-AA19-5CB577663378}"/>
              </c:ext>
            </c:extLst>
          </c:dPt>
          <c:dPt>
            <c:idx val="3"/>
            <c:bubble3D val="0"/>
            <c:spPr>
              <a:solidFill>
                <a:schemeClr val="accent4">
                  <a:tint val="90000"/>
                </a:schemeClr>
              </a:solidFill>
              <a:ln>
                <a:solidFill>
                  <a:schemeClr val="tx1"/>
                </a:solidFill>
              </a:ln>
              <a:effectLst/>
            </c:spPr>
            <c:extLst>
              <c:ext xmlns:c16="http://schemas.microsoft.com/office/drawing/2014/chart" uri="{C3380CC4-5D6E-409C-BE32-E72D297353CC}">
                <c16:uniqueId val="{00000007-DEC3-414C-AA19-5CB577663378}"/>
              </c:ext>
            </c:extLst>
          </c:dPt>
          <c:dPt>
            <c:idx val="4"/>
            <c:bubble3D val="0"/>
            <c:spPr>
              <a:solidFill>
                <a:schemeClr val="accent4">
                  <a:tint val="70000"/>
                </a:schemeClr>
              </a:solidFill>
              <a:ln>
                <a:solidFill>
                  <a:schemeClr val="tx1"/>
                </a:solidFill>
              </a:ln>
              <a:effectLst/>
            </c:spPr>
            <c:extLst>
              <c:ext xmlns:c16="http://schemas.microsoft.com/office/drawing/2014/chart" uri="{C3380CC4-5D6E-409C-BE32-E72D297353CC}">
                <c16:uniqueId val="{00000009-DEC3-414C-AA19-5CB577663378}"/>
              </c:ext>
            </c:extLst>
          </c:dPt>
          <c:dPt>
            <c:idx val="5"/>
            <c:bubble3D val="0"/>
            <c:spPr>
              <a:solidFill>
                <a:schemeClr val="accent4">
                  <a:tint val="50000"/>
                </a:schemeClr>
              </a:solidFill>
              <a:ln>
                <a:solidFill>
                  <a:schemeClr val="tx1"/>
                </a:solidFill>
              </a:ln>
              <a:effectLst/>
            </c:spPr>
            <c:extLst>
              <c:ext xmlns:c16="http://schemas.microsoft.com/office/drawing/2014/chart" uri="{C3380CC4-5D6E-409C-BE32-E72D297353CC}">
                <c16:uniqueId val="{0000000B-DEC3-414C-AA19-5CB577663378}"/>
              </c:ext>
            </c:extLst>
          </c:dPt>
          <c:dPt>
            <c:idx val="6"/>
            <c:bubble3D val="0"/>
            <c:spPr>
              <a:solidFill>
                <a:schemeClr val="accent4">
                  <a:tint val="30000"/>
                </a:schemeClr>
              </a:solidFill>
              <a:ln>
                <a:solidFill>
                  <a:schemeClr val="tx1"/>
                </a:solidFill>
              </a:ln>
              <a:effectLst/>
            </c:spPr>
            <c:extLst>
              <c:ext xmlns:c16="http://schemas.microsoft.com/office/drawing/2014/chart" uri="{C3380CC4-5D6E-409C-BE32-E72D297353CC}">
                <c16:uniqueId val="{0000000D-DEC3-414C-AA19-5CB577663378}"/>
              </c:ext>
            </c:extLst>
          </c:dPt>
          <c:dPt>
            <c:idx val="7"/>
            <c:bubble3D val="0"/>
            <c:spPr>
              <a:solidFill>
                <a:schemeClr val="accent4">
                  <a:tint val="10000"/>
                </a:schemeClr>
              </a:solidFill>
              <a:ln>
                <a:solidFill>
                  <a:schemeClr val="tx1"/>
                </a:solidFill>
              </a:ln>
              <a:effectLst/>
            </c:spPr>
            <c:extLst>
              <c:ext xmlns:c16="http://schemas.microsoft.com/office/drawing/2014/chart" uri="{C3380CC4-5D6E-409C-BE32-E72D297353CC}">
                <c16:uniqueId val="{0000000F-DEC3-414C-AA19-5CB577663378}"/>
              </c:ext>
            </c:extLst>
          </c:dPt>
          <c:dPt>
            <c:idx val="8"/>
            <c:bubble3D val="0"/>
            <c:spPr>
              <a:solidFill>
                <a:schemeClr val="accent4">
                  <a:tint val="90000"/>
                </a:schemeClr>
              </a:solidFill>
              <a:ln>
                <a:solidFill>
                  <a:schemeClr val="tx1"/>
                </a:solidFill>
              </a:ln>
              <a:effectLst/>
            </c:spPr>
            <c:extLst>
              <c:ext xmlns:c16="http://schemas.microsoft.com/office/drawing/2014/chart" uri="{C3380CC4-5D6E-409C-BE32-E72D297353CC}">
                <c16:uniqueId val="{00000011-DEC3-414C-AA19-5CB577663378}"/>
              </c:ext>
            </c:extLst>
          </c:dPt>
          <c:dLbls>
            <c:dLbl>
              <c:idx val="0"/>
              <c:layout>
                <c:manualLayout>
                  <c:x val="-1.4851268591425288E-3"/>
                  <c:y val="-0.10960968588603844"/>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2578740157480313"/>
                      <c:h val="0.3572215519431039"/>
                    </c:manualLayout>
                  </c15:layout>
                </c:ext>
                <c:ext xmlns:c16="http://schemas.microsoft.com/office/drawing/2014/chart" uri="{C3380CC4-5D6E-409C-BE32-E72D297353CC}">
                  <c16:uniqueId val="{00000001-DEC3-414C-AA19-5CB577663378}"/>
                </c:ext>
              </c:extLst>
            </c:dLbl>
            <c:dLbl>
              <c:idx val="1"/>
              <c:layout>
                <c:manualLayout>
                  <c:x val="0.36716283060771249"/>
                  <c:y val="-2.6458386250105835E-7"/>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5844471364156397"/>
                      <c:h val="0.17888091609516549"/>
                    </c:manualLayout>
                  </c15:layout>
                </c:ext>
                <c:ext xmlns:c16="http://schemas.microsoft.com/office/drawing/2014/chart" uri="{C3380CC4-5D6E-409C-BE32-E72D297353CC}">
                  <c16:uniqueId val="{00000003-DEC3-414C-AA19-5CB577663378}"/>
                </c:ext>
              </c:extLst>
            </c:dLbl>
            <c:dLbl>
              <c:idx val="2"/>
              <c:layout>
                <c:manualLayout>
                  <c:x val="5.7887475604011035E-3"/>
                  <c:y val="6.7512276691219925E-2"/>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541422706777036"/>
                      <c:h val="0.18923990347980696"/>
                    </c:manualLayout>
                  </c15:layout>
                </c:ext>
                <c:ext xmlns:c16="http://schemas.microsoft.com/office/drawing/2014/chart" uri="{C3380CC4-5D6E-409C-BE32-E72D297353CC}">
                  <c16:uniqueId val="{00000005-DEC3-414C-AA19-5CB577663378}"/>
                </c:ext>
              </c:extLst>
            </c:dLbl>
            <c:dLbl>
              <c:idx val="3"/>
              <c:layout>
                <c:manualLayout>
                  <c:x val="1.8266707046234606E-3"/>
                  <c:y val="8.0747555245110486E-2"/>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476916346995084"/>
                      <c:h val="0.25885033020066034"/>
                    </c:manualLayout>
                  </c15:layout>
                </c:ext>
                <c:ext xmlns:c16="http://schemas.microsoft.com/office/drawing/2014/chart" uri="{C3380CC4-5D6E-409C-BE32-E72D297353CC}">
                  <c16:uniqueId val="{00000007-DEC3-414C-AA19-5CB577663378}"/>
                </c:ext>
              </c:extLst>
            </c:dLbl>
            <c:dLbl>
              <c:idx val="4"/>
              <c:layout>
                <c:manualLayout>
                  <c:x val="-5.7439935392691302E-4"/>
                  <c:y val="5.6179620692574719E-2"/>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312706104044689"/>
                      <c:h val="0.30263895944458558"/>
                    </c:manualLayout>
                  </c15:layout>
                </c:ext>
                <c:ext xmlns:c16="http://schemas.microsoft.com/office/drawing/2014/chart" uri="{C3380CC4-5D6E-409C-BE32-E72D297353CC}">
                  <c16:uniqueId val="{00000009-DEC3-414C-AA19-5CB577663378}"/>
                </c:ext>
              </c:extLst>
            </c:dLbl>
            <c:dLbl>
              <c:idx val="5"/>
              <c:layout>
                <c:manualLayout>
                  <c:x val="9.0805908876775018E-2"/>
                  <c:y val="-2.1316728050122771E-2"/>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630897099401035"/>
                      <c:h val="0.1068516637033274"/>
                    </c:manualLayout>
                  </c15:layout>
                </c:ext>
                <c:ext xmlns:c16="http://schemas.microsoft.com/office/drawing/2014/chart" uri="{C3380CC4-5D6E-409C-BE32-E72D297353CC}">
                  <c16:uniqueId val="{0000000B-DEC3-414C-AA19-5CB577663378}"/>
                </c:ext>
              </c:extLst>
            </c:dLbl>
            <c:dLbl>
              <c:idx val="6"/>
              <c:layout>
                <c:manualLayout>
                  <c:x val="-6.4936913006356616E-3"/>
                  <c:y val="-1.8303109838542903E-2"/>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874837934414828"/>
                      <c:h val="0.13325180943291179"/>
                    </c:manualLayout>
                  </c15:layout>
                </c:ext>
                <c:ext xmlns:c16="http://schemas.microsoft.com/office/drawing/2014/chart" uri="{C3380CC4-5D6E-409C-BE32-E72D297353CC}">
                  <c16:uniqueId val="{0000000D-DEC3-414C-AA19-5CB577663378}"/>
                </c:ext>
              </c:extLst>
            </c:dLbl>
            <c:dLbl>
              <c:idx val="7"/>
              <c:layout>
                <c:manualLayout>
                  <c:x val="4.8112133573665235E-3"/>
                  <c:y val="-0.12375825180943291"/>
                </c:manualLayout>
              </c:layout>
              <c:spPr>
                <a:noFill/>
                <a:ln>
                  <a:noFill/>
                </a:ln>
                <a:effectLst/>
              </c:spPr>
              <c:txPr>
                <a:bodyPr rot="0" spcFirstLastPara="1" vertOverflow="ellipsis" vert="horz" wrap="square" lIns="38100" tIns="19050" rIns="38100" bIns="19050" anchor="ctr" anchorCtr="1">
                  <a:noAutofit/>
                </a:bodyPr>
                <a:lstStyle/>
                <a:p>
                  <a:pPr>
                    <a:defRPr sz="9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696802959870986"/>
                      <c:h val="0.18279696572019408"/>
                    </c:manualLayout>
                  </c15:layout>
                </c:ext>
                <c:ext xmlns:c16="http://schemas.microsoft.com/office/drawing/2014/chart" uri="{C3380CC4-5D6E-409C-BE32-E72D297353CC}">
                  <c16:uniqueId val="{0000000F-DEC3-414C-AA19-5CB577663378}"/>
                </c:ext>
              </c:extLst>
            </c:dLbl>
            <c:dLbl>
              <c:idx val="8"/>
              <c:layout>
                <c:manualLayout>
                  <c:x val="2.8112449799196824E-2"/>
                  <c:y val="-2.525252525252525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DEC3-414C-AA19-5CB577663378}"/>
                </c:ext>
              </c:extLst>
            </c:dLbl>
            <c:spPr>
              <a:noFill/>
              <a:ln>
                <a:noFill/>
              </a:ln>
              <a:effectLst/>
            </c:spPr>
            <c:txPr>
              <a:bodyPr rot="0" spcFirstLastPara="1" vertOverflow="ellipsis" vert="horz" wrap="square" lIns="38100" tIns="19050" rIns="38100" bIns="19050" anchor="ctr" anchorCtr="1">
                <a:spAutoFit/>
              </a:bodyPr>
              <a:lstStyle/>
              <a:p>
                <a:pPr>
                  <a:defRPr sz="95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Sheet1!$A$2:$A$7</c:f>
              <c:strCache>
                <c:ptCount val="6"/>
                <c:pt idx="0">
                  <c:v> Parts for Tractors, Public Transport Vehicles </c:v>
                </c:pt>
                <c:pt idx="1">
                  <c:v> For Passengers (incl. Snowmobiles, ATVs) </c:v>
                </c:pt>
                <c:pt idx="2">
                  <c:v> Special Purpose </c:v>
                </c:pt>
                <c:pt idx="3">
                  <c:v> 10+ Passenger </c:v>
                </c:pt>
                <c:pt idx="4">
                  <c:v> Trucks for Transporting Goods </c:v>
                </c:pt>
                <c:pt idx="5">
                  <c:v> Other </c:v>
                </c:pt>
              </c:strCache>
            </c:strRef>
          </c:cat>
          <c:val>
            <c:numRef>
              <c:f>Sheet1!$B$2:$B$7</c:f>
              <c:numCache>
                <c:formatCode>_("$"* #,##0_);_("$"* \(#,##0\);_("$"* "-"??_);_(@_)</c:formatCode>
                <c:ptCount val="6"/>
                <c:pt idx="0">
                  <c:v>148996498</c:v>
                </c:pt>
                <c:pt idx="1">
                  <c:v>94775223</c:v>
                </c:pt>
                <c:pt idx="2">
                  <c:v>37628192</c:v>
                </c:pt>
                <c:pt idx="3">
                  <c:v>28361798</c:v>
                </c:pt>
                <c:pt idx="4">
                  <c:v>20875308</c:v>
                </c:pt>
                <c:pt idx="5">
                  <c:v>48705736</c:v>
                </c:pt>
              </c:numCache>
            </c:numRef>
          </c:val>
          <c:extLst>
            <c:ext xmlns:c16="http://schemas.microsoft.com/office/drawing/2014/chart" uri="{C3380CC4-5D6E-409C-BE32-E72D297353CC}">
              <c16:uniqueId val="{00000012-DEC3-414C-AA19-5CB577663378}"/>
            </c:ext>
          </c:extLst>
        </c:ser>
        <c:ser>
          <c:idx val="1"/>
          <c:order val="1"/>
          <c:tx>
            <c:strRef>
              <c:f>Sheet1!$C$1</c:f>
              <c:strCache>
                <c:ptCount val="1"/>
                <c:pt idx="0">
                  <c:v>4HS</c:v>
                </c:pt>
              </c:strCache>
            </c:strRef>
          </c:tx>
          <c:dPt>
            <c:idx val="0"/>
            <c:bubble3D val="0"/>
            <c:spPr>
              <a:solidFill>
                <a:schemeClr val="accent4">
                  <a:shade val="50000"/>
                </a:schemeClr>
              </a:solidFill>
              <a:ln>
                <a:noFill/>
              </a:ln>
              <a:effectLst/>
            </c:spPr>
            <c:extLst>
              <c:ext xmlns:c16="http://schemas.microsoft.com/office/drawing/2014/chart" uri="{C3380CC4-5D6E-409C-BE32-E72D297353CC}">
                <c16:uniqueId val="{00000013-7B1B-49C9-B71B-9DD3EB825CD0}"/>
              </c:ext>
            </c:extLst>
          </c:dPt>
          <c:dPt>
            <c:idx val="1"/>
            <c:bubble3D val="0"/>
            <c:spPr>
              <a:solidFill>
                <a:schemeClr val="accent4">
                  <a:shade val="70000"/>
                </a:schemeClr>
              </a:solidFill>
              <a:ln>
                <a:noFill/>
              </a:ln>
              <a:effectLst/>
            </c:spPr>
            <c:extLst>
              <c:ext xmlns:c16="http://schemas.microsoft.com/office/drawing/2014/chart" uri="{C3380CC4-5D6E-409C-BE32-E72D297353CC}">
                <c16:uniqueId val="{00000015-7B1B-49C9-B71B-9DD3EB825CD0}"/>
              </c:ext>
            </c:extLst>
          </c:dPt>
          <c:dPt>
            <c:idx val="2"/>
            <c:bubble3D val="0"/>
            <c:spPr>
              <a:solidFill>
                <a:schemeClr val="accent4">
                  <a:shade val="90000"/>
                </a:schemeClr>
              </a:solidFill>
              <a:ln>
                <a:noFill/>
              </a:ln>
              <a:effectLst/>
            </c:spPr>
            <c:extLst>
              <c:ext xmlns:c16="http://schemas.microsoft.com/office/drawing/2014/chart" uri="{C3380CC4-5D6E-409C-BE32-E72D297353CC}">
                <c16:uniqueId val="{00000017-7B1B-49C9-B71B-9DD3EB825CD0}"/>
              </c:ext>
            </c:extLst>
          </c:dPt>
          <c:dPt>
            <c:idx val="3"/>
            <c:bubble3D val="0"/>
            <c:spPr>
              <a:solidFill>
                <a:schemeClr val="accent4">
                  <a:tint val="90000"/>
                </a:schemeClr>
              </a:solidFill>
              <a:ln>
                <a:noFill/>
              </a:ln>
              <a:effectLst/>
            </c:spPr>
            <c:extLst>
              <c:ext xmlns:c16="http://schemas.microsoft.com/office/drawing/2014/chart" uri="{C3380CC4-5D6E-409C-BE32-E72D297353CC}">
                <c16:uniqueId val="{00000019-7B1B-49C9-B71B-9DD3EB825CD0}"/>
              </c:ext>
            </c:extLst>
          </c:dPt>
          <c:dPt>
            <c:idx val="4"/>
            <c:bubble3D val="0"/>
            <c:spPr>
              <a:solidFill>
                <a:schemeClr val="accent4">
                  <a:tint val="70000"/>
                </a:schemeClr>
              </a:solidFill>
              <a:ln>
                <a:noFill/>
              </a:ln>
              <a:effectLst/>
            </c:spPr>
            <c:extLst>
              <c:ext xmlns:c16="http://schemas.microsoft.com/office/drawing/2014/chart" uri="{C3380CC4-5D6E-409C-BE32-E72D297353CC}">
                <c16:uniqueId val="{0000001B-7B1B-49C9-B71B-9DD3EB825CD0}"/>
              </c:ext>
            </c:extLst>
          </c:dPt>
          <c:dPt>
            <c:idx val="5"/>
            <c:bubble3D val="0"/>
            <c:spPr>
              <a:solidFill>
                <a:schemeClr val="accent4">
                  <a:tint val="50000"/>
                </a:schemeClr>
              </a:solidFill>
              <a:ln>
                <a:noFill/>
              </a:ln>
              <a:effectLst/>
            </c:spPr>
            <c:extLst>
              <c:ext xmlns:c16="http://schemas.microsoft.com/office/drawing/2014/chart" uri="{C3380CC4-5D6E-409C-BE32-E72D297353CC}">
                <c16:uniqueId val="{0000001D-7B1B-49C9-B71B-9DD3EB825CD0}"/>
              </c:ext>
            </c:extLst>
          </c:dPt>
          <c:cat>
            <c:strRef>
              <c:f>Sheet1!$A$2:$A$7</c:f>
              <c:strCache>
                <c:ptCount val="6"/>
                <c:pt idx="0">
                  <c:v> Parts for Tractors, Public Transport Vehicles </c:v>
                </c:pt>
                <c:pt idx="1">
                  <c:v> For Passengers (incl. Snowmobiles, ATVs) </c:v>
                </c:pt>
                <c:pt idx="2">
                  <c:v> Special Purpose </c:v>
                </c:pt>
                <c:pt idx="3">
                  <c:v> 10+ Passenger </c:v>
                </c:pt>
                <c:pt idx="4">
                  <c:v> Trucks for Transporting Goods </c:v>
                </c:pt>
                <c:pt idx="5">
                  <c:v> Other </c:v>
                </c:pt>
              </c:strCache>
            </c:strRef>
          </c:cat>
          <c:val>
            <c:numRef>
              <c:f>Sheet1!$C$2:$C$7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14-DEC3-414C-AA19-5CB57766337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241E-C408-459D-B989-CEB014E9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Minnesota Quarterly Export Statistics, 3rd Quarter 2022</vt:lpstr>
    </vt:vector>
  </TitlesOfParts>
  <Company>MN DEED</Company>
  <LinksUpToDate>false</LinksUpToDate>
  <CharactersWithSpaces>4556</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3rd Quarter 2022</dc:title>
  <dc:subject>Minnesota Quarterly Export Statistics</dc:subject>
  <dc:creator>Economic Analysis Unit (T. Ho-Kim)</dc:creator>
  <dc:description>3rd quarter 2022</dc:description>
  <cp:lastModifiedBy>Ho-Kim, Thu-Mai (DEED)</cp:lastModifiedBy>
  <cp:revision>3</cp:revision>
  <cp:lastPrinted>2019-05-30T13:24:00Z</cp:lastPrinted>
  <dcterms:created xsi:type="dcterms:W3CDTF">2022-11-17T18:05:00Z</dcterms:created>
  <dcterms:modified xsi:type="dcterms:W3CDTF">2022-11-17T18:17:00Z</dcterms:modified>
</cp:coreProperties>
</file>