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E8978" w14:textId="2FFCC49F" w:rsidR="00CE313B" w:rsidRPr="00F52AD7" w:rsidRDefault="00805147" w:rsidP="007F1C4A">
      <w:pPr>
        <w:tabs>
          <w:tab w:val="left" w:pos="360"/>
          <w:tab w:val="left" w:pos="6660"/>
        </w:tabs>
        <w:spacing w:after="240"/>
        <w:jc w:val="center"/>
        <w:sectPr w:rsidR="00CE313B" w:rsidRPr="00F52AD7" w:rsidSect="0055424F">
          <w:headerReference w:type="even" r:id="rId8"/>
          <w:headerReference w:type="default" r:id="rId9"/>
          <w:footerReference w:type="even" r:id="rId10"/>
          <w:footnotePr>
            <w:numRestart w:val="eachSect"/>
          </w:footnotePr>
          <w:endnotePr>
            <w:numFmt w:val="decimal"/>
          </w:endnotePr>
          <w:type w:val="continuous"/>
          <w:pgSz w:w="12240" w:h="15840" w:code="1"/>
          <w:pgMar w:top="720" w:right="1008" w:bottom="547" w:left="1008" w:header="720" w:footer="720" w:gutter="0"/>
          <w:cols w:space="720"/>
          <w:titlePg/>
          <w:docGrid w:linePitch="272"/>
        </w:sectPr>
      </w:pPr>
      <w:r w:rsidRPr="00F52AD7">
        <w:rPr>
          <w:noProof/>
        </w:rPr>
        <mc:AlternateContent>
          <mc:Choice Requires="wps">
            <w:drawing>
              <wp:anchor distT="0" distB="0" distL="114300" distR="114300" simplePos="0" relativeHeight="251656704" behindDoc="0" locked="0" layoutInCell="1" allowOverlap="1" wp14:anchorId="3957BDA5" wp14:editId="0F0FC5F5">
                <wp:simplePos x="0" y="0"/>
                <wp:positionH relativeFrom="margin">
                  <wp:align>center</wp:align>
                </wp:positionH>
                <wp:positionV relativeFrom="paragraph">
                  <wp:posOffset>1221292</wp:posOffset>
                </wp:positionV>
                <wp:extent cx="6303010" cy="419100"/>
                <wp:effectExtent l="0" t="0" r="0" b="0"/>
                <wp:wrapNone/>
                <wp:docPr id="2" name="Text Box 2" descr="MN Export statistics header banner.&#10;Data on Minnesota Exports for Fourth Quarter 2022 – Published MArch 2023&#10;For More Information: Alicia Cordes-Mayo (alicia.cordes-mayo@state.mn.us, 763-406-9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B0058" w14:textId="42255C72" w:rsidR="007F1C4A" w:rsidRPr="00B577E0" w:rsidRDefault="007F1C4A" w:rsidP="007F1C4A">
                            <w:pPr>
                              <w:pStyle w:val="NoSpacing"/>
                              <w:jc w:val="center"/>
                              <w:rPr>
                                <w:rStyle w:val="Emphasis"/>
                                <w:b/>
                              </w:rPr>
                            </w:pPr>
                            <w:r w:rsidRPr="00B577E0">
                              <w:rPr>
                                <w:rStyle w:val="Emphasis"/>
                                <w:b/>
                              </w:rPr>
                              <w:t>Dat</w:t>
                            </w:r>
                            <w:r w:rsidR="00B85149">
                              <w:rPr>
                                <w:rStyle w:val="Emphasis"/>
                                <w:b/>
                              </w:rPr>
                              <w:t>a</w:t>
                            </w:r>
                            <w:r w:rsidR="00856B05">
                              <w:rPr>
                                <w:rStyle w:val="Emphasis"/>
                                <w:b/>
                              </w:rPr>
                              <w:t xml:space="preserve"> on Minnesota Exports for </w:t>
                            </w:r>
                            <w:r w:rsidR="00222B8C">
                              <w:rPr>
                                <w:rStyle w:val="Emphasis"/>
                                <w:b/>
                              </w:rPr>
                              <w:t>Fourth</w:t>
                            </w:r>
                            <w:r w:rsidR="007818E5">
                              <w:rPr>
                                <w:rStyle w:val="Emphasis"/>
                                <w:b/>
                              </w:rPr>
                              <w:t xml:space="preserve"> Quarter </w:t>
                            </w:r>
                            <w:r w:rsidR="004205AD">
                              <w:rPr>
                                <w:rStyle w:val="Emphasis"/>
                                <w:b/>
                              </w:rPr>
                              <w:t>2022</w:t>
                            </w:r>
                            <w:r w:rsidR="00A43E28">
                              <w:rPr>
                                <w:rStyle w:val="Emphasis"/>
                                <w:b/>
                              </w:rPr>
                              <w:t xml:space="preserve"> – Published </w:t>
                            </w:r>
                            <w:r w:rsidR="00222B8C">
                              <w:rPr>
                                <w:rStyle w:val="Emphasis"/>
                                <w:b/>
                              </w:rPr>
                              <w:t>March</w:t>
                            </w:r>
                            <w:r w:rsidR="007818E5">
                              <w:rPr>
                                <w:rStyle w:val="Emphasis"/>
                                <w:b/>
                              </w:rPr>
                              <w:t xml:space="preserve"> 202</w:t>
                            </w:r>
                            <w:r w:rsidR="00222B8C">
                              <w:rPr>
                                <w:rStyle w:val="Emphasis"/>
                                <w:b/>
                              </w:rPr>
                              <w:t>3</w:t>
                            </w:r>
                          </w:p>
                          <w:p w14:paraId="63DE98A4" w14:textId="26B6B0A6" w:rsidR="004205AD" w:rsidRPr="00B577E0" w:rsidRDefault="004205AD" w:rsidP="004205AD">
                            <w:pPr>
                              <w:pStyle w:val="NoSpacing"/>
                              <w:jc w:val="center"/>
                              <w:rPr>
                                <w:rStyle w:val="Emphasis"/>
                                <w:b/>
                              </w:rPr>
                            </w:pPr>
                            <w:r>
                              <w:rPr>
                                <w:rStyle w:val="Emphasis"/>
                                <w:b/>
                              </w:rPr>
                              <w:t>For More Information</w:t>
                            </w:r>
                            <w:r w:rsidRPr="007818E5">
                              <w:rPr>
                                <w:rStyle w:val="Emphasis"/>
                              </w:rPr>
                              <w:t xml:space="preserve">: </w:t>
                            </w:r>
                            <w:r w:rsidRPr="00690C1B">
                              <w:rPr>
                                <w:rStyle w:val="Strong"/>
                                <w:i/>
                                <w:iCs/>
                              </w:rPr>
                              <w:t>Alicia Cordes-Mayo (</w:t>
                            </w:r>
                            <w:r w:rsidRPr="00690C1B">
                              <w:rPr>
                                <w:b/>
                                <w:bCs/>
                                <w:i/>
                                <w:iCs/>
                              </w:rPr>
                              <w:t>alicia.cordes-mayo@state.mn.us, 763-406-9965)</w:t>
                            </w:r>
                          </w:p>
                          <w:p w14:paraId="1C09E415" w14:textId="6D92B573" w:rsidR="00277712" w:rsidRPr="00B577E0" w:rsidRDefault="00277712" w:rsidP="00277712">
                            <w:pPr>
                              <w:pStyle w:val="NoSpacing"/>
                              <w:jc w:val="center"/>
                              <w:rPr>
                                <w:rStyle w:val="Emphasis"/>
                                <w:b/>
                              </w:rPr>
                            </w:pPr>
                          </w:p>
                          <w:p w14:paraId="34B91C04" w14:textId="5CC8BD10" w:rsidR="007F1C4A" w:rsidRPr="00B577E0" w:rsidRDefault="007F1C4A" w:rsidP="00277712">
                            <w:pPr>
                              <w:pStyle w:val="NoSpacing"/>
                              <w:jc w:val="center"/>
                              <w:rPr>
                                <w:rStyle w:val="Emphasi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7BDA5" id="_x0000_t202" coordsize="21600,21600" o:spt="202" path="m,l,21600r21600,l21600,xe">
                <v:stroke joinstyle="miter"/>
                <v:path gradientshapeok="t" o:connecttype="rect"/>
              </v:shapetype>
              <v:shape id="Text Box 2" o:spid="_x0000_s1026" type="#_x0000_t202" alt="MN Export statistics header banner.&#10;Data on Minnesota Exports for Fourth Quarter 2022 – Published MArch 2023&#10;For More Information: Alicia Cordes-Mayo (alicia.cordes-mayo@state.mn.us, 763-406-9965)" style="position:absolute;left:0;text-align:left;margin-left:0;margin-top:96.15pt;width:496.3pt;height:33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" filled="f" stroked="f">
                <v:textbox>
                  <w:txbxContent>
                    <w:p w14:paraId="482B0058" w14:textId="42255C72" w:rsidR="007F1C4A" w:rsidRPr="00B577E0" w:rsidRDefault="007F1C4A" w:rsidP="007F1C4A">
                      <w:pPr>
                        <w:pStyle w:val="NoSpacing"/>
                        <w:jc w:val="center"/>
                        <w:rPr>
                          <w:rStyle w:val="Emphasis"/>
                          <w:b/>
                        </w:rPr>
                      </w:pPr>
                      <w:r w:rsidRPr="00B577E0">
                        <w:rPr>
                          <w:rStyle w:val="Emphasis"/>
                          <w:b/>
                        </w:rPr>
                        <w:t>Dat</w:t>
                      </w:r>
                      <w:r w:rsidR="00B85149">
                        <w:rPr>
                          <w:rStyle w:val="Emphasis"/>
                          <w:b/>
                        </w:rPr>
                        <w:t>a</w:t>
                      </w:r>
                      <w:r w:rsidR="00856B05">
                        <w:rPr>
                          <w:rStyle w:val="Emphasis"/>
                          <w:b/>
                        </w:rPr>
                        <w:t xml:space="preserve"> on Minnesota Exports for </w:t>
                      </w:r>
                      <w:r w:rsidR="00222B8C">
                        <w:rPr>
                          <w:rStyle w:val="Emphasis"/>
                          <w:b/>
                        </w:rPr>
                        <w:t>Fourth</w:t>
                      </w:r>
                      <w:r w:rsidR="007818E5">
                        <w:rPr>
                          <w:rStyle w:val="Emphasis"/>
                          <w:b/>
                        </w:rPr>
                        <w:t xml:space="preserve"> Quarter </w:t>
                      </w:r>
                      <w:r w:rsidR="004205AD">
                        <w:rPr>
                          <w:rStyle w:val="Emphasis"/>
                          <w:b/>
                        </w:rPr>
                        <w:t>2022</w:t>
                      </w:r>
                      <w:r w:rsidR="00A43E28">
                        <w:rPr>
                          <w:rStyle w:val="Emphasis"/>
                          <w:b/>
                        </w:rPr>
                        <w:t xml:space="preserve"> – Published </w:t>
                      </w:r>
                      <w:r w:rsidR="00222B8C">
                        <w:rPr>
                          <w:rStyle w:val="Emphasis"/>
                          <w:b/>
                        </w:rPr>
                        <w:t>March</w:t>
                      </w:r>
                      <w:r w:rsidR="007818E5">
                        <w:rPr>
                          <w:rStyle w:val="Emphasis"/>
                          <w:b/>
                        </w:rPr>
                        <w:t xml:space="preserve"> 202</w:t>
                      </w:r>
                      <w:r w:rsidR="00222B8C">
                        <w:rPr>
                          <w:rStyle w:val="Emphasis"/>
                          <w:b/>
                        </w:rPr>
                        <w:t>3</w:t>
                      </w:r>
                    </w:p>
                    <w:p w14:paraId="63DE98A4" w14:textId="26B6B0A6" w:rsidR="004205AD" w:rsidRPr="00B577E0" w:rsidRDefault="004205AD" w:rsidP="004205AD">
                      <w:pPr>
                        <w:pStyle w:val="NoSpacing"/>
                        <w:jc w:val="center"/>
                        <w:rPr>
                          <w:rStyle w:val="Emphasis"/>
                          <w:b/>
                        </w:rPr>
                      </w:pPr>
                      <w:r>
                        <w:rPr>
                          <w:rStyle w:val="Emphasis"/>
                          <w:b/>
                        </w:rPr>
                        <w:t>For More Information</w:t>
                      </w:r>
                      <w:r w:rsidRPr="007818E5">
                        <w:rPr>
                          <w:rStyle w:val="Emphasis"/>
                        </w:rPr>
                        <w:t xml:space="preserve">: </w:t>
                      </w:r>
                      <w:r w:rsidRPr="00690C1B">
                        <w:rPr>
                          <w:rStyle w:val="Strong"/>
                          <w:i/>
                          <w:iCs/>
                        </w:rPr>
                        <w:t>Alicia Cordes-Mayo (</w:t>
                      </w:r>
                      <w:r w:rsidRPr="00690C1B">
                        <w:rPr>
                          <w:b/>
                          <w:bCs/>
                          <w:i/>
                          <w:iCs/>
                        </w:rPr>
                        <w:t>alicia.cordes-mayo@state.mn.us, 763-406-9965)</w:t>
                      </w:r>
                    </w:p>
                    <w:p w14:paraId="1C09E415" w14:textId="6D92B573" w:rsidR="00277712" w:rsidRPr="00B577E0" w:rsidRDefault="00277712" w:rsidP="00277712">
                      <w:pPr>
                        <w:pStyle w:val="NoSpacing"/>
                        <w:jc w:val="center"/>
                        <w:rPr>
                          <w:rStyle w:val="Emphasis"/>
                          <w:b/>
                        </w:rPr>
                      </w:pPr>
                    </w:p>
                    <w:p w14:paraId="34B91C04" w14:textId="5CC8BD10" w:rsidR="007F1C4A" w:rsidRPr="00B577E0" w:rsidRDefault="007F1C4A" w:rsidP="00277712">
                      <w:pPr>
                        <w:pStyle w:val="NoSpacing"/>
                        <w:jc w:val="center"/>
                        <w:rPr>
                          <w:rStyle w:val="Emphasis"/>
                          <w:b/>
                        </w:rPr>
                      </w:pPr>
                    </w:p>
                  </w:txbxContent>
                </v:textbox>
                <w10:wrap anchorx="margin"/>
              </v:shape>
            </w:pict>
          </mc:Fallback>
        </mc:AlternateContent>
      </w:r>
      <w:r w:rsidRPr="00421F72">
        <w:rPr>
          <w:noProof/>
        </w:rPr>
        <w:drawing>
          <wp:inline distT="0" distB="0" distL="0" distR="0" wp14:anchorId="53A6552B" wp14:editId="0E027840">
            <wp:extent cx="6492240" cy="1135380"/>
            <wp:effectExtent l="0" t="0" r="3810" b="7620"/>
            <wp:docPr id="8" name="Picture 8" descr="MN Export statistics header banner.&#10;Data on Minnesota Exports for Fourth Quarter 2022 – Published MArch 2023&#10;For More Information: Alicia Cordes-Mayo (alicia.cordes-mayo@state.mn.us, 763-406-9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N Export statistics header banner.&#10;Data on Minnesota Exports for Fourth Quarter 2022 – Published MArch 2023&#10;For More Information: Alicia Cordes-Mayo (alicia.cordes-mayo@state.mn.us, 763-406-996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92240" cy="1135380"/>
                    </a:xfrm>
                    <a:prstGeom prst="rect">
                      <a:avLst/>
                    </a:prstGeom>
                  </pic:spPr>
                </pic:pic>
              </a:graphicData>
            </a:graphic>
          </wp:inline>
        </w:drawing>
      </w:r>
    </w:p>
    <w:p w14:paraId="18DCA261" w14:textId="478F6C7A" w:rsidR="00641D3B" w:rsidRPr="00F52AD7" w:rsidRDefault="00C23DAA" w:rsidP="001A2004">
      <w:pPr>
        <w:pStyle w:val="Heading1"/>
        <w:spacing w:before="780" w:after="120"/>
        <w:rPr>
          <w:rFonts w:asciiTheme="minorHAnsi" w:hAnsiTheme="minorHAnsi"/>
          <w:color w:val="auto"/>
          <w:sz w:val="36"/>
          <w:szCs w:val="30"/>
        </w:rPr>
        <w:sectPr w:rsidR="00641D3B" w:rsidRPr="00F52AD7" w:rsidSect="00641D3B">
          <w:footnotePr>
            <w:numRestart w:val="eachSect"/>
          </w:footnotePr>
          <w:endnotePr>
            <w:numFmt w:val="decimal"/>
          </w:endnotePr>
          <w:type w:val="continuous"/>
          <w:pgSz w:w="12240" w:h="15840" w:code="1"/>
          <w:pgMar w:top="720" w:right="1008" w:bottom="547" w:left="1008" w:header="720" w:footer="720" w:gutter="0"/>
          <w:cols w:space="720"/>
          <w:titlePg/>
          <w:docGrid w:linePitch="272"/>
        </w:sectPr>
      </w:pPr>
      <w:r w:rsidRPr="00F52AD7">
        <w:rPr>
          <w:rFonts w:asciiTheme="minorHAnsi" w:hAnsiTheme="minorHAnsi"/>
          <w:color w:val="auto"/>
          <w:sz w:val="36"/>
          <w:szCs w:val="30"/>
        </w:rPr>
        <w:t>State Export</w:t>
      </w:r>
      <w:r w:rsidR="00992045" w:rsidRPr="00F52AD7">
        <w:rPr>
          <w:rFonts w:asciiTheme="minorHAnsi" w:hAnsiTheme="minorHAnsi"/>
          <w:color w:val="auto"/>
          <w:sz w:val="36"/>
          <w:szCs w:val="30"/>
        </w:rPr>
        <w:t>s</w:t>
      </w:r>
      <w:r w:rsidR="00034184" w:rsidRPr="00F52AD7">
        <w:rPr>
          <w:rFonts w:asciiTheme="minorHAnsi" w:hAnsiTheme="minorHAnsi"/>
          <w:color w:val="auto"/>
          <w:sz w:val="36"/>
          <w:szCs w:val="30"/>
        </w:rPr>
        <w:t xml:space="preserve"> </w:t>
      </w:r>
      <w:r w:rsidR="00B020E2" w:rsidRPr="00F52AD7">
        <w:rPr>
          <w:rFonts w:asciiTheme="minorHAnsi" w:hAnsiTheme="minorHAnsi"/>
          <w:color w:val="auto"/>
          <w:sz w:val="36"/>
          <w:szCs w:val="30"/>
        </w:rPr>
        <w:t xml:space="preserve">Surpass </w:t>
      </w:r>
      <w:r w:rsidR="004205AD" w:rsidRPr="00F52AD7">
        <w:rPr>
          <w:rFonts w:asciiTheme="minorHAnsi" w:hAnsiTheme="minorHAnsi"/>
          <w:color w:val="auto"/>
          <w:sz w:val="36"/>
          <w:szCs w:val="30"/>
        </w:rPr>
        <w:t>$7 Billion</w:t>
      </w:r>
      <w:r w:rsidR="00AF01A8" w:rsidRPr="00F52AD7">
        <w:rPr>
          <w:rFonts w:asciiTheme="minorHAnsi" w:hAnsiTheme="minorHAnsi"/>
          <w:color w:val="auto"/>
          <w:sz w:val="36"/>
          <w:szCs w:val="30"/>
        </w:rPr>
        <w:t xml:space="preserve"> </w:t>
      </w:r>
      <w:r w:rsidR="00BD6641" w:rsidRPr="00F52AD7">
        <w:rPr>
          <w:rFonts w:asciiTheme="minorHAnsi" w:hAnsiTheme="minorHAnsi"/>
          <w:color w:val="auto"/>
          <w:sz w:val="36"/>
          <w:szCs w:val="30"/>
        </w:rPr>
        <w:t xml:space="preserve">in </w:t>
      </w:r>
      <w:r w:rsidR="003E71E6" w:rsidRPr="00F52AD7">
        <w:rPr>
          <w:rFonts w:asciiTheme="minorHAnsi" w:hAnsiTheme="minorHAnsi"/>
          <w:color w:val="auto"/>
          <w:sz w:val="36"/>
          <w:szCs w:val="30"/>
        </w:rPr>
        <w:t>Fourth</w:t>
      </w:r>
      <w:r w:rsidR="00BD6641" w:rsidRPr="00F52AD7">
        <w:rPr>
          <w:rFonts w:asciiTheme="minorHAnsi" w:hAnsiTheme="minorHAnsi"/>
          <w:color w:val="auto"/>
          <w:sz w:val="36"/>
          <w:szCs w:val="30"/>
        </w:rPr>
        <w:t xml:space="preserve"> Quarter</w:t>
      </w:r>
      <w:r w:rsidR="00AF01A8" w:rsidRPr="00F52AD7">
        <w:rPr>
          <w:rFonts w:asciiTheme="minorHAnsi" w:hAnsiTheme="minorHAnsi"/>
          <w:color w:val="auto"/>
          <w:sz w:val="36"/>
          <w:szCs w:val="30"/>
        </w:rPr>
        <w:t xml:space="preserve">, </w:t>
      </w:r>
      <w:r w:rsidR="00F52AD7" w:rsidRPr="00F52AD7">
        <w:rPr>
          <w:rFonts w:asciiTheme="minorHAnsi" w:hAnsiTheme="minorHAnsi"/>
          <w:color w:val="auto"/>
          <w:sz w:val="36"/>
          <w:szCs w:val="30"/>
        </w:rPr>
        <w:t>Gaining</w:t>
      </w:r>
      <w:r w:rsidR="00AF01A8" w:rsidRPr="00F52AD7">
        <w:rPr>
          <w:rFonts w:asciiTheme="minorHAnsi" w:hAnsiTheme="minorHAnsi"/>
          <w:color w:val="auto"/>
          <w:sz w:val="36"/>
          <w:szCs w:val="30"/>
        </w:rPr>
        <w:t xml:space="preserve"> </w:t>
      </w:r>
      <w:r w:rsidR="003E71E6" w:rsidRPr="00F52AD7">
        <w:rPr>
          <w:rFonts w:asciiTheme="minorHAnsi" w:hAnsiTheme="minorHAnsi"/>
          <w:color w:val="auto"/>
          <w:sz w:val="36"/>
          <w:szCs w:val="30"/>
        </w:rPr>
        <w:t>12</w:t>
      </w:r>
      <w:r w:rsidR="00AF01A8" w:rsidRPr="00F52AD7">
        <w:rPr>
          <w:rFonts w:asciiTheme="minorHAnsi" w:hAnsiTheme="minorHAnsi"/>
          <w:color w:val="auto"/>
          <w:sz w:val="36"/>
          <w:szCs w:val="30"/>
        </w:rPr>
        <w:t>%</w:t>
      </w:r>
    </w:p>
    <w:p w14:paraId="23F3562F" w14:textId="660CF3CD" w:rsidR="00E54679" w:rsidRPr="00F52AD7" w:rsidRDefault="007F1C4A" w:rsidP="00684376">
      <w:pPr>
        <w:pStyle w:val="ListParagraph"/>
        <w:numPr>
          <w:ilvl w:val="0"/>
          <w:numId w:val="9"/>
        </w:numPr>
        <w:spacing w:after="0"/>
      </w:pPr>
      <w:r w:rsidRPr="00F52AD7">
        <w:t xml:space="preserve">Minnesota exports </w:t>
      </w:r>
      <w:r w:rsidR="00B83DF0" w:rsidRPr="00F52AD7">
        <w:t>of goods (</w:t>
      </w:r>
      <w:r w:rsidRPr="00F52AD7">
        <w:t xml:space="preserve">including agricultural, </w:t>
      </w:r>
      <w:proofErr w:type="gramStart"/>
      <w:r w:rsidRPr="00F52AD7">
        <w:t>mining</w:t>
      </w:r>
      <w:proofErr w:type="gramEnd"/>
      <w:r w:rsidRPr="00F52AD7">
        <w:t xml:space="preserve"> and manufact</w:t>
      </w:r>
      <w:r w:rsidR="00A02A94" w:rsidRPr="00F52AD7">
        <w:t xml:space="preserve">ured products) </w:t>
      </w:r>
      <w:r w:rsidR="00034184" w:rsidRPr="00F52AD7">
        <w:t>reached</w:t>
      </w:r>
      <w:r w:rsidR="00E92FA6" w:rsidRPr="00F52AD7">
        <w:t xml:space="preserve"> $</w:t>
      </w:r>
      <w:r w:rsidR="004205AD" w:rsidRPr="00F52AD7">
        <w:t>7</w:t>
      </w:r>
      <w:r w:rsidR="00034184" w:rsidRPr="00F52AD7">
        <w:t>.2</w:t>
      </w:r>
      <w:r w:rsidR="00C23DAA" w:rsidRPr="00F52AD7">
        <w:t xml:space="preserve"> billion</w:t>
      </w:r>
      <w:r w:rsidR="00DB304D" w:rsidRPr="00F52AD7">
        <w:t xml:space="preserve"> in the </w:t>
      </w:r>
      <w:r w:rsidR="003E71E6" w:rsidRPr="00F52AD7">
        <w:t>fourth</w:t>
      </w:r>
      <w:r w:rsidR="00DB304D" w:rsidRPr="00F52AD7">
        <w:t xml:space="preserve"> quarter of </w:t>
      </w:r>
      <w:r w:rsidR="004205AD" w:rsidRPr="00F52AD7">
        <w:t>2022</w:t>
      </w:r>
      <w:r w:rsidR="004C2480" w:rsidRPr="00F52AD7">
        <w:t xml:space="preserve"> – </w:t>
      </w:r>
      <w:r w:rsidR="00034184" w:rsidRPr="00F52AD7">
        <w:t xml:space="preserve">making it the second </w:t>
      </w:r>
      <w:r w:rsidR="00B020E2" w:rsidRPr="00F52AD7">
        <w:t>consecutive quarter of over</w:t>
      </w:r>
      <w:r w:rsidR="00034184" w:rsidRPr="00F52AD7">
        <w:t xml:space="preserve"> $7 billion in exports</w:t>
      </w:r>
      <w:r w:rsidR="004C2480" w:rsidRPr="00F52AD7">
        <w:t>.</w:t>
      </w:r>
      <w:r w:rsidR="00DB304D" w:rsidRPr="00F52AD7">
        <w:t xml:space="preserve"> </w:t>
      </w:r>
      <w:r w:rsidR="004C2480" w:rsidRPr="00F52AD7">
        <w:t xml:space="preserve">Exports </w:t>
      </w:r>
      <w:r w:rsidR="001605DD" w:rsidRPr="00F52AD7">
        <w:t>increas</w:t>
      </w:r>
      <w:r w:rsidR="004C2480" w:rsidRPr="00F52AD7">
        <w:t xml:space="preserve">ed </w:t>
      </w:r>
      <w:r w:rsidR="00034184" w:rsidRPr="00F52AD7">
        <w:t>1</w:t>
      </w:r>
      <w:r w:rsidR="004C2480" w:rsidRPr="00F52AD7">
        <w:t xml:space="preserve">2% – </w:t>
      </w:r>
      <w:r w:rsidR="00B5144B" w:rsidRPr="00F52AD7">
        <w:t>or</w:t>
      </w:r>
      <w:r w:rsidR="0066205A" w:rsidRPr="00F52AD7">
        <w:t xml:space="preserve"> </w:t>
      </w:r>
      <w:r w:rsidR="00B020E2" w:rsidRPr="00F52AD7">
        <w:t xml:space="preserve">up </w:t>
      </w:r>
      <w:r w:rsidR="00B5144B" w:rsidRPr="00F52AD7">
        <w:t>$</w:t>
      </w:r>
      <w:r w:rsidR="00134B33">
        <w:t>781</w:t>
      </w:r>
      <w:r w:rsidR="00C23DAA" w:rsidRPr="00F52AD7">
        <w:t xml:space="preserve"> </w:t>
      </w:r>
      <w:r w:rsidR="00034184" w:rsidRPr="00F52AD7">
        <w:t>m</w:t>
      </w:r>
      <w:r w:rsidR="00C23DAA" w:rsidRPr="00F52AD7">
        <w:t>illion</w:t>
      </w:r>
      <w:r w:rsidR="004C2480" w:rsidRPr="00F52AD7">
        <w:t xml:space="preserve"> – </w:t>
      </w:r>
      <w:r w:rsidR="00E54679" w:rsidRPr="00F52AD7">
        <w:t xml:space="preserve">between the </w:t>
      </w:r>
      <w:r w:rsidR="00034184" w:rsidRPr="00F52AD7">
        <w:t>fourth</w:t>
      </w:r>
      <w:r w:rsidR="00E54679" w:rsidRPr="00F52AD7">
        <w:t xml:space="preserve"> quarters of 2021 and 2022.</w:t>
      </w:r>
    </w:p>
    <w:p w14:paraId="46069970" w14:textId="00B44DD7" w:rsidR="006D7A33" w:rsidRPr="00F52AD7" w:rsidRDefault="00C97041" w:rsidP="00684376">
      <w:pPr>
        <w:pStyle w:val="ListParagraph"/>
        <w:numPr>
          <w:ilvl w:val="0"/>
          <w:numId w:val="9"/>
        </w:numPr>
        <w:spacing w:after="0"/>
      </w:pPr>
      <w:r w:rsidRPr="00F52AD7">
        <w:t>U.S. exports</w:t>
      </w:r>
      <w:r w:rsidR="00742415" w:rsidRPr="00F52AD7">
        <w:t xml:space="preserve"> of goods</w:t>
      </w:r>
      <w:r w:rsidR="00C23DAA" w:rsidRPr="00F52AD7">
        <w:t xml:space="preserve"> </w:t>
      </w:r>
      <w:r w:rsidR="00A65EA2" w:rsidRPr="00F52AD7">
        <w:t>g</w:t>
      </w:r>
      <w:r w:rsidR="00CE31D3" w:rsidRPr="00F52AD7">
        <w:t>rew</w:t>
      </w:r>
      <w:r w:rsidR="00C057FE" w:rsidRPr="00F52AD7">
        <w:t xml:space="preserve"> </w:t>
      </w:r>
      <w:r w:rsidR="00034184" w:rsidRPr="00F52AD7">
        <w:t>8</w:t>
      </w:r>
      <w:r w:rsidR="007818E5" w:rsidRPr="00F52AD7">
        <w:t>%</w:t>
      </w:r>
      <w:r w:rsidR="00521967" w:rsidRPr="00F52AD7">
        <w:t xml:space="preserve"> </w:t>
      </w:r>
      <w:r w:rsidR="00E54679" w:rsidRPr="00F52AD7">
        <w:t>in the same period</w:t>
      </w:r>
      <w:r w:rsidR="00134B33">
        <w:t xml:space="preserve">, with exports from </w:t>
      </w:r>
      <w:r w:rsidR="00034184" w:rsidRPr="00F52AD7">
        <w:t>37 states</w:t>
      </w:r>
      <w:r w:rsidR="00134B33">
        <w:t xml:space="preserve"> growing over 2021.</w:t>
      </w:r>
    </w:p>
    <w:p w14:paraId="06392D44" w14:textId="65CC5CCF" w:rsidR="006D7A33" w:rsidRPr="00F52AD7" w:rsidRDefault="00692D3B" w:rsidP="006D7A33">
      <w:pPr>
        <w:pStyle w:val="ListParagraph"/>
        <w:numPr>
          <w:ilvl w:val="0"/>
          <w:numId w:val="9"/>
        </w:numPr>
        <w:spacing w:after="0"/>
      </w:pPr>
      <w:r w:rsidRPr="00F52AD7">
        <w:t xml:space="preserve">Minnesota </w:t>
      </w:r>
      <w:r w:rsidRPr="00F52AD7">
        <w:rPr>
          <w:i/>
        </w:rPr>
        <w:t>manufactured</w:t>
      </w:r>
      <w:r w:rsidR="001F7EBF" w:rsidRPr="00F52AD7">
        <w:t xml:space="preserve"> exports</w:t>
      </w:r>
      <w:r w:rsidR="00DD736C" w:rsidRPr="00F52AD7">
        <w:t xml:space="preserve"> </w:t>
      </w:r>
      <w:r w:rsidR="00C931B5" w:rsidRPr="00F52AD7">
        <w:t>expanded</w:t>
      </w:r>
      <w:r w:rsidR="0066205A" w:rsidRPr="00F52AD7">
        <w:t xml:space="preserve"> by</w:t>
      </w:r>
      <w:r w:rsidR="00C931B5" w:rsidRPr="00F52AD7">
        <w:t xml:space="preserve"> </w:t>
      </w:r>
      <w:r w:rsidR="00034184" w:rsidRPr="00F52AD7">
        <w:t>8</w:t>
      </w:r>
      <w:r w:rsidR="00742415" w:rsidRPr="00F52AD7">
        <w:t>%</w:t>
      </w:r>
      <w:r w:rsidR="00C97041" w:rsidRPr="00F52AD7">
        <w:t xml:space="preserve"> to </w:t>
      </w:r>
      <w:r w:rsidR="00C23DAA" w:rsidRPr="00F52AD7">
        <w:t>$</w:t>
      </w:r>
      <w:r w:rsidR="00901F87" w:rsidRPr="00F52AD7">
        <w:t>6</w:t>
      </w:r>
      <w:r w:rsidR="00C931B5" w:rsidRPr="00F52AD7">
        <w:t>.</w:t>
      </w:r>
      <w:r w:rsidR="00034184" w:rsidRPr="00F52AD7">
        <w:t>2</w:t>
      </w:r>
      <w:r w:rsidR="004A3CC9" w:rsidRPr="00F52AD7">
        <w:t xml:space="preserve"> billion</w:t>
      </w:r>
      <w:r w:rsidRPr="00F52AD7">
        <w:t xml:space="preserve"> </w:t>
      </w:r>
      <w:r w:rsidR="00901F87" w:rsidRPr="00F52AD7">
        <w:t>during this period, while</w:t>
      </w:r>
      <w:r w:rsidR="00C23DAA" w:rsidRPr="00F52AD7">
        <w:t xml:space="preserve"> </w:t>
      </w:r>
      <w:r w:rsidR="00E42787" w:rsidRPr="00F52AD7">
        <w:t>U.S</w:t>
      </w:r>
      <w:r w:rsidR="00742415" w:rsidRPr="00F52AD7">
        <w:t xml:space="preserve">. </w:t>
      </w:r>
      <w:r w:rsidR="00742415" w:rsidRPr="00F52AD7">
        <w:rPr>
          <w:i/>
        </w:rPr>
        <w:t>manufactured</w:t>
      </w:r>
      <w:r w:rsidR="00742415" w:rsidRPr="00F52AD7">
        <w:t xml:space="preserve"> exports </w:t>
      </w:r>
      <w:r w:rsidR="00A65EA2" w:rsidRPr="00F52AD7">
        <w:t>were up</w:t>
      </w:r>
      <w:r w:rsidR="00C23DAA" w:rsidRPr="00F52AD7">
        <w:t xml:space="preserve"> </w:t>
      </w:r>
      <w:r w:rsidR="00034184" w:rsidRPr="00F52AD7">
        <w:t>7</w:t>
      </w:r>
      <w:r w:rsidR="007818E5" w:rsidRPr="00F52AD7">
        <w:t>%</w:t>
      </w:r>
      <w:r w:rsidR="00557377" w:rsidRPr="00F52AD7">
        <w:t>.</w:t>
      </w:r>
    </w:p>
    <w:p w14:paraId="5F47C972" w14:textId="10528B38" w:rsidR="00A65EA2" w:rsidRPr="00F52AD7" w:rsidRDefault="00AA5A71" w:rsidP="00A65EA2">
      <w:pPr>
        <w:pStyle w:val="ListParagraph"/>
        <w:numPr>
          <w:ilvl w:val="0"/>
          <w:numId w:val="9"/>
        </w:numPr>
        <w:spacing w:after="0"/>
      </w:pPr>
      <w:r w:rsidRPr="00F52AD7">
        <w:t>For</w:t>
      </w:r>
      <w:r w:rsidR="00A65EA2" w:rsidRPr="00F52AD7">
        <w:t xml:space="preserve"> </w:t>
      </w:r>
      <w:r w:rsidR="00034184" w:rsidRPr="00F52AD7">
        <w:t xml:space="preserve">the year, </w:t>
      </w:r>
      <w:r w:rsidR="00901F87" w:rsidRPr="00F52AD7">
        <w:t xml:space="preserve">the </w:t>
      </w:r>
      <w:r w:rsidR="00A65EA2" w:rsidRPr="00F52AD7">
        <w:t>state</w:t>
      </w:r>
      <w:r w:rsidR="00901F87" w:rsidRPr="00F52AD7">
        <w:t>’s</w:t>
      </w:r>
      <w:r w:rsidR="00A65EA2" w:rsidRPr="00F52AD7">
        <w:t xml:space="preserve"> </w:t>
      </w:r>
      <w:r w:rsidR="00E9144E" w:rsidRPr="00F52AD7">
        <w:t>exports</w:t>
      </w:r>
      <w:r w:rsidR="00901F87" w:rsidRPr="00F52AD7">
        <w:t xml:space="preserve"> of goods</w:t>
      </w:r>
      <w:r w:rsidR="00E9144E" w:rsidRPr="00F52AD7">
        <w:t xml:space="preserve"> </w:t>
      </w:r>
      <w:r w:rsidR="008C43A8" w:rsidRPr="00F52AD7">
        <w:t>grew</w:t>
      </w:r>
      <w:r w:rsidR="00C23DAA" w:rsidRPr="00F52AD7">
        <w:t xml:space="preserve"> </w:t>
      </w:r>
      <w:r w:rsidR="008C43A8" w:rsidRPr="00F52AD7">
        <w:t>1</w:t>
      </w:r>
      <w:r w:rsidR="00034184" w:rsidRPr="00F52AD7">
        <w:t>6</w:t>
      </w:r>
      <w:r w:rsidR="00C23DAA" w:rsidRPr="00F52AD7">
        <w:t>%</w:t>
      </w:r>
      <w:r w:rsidR="006815A5" w:rsidRPr="00F52AD7">
        <w:t xml:space="preserve"> </w:t>
      </w:r>
      <w:r w:rsidR="00DD5F6D" w:rsidRPr="00F52AD7">
        <w:t>over 2021</w:t>
      </w:r>
      <w:r w:rsidR="006815A5" w:rsidRPr="00F52AD7">
        <w:t>, while</w:t>
      </w:r>
      <w:r w:rsidR="00CE31D3" w:rsidRPr="00F52AD7">
        <w:t xml:space="preserve"> </w:t>
      </w:r>
      <w:r w:rsidR="00E9144E" w:rsidRPr="00F52AD7">
        <w:t xml:space="preserve">U.S. </w:t>
      </w:r>
      <w:r w:rsidR="00C23DAA" w:rsidRPr="00F52AD7">
        <w:t xml:space="preserve">exports </w:t>
      </w:r>
      <w:r w:rsidR="00A65EA2" w:rsidRPr="00F52AD7">
        <w:t>grew</w:t>
      </w:r>
      <w:r w:rsidR="008C43A8" w:rsidRPr="00F52AD7">
        <w:t xml:space="preserve"> </w:t>
      </w:r>
      <w:r w:rsidR="00034184" w:rsidRPr="00F52AD7">
        <w:t>18</w:t>
      </w:r>
      <w:r w:rsidR="008C43A8" w:rsidRPr="00F52AD7">
        <w:t>%</w:t>
      </w:r>
      <w:r w:rsidR="00A65EA2" w:rsidRPr="00F52AD7">
        <w:t>.</w:t>
      </w:r>
    </w:p>
    <w:p w14:paraId="03CA25DA" w14:textId="3C5FA68C" w:rsidR="007F1C4A" w:rsidRDefault="007F1C4A" w:rsidP="00DD5F6D">
      <w:pPr>
        <w:spacing w:before="80" w:after="0" w:line="271" w:lineRule="auto"/>
        <w:rPr>
          <w:rStyle w:val="Heading4Char"/>
          <w:color w:val="auto"/>
        </w:rPr>
      </w:pPr>
      <w:r w:rsidRPr="00F52AD7">
        <w:rPr>
          <w:rStyle w:val="Heading4Char"/>
          <w:color w:val="auto"/>
        </w:rPr>
        <w:t xml:space="preserve">Figure </w:t>
      </w:r>
      <w:r w:rsidRPr="00F52AD7">
        <w:rPr>
          <w:rStyle w:val="Heading4Char"/>
          <w:color w:val="auto"/>
        </w:rPr>
        <w:fldChar w:fldCharType="begin"/>
      </w:r>
      <w:r w:rsidRPr="00F52AD7">
        <w:rPr>
          <w:rStyle w:val="Heading4Char"/>
          <w:color w:val="auto"/>
        </w:rPr>
        <w:instrText xml:space="preserve"> SEQ Figure \* ARABIC </w:instrText>
      </w:r>
      <w:r w:rsidRPr="00F52AD7">
        <w:rPr>
          <w:rStyle w:val="Heading4Char"/>
          <w:color w:val="auto"/>
        </w:rPr>
        <w:fldChar w:fldCharType="separate"/>
      </w:r>
      <w:r w:rsidR="00900302" w:rsidRPr="00F52AD7">
        <w:rPr>
          <w:rStyle w:val="Heading4Char"/>
          <w:noProof/>
          <w:color w:val="auto"/>
        </w:rPr>
        <w:t>1</w:t>
      </w:r>
      <w:r w:rsidRPr="00F52AD7">
        <w:rPr>
          <w:rStyle w:val="Heading4Char"/>
          <w:color w:val="auto"/>
        </w:rPr>
        <w:fldChar w:fldCharType="end"/>
      </w:r>
      <w:r w:rsidR="00A52415" w:rsidRPr="00F52AD7">
        <w:rPr>
          <w:rStyle w:val="Heading4Char"/>
          <w:color w:val="auto"/>
        </w:rPr>
        <w:t xml:space="preserve">. </w:t>
      </w:r>
      <w:r w:rsidR="00D0438E" w:rsidRPr="00F52AD7">
        <w:rPr>
          <w:rStyle w:val="Heading4Char"/>
          <w:color w:val="auto"/>
        </w:rPr>
        <w:t xml:space="preserve">Exports </w:t>
      </w:r>
      <w:r w:rsidR="00A65EA2" w:rsidRPr="00F52AD7">
        <w:rPr>
          <w:rStyle w:val="Heading4Char"/>
          <w:color w:val="auto"/>
        </w:rPr>
        <w:t>Increase</w:t>
      </w:r>
      <w:r w:rsidR="00D0438E" w:rsidRPr="00F52AD7">
        <w:rPr>
          <w:rStyle w:val="Heading4Char"/>
          <w:color w:val="auto"/>
        </w:rPr>
        <w:t xml:space="preserve"> from</w:t>
      </w:r>
      <w:r w:rsidR="0046703D" w:rsidRPr="00F52AD7">
        <w:rPr>
          <w:rStyle w:val="Heading4Char"/>
          <w:color w:val="auto"/>
        </w:rPr>
        <w:t xml:space="preserve"> </w:t>
      </w:r>
      <w:r w:rsidR="00B020E2" w:rsidRPr="00F52AD7">
        <w:rPr>
          <w:rStyle w:val="Heading4Char"/>
          <w:color w:val="auto"/>
        </w:rPr>
        <w:t>37</w:t>
      </w:r>
      <w:r w:rsidR="00D0438E" w:rsidRPr="00F52AD7">
        <w:rPr>
          <w:rStyle w:val="Heading4Char"/>
          <w:color w:val="auto"/>
        </w:rPr>
        <w:t xml:space="preserve"> Sta</w:t>
      </w:r>
      <w:r w:rsidR="00A65EA2" w:rsidRPr="00F52AD7">
        <w:rPr>
          <w:rStyle w:val="Heading4Char"/>
          <w:color w:val="auto"/>
        </w:rPr>
        <w:t>tes</w:t>
      </w:r>
    </w:p>
    <w:p w14:paraId="7D1ADD74" w14:textId="0229386A" w:rsidR="007F1C4A" w:rsidRPr="009F6366" w:rsidRDefault="009F6366" w:rsidP="009F6366">
      <w:pPr>
        <w:spacing w:before="80" w:after="0" w:line="271" w:lineRule="auto"/>
        <w:rPr>
          <w:rFonts w:eastAsiaTheme="majorEastAsia" w:cstheme="majorBidi"/>
          <w:bCs/>
          <w:i/>
          <w:iCs/>
          <w:sz w:val="24"/>
        </w:rPr>
      </w:pPr>
      <w:r>
        <w:rPr>
          <w:noProof/>
        </w:rPr>
        <w:drawing>
          <wp:inline distT="0" distB="0" distL="0" distR="0" wp14:anchorId="1A61D1B5" wp14:editId="0795D525">
            <wp:extent cx="3228577" cy="1828539"/>
            <wp:effectExtent l="0" t="0" r="0" b="635"/>
            <wp:docPr id="1" name="Picture 1" descr="State % change 2021-Q4 to 2022-Q4&#10;Minnesota 12%&#10;United States 8%&#10;Alabama 20%&#10;Alaska -28%&#10;Arizona 16%&#10;Arkansas 2%&#10;California 1%&#10;Colorado 8%&#10;Connecticut 13%&#10;Delaware 4%&#10;Dist of Columbia 34%&#10;Florida 13%&#10;Georgia 13%&#10;Hawaii 11%&#10;Idaho 5%&#10;Illinois 13%&#10;Indiana 6%&#10;Iowa 12%&#10;Kansas 4%&#10;Kentucky 8%&#10;Louisiana 39%&#10;Maine -17%&#10;Maryland -5%&#10;Massachusetts -17%&#10;Michigan 1%&#10;Mississippi 19%&#10;Missouri 7%&#10;Montana -5%&#10;Nebraska 0%&#10;Nevada -7%&#10;New Hampshire 6%&#10;New Jersey -14%&#10;New Mexico 1%&#10;New York 13%&#10;North Carolina 6%&#10;North Dakota 11%&#10;Ohio -1%&#10;Oklahoma -3%&#10;Oregon 4%&#10;Pennsylvania 4%&#10;Rhode Island -2%&#10;South Carolina 20%&#10;South Dakota 19%&#10;Tennessee -4%&#10;Texas 11%&#10;Utah 6%&#10;Vermont -8%&#10;Virginia 4%&#10;Washington -7%&#10;West Virginia 5%&#10;Wisconsin 2%&#10;Wyoming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 change 2021-Q4 to 2022-Q4&#10;Minnesota 12%&#10;United States 8%&#10;Alabama 20%&#10;Alaska -28%&#10;Arizona 16%&#10;Arkansas 2%&#10;California 1%&#10;Colorado 8%&#10;Connecticut 13%&#10;Delaware 4%&#10;Dist of Columbia 34%&#10;Florida 13%&#10;Georgia 13%&#10;Hawaii 11%&#10;Idaho 5%&#10;Illinois 13%&#10;Indiana 6%&#10;Iowa 12%&#10;Kansas 4%&#10;Kentucky 8%&#10;Louisiana 39%&#10;Maine -17%&#10;Maryland -5%&#10;Massachusetts -17%&#10;Michigan 1%&#10;Mississippi 19%&#10;Missouri 7%&#10;Montana -5%&#10;Nebraska 0%&#10;Nevada -7%&#10;New Hampshire 6%&#10;New Jersey -14%&#10;New Mexico 1%&#10;New York 13%&#10;North Carolina 6%&#10;North Dakota 11%&#10;Ohio -1%&#10;Oklahoma -3%&#10;Oregon 4%&#10;Pennsylvania 4%&#10;Rhode Island -2%&#10;South Carolina 20%&#10;South Dakota 19%&#10;Tennessee -4%&#10;Texas 11%&#10;Utah 6%&#10;Vermont -8%&#10;Virginia 4%&#10;Washington -7%&#10;West Virginia 5%&#10;Wisconsin 2%&#10;Wyoming 27%&#10;"/>
                    <pic:cNvPicPr>
                      <a:picLocks noChangeAspect="1" noChangeArrowheads="1"/>
                    </pic:cNvPicPr>
                  </pic:nvPicPr>
                  <pic:blipFill rotWithShape="1">
                    <a:blip r:embed="rId12">
                      <a:extLst>
                        <a:ext uri="{28A0092B-C50C-407E-A947-70E740481C1C}">
                          <a14:useLocalDpi xmlns:a14="http://schemas.microsoft.com/office/drawing/2010/main" val="0"/>
                        </a:ext>
                      </a:extLst>
                    </a:blip>
                    <a:srcRect t="12109" b="11662"/>
                    <a:stretch/>
                  </pic:blipFill>
                  <pic:spPr bwMode="auto">
                    <a:xfrm>
                      <a:off x="0" y="0"/>
                      <a:ext cx="3228975" cy="1828764"/>
                    </a:xfrm>
                    <a:prstGeom prst="rect">
                      <a:avLst/>
                    </a:prstGeom>
                    <a:noFill/>
                    <a:ln>
                      <a:noFill/>
                    </a:ln>
                    <a:extLst>
                      <a:ext uri="{53640926-AAD7-44D8-BBD7-CCE9431645EC}">
                        <a14:shadowObscured xmlns:a14="http://schemas.microsoft.com/office/drawing/2010/main"/>
                      </a:ext>
                    </a:extLst>
                  </pic:spPr>
                </pic:pic>
              </a:graphicData>
            </a:graphic>
          </wp:inline>
        </w:drawing>
      </w:r>
      <w:r w:rsidR="00D0438E" w:rsidRPr="00F52AD7">
        <w:rPr>
          <w:noProof/>
        </w:rPr>
        <mc:AlternateContent>
          <mc:Choice Requires="wps">
            <w:drawing>
              <wp:anchor distT="0" distB="0" distL="114300" distR="114300" simplePos="0" relativeHeight="251658752" behindDoc="0" locked="0" layoutInCell="1" allowOverlap="1" wp14:anchorId="24E76B40" wp14:editId="26E389C6">
                <wp:simplePos x="0" y="0"/>
                <wp:positionH relativeFrom="margin">
                  <wp:posOffset>6065520</wp:posOffset>
                </wp:positionH>
                <wp:positionV relativeFrom="paragraph">
                  <wp:posOffset>1510664</wp:posOffset>
                </wp:positionV>
                <wp:extent cx="688975" cy="466725"/>
                <wp:effectExtent l="0" t="0" r="0" b="0"/>
                <wp:wrapNone/>
                <wp:docPr id="307" name="Text Box 2" descr="highlight text box&#10;&#10;MN: 12%&#10;U.S.: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466725"/>
                        </a:xfrm>
                        <a:prstGeom prst="rect">
                          <a:avLst/>
                        </a:prstGeom>
                        <a:noFill/>
                        <a:ln w="9525">
                          <a:noFill/>
                          <a:miter lim="800000"/>
                          <a:headEnd/>
                          <a:tailEnd/>
                        </a:ln>
                      </wps:spPr>
                      <wps:txbx>
                        <w:txbxContent>
                          <w:p w14:paraId="60A296D5" w14:textId="26DC0599" w:rsidR="007F1C4A" w:rsidRPr="00D0438E" w:rsidRDefault="007F1C4A" w:rsidP="007F1C4A">
                            <w:pPr>
                              <w:spacing w:after="0"/>
                              <w:rPr>
                                <w:b/>
                                <w:i/>
                                <w:sz w:val="18"/>
                              </w:rPr>
                            </w:pPr>
                            <w:r w:rsidRPr="00D0438E">
                              <w:rPr>
                                <w:b/>
                                <w:i/>
                                <w:sz w:val="18"/>
                              </w:rPr>
                              <w:t>M</w:t>
                            </w:r>
                            <w:r w:rsidR="00C23DAA" w:rsidRPr="00D0438E">
                              <w:rPr>
                                <w:b/>
                                <w:i/>
                                <w:sz w:val="18"/>
                              </w:rPr>
                              <w:t xml:space="preserve">N: </w:t>
                            </w:r>
                            <w:r w:rsidR="00034184">
                              <w:rPr>
                                <w:b/>
                                <w:i/>
                                <w:sz w:val="18"/>
                              </w:rPr>
                              <w:t>1</w:t>
                            </w:r>
                            <w:r w:rsidR="00B020E2">
                              <w:rPr>
                                <w:b/>
                                <w:i/>
                                <w:sz w:val="18"/>
                              </w:rPr>
                              <w:t>2</w:t>
                            </w:r>
                            <w:r w:rsidRPr="00D0438E">
                              <w:rPr>
                                <w:b/>
                                <w:i/>
                                <w:sz w:val="18"/>
                              </w:rPr>
                              <w:t>%</w:t>
                            </w:r>
                          </w:p>
                          <w:p w14:paraId="588145EA" w14:textId="61CF8397" w:rsidR="007F1C4A" w:rsidRPr="00D0438E" w:rsidRDefault="00293DCF" w:rsidP="007F1C4A">
                            <w:pPr>
                              <w:spacing w:after="0"/>
                              <w:rPr>
                                <w:b/>
                                <w:i/>
                                <w:sz w:val="18"/>
                              </w:rPr>
                            </w:pPr>
                            <w:r w:rsidRPr="00D0438E">
                              <w:rPr>
                                <w:b/>
                                <w:i/>
                                <w:sz w:val="18"/>
                              </w:rPr>
                              <w:t xml:space="preserve">U.S.: </w:t>
                            </w:r>
                            <w:r w:rsidR="00034184">
                              <w:rPr>
                                <w:b/>
                                <w:i/>
                                <w:sz w:val="18"/>
                              </w:rPr>
                              <w:t>8</w:t>
                            </w:r>
                            <w:r w:rsidR="007F1C4A" w:rsidRPr="00D0438E">
                              <w:rPr>
                                <w:b/>
                                <w:i/>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76B40" id="_x0000_s1027" type="#_x0000_t202" alt="highlight text box&#10;&#10;MN: 12%&#10;U.S.: 8%&#10;" style="position:absolute;margin-left:477.6pt;margin-top:118.95pt;width:54.25pt;height:36.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" filled="f" stroked="f">
                <v:textbox>
                  <w:txbxContent>
                    <w:p w14:paraId="60A296D5" w14:textId="26DC0599" w:rsidR="007F1C4A" w:rsidRPr="00D0438E" w:rsidRDefault="007F1C4A" w:rsidP="007F1C4A">
                      <w:pPr>
                        <w:spacing w:after="0"/>
                        <w:rPr>
                          <w:b/>
                          <w:i/>
                          <w:sz w:val="18"/>
                        </w:rPr>
                      </w:pPr>
                      <w:r w:rsidRPr="00D0438E">
                        <w:rPr>
                          <w:b/>
                          <w:i/>
                          <w:sz w:val="18"/>
                        </w:rPr>
                        <w:t>M</w:t>
                      </w:r>
                      <w:r w:rsidR="00C23DAA" w:rsidRPr="00D0438E">
                        <w:rPr>
                          <w:b/>
                          <w:i/>
                          <w:sz w:val="18"/>
                        </w:rPr>
                        <w:t xml:space="preserve">N: </w:t>
                      </w:r>
                      <w:r w:rsidR="00034184">
                        <w:rPr>
                          <w:b/>
                          <w:i/>
                          <w:sz w:val="18"/>
                        </w:rPr>
                        <w:t>1</w:t>
                      </w:r>
                      <w:r w:rsidR="00B020E2">
                        <w:rPr>
                          <w:b/>
                          <w:i/>
                          <w:sz w:val="18"/>
                        </w:rPr>
                        <w:t>2</w:t>
                      </w:r>
                      <w:r w:rsidRPr="00D0438E">
                        <w:rPr>
                          <w:b/>
                          <w:i/>
                          <w:sz w:val="18"/>
                        </w:rPr>
                        <w:t>%</w:t>
                      </w:r>
                    </w:p>
                    <w:p w14:paraId="588145EA" w14:textId="61CF8397" w:rsidR="007F1C4A" w:rsidRPr="00D0438E" w:rsidRDefault="00293DCF" w:rsidP="007F1C4A">
                      <w:pPr>
                        <w:spacing w:after="0"/>
                        <w:rPr>
                          <w:b/>
                          <w:i/>
                          <w:sz w:val="18"/>
                        </w:rPr>
                      </w:pPr>
                      <w:r w:rsidRPr="00D0438E">
                        <w:rPr>
                          <w:b/>
                          <w:i/>
                          <w:sz w:val="18"/>
                        </w:rPr>
                        <w:t xml:space="preserve">U.S.: </w:t>
                      </w:r>
                      <w:r w:rsidR="00034184">
                        <w:rPr>
                          <w:b/>
                          <w:i/>
                          <w:sz w:val="18"/>
                        </w:rPr>
                        <w:t>8</w:t>
                      </w:r>
                      <w:r w:rsidR="007F1C4A" w:rsidRPr="00D0438E">
                        <w:rPr>
                          <w:b/>
                          <w:i/>
                          <w:sz w:val="18"/>
                        </w:rPr>
                        <w:t>%</w:t>
                      </w:r>
                    </w:p>
                  </w:txbxContent>
                </v:textbox>
                <w10:wrap anchorx="margin"/>
              </v:shape>
            </w:pict>
          </mc:Fallback>
        </mc:AlternateContent>
      </w:r>
    </w:p>
    <w:p w14:paraId="0AAEB35D" w14:textId="0F8CA7BD" w:rsidR="007F1C4A" w:rsidRPr="00F52AD7" w:rsidRDefault="007F1C4A" w:rsidP="007F1C4A">
      <w:pPr>
        <w:spacing w:after="0"/>
        <w:rPr>
          <w:i/>
          <w:sz w:val="18"/>
        </w:rPr>
      </w:pPr>
      <w:r w:rsidRPr="00F52AD7">
        <w:rPr>
          <w:i/>
          <w:sz w:val="18"/>
        </w:rPr>
        <w:t xml:space="preserve"> Decline     0%   Growth</w:t>
      </w:r>
    </w:p>
    <w:p w14:paraId="6B23B2F3" w14:textId="4330A419" w:rsidR="00BE4DAD" w:rsidRPr="00F52AD7" w:rsidRDefault="00A52415" w:rsidP="00173D78">
      <w:pPr>
        <w:spacing w:after="0"/>
        <w:rPr>
          <w:rFonts w:ascii="Arial Narrow" w:hAnsi="Arial Narrow"/>
          <w:sz w:val="2"/>
          <w:szCs w:val="2"/>
        </w:rPr>
        <w:sectPr w:rsidR="00BE4DAD" w:rsidRPr="00F52AD7" w:rsidSect="007F1C4A">
          <w:footnotePr>
            <w:numRestart w:val="eachSect"/>
          </w:footnotePr>
          <w:endnotePr>
            <w:numFmt w:val="decimal"/>
          </w:endnotePr>
          <w:type w:val="continuous"/>
          <w:pgSz w:w="12240" w:h="15840" w:code="1"/>
          <w:pgMar w:top="720" w:right="720" w:bottom="720" w:left="990" w:header="720" w:footer="720" w:gutter="0"/>
          <w:cols w:num="2" w:space="360"/>
          <w:titlePg/>
          <w:docGrid w:linePitch="299"/>
        </w:sectPr>
      </w:pPr>
      <w:r w:rsidRPr="00F52AD7">
        <w:rPr>
          <w:rFonts w:ascii="Arial Narrow" w:hAnsi="Arial Narrow"/>
          <w:noProof/>
          <w:sz w:val="2"/>
          <w:szCs w:val="2"/>
        </w:rPr>
        <w:drawing>
          <wp:inline distT="0" distB="0" distL="0" distR="0" wp14:anchorId="5C21AFCD" wp14:editId="15F96BF6">
            <wp:extent cx="1066800" cy="152400"/>
            <wp:effectExtent l="0" t="0" r="0" b="0"/>
            <wp:docPr id="7" name="Picture 7" descr="color legend for map. yellow for declines, green for positive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olor legend for map. yellow for declines, green for positive growth"/>
                    <pic:cNvPicPr>
                      <a:picLocks noChangeAspect="1" noChangeArrowheads="1"/>
                    </pic:cNvPicPr>
                  </pic:nvPicPr>
                  <pic:blipFill rotWithShape="1">
                    <a:blip r:embed="rId13">
                      <a:extLst>
                        <a:ext uri="{28A0092B-C50C-407E-A947-70E740481C1C}">
                          <a14:useLocalDpi xmlns:a14="http://schemas.microsoft.com/office/drawing/2010/main" val="0"/>
                        </a:ext>
                      </a:extLst>
                    </a:blip>
                    <a:srcRect t="41379" b="24138"/>
                    <a:stretch/>
                  </pic:blipFill>
                  <pic:spPr bwMode="auto">
                    <a:xfrm>
                      <a:off x="0" y="0"/>
                      <a:ext cx="1066800" cy="152400"/>
                    </a:xfrm>
                    <a:prstGeom prst="rect">
                      <a:avLst/>
                    </a:prstGeom>
                    <a:noFill/>
                    <a:ln>
                      <a:noFill/>
                    </a:ln>
                    <a:extLst>
                      <a:ext uri="{53640926-AAD7-44D8-BBD7-CCE9431645EC}">
                        <a14:shadowObscured xmlns:a14="http://schemas.microsoft.com/office/drawing/2010/main"/>
                      </a:ext>
                    </a:extLst>
                  </pic:spPr>
                </pic:pic>
              </a:graphicData>
            </a:graphic>
          </wp:inline>
        </w:drawing>
      </w:r>
    </w:p>
    <w:p w14:paraId="53950F02" w14:textId="79458569" w:rsidR="00E83789" w:rsidRPr="00F52AD7" w:rsidRDefault="00B020E2" w:rsidP="00A65EA2">
      <w:pPr>
        <w:pStyle w:val="Heading2"/>
        <w:spacing w:before="120"/>
        <w:rPr>
          <w:rFonts w:asciiTheme="minorHAnsi" w:hAnsiTheme="minorHAnsi"/>
          <w:b w:val="0"/>
          <w:i/>
          <w:color w:val="auto"/>
          <w:sz w:val="28"/>
        </w:rPr>
      </w:pPr>
      <w:r w:rsidRPr="00F52AD7">
        <w:rPr>
          <w:rFonts w:asciiTheme="minorHAnsi" w:hAnsiTheme="minorHAnsi"/>
          <w:b w:val="0"/>
          <w:i/>
          <w:color w:val="auto"/>
          <w:sz w:val="28"/>
        </w:rPr>
        <w:t>Markets in the Americas and the EU Generate Strong</w:t>
      </w:r>
      <w:r w:rsidR="00F52AD7" w:rsidRPr="00F52AD7">
        <w:rPr>
          <w:rFonts w:asciiTheme="minorHAnsi" w:hAnsiTheme="minorHAnsi"/>
          <w:b w:val="0"/>
          <w:i/>
          <w:color w:val="auto"/>
          <w:sz w:val="28"/>
        </w:rPr>
        <w:t>est Export</w:t>
      </w:r>
      <w:r w:rsidRPr="00F52AD7">
        <w:rPr>
          <w:rFonts w:asciiTheme="minorHAnsi" w:hAnsiTheme="minorHAnsi"/>
          <w:b w:val="0"/>
          <w:i/>
          <w:color w:val="auto"/>
          <w:sz w:val="28"/>
        </w:rPr>
        <w:t xml:space="preserve"> Growth</w:t>
      </w:r>
    </w:p>
    <w:p w14:paraId="30BC8A6C" w14:textId="77777777" w:rsidR="00B020E2" w:rsidRPr="00F52AD7" w:rsidRDefault="00B41788" w:rsidP="00583A0A">
      <w:pPr>
        <w:pStyle w:val="ListParagraph"/>
        <w:numPr>
          <w:ilvl w:val="0"/>
          <w:numId w:val="10"/>
        </w:numPr>
      </w:pPr>
      <w:r w:rsidRPr="00F52AD7">
        <w:t xml:space="preserve">Strong </w:t>
      </w:r>
      <w:r w:rsidR="00B020E2" w:rsidRPr="00F52AD7">
        <w:t>market</w:t>
      </w:r>
      <w:r w:rsidRPr="00F52AD7">
        <w:t xml:space="preserve"> conditions</w:t>
      </w:r>
      <w:r w:rsidR="000C37F5" w:rsidRPr="00F52AD7">
        <w:t xml:space="preserve"> in </w:t>
      </w:r>
      <w:r w:rsidR="000D02DD" w:rsidRPr="00F52AD7">
        <w:rPr>
          <w:b/>
        </w:rPr>
        <w:t>North America</w:t>
      </w:r>
      <w:r w:rsidR="00C51787" w:rsidRPr="00F52AD7">
        <w:t xml:space="preserve"> ($3 billion, up </w:t>
      </w:r>
      <w:r w:rsidR="00B020E2" w:rsidRPr="00F52AD7">
        <w:t>18</w:t>
      </w:r>
      <w:r w:rsidR="00C51787" w:rsidRPr="00F52AD7">
        <w:t>%)</w:t>
      </w:r>
      <w:r w:rsidR="00B020E2" w:rsidRPr="00F52AD7">
        <w:t xml:space="preserve">, </w:t>
      </w:r>
      <w:r w:rsidR="001E7B61" w:rsidRPr="00F52AD7">
        <w:t>the</w:t>
      </w:r>
      <w:r w:rsidR="000D02DD" w:rsidRPr="00F52AD7">
        <w:t xml:space="preserve"> </w:t>
      </w:r>
      <w:r w:rsidR="000D02DD" w:rsidRPr="00F52AD7">
        <w:rPr>
          <w:b/>
        </w:rPr>
        <w:t>Europe</w:t>
      </w:r>
      <w:r w:rsidR="001E7B61" w:rsidRPr="00F52AD7">
        <w:rPr>
          <w:b/>
        </w:rPr>
        <w:t>an Union</w:t>
      </w:r>
      <w:r w:rsidR="00FD0567" w:rsidRPr="00F52AD7">
        <w:t xml:space="preserve"> </w:t>
      </w:r>
      <w:r w:rsidR="00C51787" w:rsidRPr="00F52AD7">
        <w:t>($1.</w:t>
      </w:r>
      <w:r w:rsidR="00B020E2" w:rsidRPr="00F52AD7">
        <w:t>3</w:t>
      </w:r>
      <w:r w:rsidR="00C51787" w:rsidRPr="00F52AD7">
        <w:t xml:space="preserve"> billion, up </w:t>
      </w:r>
      <w:r w:rsidR="00B020E2" w:rsidRPr="00F52AD7">
        <w:t>3</w:t>
      </w:r>
      <w:r w:rsidR="00C51787" w:rsidRPr="00F52AD7">
        <w:t>9%)</w:t>
      </w:r>
      <w:r w:rsidR="00B020E2" w:rsidRPr="00F52AD7">
        <w:t xml:space="preserve"> and the </w:t>
      </w:r>
      <w:r w:rsidR="00B020E2" w:rsidRPr="00F52AD7">
        <w:rPr>
          <w:b/>
          <w:bCs/>
        </w:rPr>
        <w:t xml:space="preserve">Caribbean, Central </w:t>
      </w:r>
      <w:proofErr w:type="gramStart"/>
      <w:r w:rsidR="00B020E2" w:rsidRPr="00F52AD7">
        <w:rPr>
          <w:b/>
          <w:bCs/>
        </w:rPr>
        <w:t>America</w:t>
      </w:r>
      <w:proofErr w:type="gramEnd"/>
      <w:r w:rsidR="00B020E2" w:rsidRPr="00F52AD7">
        <w:rPr>
          <w:b/>
          <w:bCs/>
        </w:rPr>
        <w:t xml:space="preserve"> and South America</w:t>
      </w:r>
      <w:r w:rsidR="00B020E2" w:rsidRPr="00F52AD7">
        <w:t xml:space="preserve"> ($366 million, up 48%) propelled growth. </w:t>
      </w:r>
    </w:p>
    <w:p w14:paraId="35AF9AEA" w14:textId="59957BA2" w:rsidR="000D02DD" w:rsidRPr="00F52AD7" w:rsidRDefault="00B020E2" w:rsidP="00583A0A">
      <w:pPr>
        <w:pStyle w:val="ListParagraph"/>
        <w:numPr>
          <w:ilvl w:val="0"/>
          <w:numId w:val="10"/>
        </w:numPr>
      </w:pPr>
      <w:r w:rsidRPr="00F52AD7">
        <w:t>The state’s sales</w:t>
      </w:r>
      <w:r w:rsidRPr="00F52AD7">
        <w:rPr>
          <w:b/>
          <w:bCs/>
        </w:rPr>
        <w:t xml:space="preserve"> </w:t>
      </w:r>
      <w:r w:rsidRPr="00F52AD7">
        <w:t>struggled in Asia ($1.9 billion, down 9%) and tumbled to Africa ($46 million, down 42%).</w:t>
      </w:r>
    </w:p>
    <w:p w14:paraId="21407398" w14:textId="330857FC" w:rsidR="003C43EB" w:rsidRPr="00F52AD7" w:rsidRDefault="00C54EB3" w:rsidP="00BE09D4">
      <w:pPr>
        <w:pStyle w:val="ListParagraph"/>
        <w:numPr>
          <w:ilvl w:val="0"/>
          <w:numId w:val="10"/>
        </w:numPr>
        <w:spacing w:before="120" w:after="0"/>
      </w:pPr>
      <w:r w:rsidRPr="00F52AD7">
        <w:t>T</w:t>
      </w:r>
      <w:r w:rsidR="00BE09D4" w:rsidRPr="00F52AD7">
        <w:t>he state’s t</w:t>
      </w:r>
      <w:r w:rsidRPr="00F52AD7">
        <w:t xml:space="preserve">op </w:t>
      </w:r>
      <w:r w:rsidR="00BE09D4" w:rsidRPr="00F52AD7">
        <w:t xml:space="preserve">four </w:t>
      </w:r>
      <w:r w:rsidRPr="00F52AD7">
        <w:t>markets</w:t>
      </w:r>
      <w:r w:rsidR="00BE09D4" w:rsidRPr="00F52AD7">
        <w:t xml:space="preserve"> this quarter</w:t>
      </w:r>
      <w:r w:rsidRPr="00F52AD7">
        <w:t xml:space="preserve"> </w:t>
      </w:r>
      <w:r w:rsidR="00134B33" w:rsidRPr="00F52AD7">
        <w:t>had the largest gains</w:t>
      </w:r>
      <w:r w:rsidR="00134B33">
        <w:t>:</w:t>
      </w:r>
      <w:r w:rsidR="007D2D9B" w:rsidRPr="00F52AD7">
        <w:t xml:space="preserve"> </w:t>
      </w:r>
      <w:r w:rsidR="00106FFF" w:rsidRPr="00F52AD7">
        <w:rPr>
          <w:b/>
          <w:bCs/>
        </w:rPr>
        <w:t>Canada</w:t>
      </w:r>
      <w:r w:rsidR="00106FFF" w:rsidRPr="00F52AD7">
        <w:t xml:space="preserve"> (up $</w:t>
      </w:r>
      <w:r w:rsidR="00BE09D4" w:rsidRPr="00F52AD7">
        <w:t>247</w:t>
      </w:r>
      <w:r w:rsidR="00106FFF" w:rsidRPr="00F52AD7">
        <w:t xml:space="preserve"> million)</w:t>
      </w:r>
      <w:r w:rsidRPr="00F52AD7">
        <w:t>,</w:t>
      </w:r>
      <w:r w:rsidR="00106FFF" w:rsidRPr="00F52AD7">
        <w:t xml:space="preserve"> </w:t>
      </w:r>
      <w:r w:rsidR="0094472B" w:rsidRPr="00F52AD7">
        <w:rPr>
          <w:b/>
        </w:rPr>
        <w:t>Mexico</w:t>
      </w:r>
      <w:r w:rsidR="00F216B1" w:rsidRPr="00F52AD7">
        <w:t xml:space="preserve"> (</w:t>
      </w:r>
      <w:r w:rsidR="00106FFF" w:rsidRPr="00F52AD7">
        <w:t xml:space="preserve">up </w:t>
      </w:r>
      <w:r w:rsidR="00F216B1" w:rsidRPr="00F52AD7">
        <w:t>$</w:t>
      </w:r>
      <w:r w:rsidR="00BE09D4" w:rsidRPr="00F52AD7">
        <w:t>211</w:t>
      </w:r>
      <w:r w:rsidR="003C43EB" w:rsidRPr="00F52AD7">
        <w:t xml:space="preserve"> million)</w:t>
      </w:r>
      <w:r w:rsidR="00BE09D4" w:rsidRPr="00F52AD7">
        <w:t xml:space="preserve">, </w:t>
      </w:r>
      <w:r w:rsidR="00BE09D4" w:rsidRPr="00F52AD7">
        <w:rPr>
          <w:b/>
          <w:bCs/>
        </w:rPr>
        <w:t>Korea</w:t>
      </w:r>
      <w:r w:rsidR="00BE09D4" w:rsidRPr="00F52AD7">
        <w:rPr>
          <w:b/>
        </w:rPr>
        <w:t xml:space="preserve"> </w:t>
      </w:r>
      <w:r w:rsidR="00BE09D4" w:rsidRPr="00F52AD7">
        <w:t xml:space="preserve">(up $143 million), </w:t>
      </w:r>
      <w:r w:rsidR="0094472B" w:rsidRPr="00F52AD7">
        <w:t>and</w:t>
      </w:r>
      <w:r w:rsidR="00106FFF" w:rsidRPr="00F52AD7">
        <w:t xml:space="preserve"> </w:t>
      </w:r>
      <w:r w:rsidR="0094472B" w:rsidRPr="00F52AD7">
        <w:rPr>
          <w:b/>
        </w:rPr>
        <w:t>Germany</w:t>
      </w:r>
      <w:r w:rsidR="003C43EB" w:rsidRPr="00F52AD7">
        <w:t xml:space="preserve"> (</w:t>
      </w:r>
      <w:r w:rsidR="00106FFF" w:rsidRPr="00F52AD7">
        <w:t>up</w:t>
      </w:r>
      <w:r w:rsidR="003C43EB" w:rsidRPr="00F52AD7">
        <w:t xml:space="preserve"> $</w:t>
      </w:r>
      <w:r w:rsidR="00BE09D4" w:rsidRPr="00F52AD7">
        <w:t>88</w:t>
      </w:r>
      <w:r w:rsidR="003C43EB" w:rsidRPr="00F52AD7">
        <w:t xml:space="preserve"> million)</w:t>
      </w:r>
      <w:r w:rsidR="000A1F4F" w:rsidRPr="00F52AD7">
        <w:t>.</w:t>
      </w:r>
      <w:r w:rsidR="003C43EB" w:rsidRPr="00F52AD7">
        <w:t xml:space="preserve"> </w:t>
      </w:r>
      <w:r w:rsidR="00582140" w:rsidRPr="00F52AD7">
        <w:t>Emerging</w:t>
      </w:r>
      <w:r w:rsidR="00176A80" w:rsidRPr="00F52AD7">
        <w:t xml:space="preserve"> </w:t>
      </w:r>
      <w:r w:rsidR="00134B33">
        <w:t>markets</w:t>
      </w:r>
      <w:r w:rsidR="000F477A" w:rsidRPr="00F52AD7">
        <w:t xml:space="preserve"> </w:t>
      </w:r>
      <w:r w:rsidR="00582140" w:rsidRPr="00F52AD7">
        <w:t>included</w:t>
      </w:r>
      <w:r w:rsidR="000F477A" w:rsidRPr="00F52AD7">
        <w:t xml:space="preserve"> </w:t>
      </w:r>
      <w:r w:rsidR="00BE09D4" w:rsidRPr="00F52AD7">
        <w:rPr>
          <w:b/>
          <w:bCs/>
        </w:rPr>
        <w:t>Spain</w:t>
      </w:r>
      <w:r w:rsidR="000F477A" w:rsidRPr="00F52AD7">
        <w:t xml:space="preserve"> </w:t>
      </w:r>
      <w:r w:rsidR="00BE09D4" w:rsidRPr="00F52AD7">
        <w:t>($99 million, up 319%),</w:t>
      </w:r>
      <w:r w:rsidR="000F477A" w:rsidRPr="00F52AD7">
        <w:t xml:space="preserve"> </w:t>
      </w:r>
      <w:r w:rsidR="00BE09D4" w:rsidRPr="00F52AD7">
        <w:rPr>
          <w:b/>
          <w:bCs/>
        </w:rPr>
        <w:t>Uruguay</w:t>
      </w:r>
      <w:r w:rsidR="000F477A" w:rsidRPr="00F52AD7">
        <w:rPr>
          <w:b/>
          <w:bCs/>
        </w:rPr>
        <w:t xml:space="preserve"> </w:t>
      </w:r>
      <w:r w:rsidR="000F477A" w:rsidRPr="00F52AD7">
        <w:t>($</w:t>
      </w:r>
      <w:r w:rsidR="00BE09D4" w:rsidRPr="00F52AD7">
        <w:t>55</w:t>
      </w:r>
      <w:r w:rsidR="000F477A" w:rsidRPr="00F52AD7">
        <w:t xml:space="preserve"> million, up </w:t>
      </w:r>
      <w:r w:rsidR="00BE09D4" w:rsidRPr="00F52AD7">
        <w:t>from $2 million</w:t>
      </w:r>
      <w:r w:rsidR="000F477A" w:rsidRPr="00F52AD7">
        <w:t>)</w:t>
      </w:r>
      <w:r w:rsidR="00582140" w:rsidRPr="00F52AD7">
        <w:t xml:space="preserve"> and</w:t>
      </w:r>
      <w:r w:rsidR="00BE09D4" w:rsidRPr="00F52AD7">
        <w:t xml:space="preserve"> </w:t>
      </w:r>
      <w:r w:rsidR="00BE09D4" w:rsidRPr="00F52AD7">
        <w:rPr>
          <w:b/>
        </w:rPr>
        <w:t>Yemen</w:t>
      </w:r>
      <w:r w:rsidR="00BE09D4" w:rsidRPr="00F52AD7">
        <w:t xml:space="preserve"> ($29 million, up from $114,000)</w:t>
      </w:r>
      <w:r w:rsidR="00582140" w:rsidRPr="00F52AD7">
        <w:t>.</w:t>
      </w:r>
    </w:p>
    <w:p w14:paraId="2C4246FA" w14:textId="43ECE766" w:rsidR="00B545B0" w:rsidRPr="00F52AD7" w:rsidRDefault="001A2004" w:rsidP="00582140">
      <w:pPr>
        <w:pStyle w:val="ListParagraph"/>
        <w:numPr>
          <w:ilvl w:val="0"/>
          <w:numId w:val="10"/>
        </w:numPr>
        <w:spacing w:after="120"/>
      </w:pPr>
      <w:r w:rsidRPr="00F52AD7">
        <w:t>In Asia, s</w:t>
      </w:r>
      <w:r w:rsidR="00C20FE7" w:rsidRPr="00F52AD7">
        <w:t>olid gains</w:t>
      </w:r>
      <w:r w:rsidRPr="00F52AD7">
        <w:t xml:space="preserve"> in </w:t>
      </w:r>
      <w:r w:rsidRPr="00F52AD7">
        <w:rPr>
          <w:b/>
          <w:bCs/>
        </w:rPr>
        <w:t>Korea</w:t>
      </w:r>
      <w:r w:rsidRPr="00F52AD7">
        <w:t xml:space="preserve"> (</w:t>
      </w:r>
      <w:r w:rsidR="00582140" w:rsidRPr="00F52AD7">
        <w:t>up 98</w:t>
      </w:r>
      <w:r w:rsidRPr="00F52AD7">
        <w:t xml:space="preserve">%), </w:t>
      </w:r>
      <w:r w:rsidRPr="00F52AD7">
        <w:rPr>
          <w:b/>
          <w:bCs/>
        </w:rPr>
        <w:t>Taiwan</w:t>
      </w:r>
      <w:r w:rsidRPr="00F52AD7">
        <w:t xml:space="preserve"> (up 6</w:t>
      </w:r>
      <w:r w:rsidR="00582140" w:rsidRPr="00F52AD7">
        <w:t>9</w:t>
      </w:r>
      <w:r w:rsidRPr="00F52AD7">
        <w:t xml:space="preserve">%) and </w:t>
      </w:r>
      <w:r w:rsidR="00582140" w:rsidRPr="00F52AD7">
        <w:rPr>
          <w:b/>
          <w:bCs/>
        </w:rPr>
        <w:t>Malaysia</w:t>
      </w:r>
      <w:r w:rsidRPr="00F52AD7">
        <w:rPr>
          <w:b/>
          <w:bCs/>
        </w:rPr>
        <w:t xml:space="preserve"> </w:t>
      </w:r>
      <w:r w:rsidRPr="00F52AD7">
        <w:t>(</w:t>
      </w:r>
      <w:r w:rsidR="00582140" w:rsidRPr="00F52AD7">
        <w:t>up 25</w:t>
      </w:r>
      <w:r w:rsidRPr="00F52AD7">
        <w:t>%)</w:t>
      </w:r>
      <w:r w:rsidR="00C20FE7" w:rsidRPr="00F52AD7">
        <w:t xml:space="preserve"> helped</w:t>
      </w:r>
      <w:r w:rsidRPr="00F52AD7">
        <w:t xml:space="preserve"> offset </w:t>
      </w:r>
      <w:r w:rsidR="00582140" w:rsidRPr="00F52AD7">
        <w:t xml:space="preserve">sharp persisting </w:t>
      </w:r>
      <w:r w:rsidRPr="00F52AD7">
        <w:t xml:space="preserve">declines to </w:t>
      </w:r>
      <w:r w:rsidR="00582140" w:rsidRPr="00F52AD7">
        <w:t>the</w:t>
      </w:r>
      <w:r w:rsidR="00582140" w:rsidRPr="00F52AD7">
        <w:rPr>
          <w:b/>
          <w:bCs/>
        </w:rPr>
        <w:t xml:space="preserve"> Philippines</w:t>
      </w:r>
      <w:r w:rsidR="00582140" w:rsidRPr="00F52AD7">
        <w:t xml:space="preserve"> (down 83%), </w:t>
      </w:r>
      <w:r w:rsidR="0094472B" w:rsidRPr="00F52AD7">
        <w:rPr>
          <w:b/>
          <w:bCs/>
        </w:rPr>
        <w:t>China</w:t>
      </w:r>
      <w:r w:rsidR="006B2118" w:rsidRPr="00F52AD7">
        <w:t xml:space="preserve"> (down </w:t>
      </w:r>
      <w:r w:rsidR="00582140" w:rsidRPr="00F52AD7">
        <w:t>1</w:t>
      </w:r>
      <w:r w:rsidR="0094472B" w:rsidRPr="00F52AD7">
        <w:t>3</w:t>
      </w:r>
      <w:r w:rsidR="006B2118" w:rsidRPr="00F52AD7">
        <w:t>%)</w:t>
      </w:r>
      <w:r w:rsidR="00582140" w:rsidRPr="00F52AD7">
        <w:t xml:space="preserve"> and</w:t>
      </w:r>
      <w:r w:rsidR="006B2118" w:rsidRPr="00F52AD7">
        <w:t xml:space="preserve"> </w:t>
      </w:r>
      <w:r w:rsidR="0094472B" w:rsidRPr="00F52AD7">
        <w:rPr>
          <w:b/>
          <w:bCs/>
        </w:rPr>
        <w:t>Japan</w:t>
      </w:r>
      <w:r w:rsidR="006B2118" w:rsidRPr="00F52AD7">
        <w:rPr>
          <w:b/>
          <w:bCs/>
        </w:rPr>
        <w:t xml:space="preserve"> </w:t>
      </w:r>
      <w:r w:rsidR="006B2118" w:rsidRPr="00F52AD7">
        <w:t>(down 1</w:t>
      </w:r>
      <w:r w:rsidR="0094472B" w:rsidRPr="00F52AD7">
        <w:t>3</w:t>
      </w:r>
      <w:r w:rsidR="006B2118" w:rsidRPr="00F52AD7">
        <w:t>%)</w:t>
      </w:r>
      <w:r w:rsidR="00582140" w:rsidRPr="00F52AD7">
        <w:t>.</w:t>
      </w:r>
      <w:r w:rsidR="006B2118" w:rsidRPr="00F52AD7">
        <w:t xml:space="preserve"> </w:t>
      </w:r>
    </w:p>
    <w:p w14:paraId="37A42349" w14:textId="1D5BCF14" w:rsidR="001A2004" w:rsidRPr="00F52AD7" w:rsidRDefault="001A2004" w:rsidP="001A2004">
      <w:pPr>
        <w:pStyle w:val="ListParagraph"/>
        <w:numPr>
          <w:ilvl w:val="0"/>
          <w:numId w:val="10"/>
        </w:numPr>
        <w:spacing w:after="60"/>
      </w:pPr>
      <w:r w:rsidRPr="00F52AD7">
        <w:t>The state’s exports</w:t>
      </w:r>
      <w:r w:rsidR="00176A80" w:rsidRPr="00F52AD7">
        <w:t xml:space="preserve"> robustly</w:t>
      </w:r>
      <w:r w:rsidRPr="00F52AD7">
        <w:t xml:space="preserve"> </w:t>
      </w:r>
      <w:r w:rsidR="000625FE" w:rsidRPr="00F52AD7">
        <w:t xml:space="preserve">expanded </w:t>
      </w:r>
      <w:r w:rsidRPr="00F52AD7">
        <w:t xml:space="preserve">in the </w:t>
      </w:r>
      <w:r w:rsidRPr="00F52AD7">
        <w:rPr>
          <w:b/>
          <w:bCs/>
        </w:rPr>
        <w:t>Middle East</w:t>
      </w:r>
      <w:r w:rsidRPr="00F52AD7">
        <w:t xml:space="preserve"> (</w:t>
      </w:r>
      <w:r w:rsidR="00176A80" w:rsidRPr="00F52AD7">
        <w:t>$1</w:t>
      </w:r>
      <w:r w:rsidR="00BE09D4" w:rsidRPr="00F52AD7">
        <w:t xml:space="preserve">29 </w:t>
      </w:r>
      <w:r w:rsidR="00176A80" w:rsidRPr="00F52AD7">
        <w:t xml:space="preserve">million, </w:t>
      </w:r>
      <w:r w:rsidRPr="00F52AD7">
        <w:t xml:space="preserve">up </w:t>
      </w:r>
      <w:r w:rsidR="00BE09D4" w:rsidRPr="00F52AD7">
        <w:t>32</w:t>
      </w:r>
      <w:r w:rsidRPr="00F52AD7">
        <w:t>%)</w:t>
      </w:r>
      <w:r w:rsidR="00BE09D4" w:rsidRPr="00F52AD7">
        <w:t xml:space="preserve"> and </w:t>
      </w:r>
      <w:r w:rsidR="00BE09D4" w:rsidRPr="00F52AD7">
        <w:rPr>
          <w:b/>
          <w:bCs/>
        </w:rPr>
        <w:t xml:space="preserve">European countries outside the EU </w:t>
      </w:r>
      <w:r w:rsidR="00BE09D4" w:rsidRPr="00F52AD7">
        <w:t xml:space="preserve">($241 million, up 8%), and grew moderately to the </w:t>
      </w:r>
      <w:r w:rsidR="00BE09D4" w:rsidRPr="00F52AD7">
        <w:rPr>
          <w:b/>
          <w:bCs/>
        </w:rPr>
        <w:t>Australia-Pacific</w:t>
      </w:r>
      <w:r w:rsidRPr="00F52AD7">
        <w:t xml:space="preserve"> (</w:t>
      </w:r>
      <w:r w:rsidR="00176A80" w:rsidRPr="00F52AD7">
        <w:t>$</w:t>
      </w:r>
      <w:r w:rsidR="00BE09D4" w:rsidRPr="00F52AD7">
        <w:t>133</w:t>
      </w:r>
      <w:r w:rsidR="00176A80" w:rsidRPr="00F52AD7">
        <w:t xml:space="preserve"> million, </w:t>
      </w:r>
      <w:r w:rsidRPr="00F52AD7">
        <w:t>up 3%).</w:t>
      </w:r>
    </w:p>
    <w:p w14:paraId="481CD972" w14:textId="4A335954" w:rsidR="007C165F" w:rsidRPr="00F52AD7" w:rsidRDefault="007C165F" w:rsidP="00204B74">
      <w:pPr>
        <w:pStyle w:val="Heading4"/>
        <w:spacing w:before="80"/>
        <w:rPr>
          <w:color w:val="auto"/>
        </w:rPr>
      </w:pPr>
      <w:r w:rsidRPr="00F52AD7">
        <w:rPr>
          <w:color w:val="auto"/>
        </w:rPr>
        <w:t xml:space="preserve">Figure </w:t>
      </w:r>
      <w:r w:rsidR="00E36364" w:rsidRPr="00F52AD7">
        <w:rPr>
          <w:color w:val="auto"/>
        </w:rPr>
        <w:fldChar w:fldCharType="begin"/>
      </w:r>
      <w:r w:rsidR="00E36364" w:rsidRPr="00F52AD7">
        <w:rPr>
          <w:color w:val="auto"/>
        </w:rPr>
        <w:instrText xml:space="preserve"> SEQ Figure \* ARABIC </w:instrText>
      </w:r>
      <w:r w:rsidR="00E36364" w:rsidRPr="00F52AD7">
        <w:rPr>
          <w:color w:val="auto"/>
        </w:rPr>
        <w:fldChar w:fldCharType="separate"/>
      </w:r>
      <w:r w:rsidR="00900302" w:rsidRPr="00F52AD7">
        <w:rPr>
          <w:noProof/>
          <w:color w:val="auto"/>
        </w:rPr>
        <w:t>2</w:t>
      </w:r>
      <w:r w:rsidR="00E36364" w:rsidRPr="00F52AD7">
        <w:rPr>
          <w:color w:val="auto"/>
        </w:rPr>
        <w:fldChar w:fldCharType="end"/>
      </w:r>
      <w:r w:rsidR="00C84D0E" w:rsidRPr="00F52AD7">
        <w:rPr>
          <w:color w:val="auto"/>
        </w:rPr>
        <w:t xml:space="preserve">. </w:t>
      </w:r>
      <w:r w:rsidR="00A44451" w:rsidRPr="00F52AD7">
        <w:rPr>
          <w:color w:val="auto"/>
        </w:rPr>
        <w:t>Export Trends for</w:t>
      </w:r>
      <w:r w:rsidR="0038665A" w:rsidRPr="00F52AD7">
        <w:rPr>
          <w:color w:val="auto"/>
        </w:rPr>
        <w:t xml:space="preserve"> Minnesota’s Top 10 Markets, </w:t>
      </w:r>
      <w:r w:rsidR="00034184" w:rsidRPr="00F52AD7">
        <w:rPr>
          <w:color w:val="auto"/>
        </w:rPr>
        <w:t xml:space="preserve">Fourth </w:t>
      </w:r>
      <w:r w:rsidR="00582140" w:rsidRPr="00F52AD7">
        <w:rPr>
          <w:color w:val="auto"/>
        </w:rPr>
        <w:t>Q</w:t>
      </w:r>
      <w:r w:rsidR="00034184" w:rsidRPr="00F52AD7">
        <w:rPr>
          <w:color w:val="auto"/>
        </w:rPr>
        <w:t>uarter</w:t>
      </w:r>
      <w:r w:rsidR="00A52415" w:rsidRPr="00F52AD7">
        <w:rPr>
          <w:color w:val="auto"/>
        </w:rPr>
        <w:t xml:space="preserve"> </w:t>
      </w:r>
      <w:r w:rsidR="004205AD" w:rsidRPr="00F52AD7">
        <w:rPr>
          <w:color w:val="auto"/>
        </w:rPr>
        <w:t>2022</w:t>
      </w:r>
    </w:p>
    <w:p w14:paraId="2EF6C8F4" w14:textId="5A8207A4" w:rsidR="00DD5F6D" w:rsidRPr="00F52AD7" w:rsidRDefault="00DD5F6D" w:rsidP="00204B74">
      <w:pPr>
        <w:spacing w:after="0"/>
      </w:pPr>
      <w:r w:rsidRPr="00F52AD7">
        <w:rPr>
          <w:noProof/>
        </w:rPr>
        <w:drawing>
          <wp:inline distT="0" distB="0" distL="0" distR="0" wp14:anchorId="58D75BBA" wp14:editId="261E66CF">
            <wp:extent cx="6048375" cy="1986693"/>
            <wp:effectExtent l="0" t="0" r="0" b="0"/>
            <wp:docPr id="6" name="Picture 6" descr="Country Exports (billions) Percent Change, 2021-Q4 to 2022-Q4&#10;WORLD  $7.2  12%&#10;Canada (1)   $2.2  13%&#10;Mexico (2)   $0.8  38%&#10;China (3)   $0.6  -13%&#10;Korea (4)   $0.3  98%&#10;Japan (5)   $0.3  -13%&#10;Germany (6)   $0.3  49%&#10;Belgium (7)   $0.2  21%&#10;Taiwan (8)   $0.2  69%&#10;Netherlands (9)   $0.2  19%&#10;Italy (10)   $0.2  1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ountry Exports (billions) Percent Change, 2021-Q4 to 2022-Q4&#10;WORLD  $7.2  12%&#10;Canada (1)   $2.2  13%&#10;Mexico (2)   $0.8  38%&#10;China (3)   $0.6  -13%&#10;Korea (4)   $0.3  98%&#10;Japan (5)   $0.3  -13%&#10;Germany (6)   $0.3  49%&#10;Belgium (7)   $0.2  21%&#10;Taiwan (8)   $0.2  69%&#10;Netherlands (9)   $0.2  19%&#10;Italy (10)   $0.2  115%&#10;"/>
                    <pic:cNvPicPr>
                      <a:picLocks noChangeAspect="1" noChangeArrowheads="1"/>
                    </pic:cNvPicPr>
                  </pic:nvPicPr>
                  <pic:blipFill rotWithShape="1">
                    <a:blip r:embed="rId14">
                      <a:extLst>
                        <a:ext uri="{28A0092B-C50C-407E-A947-70E740481C1C}">
                          <a14:useLocalDpi xmlns:a14="http://schemas.microsoft.com/office/drawing/2010/main" val="0"/>
                        </a:ext>
                      </a:extLst>
                    </a:blip>
                    <a:srcRect t="6087"/>
                    <a:stretch/>
                  </pic:blipFill>
                  <pic:spPr bwMode="auto">
                    <a:xfrm>
                      <a:off x="0" y="0"/>
                      <a:ext cx="6053896" cy="1988506"/>
                    </a:xfrm>
                    <a:prstGeom prst="rect">
                      <a:avLst/>
                    </a:prstGeom>
                    <a:noFill/>
                    <a:ln>
                      <a:noFill/>
                    </a:ln>
                    <a:extLst>
                      <a:ext uri="{53640926-AAD7-44D8-BBD7-CCE9431645EC}">
                        <a14:shadowObscured xmlns:a14="http://schemas.microsoft.com/office/drawing/2010/main"/>
                      </a:ext>
                    </a:extLst>
                  </pic:spPr>
                </pic:pic>
              </a:graphicData>
            </a:graphic>
          </wp:inline>
        </w:drawing>
      </w:r>
    </w:p>
    <w:p w14:paraId="3765CDA2" w14:textId="4BDDA259" w:rsidR="00BF29E1" w:rsidRPr="00F52AD7" w:rsidRDefault="000F5273" w:rsidP="00953B35">
      <w:pPr>
        <w:pStyle w:val="Heading2"/>
        <w:tabs>
          <w:tab w:val="left" w:pos="360"/>
        </w:tabs>
        <w:spacing w:before="0" w:after="120"/>
        <w:ind w:left="360" w:hanging="360"/>
        <w:rPr>
          <w:rFonts w:asciiTheme="minorHAnsi" w:hAnsiTheme="minorHAnsi"/>
          <w:b w:val="0"/>
          <w:i/>
          <w:color w:val="auto"/>
          <w:sz w:val="28"/>
        </w:rPr>
        <w:sectPr w:rsidR="00BF29E1" w:rsidRPr="00F52AD7" w:rsidSect="00426066">
          <w:footnotePr>
            <w:numRestart w:val="eachSect"/>
          </w:footnotePr>
          <w:endnotePr>
            <w:numFmt w:val="decimal"/>
          </w:endnotePr>
          <w:type w:val="continuous"/>
          <w:pgSz w:w="12240" w:h="15840" w:code="1"/>
          <w:pgMar w:top="1008" w:right="1296" w:bottom="1008" w:left="1080" w:header="720" w:footer="720" w:gutter="0"/>
          <w:cols w:space="720"/>
          <w:titlePg/>
          <w:docGrid w:linePitch="299"/>
        </w:sectPr>
      </w:pPr>
      <w:r w:rsidRPr="00F52AD7">
        <w:rPr>
          <w:rFonts w:asciiTheme="minorHAnsi" w:hAnsiTheme="minorHAnsi"/>
          <w:b w:val="0"/>
          <w:i/>
          <w:color w:val="auto"/>
          <w:sz w:val="28"/>
        </w:rPr>
        <w:lastRenderedPageBreak/>
        <w:t xml:space="preserve">Global Sales of </w:t>
      </w:r>
      <w:r w:rsidR="00E83A19" w:rsidRPr="00F52AD7">
        <w:rPr>
          <w:rFonts w:asciiTheme="minorHAnsi" w:hAnsiTheme="minorHAnsi"/>
          <w:b w:val="0"/>
          <w:i/>
          <w:color w:val="auto"/>
          <w:sz w:val="28"/>
        </w:rPr>
        <w:t>Mineral Fue</w:t>
      </w:r>
      <w:r w:rsidRPr="00F52AD7">
        <w:rPr>
          <w:rFonts w:asciiTheme="minorHAnsi" w:hAnsiTheme="minorHAnsi"/>
          <w:b w:val="0"/>
          <w:i/>
          <w:color w:val="auto"/>
          <w:sz w:val="28"/>
        </w:rPr>
        <w:t>l and Oil Drove the State’s Export Growth</w:t>
      </w:r>
    </w:p>
    <w:p w14:paraId="0F554FBE" w14:textId="3540A982" w:rsidR="000F5273" w:rsidRPr="00F52AD7" w:rsidRDefault="00907ECC" w:rsidP="003E4E2F">
      <w:pPr>
        <w:pStyle w:val="ListParagraph"/>
        <w:numPr>
          <w:ilvl w:val="0"/>
          <w:numId w:val="7"/>
        </w:numPr>
        <w:spacing w:after="0"/>
        <w:ind w:left="360" w:right="-90"/>
      </w:pPr>
      <w:r>
        <w:t>Some of</w:t>
      </w:r>
      <w:r w:rsidR="000F5273" w:rsidRPr="00F52AD7">
        <w:t xml:space="preserve"> </w:t>
      </w:r>
      <w:r w:rsidR="00623D95" w:rsidRPr="00F52AD7">
        <w:t>the state’s top</w:t>
      </w:r>
      <w:r w:rsidR="004E701E" w:rsidRPr="00F52AD7">
        <w:t xml:space="preserve"> </w:t>
      </w:r>
      <w:r w:rsidR="00623D95" w:rsidRPr="00F52AD7">
        <w:t xml:space="preserve">products </w:t>
      </w:r>
      <w:r w:rsidR="000F5273" w:rsidRPr="00F52AD7">
        <w:t xml:space="preserve">such as </w:t>
      </w:r>
      <w:r w:rsidR="000F5273" w:rsidRPr="00F52AD7">
        <w:rPr>
          <w:b/>
          <w:bCs/>
        </w:rPr>
        <w:t>m</w:t>
      </w:r>
      <w:r w:rsidR="000A25F5" w:rsidRPr="00F52AD7">
        <w:rPr>
          <w:b/>
        </w:rPr>
        <w:t xml:space="preserve">ineral fuel, oil </w:t>
      </w:r>
      <w:r w:rsidR="000A25F5" w:rsidRPr="00F52AD7">
        <w:rPr>
          <w:bCs/>
        </w:rPr>
        <w:t>(up 1</w:t>
      </w:r>
      <w:r w:rsidR="000F5273" w:rsidRPr="00F52AD7">
        <w:rPr>
          <w:bCs/>
        </w:rPr>
        <w:t>30</w:t>
      </w:r>
      <w:r w:rsidR="000A25F5" w:rsidRPr="00F52AD7">
        <w:rPr>
          <w:bCs/>
        </w:rPr>
        <w:t>%)</w:t>
      </w:r>
      <w:r w:rsidR="00623D95" w:rsidRPr="00F52AD7">
        <w:rPr>
          <w:bCs/>
        </w:rPr>
        <w:t xml:space="preserve">, </w:t>
      </w:r>
      <w:r w:rsidR="000F5273" w:rsidRPr="00F52AD7">
        <w:rPr>
          <w:b/>
        </w:rPr>
        <w:t>optic, medical</w:t>
      </w:r>
      <w:r w:rsidR="000F5273" w:rsidRPr="00F52AD7">
        <w:t xml:space="preserve"> (up 14%), </w:t>
      </w:r>
      <w:r w:rsidR="00623D95" w:rsidRPr="00F52AD7">
        <w:rPr>
          <w:b/>
        </w:rPr>
        <w:t xml:space="preserve">electrical equipment </w:t>
      </w:r>
      <w:r w:rsidR="00623D95" w:rsidRPr="00F52AD7">
        <w:rPr>
          <w:bCs/>
        </w:rPr>
        <w:t xml:space="preserve">(up </w:t>
      </w:r>
      <w:r w:rsidR="000F5273" w:rsidRPr="00F52AD7">
        <w:rPr>
          <w:bCs/>
        </w:rPr>
        <w:t>1</w:t>
      </w:r>
      <w:r w:rsidR="00623D95" w:rsidRPr="00F52AD7">
        <w:rPr>
          <w:bCs/>
        </w:rPr>
        <w:t>3%)</w:t>
      </w:r>
      <w:r w:rsidR="004E701E" w:rsidRPr="00F52AD7">
        <w:rPr>
          <w:bCs/>
        </w:rPr>
        <w:t>,</w:t>
      </w:r>
      <w:r w:rsidR="00623D95" w:rsidRPr="00F52AD7">
        <w:rPr>
          <w:bCs/>
        </w:rPr>
        <w:t xml:space="preserve"> </w:t>
      </w:r>
      <w:r w:rsidR="004E701E" w:rsidRPr="00F52AD7">
        <w:t xml:space="preserve">and </w:t>
      </w:r>
      <w:r w:rsidR="004E701E" w:rsidRPr="00F52AD7">
        <w:rPr>
          <w:b/>
          <w:bCs/>
        </w:rPr>
        <w:t xml:space="preserve">vehicles </w:t>
      </w:r>
      <w:r w:rsidR="004E701E" w:rsidRPr="00F52AD7">
        <w:t xml:space="preserve">(up </w:t>
      </w:r>
      <w:r w:rsidR="000F5273" w:rsidRPr="00F52AD7">
        <w:t>30</w:t>
      </w:r>
      <w:r w:rsidR="004E701E" w:rsidRPr="00F52AD7">
        <w:t>%)</w:t>
      </w:r>
      <w:r w:rsidR="000A25F5" w:rsidRPr="00F52AD7">
        <w:rPr>
          <w:bCs/>
        </w:rPr>
        <w:t xml:space="preserve"> </w:t>
      </w:r>
      <w:r w:rsidR="00623D95" w:rsidRPr="00F52AD7">
        <w:rPr>
          <w:bCs/>
        </w:rPr>
        <w:t>fueled</w:t>
      </w:r>
      <w:r>
        <w:rPr>
          <w:bCs/>
        </w:rPr>
        <w:t xml:space="preserve"> export</w:t>
      </w:r>
      <w:r w:rsidR="00623D95" w:rsidRPr="00F52AD7">
        <w:rPr>
          <w:bCs/>
        </w:rPr>
        <w:t xml:space="preserve"> growth, </w:t>
      </w:r>
      <w:r w:rsidR="003E4E2F" w:rsidRPr="00F52AD7">
        <w:rPr>
          <w:bCs/>
        </w:rPr>
        <w:t>which helped to offset declines</w:t>
      </w:r>
      <w:r w:rsidR="006C1D03" w:rsidRPr="00F52AD7">
        <w:rPr>
          <w:bCs/>
        </w:rPr>
        <w:t xml:space="preserve"> </w:t>
      </w:r>
      <w:r w:rsidR="003E4E2F" w:rsidRPr="00F52AD7">
        <w:rPr>
          <w:bCs/>
        </w:rPr>
        <w:t xml:space="preserve">in </w:t>
      </w:r>
      <w:r>
        <w:rPr>
          <w:bCs/>
        </w:rPr>
        <w:t>other</w:t>
      </w:r>
      <w:r w:rsidR="003E4E2F" w:rsidRPr="00F52AD7">
        <w:rPr>
          <w:bCs/>
        </w:rPr>
        <w:t>s such as</w:t>
      </w:r>
      <w:r w:rsidR="00623D95" w:rsidRPr="00F52AD7">
        <w:rPr>
          <w:bCs/>
        </w:rPr>
        <w:t xml:space="preserve"> </w:t>
      </w:r>
      <w:r w:rsidR="00623D95" w:rsidRPr="00F52AD7">
        <w:rPr>
          <w:b/>
        </w:rPr>
        <w:t>machinery</w:t>
      </w:r>
      <w:r w:rsidR="00A44451" w:rsidRPr="00F52AD7">
        <w:t xml:space="preserve"> </w:t>
      </w:r>
      <w:r w:rsidR="007447F0" w:rsidRPr="00F52AD7">
        <w:t xml:space="preserve">(down </w:t>
      </w:r>
      <w:r w:rsidR="003E4E2F" w:rsidRPr="00F52AD7">
        <w:t>19</w:t>
      </w:r>
      <w:r w:rsidR="007447F0" w:rsidRPr="00F52AD7">
        <w:t>%),</w:t>
      </w:r>
      <w:r w:rsidR="007447F0" w:rsidRPr="00F52AD7">
        <w:rPr>
          <w:b/>
        </w:rPr>
        <w:t xml:space="preserve"> </w:t>
      </w:r>
      <w:r w:rsidR="003E4E2F" w:rsidRPr="00F52AD7">
        <w:rPr>
          <w:b/>
        </w:rPr>
        <w:t>cereals</w:t>
      </w:r>
      <w:r w:rsidR="007447F0" w:rsidRPr="00F52AD7">
        <w:rPr>
          <w:b/>
        </w:rPr>
        <w:t xml:space="preserve"> </w:t>
      </w:r>
      <w:r w:rsidR="007447F0" w:rsidRPr="00F52AD7">
        <w:rPr>
          <w:bCs/>
        </w:rPr>
        <w:t xml:space="preserve">(down </w:t>
      </w:r>
      <w:r w:rsidR="003E4E2F" w:rsidRPr="00F52AD7">
        <w:rPr>
          <w:bCs/>
        </w:rPr>
        <w:t>45</w:t>
      </w:r>
      <w:r w:rsidR="007447F0" w:rsidRPr="00F52AD7">
        <w:rPr>
          <w:bCs/>
        </w:rPr>
        <w:t>%)</w:t>
      </w:r>
      <w:r w:rsidR="003E4E2F" w:rsidRPr="00F52AD7">
        <w:rPr>
          <w:bCs/>
        </w:rPr>
        <w:t xml:space="preserve">, </w:t>
      </w:r>
      <w:r w:rsidR="003E4E2F" w:rsidRPr="00F52AD7">
        <w:rPr>
          <w:b/>
        </w:rPr>
        <w:t xml:space="preserve">plastics </w:t>
      </w:r>
      <w:r w:rsidR="003E4E2F" w:rsidRPr="00F52AD7">
        <w:rPr>
          <w:bCs/>
        </w:rPr>
        <w:t xml:space="preserve">(down 16%) and </w:t>
      </w:r>
      <w:r w:rsidR="003E4E2F" w:rsidRPr="00F52AD7">
        <w:rPr>
          <w:b/>
        </w:rPr>
        <w:t xml:space="preserve">pharmaceuticals </w:t>
      </w:r>
      <w:r w:rsidR="003E4E2F" w:rsidRPr="00F52AD7">
        <w:rPr>
          <w:bCs/>
        </w:rPr>
        <w:t>(down 51%).</w:t>
      </w:r>
      <w:r w:rsidR="007447F0" w:rsidRPr="00F52AD7">
        <w:rPr>
          <w:bCs/>
        </w:rPr>
        <w:t xml:space="preserve"> </w:t>
      </w:r>
    </w:p>
    <w:p w14:paraId="018D896F" w14:textId="525F4621" w:rsidR="000F5273" w:rsidRPr="00F52AD7" w:rsidRDefault="004E701E" w:rsidP="00873993">
      <w:pPr>
        <w:pStyle w:val="ListParagraph"/>
        <w:numPr>
          <w:ilvl w:val="0"/>
          <w:numId w:val="7"/>
        </w:numPr>
        <w:spacing w:after="0"/>
        <w:ind w:left="360" w:right="-90"/>
      </w:pPr>
      <w:r w:rsidRPr="00F52AD7">
        <w:rPr>
          <w:bCs/>
        </w:rPr>
        <w:t xml:space="preserve">Global sales of </w:t>
      </w:r>
      <w:r w:rsidRPr="00F52AD7">
        <w:rPr>
          <w:b/>
        </w:rPr>
        <w:t>m</w:t>
      </w:r>
      <w:r w:rsidR="007447F0" w:rsidRPr="00F52AD7">
        <w:rPr>
          <w:b/>
        </w:rPr>
        <w:t>isc</w:t>
      </w:r>
      <w:r w:rsidRPr="00F52AD7">
        <w:rPr>
          <w:b/>
        </w:rPr>
        <w:t>. chemicals</w:t>
      </w:r>
      <w:r w:rsidR="00D60BDF" w:rsidRPr="00F52AD7">
        <w:t xml:space="preserve"> ($1</w:t>
      </w:r>
      <w:r w:rsidR="00716475" w:rsidRPr="00F52AD7">
        <w:t>19</w:t>
      </w:r>
      <w:r w:rsidR="007447F0" w:rsidRPr="00F52AD7">
        <w:t xml:space="preserve"> million, up 1</w:t>
      </w:r>
      <w:r w:rsidR="00716475" w:rsidRPr="00F52AD7">
        <w:t>18</w:t>
      </w:r>
      <w:r w:rsidR="00647786" w:rsidRPr="00F52AD7">
        <w:t xml:space="preserve">%), </w:t>
      </w:r>
      <w:r w:rsidR="00647786" w:rsidRPr="00F52AD7">
        <w:rPr>
          <w:b/>
        </w:rPr>
        <w:t>f</w:t>
      </w:r>
      <w:r w:rsidRPr="00F52AD7">
        <w:rPr>
          <w:b/>
        </w:rPr>
        <w:t>ertilizers</w:t>
      </w:r>
      <w:r w:rsidR="00647786" w:rsidRPr="00F52AD7">
        <w:rPr>
          <w:b/>
        </w:rPr>
        <w:t xml:space="preserve"> </w:t>
      </w:r>
      <w:r w:rsidR="00647786" w:rsidRPr="00F52AD7">
        <w:t>(</w:t>
      </w:r>
      <w:r w:rsidR="005C0164" w:rsidRPr="00F52AD7">
        <w:t>$</w:t>
      </w:r>
      <w:r w:rsidR="00716475" w:rsidRPr="00F52AD7">
        <w:t>90</w:t>
      </w:r>
      <w:r w:rsidR="00B679D3" w:rsidRPr="00F52AD7">
        <w:t xml:space="preserve"> million, </w:t>
      </w:r>
      <w:r w:rsidR="007447F0" w:rsidRPr="00F52AD7">
        <w:t>up</w:t>
      </w:r>
      <w:r w:rsidR="00B679D3" w:rsidRPr="00F52AD7">
        <w:t xml:space="preserve"> </w:t>
      </w:r>
      <w:r w:rsidR="00716475" w:rsidRPr="00F52AD7">
        <w:t>80</w:t>
      </w:r>
      <w:r w:rsidR="00647786" w:rsidRPr="00F52AD7">
        <w:t>%)</w:t>
      </w:r>
      <w:r w:rsidR="00716475" w:rsidRPr="00F52AD7">
        <w:t xml:space="preserve">, </w:t>
      </w:r>
      <w:r w:rsidR="00716475" w:rsidRPr="00F52AD7">
        <w:rPr>
          <w:b/>
          <w:bCs/>
        </w:rPr>
        <w:t>iron and steel products</w:t>
      </w:r>
      <w:r w:rsidR="00716475" w:rsidRPr="00F52AD7">
        <w:t xml:space="preserve"> ($111 million, up 34%) </w:t>
      </w:r>
      <w:r w:rsidRPr="00F52AD7">
        <w:t>and</w:t>
      </w:r>
      <w:r w:rsidR="00716475" w:rsidRPr="00F52AD7">
        <w:rPr>
          <w:b/>
          <w:bCs/>
        </w:rPr>
        <w:t xml:space="preserve"> food by-products</w:t>
      </w:r>
      <w:r w:rsidRPr="00F52AD7">
        <w:t xml:space="preserve"> ($</w:t>
      </w:r>
      <w:r w:rsidR="00716475" w:rsidRPr="00F52AD7">
        <w:t>195</w:t>
      </w:r>
      <w:r w:rsidRPr="00F52AD7">
        <w:t xml:space="preserve"> million, up 1</w:t>
      </w:r>
      <w:r w:rsidR="00716475" w:rsidRPr="00F52AD7">
        <w:t>5</w:t>
      </w:r>
      <w:r w:rsidRPr="00F52AD7">
        <w:t>%) also</w:t>
      </w:r>
      <w:r w:rsidR="00716475" w:rsidRPr="00F52AD7">
        <w:t xml:space="preserve"> made strong gains</w:t>
      </w:r>
      <w:r w:rsidRPr="00F52AD7">
        <w:t>.</w:t>
      </w:r>
    </w:p>
    <w:p w14:paraId="6BA2F72E" w14:textId="4D99C6F4" w:rsidR="00E76FF1" w:rsidRPr="00F52AD7" w:rsidRDefault="00E76FF1" w:rsidP="000F5273">
      <w:pPr>
        <w:pStyle w:val="ListParagraph"/>
        <w:spacing w:after="120"/>
        <w:ind w:left="180" w:right="-90"/>
      </w:pPr>
      <w:r w:rsidRPr="00F52AD7">
        <w:rPr>
          <w:rStyle w:val="Heading4Char"/>
          <w:color w:val="auto"/>
        </w:rPr>
        <w:t xml:space="preserve">Figure </w:t>
      </w:r>
      <w:r w:rsidRPr="00F52AD7">
        <w:rPr>
          <w:rStyle w:val="Heading4Char"/>
          <w:b/>
          <w:color w:val="auto"/>
        </w:rPr>
        <w:fldChar w:fldCharType="begin"/>
      </w:r>
      <w:r w:rsidRPr="00F52AD7">
        <w:rPr>
          <w:rStyle w:val="Heading4Char"/>
          <w:color w:val="auto"/>
        </w:rPr>
        <w:instrText xml:space="preserve"> SEQ Figure \* ARABIC </w:instrText>
      </w:r>
      <w:r w:rsidRPr="00F52AD7">
        <w:rPr>
          <w:rStyle w:val="Heading4Char"/>
          <w:b/>
          <w:color w:val="auto"/>
        </w:rPr>
        <w:fldChar w:fldCharType="separate"/>
      </w:r>
      <w:r w:rsidRPr="00F52AD7">
        <w:rPr>
          <w:rStyle w:val="Heading4Char"/>
          <w:noProof/>
          <w:color w:val="auto"/>
        </w:rPr>
        <w:t>3</w:t>
      </w:r>
      <w:r w:rsidRPr="00F52AD7">
        <w:rPr>
          <w:rStyle w:val="Heading4Char"/>
          <w:b/>
          <w:color w:val="auto"/>
        </w:rPr>
        <w:fldChar w:fldCharType="end"/>
      </w:r>
      <w:r w:rsidRPr="00F52AD7">
        <w:rPr>
          <w:rStyle w:val="Heading4Char"/>
          <w:color w:val="auto"/>
        </w:rPr>
        <w:t xml:space="preserve">. </w:t>
      </w:r>
      <w:r w:rsidR="00702531" w:rsidRPr="00F52AD7">
        <w:rPr>
          <w:rStyle w:val="Heading4Char"/>
          <w:color w:val="auto"/>
        </w:rPr>
        <w:t xml:space="preserve">Top </w:t>
      </w:r>
      <w:r w:rsidR="00D85065" w:rsidRPr="00F52AD7">
        <w:rPr>
          <w:rStyle w:val="Heading4Char"/>
          <w:color w:val="auto"/>
        </w:rPr>
        <w:t>Markets for Mineral Fuel, Oil</w:t>
      </w:r>
    </w:p>
    <w:p w14:paraId="008551DC" w14:textId="59B70030" w:rsidR="00702531" w:rsidRPr="00F52AD7" w:rsidRDefault="00702531" w:rsidP="00A11201">
      <w:pPr>
        <w:spacing w:after="0"/>
        <w:ind w:left="180" w:hanging="180"/>
        <w:sectPr w:rsidR="00702531" w:rsidRPr="00F52AD7" w:rsidSect="000F5273">
          <w:footerReference w:type="default" r:id="rId15"/>
          <w:footnotePr>
            <w:numRestart w:val="eachSect"/>
          </w:footnotePr>
          <w:endnotePr>
            <w:numFmt w:val="decimal"/>
          </w:endnotePr>
          <w:type w:val="continuous"/>
          <w:pgSz w:w="12240" w:h="15840" w:code="1"/>
          <w:pgMar w:top="936" w:right="1080" w:bottom="936" w:left="1080" w:header="720" w:footer="720" w:gutter="0"/>
          <w:cols w:num="2" w:space="648"/>
          <w:titlePg/>
          <w:docGrid w:linePitch="299"/>
        </w:sectPr>
      </w:pPr>
      <w:r w:rsidRPr="00F52AD7">
        <w:rPr>
          <w:noProof/>
        </w:rPr>
        <w:drawing>
          <wp:inline distT="0" distB="0" distL="0" distR="0" wp14:anchorId="5C8F24D3" wp14:editId="378C0972">
            <wp:extent cx="2971800" cy="1889895"/>
            <wp:effectExtent l="0" t="0" r="0" b="0"/>
            <wp:docPr id="4" name="Chart 4" descr="Country&#10; Canada 64% &#10; Korea 10%&#10; Spain 6%&#10; Italy 6%&#10; Taiwan 5%&#10; Uruguay 4%&#10; France 4%&#10; Other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0917D5B" w14:textId="6F540F9F" w:rsidR="00716475" w:rsidRPr="00F52AD7" w:rsidRDefault="00716475" w:rsidP="00716475">
      <w:pPr>
        <w:pStyle w:val="ListParagraph"/>
        <w:numPr>
          <w:ilvl w:val="0"/>
          <w:numId w:val="7"/>
        </w:numPr>
        <w:spacing w:after="0"/>
        <w:ind w:left="360"/>
      </w:pPr>
      <w:r w:rsidRPr="00F52AD7">
        <w:t xml:space="preserve">With </w:t>
      </w:r>
      <w:r w:rsidR="00907ECC">
        <w:t xml:space="preserve">a </w:t>
      </w:r>
      <w:r w:rsidRPr="00F52AD7">
        <w:t>market share</w:t>
      </w:r>
      <w:r w:rsidR="00907ECC">
        <w:t xml:space="preserve"> of</w:t>
      </w:r>
      <w:r w:rsidR="00907ECC" w:rsidRPr="00907ECC">
        <w:t xml:space="preserve"> </w:t>
      </w:r>
      <w:r w:rsidR="00907ECC" w:rsidRPr="00F52AD7">
        <w:t>6</w:t>
      </w:r>
      <w:r w:rsidR="00907ECC">
        <w:t>4</w:t>
      </w:r>
      <w:r w:rsidR="00907ECC" w:rsidRPr="00F52AD7">
        <w:t>%</w:t>
      </w:r>
      <w:r w:rsidRPr="00F52AD7">
        <w:t>,</w:t>
      </w:r>
      <w:r w:rsidRPr="00F52AD7">
        <w:rPr>
          <w:b/>
          <w:bCs/>
        </w:rPr>
        <w:t xml:space="preserve"> </w:t>
      </w:r>
      <w:r w:rsidR="004149B2" w:rsidRPr="00F52AD7">
        <w:rPr>
          <w:b/>
          <w:bCs/>
        </w:rPr>
        <w:t xml:space="preserve">Canada </w:t>
      </w:r>
      <w:r w:rsidRPr="00F52AD7">
        <w:t xml:space="preserve">(up 54%) </w:t>
      </w:r>
      <w:r w:rsidR="004149B2" w:rsidRPr="00F52AD7">
        <w:t>drove export growth of</w:t>
      </w:r>
      <w:r w:rsidR="004149B2" w:rsidRPr="00F52AD7">
        <w:rPr>
          <w:b/>
        </w:rPr>
        <w:t xml:space="preserve"> m</w:t>
      </w:r>
      <w:r w:rsidR="004E701E" w:rsidRPr="00F52AD7">
        <w:rPr>
          <w:b/>
        </w:rPr>
        <w:t xml:space="preserve">ineral fuel, oil </w:t>
      </w:r>
      <w:r w:rsidR="004E701E" w:rsidRPr="00F52AD7">
        <w:rPr>
          <w:bCs/>
        </w:rPr>
        <w:t>(</w:t>
      </w:r>
      <w:r w:rsidR="00D7245E" w:rsidRPr="00F52AD7">
        <w:rPr>
          <w:bCs/>
        </w:rPr>
        <w:t xml:space="preserve">such as </w:t>
      </w:r>
      <w:r w:rsidR="00D7245E" w:rsidRPr="00F52AD7">
        <w:rPr>
          <w:b/>
        </w:rPr>
        <w:t>motor fuel</w:t>
      </w:r>
      <w:r w:rsidR="004E701E" w:rsidRPr="00F52AD7">
        <w:rPr>
          <w:bCs/>
        </w:rPr>
        <w:t>)</w:t>
      </w:r>
      <w:r w:rsidRPr="00F52AD7">
        <w:t>. However, increase</w:t>
      </w:r>
      <w:r w:rsidR="00907ECC">
        <w:t>s in</w:t>
      </w:r>
      <w:r w:rsidRPr="00F52AD7">
        <w:t xml:space="preserve"> demand – ranging from $50 million to $120 million – </w:t>
      </w:r>
      <w:r w:rsidR="009D5B7D" w:rsidRPr="00F52AD7">
        <w:t xml:space="preserve">for these products </w:t>
      </w:r>
      <w:r w:rsidRPr="00F52AD7">
        <w:t>from largely new markets (</w:t>
      </w:r>
      <w:r w:rsidRPr="00F52AD7">
        <w:rPr>
          <w:b/>
          <w:bCs/>
        </w:rPr>
        <w:t>Korea</w:t>
      </w:r>
      <w:r w:rsidRPr="00F52AD7">
        <w:t>,</w:t>
      </w:r>
      <w:r w:rsidRPr="00F52AD7">
        <w:rPr>
          <w:b/>
          <w:bCs/>
        </w:rPr>
        <w:t xml:space="preserve"> Spain, Italy, Taiwan, </w:t>
      </w:r>
      <w:proofErr w:type="gramStart"/>
      <w:r w:rsidRPr="00F52AD7">
        <w:rPr>
          <w:b/>
          <w:bCs/>
        </w:rPr>
        <w:t>Uruguay</w:t>
      </w:r>
      <w:proofErr w:type="gramEnd"/>
      <w:r w:rsidRPr="00F52AD7">
        <w:rPr>
          <w:b/>
          <w:bCs/>
        </w:rPr>
        <w:t xml:space="preserve"> </w:t>
      </w:r>
      <w:r w:rsidRPr="00F52AD7">
        <w:t xml:space="preserve">and </w:t>
      </w:r>
      <w:r w:rsidRPr="00F52AD7">
        <w:rPr>
          <w:b/>
          <w:bCs/>
        </w:rPr>
        <w:t>France</w:t>
      </w:r>
      <w:r w:rsidRPr="00F52AD7">
        <w:t>) generated the largest gains.</w:t>
      </w:r>
    </w:p>
    <w:p w14:paraId="66CC4855" w14:textId="176A69E4" w:rsidR="001448C3" w:rsidRPr="00F52AD7" w:rsidRDefault="009D5B7D" w:rsidP="003B0265">
      <w:pPr>
        <w:pStyle w:val="ListParagraph"/>
        <w:numPr>
          <w:ilvl w:val="0"/>
          <w:numId w:val="7"/>
        </w:numPr>
        <w:spacing w:after="0"/>
        <w:ind w:left="360" w:right="-72"/>
      </w:pPr>
      <w:r w:rsidRPr="00F52AD7">
        <w:t xml:space="preserve">Surging </w:t>
      </w:r>
      <w:r w:rsidRPr="00F52AD7">
        <w:rPr>
          <w:b/>
          <w:bCs/>
        </w:rPr>
        <w:t>e</w:t>
      </w:r>
      <w:r w:rsidR="001448C3" w:rsidRPr="00F52AD7">
        <w:rPr>
          <w:b/>
          <w:bCs/>
        </w:rPr>
        <w:t xml:space="preserve">lectrical equipment </w:t>
      </w:r>
      <w:r w:rsidR="00043906" w:rsidRPr="00F52AD7">
        <w:t xml:space="preserve">exports </w:t>
      </w:r>
      <w:r w:rsidR="00BB2BA6" w:rsidRPr="00F52AD7">
        <w:t>to markets such as</w:t>
      </w:r>
      <w:r w:rsidR="001448C3" w:rsidRPr="00F52AD7">
        <w:t xml:space="preserve"> </w:t>
      </w:r>
      <w:r w:rsidR="001448C3" w:rsidRPr="00F52AD7">
        <w:rPr>
          <w:b/>
          <w:bCs/>
        </w:rPr>
        <w:t>C</w:t>
      </w:r>
      <w:r w:rsidR="00BB2BA6" w:rsidRPr="00F52AD7">
        <w:rPr>
          <w:b/>
          <w:bCs/>
        </w:rPr>
        <w:t>anada</w:t>
      </w:r>
      <w:r w:rsidRPr="00F52AD7">
        <w:rPr>
          <w:b/>
          <w:bCs/>
        </w:rPr>
        <w:t xml:space="preserve"> </w:t>
      </w:r>
      <w:r w:rsidRPr="00F52AD7">
        <w:t>(up 44%)</w:t>
      </w:r>
      <w:r w:rsidR="00145F43" w:rsidRPr="00F52AD7">
        <w:t>,</w:t>
      </w:r>
      <w:r w:rsidR="001448C3" w:rsidRPr="00F52AD7">
        <w:t xml:space="preserve"> </w:t>
      </w:r>
      <w:r w:rsidRPr="00F52AD7">
        <w:rPr>
          <w:b/>
          <w:bCs/>
        </w:rPr>
        <w:t>the Philippines</w:t>
      </w:r>
      <w:r w:rsidRPr="00F52AD7">
        <w:t xml:space="preserve"> (up 104%) and </w:t>
      </w:r>
      <w:r w:rsidR="00BB2BA6" w:rsidRPr="00F52AD7">
        <w:rPr>
          <w:b/>
          <w:bCs/>
        </w:rPr>
        <w:t>Germany</w:t>
      </w:r>
      <w:r w:rsidRPr="00F52AD7">
        <w:rPr>
          <w:b/>
          <w:bCs/>
        </w:rPr>
        <w:t xml:space="preserve"> </w:t>
      </w:r>
      <w:r w:rsidRPr="00F52AD7">
        <w:t>(up 27%) and</w:t>
      </w:r>
      <w:r w:rsidRPr="00F52AD7">
        <w:rPr>
          <w:b/>
          <w:bCs/>
        </w:rPr>
        <w:t xml:space="preserve"> Indonesia </w:t>
      </w:r>
      <w:r w:rsidRPr="00F52AD7">
        <w:t xml:space="preserve">(up 1,026%) </w:t>
      </w:r>
      <w:r w:rsidR="00D21475" w:rsidRPr="00F52AD7">
        <w:t xml:space="preserve">offset </w:t>
      </w:r>
      <w:r w:rsidRPr="00F52AD7">
        <w:t xml:space="preserve">the sharp decline to </w:t>
      </w:r>
      <w:r w:rsidRPr="00F52AD7">
        <w:rPr>
          <w:b/>
          <w:bCs/>
        </w:rPr>
        <w:t>China</w:t>
      </w:r>
      <w:r w:rsidRPr="00F52AD7">
        <w:t xml:space="preserve"> (down 2</w:t>
      </w:r>
      <w:r w:rsidR="00907ECC">
        <w:t>4</w:t>
      </w:r>
      <w:r w:rsidRPr="00F52AD7">
        <w:t>%).</w:t>
      </w:r>
    </w:p>
    <w:p w14:paraId="269FED82" w14:textId="0E060DB8" w:rsidR="00F75171" w:rsidRPr="00F52AD7" w:rsidRDefault="00BC4F7B" w:rsidP="00F75171">
      <w:pPr>
        <w:pStyle w:val="ListParagraph"/>
        <w:numPr>
          <w:ilvl w:val="0"/>
          <w:numId w:val="7"/>
        </w:numPr>
        <w:spacing w:after="0"/>
        <w:ind w:left="360" w:right="-396"/>
        <w:rPr>
          <w:bCs/>
        </w:rPr>
      </w:pPr>
      <w:r w:rsidRPr="00F52AD7">
        <w:rPr>
          <w:b/>
        </w:rPr>
        <w:t xml:space="preserve">Mexico </w:t>
      </w:r>
      <w:r w:rsidRPr="00F52AD7">
        <w:rPr>
          <w:bCs/>
        </w:rPr>
        <w:t>(</w:t>
      </w:r>
      <w:r w:rsidR="0098100C" w:rsidRPr="00F52AD7">
        <w:rPr>
          <w:bCs/>
        </w:rPr>
        <w:t>$145</w:t>
      </w:r>
      <w:r w:rsidR="00D21475" w:rsidRPr="00F52AD7">
        <w:rPr>
          <w:bCs/>
        </w:rPr>
        <w:t xml:space="preserve"> million</w:t>
      </w:r>
      <w:r w:rsidR="0098100C" w:rsidRPr="00F52AD7">
        <w:rPr>
          <w:bCs/>
        </w:rPr>
        <w:t>, up 179%</w:t>
      </w:r>
      <w:r w:rsidRPr="00F52AD7">
        <w:rPr>
          <w:bCs/>
        </w:rPr>
        <w:t xml:space="preserve">) and </w:t>
      </w:r>
      <w:r w:rsidRPr="00F52AD7">
        <w:rPr>
          <w:b/>
        </w:rPr>
        <w:t xml:space="preserve">Canada </w:t>
      </w:r>
      <w:r w:rsidRPr="00F52AD7">
        <w:rPr>
          <w:bCs/>
        </w:rPr>
        <w:t>(</w:t>
      </w:r>
      <w:r w:rsidR="00D21475" w:rsidRPr="00F52AD7">
        <w:rPr>
          <w:bCs/>
        </w:rPr>
        <w:t>$</w:t>
      </w:r>
      <w:r w:rsidR="0098100C" w:rsidRPr="00F52AD7">
        <w:rPr>
          <w:bCs/>
        </w:rPr>
        <w:t>194</w:t>
      </w:r>
      <w:r w:rsidR="00D21475" w:rsidRPr="00F52AD7">
        <w:rPr>
          <w:bCs/>
        </w:rPr>
        <w:t xml:space="preserve"> million</w:t>
      </w:r>
      <w:r w:rsidR="0098100C" w:rsidRPr="00F52AD7">
        <w:rPr>
          <w:bCs/>
        </w:rPr>
        <w:t>, up 16%</w:t>
      </w:r>
      <w:r w:rsidRPr="00F52AD7">
        <w:rPr>
          <w:bCs/>
        </w:rPr>
        <w:t xml:space="preserve">) </w:t>
      </w:r>
      <w:r w:rsidR="0098100C" w:rsidRPr="00F52AD7">
        <w:rPr>
          <w:bCs/>
        </w:rPr>
        <w:t xml:space="preserve">drove export growth of </w:t>
      </w:r>
      <w:r w:rsidR="0098100C" w:rsidRPr="00F52AD7">
        <w:rPr>
          <w:b/>
        </w:rPr>
        <w:t>vehicles</w:t>
      </w:r>
      <w:r w:rsidR="00D21475" w:rsidRPr="00F52AD7">
        <w:rPr>
          <w:bCs/>
        </w:rPr>
        <w:t>.</w:t>
      </w:r>
    </w:p>
    <w:p w14:paraId="3ECADC38" w14:textId="3425F22B" w:rsidR="004E5F71" w:rsidRPr="00F52AD7" w:rsidRDefault="00D21475" w:rsidP="0016020E">
      <w:pPr>
        <w:pStyle w:val="ListParagraph"/>
        <w:numPr>
          <w:ilvl w:val="0"/>
          <w:numId w:val="7"/>
        </w:numPr>
        <w:spacing w:after="0"/>
        <w:ind w:left="360" w:right="-396"/>
      </w:pPr>
      <w:r w:rsidRPr="00F52AD7">
        <w:rPr>
          <w:bCs/>
        </w:rPr>
        <w:t xml:space="preserve">The strongest performing </w:t>
      </w:r>
      <w:r w:rsidRPr="00F52AD7">
        <w:rPr>
          <w:b/>
        </w:rPr>
        <w:t>optic, medical</w:t>
      </w:r>
      <w:r w:rsidRPr="00F52AD7">
        <w:rPr>
          <w:bCs/>
        </w:rPr>
        <w:t xml:space="preserve"> export markets included </w:t>
      </w:r>
      <w:r w:rsidRPr="00F52AD7">
        <w:rPr>
          <w:b/>
        </w:rPr>
        <w:t xml:space="preserve">Germany, the Netherlands, Belgium, Costa </w:t>
      </w:r>
      <w:proofErr w:type="gramStart"/>
      <w:r w:rsidRPr="00F52AD7">
        <w:rPr>
          <w:b/>
        </w:rPr>
        <w:t>Rica</w:t>
      </w:r>
      <w:proofErr w:type="gramEnd"/>
      <w:r w:rsidRPr="00F52AD7">
        <w:rPr>
          <w:b/>
        </w:rPr>
        <w:t xml:space="preserve"> </w:t>
      </w:r>
      <w:r w:rsidRPr="00F52AD7">
        <w:rPr>
          <w:bCs/>
        </w:rPr>
        <w:t xml:space="preserve">and </w:t>
      </w:r>
      <w:r w:rsidRPr="00F52AD7">
        <w:rPr>
          <w:b/>
        </w:rPr>
        <w:t>Korea</w:t>
      </w:r>
      <w:r w:rsidRPr="00F52AD7">
        <w:rPr>
          <w:bCs/>
        </w:rPr>
        <w:t xml:space="preserve">. </w:t>
      </w:r>
      <w:r w:rsidRPr="00F52AD7">
        <w:rPr>
          <w:b/>
        </w:rPr>
        <w:t>O</w:t>
      </w:r>
      <w:r w:rsidR="007D4D82" w:rsidRPr="00F52AD7">
        <w:rPr>
          <w:b/>
        </w:rPr>
        <w:t xml:space="preserve">rthopedic, artificial body parts </w:t>
      </w:r>
      <w:r w:rsidR="00CD04FC">
        <w:rPr>
          <w:bCs/>
        </w:rPr>
        <w:t xml:space="preserve">($282 million, up 113%) was the </w:t>
      </w:r>
      <w:r w:rsidRPr="00F52AD7">
        <w:rPr>
          <w:bCs/>
        </w:rPr>
        <w:t>high</w:t>
      </w:r>
      <w:r w:rsidR="00CD04FC">
        <w:rPr>
          <w:bCs/>
        </w:rPr>
        <w:t xml:space="preserve">est </w:t>
      </w:r>
      <w:r w:rsidRPr="00F52AD7">
        <w:rPr>
          <w:bCs/>
        </w:rPr>
        <w:t>growth segment.</w:t>
      </w:r>
    </w:p>
    <w:p w14:paraId="6D5D8DE7" w14:textId="50CEEC04" w:rsidR="009D5B7D" w:rsidRPr="00F52AD7" w:rsidRDefault="00502E0F" w:rsidP="009D5B7D">
      <w:pPr>
        <w:pStyle w:val="ListParagraph"/>
        <w:numPr>
          <w:ilvl w:val="0"/>
          <w:numId w:val="7"/>
        </w:numPr>
        <w:spacing w:after="0"/>
        <w:ind w:left="360" w:right="-396"/>
        <w:rPr>
          <w:bCs/>
        </w:rPr>
      </w:pPr>
      <w:r w:rsidRPr="00F52AD7">
        <w:rPr>
          <w:b/>
        </w:rPr>
        <w:t xml:space="preserve">China </w:t>
      </w:r>
      <w:r w:rsidR="00632384" w:rsidRPr="00F52AD7">
        <w:rPr>
          <w:bCs/>
        </w:rPr>
        <w:t>accounted for half</w:t>
      </w:r>
      <w:r w:rsidRPr="00F52AD7">
        <w:rPr>
          <w:bCs/>
        </w:rPr>
        <w:t xml:space="preserve"> </w:t>
      </w:r>
      <w:r w:rsidR="00632384" w:rsidRPr="00F52AD7">
        <w:rPr>
          <w:bCs/>
        </w:rPr>
        <w:t>of</w:t>
      </w:r>
      <w:r w:rsidR="009D5B7D" w:rsidRPr="00F52AD7">
        <w:rPr>
          <w:b/>
        </w:rPr>
        <w:t xml:space="preserve"> misc. chemicals</w:t>
      </w:r>
      <w:r w:rsidR="00632384" w:rsidRPr="00F52AD7">
        <w:rPr>
          <w:bCs/>
        </w:rPr>
        <w:t xml:space="preserve"> exports; growth was driven by </w:t>
      </w:r>
      <w:r w:rsidR="00632384" w:rsidRPr="00F52AD7">
        <w:rPr>
          <w:b/>
        </w:rPr>
        <w:t>diagnostic/lab reagents</w:t>
      </w:r>
      <w:r w:rsidR="00632384" w:rsidRPr="00F52AD7">
        <w:rPr>
          <w:bCs/>
        </w:rPr>
        <w:t>.</w:t>
      </w:r>
    </w:p>
    <w:p w14:paraId="71B3EF50" w14:textId="1598D806" w:rsidR="009D5B7D" w:rsidRPr="00F52AD7" w:rsidRDefault="009D5B7D" w:rsidP="009D5B7D">
      <w:pPr>
        <w:pStyle w:val="ListParagraph"/>
        <w:numPr>
          <w:ilvl w:val="0"/>
          <w:numId w:val="7"/>
        </w:numPr>
        <w:spacing w:after="0"/>
        <w:ind w:left="360" w:right="-396"/>
        <w:rPr>
          <w:bCs/>
        </w:rPr>
      </w:pPr>
      <w:r w:rsidRPr="00F52AD7">
        <w:rPr>
          <w:b/>
        </w:rPr>
        <w:t xml:space="preserve">Taiwan </w:t>
      </w:r>
      <w:r w:rsidRPr="00F52AD7">
        <w:rPr>
          <w:bCs/>
        </w:rPr>
        <w:t>(up 492%) and</w:t>
      </w:r>
      <w:r w:rsidRPr="00F52AD7">
        <w:rPr>
          <w:b/>
        </w:rPr>
        <w:t xml:space="preserve"> Ireland</w:t>
      </w:r>
      <w:r w:rsidRPr="00F52AD7">
        <w:rPr>
          <w:bCs/>
        </w:rPr>
        <w:t xml:space="preserve"> (up 343%) contributed the most to </w:t>
      </w:r>
      <w:r w:rsidRPr="00F52AD7">
        <w:t xml:space="preserve">increased sales of </w:t>
      </w:r>
      <w:r w:rsidRPr="00F52AD7">
        <w:rPr>
          <w:b/>
          <w:bCs/>
        </w:rPr>
        <w:t>food-by products.</w:t>
      </w:r>
    </w:p>
    <w:p w14:paraId="7B4732A6" w14:textId="0FB4F42C" w:rsidR="004E5F71" w:rsidRPr="00F52AD7" w:rsidRDefault="00EC525A" w:rsidP="009470A7">
      <w:pPr>
        <w:pStyle w:val="ListParagraph"/>
        <w:numPr>
          <w:ilvl w:val="0"/>
          <w:numId w:val="7"/>
        </w:numPr>
        <w:spacing w:after="0"/>
        <w:ind w:left="360" w:right="-72"/>
      </w:pPr>
      <w:r>
        <w:t>R</w:t>
      </w:r>
      <w:r w:rsidR="009470A7" w:rsidRPr="00F52AD7">
        <w:t xml:space="preserve">emarkable </w:t>
      </w:r>
      <w:r>
        <w:t xml:space="preserve">growth </w:t>
      </w:r>
      <w:r w:rsidR="009470A7" w:rsidRPr="00F52AD7">
        <w:t xml:space="preserve">in some </w:t>
      </w:r>
      <w:r w:rsidR="009470A7" w:rsidRPr="00F52AD7">
        <w:rPr>
          <w:b/>
          <w:bCs/>
        </w:rPr>
        <w:t xml:space="preserve">machinery </w:t>
      </w:r>
      <w:r w:rsidR="009470A7" w:rsidRPr="00F52AD7">
        <w:t xml:space="preserve">segments – such as </w:t>
      </w:r>
      <w:r w:rsidR="00CF259D" w:rsidRPr="00F52AD7">
        <w:rPr>
          <w:b/>
          <w:bCs/>
        </w:rPr>
        <w:t>centrifuges, filters</w:t>
      </w:r>
      <w:r w:rsidR="00A63E70" w:rsidRPr="00F52AD7">
        <w:t xml:space="preserve"> (up</w:t>
      </w:r>
      <w:r w:rsidR="00CF259D" w:rsidRPr="00F52AD7">
        <w:t xml:space="preserve"> 14%</w:t>
      </w:r>
      <w:r w:rsidR="00A63E70" w:rsidRPr="00F52AD7">
        <w:t xml:space="preserve">), </w:t>
      </w:r>
      <w:r w:rsidR="00A63E70" w:rsidRPr="00F52AD7">
        <w:rPr>
          <w:b/>
          <w:bCs/>
        </w:rPr>
        <w:t>engine parts</w:t>
      </w:r>
      <w:r w:rsidR="00A63E70" w:rsidRPr="00F52AD7">
        <w:t xml:space="preserve"> (up 1</w:t>
      </w:r>
      <w:r w:rsidR="009470A7" w:rsidRPr="00F52AD7">
        <w:t>67</w:t>
      </w:r>
      <w:r w:rsidR="00A63E70" w:rsidRPr="00F52AD7">
        <w:t xml:space="preserve">%), </w:t>
      </w:r>
      <w:r w:rsidR="009470A7" w:rsidRPr="00F52AD7">
        <w:rPr>
          <w:b/>
          <w:bCs/>
        </w:rPr>
        <w:t>specialized equipment</w:t>
      </w:r>
      <w:r w:rsidR="00A63E70" w:rsidRPr="00F52AD7">
        <w:t xml:space="preserve"> (up </w:t>
      </w:r>
      <w:r w:rsidR="009470A7" w:rsidRPr="00F52AD7">
        <w:t>22</w:t>
      </w:r>
      <w:r w:rsidR="00A63E70" w:rsidRPr="00F52AD7">
        <w:t xml:space="preserve">%) and </w:t>
      </w:r>
      <w:r w:rsidR="009470A7" w:rsidRPr="00F52AD7">
        <w:rPr>
          <w:b/>
          <w:bCs/>
        </w:rPr>
        <w:t>spraying equipment</w:t>
      </w:r>
      <w:r w:rsidR="00A63E70" w:rsidRPr="00F52AD7">
        <w:t xml:space="preserve"> (up </w:t>
      </w:r>
      <w:r w:rsidR="009470A7" w:rsidRPr="00F52AD7">
        <w:t>18</w:t>
      </w:r>
      <w:r w:rsidR="00A63E70" w:rsidRPr="00F52AD7">
        <w:t>%)</w:t>
      </w:r>
      <w:r>
        <w:t xml:space="preserve"> was crowded out by disruptive</w:t>
      </w:r>
      <w:r w:rsidR="009470A7" w:rsidRPr="00F52AD7">
        <w:t xml:space="preserve"> trends </w:t>
      </w:r>
      <w:r>
        <w:t>in</w:t>
      </w:r>
      <w:r w:rsidR="009470A7" w:rsidRPr="00F52AD7">
        <w:t xml:space="preserve"> </w:t>
      </w:r>
      <w:r w:rsidR="008D2ACC" w:rsidRPr="00F52AD7">
        <w:rPr>
          <w:b/>
          <w:bCs/>
        </w:rPr>
        <w:t xml:space="preserve">machinery for making </w:t>
      </w:r>
      <w:r w:rsidR="00394F64" w:rsidRPr="00F52AD7">
        <w:rPr>
          <w:b/>
        </w:rPr>
        <w:t>semiconductor</w:t>
      </w:r>
      <w:r w:rsidR="008D2ACC" w:rsidRPr="00F52AD7">
        <w:rPr>
          <w:b/>
        </w:rPr>
        <w:t xml:space="preserve">s </w:t>
      </w:r>
      <w:r w:rsidR="00394F64" w:rsidRPr="00F52AD7">
        <w:t>(</w:t>
      </w:r>
      <w:r w:rsidR="00F75171" w:rsidRPr="00F52AD7">
        <w:t>down</w:t>
      </w:r>
      <w:r w:rsidR="00394F64" w:rsidRPr="00F52AD7">
        <w:t xml:space="preserve"> </w:t>
      </w:r>
      <w:r w:rsidR="009470A7" w:rsidRPr="00F52AD7">
        <w:t>$290 million, mainly</w:t>
      </w:r>
      <w:r w:rsidR="00394F64" w:rsidRPr="00F52AD7">
        <w:t xml:space="preserve"> </w:t>
      </w:r>
      <w:r w:rsidR="00F75171" w:rsidRPr="00F52AD7">
        <w:t>to</w:t>
      </w:r>
      <w:r w:rsidR="00394F64" w:rsidRPr="00F52AD7">
        <w:t xml:space="preserve"> </w:t>
      </w:r>
      <w:r w:rsidR="00394F64" w:rsidRPr="00F52AD7">
        <w:rPr>
          <w:b/>
          <w:bCs/>
        </w:rPr>
        <w:t>the Philippines</w:t>
      </w:r>
      <w:r w:rsidR="009470A7" w:rsidRPr="00F52AD7">
        <w:t>).</w:t>
      </w:r>
    </w:p>
    <w:p w14:paraId="2531CFFE" w14:textId="2EE73A47" w:rsidR="007F1C4A" w:rsidRPr="00F52AD7" w:rsidRDefault="007F1C4A" w:rsidP="00FA62BD">
      <w:pPr>
        <w:pStyle w:val="Heading4"/>
        <w:spacing w:before="120"/>
        <w:rPr>
          <w:color w:val="auto"/>
        </w:rPr>
      </w:pPr>
      <w:r w:rsidRPr="00F52AD7">
        <w:rPr>
          <w:color w:val="auto"/>
        </w:rPr>
        <w:t>Fi</w:t>
      </w:r>
      <w:r w:rsidR="00A44451" w:rsidRPr="00F52AD7">
        <w:rPr>
          <w:color w:val="auto"/>
        </w:rPr>
        <w:t>gure 4. Export Trends for</w:t>
      </w:r>
      <w:r w:rsidRPr="00F52AD7">
        <w:rPr>
          <w:color w:val="auto"/>
        </w:rPr>
        <w:t xml:space="preserve"> Minnesota’s Top 10 Products, </w:t>
      </w:r>
      <w:r w:rsidR="00034184" w:rsidRPr="00F52AD7">
        <w:rPr>
          <w:color w:val="auto"/>
        </w:rPr>
        <w:t xml:space="preserve">Fourth </w:t>
      </w:r>
      <w:r w:rsidR="00582140" w:rsidRPr="00F52AD7">
        <w:rPr>
          <w:color w:val="auto"/>
        </w:rPr>
        <w:t>Q</w:t>
      </w:r>
      <w:r w:rsidR="00034184" w:rsidRPr="00F52AD7">
        <w:rPr>
          <w:color w:val="auto"/>
        </w:rPr>
        <w:t>uarter</w:t>
      </w:r>
      <w:r w:rsidR="00A52415" w:rsidRPr="00F52AD7">
        <w:rPr>
          <w:color w:val="auto"/>
        </w:rPr>
        <w:t xml:space="preserve"> </w:t>
      </w:r>
      <w:r w:rsidR="004205AD" w:rsidRPr="00F52AD7">
        <w:rPr>
          <w:color w:val="auto"/>
        </w:rPr>
        <w:t>2022</w:t>
      </w:r>
    </w:p>
    <w:p w14:paraId="73CDCF23" w14:textId="529FC00E" w:rsidR="004A4223" w:rsidRPr="00F52AD7" w:rsidRDefault="00DD5F6D" w:rsidP="00FA62BD">
      <w:pPr>
        <w:spacing w:after="120"/>
      </w:pPr>
      <w:r w:rsidRPr="00F52AD7">
        <w:rPr>
          <w:noProof/>
        </w:rPr>
        <w:drawing>
          <wp:inline distT="0" distB="0" distL="0" distR="0" wp14:anchorId="5597C655" wp14:editId="1B258904">
            <wp:extent cx="6263640" cy="2004695"/>
            <wp:effectExtent l="0" t="0" r="3810" b="0"/>
            <wp:docPr id="5" name="Picture 5" descr="PRODUCT Exports (billions) Percent Change, 2021-Q4 to 2022-Q4&#10;TOTAL  $7.2  12%&#10;Mineral Fuel, Oil  $1.2  130%&#10;Optic, Medical  $1.1  14%&#10;Machinery  $1.0  -19%&#10;Electrical Equipment  $0.9  13%&#10;Vehicles  $0.4  30%&#10;Plastics  $0.2  -16%&#10;Food By-Products  $0.2  15%&#10;Ores, Slag, Ash  $0.2  9%&#10;Cereals  $0.2  -45%&#10;Meat  $0.1  0%&#10;Other  $1.6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RODUCT Exports (billions) Percent Change, 2021-Q4 to 2022-Q4&#10;TOTAL  $7.2  12%&#10;Mineral Fuel, Oil  $1.2  130%&#10;Optic, Medical  $1.1  14%&#10;Machinery  $1.0  -19%&#10;Electrical Equipment  $0.9  13%&#10;Vehicles  $0.4  30%&#10;Plastics  $0.2  -16%&#10;Food By-Products  $0.2  15%&#10;Ores, Slag, Ash  $0.2  9%&#10;Cereals  $0.2  -45%&#10;Meat  $0.1  0%&#10;Other  $1.6  8%&#10;"/>
                    <pic:cNvPicPr>
                      <a:picLocks noChangeAspect="1" noChangeArrowheads="1"/>
                    </pic:cNvPicPr>
                  </pic:nvPicPr>
                  <pic:blipFill rotWithShape="1">
                    <a:blip r:embed="rId17">
                      <a:extLst>
                        <a:ext uri="{28A0092B-C50C-407E-A947-70E740481C1C}">
                          <a14:useLocalDpi xmlns:a14="http://schemas.microsoft.com/office/drawing/2010/main" val="0"/>
                        </a:ext>
                      </a:extLst>
                    </a:blip>
                    <a:srcRect t="6237"/>
                    <a:stretch/>
                  </pic:blipFill>
                  <pic:spPr bwMode="auto">
                    <a:xfrm>
                      <a:off x="0" y="0"/>
                      <a:ext cx="6263640" cy="2004695"/>
                    </a:xfrm>
                    <a:prstGeom prst="rect">
                      <a:avLst/>
                    </a:prstGeom>
                    <a:noFill/>
                    <a:ln>
                      <a:noFill/>
                    </a:ln>
                    <a:extLst>
                      <a:ext uri="{53640926-AAD7-44D8-BBD7-CCE9431645EC}">
                        <a14:shadowObscured xmlns:a14="http://schemas.microsoft.com/office/drawing/2010/main"/>
                      </a:ext>
                    </a:extLst>
                  </pic:spPr>
                </pic:pic>
              </a:graphicData>
            </a:graphic>
          </wp:inline>
        </w:drawing>
      </w:r>
    </w:p>
    <w:tbl>
      <w:tblPr>
        <w:tblpPr w:leftFromText="180" w:rightFromText="180" w:vertAnchor="page" w:horzAnchor="margin" w:tblpY="13437"/>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E5A6"/>
        <w:tblLook w:val="04A0" w:firstRow="1" w:lastRow="0" w:firstColumn="1" w:lastColumn="0" w:noHBand="0" w:noVBand="1"/>
        <w:tblCaption w:val="Additional information"/>
        <w:tblDescription w:val="Minnesota Quarterly Export Statistics is the most current resource available for tracking the state’s export trends in manufactured and other goods, and is prepared for the Minnesota Trade Office (MTO) by the Department of Employment and Economic Development’s (DEED) Economic Analysis Unit (Thu-Mai Ho-Kim).  The quarterly and annual statistics reports primarily cover export data based on the Harmonized Tariff System (Schedule B), collected by the U.S. Department of Commerce (USDOC) and distributed by IHS Markit. Reports are available on DEED’s website at “Export and Trade Statistics” (http://mn.gov/deed/data/export-stats/)."/>
      </w:tblPr>
      <w:tblGrid>
        <w:gridCol w:w="10255"/>
      </w:tblGrid>
      <w:tr w:rsidR="00F52AD7" w:rsidRPr="00F52AD7" w14:paraId="7688E05E" w14:textId="77777777" w:rsidTr="00FA62BD">
        <w:trPr>
          <w:trHeight w:val="1070"/>
        </w:trPr>
        <w:tc>
          <w:tcPr>
            <w:tcW w:w="10255" w:type="dxa"/>
            <w:shd w:val="clear" w:color="auto" w:fill="C9E5A6"/>
          </w:tcPr>
          <w:p w14:paraId="39907943" w14:textId="0B7D6432" w:rsidR="00D80EB6" w:rsidRPr="00F52AD7" w:rsidRDefault="00204B74" w:rsidP="00FA62BD">
            <w:pPr>
              <w:spacing w:after="0"/>
              <w:rPr>
                <w:rFonts w:cstheme="minorHAnsi"/>
                <w:sz w:val="18"/>
                <w:szCs w:val="18"/>
              </w:rPr>
            </w:pPr>
            <w:r w:rsidRPr="00F52AD7">
              <w:rPr>
                <w:rStyle w:val="Emphasis"/>
                <w:rFonts w:cstheme="minorHAnsi"/>
                <w:sz w:val="18"/>
                <w:szCs w:val="18"/>
              </w:rPr>
              <w:t xml:space="preserve">Minnesota Export Statistics </w:t>
            </w:r>
            <w:r w:rsidRPr="00F52AD7">
              <w:rPr>
                <w:rFonts w:cstheme="minorHAnsi"/>
                <w:sz w:val="18"/>
                <w:szCs w:val="18"/>
              </w:rPr>
              <w:t>tracks the state’s trends in exports of goods and is prepared for the Minnesota Trade Office by DEED’s Economic Analysis Unit (by Thu-Mai Ho-Kim). The quarterly and annual reports primarily cover export data based on the Harmonized Tariff System (Schedule B), collected by the Foreign Trade Division, Census Bureau, U.S. Dept of Commerce and accessed through USA</w:t>
            </w:r>
            <w:r w:rsidR="00CF259D" w:rsidRPr="00F52AD7">
              <w:rPr>
                <w:rFonts w:cstheme="minorHAnsi"/>
                <w:sz w:val="18"/>
                <w:szCs w:val="18"/>
              </w:rPr>
              <w:t xml:space="preserve"> </w:t>
            </w:r>
            <w:r w:rsidRPr="00F52AD7">
              <w:rPr>
                <w:rFonts w:cstheme="minorHAnsi"/>
                <w:sz w:val="18"/>
                <w:szCs w:val="18"/>
              </w:rPr>
              <w:t>Trade</w:t>
            </w:r>
            <w:r w:rsidR="00CF259D" w:rsidRPr="00F52AD7">
              <w:rPr>
                <w:rFonts w:cstheme="minorHAnsi"/>
                <w:sz w:val="18"/>
                <w:szCs w:val="18"/>
              </w:rPr>
              <w:t xml:space="preserve"> Onli</w:t>
            </w:r>
            <w:r w:rsidR="005D1F1C">
              <w:rPr>
                <w:rFonts w:cstheme="minorHAnsi"/>
                <w:sz w:val="18"/>
                <w:szCs w:val="18"/>
              </w:rPr>
              <w:t>n</w:t>
            </w:r>
            <w:r w:rsidR="00CF259D" w:rsidRPr="00F52AD7">
              <w:rPr>
                <w:rFonts w:cstheme="minorHAnsi"/>
                <w:sz w:val="18"/>
                <w:szCs w:val="18"/>
              </w:rPr>
              <w:t>e</w:t>
            </w:r>
            <w:r w:rsidRPr="00F52AD7">
              <w:rPr>
                <w:rFonts w:cstheme="minorHAnsi"/>
                <w:sz w:val="18"/>
                <w:szCs w:val="18"/>
              </w:rPr>
              <w:t xml:space="preserve"> (Census Bureau) and Trade Data Monitor (TDM)</w:t>
            </w:r>
            <w:r w:rsidR="009470A7" w:rsidRPr="00F52AD7">
              <w:rPr>
                <w:rFonts w:cstheme="minorHAnsi"/>
                <w:sz w:val="18"/>
                <w:szCs w:val="18"/>
              </w:rPr>
              <w:t>.</w:t>
            </w:r>
            <w:r w:rsidRPr="00F52AD7">
              <w:rPr>
                <w:rFonts w:cstheme="minorHAnsi"/>
                <w:sz w:val="18"/>
                <w:szCs w:val="18"/>
              </w:rPr>
              <w:t xml:space="preserve"> Historical reports are available on DEED’s website at “Export and Trade Statistics” (</w:t>
            </w:r>
            <w:hyperlink r:id="rId18" w:history="1">
              <w:r w:rsidRPr="00F52AD7">
                <w:rPr>
                  <w:rStyle w:val="Hyperlink"/>
                  <w:rFonts w:cstheme="minorHAnsi"/>
                  <w:color w:val="auto"/>
                  <w:sz w:val="18"/>
                  <w:szCs w:val="18"/>
                </w:rPr>
                <w:t>http://mn.gov/deed/data/export-stats/</w:t>
              </w:r>
            </w:hyperlink>
            <w:r w:rsidRPr="00F52AD7">
              <w:rPr>
                <w:rFonts w:cstheme="minorHAnsi"/>
                <w:sz w:val="18"/>
                <w:szCs w:val="18"/>
              </w:rPr>
              <w:t xml:space="preserve">).  </w:t>
            </w:r>
          </w:p>
        </w:tc>
      </w:tr>
    </w:tbl>
    <w:p w14:paraId="7C147EF7" w14:textId="77777777" w:rsidR="007F1C4A" w:rsidRPr="00F52AD7" w:rsidRDefault="007F1C4A" w:rsidP="00831997">
      <w:pPr>
        <w:spacing w:after="240"/>
        <w:rPr>
          <w:rFonts w:ascii="Times New Roman" w:eastAsia="Times New Roman" w:hAnsi="Times New Roman" w:cs="Times New Roman"/>
          <w:snapToGrid w:val="0"/>
          <w:w w:val="0"/>
          <w:sz w:val="0"/>
          <w:szCs w:val="0"/>
          <w:u w:color="000000"/>
          <w:bdr w:val="none" w:sz="0" w:space="0" w:color="000000"/>
          <w:shd w:val="clear" w:color="000000" w:fill="000000"/>
          <w:lang w:eastAsia="x-none" w:bidi="x-none"/>
        </w:rPr>
      </w:pPr>
    </w:p>
    <w:sectPr w:rsidR="007F1C4A" w:rsidRPr="00F52AD7" w:rsidSect="00176A80">
      <w:footerReference w:type="default" r:id="rId19"/>
      <w:footnotePr>
        <w:numRestart w:val="eachSect"/>
      </w:footnotePr>
      <w:endnotePr>
        <w:numFmt w:val="decimal"/>
      </w:endnotePr>
      <w:type w:val="continuous"/>
      <w:pgSz w:w="12240" w:h="15840" w:code="1"/>
      <w:pgMar w:top="936" w:right="1080" w:bottom="936"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1639" w14:textId="77777777" w:rsidR="008971B6" w:rsidRDefault="008971B6">
      <w:r>
        <w:separator/>
      </w:r>
    </w:p>
  </w:endnote>
  <w:endnote w:type="continuationSeparator" w:id="0">
    <w:p w14:paraId="42E0D399" w14:textId="77777777" w:rsidR="008971B6" w:rsidRDefault="0089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11F6" w14:textId="77777777" w:rsidR="00CC1B7D" w:rsidRDefault="00CC1B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82E195" w14:textId="77777777" w:rsidR="00CC1B7D" w:rsidRDefault="00CC1B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97155" w14:textId="77777777" w:rsidR="00E76FF1" w:rsidRPr="00A14E15" w:rsidRDefault="00E76FF1" w:rsidP="00A14E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6150" w14:textId="77777777" w:rsidR="00A14E15" w:rsidRPr="00A14E15" w:rsidRDefault="00A14E15" w:rsidP="00A14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7DADD" w14:textId="77777777" w:rsidR="008971B6" w:rsidRDefault="008971B6">
      <w:r>
        <w:separator/>
      </w:r>
    </w:p>
  </w:footnote>
  <w:footnote w:type="continuationSeparator" w:id="0">
    <w:p w14:paraId="0091576E" w14:textId="77777777" w:rsidR="008971B6" w:rsidRDefault="00897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B42A" w14:textId="77777777" w:rsidR="00CC1B7D" w:rsidRDefault="00CC1B7D" w:rsidP="00E01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147C6F" w14:textId="77777777" w:rsidR="00CC1B7D" w:rsidRDefault="00CC1B7D" w:rsidP="00E014F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BEFB" w14:textId="77777777" w:rsidR="00CC1B7D" w:rsidRDefault="00CC1B7D" w:rsidP="00E01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2A9B">
      <w:rPr>
        <w:rStyle w:val="PageNumber"/>
        <w:noProof/>
      </w:rPr>
      <w:t>2</w:t>
    </w:r>
    <w:r>
      <w:rPr>
        <w:rStyle w:val="PageNumber"/>
      </w:rPr>
      <w:fldChar w:fldCharType="end"/>
    </w:r>
  </w:p>
  <w:p w14:paraId="4CE97ED2" w14:textId="77777777" w:rsidR="00CC1B7D" w:rsidRDefault="00CC1B7D" w:rsidP="00E014F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89482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AD7251"/>
    <w:multiLevelType w:val="hybridMultilevel"/>
    <w:tmpl w:val="A20C3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055FB0"/>
    <w:multiLevelType w:val="hybridMultilevel"/>
    <w:tmpl w:val="39F01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9B22E7"/>
    <w:multiLevelType w:val="hybridMultilevel"/>
    <w:tmpl w:val="DB8C1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621A5E"/>
    <w:multiLevelType w:val="hybridMultilevel"/>
    <w:tmpl w:val="787C9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8E4940"/>
    <w:multiLevelType w:val="hybridMultilevel"/>
    <w:tmpl w:val="4AAE80EE"/>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1121C"/>
    <w:multiLevelType w:val="hybridMultilevel"/>
    <w:tmpl w:val="CFAA2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731D63"/>
    <w:multiLevelType w:val="hybridMultilevel"/>
    <w:tmpl w:val="0FB4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81A19"/>
    <w:multiLevelType w:val="hybridMultilevel"/>
    <w:tmpl w:val="B832D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373CB2"/>
    <w:multiLevelType w:val="hybridMultilevel"/>
    <w:tmpl w:val="641C1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1704E9"/>
    <w:multiLevelType w:val="hybridMultilevel"/>
    <w:tmpl w:val="187CA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38056F"/>
    <w:multiLevelType w:val="hybridMultilevel"/>
    <w:tmpl w:val="88CEE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DA42E3"/>
    <w:multiLevelType w:val="hybridMultilevel"/>
    <w:tmpl w:val="8A0ED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975A35"/>
    <w:multiLevelType w:val="hybridMultilevel"/>
    <w:tmpl w:val="E5021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F11FFB"/>
    <w:multiLevelType w:val="hybridMultilevel"/>
    <w:tmpl w:val="4CDAD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E717D2"/>
    <w:multiLevelType w:val="hybridMultilevel"/>
    <w:tmpl w:val="E334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6778563">
    <w:abstractNumId w:val="0"/>
  </w:num>
  <w:num w:numId="2" w16cid:durableId="893464036">
    <w:abstractNumId w:val="12"/>
  </w:num>
  <w:num w:numId="3" w16cid:durableId="622079873">
    <w:abstractNumId w:val="11"/>
  </w:num>
  <w:num w:numId="4" w16cid:durableId="607663953">
    <w:abstractNumId w:val="4"/>
  </w:num>
  <w:num w:numId="5" w16cid:durableId="280460788">
    <w:abstractNumId w:val="1"/>
  </w:num>
  <w:num w:numId="6" w16cid:durableId="1922835323">
    <w:abstractNumId w:val="7"/>
  </w:num>
  <w:num w:numId="7" w16cid:durableId="1520775850">
    <w:abstractNumId w:val="15"/>
  </w:num>
  <w:num w:numId="8" w16cid:durableId="153643824">
    <w:abstractNumId w:val="13"/>
  </w:num>
  <w:num w:numId="9" w16cid:durableId="2031489427">
    <w:abstractNumId w:val="9"/>
  </w:num>
  <w:num w:numId="10" w16cid:durableId="553469645">
    <w:abstractNumId w:val="8"/>
  </w:num>
  <w:num w:numId="11" w16cid:durableId="1856377542">
    <w:abstractNumId w:val="6"/>
  </w:num>
  <w:num w:numId="12" w16cid:durableId="993293784">
    <w:abstractNumId w:val="2"/>
  </w:num>
  <w:num w:numId="13" w16cid:durableId="128324690">
    <w:abstractNumId w:val="14"/>
  </w:num>
  <w:num w:numId="14" w16cid:durableId="1682926034">
    <w:abstractNumId w:val="10"/>
  </w:num>
  <w:num w:numId="15" w16cid:durableId="1164399699">
    <w:abstractNumId w:val="5"/>
  </w:num>
  <w:num w:numId="16" w16cid:durableId="104117394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AB"/>
    <w:rsid w:val="00003E4C"/>
    <w:rsid w:val="000041CC"/>
    <w:rsid w:val="00007E8B"/>
    <w:rsid w:val="000115BA"/>
    <w:rsid w:val="00013717"/>
    <w:rsid w:val="00015A9D"/>
    <w:rsid w:val="00017FE0"/>
    <w:rsid w:val="000218A0"/>
    <w:rsid w:val="00024BB5"/>
    <w:rsid w:val="00034184"/>
    <w:rsid w:val="000350A7"/>
    <w:rsid w:val="00035328"/>
    <w:rsid w:val="00036238"/>
    <w:rsid w:val="00043906"/>
    <w:rsid w:val="00046117"/>
    <w:rsid w:val="00051FE0"/>
    <w:rsid w:val="00051FF7"/>
    <w:rsid w:val="00052D34"/>
    <w:rsid w:val="000541A0"/>
    <w:rsid w:val="00054A6E"/>
    <w:rsid w:val="00055AAF"/>
    <w:rsid w:val="0005790D"/>
    <w:rsid w:val="00061093"/>
    <w:rsid w:val="0006116C"/>
    <w:rsid w:val="0006144E"/>
    <w:rsid w:val="000625FE"/>
    <w:rsid w:val="0006608A"/>
    <w:rsid w:val="000705F0"/>
    <w:rsid w:val="000716AC"/>
    <w:rsid w:val="000731F2"/>
    <w:rsid w:val="00073987"/>
    <w:rsid w:val="00076DF3"/>
    <w:rsid w:val="00077989"/>
    <w:rsid w:val="0008038B"/>
    <w:rsid w:val="00083199"/>
    <w:rsid w:val="000859F2"/>
    <w:rsid w:val="00085EED"/>
    <w:rsid w:val="000878A3"/>
    <w:rsid w:val="00090B7B"/>
    <w:rsid w:val="0009219A"/>
    <w:rsid w:val="000924DC"/>
    <w:rsid w:val="00092621"/>
    <w:rsid w:val="0009287F"/>
    <w:rsid w:val="000929D8"/>
    <w:rsid w:val="00092FFB"/>
    <w:rsid w:val="00096FFD"/>
    <w:rsid w:val="000A1B8D"/>
    <w:rsid w:val="000A1F4F"/>
    <w:rsid w:val="000A25F5"/>
    <w:rsid w:val="000A491B"/>
    <w:rsid w:val="000A4AB3"/>
    <w:rsid w:val="000A5664"/>
    <w:rsid w:val="000A7EF0"/>
    <w:rsid w:val="000B518F"/>
    <w:rsid w:val="000B6338"/>
    <w:rsid w:val="000B6E79"/>
    <w:rsid w:val="000C1CB0"/>
    <w:rsid w:val="000C2181"/>
    <w:rsid w:val="000C37F5"/>
    <w:rsid w:val="000C3AE5"/>
    <w:rsid w:val="000D02DD"/>
    <w:rsid w:val="000D1330"/>
    <w:rsid w:val="000D18A9"/>
    <w:rsid w:val="000D5D94"/>
    <w:rsid w:val="000D6FAF"/>
    <w:rsid w:val="000E0786"/>
    <w:rsid w:val="000E3376"/>
    <w:rsid w:val="000E6BD9"/>
    <w:rsid w:val="000E7ED0"/>
    <w:rsid w:val="000F0519"/>
    <w:rsid w:val="000F1844"/>
    <w:rsid w:val="000F1B22"/>
    <w:rsid w:val="000F3E1F"/>
    <w:rsid w:val="000F477A"/>
    <w:rsid w:val="000F4C5E"/>
    <w:rsid w:val="000F5273"/>
    <w:rsid w:val="000F54F2"/>
    <w:rsid w:val="000F6660"/>
    <w:rsid w:val="000F6CDA"/>
    <w:rsid w:val="00106FFF"/>
    <w:rsid w:val="00107686"/>
    <w:rsid w:val="001104C3"/>
    <w:rsid w:val="001127F8"/>
    <w:rsid w:val="00112A1D"/>
    <w:rsid w:val="00112A91"/>
    <w:rsid w:val="001214D7"/>
    <w:rsid w:val="0012471B"/>
    <w:rsid w:val="001250AB"/>
    <w:rsid w:val="001263E2"/>
    <w:rsid w:val="00130669"/>
    <w:rsid w:val="00132366"/>
    <w:rsid w:val="00132A66"/>
    <w:rsid w:val="00134B33"/>
    <w:rsid w:val="00134ECC"/>
    <w:rsid w:val="00134F20"/>
    <w:rsid w:val="00135A0B"/>
    <w:rsid w:val="001360E3"/>
    <w:rsid w:val="001373C3"/>
    <w:rsid w:val="00137E8C"/>
    <w:rsid w:val="00140B5F"/>
    <w:rsid w:val="00142003"/>
    <w:rsid w:val="0014228E"/>
    <w:rsid w:val="001448C3"/>
    <w:rsid w:val="00145936"/>
    <w:rsid w:val="00145F43"/>
    <w:rsid w:val="00147356"/>
    <w:rsid w:val="00147EEF"/>
    <w:rsid w:val="001605DD"/>
    <w:rsid w:val="001619F1"/>
    <w:rsid w:val="00162EF3"/>
    <w:rsid w:val="0016340E"/>
    <w:rsid w:val="00164B97"/>
    <w:rsid w:val="00170A9E"/>
    <w:rsid w:val="00172BF4"/>
    <w:rsid w:val="00172FA7"/>
    <w:rsid w:val="00173478"/>
    <w:rsid w:val="00173D78"/>
    <w:rsid w:val="00176732"/>
    <w:rsid w:val="00176A80"/>
    <w:rsid w:val="00176E55"/>
    <w:rsid w:val="0018069A"/>
    <w:rsid w:val="00182D30"/>
    <w:rsid w:val="0018375B"/>
    <w:rsid w:val="0018461A"/>
    <w:rsid w:val="001846AE"/>
    <w:rsid w:val="00190E40"/>
    <w:rsid w:val="00192539"/>
    <w:rsid w:val="001942D2"/>
    <w:rsid w:val="001944CA"/>
    <w:rsid w:val="001968E6"/>
    <w:rsid w:val="001978D1"/>
    <w:rsid w:val="001979B1"/>
    <w:rsid w:val="001A2004"/>
    <w:rsid w:val="001A7229"/>
    <w:rsid w:val="001A7363"/>
    <w:rsid w:val="001B0716"/>
    <w:rsid w:val="001B0D71"/>
    <w:rsid w:val="001B1416"/>
    <w:rsid w:val="001B344A"/>
    <w:rsid w:val="001B3687"/>
    <w:rsid w:val="001B5950"/>
    <w:rsid w:val="001B6B06"/>
    <w:rsid w:val="001C1A15"/>
    <w:rsid w:val="001C2855"/>
    <w:rsid w:val="001C3A93"/>
    <w:rsid w:val="001C6967"/>
    <w:rsid w:val="001D0609"/>
    <w:rsid w:val="001D704D"/>
    <w:rsid w:val="001D767B"/>
    <w:rsid w:val="001E4570"/>
    <w:rsid w:val="001E4F28"/>
    <w:rsid w:val="001E53CF"/>
    <w:rsid w:val="001E6B49"/>
    <w:rsid w:val="001E79C1"/>
    <w:rsid w:val="001E7B61"/>
    <w:rsid w:val="001F019C"/>
    <w:rsid w:val="001F56E0"/>
    <w:rsid w:val="001F591D"/>
    <w:rsid w:val="001F62FF"/>
    <w:rsid w:val="001F7EBF"/>
    <w:rsid w:val="002003FA"/>
    <w:rsid w:val="0020291D"/>
    <w:rsid w:val="00202963"/>
    <w:rsid w:val="00203298"/>
    <w:rsid w:val="002040F2"/>
    <w:rsid w:val="00204B74"/>
    <w:rsid w:val="00205084"/>
    <w:rsid w:val="00205F9C"/>
    <w:rsid w:val="002101BC"/>
    <w:rsid w:val="00211025"/>
    <w:rsid w:val="0021231E"/>
    <w:rsid w:val="002158EE"/>
    <w:rsid w:val="00215DA6"/>
    <w:rsid w:val="00216C2D"/>
    <w:rsid w:val="00217960"/>
    <w:rsid w:val="002224AE"/>
    <w:rsid w:val="00222B8C"/>
    <w:rsid w:val="0022389E"/>
    <w:rsid w:val="00223F46"/>
    <w:rsid w:val="00226A71"/>
    <w:rsid w:val="00234444"/>
    <w:rsid w:val="00244370"/>
    <w:rsid w:val="00245025"/>
    <w:rsid w:val="0024609E"/>
    <w:rsid w:val="002538D5"/>
    <w:rsid w:val="0025565E"/>
    <w:rsid w:val="002607E0"/>
    <w:rsid w:val="00262FF7"/>
    <w:rsid w:val="0026310F"/>
    <w:rsid w:val="00267778"/>
    <w:rsid w:val="002726A4"/>
    <w:rsid w:val="00272910"/>
    <w:rsid w:val="00275F40"/>
    <w:rsid w:val="00277712"/>
    <w:rsid w:val="00277C67"/>
    <w:rsid w:val="0028048A"/>
    <w:rsid w:val="00284EDE"/>
    <w:rsid w:val="00287234"/>
    <w:rsid w:val="002907B4"/>
    <w:rsid w:val="00293DCF"/>
    <w:rsid w:val="002969E6"/>
    <w:rsid w:val="00297DBE"/>
    <w:rsid w:val="002A27D6"/>
    <w:rsid w:val="002A2F54"/>
    <w:rsid w:val="002A3F50"/>
    <w:rsid w:val="002A4808"/>
    <w:rsid w:val="002A52FC"/>
    <w:rsid w:val="002B1415"/>
    <w:rsid w:val="002B2616"/>
    <w:rsid w:val="002B329E"/>
    <w:rsid w:val="002B36A6"/>
    <w:rsid w:val="002B5EE8"/>
    <w:rsid w:val="002B6B53"/>
    <w:rsid w:val="002B6EBF"/>
    <w:rsid w:val="002C0C4E"/>
    <w:rsid w:val="002C164C"/>
    <w:rsid w:val="002C52C4"/>
    <w:rsid w:val="002C6521"/>
    <w:rsid w:val="002D2A7E"/>
    <w:rsid w:val="002D2EF5"/>
    <w:rsid w:val="002D6A99"/>
    <w:rsid w:val="002D6F33"/>
    <w:rsid w:val="002E1704"/>
    <w:rsid w:val="002E54F1"/>
    <w:rsid w:val="002E6924"/>
    <w:rsid w:val="002F0687"/>
    <w:rsid w:val="002F1C0E"/>
    <w:rsid w:val="002F1E64"/>
    <w:rsid w:val="002F257A"/>
    <w:rsid w:val="002F285F"/>
    <w:rsid w:val="002F71B1"/>
    <w:rsid w:val="002F7ABC"/>
    <w:rsid w:val="0030080C"/>
    <w:rsid w:val="00301B16"/>
    <w:rsid w:val="003047CE"/>
    <w:rsid w:val="00304E7F"/>
    <w:rsid w:val="00306ABD"/>
    <w:rsid w:val="0031458A"/>
    <w:rsid w:val="00314865"/>
    <w:rsid w:val="00314EBD"/>
    <w:rsid w:val="00320905"/>
    <w:rsid w:val="00326E88"/>
    <w:rsid w:val="00327817"/>
    <w:rsid w:val="0033034E"/>
    <w:rsid w:val="00330852"/>
    <w:rsid w:val="00332036"/>
    <w:rsid w:val="00332B6B"/>
    <w:rsid w:val="00337018"/>
    <w:rsid w:val="00337315"/>
    <w:rsid w:val="00340E9C"/>
    <w:rsid w:val="003413C6"/>
    <w:rsid w:val="003415A0"/>
    <w:rsid w:val="00342DD3"/>
    <w:rsid w:val="00343C68"/>
    <w:rsid w:val="0034596F"/>
    <w:rsid w:val="00352999"/>
    <w:rsid w:val="0035427F"/>
    <w:rsid w:val="003575CE"/>
    <w:rsid w:val="00361002"/>
    <w:rsid w:val="003610A2"/>
    <w:rsid w:val="00365F97"/>
    <w:rsid w:val="00370F35"/>
    <w:rsid w:val="00371C8B"/>
    <w:rsid w:val="00372846"/>
    <w:rsid w:val="00373CD5"/>
    <w:rsid w:val="00374F2A"/>
    <w:rsid w:val="00375BF0"/>
    <w:rsid w:val="0037721A"/>
    <w:rsid w:val="0038071A"/>
    <w:rsid w:val="003833B0"/>
    <w:rsid w:val="00383D01"/>
    <w:rsid w:val="0038665A"/>
    <w:rsid w:val="00387942"/>
    <w:rsid w:val="00387E7F"/>
    <w:rsid w:val="00391815"/>
    <w:rsid w:val="00392609"/>
    <w:rsid w:val="00394F64"/>
    <w:rsid w:val="00396483"/>
    <w:rsid w:val="003975D0"/>
    <w:rsid w:val="003A3D11"/>
    <w:rsid w:val="003B0B33"/>
    <w:rsid w:val="003B2771"/>
    <w:rsid w:val="003B3484"/>
    <w:rsid w:val="003B47AA"/>
    <w:rsid w:val="003B62FF"/>
    <w:rsid w:val="003C316B"/>
    <w:rsid w:val="003C43EB"/>
    <w:rsid w:val="003C53CE"/>
    <w:rsid w:val="003C57B0"/>
    <w:rsid w:val="003C6D40"/>
    <w:rsid w:val="003C7165"/>
    <w:rsid w:val="003D044E"/>
    <w:rsid w:val="003D23DD"/>
    <w:rsid w:val="003D4F5D"/>
    <w:rsid w:val="003D6202"/>
    <w:rsid w:val="003D744B"/>
    <w:rsid w:val="003D7C4C"/>
    <w:rsid w:val="003E01C9"/>
    <w:rsid w:val="003E4E2F"/>
    <w:rsid w:val="003E71E6"/>
    <w:rsid w:val="003F27BF"/>
    <w:rsid w:val="003F41C6"/>
    <w:rsid w:val="003F44C1"/>
    <w:rsid w:val="003F6B30"/>
    <w:rsid w:val="0040062C"/>
    <w:rsid w:val="00402A86"/>
    <w:rsid w:val="00405F36"/>
    <w:rsid w:val="004061B1"/>
    <w:rsid w:val="00406E6D"/>
    <w:rsid w:val="00407310"/>
    <w:rsid w:val="00410BBC"/>
    <w:rsid w:val="00412776"/>
    <w:rsid w:val="004149B2"/>
    <w:rsid w:val="004205AD"/>
    <w:rsid w:val="00420D04"/>
    <w:rsid w:val="0042279B"/>
    <w:rsid w:val="0042285F"/>
    <w:rsid w:val="00426066"/>
    <w:rsid w:val="00426DC1"/>
    <w:rsid w:val="004303E8"/>
    <w:rsid w:val="004304CD"/>
    <w:rsid w:val="00433DBF"/>
    <w:rsid w:val="004362B0"/>
    <w:rsid w:val="00437CB6"/>
    <w:rsid w:val="0044214A"/>
    <w:rsid w:val="00443080"/>
    <w:rsid w:val="004430A9"/>
    <w:rsid w:val="00445385"/>
    <w:rsid w:val="00447C35"/>
    <w:rsid w:val="004527A6"/>
    <w:rsid w:val="0045332A"/>
    <w:rsid w:val="004550A2"/>
    <w:rsid w:val="00457D79"/>
    <w:rsid w:val="00464CC9"/>
    <w:rsid w:val="0046665A"/>
    <w:rsid w:val="00466D65"/>
    <w:rsid w:val="0046703D"/>
    <w:rsid w:val="0047028E"/>
    <w:rsid w:val="0047084F"/>
    <w:rsid w:val="00470FED"/>
    <w:rsid w:val="004713E0"/>
    <w:rsid w:val="004736AA"/>
    <w:rsid w:val="00475201"/>
    <w:rsid w:val="00475D79"/>
    <w:rsid w:val="0047760E"/>
    <w:rsid w:val="00480418"/>
    <w:rsid w:val="0048185B"/>
    <w:rsid w:val="00481E39"/>
    <w:rsid w:val="00482FFB"/>
    <w:rsid w:val="00484906"/>
    <w:rsid w:val="004867A4"/>
    <w:rsid w:val="00486B23"/>
    <w:rsid w:val="00487935"/>
    <w:rsid w:val="004900B8"/>
    <w:rsid w:val="00490589"/>
    <w:rsid w:val="004910BF"/>
    <w:rsid w:val="00491AC8"/>
    <w:rsid w:val="00493958"/>
    <w:rsid w:val="00493DF8"/>
    <w:rsid w:val="004944A7"/>
    <w:rsid w:val="004951BC"/>
    <w:rsid w:val="00497570"/>
    <w:rsid w:val="00497998"/>
    <w:rsid w:val="004A3CC9"/>
    <w:rsid w:val="004A4223"/>
    <w:rsid w:val="004A43B9"/>
    <w:rsid w:val="004A5B9A"/>
    <w:rsid w:val="004A6B80"/>
    <w:rsid w:val="004A7FE8"/>
    <w:rsid w:val="004B0B28"/>
    <w:rsid w:val="004B4376"/>
    <w:rsid w:val="004B44AC"/>
    <w:rsid w:val="004B4BD6"/>
    <w:rsid w:val="004B74F8"/>
    <w:rsid w:val="004B7C0E"/>
    <w:rsid w:val="004C2480"/>
    <w:rsid w:val="004C31E6"/>
    <w:rsid w:val="004D0671"/>
    <w:rsid w:val="004D1EAB"/>
    <w:rsid w:val="004D6223"/>
    <w:rsid w:val="004E1A2B"/>
    <w:rsid w:val="004E1D93"/>
    <w:rsid w:val="004E5F71"/>
    <w:rsid w:val="004E65E3"/>
    <w:rsid w:val="004E701E"/>
    <w:rsid w:val="004E7051"/>
    <w:rsid w:val="004E7967"/>
    <w:rsid w:val="004F046B"/>
    <w:rsid w:val="004F0B2F"/>
    <w:rsid w:val="004F19B8"/>
    <w:rsid w:val="004F5A09"/>
    <w:rsid w:val="004F5CE6"/>
    <w:rsid w:val="004F73D4"/>
    <w:rsid w:val="00500A5C"/>
    <w:rsid w:val="005026CC"/>
    <w:rsid w:val="00502E0F"/>
    <w:rsid w:val="00503AD1"/>
    <w:rsid w:val="0050449A"/>
    <w:rsid w:val="005078AA"/>
    <w:rsid w:val="005100D1"/>
    <w:rsid w:val="00513720"/>
    <w:rsid w:val="0051607A"/>
    <w:rsid w:val="005205F4"/>
    <w:rsid w:val="00521967"/>
    <w:rsid w:val="00523263"/>
    <w:rsid w:val="00524378"/>
    <w:rsid w:val="005269B7"/>
    <w:rsid w:val="005269D3"/>
    <w:rsid w:val="00530F70"/>
    <w:rsid w:val="005315EA"/>
    <w:rsid w:val="00532FD5"/>
    <w:rsid w:val="00534E9F"/>
    <w:rsid w:val="0053506A"/>
    <w:rsid w:val="0053512A"/>
    <w:rsid w:val="00535508"/>
    <w:rsid w:val="00536B13"/>
    <w:rsid w:val="00540B35"/>
    <w:rsid w:val="00544F1F"/>
    <w:rsid w:val="00545F38"/>
    <w:rsid w:val="0054634E"/>
    <w:rsid w:val="00550428"/>
    <w:rsid w:val="005514BE"/>
    <w:rsid w:val="0055424F"/>
    <w:rsid w:val="00557377"/>
    <w:rsid w:val="00560599"/>
    <w:rsid w:val="00562F8A"/>
    <w:rsid w:val="00563721"/>
    <w:rsid w:val="00565776"/>
    <w:rsid w:val="00566508"/>
    <w:rsid w:val="00566C4E"/>
    <w:rsid w:val="00570ACF"/>
    <w:rsid w:val="00573535"/>
    <w:rsid w:val="00573C2D"/>
    <w:rsid w:val="00575BB7"/>
    <w:rsid w:val="00575F88"/>
    <w:rsid w:val="0057794D"/>
    <w:rsid w:val="00582140"/>
    <w:rsid w:val="00582DC9"/>
    <w:rsid w:val="00583139"/>
    <w:rsid w:val="00583A0A"/>
    <w:rsid w:val="00585250"/>
    <w:rsid w:val="005859C8"/>
    <w:rsid w:val="00587796"/>
    <w:rsid w:val="005940DB"/>
    <w:rsid w:val="005A2AAC"/>
    <w:rsid w:val="005A3C50"/>
    <w:rsid w:val="005A61AB"/>
    <w:rsid w:val="005B0E04"/>
    <w:rsid w:val="005B2781"/>
    <w:rsid w:val="005B6872"/>
    <w:rsid w:val="005B6B09"/>
    <w:rsid w:val="005B75E6"/>
    <w:rsid w:val="005C0164"/>
    <w:rsid w:val="005C4DE0"/>
    <w:rsid w:val="005C5B41"/>
    <w:rsid w:val="005C61D6"/>
    <w:rsid w:val="005C6D46"/>
    <w:rsid w:val="005D1F1C"/>
    <w:rsid w:val="005D315F"/>
    <w:rsid w:val="005E139A"/>
    <w:rsid w:val="005E2D06"/>
    <w:rsid w:val="005E4CC6"/>
    <w:rsid w:val="005E5D9F"/>
    <w:rsid w:val="005E6921"/>
    <w:rsid w:val="005E79E7"/>
    <w:rsid w:val="005F082A"/>
    <w:rsid w:val="005F1B29"/>
    <w:rsid w:val="005F3BCE"/>
    <w:rsid w:val="005F5087"/>
    <w:rsid w:val="005F69A9"/>
    <w:rsid w:val="00600502"/>
    <w:rsid w:val="00601225"/>
    <w:rsid w:val="006015E6"/>
    <w:rsid w:val="0060605E"/>
    <w:rsid w:val="0060684A"/>
    <w:rsid w:val="00606AB0"/>
    <w:rsid w:val="00607FAE"/>
    <w:rsid w:val="006139EC"/>
    <w:rsid w:val="00613CC2"/>
    <w:rsid w:val="00615BC9"/>
    <w:rsid w:val="00615CB4"/>
    <w:rsid w:val="006177AE"/>
    <w:rsid w:val="00620C18"/>
    <w:rsid w:val="00621065"/>
    <w:rsid w:val="00621A4A"/>
    <w:rsid w:val="00623D95"/>
    <w:rsid w:val="00624E22"/>
    <w:rsid w:val="00632384"/>
    <w:rsid w:val="006339F5"/>
    <w:rsid w:val="0063551B"/>
    <w:rsid w:val="00635F82"/>
    <w:rsid w:val="00636B6E"/>
    <w:rsid w:val="0063763A"/>
    <w:rsid w:val="00640620"/>
    <w:rsid w:val="00641D3B"/>
    <w:rsid w:val="00646942"/>
    <w:rsid w:val="006474B9"/>
    <w:rsid w:val="00647786"/>
    <w:rsid w:val="00647FFD"/>
    <w:rsid w:val="006519AF"/>
    <w:rsid w:val="00652A9D"/>
    <w:rsid w:val="006549A6"/>
    <w:rsid w:val="0066058B"/>
    <w:rsid w:val="006618F7"/>
    <w:rsid w:val="0066205A"/>
    <w:rsid w:val="00662222"/>
    <w:rsid w:val="00663755"/>
    <w:rsid w:val="00666745"/>
    <w:rsid w:val="006674D7"/>
    <w:rsid w:val="0067275F"/>
    <w:rsid w:val="00674A82"/>
    <w:rsid w:val="00674D0B"/>
    <w:rsid w:val="006754B7"/>
    <w:rsid w:val="00675B7D"/>
    <w:rsid w:val="00676C69"/>
    <w:rsid w:val="00680F03"/>
    <w:rsid w:val="0068122B"/>
    <w:rsid w:val="006815A5"/>
    <w:rsid w:val="006826BB"/>
    <w:rsid w:val="006829E5"/>
    <w:rsid w:val="006830C9"/>
    <w:rsid w:val="0068364A"/>
    <w:rsid w:val="00684B39"/>
    <w:rsid w:val="0068525B"/>
    <w:rsid w:val="00685D4F"/>
    <w:rsid w:val="00685DD6"/>
    <w:rsid w:val="00687743"/>
    <w:rsid w:val="00691D49"/>
    <w:rsid w:val="006922C8"/>
    <w:rsid w:val="00692D3B"/>
    <w:rsid w:val="00693229"/>
    <w:rsid w:val="006951FD"/>
    <w:rsid w:val="00695BB1"/>
    <w:rsid w:val="006964AF"/>
    <w:rsid w:val="006A17BE"/>
    <w:rsid w:val="006A3E64"/>
    <w:rsid w:val="006A56E4"/>
    <w:rsid w:val="006B029D"/>
    <w:rsid w:val="006B2118"/>
    <w:rsid w:val="006B2D41"/>
    <w:rsid w:val="006B6D8D"/>
    <w:rsid w:val="006C1643"/>
    <w:rsid w:val="006C1D03"/>
    <w:rsid w:val="006C287C"/>
    <w:rsid w:val="006C3C15"/>
    <w:rsid w:val="006C7D4F"/>
    <w:rsid w:val="006D4F41"/>
    <w:rsid w:val="006D6A44"/>
    <w:rsid w:val="006D7A33"/>
    <w:rsid w:val="006E280A"/>
    <w:rsid w:val="006E6792"/>
    <w:rsid w:val="006E75E2"/>
    <w:rsid w:val="006F01B5"/>
    <w:rsid w:val="006F4AD5"/>
    <w:rsid w:val="006F5527"/>
    <w:rsid w:val="006F6211"/>
    <w:rsid w:val="00700297"/>
    <w:rsid w:val="00701034"/>
    <w:rsid w:val="00702531"/>
    <w:rsid w:val="007046F7"/>
    <w:rsid w:val="00707559"/>
    <w:rsid w:val="007076DF"/>
    <w:rsid w:val="00710701"/>
    <w:rsid w:val="007144F6"/>
    <w:rsid w:val="00716311"/>
    <w:rsid w:val="00716475"/>
    <w:rsid w:val="00723A6D"/>
    <w:rsid w:val="007269AB"/>
    <w:rsid w:val="00732F74"/>
    <w:rsid w:val="007332F9"/>
    <w:rsid w:val="00734ED0"/>
    <w:rsid w:val="00736085"/>
    <w:rsid w:val="00736171"/>
    <w:rsid w:val="00741394"/>
    <w:rsid w:val="007418D9"/>
    <w:rsid w:val="00742173"/>
    <w:rsid w:val="00742415"/>
    <w:rsid w:val="00743C00"/>
    <w:rsid w:val="00743CDA"/>
    <w:rsid w:val="007441D4"/>
    <w:rsid w:val="00744252"/>
    <w:rsid w:val="007447F0"/>
    <w:rsid w:val="00746FD8"/>
    <w:rsid w:val="00750291"/>
    <w:rsid w:val="00750FE0"/>
    <w:rsid w:val="007548E4"/>
    <w:rsid w:val="0075548A"/>
    <w:rsid w:val="00757335"/>
    <w:rsid w:val="00760360"/>
    <w:rsid w:val="007613E1"/>
    <w:rsid w:val="00761522"/>
    <w:rsid w:val="00762E9C"/>
    <w:rsid w:val="00764F3A"/>
    <w:rsid w:val="00770689"/>
    <w:rsid w:val="00772951"/>
    <w:rsid w:val="00772BD3"/>
    <w:rsid w:val="007752C1"/>
    <w:rsid w:val="0077623A"/>
    <w:rsid w:val="007771AD"/>
    <w:rsid w:val="007818E5"/>
    <w:rsid w:val="00784103"/>
    <w:rsid w:val="00784C0B"/>
    <w:rsid w:val="007910B2"/>
    <w:rsid w:val="007964A2"/>
    <w:rsid w:val="007970F7"/>
    <w:rsid w:val="007A0496"/>
    <w:rsid w:val="007A2D2F"/>
    <w:rsid w:val="007A6F27"/>
    <w:rsid w:val="007A7979"/>
    <w:rsid w:val="007A7D3B"/>
    <w:rsid w:val="007B0321"/>
    <w:rsid w:val="007B183D"/>
    <w:rsid w:val="007B1D69"/>
    <w:rsid w:val="007C165F"/>
    <w:rsid w:val="007C1DCB"/>
    <w:rsid w:val="007C29FD"/>
    <w:rsid w:val="007D2377"/>
    <w:rsid w:val="007D2D9B"/>
    <w:rsid w:val="007D3342"/>
    <w:rsid w:val="007D4D82"/>
    <w:rsid w:val="007D733B"/>
    <w:rsid w:val="007E19C3"/>
    <w:rsid w:val="007E22C2"/>
    <w:rsid w:val="007E3EFB"/>
    <w:rsid w:val="007E4D02"/>
    <w:rsid w:val="007E4D0D"/>
    <w:rsid w:val="007E5495"/>
    <w:rsid w:val="007E5EA9"/>
    <w:rsid w:val="007F1C4A"/>
    <w:rsid w:val="007F3673"/>
    <w:rsid w:val="007F3B3E"/>
    <w:rsid w:val="007F507E"/>
    <w:rsid w:val="007F63B6"/>
    <w:rsid w:val="007F79B4"/>
    <w:rsid w:val="00800885"/>
    <w:rsid w:val="00800E2F"/>
    <w:rsid w:val="0080162F"/>
    <w:rsid w:val="0080204A"/>
    <w:rsid w:val="008022A8"/>
    <w:rsid w:val="0080286D"/>
    <w:rsid w:val="00805147"/>
    <w:rsid w:val="00811627"/>
    <w:rsid w:val="008117B6"/>
    <w:rsid w:val="00813F99"/>
    <w:rsid w:val="00817E9E"/>
    <w:rsid w:val="008243D8"/>
    <w:rsid w:val="00824824"/>
    <w:rsid w:val="0082792B"/>
    <w:rsid w:val="008303A2"/>
    <w:rsid w:val="00831997"/>
    <w:rsid w:val="00831E3F"/>
    <w:rsid w:val="00831F99"/>
    <w:rsid w:val="00833913"/>
    <w:rsid w:val="00835A94"/>
    <w:rsid w:val="00836835"/>
    <w:rsid w:val="00836FB4"/>
    <w:rsid w:val="00837B67"/>
    <w:rsid w:val="00837BEB"/>
    <w:rsid w:val="0084055A"/>
    <w:rsid w:val="00851C18"/>
    <w:rsid w:val="00852D9B"/>
    <w:rsid w:val="00856B05"/>
    <w:rsid w:val="00863EF0"/>
    <w:rsid w:val="00864F13"/>
    <w:rsid w:val="00864F1C"/>
    <w:rsid w:val="00872803"/>
    <w:rsid w:val="00872BA2"/>
    <w:rsid w:val="00877E32"/>
    <w:rsid w:val="0088063C"/>
    <w:rsid w:val="00881039"/>
    <w:rsid w:val="00883AAA"/>
    <w:rsid w:val="00884104"/>
    <w:rsid w:val="00890980"/>
    <w:rsid w:val="00892EBC"/>
    <w:rsid w:val="00894E39"/>
    <w:rsid w:val="00895418"/>
    <w:rsid w:val="008957D9"/>
    <w:rsid w:val="008971B6"/>
    <w:rsid w:val="0089788C"/>
    <w:rsid w:val="00897AF8"/>
    <w:rsid w:val="008A202D"/>
    <w:rsid w:val="008A5FCC"/>
    <w:rsid w:val="008A7298"/>
    <w:rsid w:val="008B4846"/>
    <w:rsid w:val="008B5689"/>
    <w:rsid w:val="008B5DBC"/>
    <w:rsid w:val="008B749E"/>
    <w:rsid w:val="008C09B5"/>
    <w:rsid w:val="008C1F20"/>
    <w:rsid w:val="008C2D17"/>
    <w:rsid w:val="008C3E75"/>
    <w:rsid w:val="008C43A8"/>
    <w:rsid w:val="008C5F38"/>
    <w:rsid w:val="008C6FC8"/>
    <w:rsid w:val="008C7870"/>
    <w:rsid w:val="008D2ACC"/>
    <w:rsid w:val="008D4971"/>
    <w:rsid w:val="008D77FD"/>
    <w:rsid w:val="008E1E77"/>
    <w:rsid w:val="008E370F"/>
    <w:rsid w:val="008E6A92"/>
    <w:rsid w:val="008F1D37"/>
    <w:rsid w:val="008F4BDD"/>
    <w:rsid w:val="008F7897"/>
    <w:rsid w:val="00900302"/>
    <w:rsid w:val="00901F87"/>
    <w:rsid w:val="0090296E"/>
    <w:rsid w:val="00902E31"/>
    <w:rsid w:val="0090379A"/>
    <w:rsid w:val="00907ECC"/>
    <w:rsid w:val="0091354B"/>
    <w:rsid w:val="00913E49"/>
    <w:rsid w:val="009147FF"/>
    <w:rsid w:val="00916358"/>
    <w:rsid w:val="009204BB"/>
    <w:rsid w:val="009225DE"/>
    <w:rsid w:val="00922AFC"/>
    <w:rsid w:val="009237A5"/>
    <w:rsid w:val="009301DE"/>
    <w:rsid w:val="00934718"/>
    <w:rsid w:val="009370E2"/>
    <w:rsid w:val="009379AA"/>
    <w:rsid w:val="00940535"/>
    <w:rsid w:val="009407A8"/>
    <w:rsid w:val="0094395B"/>
    <w:rsid w:val="0094472B"/>
    <w:rsid w:val="00945F19"/>
    <w:rsid w:val="009470A7"/>
    <w:rsid w:val="00950233"/>
    <w:rsid w:val="00950841"/>
    <w:rsid w:val="00952451"/>
    <w:rsid w:val="00952DBF"/>
    <w:rsid w:val="00953B35"/>
    <w:rsid w:val="00954414"/>
    <w:rsid w:val="00957BCF"/>
    <w:rsid w:val="009625F6"/>
    <w:rsid w:val="009627F9"/>
    <w:rsid w:val="009658D6"/>
    <w:rsid w:val="009676D8"/>
    <w:rsid w:val="00975F96"/>
    <w:rsid w:val="0098100C"/>
    <w:rsid w:val="0098324A"/>
    <w:rsid w:val="00985FFB"/>
    <w:rsid w:val="00987CAC"/>
    <w:rsid w:val="00990CFC"/>
    <w:rsid w:val="00992045"/>
    <w:rsid w:val="00993516"/>
    <w:rsid w:val="00995DD7"/>
    <w:rsid w:val="00995E0E"/>
    <w:rsid w:val="00996052"/>
    <w:rsid w:val="009960C9"/>
    <w:rsid w:val="00996C55"/>
    <w:rsid w:val="00997DA9"/>
    <w:rsid w:val="009A2905"/>
    <w:rsid w:val="009A38CE"/>
    <w:rsid w:val="009A5B58"/>
    <w:rsid w:val="009A649B"/>
    <w:rsid w:val="009A6EB1"/>
    <w:rsid w:val="009A72B6"/>
    <w:rsid w:val="009B3E5B"/>
    <w:rsid w:val="009B4294"/>
    <w:rsid w:val="009B430C"/>
    <w:rsid w:val="009B5295"/>
    <w:rsid w:val="009B60BD"/>
    <w:rsid w:val="009B70F4"/>
    <w:rsid w:val="009B7374"/>
    <w:rsid w:val="009C0727"/>
    <w:rsid w:val="009C1EF7"/>
    <w:rsid w:val="009C2556"/>
    <w:rsid w:val="009C6C52"/>
    <w:rsid w:val="009D162F"/>
    <w:rsid w:val="009D1776"/>
    <w:rsid w:val="009D5976"/>
    <w:rsid w:val="009D5A80"/>
    <w:rsid w:val="009D5B7D"/>
    <w:rsid w:val="009D79AE"/>
    <w:rsid w:val="009E040A"/>
    <w:rsid w:val="009E2345"/>
    <w:rsid w:val="009E40AA"/>
    <w:rsid w:val="009E4E40"/>
    <w:rsid w:val="009E710F"/>
    <w:rsid w:val="009F206C"/>
    <w:rsid w:val="009F6366"/>
    <w:rsid w:val="00A0253A"/>
    <w:rsid w:val="00A02A94"/>
    <w:rsid w:val="00A03293"/>
    <w:rsid w:val="00A03ADC"/>
    <w:rsid w:val="00A10193"/>
    <w:rsid w:val="00A10AC7"/>
    <w:rsid w:val="00A10DF8"/>
    <w:rsid w:val="00A11201"/>
    <w:rsid w:val="00A12A9B"/>
    <w:rsid w:val="00A14055"/>
    <w:rsid w:val="00A14E15"/>
    <w:rsid w:val="00A23BB2"/>
    <w:rsid w:val="00A24540"/>
    <w:rsid w:val="00A27388"/>
    <w:rsid w:val="00A300BF"/>
    <w:rsid w:val="00A3255E"/>
    <w:rsid w:val="00A3267D"/>
    <w:rsid w:val="00A331C8"/>
    <w:rsid w:val="00A4264C"/>
    <w:rsid w:val="00A43E28"/>
    <w:rsid w:val="00A44451"/>
    <w:rsid w:val="00A46428"/>
    <w:rsid w:val="00A46BDC"/>
    <w:rsid w:val="00A5105C"/>
    <w:rsid w:val="00A517BD"/>
    <w:rsid w:val="00A52415"/>
    <w:rsid w:val="00A55CB8"/>
    <w:rsid w:val="00A57B01"/>
    <w:rsid w:val="00A60B2E"/>
    <w:rsid w:val="00A6188E"/>
    <w:rsid w:val="00A62E69"/>
    <w:rsid w:val="00A63E70"/>
    <w:rsid w:val="00A65EA2"/>
    <w:rsid w:val="00A67499"/>
    <w:rsid w:val="00A716CD"/>
    <w:rsid w:val="00A745E3"/>
    <w:rsid w:val="00A76173"/>
    <w:rsid w:val="00A762E1"/>
    <w:rsid w:val="00A77AE4"/>
    <w:rsid w:val="00A806F4"/>
    <w:rsid w:val="00A81FA6"/>
    <w:rsid w:val="00A84E31"/>
    <w:rsid w:val="00A865B0"/>
    <w:rsid w:val="00A8697D"/>
    <w:rsid w:val="00A873DD"/>
    <w:rsid w:val="00A9059D"/>
    <w:rsid w:val="00AA0175"/>
    <w:rsid w:val="00AA0A83"/>
    <w:rsid w:val="00AA25E4"/>
    <w:rsid w:val="00AA3112"/>
    <w:rsid w:val="00AA5A71"/>
    <w:rsid w:val="00AA6162"/>
    <w:rsid w:val="00AA733A"/>
    <w:rsid w:val="00AA78DC"/>
    <w:rsid w:val="00AA7F1A"/>
    <w:rsid w:val="00AB25F9"/>
    <w:rsid w:val="00AB2F51"/>
    <w:rsid w:val="00AB2FDC"/>
    <w:rsid w:val="00AB6229"/>
    <w:rsid w:val="00AB6B6D"/>
    <w:rsid w:val="00AC1689"/>
    <w:rsid w:val="00AC1FDD"/>
    <w:rsid w:val="00AC4D72"/>
    <w:rsid w:val="00AC4F4B"/>
    <w:rsid w:val="00AC71A6"/>
    <w:rsid w:val="00AD15B2"/>
    <w:rsid w:val="00AD24FE"/>
    <w:rsid w:val="00AD362B"/>
    <w:rsid w:val="00AD4B24"/>
    <w:rsid w:val="00AD6D51"/>
    <w:rsid w:val="00AE0E55"/>
    <w:rsid w:val="00AE1B54"/>
    <w:rsid w:val="00AE2FF1"/>
    <w:rsid w:val="00AE36A3"/>
    <w:rsid w:val="00AE515D"/>
    <w:rsid w:val="00AE64C1"/>
    <w:rsid w:val="00AF01A8"/>
    <w:rsid w:val="00AF3041"/>
    <w:rsid w:val="00AF48CD"/>
    <w:rsid w:val="00AF5E69"/>
    <w:rsid w:val="00AF5FAD"/>
    <w:rsid w:val="00AF6022"/>
    <w:rsid w:val="00AF7EC8"/>
    <w:rsid w:val="00B015A7"/>
    <w:rsid w:val="00B01F89"/>
    <w:rsid w:val="00B020E2"/>
    <w:rsid w:val="00B053D9"/>
    <w:rsid w:val="00B06556"/>
    <w:rsid w:val="00B06B85"/>
    <w:rsid w:val="00B11F31"/>
    <w:rsid w:val="00B12AB1"/>
    <w:rsid w:val="00B12C14"/>
    <w:rsid w:val="00B14090"/>
    <w:rsid w:val="00B16F92"/>
    <w:rsid w:val="00B21E7A"/>
    <w:rsid w:val="00B21EA3"/>
    <w:rsid w:val="00B2296E"/>
    <w:rsid w:val="00B25E71"/>
    <w:rsid w:val="00B328E5"/>
    <w:rsid w:val="00B3388D"/>
    <w:rsid w:val="00B34168"/>
    <w:rsid w:val="00B345D9"/>
    <w:rsid w:val="00B34DF8"/>
    <w:rsid w:val="00B37B14"/>
    <w:rsid w:val="00B41788"/>
    <w:rsid w:val="00B418F9"/>
    <w:rsid w:val="00B43D0A"/>
    <w:rsid w:val="00B44303"/>
    <w:rsid w:val="00B47D07"/>
    <w:rsid w:val="00B5144B"/>
    <w:rsid w:val="00B5170B"/>
    <w:rsid w:val="00B53992"/>
    <w:rsid w:val="00B53D6E"/>
    <w:rsid w:val="00B545B0"/>
    <w:rsid w:val="00B679D3"/>
    <w:rsid w:val="00B67FEA"/>
    <w:rsid w:val="00B708AD"/>
    <w:rsid w:val="00B710D2"/>
    <w:rsid w:val="00B7113C"/>
    <w:rsid w:val="00B712CC"/>
    <w:rsid w:val="00B723DF"/>
    <w:rsid w:val="00B731DE"/>
    <w:rsid w:val="00B734C3"/>
    <w:rsid w:val="00B74252"/>
    <w:rsid w:val="00B7678B"/>
    <w:rsid w:val="00B77533"/>
    <w:rsid w:val="00B77B05"/>
    <w:rsid w:val="00B83DF0"/>
    <w:rsid w:val="00B8410D"/>
    <w:rsid w:val="00B85149"/>
    <w:rsid w:val="00B85A12"/>
    <w:rsid w:val="00B86498"/>
    <w:rsid w:val="00B9063F"/>
    <w:rsid w:val="00B945D4"/>
    <w:rsid w:val="00B94BAD"/>
    <w:rsid w:val="00BA5870"/>
    <w:rsid w:val="00BA679F"/>
    <w:rsid w:val="00BB0399"/>
    <w:rsid w:val="00BB0CBB"/>
    <w:rsid w:val="00BB0EFB"/>
    <w:rsid w:val="00BB2BA6"/>
    <w:rsid w:val="00BB3223"/>
    <w:rsid w:val="00BB4344"/>
    <w:rsid w:val="00BB5D61"/>
    <w:rsid w:val="00BC2B27"/>
    <w:rsid w:val="00BC3B27"/>
    <w:rsid w:val="00BC4C9B"/>
    <w:rsid w:val="00BC4F7B"/>
    <w:rsid w:val="00BC609B"/>
    <w:rsid w:val="00BC7BEA"/>
    <w:rsid w:val="00BD209D"/>
    <w:rsid w:val="00BD6641"/>
    <w:rsid w:val="00BE09D4"/>
    <w:rsid w:val="00BE467F"/>
    <w:rsid w:val="00BE4DAD"/>
    <w:rsid w:val="00BE5E4B"/>
    <w:rsid w:val="00BE6C2B"/>
    <w:rsid w:val="00BE716C"/>
    <w:rsid w:val="00BE7990"/>
    <w:rsid w:val="00BF1AB9"/>
    <w:rsid w:val="00BF29E1"/>
    <w:rsid w:val="00BF2F12"/>
    <w:rsid w:val="00BF30AB"/>
    <w:rsid w:val="00BF3A82"/>
    <w:rsid w:val="00BF4C9A"/>
    <w:rsid w:val="00BF5230"/>
    <w:rsid w:val="00BF58CF"/>
    <w:rsid w:val="00C0339F"/>
    <w:rsid w:val="00C0411C"/>
    <w:rsid w:val="00C057FE"/>
    <w:rsid w:val="00C07331"/>
    <w:rsid w:val="00C10955"/>
    <w:rsid w:val="00C11B85"/>
    <w:rsid w:val="00C13C70"/>
    <w:rsid w:val="00C1543F"/>
    <w:rsid w:val="00C167B9"/>
    <w:rsid w:val="00C20FE7"/>
    <w:rsid w:val="00C22BC5"/>
    <w:rsid w:val="00C23063"/>
    <w:rsid w:val="00C23DAA"/>
    <w:rsid w:val="00C24103"/>
    <w:rsid w:val="00C31877"/>
    <w:rsid w:val="00C31885"/>
    <w:rsid w:val="00C347A8"/>
    <w:rsid w:val="00C4222C"/>
    <w:rsid w:val="00C42BB6"/>
    <w:rsid w:val="00C43515"/>
    <w:rsid w:val="00C46BC0"/>
    <w:rsid w:val="00C51787"/>
    <w:rsid w:val="00C53B91"/>
    <w:rsid w:val="00C53EBB"/>
    <w:rsid w:val="00C54EB3"/>
    <w:rsid w:val="00C5610C"/>
    <w:rsid w:val="00C60694"/>
    <w:rsid w:val="00C620D3"/>
    <w:rsid w:val="00C62687"/>
    <w:rsid w:val="00C64195"/>
    <w:rsid w:val="00C64773"/>
    <w:rsid w:val="00C73A21"/>
    <w:rsid w:val="00C76728"/>
    <w:rsid w:val="00C76F72"/>
    <w:rsid w:val="00C80771"/>
    <w:rsid w:val="00C836EC"/>
    <w:rsid w:val="00C84368"/>
    <w:rsid w:val="00C844F7"/>
    <w:rsid w:val="00C84D0E"/>
    <w:rsid w:val="00C859C7"/>
    <w:rsid w:val="00C8680A"/>
    <w:rsid w:val="00C87B56"/>
    <w:rsid w:val="00C87D7F"/>
    <w:rsid w:val="00C91002"/>
    <w:rsid w:val="00C931B5"/>
    <w:rsid w:val="00C93462"/>
    <w:rsid w:val="00C97041"/>
    <w:rsid w:val="00C97042"/>
    <w:rsid w:val="00C979F3"/>
    <w:rsid w:val="00CA0EED"/>
    <w:rsid w:val="00CA2794"/>
    <w:rsid w:val="00CB1364"/>
    <w:rsid w:val="00CB3215"/>
    <w:rsid w:val="00CB630A"/>
    <w:rsid w:val="00CB65EF"/>
    <w:rsid w:val="00CB6DBB"/>
    <w:rsid w:val="00CB72F5"/>
    <w:rsid w:val="00CC03E3"/>
    <w:rsid w:val="00CC0D0A"/>
    <w:rsid w:val="00CC1B7D"/>
    <w:rsid w:val="00CC3D8E"/>
    <w:rsid w:val="00CC41DA"/>
    <w:rsid w:val="00CC5AB4"/>
    <w:rsid w:val="00CC6C4E"/>
    <w:rsid w:val="00CC6EA3"/>
    <w:rsid w:val="00CD04FC"/>
    <w:rsid w:val="00CD49EC"/>
    <w:rsid w:val="00CD739C"/>
    <w:rsid w:val="00CE313B"/>
    <w:rsid w:val="00CE31D3"/>
    <w:rsid w:val="00CE475C"/>
    <w:rsid w:val="00CE4799"/>
    <w:rsid w:val="00CE7E3D"/>
    <w:rsid w:val="00CF0ECB"/>
    <w:rsid w:val="00CF1D5A"/>
    <w:rsid w:val="00CF259D"/>
    <w:rsid w:val="00CF3C7B"/>
    <w:rsid w:val="00D02A61"/>
    <w:rsid w:val="00D02D91"/>
    <w:rsid w:val="00D038F3"/>
    <w:rsid w:val="00D0438E"/>
    <w:rsid w:val="00D06225"/>
    <w:rsid w:val="00D075C8"/>
    <w:rsid w:val="00D107C2"/>
    <w:rsid w:val="00D126B7"/>
    <w:rsid w:val="00D13636"/>
    <w:rsid w:val="00D14F5B"/>
    <w:rsid w:val="00D17713"/>
    <w:rsid w:val="00D17CB6"/>
    <w:rsid w:val="00D2090A"/>
    <w:rsid w:val="00D20FFB"/>
    <w:rsid w:val="00D21475"/>
    <w:rsid w:val="00D2478F"/>
    <w:rsid w:val="00D260F8"/>
    <w:rsid w:val="00D26D78"/>
    <w:rsid w:val="00D3214A"/>
    <w:rsid w:val="00D32E6E"/>
    <w:rsid w:val="00D350D0"/>
    <w:rsid w:val="00D41699"/>
    <w:rsid w:val="00D445FA"/>
    <w:rsid w:val="00D4503A"/>
    <w:rsid w:val="00D4520B"/>
    <w:rsid w:val="00D4777B"/>
    <w:rsid w:val="00D54752"/>
    <w:rsid w:val="00D56B8F"/>
    <w:rsid w:val="00D5791A"/>
    <w:rsid w:val="00D60BDF"/>
    <w:rsid w:val="00D60DC5"/>
    <w:rsid w:val="00D61780"/>
    <w:rsid w:val="00D623EB"/>
    <w:rsid w:val="00D637FE"/>
    <w:rsid w:val="00D63F04"/>
    <w:rsid w:val="00D66D1C"/>
    <w:rsid w:val="00D72133"/>
    <w:rsid w:val="00D7245E"/>
    <w:rsid w:val="00D73FB9"/>
    <w:rsid w:val="00D75FCF"/>
    <w:rsid w:val="00D76B66"/>
    <w:rsid w:val="00D773D0"/>
    <w:rsid w:val="00D77DC0"/>
    <w:rsid w:val="00D80073"/>
    <w:rsid w:val="00D80EB6"/>
    <w:rsid w:val="00D81A8E"/>
    <w:rsid w:val="00D8329D"/>
    <w:rsid w:val="00D84A3A"/>
    <w:rsid w:val="00D85065"/>
    <w:rsid w:val="00D863CC"/>
    <w:rsid w:val="00D90D24"/>
    <w:rsid w:val="00D90EBF"/>
    <w:rsid w:val="00D9611D"/>
    <w:rsid w:val="00D97463"/>
    <w:rsid w:val="00D9773D"/>
    <w:rsid w:val="00D97C6C"/>
    <w:rsid w:val="00DA4B88"/>
    <w:rsid w:val="00DA7EEA"/>
    <w:rsid w:val="00DB304D"/>
    <w:rsid w:val="00DB3AAA"/>
    <w:rsid w:val="00DC2D48"/>
    <w:rsid w:val="00DC3253"/>
    <w:rsid w:val="00DC5FA6"/>
    <w:rsid w:val="00DC6760"/>
    <w:rsid w:val="00DD30F7"/>
    <w:rsid w:val="00DD5F6D"/>
    <w:rsid w:val="00DD60C4"/>
    <w:rsid w:val="00DD736C"/>
    <w:rsid w:val="00DE222B"/>
    <w:rsid w:val="00DE5657"/>
    <w:rsid w:val="00DF0316"/>
    <w:rsid w:val="00DF0E5F"/>
    <w:rsid w:val="00DF11D0"/>
    <w:rsid w:val="00DF519C"/>
    <w:rsid w:val="00DF57DB"/>
    <w:rsid w:val="00E00339"/>
    <w:rsid w:val="00E0061B"/>
    <w:rsid w:val="00E014FE"/>
    <w:rsid w:val="00E025F4"/>
    <w:rsid w:val="00E04238"/>
    <w:rsid w:val="00E076E5"/>
    <w:rsid w:val="00E10F45"/>
    <w:rsid w:val="00E115F4"/>
    <w:rsid w:val="00E12E0B"/>
    <w:rsid w:val="00E1539A"/>
    <w:rsid w:val="00E16ECF"/>
    <w:rsid w:val="00E206EA"/>
    <w:rsid w:val="00E230B4"/>
    <w:rsid w:val="00E24CCA"/>
    <w:rsid w:val="00E254A0"/>
    <w:rsid w:val="00E267A1"/>
    <w:rsid w:val="00E2702D"/>
    <w:rsid w:val="00E30182"/>
    <w:rsid w:val="00E3229A"/>
    <w:rsid w:val="00E33AF6"/>
    <w:rsid w:val="00E36364"/>
    <w:rsid w:val="00E36A70"/>
    <w:rsid w:val="00E41451"/>
    <w:rsid w:val="00E415B8"/>
    <w:rsid w:val="00E42787"/>
    <w:rsid w:val="00E427EE"/>
    <w:rsid w:val="00E45817"/>
    <w:rsid w:val="00E45BFB"/>
    <w:rsid w:val="00E46F93"/>
    <w:rsid w:val="00E513D0"/>
    <w:rsid w:val="00E54679"/>
    <w:rsid w:val="00E6068D"/>
    <w:rsid w:val="00E61C32"/>
    <w:rsid w:val="00E62235"/>
    <w:rsid w:val="00E704F7"/>
    <w:rsid w:val="00E70C45"/>
    <w:rsid w:val="00E73382"/>
    <w:rsid w:val="00E756FE"/>
    <w:rsid w:val="00E75ABE"/>
    <w:rsid w:val="00E7646B"/>
    <w:rsid w:val="00E76542"/>
    <w:rsid w:val="00E76FF1"/>
    <w:rsid w:val="00E81560"/>
    <w:rsid w:val="00E83789"/>
    <w:rsid w:val="00E83838"/>
    <w:rsid w:val="00E83A19"/>
    <w:rsid w:val="00E850BA"/>
    <w:rsid w:val="00E8562C"/>
    <w:rsid w:val="00E86556"/>
    <w:rsid w:val="00E876CB"/>
    <w:rsid w:val="00E900A3"/>
    <w:rsid w:val="00E91310"/>
    <w:rsid w:val="00E9144E"/>
    <w:rsid w:val="00E92FA6"/>
    <w:rsid w:val="00E9477E"/>
    <w:rsid w:val="00E9694D"/>
    <w:rsid w:val="00EA1AF6"/>
    <w:rsid w:val="00EA2EEB"/>
    <w:rsid w:val="00EA5D5D"/>
    <w:rsid w:val="00EA692F"/>
    <w:rsid w:val="00EB37A8"/>
    <w:rsid w:val="00EB40B0"/>
    <w:rsid w:val="00EB4443"/>
    <w:rsid w:val="00EB74BC"/>
    <w:rsid w:val="00EC16F8"/>
    <w:rsid w:val="00EC336E"/>
    <w:rsid w:val="00EC379F"/>
    <w:rsid w:val="00EC525A"/>
    <w:rsid w:val="00ED2C08"/>
    <w:rsid w:val="00ED3A64"/>
    <w:rsid w:val="00ED560D"/>
    <w:rsid w:val="00ED605B"/>
    <w:rsid w:val="00ED6B98"/>
    <w:rsid w:val="00ED6C94"/>
    <w:rsid w:val="00EE1040"/>
    <w:rsid w:val="00EE5B40"/>
    <w:rsid w:val="00EE7685"/>
    <w:rsid w:val="00EF0EA0"/>
    <w:rsid w:val="00EF35D0"/>
    <w:rsid w:val="00EF4C89"/>
    <w:rsid w:val="00EF5F9F"/>
    <w:rsid w:val="00EF64BD"/>
    <w:rsid w:val="00F0242A"/>
    <w:rsid w:val="00F05050"/>
    <w:rsid w:val="00F053EF"/>
    <w:rsid w:val="00F12FA6"/>
    <w:rsid w:val="00F141DF"/>
    <w:rsid w:val="00F15307"/>
    <w:rsid w:val="00F16041"/>
    <w:rsid w:val="00F17A7A"/>
    <w:rsid w:val="00F20CBE"/>
    <w:rsid w:val="00F216B1"/>
    <w:rsid w:val="00F25611"/>
    <w:rsid w:val="00F30A87"/>
    <w:rsid w:val="00F31DA3"/>
    <w:rsid w:val="00F3371D"/>
    <w:rsid w:val="00F35CBE"/>
    <w:rsid w:val="00F406A9"/>
    <w:rsid w:val="00F40BF4"/>
    <w:rsid w:val="00F41942"/>
    <w:rsid w:val="00F4261F"/>
    <w:rsid w:val="00F43674"/>
    <w:rsid w:val="00F43B0B"/>
    <w:rsid w:val="00F43BA6"/>
    <w:rsid w:val="00F51C02"/>
    <w:rsid w:val="00F5227C"/>
    <w:rsid w:val="00F52AD7"/>
    <w:rsid w:val="00F54C78"/>
    <w:rsid w:val="00F55D28"/>
    <w:rsid w:val="00F57850"/>
    <w:rsid w:val="00F60A20"/>
    <w:rsid w:val="00F626E0"/>
    <w:rsid w:val="00F646A4"/>
    <w:rsid w:val="00F65C61"/>
    <w:rsid w:val="00F6667B"/>
    <w:rsid w:val="00F7027C"/>
    <w:rsid w:val="00F70333"/>
    <w:rsid w:val="00F73106"/>
    <w:rsid w:val="00F7494E"/>
    <w:rsid w:val="00F74B06"/>
    <w:rsid w:val="00F75171"/>
    <w:rsid w:val="00F80AFA"/>
    <w:rsid w:val="00F8155F"/>
    <w:rsid w:val="00F82D92"/>
    <w:rsid w:val="00F860A4"/>
    <w:rsid w:val="00F86357"/>
    <w:rsid w:val="00F93C02"/>
    <w:rsid w:val="00F95C7C"/>
    <w:rsid w:val="00FA106A"/>
    <w:rsid w:val="00FA13BE"/>
    <w:rsid w:val="00FA1B4B"/>
    <w:rsid w:val="00FA384A"/>
    <w:rsid w:val="00FA4229"/>
    <w:rsid w:val="00FA62BD"/>
    <w:rsid w:val="00FA65D1"/>
    <w:rsid w:val="00FA6CA0"/>
    <w:rsid w:val="00FA701F"/>
    <w:rsid w:val="00FB01B3"/>
    <w:rsid w:val="00FB5013"/>
    <w:rsid w:val="00FB507A"/>
    <w:rsid w:val="00FB6A28"/>
    <w:rsid w:val="00FB76CD"/>
    <w:rsid w:val="00FC662C"/>
    <w:rsid w:val="00FD0567"/>
    <w:rsid w:val="00FD2F99"/>
    <w:rsid w:val="00FD3B61"/>
    <w:rsid w:val="00FD5E0B"/>
    <w:rsid w:val="00FE4B51"/>
    <w:rsid w:val="00FE752E"/>
    <w:rsid w:val="00FE7DFE"/>
    <w:rsid w:val="00FF06F1"/>
    <w:rsid w:val="00FF2C7A"/>
    <w:rsid w:val="00FF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D18ACD"/>
  <w15:docId w15:val="{46804143-F042-4640-B650-B2CC126C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65F"/>
  </w:style>
  <w:style w:type="paragraph" w:styleId="Heading1">
    <w:name w:val="heading 1"/>
    <w:basedOn w:val="Normal"/>
    <w:next w:val="Normal"/>
    <w:link w:val="Heading1Char"/>
    <w:uiPriority w:val="9"/>
    <w:qFormat/>
    <w:rsid w:val="007C16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16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16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36A70"/>
    <w:pPr>
      <w:keepNext/>
      <w:keepLines/>
      <w:spacing w:before="200" w:after="0"/>
      <w:outlineLvl w:val="3"/>
    </w:pPr>
    <w:rPr>
      <w:rFonts w:eastAsiaTheme="majorEastAsia" w:cstheme="majorBidi"/>
      <w:bCs/>
      <w:i/>
      <w:iCs/>
      <w:color w:val="4F81BD" w:themeColor="accent1"/>
      <w:sz w:val="24"/>
    </w:rPr>
  </w:style>
  <w:style w:type="paragraph" w:styleId="Heading5">
    <w:name w:val="heading 5"/>
    <w:basedOn w:val="Normal"/>
    <w:next w:val="Normal"/>
    <w:link w:val="Heading5Char"/>
    <w:uiPriority w:val="9"/>
    <w:unhideWhenUsed/>
    <w:qFormat/>
    <w:rsid w:val="007C16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C16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16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16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C16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rsid w:val="00E91310"/>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E91310"/>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E913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E913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E913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E913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E913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E913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Triangles">
    <w:name w:val="1Triangles"/>
    <w:rsid w:val="00E91310"/>
    <w:pPr>
      <w:widowControl w:val="0"/>
      <w:tabs>
        <w:tab w:val="left" w:pos="720"/>
      </w:tabs>
      <w:autoSpaceDE w:val="0"/>
      <w:autoSpaceDN w:val="0"/>
      <w:adjustRightInd w:val="0"/>
      <w:ind w:left="720" w:hanging="720"/>
      <w:jc w:val="both"/>
    </w:pPr>
    <w:rPr>
      <w:sz w:val="24"/>
      <w:szCs w:val="24"/>
    </w:rPr>
  </w:style>
  <w:style w:type="paragraph" w:customStyle="1" w:styleId="2Triangles">
    <w:name w:val="2Triangles"/>
    <w:rsid w:val="00E91310"/>
    <w:pPr>
      <w:widowControl w:val="0"/>
      <w:tabs>
        <w:tab w:val="left" w:pos="720"/>
        <w:tab w:val="left" w:pos="1440"/>
      </w:tabs>
      <w:autoSpaceDE w:val="0"/>
      <w:autoSpaceDN w:val="0"/>
      <w:adjustRightInd w:val="0"/>
      <w:ind w:left="1440" w:hanging="720"/>
      <w:jc w:val="both"/>
    </w:pPr>
    <w:rPr>
      <w:sz w:val="24"/>
      <w:szCs w:val="24"/>
    </w:rPr>
  </w:style>
  <w:style w:type="paragraph" w:customStyle="1" w:styleId="3Triangles">
    <w:name w:val="3Triangles"/>
    <w:rsid w:val="00E913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Triangles">
    <w:name w:val="4Triangles"/>
    <w:rsid w:val="00E913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Triangles">
    <w:name w:val="5Triangles"/>
    <w:rsid w:val="00E913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Triangles">
    <w:name w:val="6Triangles"/>
    <w:rsid w:val="00E913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Triangles">
    <w:name w:val="7Triangles"/>
    <w:rsid w:val="00E913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Triangles">
    <w:name w:val="8Triangles"/>
    <w:rsid w:val="00E913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a">
    <w:name w:val="_"/>
    <w:rsid w:val="00E91310"/>
    <w:pPr>
      <w:widowControl w:val="0"/>
      <w:autoSpaceDE w:val="0"/>
      <w:autoSpaceDN w:val="0"/>
      <w:adjustRightInd w:val="0"/>
      <w:ind w:left="-1080"/>
    </w:pPr>
    <w:rPr>
      <w:sz w:val="24"/>
      <w:szCs w:val="24"/>
    </w:rPr>
  </w:style>
  <w:style w:type="character" w:customStyle="1" w:styleId="DefaultPara">
    <w:name w:val="Default Para"/>
    <w:rsid w:val="00E91310"/>
  </w:style>
  <w:style w:type="character" w:customStyle="1" w:styleId="SYSHYPERTEXT">
    <w:name w:val="SYS_HYPERTEXT"/>
    <w:rsid w:val="00E91310"/>
    <w:rPr>
      <w:color w:val="0000FF"/>
    </w:rPr>
  </w:style>
  <w:style w:type="paragraph" w:styleId="Header">
    <w:name w:val="header"/>
    <w:basedOn w:val="Normal"/>
    <w:rsid w:val="00E91310"/>
    <w:pPr>
      <w:tabs>
        <w:tab w:val="center" w:pos="4320"/>
        <w:tab w:val="right" w:pos="8640"/>
      </w:tabs>
    </w:pPr>
  </w:style>
  <w:style w:type="character" w:styleId="PageNumber">
    <w:name w:val="page number"/>
    <w:basedOn w:val="DefaultParagraphFont"/>
    <w:rsid w:val="00E91310"/>
  </w:style>
  <w:style w:type="paragraph" w:styleId="BodyText">
    <w:name w:val="Body Text"/>
    <w:basedOn w:val="Normal"/>
    <w:link w:val="BodyTextChar"/>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FF00FF"/>
    </w:rPr>
  </w:style>
  <w:style w:type="paragraph" w:styleId="Caption">
    <w:name w:val="caption"/>
    <w:basedOn w:val="Normal"/>
    <w:next w:val="Normal"/>
    <w:uiPriority w:val="35"/>
    <w:unhideWhenUsed/>
    <w:qFormat/>
    <w:rsid w:val="007C165F"/>
    <w:pPr>
      <w:spacing w:line="240" w:lineRule="auto"/>
    </w:pPr>
    <w:rPr>
      <w:b/>
      <w:bCs/>
      <w:color w:val="4F81BD" w:themeColor="accent1"/>
      <w:sz w:val="18"/>
      <w:szCs w:val="18"/>
    </w:rPr>
  </w:style>
  <w:style w:type="paragraph" w:styleId="BodyText2">
    <w:name w:val="Body Text 2"/>
    <w:basedOn w:val="Normal"/>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BodyText3">
    <w:name w:val="Body Text 3"/>
    <w:basedOn w:val="Normal"/>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styleId="Hyperlink">
    <w:name w:val="Hyperlink"/>
    <w:rsid w:val="00E91310"/>
    <w:rPr>
      <w:color w:val="0000FF"/>
      <w:u w:val="single"/>
    </w:rPr>
  </w:style>
  <w:style w:type="character" w:styleId="FollowedHyperlink">
    <w:name w:val="FollowedHyperlink"/>
    <w:rsid w:val="00E91310"/>
    <w:rPr>
      <w:color w:val="800080"/>
      <w:u w:val="single"/>
    </w:rPr>
  </w:style>
  <w:style w:type="paragraph" w:styleId="Footer">
    <w:name w:val="footer"/>
    <w:basedOn w:val="Normal"/>
    <w:link w:val="FooterChar"/>
    <w:uiPriority w:val="99"/>
    <w:rsid w:val="00E91310"/>
    <w:pPr>
      <w:tabs>
        <w:tab w:val="center" w:pos="4320"/>
        <w:tab w:val="right" w:pos="8640"/>
      </w:tabs>
    </w:pPr>
  </w:style>
  <w:style w:type="paragraph" w:customStyle="1" w:styleId="Default">
    <w:name w:val="Default"/>
    <w:rsid w:val="0080088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6059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4C89"/>
    <w:rPr>
      <w:rFonts w:ascii="Tahoma" w:hAnsi="Tahoma" w:cs="Tahoma"/>
      <w:sz w:val="16"/>
      <w:szCs w:val="16"/>
    </w:rPr>
  </w:style>
  <w:style w:type="paragraph" w:styleId="ListParagraph">
    <w:name w:val="List Paragraph"/>
    <w:basedOn w:val="Normal"/>
    <w:qFormat/>
    <w:rsid w:val="007C165F"/>
    <w:pPr>
      <w:ind w:left="720"/>
      <w:contextualSpacing/>
    </w:pPr>
  </w:style>
  <w:style w:type="paragraph" w:styleId="ListBullet">
    <w:name w:val="List Bullet"/>
    <w:basedOn w:val="Normal"/>
    <w:rsid w:val="00C4222C"/>
    <w:pPr>
      <w:numPr>
        <w:numId w:val="1"/>
      </w:numPr>
      <w:spacing w:after="120"/>
    </w:pPr>
  </w:style>
  <w:style w:type="character" w:customStyle="1" w:styleId="BodyTextChar">
    <w:name w:val="Body Text Char"/>
    <w:basedOn w:val="DefaultParagraphFont"/>
    <w:link w:val="BodyText"/>
    <w:rsid w:val="00CE313B"/>
    <w:rPr>
      <w:color w:val="FF00FF"/>
      <w:sz w:val="22"/>
      <w:szCs w:val="22"/>
    </w:rPr>
  </w:style>
  <w:style w:type="paragraph" w:customStyle="1" w:styleId="StyleListBulletAfter12pt">
    <w:name w:val="Style List Bullet + After:  12 pt"/>
    <w:basedOn w:val="ListBullet"/>
    <w:rsid w:val="00C4222C"/>
  </w:style>
  <w:style w:type="character" w:styleId="Strong">
    <w:name w:val="Strong"/>
    <w:basedOn w:val="DefaultParagraphFont"/>
    <w:uiPriority w:val="22"/>
    <w:qFormat/>
    <w:rsid w:val="007C165F"/>
    <w:rPr>
      <w:b/>
      <w:bCs/>
    </w:rPr>
  </w:style>
  <w:style w:type="character" w:styleId="Emphasis">
    <w:name w:val="Emphasis"/>
    <w:basedOn w:val="DefaultParagraphFont"/>
    <w:qFormat/>
    <w:rsid w:val="007C165F"/>
    <w:rPr>
      <w:i/>
      <w:iCs/>
    </w:rPr>
  </w:style>
  <w:style w:type="paragraph" w:styleId="Revision">
    <w:name w:val="Revision"/>
    <w:hidden/>
    <w:uiPriority w:val="99"/>
    <w:semiHidden/>
    <w:rsid w:val="00895418"/>
  </w:style>
  <w:style w:type="paragraph" w:styleId="NoSpacing">
    <w:name w:val="No Spacing"/>
    <w:uiPriority w:val="1"/>
    <w:qFormat/>
    <w:rsid w:val="007C165F"/>
    <w:pPr>
      <w:spacing w:after="0" w:line="240" w:lineRule="auto"/>
    </w:pPr>
  </w:style>
  <w:style w:type="character" w:customStyle="1" w:styleId="Heading1Char">
    <w:name w:val="Heading 1 Char"/>
    <w:basedOn w:val="DefaultParagraphFont"/>
    <w:link w:val="Heading1"/>
    <w:uiPriority w:val="9"/>
    <w:rsid w:val="007C16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16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16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36A70"/>
    <w:rPr>
      <w:rFonts w:eastAsiaTheme="majorEastAsia" w:cstheme="majorBidi"/>
      <w:bCs/>
      <w:i/>
      <w:iCs/>
      <w:color w:val="4F81BD" w:themeColor="accent1"/>
      <w:sz w:val="24"/>
    </w:rPr>
  </w:style>
  <w:style w:type="character" w:customStyle="1" w:styleId="Heading5Char">
    <w:name w:val="Heading 5 Char"/>
    <w:basedOn w:val="DefaultParagraphFont"/>
    <w:link w:val="Heading5"/>
    <w:uiPriority w:val="9"/>
    <w:rsid w:val="007C16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C16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C16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C16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C165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C16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16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C16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165F"/>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7C165F"/>
    <w:rPr>
      <w:i/>
      <w:iCs/>
      <w:color w:val="000000" w:themeColor="text1"/>
    </w:rPr>
  </w:style>
  <w:style w:type="character" w:customStyle="1" w:styleId="QuoteChar">
    <w:name w:val="Quote Char"/>
    <w:basedOn w:val="DefaultParagraphFont"/>
    <w:link w:val="Quote"/>
    <w:uiPriority w:val="29"/>
    <w:rsid w:val="007C165F"/>
    <w:rPr>
      <w:i/>
      <w:iCs/>
      <w:color w:val="000000" w:themeColor="text1"/>
    </w:rPr>
  </w:style>
  <w:style w:type="paragraph" w:styleId="IntenseQuote">
    <w:name w:val="Intense Quote"/>
    <w:basedOn w:val="Normal"/>
    <w:next w:val="Normal"/>
    <w:link w:val="IntenseQuoteChar"/>
    <w:uiPriority w:val="30"/>
    <w:qFormat/>
    <w:rsid w:val="007C16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C165F"/>
    <w:rPr>
      <w:b/>
      <w:bCs/>
      <w:i/>
      <w:iCs/>
      <w:color w:val="4F81BD" w:themeColor="accent1"/>
    </w:rPr>
  </w:style>
  <w:style w:type="character" w:styleId="SubtleEmphasis">
    <w:name w:val="Subtle Emphasis"/>
    <w:basedOn w:val="DefaultParagraphFont"/>
    <w:uiPriority w:val="19"/>
    <w:qFormat/>
    <w:rsid w:val="007C165F"/>
    <w:rPr>
      <w:i/>
      <w:iCs/>
      <w:color w:val="808080" w:themeColor="text1" w:themeTint="7F"/>
    </w:rPr>
  </w:style>
  <w:style w:type="character" w:styleId="IntenseEmphasis">
    <w:name w:val="Intense Emphasis"/>
    <w:basedOn w:val="DefaultParagraphFont"/>
    <w:uiPriority w:val="21"/>
    <w:qFormat/>
    <w:rsid w:val="007C165F"/>
    <w:rPr>
      <w:b/>
      <w:bCs/>
      <w:i/>
      <w:iCs/>
      <w:color w:val="4F81BD" w:themeColor="accent1"/>
    </w:rPr>
  </w:style>
  <w:style w:type="character" w:styleId="SubtleReference">
    <w:name w:val="Subtle Reference"/>
    <w:basedOn w:val="DefaultParagraphFont"/>
    <w:uiPriority w:val="31"/>
    <w:qFormat/>
    <w:rsid w:val="007C165F"/>
    <w:rPr>
      <w:smallCaps/>
      <w:color w:val="C0504D" w:themeColor="accent2"/>
      <w:u w:val="single"/>
    </w:rPr>
  </w:style>
  <w:style w:type="character" w:styleId="IntenseReference">
    <w:name w:val="Intense Reference"/>
    <w:basedOn w:val="DefaultParagraphFont"/>
    <w:uiPriority w:val="32"/>
    <w:qFormat/>
    <w:rsid w:val="007C165F"/>
    <w:rPr>
      <w:b/>
      <w:bCs/>
      <w:smallCaps/>
      <w:color w:val="C0504D" w:themeColor="accent2"/>
      <w:spacing w:val="5"/>
      <w:u w:val="single"/>
    </w:rPr>
  </w:style>
  <w:style w:type="character" w:styleId="BookTitle">
    <w:name w:val="Book Title"/>
    <w:basedOn w:val="DefaultParagraphFont"/>
    <w:uiPriority w:val="33"/>
    <w:qFormat/>
    <w:rsid w:val="007C165F"/>
    <w:rPr>
      <w:b/>
      <w:bCs/>
      <w:smallCaps/>
      <w:spacing w:val="5"/>
    </w:rPr>
  </w:style>
  <w:style w:type="paragraph" w:styleId="TOCHeading">
    <w:name w:val="TOC Heading"/>
    <w:basedOn w:val="Heading1"/>
    <w:next w:val="Normal"/>
    <w:uiPriority w:val="39"/>
    <w:semiHidden/>
    <w:unhideWhenUsed/>
    <w:qFormat/>
    <w:rsid w:val="007C165F"/>
    <w:pPr>
      <w:outlineLvl w:val="9"/>
    </w:pPr>
  </w:style>
  <w:style w:type="character" w:customStyle="1" w:styleId="FooterChar">
    <w:name w:val="Footer Char"/>
    <w:basedOn w:val="DefaultParagraphFont"/>
    <w:link w:val="Footer"/>
    <w:uiPriority w:val="99"/>
    <w:rsid w:val="001B6B06"/>
  </w:style>
  <w:style w:type="character" w:styleId="CommentReference">
    <w:name w:val="annotation reference"/>
    <w:basedOn w:val="DefaultParagraphFont"/>
    <w:semiHidden/>
    <w:unhideWhenUsed/>
    <w:rsid w:val="00D63F04"/>
    <w:rPr>
      <w:sz w:val="16"/>
      <w:szCs w:val="16"/>
    </w:rPr>
  </w:style>
  <w:style w:type="paragraph" w:styleId="CommentText">
    <w:name w:val="annotation text"/>
    <w:basedOn w:val="Normal"/>
    <w:link w:val="CommentTextChar"/>
    <w:semiHidden/>
    <w:unhideWhenUsed/>
    <w:rsid w:val="00D63F04"/>
    <w:pPr>
      <w:spacing w:line="240" w:lineRule="auto"/>
    </w:pPr>
    <w:rPr>
      <w:sz w:val="20"/>
      <w:szCs w:val="20"/>
    </w:rPr>
  </w:style>
  <w:style w:type="character" w:customStyle="1" w:styleId="CommentTextChar">
    <w:name w:val="Comment Text Char"/>
    <w:basedOn w:val="DefaultParagraphFont"/>
    <w:link w:val="CommentText"/>
    <w:semiHidden/>
    <w:rsid w:val="00D63F04"/>
    <w:rPr>
      <w:sz w:val="20"/>
      <w:szCs w:val="20"/>
    </w:rPr>
  </w:style>
  <w:style w:type="paragraph" w:styleId="CommentSubject">
    <w:name w:val="annotation subject"/>
    <w:basedOn w:val="CommentText"/>
    <w:next w:val="CommentText"/>
    <w:link w:val="CommentSubjectChar"/>
    <w:semiHidden/>
    <w:unhideWhenUsed/>
    <w:rsid w:val="00D63F04"/>
    <w:rPr>
      <w:b/>
      <w:bCs/>
    </w:rPr>
  </w:style>
  <w:style w:type="character" w:customStyle="1" w:styleId="CommentSubjectChar">
    <w:name w:val="Comment Subject Char"/>
    <w:basedOn w:val="CommentTextChar"/>
    <w:link w:val="CommentSubject"/>
    <w:semiHidden/>
    <w:rsid w:val="00D63F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1572">
      <w:bodyDiv w:val="1"/>
      <w:marLeft w:val="60"/>
      <w:marRight w:val="60"/>
      <w:marTop w:val="60"/>
      <w:marBottom w:val="15"/>
      <w:divBdr>
        <w:top w:val="none" w:sz="0" w:space="0" w:color="auto"/>
        <w:left w:val="none" w:sz="0" w:space="0" w:color="auto"/>
        <w:bottom w:val="none" w:sz="0" w:space="0" w:color="auto"/>
        <w:right w:val="none" w:sz="0" w:space="0" w:color="auto"/>
      </w:divBdr>
      <w:divsChild>
        <w:div w:id="130952323">
          <w:marLeft w:val="0"/>
          <w:marRight w:val="0"/>
          <w:marTop w:val="0"/>
          <w:marBottom w:val="0"/>
          <w:divBdr>
            <w:top w:val="none" w:sz="0" w:space="0" w:color="auto"/>
            <w:left w:val="none" w:sz="0" w:space="0" w:color="auto"/>
            <w:bottom w:val="none" w:sz="0" w:space="0" w:color="auto"/>
            <w:right w:val="none" w:sz="0" w:space="0" w:color="auto"/>
          </w:divBdr>
        </w:div>
        <w:div w:id="135029660">
          <w:marLeft w:val="0"/>
          <w:marRight w:val="0"/>
          <w:marTop w:val="0"/>
          <w:marBottom w:val="0"/>
          <w:divBdr>
            <w:top w:val="none" w:sz="0" w:space="0" w:color="auto"/>
            <w:left w:val="none" w:sz="0" w:space="0" w:color="auto"/>
            <w:bottom w:val="none" w:sz="0" w:space="0" w:color="auto"/>
            <w:right w:val="none" w:sz="0" w:space="0" w:color="auto"/>
          </w:divBdr>
        </w:div>
        <w:div w:id="140199586">
          <w:marLeft w:val="0"/>
          <w:marRight w:val="0"/>
          <w:marTop w:val="0"/>
          <w:marBottom w:val="0"/>
          <w:divBdr>
            <w:top w:val="none" w:sz="0" w:space="0" w:color="auto"/>
            <w:left w:val="none" w:sz="0" w:space="0" w:color="auto"/>
            <w:bottom w:val="none" w:sz="0" w:space="0" w:color="auto"/>
            <w:right w:val="none" w:sz="0" w:space="0" w:color="auto"/>
          </w:divBdr>
        </w:div>
        <w:div w:id="165025019">
          <w:marLeft w:val="0"/>
          <w:marRight w:val="0"/>
          <w:marTop w:val="0"/>
          <w:marBottom w:val="0"/>
          <w:divBdr>
            <w:top w:val="none" w:sz="0" w:space="0" w:color="auto"/>
            <w:left w:val="none" w:sz="0" w:space="0" w:color="auto"/>
            <w:bottom w:val="none" w:sz="0" w:space="0" w:color="auto"/>
            <w:right w:val="none" w:sz="0" w:space="0" w:color="auto"/>
          </w:divBdr>
        </w:div>
        <w:div w:id="233275361">
          <w:marLeft w:val="0"/>
          <w:marRight w:val="0"/>
          <w:marTop w:val="0"/>
          <w:marBottom w:val="0"/>
          <w:divBdr>
            <w:top w:val="none" w:sz="0" w:space="0" w:color="auto"/>
            <w:left w:val="none" w:sz="0" w:space="0" w:color="auto"/>
            <w:bottom w:val="none" w:sz="0" w:space="0" w:color="auto"/>
            <w:right w:val="none" w:sz="0" w:space="0" w:color="auto"/>
          </w:divBdr>
        </w:div>
        <w:div w:id="236519906">
          <w:marLeft w:val="0"/>
          <w:marRight w:val="0"/>
          <w:marTop w:val="0"/>
          <w:marBottom w:val="0"/>
          <w:divBdr>
            <w:top w:val="none" w:sz="0" w:space="0" w:color="auto"/>
            <w:left w:val="none" w:sz="0" w:space="0" w:color="auto"/>
            <w:bottom w:val="none" w:sz="0" w:space="0" w:color="auto"/>
            <w:right w:val="none" w:sz="0" w:space="0" w:color="auto"/>
          </w:divBdr>
        </w:div>
        <w:div w:id="274560804">
          <w:marLeft w:val="0"/>
          <w:marRight w:val="0"/>
          <w:marTop w:val="0"/>
          <w:marBottom w:val="0"/>
          <w:divBdr>
            <w:top w:val="none" w:sz="0" w:space="0" w:color="auto"/>
            <w:left w:val="none" w:sz="0" w:space="0" w:color="auto"/>
            <w:bottom w:val="none" w:sz="0" w:space="0" w:color="auto"/>
            <w:right w:val="none" w:sz="0" w:space="0" w:color="auto"/>
          </w:divBdr>
        </w:div>
        <w:div w:id="331493830">
          <w:marLeft w:val="0"/>
          <w:marRight w:val="0"/>
          <w:marTop w:val="0"/>
          <w:marBottom w:val="0"/>
          <w:divBdr>
            <w:top w:val="none" w:sz="0" w:space="0" w:color="auto"/>
            <w:left w:val="none" w:sz="0" w:space="0" w:color="auto"/>
            <w:bottom w:val="none" w:sz="0" w:space="0" w:color="auto"/>
            <w:right w:val="none" w:sz="0" w:space="0" w:color="auto"/>
          </w:divBdr>
        </w:div>
        <w:div w:id="444538856">
          <w:marLeft w:val="0"/>
          <w:marRight w:val="0"/>
          <w:marTop w:val="0"/>
          <w:marBottom w:val="0"/>
          <w:divBdr>
            <w:top w:val="none" w:sz="0" w:space="0" w:color="auto"/>
            <w:left w:val="none" w:sz="0" w:space="0" w:color="auto"/>
            <w:bottom w:val="none" w:sz="0" w:space="0" w:color="auto"/>
            <w:right w:val="none" w:sz="0" w:space="0" w:color="auto"/>
          </w:divBdr>
        </w:div>
        <w:div w:id="513375455">
          <w:marLeft w:val="0"/>
          <w:marRight w:val="0"/>
          <w:marTop w:val="0"/>
          <w:marBottom w:val="0"/>
          <w:divBdr>
            <w:top w:val="none" w:sz="0" w:space="0" w:color="auto"/>
            <w:left w:val="none" w:sz="0" w:space="0" w:color="auto"/>
            <w:bottom w:val="none" w:sz="0" w:space="0" w:color="auto"/>
            <w:right w:val="none" w:sz="0" w:space="0" w:color="auto"/>
          </w:divBdr>
        </w:div>
        <w:div w:id="514464967">
          <w:marLeft w:val="0"/>
          <w:marRight w:val="0"/>
          <w:marTop w:val="0"/>
          <w:marBottom w:val="0"/>
          <w:divBdr>
            <w:top w:val="none" w:sz="0" w:space="0" w:color="auto"/>
            <w:left w:val="none" w:sz="0" w:space="0" w:color="auto"/>
            <w:bottom w:val="none" w:sz="0" w:space="0" w:color="auto"/>
            <w:right w:val="none" w:sz="0" w:space="0" w:color="auto"/>
          </w:divBdr>
        </w:div>
        <w:div w:id="522091692">
          <w:marLeft w:val="0"/>
          <w:marRight w:val="0"/>
          <w:marTop w:val="0"/>
          <w:marBottom w:val="0"/>
          <w:divBdr>
            <w:top w:val="none" w:sz="0" w:space="0" w:color="auto"/>
            <w:left w:val="none" w:sz="0" w:space="0" w:color="auto"/>
            <w:bottom w:val="none" w:sz="0" w:space="0" w:color="auto"/>
            <w:right w:val="none" w:sz="0" w:space="0" w:color="auto"/>
          </w:divBdr>
        </w:div>
        <w:div w:id="549847490">
          <w:marLeft w:val="0"/>
          <w:marRight w:val="0"/>
          <w:marTop w:val="0"/>
          <w:marBottom w:val="0"/>
          <w:divBdr>
            <w:top w:val="none" w:sz="0" w:space="0" w:color="auto"/>
            <w:left w:val="none" w:sz="0" w:space="0" w:color="auto"/>
            <w:bottom w:val="none" w:sz="0" w:space="0" w:color="auto"/>
            <w:right w:val="none" w:sz="0" w:space="0" w:color="auto"/>
          </w:divBdr>
        </w:div>
        <w:div w:id="571158826">
          <w:marLeft w:val="0"/>
          <w:marRight w:val="0"/>
          <w:marTop w:val="0"/>
          <w:marBottom w:val="0"/>
          <w:divBdr>
            <w:top w:val="none" w:sz="0" w:space="0" w:color="auto"/>
            <w:left w:val="none" w:sz="0" w:space="0" w:color="auto"/>
            <w:bottom w:val="none" w:sz="0" w:space="0" w:color="auto"/>
            <w:right w:val="none" w:sz="0" w:space="0" w:color="auto"/>
          </w:divBdr>
        </w:div>
        <w:div w:id="734858534">
          <w:marLeft w:val="0"/>
          <w:marRight w:val="0"/>
          <w:marTop w:val="0"/>
          <w:marBottom w:val="0"/>
          <w:divBdr>
            <w:top w:val="none" w:sz="0" w:space="0" w:color="auto"/>
            <w:left w:val="none" w:sz="0" w:space="0" w:color="auto"/>
            <w:bottom w:val="none" w:sz="0" w:space="0" w:color="auto"/>
            <w:right w:val="none" w:sz="0" w:space="0" w:color="auto"/>
          </w:divBdr>
        </w:div>
        <w:div w:id="852917297">
          <w:marLeft w:val="0"/>
          <w:marRight w:val="0"/>
          <w:marTop w:val="0"/>
          <w:marBottom w:val="0"/>
          <w:divBdr>
            <w:top w:val="none" w:sz="0" w:space="0" w:color="auto"/>
            <w:left w:val="none" w:sz="0" w:space="0" w:color="auto"/>
            <w:bottom w:val="none" w:sz="0" w:space="0" w:color="auto"/>
            <w:right w:val="none" w:sz="0" w:space="0" w:color="auto"/>
          </w:divBdr>
        </w:div>
        <w:div w:id="885220769">
          <w:marLeft w:val="0"/>
          <w:marRight w:val="0"/>
          <w:marTop w:val="0"/>
          <w:marBottom w:val="0"/>
          <w:divBdr>
            <w:top w:val="none" w:sz="0" w:space="0" w:color="auto"/>
            <w:left w:val="none" w:sz="0" w:space="0" w:color="auto"/>
            <w:bottom w:val="none" w:sz="0" w:space="0" w:color="auto"/>
            <w:right w:val="none" w:sz="0" w:space="0" w:color="auto"/>
          </w:divBdr>
        </w:div>
        <w:div w:id="921719138">
          <w:marLeft w:val="0"/>
          <w:marRight w:val="0"/>
          <w:marTop w:val="0"/>
          <w:marBottom w:val="0"/>
          <w:divBdr>
            <w:top w:val="none" w:sz="0" w:space="0" w:color="auto"/>
            <w:left w:val="none" w:sz="0" w:space="0" w:color="auto"/>
            <w:bottom w:val="none" w:sz="0" w:space="0" w:color="auto"/>
            <w:right w:val="none" w:sz="0" w:space="0" w:color="auto"/>
          </w:divBdr>
        </w:div>
        <w:div w:id="1124808185">
          <w:marLeft w:val="0"/>
          <w:marRight w:val="0"/>
          <w:marTop w:val="0"/>
          <w:marBottom w:val="0"/>
          <w:divBdr>
            <w:top w:val="none" w:sz="0" w:space="0" w:color="auto"/>
            <w:left w:val="none" w:sz="0" w:space="0" w:color="auto"/>
            <w:bottom w:val="none" w:sz="0" w:space="0" w:color="auto"/>
            <w:right w:val="none" w:sz="0" w:space="0" w:color="auto"/>
          </w:divBdr>
        </w:div>
        <w:div w:id="1298149345">
          <w:marLeft w:val="0"/>
          <w:marRight w:val="0"/>
          <w:marTop w:val="0"/>
          <w:marBottom w:val="0"/>
          <w:divBdr>
            <w:top w:val="none" w:sz="0" w:space="0" w:color="auto"/>
            <w:left w:val="none" w:sz="0" w:space="0" w:color="auto"/>
            <w:bottom w:val="none" w:sz="0" w:space="0" w:color="auto"/>
            <w:right w:val="none" w:sz="0" w:space="0" w:color="auto"/>
          </w:divBdr>
        </w:div>
        <w:div w:id="1319269194">
          <w:marLeft w:val="0"/>
          <w:marRight w:val="0"/>
          <w:marTop w:val="0"/>
          <w:marBottom w:val="0"/>
          <w:divBdr>
            <w:top w:val="none" w:sz="0" w:space="0" w:color="auto"/>
            <w:left w:val="none" w:sz="0" w:space="0" w:color="auto"/>
            <w:bottom w:val="none" w:sz="0" w:space="0" w:color="auto"/>
            <w:right w:val="none" w:sz="0" w:space="0" w:color="auto"/>
          </w:divBdr>
        </w:div>
        <w:div w:id="1368215720">
          <w:marLeft w:val="0"/>
          <w:marRight w:val="0"/>
          <w:marTop w:val="0"/>
          <w:marBottom w:val="0"/>
          <w:divBdr>
            <w:top w:val="none" w:sz="0" w:space="0" w:color="auto"/>
            <w:left w:val="none" w:sz="0" w:space="0" w:color="auto"/>
            <w:bottom w:val="none" w:sz="0" w:space="0" w:color="auto"/>
            <w:right w:val="none" w:sz="0" w:space="0" w:color="auto"/>
          </w:divBdr>
        </w:div>
        <w:div w:id="1411851049">
          <w:marLeft w:val="0"/>
          <w:marRight w:val="0"/>
          <w:marTop w:val="0"/>
          <w:marBottom w:val="0"/>
          <w:divBdr>
            <w:top w:val="none" w:sz="0" w:space="0" w:color="auto"/>
            <w:left w:val="none" w:sz="0" w:space="0" w:color="auto"/>
            <w:bottom w:val="none" w:sz="0" w:space="0" w:color="auto"/>
            <w:right w:val="none" w:sz="0" w:space="0" w:color="auto"/>
          </w:divBdr>
        </w:div>
        <w:div w:id="1519932120">
          <w:marLeft w:val="0"/>
          <w:marRight w:val="0"/>
          <w:marTop w:val="0"/>
          <w:marBottom w:val="0"/>
          <w:divBdr>
            <w:top w:val="none" w:sz="0" w:space="0" w:color="auto"/>
            <w:left w:val="none" w:sz="0" w:space="0" w:color="auto"/>
            <w:bottom w:val="none" w:sz="0" w:space="0" w:color="auto"/>
            <w:right w:val="none" w:sz="0" w:space="0" w:color="auto"/>
          </w:divBdr>
        </w:div>
        <w:div w:id="1557472255">
          <w:marLeft w:val="0"/>
          <w:marRight w:val="0"/>
          <w:marTop w:val="0"/>
          <w:marBottom w:val="0"/>
          <w:divBdr>
            <w:top w:val="none" w:sz="0" w:space="0" w:color="auto"/>
            <w:left w:val="none" w:sz="0" w:space="0" w:color="auto"/>
            <w:bottom w:val="none" w:sz="0" w:space="0" w:color="auto"/>
            <w:right w:val="none" w:sz="0" w:space="0" w:color="auto"/>
          </w:divBdr>
        </w:div>
        <w:div w:id="1582105048">
          <w:marLeft w:val="0"/>
          <w:marRight w:val="0"/>
          <w:marTop w:val="0"/>
          <w:marBottom w:val="0"/>
          <w:divBdr>
            <w:top w:val="none" w:sz="0" w:space="0" w:color="auto"/>
            <w:left w:val="none" w:sz="0" w:space="0" w:color="auto"/>
            <w:bottom w:val="none" w:sz="0" w:space="0" w:color="auto"/>
            <w:right w:val="none" w:sz="0" w:space="0" w:color="auto"/>
          </w:divBdr>
        </w:div>
        <w:div w:id="1710063345">
          <w:marLeft w:val="0"/>
          <w:marRight w:val="0"/>
          <w:marTop w:val="0"/>
          <w:marBottom w:val="0"/>
          <w:divBdr>
            <w:top w:val="none" w:sz="0" w:space="0" w:color="auto"/>
            <w:left w:val="none" w:sz="0" w:space="0" w:color="auto"/>
            <w:bottom w:val="none" w:sz="0" w:space="0" w:color="auto"/>
            <w:right w:val="none" w:sz="0" w:space="0" w:color="auto"/>
          </w:divBdr>
        </w:div>
        <w:div w:id="1752772614">
          <w:marLeft w:val="0"/>
          <w:marRight w:val="0"/>
          <w:marTop w:val="0"/>
          <w:marBottom w:val="0"/>
          <w:divBdr>
            <w:top w:val="none" w:sz="0" w:space="0" w:color="auto"/>
            <w:left w:val="none" w:sz="0" w:space="0" w:color="auto"/>
            <w:bottom w:val="none" w:sz="0" w:space="0" w:color="auto"/>
            <w:right w:val="none" w:sz="0" w:space="0" w:color="auto"/>
          </w:divBdr>
        </w:div>
        <w:div w:id="1813214408">
          <w:marLeft w:val="0"/>
          <w:marRight w:val="0"/>
          <w:marTop w:val="0"/>
          <w:marBottom w:val="0"/>
          <w:divBdr>
            <w:top w:val="none" w:sz="0" w:space="0" w:color="auto"/>
            <w:left w:val="none" w:sz="0" w:space="0" w:color="auto"/>
            <w:bottom w:val="none" w:sz="0" w:space="0" w:color="auto"/>
            <w:right w:val="none" w:sz="0" w:space="0" w:color="auto"/>
          </w:divBdr>
        </w:div>
        <w:div w:id="1819223066">
          <w:marLeft w:val="0"/>
          <w:marRight w:val="0"/>
          <w:marTop w:val="0"/>
          <w:marBottom w:val="0"/>
          <w:divBdr>
            <w:top w:val="none" w:sz="0" w:space="0" w:color="auto"/>
            <w:left w:val="none" w:sz="0" w:space="0" w:color="auto"/>
            <w:bottom w:val="none" w:sz="0" w:space="0" w:color="auto"/>
            <w:right w:val="none" w:sz="0" w:space="0" w:color="auto"/>
          </w:divBdr>
        </w:div>
        <w:div w:id="1850943744">
          <w:marLeft w:val="0"/>
          <w:marRight w:val="0"/>
          <w:marTop w:val="0"/>
          <w:marBottom w:val="0"/>
          <w:divBdr>
            <w:top w:val="none" w:sz="0" w:space="0" w:color="auto"/>
            <w:left w:val="none" w:sz="0" w:space="0" w:color="auto"/>
            <w:bottom w:val="none" w:sz="0" w:space="0" w:color="auto"/>
            <w:right w:val="none" w:sz="0" w:space="0" w:color="auto"/>
          </w:divBdr>
        </w:div>
        <w:div w:id="1886482137">
          <w:marLeft w:val="0"/>
          <w:marRight w:val="0"/>
          <w:marTop w:val="0"/>
          <w:marBottom w:val="0"/>
          <w:divBdr>
            <w:top w:val="none" w:sz="0" w:space="0" w:color="auto"/>
            <w:left w:val="none" w:sz="0" w:space="0" w:color="auto"/>
            <w:bottom w:val="none" w:sz="0" w:space="0" w:color="auto"/>
            <w:right w:val="none" w:sz="0" w:space="0" w:color="auto"/>
          </w:divBdr>
        </w:div>
        <w:div w:id="1978029152">
          <w:marLeft w:val="0"/>
          <w:marRight w:val="0"/>
          <w:marTop w:val="0"/>
          <w:marBottom w:val="0"/>
          <w:divBdr>
            <w:top w:val="none" w:sz="0" w:space="0" w:color="auto"/>
            <w:left w:val="none" w:sz="0" w:space="0" w:color="auto"/>
            <w:bottom w:val="none" w:sz="0" w:space="0" w:color="auto"/>
            <w:right w:val="none" w:sz="0" w:space="0" w:color="auto"/>
          </w:divBdr>
        </w:div>
        <w:div w:id="2045397593">
          <w:marLeft w:val="0"/>
          <w:marRight w:val="0"/>
          <w:marTop w:val="0"/>
          <w:marBottom w:val="0"/>
          <w:divBdr>
            <w:top w:val="none" w:sz="0" w:space="0" w:color="auto"/>
            <w:left w:val="none" w:sz="0" w:space="0" w:color="auto"/>
            <w:bottom w:val="none" w:sz="0" w:space="0" w:color="auto"/>
            <w:right w:val="none" w:sz="0" w:space="0" w:color="auto"/>
          </w:divBdr>
        </w:div>
      </w:divsChild>
    </w:div>
    <w:div w:id="148258125">
      <w:bodyDiv w:val="1"/>
      <w:marLeft w:val="0"/>
      <w:marRight w:val="0"/>
      <w:marTop w:val="0"/>
      <w:marBottom w:val="0"/>
      <w:divBdr>
        <w:top w:val="none" w:sz="0" w:space="0" w:color="auto"/>
        <w:left w:val="none" w:sz="0" w:space="0" w:color="auto"/>
        <w:bottom w:val="none" w:sz="0" w:space="0" w:color="auto"/>
        <w:right w:val="none" w:sz="0" w:space="0" w:color="auto"/>
      </w:divBdr>
    </w:div>
    <w:div w:id="148644808">
      <w:bodyDiv w:val="1"/>
      <w:marLeft w:val="0"/>
      <w:marRight w:val="0"/>
      <w:marTop w:val="0"/>
      <w:marBottom w:val="0"/>
      <w:divBdr>
        <w:top w:val="none" w:sz="0" w:space="0" w:color="auto"/>
        <w:left w:val="none" w:sz="0" w:space="0" w:color="auto"/>
        <w:bottom w:val="none" w:sz="0" w:space="0" w:color="auto"/>
        <w:right w:val="none" w:sz="0" w:space="0" w:color="auto"/>
      </w:divBdr>
    </w:div>
    <w:div w:id="507446586">
      <w:bodyDiv w:val="1"/>
      <w:marLeft w:val="0"/>
      <w:marRight w:val="0"/>
      <w:marTop w:val="0"/>
      <w:marBottom w:val="0"/>
      <w:divBdr>
        <w:top w:val="none" w:sz="0" w:space="0" w:color="auto"/>
        <w:left w:val="none" w:sz="0" w:space="0" w:color="auto"/>
        <w:bottom w:val="none" w:sz="0" w:space="0" w:color="auto"/>
        <w:right w:val="none" w:sz="0" w:space="0" w:color="auto"/>
      </w:divBdr>
    </w:div>
    <w:div w:id="556091595">
      <w:bodyDiv w:val="1"/>
      <w:marLeft w:val="0"/>
      <w:marRight w:val="0"/>
      <w:marTop w:val="0"/>
      <w:marBottom w:val="0"/>
      <w:divBdr>
        <w:top w:val="none" w:sz="0" w:space="0" w:color="auto"/>
        <w:left w:val="none" w:sz="0" w:space="0" w:color="auto"/>
        <w:bottom w:val="none" w:sz="0" w:space="0" w:color="auto"/>
        <w:right w:val="none" w:sz="0" w:space="0" w:color="auto"/>
      </w:divBdr>
    </w:div>
    <w:div w:id="569192947">
      <w:bodyDiv w:val="1"/>
      <w:marLeft w:val="0"/>
      <w:marRight w:val="0"/>
      <w:marTop w:val="0"/>
      <w:marBottom w:val="0"/>
      <w:divBdr>
        <w:top w:val="none" w:sz="0" w:space="0" w:color="auto"/>
        <w:left w:val="none" w:sz="0" w:space="0" w:color="auto"/>
        <w:bottom w:val="none" w:sz="0" w:space="0" w:color="auto"/>
        <w:right w:val="none" w:sz="0" w:space="0" w:color="auto"/>
      </w:divBdr>
    </w:div>
    <w:div w:id="617833075">
      <w:bodyDiv w:val="1"/>
      <w:marLeft w:val="0"/>
      <w:marRight w:val="0"/>
      <w:marTop w:val="0"/>
      <w:marBottom w:val="0"/>
      <w:divBdr>
        <w:top w:val="none" w:sz="0" w:space="0" w:color="auto"/>
        <w:left w:val="none" w:sz="0" w:space="0" w:color="auto"/>
        <w:bottom w:val="none" w:sz="0" w:space="0" w:color="auto"/>
        <w:right w:val="none" w:sz="0" w:space="0" w:color="auto"/>
      </w:divBdr>
    </w:div>
    <w:div w:id="799149858">
      <w:bodyDiv w:val="1"/>
      <w:marLeft w:val="0"/>
      <w:marRight w:val="0"/>
      <w:marTop w:val="0"/>
      <w:marBottom w:val="0"/>
      <w:divBdr>
        <w:top w:val="none" w:sz="0" w:space="0" w:color="auto"/>
        <w:left w:val="none" w:sz="0" w:space="0" w:color="auto"/>
        <w:bottom w:val="none" w:sz="0" w:space="0" w:color="auto"/>
        <w:right w:val="none" w:sz="0" w:space="0" w:color="auto"/>
      </w:divBdr>
    </w:div>
    <w:div w:id="846596447">
      <w:bodyDiv w:val="1"/>
      <w:marLeft w:val="0"/>
      <w:marRight w:val="0"/>
      <w:marTop w:val="0"/>
      <w:marBottom w:val="0"/>
      <w:divBdr>
        <w:top w:val="none" w:sz="0" w:space="0" w:color="auto"/>
        <w:left w:val="none" w:sz="0" w:space="0" w:color="auto"/>
        <w:bottom w:val="none" w:sz="0" w:space="0" w:color="auto"/>
        <w:right w:val="none" w:sz="0" w:space="0" w:color="auto"/>
      </w:divBdr>
    </w:div>
    <w:div w:id="1491678343">
      <w:bodyDiv w:val="1"/>
      <w:marLeft w:val="60"/>
      <w:marRight w:val="60"/>
      <w:marTop w:val="60"/>
      <w:marBottom w:val="15"/>
      <w:divBdr>
        <w:top w:val="none" w:sz="0" w:space="0" w:color="auto"/>
        <w:left w:val="none" w:sz="0" w:space="0" w:color="auto"/>
        <w:bottom w:val="none" w:sz="0" w:space="0" w:color="auto"/>
        <w:right w:val="none" w:sz="0" w:space="0" w:color="auto"/>
      </w:divBdr>
      <w:divsChild>
        <w:div w:id="6180454">
          <w:marLeft w:val="0"/>
          <w:marRight w:val="0"/>
          <w:marTop w:val="0"/>
          <w:marBottom w:val="0"/>
          <w:divBdr>
            <w:top w:val="none" w:sz="0" w:space="0" w:color="auto"/>
            <w:left w:val="none" w:sz="0" w:space="0" w:color="auto"/>
            <w:bottom w:val="none" w:sz="0" w:space="0" w:color="auto"/>
            <w:right w:val="none" w:sz="0" w:space="0" w:color="auto"/>
          </w:divBdr>
        </w:div>
        <w:div w:id="48652241">
          <w:marLeft w:val="0"/>
          <w:marRight w:val="0"/>
          <w:marTop w:val="0"/>
          <w:marBottom w:val="0"/>
          <w:divBdr>
            <w:top w:val="none" w:sz="0" w:space="0" w:color="auto"/>
            <w:left w:val="none" w:sz="0" w:space="0" w:color="auto"/>
            <w:bottom w:val="none" w:sz="0" w:space="0" w:color="auto"/>
            <w:right w:val="none" w:sz="0" w:space="0" w:color="auto"/>
          </w:divBdr>
        </w:div>
        <w:div w:id="75983683">
          <w:marLeft w:val="0"/>
          <w:marRight w:val="0"/>
          <w:marTop w:val="0"/>
          <w:marBottom w:val="0"/>
          <w:divBdr>
            <w:top w:val="none" w:sz="0" w:space="0" w:color="auto"/>
            <w:left w:val="none" w:sz="0" w:space="0" w:color="auto"/>
            <w:bottom w:val="none" w:sz="0" w:space="0" w:color="auto"/>
            <w:right w:val="none" w:sz="0" w:space="0" w:color="auto"/>
          </w:divBdr>
        </w:div>
        <w:div w:id="264308144">
          <w:marLeft w:val="0"/>
          <w:marRight w:val="0"/>
          <w:marTop w:val="0"/>
          <w:marBottom w:val="0"/>
          <w:divBdr>
            <w:top w:val="none" w:sz="0" w:space="0" w:color="auto"/>
            <w:left w:val="none" w:sz="0" w:space="0" w:color="auto"/>
            <w:bottom w:val="none" w:sz="0" w:space="0" w:color="auto"/>
            <w:right w:val="none" w:sz="0" w:space="0" w:color="auto"/>
          </w:divBdr>
        </w:div>
        <w:div w:id="320622269">
          <w:marLeft w:val="0"/>
          <w:marRight w:val="0"/>
          <w:marTop w:val="0"/>
          <w:marBottom w:val="0"/>
          <w:divBdr>
            <w:top w:val="none" w:sz="0" w:space="0" w:color="auto"/>
            <w:left w:val="none" w:sz="0" w:space="0" w:color="auto"/>
            <w:bottom w:val="none" w:sz="0" w:space="0" w:color="auto"/>
            <w:right w:val="none" w:sz="0" w:space="0" w:color="auto"/>
          </w:divBdr>
        </w:div>
        <w:div w:id="379676130">
          <w:marLeft w:val="0"/>
          <w:marRight w:val="0"/>
          <w:marTop w:val="0"/>
          <w:marBottom w:val="0"/>
          <w:divBdr>
            <w:top w:val="none" w:sz="0" w:space="0" w:color="auto"/>
            <w:left w:val="none" w:sz="0" w:space="0" w:color="auto"/>
            <w:bottom w:val="none" w:sz="0" w:space="0" w:color="auto"/>
            <w:right w:val="none" w:sz="0" w:space="0" w:color="auto"/>
          </w:divBdr>
        </w:div>
        <w:div w:id="433013661">
          <w:marLeft w:val="0"/>
          <w:marRight w:val="0"/>
          <w:marTop w:val="0"/>
          <w:marBottom w:val="0"/>
          <w:divBdr>
            <w:top w:val="none" w:sz="0" w:space="0" w:color="auto"/>
            <w:left w:val="none" w:sz="0" w:space="0" w:color="auto"/>
            <w:bottom w:val="none" w:sz="0" w:space="0" w:color="auto"/>
            <w:right w:val="none" w:sz="0" w:space="0" w:color="auto"/>
          </w:divBdr>
        </w:div>
        <w:div w:id="491798577">
          <w:marLeft w:val="0"/>
          <w:marRight w:val="0"/>
          <w:marTop w:val="0"/>
          <w:marBottom w:val="0"/>
          <w:divBdr>
            <w:top w:val="none" w:sz="0" w:space="0" w:color="auto"/>
            <w:left w:val="none" w:sz="0" w:space="0" w:color="auto"/>
            <w:bottom w:val="none" w:sz="0" w:space="0" w:color="auto"/>
            <w:right w:val="none" w:sz="0" w:space="0" w:color="auto"/>
          </w:divBdr>
        </w:div>
        <w:div w:id="533082959">
          <w:marLeft w:val="0"/>
          <w:marRight w:val="0"/>
          <w:marTop w:val="0"/>
          <w:marBottom w:val="0"/>
          <w:divBdr>
            <w:top w:val="none" w:sz="0" w:space="0" w:color="auto"/>
            <w:left w:val="none" w:sz="0" w:space="0" w:color="auto"/>
            <w:bottom w:val="none" w:sz="0" w:space="0" w:color="auto"/>
            <w:right w:val="none" w:sz="0" w:space="0" w:color="auto"/>
          </w:divBdr>
        </w:div>
        <w:div w:id="549615924">
          <w:marLeft w:val="0"/>
          <w:marRight w:val="0"/>
          <w:marTop w:val="0"/>
          <w:marBottom w:val="0"/>
          <w:divBdr>
            <w:top w:val="none" w:sz="0" w:space="0" w:color="auto"/>
            <w:left w:val="none" w:sz="0" w:space="0" w:color="auto"/>
            <w:bottom w:val="none" w:sz="0" w:space="0" w:color="auto"/>
            <w:right w:val="none" w:sz="0" w:space="0" w:color="auto"/>
          </w:divBdr>
        </w:div>
        <w:div w:id="693576273">
          <w:marLeft w:val="0"/>
          <w:marRight w:val="0"/>
          <w:marTop w:val="0"/>
          <w:marBottom w:val="0"/>
          <w:divBdr>
            <w:top w:val="none" w:sz="0" w:space="0" w:color="auto"/>
            <w:left w:val="none" w:sz="0" w:space="0" w:color="auto"/>
            <w:bottom w:val="none" w:sz="0" w:space="0" w:color="auto"/>
            <w:right w:val="none" w:sz="0" w:space="0" w:color="auto"/>
          </w:divBdr>
        </w:div>
        <w:div w:id="733507878">
          <w:marLeft w:val="0"/>
          <w:marRight w:val="0"/>
          <w:marTop w:val="0"/>
          <w:marBottom w:val="0"/>
          <w:divBdr>
            <w:top w:val="none" w:sz="0" w:space="0" w:color="auto"/>
            <w:left w:val="none" w:sz="0" w:space="0" w:color="auto"/>
            <w:bottom w:val="none" w:sz="0" w:space="0" w:color="auto"/>
            <w:right w:val="none" w:sz="0" w:space="0" w:color="auto"/>
          </w:divBdr>
        </w:div>
        <w:div w:id="738329561">
          <w:marLeft w:val="0"/>
          <w:marRight w:val="0"/>
          <w:marTop w:val="0"/>
          <w:marBottom w:val="0"/>
          <w:divBdr>
            <w:top w:val="none" w:sz="0" w:space="0" w:color="auto"/>
            <w:left w:val="none" w:sz="0" w:space="0" w:color="auto"/>
            <w:bottom w:val="none" w:sz="0" w:space="0" w:color="auto"/>
            <w:right w:val="none" w:sz="0" w:space="0" w:color="auto"/>
          </w:divBdr>
        </w:div>
        <w:div w:id="766539687">
          <w:marLeft w:val="0"/>
          <w:marRight w:val="0"/>
          <w:marTop w:val="0"/>
          <w:marBottom w:val="0"/>
          <w:divBdr>
            <w:top w:val="none" w:sz="0" w:space="0" w:color="auto"/>
            <w:left w:val="none" w:sz="0" w:space="0" w:color="auto"/>
            <w:bottom w:val="none" w:sz="0" w:space="0" w:color="auto"/>
            <w:right w:val="none" w:sz="0" w:space="0" w:color="auto"/>
          </w:divBdr>
        </w:div>
        <w:div w:id="814761948">
          <w:marLeft w:val="0"/>
          <w:marRight w:val="0"/>
          <w:marTop w:val="0"/>
          <w:marBottom w:val="0"/>
          <w:divBdr>
            <w:top w:val="none" w:sz="0" w:space="0" w:color="auto"/>
            <w:left w:val="none" w:sz="0" w:space="0" w:color="auto"/>
            <w:bottom w:val="none" w:sz="0" w:space="0" w:color="auto"/>
            <w:right w:val="none" w:sz="0" w:space="0" w:color="auto"/>
          </w:divBdr>
        </w:div>
        <w:div w:id="897323485">
          <w:marLeft w:val="0"/>
          <w:marRight w:val="0"/>
          <w:marTop w:val="0"/>
          <w:marBottom w:val="0"/>
          <w:divBdr>
            <w:top w:val="none" w:sz="0" w:space="0" w:color="auto"/>
            <w:left w:val="none" w:sz="0" w:space="0" w:color="auto"/>
            <w:bottom w:val="none" w:sz="0" w:space="0" w:color="auto"/>
            <w:right w:val="none" w:sz="0" w:space="0" w:color="auto"/>
          </w:divBdr>
        </w:div>
        <w:div w:id="956451479">
          <w:marLeft w:val="0"/>
          <w:marRight w:val="0"/>
          <w:marTop w:val="0"/>
          <w:marBottom w:val="0"/>
          <w:divBdr>
            <w:top w:val="none" w:sz="0" w:space="0" w:color="auto"/>
            <w:left w:val="none" w:sz="0" w:space="0" w:color="auto"/>
            <w:bottom w:val="none" w:sz="0" w:space="0" w:color="auto"/>
            <w:right w:val="none" w:sz="0" w:space="0" w:color="auto"/>
          </w:divBdr>
        </w:div>
        <w:div w:id="1027292865">
          <w:marLeft w:val="0"/>
          <w:marRight w:val="0"/>
          <w:marTop w:val="0"/>
          <w:marBottom w:val="0"/>
          <w:divBdr>
            <w:top w:val="none" w:sz="0" w:space="0" w:color="auto"/>
            <w:left w:val="none" w:sz="0" w:space="0" w:color="auto"/>
            <w:bottom w:val="none" w:sz="0" w:space="0" w:color="auto"/>
            <w:right w:val="none" w:sz="0" w:space="0" w:color="auto"/>
          </w:divBdr>
        </w:div>
        <w:div w:id="1049381007">
          <w:marLeft w:val="0"/>
          <w:marRight w:val="0"/>
          <w:marTop w:val="0"/>
          <w:marBottom w:val="0"/>
          <w:divBdr>
            <w:top w:val="none" w:sz="0" w:space="0" w:color="auto"/>
            <w:left w:val="none" w:sz="0" w:space="0" w:color="auto"/>
            <w:bottom w:val="none" w:sz="0" w:space="0" w:color="auto"/>
            <w:right w:val="none" w:sz="0" w:space="0" w:color="auto"/>
          </w:divBdr>
        </w:div>
        <w:div w:id="1226143700">
          <w:marLeft w:val="0"/>
          <w:marRight w:val="0"/>
          <w:marTop w:val="0"/>
          <w:marBottom w:val="0"/>
          <w:divBdr>
            <w:top w:val="none" w:sz="0" w:space="0" w:color="auto"/>
            <w:left w:val="none" w:sz="0" w:space="0" w:color="auto"/>
            <w:bottom w:val="none" w:sz="0" w:space="0" w:color="auto"/>
            <w:right w:val="none" w:sz="0" w:space="0" w:color="auto"/>
          </w:divBdr>
        </w:div>
        <w:div w:id="1273366763">
          <w:marLeft w:val="0"/>
          <w:marRight w:val="0"/>
          <w:marTop w:val="0"/>
          <w:marBottom w:val="0"/>
          <w:divBdr>
            <w:top w:val="none" w:sz="0" w:space="0" w:color="auto"/>
            <w:left w:val="none" w:sz="0" w:space="0" w:color="auto"/>
            <w:bottom w:val="none" w:sz="0" w:space="0" w:color="auto"/>
            <w:right w:val="none" w:sz="0" w:space="0" w:color="auto"/>
          </w:divBdr>
        </w:div>
        <w:div w:id="1293752070">
          <w:marLeft w:val="0"/>
          <w:marRight w:val="0"/>
          <w:marTop w:val="0"/>
          <w:marBottom w:val="0"/>
          <w:divBdr>
            <w:top w:val="none" w:sz="0" w:space="0" w:color="auto"/>
            <w:left w:val="none" w:sz="0" w:space="0" w:color="auto"/>
            <w:bottom w:val="none" w:sz="0" w:space="0" w:color="auto"/>
            <w:right w:val="none" w:sz="0" w:space="0" w:color="auto"/>
          </w:divBdr>
        </w:div>
        <w:div w:id="1295713079">
          <w:marLeft w:val="0"/>
          <w:marRight w:val="0"/>
          <w:marTop w:val="0"/>
          <w:marBottom w:val="0"/>
          <w:divBdr>
            <w:top w:val="none" w:sz="0" w:space="0" w:color="auto"/>
            <w:left w:val="none" w:sz="0" w:space="0" w:color="auto"/>
            <w:bottom w:val="none" w:sz="0" w:space="0" w:color="auto"/>
            <w:right w:val="none" w:sz="0" w:space="0" w:color="auto"/>
          </w:divBdr>
        </w:div>
        <w:div w:id="1302806349">
          <w:marLeft w:val="0"/>
          <w:marRight w:val="0"/>
          <w:marTop w:val="0"/>
          <w:marBottom w:val="0"/>
          <w:divBdr>
            <w:top w:val="none" w:sz="0" w:space="0" w:color="auto"/>
            <w:left w:val="none" w:sz="0" w:space="0" w:color="auto"/>
            <w:bottom w:val="none" w:sz="0" w:space="0" w:color="auto"/>
            <w:right w:val="none" w:sz="0" w:space="0" w:color="auto"/>
          </w:divBdr>
        </w:div>
        <w:div w:id="1509902587">
          <w:marLeft w:val="0"/>
          <w:marRight w:val="0"/>
          <w:marTop w:val="0"/>
          <w:marBottom w:val="0"/>
          <w:divBdr>
            <w:top w:val="none" w:sz="0" w:space="0" w:color="auto"/>
            <w:left w:val="none" w:sz="0" w:space="0" w:color="auto"/>
            <w:bottom w:val="none" w:sz="0" w:space="0" w:color="auto"/>
            <w:right w:val="none" w:sz="0" w:space="0" w:color="auto"/>
          </w:divBdr>
        </w:div>
        <w:div w:id="1553730171">
          <w:marLeft w:val="0"/>
          <w:marRight w:val="0"/>
          <w:marTop w:val="0"/>
          <w:marBottom w:val="0"/>
          <w:divBdr>
            <w:top w:val="none" w:sz="0" w:space="0" w:color="auto"/>
            <w:left w:val="none" w:sz="0" w:space="0" w:color="auto"/>
            <w:bottom w:val="none" w:sz="0" w:space="0" w:color="auto"/>
            <w:right w:val="none" w:sz="0" w:space="0" w:color="auto"/>
          </w:divBdr>
        </w:div>
        <w:div w:id="1627736823">
          <w:marLeft w:val="0"/>
          <w:marRight w:val="0"/>
          <w:marTop w:val="0"/>
          <w:marBottom w:val="0"/>
          <w:divBdr>
            <w:top w:val="none" w:sz="0" w:space="0" w:color="auto"/>
            <w:left w:val="none" w:sz="0" w:space="0" w:color="auto"/>
            <w:bottom w:val="none" w:sz="0" w:space="0" w:color="auto"/>
            <w:right w:val="none" w:sz="0" w:space="0" w:color="auto"/>
          </w:divBdr>
        </w:div>
        <w:div w:id="1653365614">
          <w:marLeft w:val="0"/>
          <w:marRight w:val="0"/>
          <w:marTop w:val="0"/>
          <w:marBottom w:val="0"/>
          <w:divBdr>
            <w:top w:val="none" w:sz="0" w:space="0" w:color="auto"/>
            <w:left w:val="none" w:sz="0" w:space="0" w:color="auto"/>
            <w:bottom w:val="none" w:sz="0" w:space="0" w:color="auto"/>
            <w:right w:val="none" w:sz="0" w:space="0" w:color="auto"/>
          </w:divBdr>
        </w:div>
        <w:div w:id="1741712463">
          <w:marLeft w:val="0"/>
          <w:marRight w:val="0"/>
          <w:marTop w:val="0"/>
          <w:marBottom w:val="0"/>
          <w:divBdr>
            <w:top w:val="none" w:sz="0" w:space="0" w:color="auto"/>
            <w:left w:val="none" w:sz="0" w:space="0" w:color="auto"/>
            <w:bottom w:val="none" w:sz="0" w:space="0" w:color="auto"/>
            <w:right w:val="none" w:sz="0" w:space="0" w:color="auto"/>
          </w:divBdr>
        </w:div>
        <w:div w:id="1887374909">
          <w:marLeft w:val="0"/>
          <w:marRight w:val="0"/>
          <w:marTop w:val="0"/>
          <w:marBottom w:val="0"/>
          <w:divBdr>
            <w:top w:val="none" w:sz="0" w:space="0" w:color="auto"/>
            <w:left w:val="none" w:sz="0" w:space="0" w:color="auto"/>
            <w:bottom w:val="none" w:sz="0" w:space="0" w:color="auto"/>
            <w:right w:val="none" w:sz="0" w:space="0" w:color="auto"/>
          </w:divBdr>
        </w:div>
        <w:div w:id="1951157452">
          <w:marLeft w:val="0"/>
          <w:marRight w:val="0"/>
          <w:marTop w:val="0"/>
          <w:marBottom w:val="0"/>
          <w:divBdr>
            <w:top w:val="none" w:sz="0" w:space="0" w:color="auto"/>
            <w:left w:val="none" w:sz="0" w:space="0" w:color="auto"/>
            <w:bottom w:val="none" w:sz="0" w:space="0" w:color="auto"/>
            <w:right w:val="none" w:sz="0" w:space="0" w:color="auto"/>
          </w:divBdr>
        </w:div>
        <w:div w:id="2075657967">
          <w:marLeft w:val="0"/>
          <w:marRight w:val="0"/>
          <w:marTop w:val="0"/>
          <w:marBottom w:val="0"/>
          <w:divBdr>
            <w:top w:val="none" w:sz="0" w:space="0" w:color="auto"/>
            <w:left w:val="none" w:sz="0" w:space="0" w:color="auto"/>
            <w:bottom w:val="none" w:sz="0" w:space="0" w:color="auto"/>
            <w:right w:val="none" w:sz="0" w:space="0" w:color="auto"/>
          </w:divBdr>
        </w:div>
        <w:div w:id="2090153335">
          <w:marLeft w:val="0"/>
          <w:marRight w:val="0"/>
          <w:marTop w:val="0"/>
          <w:marBottom w:val="0"/>
          <w:divBdr>
            <w:top w:val="none" w:sz="0" w:space="0" w:color="auto"/>
            <w:left w:val="none" w:sz="0" w:space="0" w:color="auto"/>
            <w:bottom w:val="none" w:sz="0" w:space="0" w:color="auto"/>
            <w:right w:val="none" w:sz="0" w:space="0" w:color="auto"/>
          </w:divBdr>
        </w:div>
        <w:div w:id="2134706714">
          <w:marLeft w:val="0"/>
          <w:marRight w:val="0"/>
          <w:marTop w:val="0"/>
          <w:marBottom w:val="0"/>
          <w:divBdr>
            <w:top w:val="none" w:sz="0" w:space="0" w:color="auto"/>
            <w:left w:val="none" w:sz="0" w:space="0" w:color="auto"/>
            <w:bottom w:val="none" w:sz="0" w:space="0" w:color="auto"/>
            <w:right w:val="none" w:sz="0" w:space="0" w:color="auto"/>
          </w:divBdr>
        </w:div>
      </w:divsChild>
    </w:div>
    <w:div w:id="1580869024">
      <w:bodyDiv w:val="1"/>
      <w:marLeft w:val="0"/>
      <w:marRight w:val="0"/>
      <w:marTop w:val="0"/>
      <w:marBottom w:val="0"/>
      <w:divBdr>
        <w:top w:val="none" w:sz="0" w:space="0" w:color="auto"/>
        <w:left w:val="none" w:sz="0" w:space="0" w:color="auto"/>
        <w:bottom w:val="none" w:sz="0" w:space="0" w:color="auto"/>
        <w:right w:val="none" w:sz="0" w:space="0" w:color="auto"/>
      </w:divBdr>
    </w:div>
    <w:div w:id="1581252783">
      <w:bodyDiv w:val="1"/>
      <w:marLeft w:val="0"/>
      <w:marRight w:val="0"/>
      <w:marTop w:val="0"/>
      <w:marBottom w:val="0"/>
      <w:divBdr>
        <w:top w:val="none" w:sz="0" w:space="0" w:color="auto"/>
        <w:left w:val="none" w:sz="0" w:space="0" w:color="auto"/>
        <w:bottom w:val="none" w:sz="0" w:space="0" w:color="auto"/>
        <w:right w:val="none" w:sz="0" w:space="0" w:color="auto"/>
      </w:divBdr>
    </w:div>
    <w:div w:id="1588879076">
      <w:bodyDiv w:val="1"/>
      <w:marLeft w:val="0"/>
      <w:marRight w:val="0"/>
      <w:marTop w:val="0"/>
      <w:marBottom w:val="0"/>
      <w:divBdr>
        <w:top w:val="none" w:sz="0" w:space="0" w:color="auto"/>
        <w:left w:val="none" w:sz="0" w:space="0" w:color="auto"/>
        <w:bottom w:val="none" w:sz="0" w:space="0" w:color="auto"/>
        <w:right w:val="none" w:sz="0" w:space="0" w:color="auto"/>
      </w:divBdr>
    </w:div>
    <w:div w:id="1724938557">
      <w:bodyDiv w:val="1"/>
      <w:marLeft w:val="0"/>
      <w:marRight w:val="0"/>
      <w:marTop w:val="0"/>
      <w:marBottom w:val="0"/>
      <w:divBdr>
        <w:top w:val="none" w:sz="0" w:space="0" w:color="auto"/>
        <w:left w:val="none" w:sz="0" w:space="0" w:color="auto"/>
        <w:bottom w:val="none" w:sz="0" w:space="0" w:color="auto"/>
        <w:right w:val="none" w:sz="0" w:space="0" w:color="auto"/>
      </w:divBdr>
    </w:div>
    <w:div w:id="1728409520">
      <w:bodyDiv w:val="1"/>
      <w:marLeft w:val="0"/>
      <w:marRight w:val="0"/>
      <w:marTop w:val="0"/>
      <w:marBottom w:val="0"/>
      <w:divBdr>
        <w:top w:val="none" w:sz="0" w:space="0" w:color="auto"/>
        <w:left w:val="none" w:sz="0" w:space="0" w:color="auto"/>
        <w:bottom w:val="none" w:sz="0" w:space="0" w:color="auto"/>
        <w:right w:val="none" w:sz="0" w:space="0" w:color="auto"/>
      </w:divBdr>
    </w:div>
    <w:div w:id="19814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mn.gov/deed/data/export-sta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26627700383605896"/>
          <c:y val="0.13293328253323172"/>
          <c:w val="0.51445521232922808"/>
          <c:h val="0.80902230971128608"/>
        </c:manualLayout>
      </c:layout>
      <c:pieChart>
        <c:varyColors val="1"/>
        <c:ser>
          <c:idx val="0"/>
          <c:order val="0"/>
          <c:tx>
            <c:strRef>
              <c:f>Sheet1!$B$1</c:f>
              <c:strCache>
                <c:ptCount val="1"/>
                <c:pt idx="0">
                  <c:v>Exports, 2022-Q4</c:v>
                </c:pt>
              </c:strCache>
            </c:strRef>
          </c:tx>
          <c:spPr>
            <a:ln>
              <a:solidFill>
                <a:schemeClr val="tx1">
                  <a:lumMod val="75000"/>
                  <a:lumOff val="25000"/>
                </a:schemeClr>
              </a:solidFill>
            </a:ln>
          </c:spPr>
          <c:dPt>
            <c:idx val="0"/>
            <c:bubble3D val="0"/>
            <c:spPr>
              <a:solidFill>
                <a:schemeClr val="accent4">
                  <a:shade val="45000"/>
                </a:schemeClr>
              </a:solidFill>
              <a:ln>
                <a:solidFill>
                  <a:schemeClr val="tx1">
                    <a:lumMod val="75000"/>
                    <a:lumOff val="25000"/>
                  </a:schemeClr>
                </a:solidFill>
              </a:ln>
              <a:effectLst/>
            </c:spPr>
            <c:extLst>
              <c:ext xmlns:c16="http://schemas.microsoft.com/office/drawing/2014/chart" uri="{C3380CC4-5D6E-409C-BE32-E72D297353CC}">
                <c16:uniqueId val="{00000001-DEC3-414C-AA19-5CB577663378}"/>
              </c:ext>
            </c:extLst>
          </c:dPt>
          <c:dPt>
            <c:idx val="1"/>
            <c:bubble3D val="0"/>
            <c:spPr>
              <a:solidFill>
                <a:schemeClr val="accent4">
                  <a:shade val="61000"/>
                </a:schemeClr>
              </a:solidFill>
              <a:ln>
                <a:solidFill>
                  <a:schemeClr val="tx1">
                    <a:lumMod val="75000"/>
                    <a:lumOff val="25000"/>
                  </a:schemeClr>
                </a:solidFill>
              </a:ln>
              <a:effectLst/>
            </c:spPr>
            <c:extLst>
              <c:ext xmlns:c16="http://schemas.microsoft.com/office/drawing/2014/chart" uri="{C3380CC4-5D6E-409C-BE32-E72D297353CC}">
                <c16:uniqueId val="{00000003-DEC3-414C-AA19-5CB577663378}"/>
              </c:ext>
            </c:extLst>
          </c:dPt>
          <c:dPt>
            <c:idx val="2"/>
            <c:bubble3D val="0"/>
            <c:spPr>
              <a:solidFill>
                <a:schemeClr val="accent4">
                  <a:shade val="76000"/>
                </a:schemeClr>
              </a:solidFill>
              <a:ln>
                <a:solidFill>
                  <a:schemeClr val="tx1">
                    <a:lumMod val="75000"/>
                    <a:lumOff val="25000"/>
                  </a:schemeClr>
                </a:solidFill>
              </a:ln>
              <a:effectLst/>
            </c:spPr>
            <c:extLst>
              <c:ext xmlns:c16="http://schemas.microsoft.com/office/drawing/2014/chart" uri="{C3380CC4-5D6E-409C-BE32-E72D297353CC}">
                <c16:uniqueId val="{00000005-DEC3-414C-AA19-5CB577663378}"/>
              </c:ext>
            </c:extLst>
          </c:dPt>
          <c:dPt>
            <c:idx val="3"/>
            <c:bubble3D val="0"/>
            <c:spPr>
              <a:solidFill>
                <a:schemeClr val="accent4">
                  <a:shade val="92000"/>
                </a:schemeClr>
              </a:solidFill>
              <a:ln>
                <a:solidFill>
                  <a:schemeClr val="tx1">
                    <a:lumMod val="75000"/>
                    <a:lumOff val="25000"/>
                  </a:schemeClr>
                </a:solidFill>
              </a:ln>
              <a:effectLst/>
            </c:spPr>
            <c:extLst>
              <c:ext xmlns:c16="http://schemas.microsoft.com/office/drawing/2014/chart" uri="{C3380CC4-5D6E-409C-BE32-E72D297353CC}">
                <c16:uniqueId val="{00000007-DEC3-414C-AA19-5CB577663378}"/>
              </c:ext>
            </c:extLst>
          </c:dPt>
          <c:dPt>
            <c:idx val="4"/>
            <c:bubble3D val="0"/>
            <c:spPr>
              <a:solidFill>
                <a:schemeClr val="accent4">
                  <a:tint val="93000"/>
                </a:schemeClr>
              </a:solidFill>
              <a:ln>
                <a:solidFill>
                  <a:schemeClr val="tx1">
                    <a:lumMod val="75000"/>
                    <a:lumOff val="25000"/>
                  </a:schemeClr>
                </a:solidFill>
              </a:ln>
              <a:effectLst/>
            </c:spPr>
            <c:extLst>
              <c:ext xmlns:c16="http://schemas.microsoft.com/office/drawing/2014/chart" uri="{C3380CC4-5D6E-409C-BE32-E72D297353CC}">
                <c16:uniqueId val="{00000009-DEC3-414C-AA19-5CB577663378}"/>
              </c:ext>
            </c:extLst>
          </c:dPt>
          <c:dPt>
            <c:idx val="5"/>
            <c:bubble3D val="0"/>
            <c:spPr>
              <a:solidFill>
                <a:schemeClr val="accent4">
                  <a:tint val="77000"/>
                </a:schemeClr>
              </a:solidFill>
              <a:ln>
                <a:solidFill>
                  <a:schemeClr val="tx1">
                    <a:lumMod val="75000"/>
                    <a:lumOff val="25000"/>
                  </a:schemeClr>
                </a:solidFill>
              </a:ln>
              <a:effectLst/>
            </c:spPr>
            <c:extLst>
              <c:ext xmlns:c16="http://schemas.microsoft.com/office/drawing/2014/chart" uri="{C3380CC4-5D6E-409C-BE32-E72D297353CC}">
                <c16:uniqueId val="{0000000B-DEC3-414C-AA19-5CB577663378}"/>
              </c:ext>
            </c:extLst>
          </c:dPt>
          <c:dPt>
            <c:idx val="6"/>
            <c:bubble3D val="0"/>
            <c:spPr>
              <a:solidFill>
                <a:schemeClr val="accent4">
                  <a:tint val="62000"/>
                </a:schemeClr>
              </a:solidFill>
              <a:ln>
                <a:solidFill>
                  <a:schemeClr val="tx1">
                    <a:lumMod val="75000"/>
                    <a:lumOff val="25000"/>
                  </a:schemeClr>
                </a:solidFill>
              </a:ln>
              <a:effectLst/>
            </c:spPr>
            <c:extLst>
              <c:ext xmlns:c16="http://schemas.microsoft.com/office/drawing/2014/chart" uri="{C3380CC4-5D6E-409C-BE32-E72D297353CC}">
                <c16:uniqueId val="{0000000D-DEC3-414C-AA19-5CB577663378}"/>
              </c:ext>
            </c:extLst>
          </c:dPt>
          <c:dPt>
            <c:idx val="7"/>
            <c:bubble3D val="0"/>
            <c:spPr>
              <a:solidFill>
                <a:schemeClr val="accent4">
                  <a:tint val="46000"/>
                </a:schemeClr>
              </a:solidFill>
              <a:ln>
                <a:solidFill>
                  <a:schemeClr val="tx1">
                    <a:lumMod val="75000"/>
                    <a:lumOff val="25000"/>
                  </a:schemeClr>
                </a:solidFill>
              </a:ln>
              <a:effectLst/>
            </c:spPr>
            <c:extLst>
              <c:ext xmlns:c16="http://schemas.microsoft.com/office/drawing/2014/chart" uri="{C3380CC4-5D6E-409C-BE32-E72D297353CC}">
                <c16:uniqueId val="{0000000F-DEC3-414C-AA19-5CB577663378}"/>
              </c:ext>
            </c:extLst>
          </c:dPt>
          <c:dPt>
            <c:idx val="8"/>
            <c:bubble3D val="0"/>
            <c:spPr>
              <a:solidFill>
                <a:schemeClr val="accent4">
                  <a:tint val="30000"/>
                </a:schemeClr>
              </a:solidFill>
              <a:ln>
                <a:solidFill>
                  <a:schemeClr val="tx1">
                    <a:lumMod val="75000"/>
                    <a:lumOff val="25000"/>
                  </a:schemeClr>
                </a:solidFill>
              </a:ln>
              <a:effectLst/>
            </c:spPr>
            <c:extLst>
              <c:ext xmlns:c16="http://schemas.microsoft.com/office/drawing/2014/chart" uri="{C3380CC4-5D6E-409C-BE32-E72D297353CC}">
                <c16:uniqueId val="{00000011-DEC3-414C-AA19-5CB577663378}"/>
              </c:ext>
            </c:extLst>
          </c:dPt>
          <c:dLbls>
            <c:dLbl>
              <c:idx val="0"/>
              <c:layout>
                <c:manualLayout>
                  <c:x val="-1.4851268591425288E-3"/>
                  <c:y val="-0.52627608796884262"/>
                </c:manualLayout>
              </c:layout>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32578740157480313"/>
                      <c:h val="0.10184520785708237"/>
                    </c:manualLayout>
                  </c15:layout>
                </c:ext>
                <c:ext xmlns:c16="http://schemas.microsoft.com/office/drawing/2014/chart" uri="{C3380CC4-5D6E-409C-BE32-E72D297353CC}">
                  <c16:uniqueId val="{00000001-DEC3-414C-AA19-5CB577663378}"/>
                </c:ext>
              </c:extLst>
            </c:dLbl>
            <c:dLbl>
              <c:idx val="1"/>
              <c:layout>
                <c:manualLayout>
                  <c:x val="8.188471633353539E-3"/>
                  <c:y val="4.7042746168825679E-2"/>
                </c:manualLayout>
              </c:layout>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6186351706036748"/>
                      <c:h val="0.11167661501989672"/>
                    </c:manualLayout>
                  </c15:layout>
                </c:ext>
                <c:ext xmlns:c16="http://schemas.microsoft.com/office/drawing/2014/chart" uri="{C3380CC4-5D6E-409C-BE32-E72D297353CC}">
                  <c16:uniqueId val="{00000003-DEC3-414C-AA19-5CB577663378}"/>
                </c:ext>
              </c:extLst>
            </c:dLbl>
            <c:dLbl>
              <c:idx val="2"/>
              <c:layout>
                <c:manualLayout>
                  <c:x val="7.9253314489534966E-3"/>
                  <c:y val="3.0549911099822198E-2"/>
                </c:manualLayout>
              </c:layout>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2840568005922332"/>
                      <c:h val="0.12875603251206502"/>
                    </c:manualLayout>
                  </c15:layout>
                </c:ext>
                <c:ext xmlns:c16="http://schemas.microsoft.com/office/drawing/2014/chart" uri="{C3380CC4-5D6E-409C-BE32-E72D297353CC}">
                  <c16:uniqueId val="{00000005-DEC3-414C-AA19-5CB577663378}"/>
                </c:ext>
              </c:extLst>
            </c:dLbl>
            <c:dLbl>
              <c:idx val="3"/>
              <c:layout>
                <c:manualLayout>
                  <c:x val="-2.5950938824954573E-2"/>
                  <c:y val="4.0425239183811704E-2"/>
                </c:manualLayout>
              </c:layout>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1066659936738677"/>
                      <c:h val="9.7560007620015238E-2"/>
                    </c:manualLayout>
                  </c15:layout>
                </c:ext>
                <c:ext xmlns:c16="http://schemas.microsoft.com/office/drawing/2014/chart" uri="{C3380CC4-5D6E-409C-BE32-E72D297353CC}">
                  <c16:uniqueId val="{00000007-DEC3-414C-AA19-5CB577663378}"/>
                </c:ext>
              </c:extLst>
            </c:dLbl>
            <c:dLbl>
              <c:idx val="4"/>
              <c:layout>
                <c:manualLayout>
                  <c:x val="-2.4078672858200426E-2"/>
                  <c:y val="3.6018330369994071E-2"/>
                </c:manualLayout>
              </c:layout>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4611851403189985"/>
                      <c:h val="0.10102605621877911"/>
                    </c:manualLayout>
                  </c15:layout>
                </c:ext>
                <c:ext xmlns:c16="http://schemas.microsoft.com/office/drawing/2014/chart" uri="{C3380CC4-5D6E-409C-BE32-E72D297353CC}">
                  <c16:uniqueId val="{00000009-DEC3-414C-AA19-5CB577663378}"/>
                </c:ext>
              </c:extLst>
            </c:dLbl>
            <c:dLbl>
              <c:idx val="5"/>
              <c:layout>
                <c:manualLayout>
                  <c:x val="-2.8852210781344638E-2"/>
                  <c:y val="-4.5153881974430614E-3"/>
                </c:manualLayout>
              </c:layout>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6630897099401035"/>
                      <c:h val="7.3249513165693003E-2"/>
                    </c:manualLayout>
                  </c15:layout>
                </c:ext>
                <c:ext xmlns:c16="http://schemas.microsoft.com/office/drawing/2014/chart" uri="{C3380CC4-5D6E-409C-BE32-E72D297353CC}">
                  <c16:uniqueId val="{0000000B-DEC3-414C-AA19-5CB577663378}"/>
                </c:ext>
              </c:extLst>
            </c:dLbl>
            <c:dLbl>
              <c:idx val="6"/>
              <c:layout>
                <c:manualLayout>
                  <c:x val="-5.7775758799380884E-2"/>
                  <c:y val="-4.5184838286343239E-2"/>
                </c:manualLayout>
              </c:layout>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3874823339390269"/>
                      <c:h val="6.6047540428414181E-2"/>
                    </c:manualLayout>
                  </c15:layout>
                </c:ext>
                <c:ext xmlns:c16="http://schemas.microsoft.com/office/drawing/2014/chart" uri="{C3380CC4-5D6E-409C-BE32-E72D297353CC}">
                  <c16:uniqueId val="{0000000D-DEC3-414C-AA19-5CB577663378}"/>
                </c:ext>
              </c:extLst>
            </c:dLbl>
            <c:dLbl>
              <c:idx val="7"/>
              <c:layout>
                <c:manualLayout>
                  <c:x val="0.1031018238104852"/>
                  <c:y val="-9.2974769282871891E-3"/>
                </c:manualLayout>
              </c:layout>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5842115889359979"/>
                      <c:h val="0.10887202607738548"/>
                    </c:manualLayout>
                  </c15:layout>
                </c:ext>
                <c:ext xmlns:c16="http://schemas.microsoft.com/office/drawing/2014/chart" uri="{C3380CC4-5D6E-409C-BE32-E72D297353CC}">
                  <c16:uniqueId val="{0000000F-DEC3-414C-AA19-5CB577663378}"/>
                </c:ext>
              </c:extLst>
            </c:dLbl>
            <c:dLbl>
              <c:idx val="8"/>
              <c:layout>
                <c:manualLayout>
                  <c:x val="2.8112449799196824E-2"/>
                  <c:y val="-2.5252525252525252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1-DEC3-414C-AA19-5CB577663378}"/>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Sheet1!$A$2:$A$9</c:f>
              <c:strCache>
                <c:ptCount val="8"/>
                <c:pt idx="0">
                  <c:v> Canada </c:v>
                </c:pt>
                <c:pt idx="1">
                  <c:v> Korea </c:v>
                </c:pt>
                <c:pt idx="2">
                  <c:v> Spain </c:v>
                </c:pt>
                <c:pt idx="3">
                  <c:v> Italy </c:v>
                </c:pt>
                <c:pt idx="4">
                  <c:v> Taiwan </c:v>
                </c:pt>
                <c:pt idx="5">
                  <c:v> Uruguay </c:v>
                </c:pt>
                <c:pt idx="6">
                  <c:v> France </c:v>
                </c:pt>
                <c:pt idx="7">
                  <c:v> Other </c:v>
                </c:pt>
              </c:strCache>
            </c:strRef>
          </c:cat>
          <c:val>
            <c:numRef>
              <c:f>Sheet1!$B$2:$B$9</c:f>
              <c:numCache>
                <c:formatCode>_("$"* #,##0_);_("$"* \(#,##0\);_("$"* "-"??_);_(@_)</c:formatCode>
                <c:ptCount val="8"/>
                <c:pt idx="0">
                  <c:v>792191995</c:v>
                </c:pt>
                <c:pt idx="1">
                  <c:v>120037233</c:v>
                </c:pt>
                <c:pt idx="2">
                  <c:v>75477150</c:v>
                </c:pt>
                <c:pt idx="3">
                  <c:v>75000000</c:v>
                </c:pt>
                <c:pt idx="4">
                  <c:v>55005143</c:v>
                </c:pt>
                <c:pt idx="5">
                  <c:v>52100000</c:v>
                </c:pt>
                <c:pt idx="6">
                  <c:v>50851771</c:v>
                </c:pt>
                <c:pt idx="7">
                  <c:v>12807786</c:v>
                </c:pt>
              </c:numCache>
            </c:numRef>
          </c:val>
          <c:extLst>
            <c:ext xmlns:c16="http://schemas.microsoft.com/office/drawing/2014/chart" uri="{C3380CC4-5D6E-409C-BE32-E72D297353CC}">
              <c16:uniqueId val="{00000012-DEC3-414C-AA19-5CB577663378}"/>
            </c:ext>
          </c:extLst>
        </c:ser>
        <c:ser>
          <c:idx val="1"/>
          <c:order val="1"/>
          <c:tx>
            <c:strRef>
              <c:f>Sheet1!$C$1</c:f>
              <c:strCache>
                <c:ptCount val="1"/>
                <c:pt idx="0">
                  <c:v>2HS</c:v>
                </c:pt>
              </c:strCache>
            </c:strRef>
          </c:tx>
          <c:dPt>
            <c:idx val="0"/>
            <c:bubble3D val="0"/>
            <c:spPr>
              <a:solidFill>
                <a:schemeClr val="accent4">
                  <a:shade val="45000"/>
                </a:schemeClr>
              </a:solidFill>
              <a:ln>
                <a:noFill/>
              </a:ln>
              <a:effectLst/>
            </c:spPr>
            <c:extLst>
              <c:ext xmlns:c16="http://schemas.microsoft.com/office/drawing/2014/chart" uri="{C3380CC4-5D6E-409C-BE32-E72D297353CC}">
                <c16:uniqueId val="{00000013-7B1B-49C9-B71B-9DD3EB825CD0}"/>
              </c:ext>
            </c:extLst>
          </c:dPt>
          <c:dPt>
            <c:idx val="1"/>
            <c:bubble3D val="0"/>
            <c:spPr>
              <a:solidFill>
                <a:schemeClr val="accent4">
                  <a:shade val="61000"/>
                </a:schemeClr>
              </a:solidFill>
              <a:ln>
                <a:noFill/>
              </a:ln>
              <a:effectLst/>
            </c:spPr>
            <c:extLst>
              <c:ext xmlns:c16="http://schemas.microsoft.com/office/drawing/2014/chart" uri="{C3380CC4-5D6E-409C-BE32-E72D297353CC}">
                <c16:uniqueId val="{00000015-7B1B-49C9-B71B-9DD3EB825CD0}"/>
              </c:ext>
            </c:extLst>
          </c:dPt>
          <c:dPt>
            <c:idx val="2"/>
            <c:bubble3D val="0"/>
            <c:spPr>
              <a:solidFill>
                <a:schemeClr val="accent4">
                  <a:shade val="76000"/>
                </a:schemeClr>
              </a:solidFill>
              <a:ln>
                <a:noFill/>
              </a:ln>
              <a:effectLst/>
            </c:spPr>
            <c:extLst>
              <c:ext xmlns:c16="http://schemas.microsoft.com/office/drawing/2014/chart" uri="{C3380CC4-5D6E-409C-BE32-E72D297353CC}">
                <c16:uniqueId val="{00000017-7B1B-49C9-B71B-9DD3EB825CD0}"/>
              </c:ext>
            </c:extLst>
          </c:dPt>
          <c:dPt>
            <c:idx val="3"/>
            <c:bubble3D val="0"/>
            <c:spPr>
              <a:solidFill>
                <a:schemeClr val="accent4">
                  <a:shade val="92000"/>
                </a:schemeClr>
              </a:solidFill>
              <a:ln>
                <a:noFill/>
              </a:ln>
              <a:effectLst/>
            </c:spPr>
            <c:extLst>
              <c:ext xmlns:c16="http://schemas.microsoft.com/office/drawing/2014/chart" uri="{C3380CC4-5D6E-409C-BE32-E72D297353CC}">
                <c16:uniqueId val="{00000019-7B1B-49C9-B71B-9DD3EB825CD0}"/>
              </c:ext>
            </c:extLst>
          </c:dPt>
          <c:dPt>
            <c:idx val="4"/>
            <c:bubble3D val="0"/>
            <c:spPr>
              <a:solidFill>
                <a:schemeClr val="accent4">
                  <a:tint val="93000"/>
                </a:schemeClr>
              </a:solidFill>
              <a:ln>
                <a:noFill/>
              </a:ln>
              <a:effectLst/>
            </c:spPr>
            <c:extLst>
              <c:ext xmlns:c16="http://schemas.microsoft.com/office/drawing/2014/chart" uri="{C3380CC4-5D6E-409C-BE32-E72D297353CC}">
                <c16:uniqueId val="{0000001B-7B1B-49C9-B71B-9DD3EB825CD0}"/>
              </c:ext>
            </c:extLst>
          </c:dPt>
          <c:dPt>
            <c:idx val="5"/>
            <c:bubble3D val="0"/>
            <c:spPr>
              <a:solidFill>
                <a:schemeClr val="accent4">
                  <a:tint val="77000"/>
                </a:schemeClr>
              </a:solidFill>
              <a:ln>
                <a:noFill/>
              </a:ln>
              <a:effectLst/>
            </c:spPr>
            <c:extLst>
              <c:ext xmlns:c16="http://schemas.microsoft.com/office/drawing/2014/chart" uri="{C3380CC4-5D6E-409C-BE32-E72D297353CC}">
                <c16:uniqueId val="{0000001D-7B1B-49C9-B71B-9DD3EB825CD0}"/>
              </c:ext>
            </c:extLst>
          </c:dPt>
          <c:dPt>
            <c:idx val="6"/>
            <c:bubble3D val="0"/>
            <c:spPr>
              <a:solidFill>
                <a:schemeClr val="accent4">
                  <a:tint val="62000"/>
                </a:schemeClr>
              </a:solidFill>
              <a:ln>
                <a:noFill/>
              </a:ln>
              <a:effectLst/>
            </c:spPr>
            <c:extLst>
              <c:ext xmlns:c16="http://schemas.microsoft.com/office/drawing/2014/chart" uri="{C3380CC4-5D6E-409C-BE32-E72D297353CC}">
                <c16:uniqueId val="{0000001F-AA76-4CFE-A829-9E79FA95F636}"/>
              </c:ext>
            </c:extLst>
          </c:dPt>
          <c:dPt>
            <c:idx val="7"/>
            <c:bubble3D val="0"/>
            <c:spPr>
              <a:solidFill>
                <a:schemeClr val="accent4">
                  <a:tint val="46000"/>
                </a:schemeClr>
              </a:solidFill>
              <a:ln>
                <a:noFill/>
              </a:ln>
              <a:effectLst/>
            </c:spPr>
            <c:extLst>
              <c:ext xmlns:c16="http://schemas.microsoft.com/office/drawing/2014/chart" uri="{C3380CC4-5D6E-409C-BE32-E72D297353CC}">
                <c16:uniqueId val="{00000021-AA76-4CFE-A829-9E79FA95F636}"/>
              </c:ext>
            </c:extLst>
          </c:dPt>
          <c:cat>
            <c:strRef>
              <c:f>Sheet1!$A$2:$A$9</c:f>
              <c:strCache>
                <c:ptCount val="8"/>
                <c:pt idx="0">
                  <c:v> Canada </c:v>
                </c:pt>
                <c:pt idx="1">
                  <c:v> Korea </c:v>
                </c:pt>
                <c:pt idx="2">
                  <c:v> Spain </c:v>
                </c:pt>
                <c:pt idx="3">
                  <c:v> Italy </c:v>
                </c:pt>
                <c:pt idx="4">
                  <c:v> Taiwan </c:v>
                </c:pt>
                <c:pt idx="5">
                  <c:v> Uruguay </c:v>
                </c:pt>
                <c:pt idx="6">
                  <c:v> France </c:v>
                </c:pt>
                <c:pt idx="7">
                  <c:v> Other </c:v>
                </c:pt>
              </c:strCache>
            </c:strRef>
          </c:cat>
          <c:val>
            <c:numRef>
              <c:f>Sheet1!$C$2:$C$9</c:f>
              <c:numCache>
                <c:formatCode>General</c:formatCode>
                <c:ptCount val="8"/>
                <c:pt idx="0">
                  <c:v>27</c:v>
                </c:pt>
                <c:pt idx="1">
                  <c:v>27</c:v>
                </c:pt>
                <c:pt idx="2">
                  <c:v>27</c:v>
                </c:pt>
                <c:pt idx="3">
                  <c:v>27</c:v>
                </c:pt>
                <c:pt idx="4">
                  <c:v>27</c:v>
                </c:pt>
                <c:pt idx="5">
                  <c:v>27</c:v>
                </c:pt>
                <c:pt idx="6">
                  <c:v>27</c:v>
                </c:pt>
                <c:pt idx="7">
                  <c:v>27</c:v>
                </c:pt>
              </c:numCache>
            </c:numRef>
          </c:val>
          <c:extLst>
            <c:ext xmlns:c16="http://schemas.microsoft.com/office/drawing/2014/chart" uri="{C3380CC4-5D6E-409C-BE32-E72D297353CC}">
              <c16:uniqueId val="{00000014-DEC3-414C-AA19-5CB577663378}"/>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3241E-C408-459D-B989-CEB014E96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Minnesota Quarterly Export Statistics, 3rd Quarter 2022</vt:lpstr>
    </vt:vector>
  </TitlesOfParts>
  <Company>MN DEED</Company>
  <LinksUpToDate>false</LinksUpToDate>
  <CharactersWithSpaces>4637</CharactersWithSpaces>
  <SharedDoc>false</SharedDoc>
  <HLinks>
    <vt:vector size="12" baseType="variant">
      <vt:variant>
        <vt:i4>6488181</vt:i4>
      </vt:variant>
      <vt:variant>
        <vt:i4>9</vt:i4>
      </vt:variant>
      <vt:variant>
        <vt:i4>0</vt:i4>
      </vt:variant>
      <vt:variant>
        <vt:i4>5</vt:i4>
      </vt:variant>
      <vt:variant>
        <vt:lpwstr>http://www.deed.state.mn.us/facts/manufacturing.htm</vt:lpwstr>
      </vt:variant>
      <vt:variant>
        <vt:lpwstr/>
      </vt:variant>
      <vt:variant>
        <vt:i4>3211383</vt:i4>
      </vt:variant>
      <vt:variant>
        <vt:i4>6</vt:i4>
      </vt:variant>
      <vt:variant>
        <vt:i4>0</vt:i4>
      </vt:variant>
      <vt:variant>
        <vt:i4>5</vt:i4>
      </vt:variant>
      <vt:variant>
        <vt:lpwstr>http://www.exportminnesota.com/itradestats.htm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Quarterly Export Statistics, 3rd Quarter 2022</dc:title>
  <dc:subject>Minnesota Quarterly Export Statistics</dc:subject>
  <dc:creator>Economic Analysis Unit (T. Ho-Kim)</dc:creator>
  <dc:description>3rd quarter 2022</dc:description>
  <cp:lastModifiedBy>Ho-Kim, Thu-Mai (DEED)</cp:lastModifiedBy>
  <cp:revision>2</cp:revision>
  <cp:lastPrinted>2019-05-30T13:24:00Z</cp:lastPrinted>
  <dcterms:created xsi:type="dcterms:W3CDTF">2023-03-07T20:35:00Z</dcterms:created>
  <dcterms:modified xsi:type="dcterms:W3CDTF">2023-03-07T20:35:00Z</dcterms:modified>
</cp:coreProperties>
</file>