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A081E" w14:textId="456DFA4A" w:rsidR="00A30328" w:rsidRPr="006E4BEC" w:rsidRDefault="00A30328" w:rsidP="007F1C4A">
      <w:pPr>
        <w:tabs>
          <w:tab w:val="left" w:pos="360"/>
          <w:tab w:val="left" w:pos="6660"/>
        </w:tabs>
        <w:spacing w:after="240"/>
        <w:jc w:val="center"/>
      </w:pPr>
      <w:r w:rsidRPr="006E4BEC">
        <w:rPr>
          <w:noProof/>
        </w:rPr>
        <mc:AlternateContent>
          <mc:Choice Requires="wps">
            <w:drawing>
              <wp:anchor distT="0" distB="0" distL="114300" distR="114300" simplePos="0" relativeHeight="251656704" behindDoc="0" locked="0" layoutInCell="1" allowOverlap="1" wp14:anchorId="3957BDA5" wp14:editId="56846BB4">
                <wp:simplePos x="0" y="0"/>
                <wp:positionH relativeFrom="margin">
                  <wp:align>left</wp:align>
                </wp:positionH>
                <wp:positionV relativeFrom="paragraph">
                  <wp:posOffset>1217047</wp:posOffset>
                </wp:positionV>
                <wp:extent cx="6472362" cy="419100"/>
                <wp:effectExtent l="0" t="0" r="0" b="0"/>
                <wp:wrapNone/>
                <wp:docPr id="2" name="Text Box 2" descr="Text box&#10;&#10;Data on Minnesota Exports for First Quarter 2022 – Published May 2022&#10;For More Information: Alicia Cordes-Mayo (alicia.cordes-mayo@state.mn.us, 763-406-99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2362"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2B0058" w14:textId="53C7A3C9" w:rsidR="007F1C4A" w:rsidRPr="00B577E0" w:rsidRDefault="007F1C4A" w:rsidP="007F1C4A">
                            <w:pPr>
                              <w:pStyle w:val="NoSpacing"/>
                              <w:jc w:val="center"/>
                              <w:rPr>
                                <w:rStyle w:val="Emphasis"/>
                                <w:b/>
                              </w:rPr>
                            </w:pPr>
                            <w:r w:rsidRPr="00B577E0">
                              <w:rPr>
                                <w:rStyle w:val="Emphasis"/>
                                <w:b/>
                              </w:rPr>
                              <w:t>Dat</w:t>
                            </w:r>
                            <w:r w:rsidR="00B85149">
                              <w:rPr>
                                <w:rStyle w:val="Emphasis"/>
                                <w:b/>
                              </w:rPr>
                              <w:t>a</w:t>
                            </w:r>
                            <w:r w:rsidR="00856B05">
                              <w:rPr>
                                <w:rStyle w:val="Emphasis"/>
                                <w:b/>
                              </w:rPr>
                              <w:t xml:space="preserve"> on Minnesota Exports for </w:t>
                            </w:r>
                            <w:r w:rsidR="00A30328">
                              <w:rPr>
                                <w:rStyle w:val="Emphasis"/>
                                <w:b/>
                              </w:rPr>
                              <w:t>First</w:t>
                            </w:r>
                            <w:r w:rsidR="007818E5">
                              <w:rPr>
                                <w:rStyle w:val="Emphasis"/>
                                <w:b/>
                              </w:rPr>
                              <w:t xml:space="preserve"> Quarter </w:t>
                            </w:r>
                            <w:r w:rsidR="00D4733E">
                              <w:rPr>
                                <w:rStyle w:val="Emphasis"/>
                                <w:b/>
                              </w:rPr>
                              <w:t>202</w:t>
                            </w:r>
                            <w:r w:rsidR="004A5841">
                              <w:rPr>
                                <w:rStyle w:val="Emphasis"/>
                                <w:b/>
                              </w:rPr>
                              <w:t>3</w:t>
                            </w:r>
                            <w:r w:rsidR="00A43E28">
                              <w:rPr>
                                <w:rStyle w:val="Emphasis"/>
                                <w:b/>
                              </w:rPr>
                              <w:t xml:space="preserve"> – Published </w:t>
                            </w:r>
                            <w:r w:rsidR="00B7514D">
                              <w:rPr>
                                <w:rStyle w:val="Emphasis"/>
                                <w:b/>
                              </w:rPr>
                              <w:t>May</w:t>
                            </w:r>
                            <w:r w:rsidR="0000470B">
                              <w:rPr>
                                <w:rStyle w:val="Emphasis"/>
                                <w:b/>
                              </w:rPr>
                              <w:t xml:space="preserve"> </w:t>
                            </w:r>
                            <w:r w:rsidR="00D4733E">
                              <w:rPr>
                                <w:rStyle w:val="Emphasis"/>
                                <w:b/>
                              </w:rPr>
                              <w:t>202</w:t>
                            </w:r>
                            <w:r w:rsidR="004A5841">
                              <w:rPr>
                                <w:rStyle w:val="Emphasis"/>
                                <w:b/>
                              </w:rPr>
                              <w:t>3</w:t>
                            </w:r>
                          </w:p>
                          <w:p w14:paraId="34B91C04" w14:textId="42D225B0" w:rsidR="007F1C4A" w:rsidRPr="00B577E0" w:rsidRDefault="00FE15EB" w:rsidP="0094395B">
                            <w:pPr>
                              <w:pStyle w:val="NoSpacing"/>
                              <w:jc w:val="center"/>
                              <w:rPr>
                                <w:rStyle w:val="Emphasis"/>
                                <w:b/>
                              </w:rPr>
                            </w:pPr>
                            <w:r>
                              <w:rPr>
                                <w:rStyle w:val="Emphasis"/>
                                <w:b/>
                              </w:rPr>
                              <w:t>For More Information</w:t>
                            </w:r>
                            <w:r w:rsidRPr="007818E5">
                              <w:rPr>
                                <w:rStyle w:val="Emphasis"/>
                              </w:rPr>
                              <w:t xml:space="preserve">: </w:t>
                            </w:r>
                            <w:r w:rsidRPr="00690C1B">
                              <w:rPr>
                                <w:rStyle w:val="Strong"/>
                                <w:i/>
                                <w:iCs/>
                              </w:rPr>
                              <w:t>Alicia Cordes-Mayo (</w:t>
                            </w:r>
                            <w:r w:rsidRPr="00690C1B">
                              <w:rPr>
                                <w:b/>
                                <w:bCs/>
                                <w:i/>
                                <w:iCs/>
                              </w:rPr>
                              <w:t>alicia.cordes-mayo@state.mn.us, 763-406-9965)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57BDA5" id="_x0000_t202" coordsize="21600,21600" o:spt="202" path="m,l,21600r21600,l21600,xe">
                <v:stroke joinstyle="miter"/>
                <v:path gradientshapeok="t" o:connecttype="rect"/>
              </v:shapetype>
              <v:shape id="Text Box 2" o:spid="_x0000_s1026" type="#_x0000_t202" alt="Text box&#10;&#10;Data on Minnesota Exports for First Quarter 2022 – Published May 2022&#10;For More Information: Alicia Cordes-Mayo (alicia.cordes-mayo@state.mn.us, 763-406-9965)" style="position:absolute;left:0;text-align:left;margin-left:0;margin-top:95.85pt;width:509.65pt;height:33pt;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" filled="f" stroked="f">
                <v:textbox>
                  <w:txbxContent>
                    <w:p w14:paraId="482B0058" w14:textId="53C7A3C9" w:rsidR="007F1C4A" w:rsidRPr="00B577E0" w:rsidRDefault="007F1C4A" w:rsidP="007F1C4A">
                      <w:pPr>
                        <w:pStyle w:val="NoSpacing"/>
                        <w:jc w:val="center"/>
                        <w:rPr>
                          <w:rStyle w:val="Emphasis"/>
                          <w:b/>
                        </w:rPr>
                      </w:pPr>
                      <w:r w:rsidRPr="00B577E0">
                        <w:rPr>
                          <w:rStyle w:val="Emphasis"/>
                          <w:b/>
                        </w:rPr>
                        <w:t>Dat</w:t>
                      </w:r>
                      <w:r w:rsidR="00B85149">
                        <w:rPr>
                          <w:rStyle w:val="Emphasis"/>
                          <w:b/>
                        </w:rPr>
                        <w:t>a</w:t>
                      </w:r>
                      <w:r w:rsidR="00856B05">
                        <w:rPr>
                          <w:rStyle w:val="Emphasis"/>
                          <w:b/>
                        </w:rPr>
                        <w:t xml:space="preserve"> on Minnesota Exports for </w:t>
                      </w:r>
                      <w:r w:rsidR="00A30328">
                        <w:rPr>
                          <w:rStyle w:val="Emphasis"/>
                          <w:b/>
                        </w:rPr>
                        <w:t>First</w:t>
                      </w:r>
                      <w:r w:rsidR="007818E5">
                        <w:rPr>
                          <w:rStyle w:val="Emphasis"/>
                          <w:b/>
                        </w:rPr>
                        <w:t xml:space="preserve"> Quarter </w:t>
                      </w:r>
                      <w:r w:rsidR="00D4733E">
                        <w:rPr>
                          <w:rStyle w:val="Emphasis"/>
                          <w:b/>
                        </w:rPr>
                        <w:t>202</w:t>
                      </w:r>
                      <w:r w:rsidR="004A5841">
                        <w:rPr>
                          <w:rStyle w:val="Emphasis"/>
                          <w:b/>
                        </w:rPr>
                        <w:t>3</w:t>
                      </w:r>
                      <w:r w:rsidR="00A43E28">
                        <w:rPr>
                          <w:rStyle w:val="Emphasis"/>
                          <w:b/>
                        </w:rPr>
                        <w:t xml:space="preserve"> – Published </w:t>
                      </w:r>
                      <w:r w:rsidR="00B7514D">
                        <w:rPr>
                          <w:rStyle w:val="Emphasis"/>
                          <w:b/>
                        </w:rPr>
                        <w:t>May</w:t>
                      </w:r>
                      <w:r w:rsidR="0000470B">
                        <w:rPr>
                          <w:rStyle w:val="Emphasis"/>
                          <w:b/>
                        </w:rPr>
                        <w:t xml:space="preserve"> </w:t>
                      </w:r>
                      <w:r w:rsidR="00D4733E">
                        <w:rPr>
                          <w:rStyle w:val="Emphasis"/>
                          <w:b/>
                        </w:rPr>
                        <w:t>202</w:t>
                      </w:r>
                      <w:r w:rsidR="004A5841">
                        <w:rPr>
                          <w:rStyle w:val="Emphasis"/>
                          <w:b/>
                        </w:rPr>
                        <w:t>3</w:t>
                      </w:r>
                    </w:p>
                    <w:p w14:paraId="34B91C04" w14:textId="42D225B0" w:rsidR="007F1C4A" w:rsidRPr="00B577E0" w:rsidRDefault="00FE15EB" w:rsidP="0094395B">
                      <w:pPr>
                        <w:pStyle w:val="NoSpacing"/>
                        <w:jc w:val="center"/>
                        <w:rPr>
                          <w:rStyle w:val="Emphasis"/>
                          <w:b/>
                        </w:rPr>
                      </w:pPr>
                      <w:r>
                        <w:rPr>
                          <w:rStyle w:val="Emphasis"/>
                          <w:b/>
                        </w:rPr>
                        <w:t>For More Information</w:t>
                      </w:r>
                      <w:r w:rsidRPr="007818E5">
                        <w:rPr>
                          <w:rStyle w:val="Emphasis"/>
                        </w:rPr>
                        <w:t xml:space="preserve">: </w:t>
                      </w:r>
                      <w:r w:rsidRPr="00690C1B">
                        <w:rPr>
                          <w:rStyle w:val="Strong"/>
                          <w:i/>
                          <w:iCs/>
                        </w:rPr>
                        <w:t>Alicia Cordes-Mayo (</w:t>
                      </w:r>
                      <w:r w:rsidRPr="00690C1B">
                        <w:rPr>
                          <w:b/>
                          <w:bCs/>
                          <w:i/>
                          <w:iCs/>
                        </w:rPr>
                        <w:t>alicia.cordes-mayo@state.mn.us, 763-406-9965)</w:t>
                      </w:r>
                    </w:p>
                  </w:txbxContent>
                </v:textbox>
                <w10:wrap anchorx="margin"/>
              </v:shape>
            </w:pict>
          </mc:Fallback>
        </mc:AlternateContent>
      </w:r>
      <w:r w:rsidRPr="006E4BEC">
        <w:rPr>
          <w:noProof/>
        </w:rPr>
        <w:drawing>
          <wp:inline distT="0" distB="0" distL="0" distR="0" wp14:anchorId="3FDEBFAE" wp14:editId="089C9AB4">
            <wp:extent cx="6492240" cy="1136015"/>
            <wp:effectExtent l="0" t="0" r="3810" b="6985"/>
            <wp:docPr id="3" name="Picture 3" descr="Title Banner&#10;&#10;1st Quarter Minnesota Export Statistics Newsletter &#10;Minnesota Department of Employment and Economic Development&#10;&#10;Data on Minnesota Exports for First Quarter 2023 – Published May 2023&#10;For More Information: Alicia Cordes-Mayo (alicia.cordes-mayo@state.mn.us, 763-406-99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itle Banner&#10;&#10;1st Quarter Minnesota Export Statistics Newsletter &#10;Minnesota Department of Employment and Economic Development&#10;&#10;Data on Minnesota Exports for First Quarter 2023 – Published May 2023&#10;For More Information: Alicia Cordes-Mayo (alicia.cordes-mayo@state.mn.us, 763-406-9965)"/>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92240" cy="1136015"/>
                    </a:xfrm>
                    <a:prstGeom prst="rect">
                      <a:avLst/>
                    </a:prstGeom>
                  </pic:spPr>
                </pic:pic>
              </a:graphicData>
            </a:graphic>
          </wp:inline>
        </w:drawing>
      </w:r>
    </w:p>
    <w:p w14:paraId="4EAE8978" w14:textId="57D94662" w:rsidR="00CE313B" w:rsidRPr="006E4BEC" w:rsidRDefault="00CE313B" w:rsidP="007F1C4A">
      <w:pPr>
        <w:tabs>
          <w:tab w:val="left" w:pos="360"/>
          <w:tab w:val="left" w:pos="6660"/>
        </w:tabs>
        <w:spacing w:after="240"/>
        <w:jc w:val="center"/>
        <w:sectPr w:rsidR="00CE313B" w:rsidRPr="006E4BEC" w:rsidSect="00FE15EB">
          <w:headerReference w:type="even" r:id="rId9"/>
          <w:headerReference w:type="default" r:id="rId10"/>
          <w:footerReference w:type="even" r:id="rId11"/>
          <w:footnotePr>
            <w:numRestart w:val="eachSect"/>
          </w:footnotePr>
          <w:endnotePr>
            <w:numFmt w:val="decimal"/>
          </w:endnotePr>
          <w:type w:val="continuous"/>
          <w:pgSz w:w="12240" w:h="15840" w:code="1"/>
          <w:pgMar w:top="864" w:right="1008" w:bottom="864" w:left="1008" w:header="720" w:footer="720" w:gutter="0"/>
          <w:cols w:space="720"/>
          <w:titlePg/>
          <w:docGrid w:linePitch="272"/>
        </w:sectPr>
      </w:pPr>
    </w:p>
    <w:p w14:paraId="18DCA261" w14:textId="7F99E268" w:rsidR="00641D3B" w:rsidRPr="006E4BEC" w:rsidRDefault="0087384F" w:rsidP="00DE2EE4">
      <w:pPr>
        <w:pStyle w:val="Heading1"/>
        <w:spacing w:before="840"/>
        <w:rPr>
          <w:rFonts w:asciiTheme="minorHAnsi" w:hAnsiTheme="minorHAnsi"/>
          <w:color w:val="auto"/>
          <w:sz w:val="36"/>
          <w:szCs w:val="30"/>
        </w:rPr>
        <w:sectPr w:rsidR="00641D3B" w:rsidRPr="006E4BEC" w:rsidSect="00FE15EB">
          <w:footnotePr>
            <w:numRestart w:val="eachSect"/>
          </w:footnotePr>
          <w:endnotePr>
            <w:numFmt w:val="decimal"/>
          </w:endnotePr>
          <w:type w:val="continuous"/>
          <w:pgSz w:w="12240" w:h="15840" w:code="1"/>
          <w:pgMar w:top="864" w:right="1008" w:bottom="864" w:left="1008" w:header="720" w:footer="720" w:gutter="0"/>
          <w:cols w:space="720"/>
          <w:titlePg/>
          <w:docGrid w:linePitch="272"/>
        </w:sectPr>
      </w:pPr>
      <w:r w:rsidRPr="006E4BEC">
        <w:rPr>
          <w:rFonts w:asciiTheme="minorHAnsi" w:hAnsiTheme="minorHAnsi"/>
          <w:color w:val="auto"/>
          <w:sz w:val="36"/>
          <w:szCs w:val="30"/>
        </w:rPr>
        <w:t xml:space="preserve">State Exports </w:t>
      </w:r>
      <w:r w:rsidR="004C6288" w:rsidRPr="006E4BEC">
        <w:rPr>
          <w:rFonts w:asciiTheme="minorHAnsi" w:hAnsiTheme="minorHAnsi"/>
          <w:color w:val="auto"/>
          <w:sz w:val="36"/>
          <w:szCs w:val="30"/>
        </w:rPr>
        <w:t>Show Sustained Growth: Up</w:t>
      </w:r>
      <w:r w:rsidR="00DE2EE4" w:rsidRPr="006E4BEC">
        <w:rPr>
          <w:rFonts w:asciiTheme="minorHAnsi" w:hAnsiTheme="minorHAnsi"/>
          <w:color w:val="auto"/>
          <w:sz w:val="36"/>
          <w:szCs w:val="30"/>
        </w:rPr>
        <w:t xml:space="preserve"> </w:t>
      </w:r>
      <w:r w:rsidR="004C6288" w:rsidRPr="006E4BEC">
        <w:rPr>
          <w:rFonts w:asciiTheme="minorHAnsi" w:hAnsiTheme="minorHAnsi"/>
          <w:color w:val="auto"/>
          <w:sz w:val="36"/>
          <w:szCs w:val="30"/>
        </w:rPr>
        <w:t>9</w:t>
      </w:r>
      <w:r w:rsidR="00DE2EE4" w:rsidRPr="006E4BEC">
        <w:rPr>
          <w:rFonts w:asciiTheme="minorHAnsi" w:hAnsiTheme="minorHAnsi"/>
          <w:color w:val="auto"/>
          <w:sz w:val="36"/>
          <w:szCs w:val="30"/>
        </w:rPr>
        <w:t>%</w:t>
      </w:r>
      <w:r w:rsidRPr="006E4BEC">
        <w:rPr>
          <w:rFonts w:asciiTheme="minorHAnsi" w:hAnsiTheme="minorHAnsi"/>
          <w:color w:val="auto"/>
          <w:sz w:val="36"/>
          <w:szCs w:val="30"/>
        </w:rPr>
        <w:t xml:space="preserve"> </w:t>
      </w:r>
      <w:r w:rsidR="00BD6641" w:rsidRPr="006E4BEC">
        <w:rPr>
          <w:rFonts w:asciiTheme="minorHAnsi" w:hAnsiTheme="minorHAnsi"/>
          <w:color w:val="auto"/>
          <w:sz w:val="36"/>
          <w:szCs w:val="30"/>
        </w:rPr>
        <w:t xml:space="preserve">in </w:t>
      </w:r>
      <w:r w:rsidR="00A30328" w:rsidRPr="006E4BEC">
        <w:rPr>
          <w:rFonts w:asciiTheme="minorHAnsi" w:hAnsiTheme="minorHAnsi"/>
          <w:color w:val="auto"/>
          <w:sz w:val="36"/>
          <w:szCs w:val="30"/>
        </w:rPr>
        <w:t>First</w:t>
      </w:r>
      <w:r w:rsidR="00BD6641" w:rsidRPr="006E4BEC">
        <w:rPr>
          <w:rFonts w:asciiTheme="minorHAnsi" w:hAnsiTheme="minorHAnsi"/>
          <w:color w:val="auto"/>
          <w:sz w:val="36"/>
          <w:szCs w:val="30"/>
        </w:rPr>
        <w:t xml:space="preserve"> Quarter</w:t>
      </w:r>
    </w:p>
    <w:p w14:paraId="2DB69746" w14:textId="0E00127A" w:rsidR="00F20245" w:rsidRPr="006E4BEC" w:rsidRDefault="007F1C4A" w:rsidP="00044ED9">
      <w:pPr>
        <w:pStyle w:val="ListParagraph"/>
        <w:numPr>
          <w:ilvl w:val="0"/>
          <w:numId w:val="9"/>
        </w:numPr>
        <w:spacing w:before="60" w:after="0"/>
      </w:pPr>
      <w:r w:rsidRPr="006E4BEC">
        <w:t>Minnesota exports</w:t>
      </w:r>
      <w:r w:rsidR="00F20245" w:rsidRPr="006E4BEC">
        <w:t xml:space="preserve"> of goods</w:t>
      </w:r>
      <w:r w:rsidRPr="006E4BEC">
        <w:t xml:space="preserve"> (incl</w:t>
      </w:r>
      <w:r w:rsidR="004C6288" w:rsidRPr="006E4BEC">
        <w:t>uding</w:t>
      </w:r>
      <w:r w:rsidRPr="006E4BEC">
        <w:t xml:space="preserve"> agricultural, </w:t>
      </w:r>
      <w:proofErr w:type="gramStart"/>
      <w:r w:rsidRPr="006E4BEC">
        <w:t>mining</w:t>
      </w:r>
      <w:proofErr w:type="gramEnd"/>
      <w:r w:rsidRPr="006E4BEC">
        <w:t xml:space="preserve"> and manufact</w:t>
      </w:r>
      <w:r w:rsidR="00A02A94" w:rsidRPr="006E4BEC">
        <w:t>ured products) wer</w:t>
      </w:r>
      <w:r w:rsidR="00E92FA6" w:rsidRPr="006E4BEC">
        <w:t>e</w:t>
      </w:r>
      <w:r w:rsidR="00F20245" w:rsidRPr="006E4BEC">
        <w:t xml:space="preserve"> valued at</w:t>
      </w:r>
      <w:r w:rsidR="00E92FA6" w:rsidRPr="006E4BEC">
        <w:t xml:space="preserve"> $</w:t>
      </w:r>
      <w:r w:rsidR="00D4733E" w:rsidRPr="006E4BEC">
        <w:t>6.</w:t>
      </w:r>
      <w:r w:rsidR="004C6288" w:rsidRPr="006E4BEC">
        <w:t>6</w:t>
      </w:r>
      <w:r w:rsidR="00C23DAA" w:rsidRPr="006E4BEC">
        <w:t xml:space="preserve"> billion</w:t>
      </w:r>
      <w:r w:rsidR="00DB304D" w:rsidRPr="006E4BEC">
        <w:t xml:space="preserve"> in the </w:t>
      </w:r>
      <w:r w:rsidR="00A30328" w:rsidRPr="006E4BEC">
        <w:t>first</w:t>
      </w:r>
      <w:r w:rsidR="00DB304D" w:rsidRPr="006E4BEC">
        <w:t xml:space="preserve"> quarter of </w:t>
      </w:r>
      <w:r w:rsidR="00D4733E" w:rsidRPr="006E4BEC">
        <w:t>202</w:t>
      </w:r>
      <w:r w:rsidR="004C6288" w:rsidRPr="006E4BEC">
        <w:t>3</w:t>
      </w:r>
      <w:r w:rsidR="00DB304D" w:rsidRPr="006E4BEC">
        <w:t xml:space="preserve">, </w:t>
      </w:r>
      <w:r w:rsidR="00F75C80" w:rsidRPr="006E4BEC">
        <w:t xml:space="preserve">representing a </w:t>
      </w:r>
      <w:r w:rsidR="00D4733E" w:rsidRPr="006E4BEC">
        <w:t xml:space="preserve">gain </w:t>
      </w:r>
      <w:r w:rsidR="00F75C80" w:rsidRPr="006E4BEC">
        <w:t>of</w:t>
      </w:r>
      <w:r w:rsidR="004C6288" w:rsidRPr="006E4BEC">
        <w:t xml:space="preserve"> 9</w:t>
      </w:r>
      <w:r w:rsidR="007818E5" w:rsidRPr="006E4BEC">
        <w:t>%</w:t>
      </w:r>
      <w:r w:rsidR="00B5144B" w:rsidRPr="006E4BEC">
        <w:t xml:space="preserve"> (or</w:t>
      </w:r>
      <w:r w:rsidR="0087384F" w:rsidRPr="006E4BEC">
        <w:t xml:space="preserve"> up</w:t>
      </w:r>
      <w:r w:rsidR="00B5144B" w:rsidRPr="006E4BEC">
        <w:t xml:space="preserve"> $</w:t>
      </w:r>
      <w:r w:rsidR="004C6288" w:rsidRPr="006E4BEC">
        <w:t>519</w:t>
      </w:r>
      <w:r w:rsidR="00C23DAA" w:rsidRPr="006E4BEC">
        <w:t xml:space="preserve"> million</w:t>
      </w:r>
      <w:r w:rsidRPr="006E4BEC">
        <w:t xml:space="preserve">) </w:t>
      </w:r>
      <w:r w:rsidR="00D4733E" w:rsidRPr="006E4BEC">
        <w:t>over</w:t>
      </w:r>
      <w:r w:rsidR="00DB304D" w:rsidRPr="006E4BEC">
        <w:t xml:space="preserve"> </w:t>
      </w:r>
      <w:r w:rsidRPr="006E4BEC">
        <w:t xml:space="preserve">the </w:t>
      </w:r>
      <w:r w:rsidR="00A30328" w:rsidRPr="006E4BEC">
        <w:t>first</w:t>
      </w:r>
      <w:r w:rsidRPr="006E4BEC">
        <w:t xml:space="preserve"> qu</w:t>
      </w:r>
      <w:r w:rsidR="00DB304D" w:rsidRPr="006E4BEC">
        <w:t>arter</w:t>
      </w:r>
      <w:r w:rsidR="00957BCF" w:rsidRPr="006E4BEC">
        <w:t xml:space="preserve"> of </w:t>
      </w:r>
      <w:r w:rsidR="004C6288" w:rsidRPr="006E4BEC">
        <w:t>2022</w:t>
      </w:r>
      <w:r w:rsidR="00B85149" w:rsidRPr="006E4BEC">
        <w:t xml:space="preserve">. </w:t>
      </w:r>
      <w:r w:rsidR="002E53C6" w:rsidRPr="006E4BEC">
        <w:t xml:space="preserve">This </w:t>
      </w:r>
      <w:r w:rsidR="006064E9" w:rsidRPr="006E4BEC">
        <w:t>wa</w:t>
      </w:r>
      <w:r w:rsidR="002E53C6" w:rsidRPr="006E4BEC">
        <w:t>s the eighth consecutive quarter of export growth.</w:t>
      </w:r>
    </w:p>
    <w:p w14:paraId="05D1187F" w14:textId="77777777" w:rsidR="00535D23" w:rsidRPr="006E4BEC" w:rsidRDefault="00C97041" w:rsidP="00535D23">
      <w:pPr>
        <w:pStyle w:val="ListParagraph"/>
        <w:numPr>
          <w:ilvl w:val="0"/>
          <w:numId w:val="9"/>
        </w:numPr>
        <w:spacing w:after="0"/>
      </w:pPr>
      <w:r w:rsidRPr="006E4BEC">
        <w:t>U.S. exports</w:t>
      </w:r>
      <w:r w:rsidR="00742415" w:rsidRPr="006E4BEC">
        <w:t xml:space="preserve"> of goods</w:t>
      </w:r>
      <w:r w:rsidR="00C23DAA" w:rsidRPr="006E4BEC">
        <w:t xml:space="preserve"> </w:t>
      </w:r>
      <w:r w:rsidR="00AE3C57" w:rsidRPr="006E4BEC">
        <w:t xml:space="preserve">rose </w:t>
      </w:r>
      <w:r w:rsidR="004C6288" w:rsidRPr="006E4BEC">
        <w:t>7</w:t>
      </w:r>
      <w:r w:rsidR="007818E5" w:rsidRPr="006E4BEC">
        <w:t>%</w:t>
      </w:r>
      <w:r w:rsidR="00521967" w:rsidRPr="006E4BEC">
        <w:t xml:space="preserve"> during </w:t>
      </w:r>
      <w:r w:rsidR="007216E3" w:rsidRPr="006E4BEC">
        <w:t>the first quarter</w:t>
      </w:r>
      <w:r w:rsidR="00D4733E" w:rsidRPr="006E4BEC">
        <w:t xml:space="preserve">, with </w:t>
      </w:r>
      <w:r w:rsidR="0087384F" w:rsidRPr="006E4BEC">
        <w:t>3</w:t>
      </w:r>
      <w:r w:rsidR="004C6288" w:rsidRPr="006E4BEC">
        <w:t>7</w:t>
      </w:r>
      <w:r w:rsidR="00AE3C57" w:rsidRPr="006E4BEC">
        <w:t xml:space="preserve"> </w:t>
      </w:r>
      <w:r w:rsidR="001625A3" w:rsidRPr="006E4BEC">
        <w:t>states</w:t>
      </w:r>
      <w:r w:rsidR="0087384F" w:rsidRPr="006E4BEC">
        <w:t xml:space="preserve"> and Washington D.C.</w:t>
      </w:r>
      <w:r w:rsidR="00D4733E" w:rsidRPr="006E4BEC">
        <w:t xml:space="preserve"> </w:t>
      </w:r>
      <w:r w:rsidR="001625A3" w:rsidRPr="006E4BEC">
        <w:t>ha</w:t>
      </w:r>
      <w:r w:rsidR="00D4733E" w:rsidRPr="006E4BEC">
        <w:t>ving</w:t>
      </w:r>
      <w:r w:rsidR="00954A83" w:rsidRPr="006E4BEC">
        <w:t xml:space="preserve"> positive </w:t>
      </w:r>
      <w:r w:rsidR="00D4733E" w:rsidRPr="006E4BEC">
        <w:t>export growt</w:t>
      </w:r>
      <w:r w:rsidR="00F72892" w:rsidRPr="006E4BEC">
        <w:t xml:space="preserve">h </w:t>
      </w:r>
      <w:r w:rsidR="0087384F" w:rsidRPr="006E4BEC">
        <w:t>rates over</w:t>
      </w:r>
      <w:r w:rsidR="00AE3C57" w:rsidRPr="006E4BEC">
        <w:t xml:space="preserve"> the first quarter of </w:t>
      </w:r>
      <w:r w:rsidR="004C6288" w:rsidRPr="006E4BEC">
        <w:t>2022</w:t>
      </w:r>
      <w:r w:rsidR="007216E3" w:rsidRPr="006E4BEC">
        <w:t>.</w:t>
      </w:r>
    </w:p>
    <w:p w14:paraId="03CA25DA" w14:textId="7FC9D282" w:rsidR="007F1C4A" w:rsidRPr="006E4BEC" w:rsidRDefault="00692D3B" w:rsidP="002E53C6">
      <w:pPr>
        <w:pStyle w:val="ListParagraph"/>
        <w:numPr>
          <w:ilvl w:val="0"/>
          <w:numId w:val="9"/>
        </w:numPr>
        <w:spacing w:after="0"/>
        <w:rPr>
          <w:rStyle w:val="Heading4Char"/>
          <w:rFonts w:eastAsiaTheme="minorEastAsia" w:cstheme="minorBidi"/>
          <w:b w:val="0"/>
          <w:bCs w:val="0"/>
          <w:i w:val="0"/>
          <w:iCs w:val="0"/>
          <w:color w:val="auto"/>
          <w:sz w:val="22"/>
        </w:rPr>
      </w:pPr>
      <w:r w:rsidRPr="006E4BEC">
        <w:t>Minnesota</w:t>
      </w:r>
      <w:r w:rsidR="007216E3" w:rsidRPr="006E4BEC">
        <w:t>’s</w:t>
      </w:r>
      <w:r w:rsidRPr="006E4BEC">
        <w:t xml:space="preserve"> </w:t>
      </w:r>
      <w:r w:rsidRPr="006E4BEC">
        <w:rPr>
          <w:i/>
        </w:rPr>
        <w:t>manufactured</w:t>
      </w:r>
      <w:r w:rsidR="001F7EBF" w:rsidRPr="006E4BEC">
        <w:t xml:space="preserve"> exports</w:t>
      </w:r>
      <w:r w:rsidR="00DD736C" w:rsidRPr="006E4BEC">
        <w:t xml:space="preserve"> </w:t>
      </w:r>
      <w:r w:rsidR="00387777" w:rsidRPr="006E4BEC">
        <w:t>jump</w:t>
      </w:r>
      <w:r w:rsidR="00DE2EE4" w:rsidRPr="006E4BEC">
        <w:t>ed</w:t>
      </w:r>
      <w:r w:rsidR="00C97041" w:rsidRPr="006E4BEC">
        <w:t xml:space="preserve"> </w:t>
      </w:r>
      <w:r w:rsidR="00B72D64" w:rsidRPr="006E4BEC">
        <w:t xml:space="preserve">over </w:t>
      </w:r>
      <w:r w:rsidR="00387777" w:rsidRPr="006E4BEC">
        <w:t>11</w:t>
      </w:r>
      <w:r w:rsidR="00742415" w:rsidRPr="006E4BEC">
        <w:t>%</w:t>
      </w:r>
      <w:r w:rsidR="00C97041" w:rsidRPr="006E4BEC">
        <w:t xml:space="preserve"> to </w:t>
      </w:r>
      <w:r w:rsidR="00956763" w:rsidRPr="006E4BEC">
        <w:t>$</w:t>
      </w:r>
      <w:r w:rsidR="00387777" w:rsidRPr="006E4BEC">
        <w:t>6.1</w:t>
      </w:r>
      <w:r w:rsidR="004A3CC9" w:rsidRPr="006E4BEC">
        <w:t xml:space="preserve"> billion</w:t>
      </w:r>
      <w:r w:rsidRPr="006E4BEC">
        <w:t xml:space="preserve"> </w:t>
      </w:r>
      <w:r w:rsidR="007F1C4A" w:rsidRPr="006E4BEC">
        <w:t xml:space="preserve">in the </w:t>
      </w:r>
      <w:r w:rsidR="00A30328" w:rsidRPr="006E4BEC">
        <w:t>first</w:t>
      </w:r>
      <w:r w:rsidR="007F1C4A" w:rsidRPr="006E4BEC">
        <w:t xml:space="preserve"> quarter of </w:t>
      </w:r>
      <w:r w:rsidR="004C6288" w:rsidRPr="006E4BEC">
        <w:t>2023</w:t>
      </w:r>
      <w:r w:rsidR="00DE2EE4" w:rsidRPr="006E4BEC">
        <w:t>, while</w:t>
      </w:r>
      <w:r w:rsidR="00C23DAA" w:rsidRPr="006E4BEC">
        <w:t xml:space="preserve"> </w:t>
      </w:r>
      <w:r w:rsidR="00E42787" w:rsidRPr="006E4BEC">
        <w:t>U.S</w:t>
      </w:r>
      <w:r w:rsidR="00742415" w:rsidRPr="006E4BEC">
        <w:t xml:space="preserve">. </w:t>
      </w:r>
      <w:r w:rsidR="00742415" w:rsidRPr="006E4BEC">
        <w:rPr>
          <w:i/>
        </w:rPr>
        <w:t>manufactured</w:t>
      </w:r>
      <w:r w:rsidR="00742415" w:rsidRPr="006E4BEC">
        <w:t xml:space="preserve"> exports </w:t>
      </w:r>
      <w:r w:rsidR="00B72D64" w:rsidRPr="006E4BEC">
        <w:t xml:space="preserve">were up </w:t>
      </w:r>
      <w:r w:rsidR="00387777" w:rsidRPr="006E4BEC">
        <w:t>6</w:t>
      </w:r>
      <w:r w:rsidR="007818E5" w:rsidRPr="006E4BEC">
        <w:t>%</w:t>
      </w:r>
      <w:r w:rsidR="002E53C6" w:rsidRPr="006E4BEC">
        <w:t>.</w:t>
      </w:r>
      <w:r w:rsidR="002E53C6" w:rsidRPr="006E4BEC">
        <w:br w:type="column"/>
      </w:r>
      <w:r w:rsidR="007F1C4A" w:rsidRPr="006E4BEC">
        <w:rPr>
          <w:rStyle w:val="Heading4Char"/>
          <w:color w:val="auto"/>
        </w:rPr>
        <w:t xml:space="preserve">Figure </w:t>
      </w:r>
      <w:r w:rsidR="007F1C4A" w:rsidRPr="006E4BEC">
        <w:rPr>
          <w:rStyle w:val="Heading4Char"/>
          <w:color w:val="auto"/>
        </w:rPr>
        <w:fldChar w:fldCharType="begin"/>
      </w:r>
      <w:r w:rsidR="007F1C4A" w:rsidRPr="006E4BEC">
        <w:rPr>
          <w:rStyle w:val="Heading4Char"/>
          <w:color w:val="auto"/>
        </w:rPr>
        <w:instrText xml:space="preserve"> SEQ Figure \* ARABIC </w:instrText>
      </w:r>
      <w:r w:rsidR="007F1C4A" w:rsidRPr="006E4BEC">
        <w:rPr>
          <w:rStyle w:val="Heading4Char"/>
          <w:color w:val="auto"/>
        </w:rPr>
        <w:fldChar w:fldCharType="separate"/>
      </w:r>
      <w:r w:rsidR="00C430F8" w:rsidRPr="006E4BEC">
        <w:rPr>
          <w:rStyle w:val="Heading4Char"/>
          <w:noProof/>
          <w:color w:val="auto"/>
        </w:rPr>
        <w:t>1</w:t>
      </w:r>
      <w:r w:rsidR="007F1C4A" w:rsidRPr="006E4BEC">
        <w:rPr>
          <w:rStyle w:val="Heading4Char"/>
          <w:color w:val="auto"/>
        </w:rPr>
        <w:fldChar w:fldCharType="end"/>
      </w:r>
      <w:r w:rsidR="00A52415" w:rsidRPr="006E4BEC">
        <w:rPr>
          <w:rStyle w:val="Heading4Char"/>
          <w:color w:val="auto"/>
        </w:rPr>
        <w:t>.</w:t>
      </w:r>
      <w:r w:rsidR="00F72892" w:rsidRPr="006E4BEC">
        <w:rPr>
          <w:rStyle w:val="Heading4Char"/>
          <w:color w:val="auto"/>
        </w:rPr>
        <w:t xml:space="preserve"> </w:t>
      </w:r>
      <w:r w:rsidR="002E53C6" w:rsidRPr="006E4BEC">
        <w:rPr>
          <w:rStyle w:val="Heading4Char"/>
          <w:color w:val="auto"/>
        </w:rPr>
        <w:t>Exports Grow from 37</w:t>
      </w:r>
      <w:r w:rsidR="00F72892" w:rsidRPr="006E4BEC">
        <w:rPr>
          <w:rStyle w:val="Heading4Char"/>
          <w:color w:val="auto"/>
        </w:rPr>
        <w:t xml:space="preserve"> States</w:t>
      </w:r>
    </w:p>
    <w:p w14:paraId="5316D7DA" w14:textId="7604625C" w:rsidR="004F6D22" w:rsidRPr="006E4BEC" w:rsidRDefault="004F6D22" w:rsidP="00D4733E">
      <w:pPr>
        <w:spacing w:after="0" w:line="271" w:lineRule="auto"/>
        <w:rPr>
          <w:rStyle w:val="Heading4Char"/>
          <w:rFonts w:eastAsiaTheme="minorEastAsia" w:cstheme="minorBidi"/>
          <w:bCs w:val="0"/>
          <w:i w:val="0"/>
          <w:iCs w:val="0"/>
          <w:color w:val="auto"/>
          <w:sz w:val="22"/>
        </w:rPr>
      </w:pPr>
      <w:r w:rsidRPr="006E4BEC">
        <w:rPr>
          <w:noProof/>
        </w:rPr>
        <mc:AlternateContent>
          <mc:Choice Requires="wps">
            <w:drawing>
              <wp:anchor distT="0" distB="0" distL="114300" distR="114300" simplePos="0" relativeHeight="251658752" behindDoc="0" locked="0" layoutInCell="1" allowOverlap="1" wp14:anchorId="24E76B40" wp14:editId="7351ABD4">
                <wp:simplePos x="0" y="0"/>
                <wp:positionH relativeFrom="margin">
                  <wp:posOffset>6049846</wp:posOffset>
                </wp:positionH>
                <wp:positionV relativeFrom="paragraph">
                  <wp:posOffset>1415740</wp:posOffset>
                </wp:positionV>
                <wp:extent cx="780415" cy="435610"/>
                <wp:effectExtent l="0" t="0" r="0" b="2540"/>
                <wp:wrapNone/>
                <wp:docPr id="307" name="Text Box 2" descr="MN: -18%&#10;U.S.: -30%&#10;" title="highlight 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415" cy="435610"/>
                        </a:xfrm>
                        <a:prstGeom prst="rect">
                          <a:avLst/>
                        </a:prstGeom>
                        <a:noFill/>
                        <a:ln w="9525">
                          <a:noFill/>
                          <a:miter lim="800000"/>
                          <a:headEnd/>
                          <a:tailEnd/>
                        </a:ln>
                      </wps:spPr>
                      <wps:txbx>
                        <w:txbxContent>
                          <w:p w14:paraId="60A296D5" w14:textId="6BA661C0" w:rsidR="007F1C4A" w:rsidRPr="00044ED9" w:rsidRDefault="007F1C4A" w:rsidP="007F1C4A">
                            <w:pPr>
                              <w:spacing w:after="0"/>
                              <w:rPr>
                                <w:b/>
                                <w:i/>
                                <w:szCs w:val="24"/>
                              </w:rPr>
                            </w:pPr>
                            <w:r w:rsidRPr="00044ED9">
                              <w:rPr>
                                <w:b/>
                                <w:i/>
                                <w:szCs w:val="24"/>
                              </w:rPr>
                              <w:t>M</w:t>
                            </w:r>
                            <w:r w:rsidR="0065603B" w:rsidRPr="00044ED9">
                              <w:rPr>
                                <w:b/>
                                <w:i/>
                                <w:szCs w:val="24"/>
                              </w:rPr>
                              <w:t xml:space="preserve">N:  </w:t>
                            </w:r>
                            <w:r w:rsidR="00F72892" w:rsidRPr="00044ED9">
                              <w:rPr>
                                <w:b/>
                                <w:i/>
                                <w:szCs w:val="24"/>
                              </w:rPr>
                              <w:t>+</w:t>
                            </w:r>
                            <w:r w:rsidR="00E24645" w:rsidRPr="00044ED9">
                              <w:rPr>
                                <w:b/>
                                <w:i/>
                                <w:szCs w:val="24"/>
                              </w:rPr>
                              <w:t>9</w:t>
                            </w:r>
                            <w:r w:rsidRPr="00044ED9">
                              <w:rPr>
                                <w:b/>
                                <w:i/>
                                <w:szCs w:val="24"/>
                              </w:rPr>
                              <w:t>%</w:t>
                            </w:r>
                          </w:p>
                          <w:p w14:paraId="588145EA" w14:textId="59E3093B" w:rsidR="007F1C4A" w:rsidRPr="00044ED9" w:rsidRDefault="00293DCF" w:rsidP="007F1C4A">
                            <w:pPr>
                              <w:spacing w:after="0"/>
                              <w:rPr>
                                <w:b/>
                                <w:i/>
                                <w:szCs w:val="24"/>
                              </w:rPr>
                            </w:pPr>
                            <w:r w:rsidRPr="00044ED9">
                              <w:rPr>
                                <w:b/>
                                <w:i/>
                                <w:szCs w:val="24"/>
                              </w:rPr>
                              <w:t xml:space="preserve">U.S.: </w:t>
                            </w:r>
                            <w:r w:rsidR="00F72892" w:rsidRPr="00044ED9">
                              <w:rPr>
                                <w:b/>
                                <w:i/>
                                <w:szCs w:val="24"/>
                              </w:rPr>
                              <w:t>+</w:t>
                            </w:r>
                            <w:r w:rsidR="00E24645" w:rsidRPr="00044ED9">
                              <w:rPr>
                                <w:b/>
                                <w:i/>
                                <w:szCs w:val="24"/>
                              </w:rPr>
                              <w:t>7</w:t>
                            </w:r>
                            <w:r w:rsidR="007F1C4A" w:rsidRPr="00044ED9">
                              <w:rPr>
                                <w:b/>
                                <w:i/>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E76B40" id="_x0000_s1027" type="#_x0000_t202" alt="Title: highlight text box - Description: MN: -18%&#10;U.S.: -30%&#10;" style="position:absolute;margin-left:476.35pt;margin-top:111.5pt;width:61.45pt;height:34.3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" filled="f" stroked="f">
                <v:textbox>
                  <w:txbxContent>
                    <w:p w14:paraId="60A296D5" w14:textId="6BA661C0" w:rsidR="007F1C4A" w:rsidRPr="00044ED9" w:rsidRDefault="007F1C4A" w:rsidP="007F1C4A">
                      <w:pPr>
                        <w:spacing w:after="0"/>
                        <w:rPr>
                          <w:b/>
                          <w:i/>
                          <w:szCs w:val="24"/>
                        </w:rPr>
                      </w:pPr>
                      <w:r w:rsidRPr="00044ED9">
                        <w:rPr>
                          <w:b/>
                          <w:i/>
                          <w:szCs w:val="24"/>
                        </w:rPr>
                        <w:t>M</w:t>
                      </w:r>
                      <w:r w:rsidR="0065603B" w:rsidRPr="00044ED9">
                        <w:rPr>
                          <w:b/>
                          <w:i/>
                          <w:szCs w:val="24"/>
                        </w:rPr>
                        <w:t xml:space="preserve">N:  </w:t>
                      </w:r>
                      <w:r w:rsidR="00F72892" w:rsidRPr="00044ED9">
                        <w:rPr>
                          <w:b/>
                          <w:i/>
                          <w:szCs w:val="24"/>
                        </w:rPr>
                        <w:t>+</w:t>
                      </w:r>
                      <w:r w:rsidR="00E24645" w:rsidRPr="00044ED9">
                        <w:rPr>
                          <w:b/>
                          <w:i/>
                          <w:szCs w:val="24"/>
                        </w:rPr>
                        <w:t>9</w:t>
                      </w:r>
                      <w:r w:rsidRPr="00044ED9">
                        <w:rPr>
                          <w:b/>
                          <w:i/>
                          <w:szCs w:val="24"/>
                        </w:rPr>
                        <w:t>%</w:t>
                      </w:r>
                    </w:p>
                    <w:p w14:paraId="588145EA" w14:textId="59E3093B" w:rsidR="007F1C4A" w:rsidRPr="00044ED9" w:rsidRDefault="00293DCF" w:rsidP="007F1C4A">
                      <w:pPr>
                        <w:spacing w:after="0"/>
                        <w:rPr>
                          <w:b/>
                          <w:i/>
                          <w:szCs w:val="24"/>
                        </w:rPr>
                      </w:pPr>
                      <w:r w:rsidRPr="00044ED9">
                        <w:rPr>
                          <w:b/>
                          <w:i/>
                          <w:szCs w:val="24"/>
                        </w:rPr>
                        <w:t xml:space="preserve">U.S.: </w:t>
                      </w:r>
                      <w:r w:rsidR="00F72892" w:rsidRPr="00044ED9">
                        <w:rPr>
                          <w:b/>
                          <w:i/>
                          <w:szCs w:val="24"/>
                        </w:rPr>
                        <w:t>+</w:t>
                      </w:r>
                      <w:r w:rsidR="00E24645" w:rsidRPr="00044ED9">
                        <w:rPr>
                          <w:b/>
                          <w:i/>
                          <w:szCs w:val="24"/>
                        </w:rPr>
                        <w:t>7</w:t>
                      </w:r>
                      <w:r w:rsidR="007F1C4A" w:rsidRPr="00044ED9">
                        <w:rPr>
                          <w:b/>
                          <w:i/>
                          <w:szCs w:val="24"/>
                        </w:rPr>
                        <w:t>%</w:t>
                      </w:r>
                    </w:p>
                  </w:txbxContent>
                </v:textbox>
                <w10:wrap anchorx="margin"/>
              </v:shape>
            </w:pict>
          </mc:Fallback>
        </mc:AlternateContent>
      </w:r>
      <w:r w:rsidR="00E24645" w:rsidRPr="006E4BEC">
        <w:rPr>
          <w:noProof/>
        </w:rPr>
        <w:drawing>
          <wp:inline distT="0" distB="0" distL="0" distR="0" wp14:anchorId="30054A06" wp14:editId="6E3BBAB4">
            <wp:extent cx="3333352" cy="1844796"/>
            <wp:effectExtent l="0" t="0" r="635" b="3175"/>
            <wp:docPr id="1" name="Picture 1" descr="trends in exports by state 2023-Q1&#10;&#10;State Pct Ch&#10;Minnesota 9%&#10;United States 7%&#10;Alabama 10%&#10;Alaska 15%&#10;Arizona 10%&#10;Arkansas 20%&#10;California -1%&#10;Colorado 7%&#10;Connecticut 3%&#10;Delaware -8%&#10;Dist of Columbia 1%&#10;Florida 8%&#10;Georgia 12%&#10;Hawaii 21%&#10;Idaho 2%&#10;Illinois 15%&#10;Indiana 22%&#10;Iowa 21%&#10;Kansas 3%&#10;Kentucky 12%&#10;Louisiana 15%&#10;Maine -18%&#10;Maryland 17%&#10;Massachusetts 17%&#10;Michigan 10%&#10;Mississippi 8%&#10;Missouri 11%&#10;Montana -3%&#10;Nebraska -4%&#10;Nevada -19%&#10;New Hampshire 18%&#10;New Jersey -6%&#10;New Mexico 37%&#10;New York 26%&#10;North Carolina 17%&#10;North Dakota -6%&#10;Ohio 4%&#10;Oklahoma -8%&#10;Oregon -8%&#10;Pennsylvania 5%&#10;Rhode Island 8%&#10;South Carolina 16%&#10;South Dakota 24%&#10;Tennessee 1%&#10;Texas -1%&#10;Utah 12%&#10;Vermont -28%&#10;Virginia 3%&#10;Washington 3%&#10;West Virginia -12%&#10;Wisconsin 4%&#10;Wyoming 3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rends in exports by state 2023-Q1&#10;&#10;State Pct Ch&#10;Minnesota 9%&#10;United States 7%&#10;Alabama 10%&#10;Alaska 15%&#10;Arizona 10%&#10;Arkansas 20%&#10;California -1%&#10;Colorado 7%&#10;Connecticut 3%&#10;Delaware -8%&#10;Dist of Columbia 1%&#10;Florida 8%&#10;Georgia 12%&#10;Hawaii 21%&#10;Idaho 2%&#10;Illinois 15%&#10;Indiana 22%&#10;Iowa 21%&#10;Kansas 3%&#10;Kentucky 12%&#10;Louisiana 15%&#10;Maine -18%&#10;Maryland 17%&#10;Massachusetts 17%&#10;Michigan 10%&#10;Mississippi 8%&#10;Missouri 11%&#10;Montana -3%&#10;Nebraska -4%&#10;Nevada -19%&#10;New Hampshire 18%&#10;New Jersey -6%&#10;New Mexico 37%&#10;New York 26%&#10;North Carolina 17%&#10;North Dakota -6%&#10;Ohio 4%&#10;Oklahoma -8%&#10;Oregon -8%&#10;Pennsylvania 5%&#10;Rhode Island 8%&#10;South Carolina 16%&#10;South Dakota 24%&#10;Tennessee 1%&#10;Texas -1%&#10;Utah 12%&#10;Vermont -28%&#10;Virginia 3%&#10;Washington 3%&#10;West Virginia -12%&#10;Wisconsin 4%&#10;Wyoming 34%&#10;"/>
                    <pic:cNvPicPr>
                      <a:picLocks noChangeAspect="1" noChangeArrowheads="1"/>
                    </pic:cNvPicPr>
                  </pic:nvPicPr>
                  <pic:blipFill rotWithShape="1">
                    <a:blip r:embed="rId12">
                      <a:extLst>
                        <a:ext uri="{28A0092B-C50C-407E-A947-70E740481C1C}">
                          <a14:useLocalDpi xmlns:a14="http://schemas.microsoft.com/office/drawing/2010/main" val="0"/>
                        </a:ext>
                      </a:extLst>
                    </a:blip>
                    <a:srcRect t="13515" b="12140"/>
                    <a:stretch/>
                  </pic:blipFill>
                  <pic:spPr bwMode="auto">
                    <a:xfrm>
                      <a:off x="0" y="0"/>
                      <a:ext cx="3351545" cy="1854865"/>
                    </a:xfrm>
                    <a:prstGeom prst="rect">
                      <a:avLst/>
                    </a:prstGeom>
                    <a:noFill/>
                    <a:ln>
                      <a:noFill/>
                    </a:ln>
                    <a:extLst>
                      <a:ext uri="{53640926-AAD7-44D8-BBD7-CCE9431645EC}">
                        <a14:shadowObscured xmlns:a14="http://schemas.microsoft.com/office/drawing/2010/main"/>
                      </a:ext>
                    </a:extLst>
                  </pic:spPr>
                </pic:pic>
              </a:graphicData>
            </a:graphic>
          </wp:inline>
        </w:drawing>
      </w:r>
    </w:p>
    <w:p w14:paraId="0AAEB35D" w14:textId="29FA78A6" w:rsidR="007F1C4A" w:rsidRPr="006E4BEC" w:rsidRDefault="007F1C4A" w:rsidP="007F1C4A">
      <w:pPr>
        <w:spacing w:after="0"/>
        <w:rPr>
          <w:i/>
          <w:sz w:val="18"/>
        </w:rPr>
      </w:pPr>
      <w:r w:rsidRPr="006E4BEC">
        <w:rPr>
          <w:rFonts w:ascii="Times New Roman" w:eastAsia="Times New Roman" w:hAnsi="Times New Roman" w:cs="Times New Roman"/>
          <w:snapToGrid w:val="0"/>
          <w:w w:val="0"/>
          <w:sz w:val="0"/>
          <w:szCs w:val="0"/>
          <w:u w:color="000000"/>
          <w:bdr w:val="none" w:sz="0" w:space="0" w:color="000000"/>
          <w:shd w:val="clear" w:color="000000" w:fill="000000"/>
          <w:lang w:val="x-none" w:eastAsia="x-none" w:bidi="x-none"/>
        </w:rPr>
        <w:t xml:space="preserve"> </w:t>
      </w:r>
      <w:r w:rsidRPr="006E4BEC">
        <w:rPr>
          <w:i/>
          <w:sz w:val="18"/>
        </w:rPr>
        <w:t xml:space="preserve"> Decline     0%   Growth</w:t>
      </w:r>
    </w:p>
    <w:p w14:paraId="6B23B2F3" w14:textId="40E1BED4" w:rsidR="00BE4DAD" w:rsidRPr="006E4BEC" w:rsidRDefault="00A52415" w:rsidP="00173D78">
      <w:pPr>
        <w:spacing w:after="0"/>
        <w:rPr>
          <w:rFonts w:ascii="Arial Narrow" w:hAnsi="Arial Narrow"/>
          <w:sz w:val="2"/>
          <w:szCs w:val="2"/>
        </w:rPr>
        <w:sectPr w:rsidR="00BE4DAD" w:rsidRPr="006E4BEC" w:rsidSect="00FE15EB">
          <w:footnotePr>
            <w:numRestart w:val="eachSect"/>
          </w:footnotePr>
          <w:endnotePr>
            <w:numFmt w:val="decimal"/>
          </w:endnotePr>
          <w:type w:val="continuous"/>
          <w:pgSz w:w="12240" w:h="15840" w:code="1"/>
          <w:pgMar w:top="864" w:right="1008" w:bottom="864" w:left="1008" w:header="720" w:footer="720" w:gutter="0"/>
          <w:cols w:num="2" w:space="450"/>
          <w:titlePg/>
          <w:docGrid w:linePitch="299"/>
        </w:sectPr>
      </w:pPr>
      <w:r w:rsidRPr="006E4BEC">
        <w:rPr>
          <w:rFonts w:ascii="Arial Narrow" w:hAnsi="Arial Narrow"/>
          <w:noProof/>
          <w:sz w:val="2"/>
          <w:szCs w:val="2"/>
        </w:rPr>
        <w:drawing>
          <wp:inline distT="0" distB="0" distL="0" distR="0" wp14:anchorId="5C21AFCD" wp14:editId="1362234B">
            <wp:extent cx="1066800" cy="152400"/>
            <wp:effectExtent l="0" t="0" r="0" b="0"/>
            <wp:docPr id="7" name="Picture 7" descr="S:\Groups\CARD\AEO\Thu-Mai\Tableau, Viz\MTO Tableau files\Export Stats Reports\Newsletter &amp; Fact Sheet charts\2018-Q4 USMap_lege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Groups\CARD\AEO\Thu-Mai\Tableau, Viz\MTO Tableau files\Export Stats Reports\Newsletter &amp; Fact Sheet charts\2018-Q4 USMap_legend.jpg"/>
                    <pic:cNvPicPr>
                      <a:picLocks noChangeAspect="1" noChangeArrowheads="1"/>
                    </pic:cNvPicPr>
                  </pic:nvPicPr>
                  <pic:blipFill rotWithShape="1">
                    <a:blip r:embed="rId13">
                      <a:extLst>
                        <a:ext uri="{28A0092B-C50C-407E-A947-70E740481C1C}">
                          <a14:useLocalDpi xmlns:a14="http://schemas.microsoft.com/office/drawing/2010/main" val="0"/>
                        </a:ext>
                      </a:extLst>
                    </a:blip>
                    <a:srcRect t="41379" b="24138"/>
                    <a:stretch/>
                  </pic:blipFill>
                  <pic:spPr bwMode="auto">
                    <a:xfrm>
                      <a:off x="0" y="0"/>
                      <a:ext cx="1066800" cy="152400"/>
                    </a:xfrm>
                    <a:prstGeom prst="rect">
                      <a:avLst/>
                    </a:prstGeom>
                    <a:noFill/>
                    <a:ln>
                      <a:noFill/>
                    </a:ln>
                    <a:extLst>
                      <a:ext uri="{53640926-AAD7-44D8-BBD7-CCE9431645EC}">
                        <a14:shadowObscured xmlns:a14="http://schemas.microsoft.com/office/drawing/2010/main"/>
                      </a:ext>
                    </a:extLst>
                  </pic:spPr>
                </pic:pic>
              </a:graphicData>
            </a:graphic>
          </wp:inline>
        </w:drawing>
      </w:r>
    </w:p>
    <w:p w14:paraId="53950F02" w14:textId="09ADBBC9" w:rsidR="00E83789" w:rsidRPr="006E4BEC" w:rsidRDefault="00B72D64" w:rsidP="002E53C6">
      <w:pPr>
        <w:pStyle w:val="Heading2"/>
        <w:spacing w:before="40"/>
        <w:rPr>
          <w:rFonts w:asciiTheme="minorHAnsi" w:hAnsiTheme="minorHAnsi" w:cstheme="minorHAnsi"/>
          <w:i/>
          <w:iCs/>
          <w:color w:val="auto"/>
          <w:sz w:val="28"/>
          <w:szCs w:val="28"/>
        </w:rPr>
      </w:pPr>
      <w:r w:rsidRPr="006E4BEC">
        <w:rPr>
          <w:rFonts w:asciiTheme="minorHAnsi" w:hAnsiTheme="minorHAnsi" w:cstheme="minorHAnsi"/>
          <w:i/>
          <w:iCs/>
          <w:color w:val="auto"/>
          <w:sz w:val="28"/>
          <w:szCs w:val="28"/>
        </w:rPr>
        <w:t>Widespread Export Growth</w:t>
      </w:r>
      <w:r w:rsidR="00CF7317" w:rsidRPr="006E4BEC">
        <w:rPr>
          <w:rFonts w:asciiTheme="minorHAnsi" w:hAnsiTheme="minorHAnsi" w:cstheme="minorHAnsi"/>
          <w:i/>
          <w:iCs/>
          <w:color w:val="auto"/>
          <w:sz w:val="28"/>
          <w:szCs w:val="28"/>
        </w:rPr>
        <w:t xml:space="preserve"> Across Regions </w:t>
      </w:r>
      <w:r w:rsidR="00CF7317" w:rsidRPr="006E4BEC">
        <w:rPr>
          <w:color w:val="auto"/>
        </w:rPr>
        <w:t xml:space="preserve">– </w:t>
      </w:r>
      <w:r w:rsidR="00CF7317" w:rsidRPr="006E4BEC">
        <w:rPr>
          <w:rFonts w:asciiTheme="minorHAnsi" w:hAnsiTheme="minorHAnsi" w:cstheme="minorHAnsi"/>
          <w:i/>
          <w:iCs/>
          <w:color w:val="auto"/>
          <w:sz w:val="28"/>
          <w:szCs w:val="28"/>
        </w:rPr>
        <w:t>Fueled</w:t>
      </w:r>
      <w:r w:rsidRPr="006E4BEC">
        <w:rPr>
          <w:rFonts w:asciiTheme="minorHAnsi" w:hAnsiTheme="minorHAnsi" w:cstheme="minorHAnsi"/>
          <w:i/>
          <w:iCs/>
          <w:color w:val="auto"/>
          <w:sz w:val="28"/>
          <w:szCs w:val="28"/>
        </w:rPr>
        <w:t xml:space="preserve"> by </w:t>
      </w:r>
      <w:r w:rsidR="0087384F" w:rsidRPr="006E4BEC">
        <w:rPr>
          <w:rFonts w:asciiTheme="minorHAnsi" w:hAnsiTheme="minorHAnsi" w:cstheme="minorHAnsi"/>
          <w:i/>
          <w:iCs/>
          <w:color w:val="auto"/>
          <w:sz w:val="28"/>
          <w:szCs w:val="28"/>
        </w:rPr>
        <w:t xml:space="preserve">North American </w:t>
      </w:r>
      <w:r w:rsidRPr="006E4BEC">
        <w:rPr>
          <w:rFonts w:asciiTheme="minorHAnsi" w:hAnsiTheme="minorHAnsi" w:cstheme="minorHAnsi"/>
          <w:i/>
          <w:iCs/>
          <w:color w:val="auto"/>
          <w:sz w:val="28"/>
          <w:szCs w:val="28"/>
        </w:rPr>
        <w:t>Markets</w:t>
      </w:r>
    </w:p>
    <w:p w14:paraId="2A777F97" w14:textId="5AB8F884" w:rsidR="00387777" w:rsidRPr="006E4BEC" w:rsidRDefault="00D87BD3" w:rsidP="00D87BD3">
      <w:pPr>
        <w:pStyle w:val="ListParagraph"/>
        <w:numPr>
          <w:ilvl w:val="0"/>
          <w:numId w:val="10"/>
        </w:numPr>
        <w:spacing w:after="0"/>
      </w:pPr>
      <w:r w:rsidRPr="006E4BEC">
        <w:t>Minnesota</w:t>
      </w:r>
      <w:r w:rsidR="00136664" w:rsidRPr="006E4BEC">
        <w:t>’s e</w:t>
      </w:r>
      <w:r w:rsidR="000D02DD" w:rsidRPr="006E4BEC">
        <w:t xml:space="preserve">xports </w:t>
      </w:r>
      <w:r w:rsidR="00751E26" w:rsidRPr="006E4BEC">
        <w:t>increased</w:t>
      </w:r>
      <w:r w:rsidR="00F75C80" w:rsidRPr="006E4BEC">
        <w:t xml:space="preserve"> </w:t>
      </w:r>
      <w:r w:rsidR="00387777" w:rsidRPr="006E4BEC">
        <w:t>14</w:t>
      </w:r>
      <w:r w:rsidR="005727A5" w:rsidRPr="006E4BEC">
        <w:t>%</w:t>
      </w:r>
      <w:r w:rsidR="00277E66" w:rsidRPr="006E4BEC">
        <w:t xml:space="preserve"> </w:t>
      </w:r>
      <w:r w:rsidR="00136664" w:rsidRPr="006E4BEC">
        <w:t xml:space="preserve">to </w:t>
      </w:r>
      <w:r w:rsidR="005727A5" w:rsidRPr="006E4BEC">
        <w:rPr>
          <w:b/>
          <w:bCs/>
        </w:rPr>
        <w:t>North America</w:t>
      </w:r>
      <w:r w:rsidR="00A90983" w:rsidRPr="006E4BEC">
        <w:rPr>
          <w:b/>
          <w:bCs/>
        </w:rPr>
        <w:t xml:space="preserve"> – </w:t>
      </w:r>
      <w:r w:rsidRPr="006E4BEC">
        <w:t xml:space="preserve">driven by </w:t>
      </w:r>
      <w:r w:rsidR="00533107" w:rsidRPr="006E4BEC">
        <w:t>both</w:t>
      </w:r>
      <w:r w:rsidR="00533107" w:rsidRPr="006E4BEC">
        <w:rPr>
          <w:b/>
          <w:bCs/>
        </w:rPr>
        <w:t xml:space="preserve"> Mexico </w:t>
      </w:r>
      <w:r w:rsidR="00533107" w:rsidRPr="006E4BEC">
        <w:t xml:space="preserve">(up 28%) and </w:t>
      </w:r>
      <w:r w:rsidRPr="006E4BEC">
        <w:rPr>
          <w:b/>
          <w:bCs/>
        </w:rPr>
        <w:t xml:space="preserve">Canada </w:t>
      </w:r>
      <w:r w:rsidRPr="006E4BEC">
        <w:t xml:space="preserve">(up </w:t>
      </w:r>
      <w:r w:rsidR="00533107" w:rsidRPr="006E4BEC">
        <w:t>9</w:t>
      </w:r>
      <w:r w:rsidRPr="006E4BEC">
        <w:t>%)</w:t>
      </w:r>
      <w:r w:rsidR="00533107" w:rsidRPr="006E4BEC">
        <w:t>.</w:t>
      </w:r>
      <w:r w:rsidRPr="006E4BEC">
        <w:t xml:space="preserve"> </w:t>
      </w:r>
    </w:p>
    <w:p w14:paraId="368894F0" w14:textId="77777777" w:rsidR="00044ED9" w:rsidRPr="006E4BEC" w:rsidRDefault="00C84427" w:rsidP="00044ED9">
      <w:pPr>
        <w:pStyle w:val="ListParagraph"/>
        <w:numPr>
          <w:ilvl w:val="0"/>
          <w:numId w:val="10"/>
        </w:numPr>
        <w:spacing w:after="120"/>
      </w:pPr>
      <w:bookmarkStart w:id="0" w:name="_Hlk71710426"/>
      <w:r w:rsidRPr="006E4BEC">
        <w:t>E</w:t>
      </w:r>
      <w:r w:rsidR="00B43EF1" w:rsidRPr="006E4BEC">
        <w:t>xports</w:t>
      </w:r>
      <w:r w:rsidR="00751E26" w:rsidRPr="006E4BEC">
        <w:t xml:space="preserve"> grew </w:t>
      </w:r>
      <w:r w:rsidR="00387777" w:rsidRPr="006E4BEC">
        <w:t xml:space="preserve">strongly </w:t>
      </w:r>
      <w:r w:rsidR="00B43EF1" w:rsidRPr="006E4BEC">
        <w:t>to</w:t>
      </w:r>
      <w:r w:rsidRPr="006E4BEC">
        <w:t xml:space="preserve"> the </w:t>
      </w:r>
      <w:r w:rsidR="001C13C5" w:rsidRPr="006E4BEC">
        <w:rPr>
          <w:b/>
        </w:rPr>
        <w:t>European</w:t>
      </w:r>
      <w:r w:rsidR="00C57088" w:rsidRPr="006E4BEC">
        <w:rPr>
          <w:b/>
        </w:rPr>
        <w:t xml:space="preserve"> Union</w:t>
      </w:r>
      <w:r w:rsidR="001C13C5" w:rsidRPr="006E4BEC">
        <w:rPr>
          <w:b/>
        </w:rPr>
        <w:t xml:space="preserve"> </w:t>
      </w:r>
      <w:r w:rsidR="00A744D1" w:rsidRPr="006E4BEC">
        <w:t>(</w:t>
      </w:r>
      <w:r w:rsidR="00387777" w:rsidRPr="006E4BEC">
        <w:t>up 15%</w:t>
      </w:r>
      <w:r w:rsidR="00B64706" w:rsidRPr="006E4BEC">
        <w:t>)</w:t>
      </w:r>
      <w:r w:rsidR="00533107" w:rsidRPr="006E4BEC">
        <w:t xml:space="preserve"> – </w:t>
      </w:r>
      <w:r w:rsidR="00AE6B2A" w:rsidRPr="006E4BEC">
        <w:t>led</w:t>
      </w:r>
      <w:r w:rsidR="00F555DD" w:rsidRPr="006E4BEC">
        <w:t xml:space="preserve"> by</w:t>
      </w:r>
      <w:r w:rsidR="00C57088" w:rsidRPr="006E4BEC">
        <w:t xml:space="preserve"> </w:t>
      </w:r>
      <w:r w:rsidR="00B64706" w:rsidRPr="006E4BEC">
        <w:rPr>
          <w:b/>
          <w:bCs/>
        </w:rPr>
        <w:t xml:space="preserve">Germany </w:t>
      </w:r>
      <w:r w:rsidR="00B64706" w:rsidRPr="006E4BEC">
        <w:t>(up 22%),</w:t>
      </w:r>
      <w:r w:rsidR="00B64706" w:rsidRPr="006E4BEC">
        <w:rPr>
          <w:b/>
          <w:bCs/>
        </w:rPr>
        <w:t xml:space="preserve"> Ireland </w:t>
      </w:r>
      <w:r w:rsidR="00B64706" w:rsidRPr="006E4BEC">
        <w:t>(up 23%)</w:t>
      </w:r>
      <w:r w:rsidR="00C57088" w:rsidRPr="006E4BEC">
        <w:t xml:space="preserve"> and</w:t>
      </w:r>
      <w:r w:rsidR="00B64706" w:rsidRPr="006E4BEC">
        <w:t xml:space="preserve"> </w:t>
      </w:r>
      <w:r w:rsidR="00B64706" w:rsidRPr="006E4BEC">
        <w:rPr>
          <w:b/>
          <w:bCs/>
        </w:rPr>
        <w:t xml:space="preserve">Spain </w:t>
      </w:r>
      <w:r w:rsidR="00B64706" w:rsidRPr="006E4BEC">
        <w:t>(up 80%);</w:t>
      </w:r>
      <w:r w:rsidR="00C57088" w:rsidRPr="006E4BEC">
        <w:t xml:space="preserve"> </w:t>
      </w:r>
      <w:r w:rsidR="00FC7394" w:rsidRPr="006E4BEC">
        <w:rPr>
          <w:bCs/>
        </w:rPr>
        <w:t xml:space="preserve">to </w:t>
      </w:r>
      <w:r w:rsidR="00B64706" w:rsidRPr="006E4BEC">
        <w:rPr>
          <w:b/>
        </w:rPr>
        <w:t xml:space="preserve">the Caribbean, </w:t>
      </w:r>
      <w:r w:rsidR="00F555DD" w:rsidRPr="006E4BEC">
        <w:rPr>
          <w:b/>
        </w:rPr>
        <w:t>Central and South America</w:t>
      </w:r>
      <w:r w:rsidRPr="006E4BEC">
        <w:t xml:space="preserve"> </w:t>
      </w:r>
      <w:r w:rsidR="00A744D1" w:rsidRPr="006E4BEC">
        <w:t>(</w:t>
      </w:r>
      <w:r w:rsidR="00533107" w:rsidRPr="006E4BEC">
        <w:t>up 28%</w:t>
      </w:r>
      <w:r w:rsidR="00B64706" w:rsidRPr="006E4BEC">
        <w:t>)</w:t>
      </w:r>
      <w:r w:rsidR="00533107" w:rsidRPr="006E4BEC">
        <w:t xml:space="preserve"> – </w:t>
      </w:r>
      <w:r w:rsidR="00FC7394" w:rsidRPr="006E4BEC">
        <w:t xml:space="preserve">boosted by </w:t>
      </w:r>
      <w:bookmarkEnd w:id="0"/>
      <w:r w:rsidR="00F555DD" w:rsidRPr="006E4BEC">
        <w:rPr>
          <w:b/>
        </w:rPr>
        <w:t>Costa Rica</w:t>
      </w:r>
      <w:r w:rsidR="00B43EF1" w:rsidRPr="006E4BEC">
        <w:rPr>
          <w:b/>
        </w:rPr>
        <w:t xml:space="preserve"> </w:t>
      </w:r>
      <w:r w:rsidR="00B43EF1" w:rsidRPr="006E4BEC">
        <w:rPr>
          <w:bCs/>
        </w:rPr>
        <w:t xml:space="preserve">(up </w:t>
      </w:r>
      <w:r w:rsidR="00B64706" w:rsidRPr="006E4BEC">
        <w:rPr>
          <w:bCs/>
        </w:rPr>
        <w:t>50</w:t>
      </w:r>
      <w:r w:rsidR="00B43EF1" w:rsidRPr="006E4BEC">
        <w:rPr>
          <w:bCs/>
        </w:rPr>
        <w:t>%)</w:t>
      </w:r>
      <w:r w:rsidR="00F555DD" w:rsidRPr="006E4BEC">
        <w:rPr>
          <w:bCs/>
        </w:rPr>
        <w:t xml:space="preserve"> </w:t>
      </w:r>
      <w:r w:rsidR="00FC7394" w:rsidRPr="006E4BEC">
        <w:rPr>
          <w:bCs/>
        </w:rPr>
        <w:t xml:space="preserve">and </w:t>
      </w:r>
      <w:r w:rsidR="00B64706" w:rsidRPr="006E4BEC">
        <w:rPr>
          <w:b/>
        </w:rPr>
        <w:t>Brazil</w:t>
      </w:r>
      <w:r w:rsidR="00FC7394" w:rsidRPr="006E4BEC">
        <w:rPr>
          <w:b/>
        </w:rPr>
        <w:t xml:space="preserve"> </w:t>
      </w:r>
      <w:r w:rsidR="00FC7394" w:rsidRPr="006E4BEC">
        <w:rPr>
          <w:bCs/>
        </w:rPr>
        <w:t>(up 2</w:t>
      </w:r>
      <w:r w:rsidR="00B64706" w:rsidRPr="006E4BEC">
        <w:rPr>
          <w:bCs/>
        </w:rPr>
        <w:t>5</w:t>
      </w:r>
      <w:r w:rsidR="00FC7394" w:rsidRPr="006E4BEC">
        <w:rPr>
          <w:bCs/>
        </w:rPr>
        <w:t>%)</w:t>
      </w:r>
      <w:r w:rsidR="00B64706" w:rsidRPr="006E4BEC">
        <w:rPr>
          <w:bCs/>
        </w:rPr>
        <w:t>;</w:t>
      </w:r>
      <w:r w:rsidR="00533107" w:rsidRPr="006E4BEC">
        <w:rPr>
          <w:bCs/>
        </w:rPr>
        <w:t xml:space="preserve"> </w:t>
      </w:r>
      <w:r w:rsidR="00FC7394" w:rsidRPr="006E4BEC">
        <w:rPr>
          <w:bCs/>
        </w:rPr>
        <w:t xml:space="preserve">to the </w:t>
      </w:r>
      <w:r w:rsidR="00FC7394" w:rsidRPr="006E4BEC">
        <w:rPr>
          <w:b/>
        </w:rPr>
        <w:t>Australia-Pacific</w:t>
      </w:r>
      <w:r w:rsidR="00FC7394" w:rsidRPr="006E4BEC">
        <w:rPr>
          <w:bCs/>
        </w:rPr>
        <w:t xml:space="preserve"> region (</w:t>
      </w:r>
      <w:r w:rsidR="00533107" w:rsidRPr="006E4BEC">
        <w:rPr>
          <w:bCs/>
        </w:rPr>
        <w:t>up</w:t>
      </w:r>
      <w:r w:rsidR="00FC7394" w:rsidRPr="006E4BEC">
        <w:rPr>
          <w:bCs/>
        </w:rPr>
        <w:t xml:space="preserve"> 1</w:t>
      </w:r>
      <w:r w:rsidR="00533107" w:rsidRPr="006E4BEC">
        <w:rPr>
          <w:bCs/>
        </w:rPr>
        <w:t>2</w:t>
      </w:r>
      <w:r w:rsidR="00FC7394" w:rsidRPr="006E4BEC">
        <w:rPr>
          <w:bCs/>
        </w:rPr>
        <w:t>%</w:t>
      </w:r>
      <w:r w:rsidR="00B64706" w:rsidRPr="006E4BEC">
        <w:rPr>
          <w:bCs/>
        </w:rPr>
        <w:t xml:space="preserve">) </w:t>
      </w:r>
      <w:r w:rsidR="00533107" w:rsidRPr="006E4BEC">
        <w:rPr>
          <w:bCs/>
        </w:rPr>
        <w:t xml:space="preserve"> </w:t>
      </w:r>
      <w:r w:rsidR="00B64706" w:rsidRPr="006E4BEC">
        <w:t xml:space="preserve">–  bolstered by </w:t>
      </w:r>
      <w:r w:rsidR="00FC7394" w:rsidRPr="006E4BEC">
        <w:rPr>
          <w:b/>
        </w:rPr>
        <w:t>Australia</w:t>
      </w:r>
      <w:r w:rsidR="00FC7394" w:rsidRPr="006E4BEC">
        <w:rPr>
          <w:bCs/>
        </w:rPr>
        <w:t xml:space="preserve"> (</w:t>
      </w:r>
      <w:r w:rsidR="00B64706" w:rsidRPr="006E4BEC">
        <w:rPr>
          <w:bCs/>
        </w:rPr>
        <w:t>up</w:t>
      </w:r>
      <w:r w:rsidR="00FC7394" w:rsidRPr="006E4BEC">
        <w:rPr>
          <w:bCs/>
        </w:rPr>
        <w:t xml:space="preserve"> 1</w:t>
      </w:r>
      <w:r w:rsidR="00B64706" w:rsidRPr="006E4BEC">
        <w:rPr>
          <w:bCs/>
        </w:rPr>
        <w:t>5</w:t>
      </w:r>
      <w:r w:rsidR="00FC7394" w:rsidRPr="006E4BEC">
        <w:rPr>
          <w:bCs/>
        </w:rPr>
        <w:t>%)</w:t>
      </w:r>
      <w:r w:rsidR="00B64706" w:rsidRPr="006E4BEC">
        <w:rPr>
          <w:bCs/>
        </w:rPr>
        <w:t>;</w:t>
      </w:r>
      <w:r w:rsidR="00533107" w:rsidRPr="006E4BEC">
        <w:rPr>
          <w:bCs/>
        </w:rPr>
        <w:t xml:space="preserve"> and to </w:t>
      </w:r>
      <w:r w:rsidR="00533107" w:rsidRPr="006E4BEC">
        <w:rPr>
          <w:b/>
        </w:rPr>
        <w:t xml:space="preserve">Africa </w:t>
      </w:r>
      <w:r w:rsidR="00533107" w:rsidRPr="006E4BEC">
        <w:rPr>
          <w:bCs/>
        </w:rPr>
        <w:t xml:space="preserve">(up </w:t>
      </w:r>
      <w:r w:rsidR="00533107" w:rsidRPr="006E4BEC">
        <w:t>34%</w:t>
      </w:r>
      <w:r w:rsidR="00B161CF" w:rsidRPr="006E4BEC">
        <w:t>)</w:t>
      </w:r>
      <w:r w:rsidR="00533107" w:rsidRPr="006E4BEC">
        <w:t xml:space="preserve">  – as</w:t>
      </w:r>
      <w:r w:rsidR="00533107" w:rsidRPr="006E4BEC">
        <w:rPr>
          <w:b/>
          <w:bCs/>
        </w:rPr>
        <w:t xml:space="preserve"> wheat</w:t>
      </w:r>
      <w:r w:rsidR="00533107" w:rsidRPr="006E4BEC">
        <w:t xml:space="preserve"> exports surged </w:t>
      </w:r>
      <w:r w:rsidR="003D18F7" w:rsidRPr="006E4BEC">
        <w:t xml:space="preserve">by $15 million </w:t>
      </w:r>
      <w:r w:rsidR="00533107" w:rsidRPr="006E4BEC">
        <w:t xml:space="preserve">to </w:t>
      </w:r>
      <w:r w:rsidR="00B64706" w:rsidRPr="006E4BEC">
        <w:rPr>
          <w:b/>
        </w:rPr>
        <w:t>Ethiopia</w:t>
      </w:r>
      <w:r w:rsidR="00533107" w:rsidRPr="006E4BEC">
        <w:rPr>
          <w:bCs/>
        </w:rPr>
        <w:t>.</w:t>
      </w:r>
    </w:p>
    <w:p w14:paraId="638CCFED" w14:textId="77777777" w:rsidR="00044ED9" w:rsidRPr="006E4BEC" w:rsidRDefault="00B72D64" w:rsidP="00044ED9">
      <w:pPr>
        <w:pStyle w:val="ListParagraph"/>
        <w:numPr>
          <w:ilvl w:val="0"/>
          <w:numId w:val="10"/>
        </w:numPr>
        <w:spacing w:after="120"/>
      </w:pPr>
      <w:r w:rsidRPr="006E4BEC">
        <w:t xml:space="preserve">State exports dropped 5% to </w:t>
      </w:r>
      <w:r w:rsidRPr="006E4BEC">
        <w:rPr>
          <w:b/>
          <w:bCs/>
        </w:rPr>
        <w:t>Asia</w:t>
      </w:r>
      <w:r w:rsidRPr="006E4BEC">
        <w:t xml:space="preserve">, </w:t>
      </w:r>
      <w:r w:rsidR="003D18F7" w:rsidRPr="006E4BEC">
        <w:t>dragged down by large declines</w:t>
      </w:r>
      <w:r w:rsidRPr="006E4BEC">
        <w:t xml:space="preserve"> </w:t>
      </w:r>
      <w:r w:rsidR="003D18F7" w:rsidRPr="006E4BEC">
        <w:t>to</w:t>
      </w:r>
      <w:r w:rsidRPr="006E4BEC">
        <w:t xml:space="preserve"> </w:t>
      </w:r>
      <w:r w:rsidRPr="006E4BEC">
        <w:rPr>
          <w:b/>
          <w:bCs/>
        </w:rPr>
        <w:t>China</w:t>
      </w:r>
      <w:r w:rsidRPr="006E4BEC">
        <w:t xml:space="preserve"> (down 17%)</w:t>
      </w:r>
      <w:r w:rsidR="003D18F7" w:rsidRPr="006E4BEC">
        <w:t xml:space="preserve"> and</w:t>
      </w:r>
      <w:r w:rsidRPr="006E4BEC">
        <w:t xml:space="preserve"> </w:t>
      </w:r>
      <w:r w:rsidRPr="006E4BEC">
        <w:rPr>
          <w:b/>
          <w:bCs/>
        </w:rPr>
        <w:t>Singapore</w:t>
      </w:r>
      <w:r w:rsidRPr="006E4BEC">
        <w:t xml:space="preserve"> (down 12%)</w:t>
      </w:r>
      <w:r w:rsidR="003D18F7" w:rsidRPr="006E4BEC">
        <w:t xml:space="preserve"> </w:t>
      </w:r>
      <w:r w:rsidRPr="006E4BEC">
        <w:t xml:space="preserve">that </w:t>
      </w:r>
      <w:r w:rsidR="003D18F7" w:rsidRPr="006E4BEC">
        <w:t xml:space="preserve">outweighed </w:t>
      </w:r>
      <w:r w:rsidRPr="006E4BEC">
        <w:t xml:space="preserve">strong </w:t>
      </w:r>
      <w:r w:rsidR="003D18F7" w:rsidRPr="006E4BEC">
        <w:t>strides made</w:t>
      </w:r>
      <w:r w:rsidRPr="006E4BEC">
        <w:t xml:space="preserve"> in </w:t>
      </w:r>
      <w:r w:rsidRPr="006E4BEC">
        <w:rPr>
          <w:b/>
          <w:bCs/>
        </w:rPr>
        <w:t>Malaysia</w:t>
      </w:r>
      <w:r w:rsidRPr="006E4BEC">
        <w:t xml:space="preserve"> (up 31%)</w:t>
      </w:r>
      <w:r w:rsidR="003D18F7" w:rsidRPr="006E4BEC">
        <w:t>,</w:t>
      </w:r>
      <w:r w:rsidRPr="006E4BEC">
        <w:t xml:space="preserve"> </w:t>
      </w:r>
      <w:r w:rsidRPr="006E4BEC">
        <w:rPr>
          <w:b/>
          <w:bCs/>
        </w:rPr>
        <w:t>Korea</w:t>
      </w:r>
      <w:r w:rsidRPr="006E4BEC">
        <w:t xml:space="preserve"> (up 17%)</w:t>
      </w:r>
      <w:r w:rsidR="003D18F7" w:rsidRPr="006E4BEC">
        <w:t xml:space="preserve"> and </w:t>
      </w:r>
      <w:r w:rsidR="003D18F7" w:rsidRPr="006E4BEC">
        <w:rPr>
          <w:b/>
          <w:bCs/>
        </w:rPr>
        <w:t>Vietnam</w:t>
      </w:r>
      <w:r w:rsidR="003D18F7" w:rsidRPr="006E4BEC">
        <w:t xml:space="preserve"> (up 30%).</w:t>
      </w:r>
    </w:p>
    <w:p w14:paraId="2BD367A4" w14:textId="18DA2F5C" w:rsidR="00B72D64" w:rsidRPr="006E4BEC" w:rsidRDefault="00044ED9" w:rsidP="00CF7317">
      <w:pPr>
        <w:pStyle w:val="ListParagraph"/>
        <w:numPr>
          <w:ilvl w:val="0"/>
          <w:numId w:val="10"/>
        </w:numPr>
        <w:spacing w:after="0"/>
      </w:pPr>
      <w:r w:rsidRPr="006E4BEC">
        <w:t>Exports to</w:t>
      </w:r>
      <w:r w:rsidRPr="006E4BEC">
        <w:rPr>
          <w:b/>
          <w:bCs/>
        </w:rPr>
        <w:t xml:space="preserve"> Russia</w:t>
      </w:r>
      <w:r w:rsidRPr="006E4BEC">
        <w:t xml:space="preserve"> plummeted $10 million (down 94%), while those to </w:t>
      </w:r>
      <w:r w:rsidRPr="006E4BEC">
        <w:rPr>
          <w:b/>
          <w:bCs/>
        </w:rPr>
        <w:t>Ukraine</w:t>
      </w:r>
      <w:r w:rsidRPr="006E4BEC">
        <w:t xml:space="preserve"> jumped 175% to $21 million.</w:t>
      </w:r>
    </w:p>
    <w:p w14:paraId="481CD972" w14:textId="06C01E68" w:rsidR="007C165F" w:rsidRPr="006E4BEC" w:rsidRDefault="007C165F" w:rsidP="006E4BEC">
      <w:pPr>
        <w:pStyle w:val="Heading3"/>
        <w:spacing w:before="120"/>
        <w:rPr>
          <w:color w:val="auto"/>
          <w:sz w:val="24"/>
          <w:szCs w:val="24"/>
        </w:rPr>
      </w:pPr>
      <w:r w:rsidRPr="006E4BEC">
        <w:rPr>
          <w:color w:val="auto"/>
          <w:sz w:val="24"/>
          <w:szCs w:val="24"/>
        </w:rPr>
        <w:t xml:space="preserve">Figure </w:t>
      </w:r>
      <w:r w:rsidR="00E36364" w:rsidRPr="006E4BEC">
        <w:rPr>
          <w:color w:val="auto"/>
          <w:sz w:val="24"/>
          <w:szCs w:val="24"/>
        </w:rPr>
        <w:fldChar w:fldCharType="begin"/>
      </w:r>
      <w:r w:rsidR="00E36364" w:rsidRPr="006E4BEC">
        <w:rPr>
          <w:color w:val="auto"/>
          <w:sz w:val="24"/>
          <w:szCs w:val="24"/>
        </w:rPr>
        <w:instrText xml:space="preserve"> SEQ Figure \* ARABIC </w:instrText>
      </w:r>
      <w:r w:rsidR="00E36364" w:rsidRPr="006E4BEC">
        <w:rPr>
          <w:color w:val="auto"/>
          <w:sz w:val="24"/>
          <w:szCs w:val="24"/>
        </w:rPr>
        <w:fldChar w:fldCharType="separate"/>
      </w:r>
      <w:r w:rsidR="00C430F8" w:rsidRPr="006E4BEC">
        <w:rPr>
          <w:noProof/>
          <w:color w:val="auto"/>
          <w:sz w:val="24"/>
          <w:szCs w:val="24"/>
        </w:rPr>
        <w:t>2</w:t>
      </w:r>
      <w:r w:rsidR="00E36364" w:rsidRPr="006E4BEC">
        <w:rPr>
          <w:color w:val="auto"/>
          <w:sz w:val="24"/>
          <w:szCs w:val="24"/>
        </w:rPr>
        <w:fldChar w:fldCharType="end"/>
      </w:r>
      <w:r w:rsidR="00C84D0E" w:rsidRPr="006E4BEC">
        <w:rPr>
          <w:color w:val="auto"/>
          <w:sz w:val="24"/>
          <w:szCs w:val="24"/>
        </w:rPr>
        <w:t xml:space="preserve">. </w:t>
      </w:r>
      <w:r w:rsidR="00A44451" w:rsidRPr="006E4BEC">
        <w:rPr>
          <w:color w:val="auto"/>
          <w:sz w:val="24"/>
          <w:szCs w:val="24"/>
        </w:rPr>
        <w:t>Export Trends for</w:t>
      </w:r>
      <w:r w:rsidR="0038665A" w:rsidRPr="006E4BEC">
        <w:rPr>
          <w:color w:val="auto"/>
          <w:sz w:val="24"/>
          <w:szCs w:val="24"/>
        </w:rPr>
        <w:t xml:space="preserve"> Minnesota’s Top 10 Markets, </w:t>
      </w:r>
      <w:r w:rsidR="00A30328" w:rsidRPr="006E4BEC">
        <w:rPr>
          <w:color w:val="auto"/>
          <w:sz w:val="24"/>
          <w:szCs w:val="24"/>
        </w:rPr>
        <w:t>First</w:t>
      </w:r>
      <w:r w:rsidR="00606AB0" w:rsidRPr="006E4BEC">
        <w:rPr>
          <w:color w:val="auto"/>
          <w:sz w:val="24"/>
          <w:szCs w:val="24"/>
        </w:rPr>
        <w:t xml:space="preserve"> </w:t>
      </w:r>
      <w:r w:rsidR="00A52415" w:rsidRPr="006E4BEC">
        <w:rPr>
          <w:color w:val="auto"/>
          <w:sz w:val="24"/>
          <w:szCs w:val="24"/>
        </w:rPr>
        <w:t xml:space="preserve">Quarter </w:t>
      </w:r>
      <w:r w:rsidR="004C6288" w:rsidRPr="006E4BEC">
        <w:rPr>
          <w:color w:val="auto"/>
          <w:sz w:val="24"/>
          <w:szCs w:val="24"/>
        </w:rPr>
        <w:t>2023</w:t>
      </w:r>
    </w:p>
    <w:p w14:paraId="3B0C2BC2" w14:textId="5DD2F1C8" w:rsidR="00B77999" w:rsidRPr="006E4BEC" w:rsidRDefault="00CF7317" w:rsidP="00BE76C8">
      <w:pPr>
        <w:spacing w:after="0"/>
        <w:rPr>
          <w:rFonts w:eastAsiaTheme="majorEastAsia" w:cstheme="majorBidi"/>
          <w:bCs/>
          <w:i/>
          <w:sz w:val="28"/>
          <w:szCs w:val="26"/>
        </w:rPr>
      </w:pPr>
      <w:r w:rsidRPr="006E4BEC">
        <w:rPr>
          <w:noProof/>
        </w:rPr>
        <w:drawing>
          <wp:inline distT="0" distB="0" distL="0" distR="0" wp14:anchorId="69F29CEF" wp14:editId="3E39FE13">
            <wp:extent cx="6492240" cy="2119088"/>
            <wp:effectExtent l="0" t="0" r="3810" b="0"/>
            <wp:docPr id="5" name="Picture 5" descr="MN exports by top 10 countries first quarter 2023&#10;Country Exports (millions) Percent Change, 2022-Q1 to 2023-Q1&#10;WORLD  $6,605  9%&#10;Canada (1)   $2,100  9%&#10;Mexico (2)   $866  28%&#10;China (3)   $579  -17%&#10;Japan (4)   $277  -3%&#10;Germany (5)   $227  22%&#10;Belgium (6)   $185  0%&#10;Korea (7)   $173  17%&#10;Netherlands (8)   $168  4%&#10;Ireland (9)   $162  23%&#10;U.K. (10)   $128  -10%&#10;Other  $1,739  1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MN exports by top 10 countries first quarter 2023&#10;Country Exports (millions) Percent Change, 2022-Q1 to 2023-Q1&#10;WORLD  $6,605  9%&#10;Canada (1)   $2,100  9%&#10;Mexico (2)   $866  28%&#10;China (3)   $579  -17%&#10;Japan (4)   $277  -3%&#10;Germany (5)   $227  22%&#10;Belgium (6)   $185  0%&#10;Korea (7)   $173  17%&#10;Netherlands (8)   $168  4%&#10;Ireland (9)   $162  23%&#10;U.K. (10)   $128  -10%&#10;Other  $1,739  13%&#10;"/>
                    <pic:cNvPicPr>
                      <a:picLocks noChangeAspect="1" noChangeArrowheads="1"/>
                    </pic:cNvPicPr>
                  </pic:nvPicPr>
                  <pic:blipFill rotWithShape="1">
                    <a:blip r:embed="rId14">
                      <a:extLst>
                        <a:ext uri="{28A0092B-C50C-407E-A947-70E740481C1C}">
                          <a14:useLocalDpi xmlns:a14="http://schemas.microsoft.com/office/drawing/2010/main" val="0"/>
                        </a:ext>
                      </a:extLst>
                    </a:blip>
                    <a:srcRect t="6862"/>
                    <a:stretch/>
                  </pic:blipFill>
                  <pic:spPr bwMode="auto">
                    <a:xfrm>
                      <a:off x="0" y="0"/>
                      <a:ext cx="6492240" cy="2119088"/>
                    </a:xfrm>
                    <a:prstGeom prst="rect">
                      <a:avLst/>
                    </a:prstGeom>
                    <a:noFill/>
                    <a:ln>
                      <a:noFill/>
                    </a:ln>
                    <a:extLst>
                      <a:ext uri="{53640926-AAD7-44D8-BBD7-CCE9431645EC}">
                        <a14:shadowObscured xmlns:a14="http://schemas.microsoft.com/office/drawing/2010/main"/>
                      </a:ext>
                    </a:extLst>
                  </pic:spPr>
                </pic:pic>
              </a:graphicData>
            </a:graphic>
          </wp:inline>
        </w:drawing>
      </w:r>
      <w:r w:rsidRPr="006E4BEC">
        <w:rPr>
          <w:b/>
          <w:i/>
          <w:sz w:val="28"/>
        </w:rPr>
        <w:t xml:space="preserve"> </w:t>
      </w:r>
      <w:r w:rsidR="00B77999" w:rsidRPr="006E4BEC">
        <w:rPr>
          <w:b/>
          <w:i/>
          <w:sz w:val="28"/>
        </w:rPr>
        <w:br w:type="page"/>
      </w:r>
    </w:p>
    <w:p w14:paraId="52D9CF8F" w14:textId="1014E65A" w:rsidR="00212FF3" w:rsidRPr="006E4BEC" w:rsidRDefault="00F10BC5" w:rsidP="00212FF3">
      <w:pPr>
        <w:pStyle w:val="Heading2"/>
        <w:tabs>
          <w:tab w:val="left" w:pos="360"/>
        </w:tabs>
        <w:spacing w:before="0" w:after="120"/>
        <w:ind w:left="360" w:hanging="360"/>
        <w:rPr>
          <w:rFonts w:asciiTheme="minorHAnsi" w:hAnsiTheme="minorHAnsi"/>
          <w:bCs w:val="0"/>
          <w:i/>
          <w:color w:val="auto"/>
          <w:sz w:val="28"/>
        </w:rPr>
      </w:pPr>
      <w:r w:rsidRPr="006E4BEC">
        <w:rPr>
          <w:rFonts w:asciiTheme="minorHAnsi" w:hAnsiTheme="minorHAnsi"/>
          <w:bCs w:val="0"/>
          <w:i/>
          <w:color w:val="auto"/>
          <w:sz w:val="28"/>
        </w:rPr>
        <w:lastRenderedPageBreak/>
        <w:t>Mineral Fuel and Oil; Optic and Medical</w:t>
      </w:r>
      <w:r w:rsidR="00CF7317" w:rsidRPr="006E4BEC">
        <w:rPr>
          <w:rFonts w:asciiTheme="minorHAnsi" w:hAnsiTheme="minorHAnsi"/>
          <w:bCs w:val="0"/>
          <w:i/>
          <w:color w:val="auto"/>
          <w:sz w:val="28"/>
        </w:rPr>
        <w:t xml:space="preserve"> Products</w:t>
      </w:r>
      <w:r w:rsidRPr="006E4BEC">
        <w:rPr>
          <w:rFonts w:asciiTheme="minorHAnsi" w:hAnsiTheme="minorHAnsi"/>
          <w:bCs w:val="0"/>
          <w:i/>
          <w:color w:val="auto"/>
          <w:sz w:val="28"/>
        </w:rPr>
        <w:t xml:space="preserve">; </w:t>
      </w:r>
      <w:r w:rsidR="00A513DF" w:rsidRPr="006E4BEC">
        <w:rPr>
          <w:rFonts w:asciiTheme="minorHAnsi" w:hAnsiTheme="minorHAnsi"/>
          <w:bCs w:val="0"/>
          <w:i/>
          <w:color w:val="auto"/>
          <w:sz w:val="28"/>
        </w:rPr>
        <w:t xml:space="preserve">and </w:t>
      </w:r>
      <w:r w:rsidRPr="006E4BEC">
        <w:rPr>
          <w:rFonts w:asciiTheme="minorHAnsi" w:hAnsiTheme="minorHAnsi"/>
          <w:bCs w:val="0"/>
          <w:i/>
          <w:color w:val="auto"/>
          <w:sz w:val="28"/>
        </w:rPr>
        <w:t>Vehicles</w:t>
      </w:r>
      <w:r w:rsidR="00212FF3" w:rsidRPr="006E4BEC">
        <w:rPr>
          <w:rFonts w:asciiTheme="minorHAnsi" w:hAnsiTheme="minorHAnsi"/>
          <w:bCs w:val="0"/>
          <w:i/>
          <w:color w:val="auto"/>
          <w:sz w:val="28"/>
        </w:rPr>
        <w:t xml:space="preserve"> </w:t>
      </w:r>
      <w:r w:rsidRPr="006E4BEC">
        <w:rPr>
          <w:rFonts w:asciiTheme="minorHAnsi" w:hAnsiTheme="minorHAnsi"/>
          <w:bCs w:val="0"/>
          <w:i/>
          <w:color w:val="auto"/>
          <w:sz w:val="28"/>
        </w:rPr>
        <w:t xml:space="preserve">Lead in Export </w:t>
      </w:r>
      <w:r w:rsidR="00A513DF" w:rsidRPr="006E4BEC">
        <w:rPr>
          <w:rFonts w:asciiTheme="minorHAnsi" w:hAnsiTheme="minorHAnsi"/>
          <w:bCs w:val="0"/>
          <w:i/>
          <w:color w:val="auto"/>
          <w:sz w:val="28"/>
        </w:rPr>
        <w:t>G</w:t>
      </w:r>
      <w:r w:rsidR="00044ED9" w:rsidRPr="006E4BEC">
        <w:rPr>
          <w:rFonts w:asciiTheme="minorHAnsi" w:hAnsiTheme="minorHAnsi"/>
          <w:bCs w:val="0"/>
          <w:i/>
          <w:color w:val="auto"/>
          <w:sz w:val="28"/>
        </w:rPr>
        <w:t>ains</w:t>
      </w:r>
    </w:p>
    <w:p w14:paraId="32747C8F" w14:textId="77777777" w:rsidR="00A634F8" w:rsidRPr="006E4BEC" w:rsidRDefault="00A634F8" w:rsidP="00212FF3">
      <w:pPr>
        <w:pStyle w:val="NoSpacing"/>
        <w:numPr>
          <w:ilvl w:val="0"/>
          <w:numId w:val="18"/>
        </w:numPr>
        <w:spacing w:line="271" w:lineRule="auto"/>
        <w:rPr>
          <w:b/>
        </w:rPr>
        <w:sectPr w:rsidR="00A634F8" w:rsidRPr="006E4BEC" w:rsidSect="00FE15EB">
          <w:footerReference w:type="default" r:id="rId15"/>
          <w:footnotePr>
            <w:numRestart w:val="eachSect"/>
          </w:footnotePr>
          <w:endnotePr>
            <w:numFmt w:val="decimal"/>
          </w:endnotePr>
          <w:type w:val="continuous"/>
          <w:pgSz w:w="12240" w:h="15840" w:code="1"/>
          <w:pgMar w:top="864" w:right="1008" w:bottom="864" w:left="1008" w:header="720" w:footer="720" w:gutter="0"/>
          <w:cols w:space="720"/>
          <w:titlePg/>
          <w:docGrid w:linePitch="299"/>
        </w:sectPr>
      </w:pPr>
    </w:p>
    <w:p w14:paraId="627EA2A1" w14:textId="0983CD63" w:rsidR="00A634F8" w:rsidRPr="006E4BEC" w:rsidRDefault="00212FF3" w:rsidP="00CF7317">
      <w:pPr>
        <w:pStyle w:val="NoSpacing"/>
        <w:numPr>
          <w:ilvl w:val="0"/>
          <w:numId w:val="7"/>
        </w:numPr>
        <w:spacing w:line="271" w:lineRule="auto"/>
        <w:ind w:left="360" w:right="-18"/>
      </w:pPr>
      <w:r w:rsidRPr="006E4BEC">
        <w:t>Exports of</w:t>
      </w:r>
      <w:r w:rsidR="00CF7317" w:rsidRPr="006E4BEC">
        <w:t xml:space="preserve"> core</w:t>
      </w:r>
      <w:r w:rsidR="00861FE3" w:rsidRPr="006E4BEC">
        <w:t xml:space="preserve"> products </w:t>
      </w:r>
      <w:r w:rsidR="00BB4A7B" w:rsidRPr="006E4BEC">
        <w:t>perform</w:t>
      </w:r>
      <w:r w:rsidRPr="006E4BEC">
        <w:t>ed</w:t>
      </w:r>
      <w:r w:rsidR="00BB4A7B" w:rsidRPr="006E4BEC">
        <w:t xml:space="preserve"> strongly in</w:t>
      </w:r>
      <w:r w:rsidR="00CF7317" w:rsidRPr="006E4BEC">
        <w:t>to</w:t>
      </w:r>
      <w:r w:rsidR="00BB4A7B" w:rsidRPr="006E4BEC">
        <w:t xml:space="preserve"> </w:t>
      </w:r>
      <w:r w:rsidR="004C6288" w:rsidRPr="006E4BEC">
        <w:t>2023</w:t>
      </w:r>
      <w:r w:rsidR="00F10BC5" w:rsidRPr="006E4BEC">
        <w:t>, including eight</w:t>
      </w:r>
      <w:r w:rsidR="00FA1A86" w:rsidRPr="006E4BEC">
        <w:t xml:space="preserve"> of the state’s top 10 products</w:t>
      </w:r>
      <w:r w:rsidR="00044ED9" w:rsidRPr="006E4BEC">
        <w:t>. Gains were</w:t>
      </w:r>
      <w:r w:rsidR="00F10BC5" w:rsidRPr="006E4BEC">
        <w:t xml:space="preserve"> led by </w:t>
      </w:r>
      <w:r w:rsidR="00F10BC5" w:rsidRPr="006E4BEC">
        <w:rPr>
          <w:b/>
          <w:bCs/>
        </w:rPr>
        <w:t>mineral fuel, oil</w:t>
      </w:r>
      <w:r w:rsidR="00BB4A7B" w:rsidRPr="006E4BEC">
        <w:t xml:space="preserve"> (up </w:t>
      </w:r>
      <w:r w:rsidR="00F10BC5" w:rsidRPr="006E4BEC">
        <w:t>74%</w:t>
      </w:r>
      <w:r w:rsidR="00BB4A7B" w:rsidRPr="006E4BEC">
        <w:t xml:space="preserve">), </w:t>
      </w:r>
      <w:r w:rsidR="00BB4A7B" w:rsidRPr="006E4BEC">
        <w:rPr>
          <w:b/>
          <w:bCs/>
        </w:rPr>
        <w:t>optic, medical</w:t>
      </w:r>
      <w:r w:rsidR="00BB4A7B" w:rsidRPr="006E4BEC">
        <w:t xml:space="preserve"> (up </w:t>
      </w:r>
      <w:r w:rsidR="00F10BC5" w:rsidRPr="006E4BEC">
        <w:t>14</w:t>
      </w:r>
      <w:r w:rsidR="00BB4A7B" w:rsidRPr="006E4BEC">
        <w:t xml:space="preserve">%), </w:t>
      </w:r>
      <w:r w:rsidR="00F10BC5" w:rsidRPr="006E4BEC">
        <w:rPr>
          <w:b/>
          <w:bCs/>
        </w:rPr>
        <w:t>vehicles</w:t>
      </w:r>
      <w:r w:rsidR="00BB4A7B" w:rsidRPr="006E4BEC">
        <w:t xml:space="preserve"> (up </w:t>
      </w:r>
      <w:r w:rsidR="00F10BC5" w:rsidRPr="006E4BEC">
        <w:t>3</w:t>
      </w:r>
      <w:r w:rsidR="00BB4A7B" w:rsidRPr="006E4BEC">
        <w:t>7%)</w:t>
      </w:r>
      <w:r w:rsidR="000E532F" w:rsidRPr="006E4BEC">
        <w:t xml:space="preserve">, </w:t>
      </w:r>
      <w:r w:rsidR="00F10BC5" w:rsidRPr="006E4BEC">
        <w:rPr>
          <w:b/>
          <w:bCs/>
        </w:rPr>
        <w:t>machinery</w:t>
      </w:r>
      <w:r w:rsidR="0061064A" w:rsidRPr="006E4BEC">
        <w:rPr>
          <w:b/>
          <w:bCs/>
        </w:rPr>
        <w:t xml:space="preserve"> </w:t>
      </w:r>
      <w:r w:rsidR="0061064A" w:rsidRPr="006E4BEC">
        <w:t xml:space="preserve">(up </w:t>
      </w:r>
      <w:r w:rsidR="00F10BC5" w:rsidRPr="006E4BEC">
        <w:t>9</w:t>
      </w:r>
      <w:r w:rsidR="0061064A" w:rsidRPr="006E4BEC">
        <w:t>%)</w:t>
      </w:r>
      <w:r w:rsidR="008A202D" w:rsidRPr="006E4BEC">
        <w:t xml:space="preserve"> </w:t>
      </w:r>
      <w:r w:rsidR="00952DBF" w:rsidRPr="006E4BEC">
        <w:t xml:space="preserve">and </w:t>
      </w:r>
      <w:r w:rsidR="00F10BC5" w:rsidRPr="006E4BEC">
        <w:rPr>
          <w:b/>
        </w:rPr>
        <w:t>oil seeds, misc. grain</w:t>
      </w:r>
      <w:r w:rsidR="0061064A" w:rsidRPr="006E4BEC">
        <w:t xml:space="preserve"> (</w:t>
      </w:r>
      <w:r w:rsidR="00D6151B" w:rsidRPr="006E4BEC">
        <w:t>up</w:t>
      </w:r>
      <w:r w:rsidR="009B6D4C" w:rsidRPr="006E4BEC">
        <w:t xml:space="preserve"> </w:t>
      </w:r>
      <w:r w:rsidR="00F10BC5" w:rsidRPr="006E4BEC">
        <w:t>1</w:t>
      </w:r>
      <w:r w:rsidR="00861FE3" w:rsidRPr="006E4BEC">
        <w:t>2</w:t>
      </w:r>
      <w:r w:rsidR="00F10BC5" w:rsidRPr="006E4BEC">
        <w:t>7</w:t>
      </w:r>
      <w:r w:rsidR="00952DBF" w:rsidRPr="006E4BEC">
        <w:t>%</w:t>
      </w:r>
      <w:r w:rsidR="0061064A" w:rsidRPr="006E4BEC">
        <w:t>)</w:t>
      </w:r>
      <w:r w:rsidR="000E532F" w:rsidRPr="006E4BEC">
        <w:t xml:space="preserve">. </w:t>
      </w:r>
    </w:p>
    <w:p w14:paraId="315DE89A" w14:textId="38BB3E66" w:rsidR="00581831" w:rsidRPr="006E4BEC" w:rsidRDefault="00581831" w:rsidP="00F729B4">
      <w:pPr>
        <w:pStyle w:val="NoSpacing"/>
        <w:numPr>
          <w:ilvl w:val="0"/>
          <w:numId w:val="7"/>
        </w:numPr>
        <w:spacing w:line="271" w:lineRule="auto"/>
        <w:ind w:left="360" w:right="-378"/>
      </w:pPr>
      <w:r w:rsidRPr="006E4BEC">
        <w:t xml:space="preserve">Exports of </w:t>
      </w:r>
      <w:r w:rsidRPr="006E4BEC">
        <w:rPr>
          <w:b/>
          <w:bCs/>
        </w:rPr>
        <w:t>mineral fuel, oil</w:t>
      </w:r>
      <w:r w:rsidRPr="006E4BEC">
        <w:t xml:space="preserve"> (up 74%) were propelled by Canada, the dominant market.</w:t>
      </w:r>
    </w:p>
    <w:p w14:paraId="44D9F493" w14:textId="7C795FAD" w:rsidR="00581831" w:rsidRPr="006E4BEC" w:rsidRDefault="00581831" w:rsidP="00EA50EC">
      <w:pPr>
        <w:pStyle w:val="ListParagraph"/>
        <w:numPr>
          <w:ilvl w:val="0"/>
          <w:numId w:val="7"/>
        </w:numPr>
        <w:spacing w:after="0" w:line="271" w:lineRule="auto"/>
        <w:ind w:left="360" w:right="-396"/>
      </w:pPr>
      <w:r w:rsidRPr="006E4BEC">
        <w:rPr>
          <w:b/>
        </w:rPr>
        <w:t xml:space="preserve">Optic, medical </w:t>
      </w:r>
      <w:r w:rsidRPr="006E4BEC">
        <w:rPr>
          <w:bCs/>
        </w:rPr>
        <w:t>exports</w:t>
      </w:r>
      <w:r w:rsidRPr="006E4BEC">
        <w:rPr>
          <w:b/>
        </w:rPr>
        <w:t xml:space="preserve"> </w:t>
      </w:r>
      <w:r w:rsidR="00EA50EC" w:rsidRPr="006E4BEC">
        <w:t>grew</w:t>
      </w:r>
      <w:r w:rsidRPr="006E4BEC">
        <w:t xml:space="preserve"> in </w:t>
      </w:r>
      <w:r w:rsidRPr="006E4BEC">
        <w:rPr>
          <w:b/>
          <w:bCs/>
        </w:rPr>
        <w:t>Belgium</w:t>
      </w:r>
      <w:r w:rsidRPr="006E4BEC">
        <w:t xml:space="preserve"> (50%), </w:t>
      </w:r>
      <w:r w:rsidRPr="006E4BEC">
        <w:rPr>
          <w:b/>
          <w:bCs/>
        </w:rPr>
        <w:t>Costa Rica</w:t>
      </w:r>
      <w:r w:rsidRPr="006E4BEC">
        <w:t xml:space="preserve"> (up 64%) and </w:t>
      </w:r>
      <w:r w:rsidRPr="006E4BEC">
        <w:rPr>
          <w:b/>
        </w:rPr>
        <w:t>the Netherlands</w:t>
      </w:r>
      <w:r w:rsidRPr="006E4BEC">
        <w:t xml:space="preserve"> (up 40%) but tumbled in</w:t>
      </w:r>
      <w:r w:rsidRPr="006E4BEC">
        <w:rPr>
          <w:b/>
          <w:bCs/>
        </w:rPr>
        <w:t xml:space="preserve"> China</w:t>
      </w:r>
      <w:r w:rsidRPr="006E4BEC">
        <w:t xml:space="preserve"> (down 23%). </w:t>
      </w:r>
      <w:r w:rsidR="001C1959" w:rsidRPr="006E4BEC">
        <w:rPr>
          <w:b/>
          <w:bCs/>
        </w:rPr>
        <w:t>Orthopedic, artificial body parts</w:t>
      </w:r>
      <w:r w:rsidRPr="006E4BEC">
        <w:t xml:space="preserve"> (</w:t>
      </w:r>
      <w:r w:rsidR="001C1959" w:rsidRPr="006E4BEC">
        <w:t>$245 million, up 73%) drove growth.</w:t>
      </w:r>
    </w:p>
    <w:p w14:paraId="6BA2F72E" w14:textId="7504BA8A" w:rsidR="00E76FF1" w:rsidRPr="006E4BEC" w:rsidRDefault="00E76FF1" w:rsidP="00A5321A">
      <w:pPr>
        <w:spacing w:after="120" w:line="271" w:lineRule="auto"/>
        <w:ind w:right="-396"/>
      </w:pPr>
      <w:r w:rsidRPr="006E4BEC">
        <w:rPr>
          <w:rStyle w:val="Heading4Char"/>
          <w:color w:val="auto"/>
        </w:rPr>
        <w:t xml:space="preserve">Figure </w:t>
      </w:r>
      <w:r w:rsidRPr="006E4BEC">
        <w:rPr>
          <w:rStyle w:val="Heading4Char"/>
          <w:b w:val="0"/>
          <w:color w:val="auto"/>
        </w:rPr>
        <w:fldChar w:fldCharType="begin"/>
      </w:r>
      <w:r w:rsidRPr="006E4BEC">
        <w:rPr>
          <w:rStyle w:val="Heading4Char"/>
          <w:color w:val="auto"/>
        </w:rPr>
        <w:instrText xml:space="preserve"> SEQ Figure \* ARABIC </w:instrText>
      </w:r>
      <w:r w:rsidRPr="006E4BEC">
        <w:rPr>
          <w:rStyle w:val="Heading4Char"/>
          <w:b w:val="0"/>
          <w:color w:val="auto"/>
        </w:rPr>
        <w:fldChar w:fldCharType="separate"/>
      </w:r>
      <w:r w:rsidR="00C430F8" w:rsidRPr="006E4BEC">
        <w:rPr>
          <w:rStyle w:val="Heading4Char"/>
          <w:noProof/>
          <w:color w:val="auto"/>
        </w:rPr>
        <w:t>3</w:t>
      </w:r>
      <w:r w:rsidRPr="006E4BEC">
        <w:rPr>
          <w:rStyle w:val="Heading4Char"/>
          <w:b w:val="0"/>
          <w:color w:val="auto"/>
        </w:rPr>
        <w:fldChar w:fldCharType="end"/>
      </w:r>
      <w:r w:rsidRPr="006E4BEC">
        <w:rPr>
          <w:rStyle w:val="Heading4Char"/>
          <w:color w:val="auto"/>
        </w:rPr>
        <w:t xml:space="preserve">. </w:t>
      </w:r>
      <w:r w:rsidR="00A5321A" w:rsidRPr="006E4BEC">
        <w:rPr>
          <w:rStyle w:val="Heading4Char"/>
          <w:color w:val="auto"/>
        </w:rPr>
        <w:t>Optic and Medical Product Segments</w:t>
      </w:r>
    </w:p>
    <w:p w14:paraId="1B43690F" w14:textId="77777777" w:rsidR="00B77999" w:rsidRPr="006E4BEC" w:rsidRDefault="00E76FF1" w:rsidP="00B77999">
      <w:pPr>
        <w:spacing w:after="0" w:line="271" w:lineRule="auto"/>
        <w:rPr>
          <w:b/>
        </w:rPr>
      </w:pPr>
      <w:r w:rsidRPr="006E4BEC">
        <w:rPr>
          <w:noProof/>
        </w:rPr>
        <w:drawing>
          <wp:inline distT="0" distB="0" distL="0" distR="0" wp14:anchorId="15A22583" wp14:editId="45DFBC7C">
            <wp:extent cx="3133493" cy="2028825"/>
            <wp:effectExtent l="0" t="0" r="0" b="0"/>
            <wp:docPr id="10" name="Chart 10" descr="Figure 3&#10;Optical, Medical Product Segment Percent share&#10;Medical, surgical instr. 39%&#10;Orthopedic, artificial body parts 23%&#10;Measuring, checking instr. 10%&#10;Measuring, checking instr. For flow, level 8%&#10;Physical or analytical instr. 8%&#10;Other 13%&#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BF1585C" w14:textId="77777777" w:rsidR="00EA50EC" w:rsidRPr="006E4BEC" w:rsidRDefault="00EA50EC" w:rsidP="00581831">
      <w:pPr>
        <w:pStyle w:val="NoSpacing"/>
        <w:numPr>
          <w:ilvl w:val="0"/>
          <w:numId w:val="7"/>
        </w:numPr>
        <w:spacing w:line="271" w:lineRule="auto"/>
        <w:ind w:left="360" w:right="-378"/>
        <w:rPr>
          <w:b/>
        </w:rPr>
        <w:sectPr w:rsidR="00EA50EC" w:rsidRPr="006E4BEC" w:rsidSect="00EA50EC">
          <w:footnotePr>
            <w:numRestart w:val="eachSect"/>
          </w:footnotePr>
          <w:endnotePr>
            <w:numFmt w:val="decimal"/>
          </w:endnotePr>
          <w:type w:val="continuous"/>
          <w:pgSz w:w="12240" w:h="15840" w:code="1"/>
          <w:pgMar w:top="864" w:right="1008" w:bottom="864" w:left="1008" w:header="720" w:footer="720" w:gutter="0"/>
          <w:cols w:num="2" w:space="720"/>
          <w:titlePg/>
          <w:docGrid w:linePitch="299"/>
        </w:sectPr>
      </w:pPr>
    </w:p>
    <w:p w14:paraId="626E21A7" w14:textId="4998BE35" w:rsidR="00581831" w:rsidRPr="006E4BEC" w:rsidRDefault="00A5321A" w:rsidP="00EA50EC">
      <w:pPr>
        <w:pStyle w:val="NoSpacing"/>
        <w:numPr>
          <w:ilvl w:val="0"/>
          <w:numId w:val="7"/>
        </w:numPr>
        <w:spacing w:before="120" w:line="271" w:lineRule="auto"/>
        <w:ind w:left="360" w:right="-378"/>
      </w:pPr>
      <w:r w:rsidRPr="006E4BEC">
        <w:rPr>
          <w:b/>
        </w:rPr>
        <w:t>Vehicle</w:t>
      </w:r>
      <w:r w:rsidR="00581831" w:rsidRPr="006E4BEC">
        <w:rPr>
          <w:bCs/>
        </w:rPr>
        <w:t xml:space="preserve"> sales </w:t>
      </w:r>
      <w:r w:rsidRPr="006E4BEC">
        <w:rPr>
          <w:bCs/>
        </w:rPr>
        <w:t xml:space="preserve">were primarily driven by </w:t>
      </w:r>
      <w:r w:rsidRPr="006E4BEC">
        <w:rPr>
          <w:b/>
        </w:rPr>
        <w:t xml:space="preserve">Mexico </w:t>
      </w:r>
      <w:r w:rsidR="00581831" w:rsidRPr="006E4BEC">
        <w:rPr>
          <w:bCs/>
        </w:rPr>
        <w:t>(</w:t>
      </w:r>
      <w:r w:rsidRPr="006E4BEC">
        <w:rPr>
          <w:bCs/>
        </w:rPr>
        <w:t xml:space="preserve">$138 million, </w:t>
      </w:r>
      <w:r w:rsidR="00581831" w:rsidRPr="006E4BEC">
        <w:rPr>
          <w:bCs/>
        </w:rPr>
        <w:t xml:space="preserve">up </w:t>
      </w:r>
      <w:r w:rsidRPr="006E4BEC">
        <w:rPr>
          <w:bCs/>
        </w:rPr>
        <w:t>80</w:t>
      </w:r>
      <w:r w:rsidR="00581831" w:rsidRPr="006E4BEC">
        <w:rPr>
          <w:bCs/>
        </w:rPr>
        <w:t>%)</w:t>
      </w:r>
      <w:r w:rsidRPr="006E4BEC">
        <w:rPr>
          <w:bCs/>
        </w:rPr>
        <w:t xml:space="preserve"> and </w:t>
      </w:r>
      <w:r w:rsidRPr="006E4BEC">
        <w:rPr>
          <w:b/>
        </w:rPr>
        <w:t>Canada</w:t>
      </w:r>
      <w:r w:rsidR="00581831" w:rsidRPr="006E4BEC">
        <w:rPr>
          <w:bCs/>
        </w:rPr>
        <w:t xml:space="preserve"> (</w:t>
      </w:r>
      <w:r w:rsidRPr="006E4BEC">
        <w:rPr>
          <w:bCs/>
        </w:rPr>
        <w:t xml:space="preserve">$190 million, </w:t>
      </w:r>
      <w:r w:rsidR="00581831" w:rsidRPr="006E4BEC">
        <w:rPr>
          <w:bCs/>
        </w:rPr>
        <w:t xml:space="preserve">up </w:t>
      </w:r>
      <w:r w:rsidRPr="006E4BEC">
        <w:rPr>
          <w:bCs/>
        </w:rPr>
        <w:t>34</w:t>
      </w:r>
      <w:r w:rsidR="00581831" w:rsidRPr="006E4BEC">
        <w:rPr>
          <w:bCs/>
        </w:rPr>
        <w:t>%)</w:t>
      </w:r>
      <w:r w:rsidRPr="006E4BEC">
        <w:rPr>
          <w:bCs/>
        </w:rPr>
        <w:t>.</w:t>
      </w:r>
      <w:r w:rsidR="00581831" w:rsidRPr="006E4BEC">
        <w:rPr>
          <w:bCs/>
        </w:rPr>
        <w:t xml:space="preserve"> Leading growth segments included </w:t>
      </w:r>
      <w:r w:rsidR="007426DA" w:rsidRPr="006E4BEC">
        <w:rPr>
          <w:b/>
        </w:rPr>
        <w:t>vehicle parts</w:t>
      </w:r>
      <w:r w:rsidR="00581831" w:rsidRPr="006E4BEC">
        <w:rPr>
          <w:b/>
        </w:rPr>
        <w:t xml:space="preserve"> </w:t>
      </w:r>
      <w:r w:rsidR="00581831" w:rsidRPr="006E4BEC">
        <w:rPr>
          <w:bCs/>
        </w:rPr>
        <w:t>($</w:t>
      </w:r>
      <w:r w:rsidR="007426DA" w:rsidRPr="006E4BEC">
        <w:rPr>
          <w:bCs/>
        </w:rPr>
        <w:t>151</w:t>
      </w:r>
      <w:r w:rsidR="00581831" w:rsidRPr="006E4BEC">
        <w:rPr>
          <w:bCs/>
        </w:rPr>
        <w:t xml:space="preserve"> million, up </w:t>
      </w:r>
      <w:r w:rsidR="007426DA" w:rsidRPr="006E4BEC">
        <w:rPr>
          <w:bCs/>
        </w:rPr>
        <w:t>5</w:t>
      </w:r>
      <w:r w:rsidR="00581831" w:rsidRPr="006E4BEC">
        <w:rPr>
          <w:bCs/>
        </w:rPr>
        <w:t>6%)</w:t>
      </w:r>
      <w:r w:rsidR="00D10279" w:rsidRPr="006E4BEC">
        <w:rPr>
          <w:bCs/>
        </w:rPr>
        <w:t xml:space="preserve"> </w:t>
      </w:r>
      <w:r w:rsidR="00581831" w:rsidRPr="006E4BEC">
        <w:rPr>
          <w:bCs/>
        </w:rPr>
        <w:t xml:space="preserve">and </w:t>
      </w:r>
      <w:r w:rsidR="007426DA" w:rsidRPr="006E4BEC">
        <w:rPr>
          <w:b/>
        </w:rPr>
        <w:t>vehicles for 10+ passengers</w:t>
      </w:r>
      <w:r w:rsidR="00581831" w:rsidRPr="006E4BEC">
        <w:rPr>
          <w:b/>
        </w:rPr>
        <w:t xml:space="preserve"> </w:t>
      </w:r>
      <w:r w:rsidR="00581831" w:rsidRPr="006E4BEC">
        <w:rPr>
          <w:bCs/>
        </w:rPr>
        <w:t>($</w:t>
      </w:r>
      <w:r w:rsidR="007426DA" w:rsidRPr="006E4BEC">
        <w:rPr>
          <w:bCs/>
        </w:rPr>
        <w:t>18</w:t>
      </w:r>
      <w:r w:rsidR="00581831" w:rsidRPr="006E4BEC">
        <w:rPr>
          <w:bCs/>
        </w:rPr>
        <w:t xml:space="preserve"> million, up </w:t>
      </w:r>
      <w:r w:rsidR="007426DA" w:rsidRPr="006E4BEC">
        <w:rPr>
          <w:bCs/>
        </w:rPr>
        <w:t>317</w:t>
      </w:r>
      <w:r w:rsidR="00581831" w:rsidRPr="006E4BEC">
        <w:rPr>
          <w:bCs/>
        </w:rPr>
        <w:t>%).</w:t>
      </w:r>
      <w:r w:rsidR="00D10279" w:rsidRPr="006E4BEC">
        <w:rPr>
          <w:bCs/>
        </w:rPr>
        <w:t xml:space="preserve"> </w:t>
      </w:r>
      <w:r w:rsidR="00D10279" w:rsidRPr="006E4BEC">
        <w:rPr>
          <w:b/>
        </w:rPr>
        <w:t>Tanks, armored vehicles</w:t>
      </w:r>
      <w:r w:rsidR="00D10279" w:rsidRPr="006E4BEC">
        <w:rPr>
          <w:bCs/>
        </w:rPr>
        <w:t xml:space="preserve"> ($22 million, up 840%) fueled growth to </w:t>
      </w:r>
      <w:r w:rsidR="00D10279" w:rsidRPr="006E4BEC">
        <w:rPr>
          <w:b/>
        </w:rPr>
        <w:t xml:space="preserve">Ukraine </w:t>
      </w:r>
      <w:r w:rsidR="00D10279" w:rsidRPr="006E4BEC">
        <w:rPr>
          <w:bCs/>
        </w:rPr>
        <w:t>($19 million, up from $20,000)</w:t>
      </w:r>
    </w:p>
    <w:p w14:paraId="0D2CBC5F" w14:textId="54BA92D1" w:rsidR="00C25539" w:rsidRPr="006E4BEC" w:rsidRDefault="00C25539" w:rsidP="00C25539">
      <w:pPr>
        <w:pStyle w:val="ListParagraph"/>
        <w:numPr>
          <w:ilvl w:val="0"/>
          <w:numId w:val="7"/>
        </w:numPr>
        <w:spacing w:after="0" w:line="271" w:lineRule="auto"/>
        <w:ind w:left="360" w:right="-396"/>
      </w:pPr>
      <w:r w:rsidRPr="006E4BEC">
        <w:t xml:space="preserve">Sales of </w:t>
      </w:r>
      <w:r w:rsidRPr="006E4BEC">
        <w:rPr>
          <w:b/>
          <w:bCs/>
        </w:rPr>
        <w:t>machinery</w:t>
      </w:r>
      <w:r w:rsidRPr="006E4BEC">
        <w:t xml:space="preserve"> (up 9%) rallied, with strong gains to </w:t>
      </w:r>
      <w:r w:rsidR="00D10279" w:rsidRPr="006E4BEC">
        <w:rPr>
          <w:b/>
          <w:bCs/>
        </w:rPr>
        <w:t xml:space="preserve">North American </w:t>
      </w:r>
      <w:r w:rsidR="00D10279" w:rsidRPr="006E4BEC">
        <w:t>markets</w:t>
      </w:r>
      <w:r w:rsidRPr="006E4BEC">
        <w:t xml:space="preserve"> (up 1</w:t>
      </w:r>
      <w:r w:rsidR="00D10279" w:rsidRPr="006E4BEC">
        <w:t>9</w:t>
      </w:r>
      <w:r w:rsidRPr="006E4BEC">
        <w:t xml:space="preserve">%), </w:t>
      </w:r>
      <w:r w:rsidRPr="006E4BEC">
        <w:rPr>
          <w:b/>
          <w:bCs/>
        </w:rPr>
        <w:t xml:space="preserve">China </w:t>
      </w:r>
      <w:r w:rsidRPr="006E4BEC">
        <w:t>(up 25%) and</w:t>
      </w:r>
      <w:r w:rsidR="00D10279" w:rsidRPr="006E4BEC">
        <w:t xml:space="preserve"> the</w:t>
      </w:r>
      <w:r w:rsidRPr="006E4BEC">
        <w:t xml:space="preserve"> </w:t>
      </w:r>
      <w:r w:rsidR="00D10279" w:rsidRPr="006E4BEC">
        <w:rPr>
          <w:b/>
          <w:bCs/>
        </w:rPr>
        <w:t>Middle East</w:t>
      </w:r>
      <w:r w:rsidRPr="006E4BEC">
        <w:rPr>
          <w:b/>
          <w:bCs/>
        </w:rPr>
        <w:t xml:space="preserve"> </w:t>
      </w:r>
      <w:r w:rsidRPr="006E4BEC">
        <w:t xml:space="preserve">(up </w:t>
      </w:r>
      <w:r w:rsidR="00D10279" w:rsidRPr="006E4BEC">
        <w:t>133</w:t>
      </w:r>
      <w:r w:rsidRPr="006E4BEC">
        <w:t>%</w:t>
      </w:r>
      <w:r w:rsidR="00EA50EC" w:rsidRPr="006E4BEC">
        <w:t xml:space="preserve">; </w:t>
      </w:r>
      <w:r w:rsidR="00D10279" w:rsidRPr="006E4BEC">
        <w:t>especially</w:t>
      </w:r>
      <w:r w:rsidR="00EA50EC" w:rsidRPr="006E4BEC">
        <w:t xml:space="preserve"> to</w:t>
      </w:r>
      <w:r w:rsidR="00D10279" w:rsidRPr="006E4BEC">
        <w:t xml:space="preserve"> </w:t>
      </w:r>
      <w:r w:rsidR="00D10279" w:rsidRPr="006E4BEC">
        <w:rPr>
          <w:b/>
          <w:bCs/>
        </w:rPr>
        <w:t>Saudi Arabia</w:t>
      </w:r>
      <w:r w:rsidR="00D10279" w:rsidRPr="006E4BEC">
        <w:t xml:space="preserve"> and</w:t>
      </w:r>
      <w:r w:rsidR="00D10279" w:rsidRPr="006E4BEC">
        <w:rPr>
          <w:b/>
          <w:bCs/>
        </w:rPr>
        <w:t xml:space="preserve"> UAE</w:t>
      </w:r>
      <w:r w:rsidRPr="006E4BEC">
        <w:t xml:space="preserve">), despite steep declines to </w:t>
      </w:r>
      <w:r w:rsidRPr="006E4BEC">
        <w:rPr>
          <w:b/>
          <w:bCs/>
        </w:rPr>
        <w:t>the Philippines</w:t>
      </w:r>
      <w:r w:rsidR="00D10279" w:rsidRPr="006E4BEC">
        <w:t xml:space="preserve"> </w:t>
      </w:r>
      <w:r w:rsidRPr="006E4BEC">
        <w:t xml:space="preserve">and </w:t>
      </w:r>
      <w:r w:rsidRPr="006E4BEC">
        <w:rPr>
          <w:b/>
          <w:bCs/>
        </w:rPr>
        <w:t>Italy</w:t>
      </w:r>
      <w:r w:rsidRPr="006E4BEC">
        <w:t>.</w:t>
      </w:r>
    </w:p>
    <w:p w14:paraId="2CD582AA" w14:textId="77777777" w:rsidR="00483853" w:rsidRPr="006E4BEC" w:rsidRDefault="00CB38AF" w:rsidP="00CB38AF">
      <w:pPr>
        <w:pStyle w:val="ListParagraph"/>
        <w:numPr>
          <w:ilvl w:val="0"/>
          <w:numId w:val="7"/>
        </w:numPr>
        <w:spacing w:after="0" w:line="271" w:lineRule="auto"/>
        <w:ind w:left="360" w:right="54"/>
      </w:pPr>
      <w:r w:rsidRPr="006E4BEC">
        <w:t xml:space="preserve">Export </w:t>
      </w:r>
      <w:r w:rsidR="00C25539" w:rsidRPr="006E4BEC">
        <w:t xml:space="preserve">growth in </w:t>
      </w:r>
      <w:r w:rsidR="00C25539" w:rsidRPr="006E4BEC">
        <w:rPr>
          <w:b/>
          <w:bCs/>
        </w:rPr>
        <w:t>oil seeds, misc</w:t>
      </w:r>
      <w:r w:rsidRPr="006E4BEC">
        <w:rPr>
          <w:b/>
          <w:bCs/>
        </w:rPr>
        <w:t>.</w:t>
      </w:r>
      <w:r w:rsidR="00C25539" w:rsidRPr="006E4BEC">
        <w:rPr>
          <w:b/>
          <w:bCs/>
        </w:rPr>
        <w:t xml:space="preserve"> grain</w:t>
      </w:r>
      <w:r w:rsidR="00C25539" w:rsidRPr="006E4BEC">
        <w:t xml:space="preserve"> (up 127%)</w:t>
      </w:r>
      <w:r w:rsidRPr="006E4BEC">
        <w:t xml:space="preserve"> was largely generated by demand for </w:t>
      </w:r>
      <w:r w:rsidRPr="006E4BEC">
        <w:rPr>
          <w:b/>
          <w:bCs/>
        </w:rPr>
        <w:t>soybeans</w:t>
      </w:r>
      <w:r w:rsidRPr="006E4BEC">
        <w:t xml:space="preserve"> in </w:t>
      </w:r>
      <w:r w:rsidRPr="006E4BEC">
        <w:rPr>
          <w:b/>
          <w:bCs/>
        </w:rPr>
        <w:t>Mexico</w:t>
      </w:r>
      <w:r w:rsidRPr="006E4BEC">
        <w:t xml:space="preserve">. </w:t>
      </w:r>
    </w:p>
    <w:p w14:paraId="27143031" w14:textId="1EBA561D" w:rsidR="00AA525C" w:rsidRPr="006E4BEC" w:rsidRDefault="00483853" w:rsidP="00CB38AF">
      <w:pPr>
        <w:pStyle w:val="ListParagraph"/>
        <w:numPr>
          <w:ilvl w:val="0"/>
          <w:numId w:val="7"/>
        </w:numPr>
        <w:spacing w:after="0" w:line="271" w:lineRule="auto"/>
        <w:ind w:left="360" w:right="54"/>
      </w:pPr>
      <w:r w:rsidRPr="006E4BEC">
        <w:t>W</w:t>
      </w:r>
      <w:r w:rsidR="00CB38AF" w:rsidRPr="006E4BEC">
        <w:t>hile demand</w:t>
      </w:r>
      <w:r w:rsidR="00EA50EC" w:rsidRPr="006E4BEC">
        <w:t xml:space="preserve"> for </w:t>
      </w:r>
      <w:r w:rsidR="00EA50EC" w:rsidRPr="006E4BEC">
        <w:rPr>
          <w:b/>
          <w:bCs/>
        </w:rPr>
        <w:t>cereals</w:t>
      </w:r>
      <w:r w:rsidR="00CB38AF" w:rsidRPr="006E4BEC">
        <w:t xml:space="preserve"> increased strongly in</w:t>
      </w:r>
      <w:r w:rsidR="00CB38AF" w:rsidRPr="006E4BEC">
        <w:rPr>
          <w:b/>
          <w:bCs/>
        </w:rPr>
        <w:t xml:space="preserve"> Mexico </w:t>
      </w:r>
      <w:r w:rsidR="00CB38AF" w:rsidRPr="006E4BEC">
        <w:t>(</w:t>
      </w:r>
      <w:r w:rsidR="00AA525C" w:rsidRPr="006E4BEC">
        <w:rPr>
          <w:bCs/>
        </w:rPr>
        <w:t>$120 million, up from $6 million</w:t>
      </w:r>
      <w:r w:rsidRPr="006E4BEC">
        <w:rPr>
          <w:bCs/>
        </w:rPr>
        <w:t xml:space="preserve">; </w:t>
      </w:r>
      <w:r w:rsidR="00EA50EC" w:rsidRPr="006E4BEC">
        <w:rPr>
          <w:bCs/>
        </w:rPr>
        <w:t>due to</w:t>
      </w:r>
      <w:r w:rsidRPr="006E4BEC">
        <w:rPr>
          <w:bCs/>
        </w:rPr>
        <w:t xml:space="preserve"> growth in </w:t>
      </w:r>
      <w:r w:rsidRPr="006E4BEC">
        <w:rPr>
          <w:b/>
        </w:rPr>
        <w:t>corn</w:t>
      </w:r>
      <w:r w:rsidRPr="006E4BEC">
        <w:rPr>
          <w:bCs/>
        </w:rPr>
        <w:t xml:space="preserve"> and </w:t>
      </w:r>
      <w:r w:rsidRPr="006E4BEC">
        <w:rPr>
          <w:b/>
        </w:rPr>
        <w:t>wheat</w:t>
      </w:r>
      <w:r w:rsidR="00AA525C" w:rsidRPr="006E4BEC">
        <w:rPr>
          <w:bCs/>
        </w:rPr>
        <w:t>)</w:t>
      </w:r>
      <w:r w:rsidR="00CB38AF" w:rsidRPr="006E4BEC">
        <w:rPr>
          <w:bCs/>
        </w:rPr>
        <w:t xml:space="preserve">, it </w:t>
      </w:r>
      <w:r w:rsidR="00AA525C" w:rsidRPr="006E4BEC">
        <w:rPr>
          <w:bCs/>
        </w:rPr>
        <w:t>plunge</w:t>
      </w:r>
      <w:r w:rsidR="00CB38AF" w:rsidRPr="006E4BEC">
        <w:rPr>
          <w:bCs/>
        </w:rPr>
        <w:t xml:space="preserve">d 82% (or was down $278 million) in </w:t>
      </w:r>
      <w:r w:rsidR="00CB38AF" w:rsidRPr="006E4BEC">
        <w:rPr>
          <w:b/>
        </w:rPr>
        <w:t>Canada</w:t>
      </w:r>
      <w:r w:rsidR="00CB38AF" w:rsidRPr="006E4BEC">
        <w:rPr>
          <w:bCs/>
        </w:rPr>
        <w:t>.</w:t>
      </w:r>
    </w:p>
    <w:p w14:paraId="35D98AD3" w14:textId="07039D9A" w:rsidR="00AA525C" w:rsidRPr="006E4BEC" w:rsidRDefault="00AA525C" w:rsidP="00AA525C">
      <w:pPr>
        <w:pStyle w:val="ListParagraph"/>
        <w:numPr>
          <w:ilvl w:val="0"/>
          <w:numId w:val="20"/>
        </w:numPr>
        <w:spacing w:after="0" w:line="271" w:lineRule="auto"/>
      </w:pPr>
      <w:r w:rsidRPr="006E4BEC">
        <w:rPr>
          <w:b/>
        </w:rPr>
        <w:t>Electrical equipment</w:t>
      </w:r>
      <w:r w:rsidR="00051435" w:rsidRPr="006E4BEC">
        <w:rPr>
          <w:bCs/>
        </w:rPr>
        <w:t xml:space="preserve"> </w:t>
      </w:r>
      <w:r w:rsidRPr="006E4BEC">
        <w:rPr>
          <w:bCs/>
        </w:rPr>
        <w:t xml:space="preserve">exports were </w:t>
      </w:r>
      <w:r w:rsidR="00EA50EC" w:rsidRPr="006E4BEC">
        <w:rPr>
          <w:bCs/>
        </w:rPr>
        <w:t>spurred</w:t>
      </w:r>
      <w:r w:rsidRPr="006E4BEC">
        <w:rPr>
          <w:bCs/>
        </w:rPr>
        <w:t xml:space="preserve"> by </w:t>
      </w:r>
      <w:r w:rsidRPr="006E4BEC">
        <w:rPr>
          <w:b/>
        </w:rPr>
        <w:t xml:space="preserve">Malaysia </w:t>
      </w:r>
      <w:r w:rsidRPr="006E4BEC">
        <w:rPr>
          <w:bCs/>
        </w:rPr>
        <w:t xml:space="preserve">(up 107%), </w:t>
      </w:r>
      <w:r w:rsidRPr="006E4BEC">
        <w:rPr>
          <w:b/>
        </w:rPr>
        <w:t xml:space="preserve">Germany </w:t>
      </w:r>
      <w:r w:rsidRPr="006E4BEC">
        <w:rPr>
          <w:bCs/>
        </w:rPr>
        <w:t>(up 35%) and</w:t>
      </w:r>
      <w:r w:rsidRPr="006E4BEC">
        <w:rPr>
          <w:b/>
        </w:rPr>
        <w:t xml:space="preserve"> the Philippines </w:t>
      </w:r>
      <w:r w:rsidRPr="006E4BEC">
        <w:rPr>
          <w:bCs/>
        </w:rPr>
        <w:t>(up 126%)</w:t>
      </w:r>
      <w:r w:rsidRPr="006E4BEC">
        <w:rPr>
          <w:b/>
        </w:rPr>
        <w:t xml:space="preserve">. </w:t>
      </w:r>
      <w:r w:rsidRPr="006E4BEC">
        <w:rPr>
          <w:bCs/>
        </w:rPr>
        <w:t xml:space="preserve">Growth segments </w:t>
      </w:r>
      <w:r w:rsidR="00BE76C8" w:rsidRPr="006E4BEC">
        <w:rPr>
          <w:bCs/>
        </w:rPr>
        <w:t xml:space="preserve">such as </w:t>
      </w:r>
      <w:r w:rsidR="00BE76C8" w:rsidRPr="006E4BEC">
        <w:rPr>
          <w:b/>
        </w:rPr>
        <w:t>diodes, transistors</w:t>
      </w:r>
      <w:r w:rsidR="00BE76C8" w:rsidRPr="006E4BEC">
        <w:rPr>
          <w:bCs/>
        </w:rPr>
        <w:t xml:space="preserve"> (up 37%)</w:t>
      </w:r>
      <w:r w:rsidR="00483853" w:rsidRPr="006E4BEC">
        <w:rPr>
          <w:bCs/>
        </w:rPr>
        <w:t>,</w:t>
      </w:r>
      <w:r w:rsidR="00BE76C8" w:rsidRPr="006E4BEC">
        <w:rPr>
          <w:bCs/>
        </w:rPr>
        <w:t xml:space="preserve"> </w:t>
      </w:r>
      <w:r w:rsidR="00BE76C8" w:rsidRPr="006E4BEC">
        <w:rPr>
          <w:b/>
        </w:rPr>
        <w:t>electric furnaces</w:t>
      </w:r>
      <w:r w:rsidR="00BE76C8" w:rsidRPr="006E4BEC">
        <w:rPr>
          <w:bCs/>
        </w:rPr>
        <w:t xml:space="preserve"> (up 105%) </w:t>
      </w:r>
      <w:r w:rsidR="00483853" w:rsidRPr="006E4BEC">
        <w:rPr>
          <w:bCs/>
        </w:rPr>
        <w:t xml:space="preserve">and </w:t>
      </w:r>
      <w:r w:rsidR="00483853" w:rsidRPr="006E4BEC">
        <w:rPr>
          <w:b/>
        </w:rPr>
        <w:t xml:space="preserve">batteries </w:t>
      </w:r>
      <w:r w:rsidR="00483853" w:rsidRPr="006E4BEC">
        <w:rPr>
          <w:bCs/>
        </w:rPr>
        <w:t xml:space="preserve">(up 32%) </w:t>
      </w:r>
      <w:r w:rsidR="00BE76C8" w:rsidRPr="006E4BEC">
        <w:rPr>
          <w:bCs/>
        </w:rPr>
        <w:t xml:space="preserve">helped offset declines in </w:t>
      </w:r>
      <w:r w:rsidRPr="006E4BEC">
        <w:rPr>
          <w:b/>
        </w:rPr>
        <w:t>integrated circuits</w:t>
      </w:r>
      <w:r w:rsidR="00BE76C8" w:rsidRPr="006E4BEC">
        <w:rPr>
          <w:b/>
        </w:rPr>
        <w:t xml:space="preserve"> </w:t>
      </w:r>
      <w:r w:rsidR="00BE76C8" w:rsidRPr="006E4BEC">
        <w:rPr>
          <w:bCs/>
        </w:rPr>
        <w:t>(down 13%) and</w:t>
      </w:r>
      <w:r w:rsidR="00BE76C8" w:rsidRPr="006E4BEC">
        <w:rPr>
          <w:b/>
        </w:rPr>
        <w:t xml:space="preserve"> insulated wire, cable </w:t>
      </w:r>
      <w:r w:rsidR="00BE76C8" w:rsidRPr="006E4BEC">
        <w:rPr>
          <w:bCs/>
        </w:rPr>
        <w:t>(down 18%).</w:t>
      </w:r>
    </w:p>
    <w:p w14:paraId="5A85435C" w14:textId="04BE5FBB" w:rsidR="00BE76C8" w:rsidRPr="006E4BEC" w:rsidRDefault="00BE76C8" w:rsidP="00BE76C8">
      <w:pPr>
        <w:pStyle w:val="ListParagraph"/>
        <w:numPr>
          <w:ilvl w:val="0"/>
          <w:numId w:val="20"/>
        </w:numPr>
        <w:spacing w:after="0" w:line="271" w:lineRule="auto"/>
      </w:pPr>
      <w:r w:rsidRPr="006E4BEC">
        <w:rPr>
          <w:b/>
        </w:rPr>
        <w:t>Korea</w:t>
      </w:r>
      <w:r w:rsidR="00703D62" w:rsidRPr="006E4BEC">
        <w:rPr>
          <w:b/>
        </w:rPr>
        <w:t xml:space="preserve"> </w:t>
      </w:r>
      <w:r w:rsidR="00703D62" w:rsidRPr="006E4BEC">
        <w:rPr>
          <w:bCs/>
        </w:rPr>
        <w:t>(</w:t>
      </w:r>
      <w:r w:rsidR="00150201" w:rsidRPr="006E4BEC">
        <w:rPr>
          <w:bCs/>
        </w:rPr>
        <w:t xml:space="preserve">up </w:t>
      </w:r>
      <w:r w:rsidRPr="006E4BEC">
        <w:rPr>
          <w:bCs/>
        </w:rPr>
        <w:t>$1</w:t>
      </w:r>
      <w:r w:rsidR="00150201" w:rsidRPr="006E4BEC">
        <w:rPr>
          <w:bCs/>
        </w:rPr>
        <w:t>1</w:t>
      </w:r>
      <w:r w:rsidRPr="006E4BEC">
        <w:rPr>
          <w:bCs/>
        </w:rPr>
        <w:t xml:space="preserve"> million</w:t>
      </w:r>
      <w:r w:rsidR="00703D62" w:rsidRPr="006E4BEC">
        <w:rPr>
          <w:bCs/>
        </w:rPr>
        <w:t>)</w:t>
      </w:r>
      <w:r w:rsidRPr="006E4BEC">
        <w:rPr>
          <w:bCs/>
        </w:rPr>
        <w:t xml:space="preserve">, </w:t>
      </w:r>
      <w:r w:rsidRPr="006E4BEC">
        <w:rPr>
          <w:b/>
        </w:rPr>
        <w:t xml:space="preserve">Germany </w:t>
      </w:r>
      <w:r w:rsidRPr="006E4BEC">
        <w:rPr>
          <w:bCs/>
        </w:rPr>
        <w:t>(</w:t>
      </w:r>
      <w:r w:rsidR="00150201" w:rsidRPr="006E4BEC">
        <w:rPr>
          <w:bCs/>
        </w:rPr>
        <w:t xml:space="preserve">up </w:t>
      </w:r>
      <w:r w:rsidRPr="006E4BEC">
        <w:rPr>
          <w:bCs/>
        </w:rPr>
        <w:t>$</w:t>
      </w:r>
      <w:r w:rsidR="00150201" w:rsidRPr="006E4BEC">
        <w:rPr>
          <w:bCs/>
        </w:rPr>
        <w:t>7</w:t>
      </w:r>
      <w:r w:rsidRPr="006E4BEC">
        <w:rPr>
          <w:bCs/>
        </w:rPr>
        <w:t xml:space="preserve"> million) and </w:t>
      </w:r>
      <w:r w:rsidRPr="006E4BEC">
        <w:rPr>
          <w:b/>
        </w:rPr>
        <w:t xml:space="preserve">Portugal </w:t>
      </w:r>
      <w:r w:rsidRPr="006E4BEC">
        <w:rPr>
          <w:bCs/>
        </w:rPr>
        <w:t>(up $6 million)</w:t>
      </w:r>
      <w:r w:rsidR="00483853" w:rsidRPr="006E4BEC">
        <w:rPr>
          <w:b/>
        </w:rPr>
        <w:t xml:space="preserve"> </w:t>
      </w:r>
      <w:r w:rsidR="00483853" w:rsidRPr="006E4BEC">
        <w:rPr>
          <w:bCs/>
        </w:rPr>
        <w:t xml:space="preserve">uplifted </w:t>
      </w:r>
      <w:r w:rsidR="00483853" w:rsidRPr="006E4BEC">
        <w:rPr>
          <w:b/>
        </w:rPr>
        <w:t xml:space="preserve">aircraft </w:t>
      </w:r>
      <w:r w:rsidR="00483853" w:rsidRPr="006E4BEC">
        <w:rPr>
          <w:bCs/>
        </w:rPr>
        <w:t>sales (up 8%).</w:t>
      </w:r>
    </w:p>
    <w:p w14:paraId="2531CFFE" w14:textId="2B9492D6" w:rsidR="007F1C4A" w:rsidRPr="006E4BEC" w:rsidRDefault="007F1C4A" w:rsidP="006E4BEC">
      <w:pPr>
        <w:pStyle w:val="Heading3"/>
        <w:spacing w:before="120" w:after="60"/>
        <w:rPr>
          <w:color w:val="auto"/>
          <w:sz w:val="24"/>
          <w:szCs w:val="24"/>
        </w:rPr>
      </w:pPr>
      <w:r w:rsidRPr="006E4BEC">
        <w:rPr>
          <w:color w:val="auto"/>
          <w:sz w:val="24"/>
          <w:szCs w:val="24"/>
        </w:rPr>
        <w:t>Fi</w:t>
      </w:r>
      <w:r w:rsidR="00A44451" w:rsidRPr="006E4BEC">
        <w:rPr>
          <w:color w:val="auto"/>
          <w:sz w:val="24"/>
          <w:szCs w:val="24"/>
        </w:rPr>
        <w:t>gure 4. Export Trends for</w:t>
      </w:r>
      <w:r w:rsidRPr="006E4BEC">
        <w:rPr>
          <w:color w:val="auto"/>
          <w:sz w:val="24"/>
          <w:szCs w:val="24"/>
        </w:rPr>
        <w:t xml:space="preserve"> Minnesota’s Top 10 Products, </w:t>
      </w:r>
      <w:r w:rsidR="00A30328" w:rsidRPr="006E4BEC">
        <w:rPr>
          <w:color w:val="auto"/>
          <w:sz w:val="24"/>
          <w:szCs w:val="24"/>
        </w:rPr>
        <w:t>First</w:t>
      </w:r>
      <w:r w:rsidR="00A52415" w:rsidRPr="006E4BEC">
        <w:rPr>
          <w:color w:val="auto"/>
          <w:sz w:val="24"/>
          <w:szCs w:val="24"/>
        </w:rPr>
        <w:t xml:space="preserve"> Quarter </w:t>
      </w:r>
      <w:r w:rsidR="004C6288" w:rsidRPr="006E4BEC">
        <w:rPr>
          <w:color w:val="auto"/>
          <w:sz w:val="24"/>
          <w:szCs w:val="24"/>
        </w:rPr>
        <w:t>2023</w:t>
      </w:r>
    </w:p>
    <w:p w14:paraId="7DD1D668" w14:textId="6C909284" w:rsidR="00483853" w:rsidRPr="006E4BEC" w:rsidRDefault="00483853" w:rsidP="00483853">
      <w:r w:rsidRPr="006E4BEC">
        <w:rPr>
          <w:noProof/>
        </w:rPr>
        <w:drawing>
          <wp:inline distT="0" distB="0" distL="0" distR="0" wp14:anchorId="5CF5DAF9" wp14:editId="5BCE606B">
            <wp:extent cx="6492240" cy="2085510"/>
            <wp:effectExtent l="0" t="0" r="3810" b="0"/>
            <wp:docPr id="4" name="Picture 4" descr="MN exports by top 10 products, first quarter 2023&#10;PRODUCT Exports (millions) Percent Change, 2022-Q1 to 2023-Q1&#10;Total  $6,605  9%&#10;Optic, Medical  $1,056  14%&#10;Electrical Equipment  $973  4%&#10;Machinery  $965  9%&#10;Mineral Fuel, Oil  $752  74%&#10;Vehicles  $420  37%&#10;Plastics  $259  -15%&#10;Cereals  $204  -46%&#10;Food By-Products  $180  6%&#10;Meat  $124  1%&#10;Misc. Chemicals  $122  15%&#10;Other  $1,550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MN exports by top 10 products, first quarter 2023&#10;PRODUCT Exports (millions) Percent Change, 2022-Q1 to 2023-Q1&#10;Total  $6,605  9%&#10;Optic, Medical  $1,056  14%&#10;Electrical Equipment  $973  4%&#10;Machinery  $965  9%&#10;Mineral Fuel, Oil  $752  74%&#10;Vehicles  $420  37%&#10;Plastics  $259  -15%&#10;Cereals  $204  -46%&#10;Food By-Products  $180  6%&#10;Meat  $124  1%&#10;Misc. Chemicals  $122  15%&#10;Other  $1,550  3%&#10;"/>
                    <pic:cNvPicPr>
                      <a:picLocks noChangeAspect="1" noChangeArrowheads="1"/>
                    </pic:cNvPicPr>
                  </pic:nvPicPr>
                  <pic:blipFill rotWithShape="1">
                    <a:blip r:embed="rId17">
                      <a:extLst>
                        <a:ext uri="{28A0092B-C50C-407E-A947-70E740481C1C}">
                          <a14:useLocalDpi xmlns:a14="http://schemas.microsoft.com/office/drawing/2010/main" val="0"/>
                        </a:ext>
                      </a:extLst>
                    </a:blip>
                    <a:srcRect t="6029"/>
                    <a:stretch/>
                  </pic:blipFill>
                  <pic:spPr bwMode="auto">
                    <a:xfrm>
                      <a:off x="0" y="0"/>
                      <a:ext cx="6492240" cy="2085510"/>
                    </a:xfrm>
                    <a:prstGeom prst="rect">
                      <a:avLst/>
                    </a:prstGeom>
                    <a:noFill/>
                    <a:ln>
                      <a:noFill/>
                    </a:ln>
                    <a:extLst>
                      <a:ext uri="{53640926-AAD7-44D8-BBD7-CCE9431645EC}">
                        <a14:shadowObscured xmlns:a14="http://schemas.microsoft.com/office/drawing/2010/main"/>
                      </a:ext>
                    </a:extLst>
                  </pic:spPr>
                </pic:pic>
              </a:graphicData>
            </a:graphic>
          </wp:inline>
        </w:drawing>
      </w:r>
    </w:p>
    <w:tbl>
      <w:tblPr>
        <w:tblpPr w:leftFromText="180" w:rightFromText="180" w:vertAnchor="page" w:horzAnchor="margin" w:tblpY="13313"/>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9E5A6"/>
        <w:tblLook w:val="04A0" w:firstRow="1" w:lastRow="0" w:firstColumn="1" w:lastColumn="0" w:noHBand="0" w:noVBand="1"/>
        <w:tblCaption w:val="Additional information"/>
        <w:tblDescription w:val="Minnesota Quarterly Export Statistics is the most current resource available for tracking the state’s export trends in manufactured and other goods, and is prepared for the Minnesota Trade Office (MTO) by the Department of Employment and Economic Development’s (DEED) Economic Analysis Unit (Thu-Mai Ho-Kim).  The quarterly and annual statistics reports primarily cover export data based on the Harmonized Tariff System (Schedule B), accessed from WISERTrade - State HS Database, based on data collected by the U.S. Census Bureau, Foreign Trade Division. Reports are available on DEED’s website at “Export and Trade Statistics” (http://mn.gov/deed/data/export-stats/). "/>
      </w:tblPr>
      <w:tblGrid>
        <w:gridCol w:w="10255"/>
      </w:tblGrid>
      <w:tr w:rsidR="006E4BEC" w:rsidRPr="006E4BEC" w14:paraId="691E8215" w14:textId="77777777" w:rsidTr="00483853">
        <w:trPr>
          <w:trHeight w:val="530"/>
        </w:trPr>
        <w:tc>
          <w:tcPr>
            <w:tcW w:w="10255" w:type="dxa"/>
            <w:shd w:val="clear" w:color="auto" w:fill="C9E5A6"/>
          </w:tcPr>
          <w:p w14:paraId="40571DC9" w14:textId="0D17C1A4" w:rsidR="002E27C8" w:rsidRPr="006E4BEC" w:rsidRDefault="004A5841" w:rsidP="00483853">
            <w:pPr>
              <w:spacing w:after="0" w:line="240" w:lineRule="auto"/>
              <w:rPr>
                <w:rFonts w:ascii="Calibri" w:hAnsi="Calibri" w:cs="Calibri"/>
                <w:sz w:val="20"/>
                <w:szCs w:val="20"/>
              </w:rPr>
            </w:pPr>
            <w:r w:rsidRPr="006E4BEC">
              <w:rPr>
                <w:rStyle w:val="Emphasis"/>
                <w:rFonts w:cstheme="minorHAnsi"/>
                <w:sz w:val="20"/>
                <w:szCs w:val="20"/>
              </w:rPr>
              <w:t>Minnesota Export Statistics</w:t>
            </w:r>
            <w:r w:rsidR="00EA50EC" w:rsidRPr="006E4BEC">
              <w:rPr>
                <w:rStyle w:val="Emphasis"/>
                <w:rFonts w:cstheme="minorHAnsi"/>
                <w:i w:val="0"/>
                <w:iCs w:val="0"/>
                <w:sz w:val="20"/>
                <w:szCs w:val="20"/>
              </w:rPr>
              <w:t xml:space="preserve"> </w:t>
            </w:r>
            <w:r w:rsidR="00EA50EC" w:rsidRPr="006E4BEC">
              <w:rPr>
                <w:rStyle w:val="Emphasis"/>
                <w:i w:val="0"/>
                <w:iCs w:val="0"/>
                <w:sz w:val="20"/>
                <w:szCs w:val="20"/>
              </w:rPr>
              <w:t>reports</w:t>
            </w:r>
            <w:r w:rsidR="00EA50EC" w:rsidRPr="006E4BEC">
              <w:rPr>
                <w:rStyle w:val="Emphasis"/>
                <w:sz w:val="20"/>
                <w:szCs w:val="20"/>
              </w:rPr>
              <w:t xml:space="preserve"> t</w:t>
            </w:r>
            <w:r w:rsidRPr="006E4BEC">
              <w:rPr>
                <w:rFonts w:cstheme="minorHAnsi"/>
                <w:sz w:val="20"/>
                <w:szCs w:val="20"/>
              </w:rPr>
              <w:t>rack the state’s trends in exports of goods and is prepared for the Minnesota Trade Office by DEED’s Economic Analysis Unit (Thu-Mai Ho-Kim). The quarterly and annual reports primarily cover export data based on the Harmonized Tariff System (Schedule B), collected by the Foreign Trade Division, Census Bureau, U.S. Dept of Commerce and accessed through USA Trade Online (Census Bureau) and Trade Data Monitor (TDM). Historical reports are available on DEED’s website at “Export and Trade Statistics” (</w:t>
            </w:r>
            <w:hyperlink r:id="rId18" w:history="1">
              <w:r w:rsidRPr="006E4BEC">
                <w:rPr>
                  <w:rStyle w:val="Hyperlink"/>
                  <w:rFonts w:cstheme="minorHAnsi"/>
                  <w:color w:val="auto"/>
                  <w:sz w:val="20"/>
                  <w:szCs w:val="20"/>
                </w:rPr>
                <w:t>http://mn.gov/deed/data/export-stats/</w:t>
              </w:r>
            </w:hyperlink>
            <w:r w:rsidRPr="006E4BEC">
              <w:rPr>
                <w:rFonts w:cstheme="minorHAnsi"/>
                <w:sz w:val="20"/>
                <w:szCs w:val="20"/>
              </w:rPr>
              <w:t xml:space="preserve">).  </w:t>
            </w:r>
          </w:p>
        </w:tc>
      </w:tr>
    </w:tbl>
    <w:p w14:paraId="6AC24104" w14:textId="77777777" w:rsidR="00FE15EB" w:rsidRPr="006E4BEC" w:rsidRDefault="00FE15EB" w:rsidP="00EA50EC">
      <w:pPr>
        <w:spacing w:after="240"/>
        <w:rPr>
          <w:rFonts w:ascii="Times New Roman" w:eastAsia="Times New Roman" w:hAnsi="Times New Roman" w:cs="Times New Roman"/>
          <w:snapToGrid w:val="0"/>
          <w:w w:val="0"/>
          <w:sz w:val="0"/>
          <w:szCs w:val="0"/>
          <w:u w:color="000000"/>
          <w:bdr w:val="none" w:sz="0" w:space="0" w:color="000000"/>
          <w:shd w:val="clear" w:color="000000" w:fill="000000"/>
          <w:lang w:eastAsia="x-none" w:bidi="x-none"/>
        </w:rPr>
      </w:pPr>
    </w:p>
    <w:sectPr w:rsidR="00FE15EB" w:rsidRPr="006E4BEC" w:rsidSect="00FE15EB">
      <w:footnotePr>
        <w:numRestart w:val="eachSect"/>
      </w:footnotePr>
      <w:endnotePr>
        <w:numFmt w:val="decimal"/>
      </w:endnotePr>
      <w:type w:val="continuous"/>
      <w:pgSz w:w="12240" w:h="15840" w:code="1"/>
      <w:pgMar w:top="864" w:right="1008" w:bottom="864" w:left="1008"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ED49C" w14:textId="77777777" w:rsidR="00787A9E" w:rsidRDefault="00787A9E">
      <w:r>
        <w:separator/>
      </w:r>
    </w:p>
  </w:endnote>
  <w:endnote w:type="continuationSeparator" w:id="0">
    <w:p w14:paraId="674258BF" w14:textId="77777777" w:rsidR="00787A9E" w:rsidRDefault="00787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911F6" w14:textId="77777777" w:rsidR="00CC1B7D" w:rsidRDefault="00CC1B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82E195" w14:textId="77777777" w:rsidR="00CC1B7D" w:rsidRDefault="00CC1B7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F6150" w14:textId="22E678C6" w:rsidR="00A14E15" w:rsidRPr="00A14E15" w:rsidRDefault="00A14E15" w:rsidP="00A14E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AAF65" w14:textId="77777777" w:rsidR="00787A9E" w:rsidRDefault="00787A9E">
      <w:r>
        <w:separator/>
      </w:r>
    </w:p>
  </w:footnote>
  <w:footnote w:type="continuationSeparator" w:id="0">
    <w:p w14:paraId="176B1ED7" w14:textId="77777777" w:rsidR="00787A9E" w:rsidRDefault="00787A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8B42A" w14:textId="77777777" w:rsidR="00CC1B7D" w:rsidRDefault="00CC1B7D" w:rsidP="00E014F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147C6F" w14:textId="77777777" w:rsidR="00CC1B7D" w:rsidRDefault="00CC1B7D" w:rsidP="00E014F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6BEFB" w14:textId="77777777" w:rsidR="00CC1B7D" w:rsidRDefault="00CC1B7D" w:rsidP="00E014F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81236">
      <w:rPr>
        <w:rStyle w:val="PageNumber"/>
        <w:noProof/>
      </w:rPr>
      <w:t>2</w:t>
    </w:r>
    <w:r>
      <w:rPr>
        <w:rStyle w:val="PageNumber"/>
      </w:rPr>
      <w:fldChar w:fldCharType="end"/>
    </w:r>
  </w:p>
  <w:p w14:paraId="4CE97ED2" w14:textId="77777777" w:rsidR="00CC1B7D" w:rsidRDefault="00CC1B7D" w:rsidP="00E014F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89482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0AD7251"/>
    <w:multiLevelType w:val="hybridMultilevel"/>
    <w:tmpl w:val="A20C3C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7055FB0"/>
    <w:multiLevelType w:val="hybridMultilevel"/>
    <w:tmpl w:val="39F019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9B22E7"/>
    <w:multiLevelType w:val="hybridMultilevel"/>
    <w:tmpl w:val="DB8C1E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F621A5E"/>
    <w:multiLevelType w:val="hybridMultilevel"/>
    <w:tmpl w:val="787C92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06B6753"/>
    <w:multiLevelType w:val="hybridMultilevel"/>
    <w:tmpl w:val="31E0D6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38E4940"/>
    <w:multiLevelType w:val="hybridMultilevel"/>
    <w:tmpl w:val="4AAE80EE"/>
    <w:lvl w:ilvl="0" w:tplc="14C2CC9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61121C"/>
    <w:multiLevelType w:val="hybridMultilevel"/>
    <w:tmpl w:val="CFAA2A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D731D63"/>
    <w:multiLevelType w:val="hybridMultilevel"/>
    <w:tmpl w:val="0FB4B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E81A19"/>
    <w:multiLevelType w:val="hybridMultilevel"/>
    <w:tmpl w:val="B832DA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F4926A3"/>
    <w:multiLevelType w:val="hybridMultilevel"/>
    <w:tmpl w:val="0A6047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0373CB2"/>
    <w:multiLevelType w:val="hybridMultilevel"/>
    <w:tmpl w:val="409AC7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71704E9"/>
    <w:multiLevelType w:val="hybridMultilevel"/>
    <w:tmpl w:val="187CA0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A38056F"/>
    <w:multiLevelType w:val="hybridMultilevel"/>
    <w:tmpl w:val="88CEEB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2DA42E3"/>
    <w:multiLevelType w:val="hybridMultilevel"/>
    <w:tmpl w:val="8A0ED5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48B18F3"/>
    <w:multiLevelType w:val="hybridMultilevel"/>
    <w:tmpl w:val="9CD05F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49D255A"/>
    <w:multiLevelType w:val="hybridMultilevel"/>
    <w:tmpl w:val="2EE466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7975A35"/>
    <w:multiLevelType w:val="hybridMultilevel"/>
    <w:tmpl w:val="E5021E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9F11FFB"/>
    <w:multiLevelType w:val="hybridMultilevel"/>
    <w:tmpl w:val="4CDAD0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BE717D2"/>
    <w:multiLevelType w:val="hybridMultilevel"/>
    <w:tmpl w:val="E334D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6115109">
    <w:abstractNumId w:val="0"/>
  </w:num>
  <w:num w:numId="2" w16cid:durableId="587809003">
    <w:abstractNumId w:val="14"/>
  </w:num>
  <w:num w:numId="3" w16cid:durableId="315185240">
    <w:abstractNumId w:val="13"/>
  </w:num>
  <w:num w:numId="4" w16cid:durableId="739328196">
    <w:abstractNumId w:val="4"/>
  </w:num>
  <w:num w:numId="5" w16cid:durableId="596596594">
    <w:abstractNumId w:val="1"/>
  </w:num>
  <w:num w:numId="6" w16cid:durableId="1351759869">
    <w:abstractNumId w:val="8"/>
  </w:num>
  <w:num w:numId="7" w16cid:durableId="1845899144">
    <w:abstractNumId w:val="19"/>
  </w:num>
  <w:num w:numId="8" w16cid:durableId="1255089048">
    <w:abstractNumId w:val="17"/>
  </w:num>
  <w:num w:numId="9" w16cid:durableId="812912516">
    <w:abstractNumId w:val="11"/>
  </w:num>
  <w:num w:numId="10" w16cid:durableId="434403191">
    <w:abstractNumId w:val="9"/>
  </w:num>
  <w:num w:numId="11" w16cid:durableId="199321401">
    <w:abstractNumId w:val="7"/>
  </w:num>
  <w:num w:numId="12" w16cid:durableId="1962147869">
    <w:abstractNumId w:val="2"/>
  </w:num>
  <w:num w:numId="13" w16cid:durableId="26877656">
    <w:abstractNumId w:val="18"/>
  </w:num>
  <w:num w:numId="14" w16cid:durableId="1700356944">
    <w:abstractNumId w:val="12"/>
  </w:num>
  <w:num w:numId="15" w16cid:durableId="1203322051">
    <w:abstractNumId w:val="6"/>
  </w:num>
  <w:num w:numId="16" w16cid:durableId="1798253661">
    <w:abstractNumId w:val="3"/>
  </w:num>
  <w:num w:numId="17" w16cid:durableId="136194312">
    <w:abstractNumId w:val="10"/>
  </w:num>
  <w:num w:numId="18" w16cid:durableId="449085045">
    <w:abstractNumId w:val="15"/>
  </w:num>
  <w:num w:numId="19" w16cid:durableId="696664036">
    <w:abstractNumId w:val="16"/>
  </w:num>
  <w:num w:numId="20" w16cid:durableId="432828150">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NotTrackFormatting/>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050"/>
  </w:hdrShapeDefaults>
  <w:footnotePr>
    <w:numRestart w:val="eachSect"/>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EAB"/>
    <w:rsid w:val="00003FDB"/>
    <w:rsid w:val="000041CC"/>
    <w:rsid w:val="0000470B"/>
    <w:rsid w:val="000115BA"/>
    <w:rsid w:val="00013717"/>
    <w:rsid w:val="00015A9D"/>
    <w:rsid w:val="00017FE0"/>
    <w:rsid w:val="000218A0"/>
    <w:rsid w:val="00024BB5"/>
    <w:rsid w:val="000350A7"/>
    <w:rsid w:val="00035328"/>
    <w:rsid w:val="00036238"/>
    <w:rsid w:val="00044ED9"/>
    <w:rsid w:val="00046117"/>
    <w:rsid w:val="00051435"/>
    <w:rsid w:val="00051FE0"/>
    <w:rsid w:val="00051FF7"/>
    <w:rsid w:val="00052D34"/>
    <w:rsid w:val="000541A0"/>
    <w:rsid w:val="00054A6E"/>
    <w:rsid w:val="00055AAF"/>
    <w:rsid w:val="0005790D"/>
    <w:rsid w:val="000603F2"/>
    <w:rsid w:val="00061093"/>
    <w:rsid w:val="0006144E"/>
    <w:rsid w:val="0006608A"/>
    <w:rsid w:val="000705F0"/>
    <w:rsid w:val="000716AC"/>
    <w:rsid w:val="00073109"/>
    <w:rsid w:val="000731F2"/>
    <w:rsid w:val="00073987"/>
    <w:rsid w:val="0007455F"/>
    <w:rsid w:val="00076DF3"/>
    <w:rsid w:val="00077989"/>
    <w:rsid w:val="0008038B"/>
    <w:rsid w:val="00083199"/>
    <w:rsid w:val="000859F2"/>
    <w:rsid w:val="00085EED"/>
    <w:rsid w:val="000878A3"/>
    <w:rsid w:val="00090B7B"/>
    <w:rsid w:val="000919F2"/>
    <w:rsid w:val="0009219A"/>
    <w:rsid w:val="000924DC"/>
    <w:rsid w:val="00092621"/>
    <w:rsid w:val="0009287F"/>
    <w:rsid w:val="000929D8"/>
    <w:rsid w:val="00092FFB"/>
    <w:rsid w:val="00096FFD"/>
    <w:rsid w:val="000A1B8D"/>
    <w:rsid w:val="000A491B"/>
    <w:rsid w:val="000A4AB3"/>
    <w:rsid w:val="000A5664"/>
    <w:rsid w:val="000A7EF0"/>
    <w:rsid w:val="000B2DF3"/>
    <w:rsid w:val="000B518F"/>
    <w:rsid w:val="000B6338"/>
    <w:rsid w:val="000C1CB0"/>
    <w:rsid w:val="000C2181"/>
    <w:rsid w:val="000C3AE5"/>
    <w:rsid w:val="000D02DD"/>
    <w:rsid w:val="000D1330"/>
    <w:rsid w:val="000D18A9"/>
    <w:rsid w:val="000D5D94"/>
    <w:rsid w:val="000D6FAF"/>
    <w:rsid w:val="000E0786"/>
    <w:rsid w:val="000E3376"/>
    <w:rsid w:val="000E532F"/>
    <w:rsid w:val="000E6BD9"/>
    <w:rsid w:val="000E6F54"/>
    <w:rsid w:val="000E7ED0"/>
    <w:rsid w:val="000F0519"/>
    <w:rsid w:val="000F1844"/>
    <w:rsid w:val="000F1B22"/>
    <w:rsid w:val="000F3E1F"/>
    <w:rsid w:val="000F4C5E"/>
    <w:rsid w:val="000F54F2"/>
    <w:rsid w:val="000F5EB1"/>
    <w:rsid w:val="000F6660"/>
    <w:rsid w:val="000F6CDA"/>
    <w:rsid w:val="00106910"/>
    <w:rsid w:val="00107686"/>
    <w:rsid w:val="001104C3"/>
    <w:rsid w:val="001127F8"/>
    <w:rsid w:val="00112A1D"/>
    <w:rsid w:val="00112A91"/>
    <w:rsid w:val="001214D7"/>
    <w:rsid w:val="0012471B"/>
    <w:rsid w:val="001250AB"/>
    <w:rsid w:val="001263E2"/>
    <w:rsid w:val="00132366"/>
    <w:rsid w:val="00132A66"/>
    <w:rsid w:val="00134ECC"/>
    <w:rsid w:val="00134F20"/>
    <w:rsid w:val="00135A0B"/>
    <w:rsid w:val="001360E3"/>
    <w:rsid w:val="00136664"/>
    <w:rsid w:val="001373C3"/>
    <w:rsid w:val="00137E8C"/>
    <w:rsid w:val="00140B5F"/>
    <w:rsid w:val="00142003"/>
    <w:rsid w:val="0014228E"/>
    <w:rsid w:val="001422BE"/>
    <w:rsid w:val="00145936"/>
    <w:rsid w:val="00147356"/>
    <w:rsid w:val="00147EEF"/>
    <w:rsid w:val="00150201"/>
    <w:rsid w:val="001619F1"/>
    <w:rsid w:val="001625A3"/>
    <w:rsid w:val="00162EF3"/>
    <w:rsid w:val="0016340E"/>
    <w:rsid w:val="00164B97"/>
    <w:rsid w:val="00170A9E"/>
    <w:rsid w:val="00172BF4"/>
    <w:rsid w:val="00172FA7"/>
    <w:rsid w:val="00173478"/>
    <w:rsid w:val="00173D78"/>
    <w:rsid w:val="00176732"/>
    <w:rsid w:val="00176E55"/>
    <w:rsid w:val="0018069A"/>
    <w:rsid w:val="00182D30"/>
    <w:rsid w:val="0018375B"/>
    <w:rsid w:val="0018461A"/>
    <w:rsid w:val="001846AE"/>
    <w:rsid w:val="001873D8"/>
    <w:rsid w:val="00192539"/>
    <w:rsid w:val="001942D2"/>
    <w:rsid w:val="001944CA"/>
    <w:rsid w:val="001968E6"/>
    <w:rsid w:val="001978D1"/>
    <w:rsid w:val="001979B1"/>
    <w:rsid w:val="001A7229"/>
    <w:rsid w:val="001A7363"/>
    <w:rsid w:val="001A787E"/>
    <w:rsid w:val="001B0716"/>
    <w:rsid w:val="001B0835"/>
    <w:rsid w:val="001B0D71"/>
    <w:rsid w:val="001B1416"/>
    <w:rsid w:val="001B344A"/>
    <w:rsid w:val="001B3687"/>
    <w:rsid w:val="001B4406"/>
    <w:rsid w:val="001B5950"/>
    <w:rsid w:val="001B6B06"/>
    <w:rsid w:val="001C1112"/>
    <w:rsid w:val="001C13C5"/>
    <w:rsid w:val="001C1959"/>
    <w:rsid w:val="001C1A15"/>
    <w:rsid w:val="001C3A93"/>
    <w:rsid w:val="001C6967"/>
    <w:rsid w:val="001D0609"/>
    <w:rsid w:val="001D704D"/>
    <w:rsid w:val="001D767B"/>
    <w:rsid w:val="001E36FD"/>
    <w:rsid w:val="001E4570"/>
    <w:rsid w:val="001E4F28"/>
    <w:rsid w:val="001E53CF"/>
    <w:rsid w:val="001E6B49"/>
    <w:rsid w:val="001E79C1"/>
    <w:rsid w:val="001E7B61"/>
    <w:rsid w:val="001F56E0"/>
    <w:rsid w:val="001F591D"/>
    <w:rsid w:val="001F62FF"/>
    <w:rsid w:val="001F7EBF"/>
    <w:rsid w:val="002003FA"/>
    <w:rsid w:val="0020291D"/>
    <w:rsid w:val="00202963"/>
    <w:rsid w:val="00203298"/>
    <w:rsid w:val="002040F2"/>
    <w:rsid w:val="00205084"/>
    <w:rsid w:val="00205F9C"/>
    <w:rsid w:val="00211025"/>
    <w:rsid w:val="0021231E"/>
    <w:rsid w:val="002127D7"/>
    <w:rsid w:val="00212FF3"/>
    <w:rsid w:val="002158EE"/>
    <w:rsid w:val="00215DA6"/>
    <w:rsid w:val="00216C2D"/>
    <w:rsid w:val="00217960"/>
    <w:rsid w:val="002224AE"/>
    <w:rsid w:val="0022389E"/>
    <w:rsid w:val="00223F46"/>
    <w:rsid w:val="00226A71"/>
    <w:rsid w:val="00230CA2"/>
    <w:rsid w:val="00234444"/>
    <w:rsid w:val="00244370"/>
    <w:rsid w:val="00245025"/>
    <w:rsid w:val="0024609E"/>
    <w:rsid w:val="00250B75"/>
    <w:rsid w:val="002538D5"/>
    <w:rsid w:val="0025565E"/>
    <w:rsid w:val="002607E0"/>
    <w:rsid w:val="00262FF7"/>
    <w:rsid w:val="0026310F"/>
    <w:rsid w:val="00267778"/>
    <w:rsid w:val="002726A4"/>
    <w:rsid w:val="00272910"/>
    <w:rsid w:val="00275F40"/>
    <w:rsid w:val="0027681D"/>
    <w:rsid w:val="00277C67"/>
    <w:rsid w:val="00277E66"/>
    <w:rsid w:val="0028048A"/>
    <w:rsid w:val="00284EDE"/>
    <w:rsid w:val="00287234"/>
    <w:rsid w:val="002907B4"/>
    <w:rsid w:val="00293DCF"/>
    <w:rsid w:val="002969E6"/>
    <w:rsid w:val="00297DBE"/>
    <w:rsid w:val="002A0D6B"/>
    <w:rsid w:val="002A27D6"/>
    <w:rsid w:val="002A2F54"/>
    <w:rsid w:val="002A3F50"/>
    <w:rsid w:val="002A4808"/>
    <w:rsid w:val="002A52FC"/>
    <w:rsid w:val="002B1415"/>
    <w:rsid w:val="002B329E"/>
    <w:rsid w:val="002B36A6"/>
    <w:rsid w:val="002B3ACE"/>
    <w:rsid w:val="002B6B53"/>
    <w:rsid w:val="002B6EBF"/>
    <w:rsid w:val="002C0C4E"/>
    <w:rsid w:val="002C164C"/>
    <w:rsid w:val="002C52C4"/>
    <w:rsid w:val="002C6521"/>
    <w:rsid w:val="002D2A7E"/>
    <w:rsid w:val="002D2EF5"/>
    <w:rsid w:val="002D63BC"/>
    <w:rsid w:val="002D6A99"/>
    <w:rsid w:val="002D6F33"/>
    <w:rsid w:val="002E27C8"/>
    <w:rsid w:val="002E47BC"/>
    <w:rsid w:val="002E53C6"/>
    <w:rsid w:val="002E54F1"/>
    <w:rsid w:val="002F0687"/>
    <w:rsid w:val="002F1C0E"/>
    <w:rsid w:val="002F1E64"/>
    <w:rsid w:val="002F257A"/>
    <w:rsid w:val="002F285F"/>
    <w:rsid w:val="002F5224"/>
    <w:rsid w:val="002F71B1"/>
    <w:rsid w:val="002F7ABC"/>
    <w:rsid w:val="00301B16"/>
    <w:rsid w:val="003047CE"/>
    <w:rsid w:val="00304E7F"/>
    <w:rsid w:val="0031458A"/>
    <w:rsid w:val="00314865"/>
    <w:rsid w:val="00314EBD"/>
    <w:rsid w:val="00320905"/>
    <w:rsid w:val="00327817"/>
    <w:rsid w:val="0033034E"/>
    <w:rsid w:val="00330852"/>
    <w:rsid w:val="00332036"/>
    <w:rsid w:val="00332B6B"/>
    <w:rsid w:val="00335273"/>
    <w:rsid w:val="00337018"/>
    <w:rsid w:val="00337315"/>
    <w:rsid w:val="00340E9C"/>
    <w:rsid w:val="003413C6"/>
    <w:rsid w:val="003415A0"/>
    <w:rsid w:val="00342DD3"/>
    <w:rsid w:val="00343C68"/>
    <w:rsid w:val="0034514F"/>
    <w:rsid w:val="0034596F"/>
    <w:rsid w:val="00352999"/>
    <w:rsid w:val="003530DA"/>
    <w:rsid w:val="0035427F"/>
    <w:rsid w:val="003575CE"/>
    <w:rsid w:val="00361002"/>
    <w:rsid w:val="003610A2"/>
    <w:rsid w:val="00365F97"/>
    <w:rsid w:val="00370F35"/>
    <w:rsid w:val="00371C8B"/>
    <w:rsid w:val="00372846"/>
    <w:rsid w:val="00373858"/>
    <w:rsid w:val="00373CD5"/>
    <w:rsid w:val="00374F2A"/>
    <w:rsid w:val="00375BF0"/>
    <w:rsid w:val="0037721A"/>
    <w:rsid w:val="0038071A"/>
    <w:rsid w:val="003823B0"/>
    <w:rsid w:val="003833B0"/>
    <w:rsid w:val="00383D01"/>
    <w:rsid w:val="00385E7F"/>
    <w:rsid w:val="0038665A"/>
    <w:rsid w:val="00387777"/>
    <w:rsid w:val="00387942"/>
    <w:rsid w:val="00387E7F"/>
    <w:rsid w:val="00391815"/>
    <w:rsid w:val="00392609"/>
    <w:rsid w:val="0039324F"/>
    <w:rsid w:val="00396483"/>
    <w:rsid w:val="003975D0"/>
    <w:rsid w:val="003A3D11"/>
    <w:rsid w:val="003B0B33"/>
    <w:rsid w:val="003B2771"/>
    <w:rsid w:val="003B3484"/>
    <w:rsid w:val="003B62FF"/>
    <w:rsid w:val="003C316B"/>
    <w:rsid w:val="003C3B88"/>
    <w:rsid w:val="003C3D13"/>
    <w:rsid w:val="003C43EB"/>
    <w:rsid w:val="003C53CE"/>
    <w:rsid w:val="003C57B0"/>
    <w:rsid w:val="003C7165"/>
    <w:rsid w:val="003D044E"/>
    <w:rsid w:val="003D18F7"/>
    <w:rsid w:val="003D23DD"/>
    <w:rsid w:val="003D2CFC"/>
    <w:rsid w:val="003D49DF"/>
    <w:rsid w:val="003D4F5D"/>
    <w:rsid w:val="003D6202"/>
    <w:rsid w:val="003D744B"/>
    <w:rsid w:val="003D7C4C"/>
    <w:rsid w:val="003E01C9"/>
    <w:rsid w:val="003E21CA"/>
    <w:rsid w:val="003F27BF"/>
    <w:rsid w:val="003F41C6"/>
    <w:rsid w:val="003F44C1"/>
    <w:rsid w:val="003F6B30"/>
    <w:rsid w:val="0040062C"/>
    <w:rsid w:val="00402A86"/>
    <w:rsid w:val="00405F36"/>
    <w:rsid w:val="004061B1"/>
    <w:rsid w:val="00406E6D"/>
    <w:rsid w:val="00407310"/>
    <w:rsid w:val="00410564"/>
    <w:rsid w:val="00410BBC"/>
    <w:rsid w:val="00412776"/>
    <w:rsid w:val="00412C47"/>
    <w:rsid w:val="00420D04"/>
    <w:rsid w:val="0042279B"/>
    <w:rsid w:val="0042285F"/>
    <w:rsid w:val="00425184"/>
    <w:rsid w:val="00426066"/>
    <w:rsid w:val="00426DC1"/>
    <w:rsid w:val="0043003B"/>
    <w:rsid w:val="004303E8"/>
    <w:rsid w:val="004304CD"/>
    <w:rsid w:val="00433DBF"/>
    <w:rsid w:val="004362B0"/>
    <w:rsid w:val="00437CB6"/>
    <w:rsid w:val="0044214A"/>
    <w:rsid w:val="004430A9"/>
    <w:rsid w:val="00445385"/>
    <w:rsid w:val="00447C35"/>
    <w:rsid w:val="004527A6"/>
    <w:rsid w:val="0045332A"/>
    <w:rsid w:val="004550A2"/>
    <w:rsid w:val="00457D79"/>
    <w:rsid w:val="00464CC9"/>
    <w:rsid w:val="0046665A"/>
    <w:rsid w:val="00466D65"/>
    <w:rsid w:val="0046703D"/>
    <w:rsid w:val="00467FA8"/>
    <w:rsid w:val="0047028E"/>
    <w:rsid w:val="0047084F"/>
    <w:rsid w:val="00470FED"/>
    <w:rsid w:val="004713E0"/>
    <w:rsid w:val="0047151D"/>
    <w:rsid w:val="004736AA"/>
    <w:rsid w:val="00475201"/>
    <w:rsid w:val="00475D79"/>
    <w:rsid w:val="0047760E"/>
    <w:rsid w:val="00480418"/>
    <w:rsid w:val="0048185B"/>
    <w:rsid w:val="00481E39"/>
    <w:rsid w:val="00482FFB"/>
    <w:rsid w:val="00483853"/>
    <w:rsid w:val="00484906"/>
    <w:rsid w:val="004867A4"/>
    <w:rsid w:val="00486B23"/>
    <w:rsid w:val="00487935"/>
    <w:rsid w:val="004900B8"/>
    <w:rsid w:val="004910BF"/>
    <w:rsid w:val="00491AC8"/>
    <w:rsid w:val="00493958"/>
    <w:rsid w:val="00493DF8"/>
    <w:rsid w:val="004944A7"/>
    <w:rsid w:val="004951BC"/>
    <w:rsid w:val="00497570"/>
    <w:rsid w:val="00497998"/>
    <w:rsid w:val="004A0D12"/>
    <w:rsid w:val="004A3CC9"/>
    <w:rsid w:val="004A4223"/>
    <w:rsid w:val="004A43B9"/>
    <w:rsid w:val="004A5841"/>
    <w:rsid w:val="004A5B9A"/>
    <w:rsid w:val="004A6B80"/>
    <w:rsid w:val="004A7FE8"/>
    <w:rsid w:val="004B0B28"/>
    <w:rsid w:val="004B4376"/>
    <w:rsid w:val="004B4BD6"/>
    <w:rsid w:val="004B74F8"/>
    <w:rsid w:val="004B7C0E"/>
    <w:rsid w:val="004C0132"/>
    <w:rsid w:val="004C31E6"/>
    <w:rsid w:val="004C4224"/>
    <w:rsid w:val="004C6288"/>
    <w:rsid w:val="004D0671"/>
    <w:rsid w:val="004D1EAB"/>
    <w:rsid w:val="004D6223"/>
    <w:rsid w:val="004E06B6"/>
    <w:rsid w:val="004E1A2B"/>
    <w:rsid w:val="004E1D93"/>
    <w:rsid w:val="004E7051"/>
    <w:rsid w:val="004E7967"/>
    <w:rsid w:val="004F046B"/>
    <w:rsid w:val="004F0B2F"/>
    <w:rsid w:val="004F19B8"/>
    <w:rsid w:val="004F5A09"/>
    <w:rsid w:val="004F5CE6"/>
    <w:rsid w:val="004F6D22"/>
    <w:rsid w:val="004F6DBE"/>
    <w:rsid w:val="004F73D4"/>
    <w:rsid w:val="00500A5C"/>
    <w:rsid w:val="005026CC"/>
    <w:rsid w:val="00503AD1"/>
    <w:rsid w:val="0050449A"/>
    <w:rsid w:val="005078AA"/>
    <w:rsid w:val="005100D1"/>
    <w:rsid w:val="00513720"/>
    <w:rsid w:val="0051607A"/>
    <w:rsid w:val="005205F4"/>
    <w:rsid w:val="00521967"/>
    <w:rsid w:val="00524378"/>
    <w:rsid w:val="005269B7"/>
    <w:rsid w:val="005269D3"/>
    <w:rsid w:val="00530F70"/>
    <w:rsid w:val="005315EA"/>
    <w:rsid w:val="00532FD5"/>
    <w:rsid w:val="00533107"/>
    <w:rsid w:val="00534E9F"/>
    <w:rsid w:val="0053506A"/>
    <w:rsid w:val="0053512A"/>
    <w:rsid w:val="00535508"/>
    <w:rsid w:val="00535D23"/>
    <w:rsid w:val="00536B13"/>
    <w:rsid w:val="00540B35"/>
    <w:rsid w:val="00544F1F"/>
    <w:rsid w:val="00545752"/>
    <w:rsid w:val="00545DDF"/>
    <w:rsid w:val="00545F38"/>
    <w:rsid w:val="0054634E"/>
    <w:rsid w:val="005514BE"/>
    <w:rsid w:val="005517D0"/>
    <w:rsid w:val="0055424F"/>
    <w:rsid w:val="00554428"/>
    <w:rsid w:val="00557377"/>
    <w:rsid w:val="00560495"/>
    <w:rsid w:val="00560599"/>
    <w:rsid w:val="00562F8A"/>
    <w:rsid w:val="00563721"/>
    <w:rsid w:val="00565776"/>
    <w:rsid w:val="00566508"/>
    <w:rsid w:val="00566C4E"/>
    <w:rsid w:val="00570ACF"/>
    <w:rsid w:val="005727A5"/>
    <w:rsid w:val="00573535"/>
    <w:rsid w:val="00573C2D"/>
    <w:rsid w:val="00575BB7"/>
    <w:rsid w:val="00575F88"/>
    <w:rsid w:val="0057794D"/>
    <w:rsid w:val="00581831"/>
    <w:rsid w:val="00582DC9"/>
    <w:rsid w:val="00585250"/>
    <w:rsid w:val="005859C8"/>
    <w:rsid w:val="00587796"/>
    <w:rsid w:val="005940DB"/>
    <w:rsid w:val="00597ABF"/>
    <w:rsid w:val="005A2AAC"/>
    <w:rsid w:val="005A3C50"/>
    <w:rsid w:val="005A61AB"/>
    <w:rsid w:val="005B0E04"/>
    <w:rsid w:val="005B2781"/>
    <w:rsid w:val="005B6872"/>
    <w:rsid w:val="005B6B09"/>
    <w:rsid w:val="005B75E6"/>
    <w:rsid w:val="005C0164"/>
    <w:rsid w:val="005C4DE0"/>
    <w:rsid w:val="005C5B41"/>
    <w:rsid w:val="005C61D6"/>
    <w:rsid w:val="005D315F"/>
    <w:rsid w:val="005E139A"/>
    <w:rsid w:val="005E2D06"/>
    <w:rsid w:val="005E41A6"/>
    <w:rsid w:val="005E4CC6"/>
    <w:rsid w:val="005E5D9F"/>
    <w:rsid w:val="005E6921"/>
    <w:rsid w:val="005F082A"/>
    <w:rsid w:val="005F1B29"/>
    <w:rsid w:val="005F3BCE"/>
    <w:rsid w:val="005F5087"/>
    <w:rsid w:val="005F69A9"/>
    <w:rsid w:val="00600502"/>
    <w:rsid w:val="0060605E"/>
    <w:rsid w:val="006064E9"/>
    <w:rsid w:val="00606AB0"/>
    <w:rsid w:val="00607FAE"/>
    <w:rsid w:val="0061064A"/>
    <w:rsid w:val="006139EC"/>
    <w:rsid w:val="00613CC2"/>
    <w:rsid w:val="00615BC9"/>
    <w:rsid w:val="00615CB4"/>
    <w:rsid w:val="006177AE"/>
    <w:rsid w:val="00620C18"/>
    <w:rsid w:val="00621065"/>
    <w:rsid w:val="00621A4A"/>
    <w:rsid w:val="00624E22"/>
    <w:rsid w:val="006308E7"/>
    <w:rsid w:val="006339F5"/>
    <w:rsid w:val="0063551B"/>
    <w:rsid w:val="00635F82"/>
    <w:rsid w:val="00636B6E"/>
    <w:rsid w:val="0063763A"/>
    <w:rsid w:val="00640620"/>
    <w:rsid w:val="00641D3B"/>
    <w:rsid w:val="00646942"/>
    <w:rsid w:val="00647786"/>
    <w:rsid w:val="006519AF"/>
    <w:rsid w:val="00652A9D"/>
    <w:rsid w:val="006549A6"/>
    <w:rsid w:val="0065603B"/>
    <w:rsid w:val="0066058B"/>
    <w:rsid w:val="006618F7"/>
    <w:rsid w:val="00662222"/>
    <w:rsid w:val="00663755"/>
    <w:rsid w:val="00664A69"/>
    <w:rsid w:val="00666745"/>
    <w:rsid w:val="006674D7"/>
    <w:rsid w:val="0067275F"/>
    <w:rsid w:val="00674A82"/>
    <w:rsid w:val="00674D0B"/>
    <w:rsid w:val="006754B7"/>
    <w:rsid w:val="00675B7D"/>
    <w:rsid w:val="00676C69"/>
    <w:rsid w:val="00680F03"/>
    <w:rsid w:val="0068122B"/>
    <w:rsid w:val="00681236"/>
    <w:rsid w:val="006826BB"/>
    <w:rsid w:val="006829E5"/>
    <w:rsid w:val="006830C9"/>
    <w:rsid w:val="0068364A"/>
    <w:rsid w:val="0068525B"/>
    <w:rsid w:val="00685D4F"/>
    <w:rsid w:val="00685DD6"/>
    <w:rsid w:val="00691D49"/>
    <w:rsid w:val="006922C8"/>
    <w:rsid w:val="00692D3B"/>
    <w:rsid w:val="00693229"/>
    <w:rsid w:val="006951FD"/>
    <w:rsid w:val="00695BB1"/>
    <w:rsid w:val="006964AF"/>
    <w:rsid w:val="006A17BE"/>
    <w:rsid w:val="006A3E64"/>
    <w:rsid w:val="006A56E4"/>
    <w:rsid w:val="006B029D"/>
    <w:rsid w:val="006B2D41"/>
    <w:rsid w:val="006B6D8D"/>
    <w:rsid w:val="006C1643"/>
    <w:rsid w:val="006C287C"/>
    <w:rsid w:val="006C3C15"/>
    <w:rsid w:val="006C7D4F"/>
    <w:rsid w:val="006D12B4"/>
    <w:rsid w:val="006D4F41"/>
    <w:rsid w:val="006D6A44"/>
    <w:rsid w:val="006D7A33"/>
    <w:rsid w:val="006E280A"/>
    <w:rsid w:val="006E4BEC"/>
    <w:rsid w:val="006E6792"/>
    <w:rsid w:val="006E75E2"/>
    <w:rsid w:val="006F01B5"/>
    <w:rsid w:val="006F06FC"/>
    <w:rsid w:val="006F4AD5"/>
    <w:rsid w:val="006F4CA7"/>
    <w:rsid w:val="006F5527"/>
    <w:rsid w:val="006F6211"/>
    <w:rsid w:val="00701034"/>
    <w:rsid w:val="00703D62"/>
    <w:rsid w:val="007046F7"/>
    <w:rsid w:val="00707559"/>
    <w:rsid w:val="007076DF"/>
    <w:rsid w:val="00710701"/>
    <w:rsid w:val="00712602"/>
    <w:rsid w:val="007144F6"/>
    <w:rsid w:val="00716311"/>
    <w:rsid w:val="007216E3"/>
    <w:rsid w:val="00723A6D"/>
    <w:rsid w:val="007269AB"/>
    <w:rsid w:val="00731691"/>
    <w:rsid w:val="00732F74"/>
    <w:rsid w:val="007332F9"/>
    <w:rsid w:val="00734ED0"/>
    <w:rsid w:val="00736085"/>
    <w:rsid w:val="00736171"/>
    <w:rsid w:val="00741394"/>
    <w:rsid w:val="007418D9"/>
    <w:rsid w:val="00742173"/>
    <w:rsid w:val="00742415"/>
    <w:rsid w:val="007426DA"/>
    <w:rsid w:val="00743593"/>
    <w:rsid w:val="00743C00"/>
    <w:rsid w:val="00743CDA"/>
    <w:rsid w:val="007441D4"/>
    <w:rsid w:val="00744252"/>
    <w:rsid w:val="00746FD8"/>
    <w:rsid w:val="00750FE0"/>
    <w:rsid w:val="00751E26"/>
    <w:rsid w:val="007548E4"/>
    <w:rsid w:val="0075548A"/>
    <w:rsid w:val="00757335"/>
    <w:rsid w:val="00760360"/>
    <w:rsid w:val="007613E1"/>
    <w:rsid w:val="00761522"/>
    <w:rsid w:val="00762462"/>
    <w:rsid w:val="00762E9C"/>
    <w:rsid w:val="00764F3A"/>
    <w:rsid w:val="00770689"/>
    <w:rsid w:val="00772951"/>
    <w:rsid w:val="007752C1"/>
    <w:rsid w:val="0077623A"/>
    <w:rsid w:val="007771AD"/>
    <w:rsid w:val="007818E5"/>
    <w:rsid w:val="00784103"/>
    <w:rsid w:val="00784C0B"/>
    <w:rsid w:val="00787A9E"/>
    <w:rsid w:val="007910B2"/>
    <w:rsid w:val="007964A2"/>
    <w:rsid w:val="007970F7"/>
    <w:rsid w:val="007A0496"/>
    <w:rsid w:val="007A2054"/>
    <w:rsid w:val="007A2D2F"/>
    <w:rsid w:val="007A6F27"/>
    <w:rsid w:val="007A7979"/>
    <w:rsid w:val="007A7D3B"/>
    <w:rsid w:val="007B0321"/>
    <w:rsid w:val="007B183D"/>
    <w:rsid w:val="007B1D69"/>
    <w:rsid w:val="007C165F"/>
    <w:rsid w:val="007C1DCB"/>
    <w:rsid w:val="007C29FD"/>
    <w:rsid w:val="007C542D"/>
    <w:rsid w:val="007D2377"/>
    <w:rsid w:val="007D2D9B"/>
    <w:rsid w:val="007D3342"/>
    <w:rsid w:val="007D38E8"/>
    <w:rsid w:val="007D733B"/>
    <w:rsid w:val="007E22C2"/>
    <w:rsid w:val="007E2DB9"/>
    <w:rsid w:val="007E3EFB"/>
    <w:rsid w:val="007E4D02"/>
    <w:rsid w:val="007E4D0D"/>
    <w:rsid w:val="007E5495"/>
    <w:rsid w:val="007E5EA9"/>
    <w:rsid w:val="007E6CE7"/>
    <w:rsid w:val="007F1C4A"/>
    <w:rsid w:val="007F3673"/>
    <w:rsid w:val="007F3B3E"/>
    <w:rsid w:val="007F507E"/>
    <w:rsid w:val="007F63B6"/>
    <w:rsid w:val="007F79B4"/>
    <w:rsid w:val="00800885"/>
    <w:rsid w:val="00800E2F"/>
    <w:rsid w:val="0080162F"/>
    <w:rsid w:val="0080204A"/>
    <w:rsid w:val="008022A8"/>
    <w:rsid w:val="0080286D"/>
    <w:rsid w:val="00811627"/>
    <w:rsid w:val="008117B6"/>
    <w:rsid w:val="00813F99"/>
    <w:rsid w:val="00817E9E"/>
    <w:rsid w:val="00824824"/>
    <w:rsid w:val="008274F3"/>
    <w:rsid w:val="0082792B"/>
    <w:rsid w:val="008303A2"/>
    <w:rsid w:val="00831997"/>
    <w:rsid w:val="00831E3F"/>
    <w:rsid w:val="00831F99"/>
    <w:rsid w:val="00833913"/>
    <w:rsid w:val="00835A94"/>
    <w:rsid w:val="00836835"/>
    <w:rsid w:val="00836FB4"/>
    <w:rsid w:val="00837B67"/>
    <w:rsid w:val="00837BEB"/>
    <w:rsid w:val="0084055A"/>
    <w:rsid w:val="00842BCE"/>
    <w:rsid w:val="00851C18"/>
    <w:rsid w:val="0085254B"/>
    <w:rsid w:val="00852D9B"/>
    <w:rsid w:val="00856B05"/>
    <w:rsid w:val="00861FE3"/>
    <w:rsid w:val="00863EF0"/>
    <w:rsid w:val="00864956"/>
    <w:rsid w:val="00864F1C"/>
    <w:rsid w:val="00872803"/>
    <w:rsid w:val="00872BA2"/>
    <w:rsid w:val="0087384F"/>
    <w:rsid w:val="00877E32"/>
    <w:rsid w:val="0088063C"/>
    <w:rsid w:val="00881039"/>
    <w:rsid w:val="00883AAA"/>
    <w:rsid w:val="00890980"/>
    <w:rsid w:val="00892EBC"/>
    <w:rsid w:val="00894E39"/>
    <w:rsid w:val="00895418"/>
    <w:rsid w:val="008957D9"/>
    <w:rsid w:val="0089788C"/>
    <w:rsid w:val="00897AF8"/>
    <w:rsid w:val="008A202D"/>
    <w:rsid w:val="008A4157"/>
    <w:rsid w:val="008A5FCC"/>
    <w:rsid w:val="008B4846"/>
    <w:rsid w:val="008B5689"/>
    <w:rsid w:val="008B5DBC"/>
    <w:rsid w:val="008B749E"/>
    <w:rsid w:val="008C09B5"/>
    <w:rsid w:val="008C1F20"/>
    <w:rsid w:val="008C2D17"/>
    <w:rsid w:val="008C3E75"/>
    <w:rsid w:val="008C5F38"/>
    <w:rsid w:val="008C6B0E"/>
    <w:rsid w:val="008C6FC8"/>
    <w:rsid w:val="008C7870"/>
    <w:rsid w:val="008D4971"/>
    <w:rsid w:val="008D77FD"/>
    <w:rsid w:val="008E16CE"/>
    <w:rsid w:val="008E1E77"/>
    <w:rsid w:val="008E6A92"/>
    <w:rsid w:val="008F1D37"/>
    <w:rsid w:val="008F4BDD"/>
    <w:rsid w:val="008F7897"/>
    <w:rsid w:val="00900302"/>
    <w:rsid w:val="0090296E"/>
    <w:rsid w:val="00902E31"/>
    <w:rsid w:val="0090379A"/>
    <w:rsid w:val="00906C03"/>
    <w:rsid w:val="0091354B"/>
    <w:rsid w:val="00913E49"/>
    <w:rsid w:val="009147FF"/>
    <w:rsid w:val="00916358"/>
    <w:rsid w:val="009204BB"/>
    <w:rsid w:val="009225DE"/>
    <w:rsid w:val="00922AFC"/>
    <w:rsid w:val="009237A5"/>
    <w:rsid w:val="009301DE"/>
    <w:rsid w:val="00934718"/>
    <w:rsid w:val="009370E2"/>
    <w:rsid w:val="009379AA"/>
    <w:rsid w:val="00940535"/>
    <w:rsid w:val="009407A8"/>
    <w:rsid w:val="0094395B"/>
    <w:rsid w:val="00945F19"/>
    <w:rsid w:val="00950233"/>
    <w:rsid w:val="00950841"/>
    <w:rsid w:val="00952DBF"/>
    <w:rsid w:val="00953B35"/>
    <w:rsid w:val="00954414"/>
    <w:rsid w:val="00954A83"/>
    <w:rsid w:val="00956763"/>
    <w:rsid w:val="00957BCF"/>
    <w:rsid w:val="009625F6"/>
    <w:rsid w:val="009627F9"/>
    <w:rsid w:val="009658D6"/>
    <w:rsid w:val="009676D8"/>
    <w:rsid w:val="00975F96"/>
    <w:rsid w:val="0098324A"/>
    <w:rsid w:val="00985FFB"/>
    <w:rsid w:val="00987CAC"/>
    <w:rsid w:val="00990CFC"/>
    <w:rsid w:val="00993516"/>
    <w:rsid w:val="00995DD7"/>
    <w:rsid w:val="00995E0E"/>
    <w:rsid w:val="00996052"/>
    <w:rsid w:val="009960C9"/>
    <w:rsid w:val="00996C55"/>
    <w:rsid w:val="00997DA9"/>
    <w:rsid w:val="009A2905"/>
    <w:rsid w:val="009A38CE"/>
    <w:rsid w:val="009A5B58"/>
    <w:rsid w:val="009A5E1D"/>
    <w:rsid w:val="009A649B"/>
    <w:rsid w:val="009A6EB1"/>
    <w:rsid w:val="009A72B6"/>
    <w:rsid w:val="009B3E5B"/>
    <w:rsid w:val="009B4294"/>
    <w:rsid w:val="009B430C"/>
    <w:rsid w:val="009B5295"/>
    <w:rsid w:val="009B60BD"/>
    <w:rsid w:val="009B6D4C"/>
    <w:rsid w:val="009B70F4"/>
    <w:rsid w:val="009B7374"/>
    <w:rsid w:val="009C0727"/>
    <w:rsid w:val="009C1EF7"/>
    <w:rsid w:val="009C2556"/>
    <w:rsid w:val="009C6C52"/>
    <w:rsid w:val="009D162F"/>
    <w:rsid w:val="009D1776"/>
    <w:rsid w:val="009D5976"/>
    <w:rsid w:val="009D5A80"/>
    <w:rsid w:val="009D79AE"/>
    <w:rsid w:val="009E0053"/>
    <w:rsid w:val="009E040A"/>
    <w:rsid w:val="009E2345"/>
    <w:rsid w:val="009E40AA"/>
    <w:rsid w:val="009E4E40"/>
    <w:rsid w:val="009E710F"/>
    <w:rsid w:val="009F206C"/>
    <w:rsid w:val="00A00B50"/>
    <w:rsid w:val="00A00E20"/>
    <w:rsid w:val="00A0253A"/>
    <w:rsid w:val="00A02A94"/>
    <w:rsid w:val="00A03293"/>
    <w:rsid w:val="00A03ADC"/>
    <w:rsid w:val="00A1000D"/>
    <w:rsid w:val="00A10193"/>
    <w:rsid w:val="00A10AC7"/>
    <w:rsid w:val="00A10DF8"/>
    <w:rsid w:val="00A11201"/>
    <w:rsid w:val="00A126F1"/>
    <w:rsid w:val="00A12A9B"/>
    <w:rsid w:val="00A14055"/>
    <w:rsid w:val="00A14E15"/>
    <w:rsid w:val="00A23BB2"/>
    <w:rsid w:val="00A24540"/>
    <w:rsid w:val="00A27388"/>
    <w:rsid w:val="00A300BF"/>
    <w:rsid w:val="00A30328"/>
    <w:rsid w:val="00A3255E"/>
    <w:rsid w:val="00A3267D"/>
    <w:rsid w:val="00A331C8"/>
    <w:rsid w:val="00A43E28"/>
    <w:rsid w:val="00A44451"/>
    <w:rsid w:val="00A46428"/>
    <w:rsid w:val="00A46BDC"/>
    <w:rsid w:val="00A5105C"/>
    <w:rsid w:val="00A513DF"/>
    <w:rsid w:val="00A52415"/>
    <w:rsid w:val="00A5321A"/>
    <w:rsid w:val="00A57B01"/>
    <w:rsid w:val="00A60B2E"/>
    <w:rsid w:val="00A61566"/>
    <w:rsid w:val="00A6188E"/>
    <w:rsid w:val="00A62E69"/>
    <w:rsid w:val="00A634F8"/>
    <w:rsid w:val="00A67499"/>
    <w:rsid w:val="00A716CD"/>
    <w:rsid w:val="00A744D1"/>
    <w:rsid w:val="00A745E3"/>
    <w:rsid w:val="00A76173"/>
    <w:rsid w:val="00A762E1"/>
    <w:rsid w:val="00A77AE4"/>
    <w:rsid w:val="00A806F4"/>
    <w:rsid w:val="00A81FA6"/>
    <w:rsid w:val="00A84E31"/>
    <w:rsid w:val="00A8697D"/>
    <w:rsid w:val="00A873DD"/>
    <w:rsid w:val="00A9059D"/>
    <w:rsid w:val="00A90983"/>
    <w:rsid w:val="00A943AF"/>
    <w:rsid w:val="00A96B58"/>
    <w:rsid w:val="00AA0175"/>
    <w:rsid w:val="00AA0A83"/>
    <w:rsid w:val="00AA25E4"/>
    <w:rsid w:val="00AA3112"/>
    <w:rsid w:val="00AA33FB"/>
    <w:rsid w:val="00AA4C9D"/>
    <w:rsid w:val="00AA525C"/>
    <w:rsid w:val="00AA6162"/>
    <w:rsid w:val="00AA733A"/>
    <w:rsid w:val="00AA78DC"/>
    <w:rsid w:val="00AA7F1A"/>
    <w:rsid w:val="00AB10AA"/>
    <w:rsid w:val="00AB25F9"/>
    <w:rsid w:val="00AB2F51"/>
    <w:rsid w:val="00AB2FDC"/>
    <w:rsid w:val="00AB6229"/>
    <w:rsid w:val="00AC1689"/>
    <w:rsid w:val="00AC1FDD"/>
    <w:rsid w:val="00AC4D72"/>
    <w:rsid w:val="00AC4F4B"/>
    <w:rsid w:val="00AC71A6"/>
    <w:rsid w:val="00AD15B2"/>
    <w:rsid w:val="00AD24FE"/>
    <w:rsid w:val="00AD2536"/>
    <w:rsid w:val="00AD362B"/>
    <w:rsid w:val="00AD4B24"/>
    <w:rsid w:val="00AD6D51"/>
    <w:rsid w:val="00AE1B54"/>
    <w:rsid w:val="00AE2FF1"/>
    <w:rsid w:val="00AE36A3"/>
    <w:rsid w:val="00AE3C57"/>
    <w:rsid w:val="00AE515D"/>
    <w:rsid w:val="00AE64C1"/>
    <w:rsid w:val="00AE6B2A"/>
    <w:rsid w:val="00AF3041"/>
    <w:rsid w:val="00AF48CD"/>
    <w:rsid w:val="00AF5E69"/>
    <w:rsid w:val="00AF5FAD"/>
    <w:rsid w:val="00AF6022"/>
    <w:rsid w:val="00AF7EC8"/>
    <w:rsid w:val="00B015A7"/>
    <w:rsid w:val="00B01F89"/>
    <w:rsid w:val="00B038CC"/>
    <w:rsid w:val="00B053D9"/>
    <w:rsid w:val="00B06556"/>
    <w:rsid w:val="00B06B85"/>
    <w:rsid w:val="00B11F31"/>
    <w:rsid w:val="00B12AB1"/>
    <w:rsid w:val="00B12C14"/>
    <w:rsid w:val="00B14090"/>
    <w:rsid w:val="00B15932"/>
    <w:rsid w:val="00B161CF"/>
    <w:rsid w:val="00B16F92"/>
    <w:rsid w:val="00B21E7A"/>
    <w:rsid w:val="00B21EA3"/>
    <w:rsid w:val="00B2296E"/>
    <w:rsid w:val="00B328E5"/>
    <w:rsid w:val="00B3388D"/>
    <w:rsid w:val="00B34168"/>
    <w:rsid w:val="00B345D9"/>
    <w:rsid w:val="00B34DF8"/>
    <w:rsid w:val="00B37B14"/>
    <w:rsid w:val="00B43D0A"/>
    <w:rsid w:val="00B43EF1"/>
    <w:rsid w:val="00B44303"/>
    <w:rsid w:val="00B47D07"/>
    <w:rsid w:val="00B5144B"/>
    <w:rsid w:val="00B5170B"/>
    <w:rsid w:val="00B52EE1"/>
    <w:rsid w:val="00B53992"/>
    <w:rsid w:val="00B53D6E"/>
    <w:rsid w:val="00B54EA4"/>
    <w:rsid w:val="00B64706"/>
    <w:rsid w:val="00B679D3"/>
    <w:rsid w:val="00B67FEA"/>
    <w:rsid w:val="00B708AD"/>
    <w:rsid w:val="00B710D2"/>
    <w:rsid w:val="00B7113C"/>
    <w:rsid w:val="00B712CC"/>
    <w:rsid w:val="00B723DF"/>
    <w:rsid w:val="00B72D64"/>
    <w:rsid w:val="00B731DE"/>
    <w:rsid w:val="00B734C3"/>
    <w:rsid w:val="00B74252"/>
    <w:rsid w:val="00B7514D"/>
    <w:rsid w:val="00B7627A"/>
    <w:rsid w:val="00B7678B"/>
    <w:rsid w:val="00B77533"/>
    <w:rsid w:val="00B77999"/>
    <w:rsid w:val="00B77B05"/>
    <w:rsid w:val="00B85149"/>
    <w:rsid w:val="00B85A12"/>
    <w:rsid w:val="00B86498"/>
    <w:rsid w:val="00B90481"/>
    <w:rsid w:val="00B9063F"/>
    <w:rsid w:val="00B945D4"/>
    <w:rsid w:val="00B94BAD"/>
    <w:rsid w:val="00BA1325"/>
    <w:rsid w:val="00BA5870"/>
    <w:rsid w:val="00BA679F"/>
    <w:rsid w:val="00BB0399"/>
    <w:rsid w:val="00BB0CBB"/>
    <w:rsid w:val="00BB0EFB"/>
    <w:rsid w:val="00BB3223"/>
    <w:rsid w:val="00BB4344"/>
    <w:rsid w:val="00BB4A7B"/>
    <w:rsid w:val="00BB5D61"/>
    <w:rsid w:val="00BC1307"/>
    <w:rsid w:val="00BC2B27"/>
    <w:rsid w:val="00BC3B27"/>
    <w:rsid w:val="00BC4C9B"/>
    <w:rsid w:val="00BC609B"/>
    <w:rsid w:val="00BC7910"/>
    <w:rsid w:val="00BC7BEA"/>
    <w:rsid w:val="00BD0BD5"/>
    <w:rsid w:val="00BD209D"/>
    <w:rsid w:val="00BD6641"/>
    <w:rsid w:val="00BE467F"/>
    <w:rsid w:val="00BE4DAD"/>
    <w:rsid w:val="00BE5E4B"/>
    <w:rsid w:val="00BE6C2B"/>
    <w:rsid w:val="00BE716C"/>
    <w:rsid w:val="00BE76C8"/>
    <w:rsid w:val="00BE7990"/>
    <w:rsid w:val="00BF1AB9"/>
    <w:rsid w:val="00BF29E1"/>
    <w:rsid w:val="00BF2F12"/>
    <w:rsid w:val="00BF30AB"/>
    <w:rsid w:val="00BF3A0E"/>
    <w:rsid w:val="00BF3A82"/>
    <w:rsid w:val="00BF4C9A"/>
    <w:rsid w:val="00BF58CF"/>
    <w:rsid w:val="00C0339F"/>
    <w:rsid w:val="00C0411C"/>
    <w:rsid w:val="00C057FE"/>
    <w:rsid w:val="00C07331"/>
    <w:rsid w:val="00C10955"/>
    <w:rsid w:val="00C11B85"/>
    <w:rsid w:val="00C13C70"/>
    <w:rsid w:val="00C22BC5"/>
    <w:rsid w:val="00C22CD6"/>
    <w:rsid w:val="00C23063"/>
    <w:rsid w:val="00C23DAA"/>
    <w:rsid w:val="00C24103"/>
    <w:rsid w:val="00C25539"/>
    <w:rsid w:val="00C267D7"/>
    <w:rsid w:val="00C31877"/>
    <w:rsid w:val="00C31885"/>
    <w:rsid w:val="00C34436"/>
    <w:rsid w:val="00C347A8"/>
    <w:rsid w:val="00C4222C"/>
    <w:rsid w:val="00C42806"/>
    <w:rsid w:val="00C42BB6"/>
    <w:rsid w:val="00C430F8"/>
    <w:rsid w:val="00C43515"/>
    <w:rsid w:val="00C46BC0"/>
    <w:rsid w:val="00C53B91"/>
    <w:rsid w:val="00C53EBB"/>
    <w:rsid w:val="00C5610C"/>
    <w:rsid w:val="00C57088"/>
    <w:rsid w:val="00C60694"/>
    <w:rsid w:val="00C6189C"/>
    <w:rsid w:val="00C620D3"/>
    <w:rsid w:val="00C62687"/>
    <w:rsid w:val="00C64195"/>
    <w:rsid w:val="00C64773"/>
    <w:rsid w:val="00C73712"/>
    <w:rsid w:val="00C73A21"/>
    <w:rsid w:val="00C76728"/>
    <w:rsid w:val="00C76F72"/>
    <w:rsid w:val="00C77A75"/>
    <w:rsid w:val="00C80771"/>
    <w:rsid w:val="00C836EC"/>
    <w:rsid w:val="00C84368"/>
    <w:rsid w:val="00C84427"/>
    <w:rsid w:val="00C844F7"/>
    <w:rsid w:val="00C84D0E"/>
    <w:rsid w:val="00C859C7"/>
    <w:rsid w:val="00C8680A"/>
    <w:rsid w:val="00C87B56"/>
    <w:rsid w:val="00C87D7F"/>
    <w:rsid w:val="00C91002"/>
    <w:rsid w:val="00C915E2"/>
    <w:rsid w:val="00C93462"/>
    <w:rsid w:val="00C97041"/>
    <w:rsid w:val="00C97042"/>
    <w:rsid w:val="00C979F3"/>
    <w:rsid w:val="00CA06CE"/>
    <w:rsid w:val="00CA0EED"/>
    <w:rsid w:val="00CA0F8C"/>
    <w:rsid w:val="00CA2794"/>
    <w:rsid w:val="00CB1364"/>
    <w:rsid w:val="00CB3215"/>
    <w:rsid w:val="00CB38A0"/>
    <w:rsid w:val="00CB38AF"/>
    <w:rsid w:val="00CB630A"/>
    <w:rsid w:val="00CB65EF"/>
    <w:rsid w:val="00CB6DBB"/>
    <w:rsid w:val="00CB72F5"/>
    <w:rsid w:val="00CC03E3"/>
    <w:rsid w:val="00CC0D0A"/>
    <w:rsid w:val="00CC1B7D"/>
    <w:rsid w:val="00CC3D8E"/>
    <w:rsid w:val="00CC41DA"/>
    <w:rsid w:val="00CC5AB4"/>
    <w:rsid w:val="00CC6C4E"/>
    <w:rsid w:val="00CC6EA3"/>
    <w:rsid w:val="00CD49EC"/>
    <w:rsid w:val="00CE313B"/>
    <w:rsid w:val="00CE475C"/>
    <w:rsid w:val="00CE7AEB"/>
    <w:rsid w:val="00CE7E3D"/>
    <w:rsid w:val="00CF0DC4"/>
    <w:rsid w:val="00CF0ECB"/>
    <w:rsid w:val="00CF1D5A"/>
    <w:rsid w:val="00CF3C7B"/>
    <w:rsid w:val="00CF7317"/>
    <w:rsid w:val="00D0254C"/>
    <w:rsid w:val="00D02A61"/>
    <w:rsid w:val="00D02D91"/>
    <w:rsid w:val="00D038F3"/>
    <w:rsid w:val="00D0438E"/>
    <w:rsid w:val="00D06225"/>
    <w:rsid w:val="00D075C8"/>
    <w:rsid w:val="00D10279"/>
    <w:rsid w:val="00D126B7"/>
    <w:rsid w:val="00D13636"/>
    <w:rsid w:val="00D14F5B"/>
    <w:rsid w:val="00D17713"/>
    <w:rsid w:val="00D17CB6"/>
    <w:rsid w:val="00D20356"/>
    <w:rsid w:val="00D20FFB"/>
    <w:rsid w:val="00D2478F"/>
    <w:rsid w:val="00D260F8"/>
    <w:rsid w:val="00D26D78"/>
    <w:rsid w:val="00D3214A"/>
    <w:rsid w:val="00D32E6E"/>
    <w:rsid w:val="00D33037"/>
    <w:rsid w:val="00D350D0"/>
    <w:rsid w:val="00D41699"/>
    <w:rsid w:val="00D445FA"/>
    <w:rsid w:val="00D4503A"/>
    <w:rsid w:val="00D4520B"/>
    <w:rsid w:val="00D4733E"/>
    <w:rsid w:val="00D4777B"/>
    <w:rsid w:val="00D54752"/>
    <w:rsid w:val="00D56B8F"/>
    <w:rsid w:val="00D5791A"/>
    <w:rsid w:val="00D60BDF"/>
    <w:rsid w:val="00D60DC5"/>
    <w:rsid w:val="00D6151B"/>
    <w:rsid w:val="00D61780"/>
    <w:rsid w:val="00D623EB"/>
    <w:rsid w:val="00D637FE"/>
    <w:rsid w:val="00D63F04"/>
    <w:rsid w:val="00D66D1C"/>
    <w:rsid w:val="00D72133"/>
    <w:rsid w:val="00D7221D"/>
    <w:rsid w:val="00D7363A"/>
    <w:rsid w:val="00D73FB7"/>
    <w:rsid w:val="00D73FB9"/>
    <w:rsid w:val="00D75FCF"/>
    <w:rsid w:val="00D76B66"/>
    <w:rsid w:val="00D773D0"/>
    <w:rsid w:val="00D77DC0"/>
    <w:rsid w:val="00D80073"/>
    <w:rsid w:val="00D80EB6"/>
    <w:rsid w:val="00D81A8E"/>
    <w:rsid w:val="00D8329D"/>
    <w:rsid w:val="00D83715"/>
    <w:rsid w:val="00D84A3A"/>
    <w:rsid w:val="00D863CC"/>
    <w:rsid w:val="00D87B9A"/>
    <w:rsid w:val="00D87BD3"/>
    <w:rsid w:val="00D90D24"/>
    <w:rsid w:val="00D90EBF"/>
    <w:rsid w:val="00D956BD"/>
    <w:rsid w:val="00D9611D"/>
    <w:rsid w:val="00D97463"/>
    <w:rsid w:val="00D9773D"/>
    <w:rsid w:val="00D97C6C"/>
    <w:rsid w:val="00DA09EB"/>
    <w:rsid w:val="00DA4B88"/>
    <w:rsid w:val="00DA7EEA"/>
    <w:rsid w:val="00DB304D"/>
    <w:rsid w:val="00DB3AAA"/>
    <w:rsid w:val="00DC04AB"/>
    <w:rsid w:val="00DC2D48"/>
    <w:rsid w:val="00DC3253"/>
    <w:rsid w:val="00DC5381"/>
    <w:rsid w:val="00DC5FA6"/>
    <w:rsid w:val="00DC6760"/>
    <w:rsid w:val="00DD30F7"/>
    <w:rsid w:val="00DD388E"/>
    <w:rsid w:val="00DD60C4"/>
    <w:rsid w:val="00DD736C"/>
    <w:rsid w:val="00DE2EE4"/>
    <w:rsid w:val="00DE5657"/>
    <w:rsid w:val="00DF0316"/>
    <w:rsid w:val="00DF0E5F"/>
    <w:rsid w:val="00DF11D0"/>
    <w:rsid w:val="00DF13E5"/>
    <w:rsid w:val="00DF1972"/>
    <w:rsid w:val="00DF519C"/>
    <w:rsid w:val="00DF57DB"/>
    <w:rsid w:val="00E00339"/>
    <w:rsid w:val="00E014FE"/>
    <w:rsid w:val="00E025F4"/>
    <w:rsid w:val="00E04238"/>
    <w:rsid w:val="00E076E5"/>
    <w:rsid w:val="00E077E1"/>
    <w:rsid w:val="00E10F45"/>
    <w:rsid w:val="00E12E0B"/>
    <w:rsid w:val="00E1539A"/>
    <w:rsid w:val="00E16ECF"/>
    <w:rsid w:val="00E20692"/>
    <w:rsid w:val="00E206EA"/>
    <w:rsid w:val="00E230B4"/>
    <w:rsid w:val="00E24645"/>
    <w:rsid w:val="00E24CCA"/>
    <w:rsid w:val="00E254A0"/>
    <w:rsid w:val="00E2702D"/>
    <w:rsid w:val="00E30182"/>
    <w:rsid w:val="00E3229A"/>
    <w:rsid w:val="00E33AF6"/>
    <w:rsid w:val="00E36364"/>
    <w:rsid w:val="00E36A70"/>
    <w:rsid w:val="00E41451"/>
    <w:rsid w:val="00E415B8"/>
    <w:rsid w:val="00E42787"/>
    <w:rsid w:val="00E427EE"/>
    <w:rsid w:val="00E45817"/>
    <w:rsid w:val="00E45BFB"/>
    <w:rsid w:val="00E46F93"/>
    <w:rsid w:val="00E513D0"/>
    <w:rsid w:val="00E6068D"/>
    <w:rsid w:val="00E61C32"/>
    <w:rsid w:val="00E704F7"/>
    <w:rsid w:val="00E70C45"/>
    <w:rsid w:val="00E73382"/>
    <w:rsid w:val="00E75ABE"/>
    <w:rsid w:val="00E7646B"/>
    <w:rsid w:val="00E76542"/>
    <w:rsid w:val="00E76FF1"/>
    <w:rsid w:val="00E77000"/>
    <w:rsid w:val="00E81560"/>
    <w:rsid w:val="00E83789"/>
    <w:rsid w:val="00E83838"/>
    <w:rsid w:val="00E83A19"/>
    <w:rsid w:val="00E850BA"/>
    <w:rsid w:val="00E8562C"/>
    <w:rsid w:val="00E86556"/>
    <w:rsid w:val="00E876CB"/>
    <w:rsid w:val="00E900A3"/>
    <w:rsid w:val="00E91310"/>
    <w:rsid w:val="00E9144E"/>
    <w:rsid w:val="00E92FA6"/>
    <w:rsid w:val="00E9477E"/>
    <w:rsid w:val="00E9694D"/>
    <w:rsid w:val="00EA1AF6"/>
    <w:rsid w:val="00EA2EEB"/>
    <w:rsid w:val="00EA50EC"/>
    <w:rsid w:val="00EA5D5D"/>
    <w:rsid w:val="00EA692F"/>
    <w:rsid w:val="00EB37A8"/>
    <w:rsid w:val="00EB40B0"/>
    <w:rsid w:val="00EB4443"/>
    <w:rsid w:val="00EB74BC"/>
    <w:rsid w:val="00EC16F8"/>
    <w:rsid w:val="00EC336E"/>
    <w:rsid w:val="00ED2C08"/>
    <w:rsid w:val="00ED3A64"/>
    <w:rsid w:val="00ED560D"/>
    <w:rsid w:val="00ED605B"/>
    <w:rsid w:val="00ED6260"/>
    <w:rsid w:val="00ED6B98"/>
    <w:rsid w:val="00ED6C94"/>
    <w:rsid w:val="00EE1040"/>
    <w:rsid w:val="00EE5B40"/>
    <w:rsid w:val="00EE7685"/>
    <w:rsid w:val="00EF0BF1"/>
    <w:rsid w:val="00EF0EA0"/>
    <w:rsid w:val="00EF35D0"/>
    <w:rsid w:val="00EF4C89"/>
    <w:rsid w:val="00EF5F9F"/>
    <w:rsid w:val="00EF64BD"/>
    <w:rsid w:val="00F0242A"/>
    <w:rsid w:val="00F05050"/>
    <w:rsid w:val="00F053EF"/>
    <w:rsid w:val="00F10BC5"/>
    <w:rsid w:val="00F12FA6"/>
    <w:rsid w:val="00F141DF"/>
    <w:rsid w:val="00F15307"/>
    <w:rsid w:val="00F16041"/>
    <w:rsid w:val="00F17A7A"/>
    <w:rsid w:val="00F20245"/>
    <w:rsid w:val="00F216B1"/>
    <w:rsid w:val="00F25611"/>
    <w:rsid w:val="00F30A87"/>
    <w:rsid w:val="00F31DA3"/>
    <w:rsid w:val="00F3371D"/>
    <w:rsid w:val="00F35CBE"/>
    <w:rsid w:val="00F406A9"/>
    <w:rsid w:val="00F40BF4"/>
    <w:rsid w:val="00F41942"/>
    <w:rsid w:val="00F4261F"/>
    <w:rsid w:val="00F43B0B"/>
    <w:rsid w:val="00F43BA6"/>
    <w:rsid w:val="00F51C02"/>
    <w:rsid w:val="00F5227C"/>
    <w:rsid w:val="00F54C78"/>
    <w:rsid w:val="00F555DD"/>
    <w:rsid w:val="00F55D28"/>
    <w:rsid w:val="00F566C7"/>
    <w:rsid w:val="00F57850"/>
    <w:rsid w:val="00F626E0"/>
    <w:rsid w:val="00F646A4"/>
    <w:rsid w:val="00F65C61"/>
    <w:rsid w:val="00F6667B"/>
    <w:rsid w:val="00F7027C"/>
    <w:rsid w:val="00F70333"/>
    <w:rsid w:val="00F72892"/>
    <w:rsid w:val="00F729B4"/>
    <w:rsid w:val="00F73106"/>
    <w:rsid w:val="00F7494E"/>
    <w:rsid w:val="00F74B06"/>
    <w:rsid w:val="00F75C80"/>
    <w:rsid w:val="00F80AFA"/>
    <w:rsid w:val="00F8155F"/>
    <w:rsid w:val="00F82D92"/>
    <w:rsid w:val="00F860A4"/>
    <w:rsid w:val="00F86357"/>
    <w:rsid w:val="00F90FBA"/>
    <w:rsid w:val="00F93C02"/>
    <w:rsid w:val="00F95C7C"/>
    <w:rsid w:val="00F96297"/>
    <w:rsid w:val="00FA106A"/>
    <w:rsid w:val="00FA13BE"/>
    <w:rsid w:val="00FA1A86"/>
    <w:rsid w:val="00FA1B4B"/>
    <w:rsid w:val="00FA384A"/>
    <w:rsid w:val="00FA4229"/>
    <w:rsid w:val="00FA4DCD"/>
    <w:rsid w:val="00FA65D1"/>
    <w:rsid w:val="00FA6CA0"/>
    <w:rsid w:val="00FA701F"/>
    <w:rsid w:val="00FB01B3"/>
    <w:rsid w:val="00FB5013"/>
    <w:rsid w:val="00FB507A"/>
    <w:rsid w:val="00FB6A28"/>
    <w:rsid w:val="00FB76CD"/>
    <w:rsid w:val="00FC662C"/>
    <w:rsid w:val="00FC7394"/>
    <w:rsid w:val="00FD2F99"/>
    <w:rsid w:val="00FD3B61"/>
    <w:rsid w:val="00FD5E0B"/>
    <w:rsid w:val="00FE15EB"/>
    <w:rsid w:val="00FE4B51"/>
    <w:rsid w:val="00FE5772"/>
    <w:rsid w:val="00FE752E"/>
    <w:rsid w:val="00FE7DFE"/>
    <w:rsid w:val="00FF06F1"/>
    <w:rsid w:val="00FF2C7A"/>
    <w:rsid w:val="00FF4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D18ACD"/>
  <w15:docId w15:val="{46804143-F042-4640-B650-B2CC126C8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165F"/>
  </w:style>
  <w:style w:type="paragraph" w:styleId="Heading1">
    <w:name w:val="heading 1"/>
    <w:basedOn w:val="Normal"/>
    <w:next w:val="Normal"/>
    <w:link w:val="Heading1Char"/>
    <w:uiPriority w:val="9"/>
    <w:qFormat/>
    <w:rsid w:val="007C16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C16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E4BEC"/>
    <w:pPr>
      <w:keepNext/>
      <w:keepLines/>
      <w:spacing w:before="200" w:after="0"/>
      <w:outlineLvl w:val="2"/>
    </w:pPr>
    <w:rPr>
      <w:rFonts w:eastAsiaTheme="majorEastAsia" w:cstheme="majorBidi"/>
      <w:b/>
      <w:bCs/>
      <w:i/>
      <w:color w:val="4F81BD" w:themeColor="accent1"/>
    </w:rPr>
  </w:style>
  <w:style w:type="paragraph" w:styleId="Heading4">
    <w:name w:val="heading 4"/>
    <w:basedOn w:val="Normal"/>
    <w:next w:val="Normal"/>
    <w:link w:val="Heading4Char"/>
    <w:uiPriority w:val="9"/>
    <w:unhideWhenUsed/>
    <w:qFormat/>
    <w:rsid w:val="00CF7317"/>
    <w:pPr>
      <w:keepNext/>
      <w:keepLines/>
      <w:spacing w:before="200" w:after="0"/>
      <w:outlineLvl w:val="3"/>
    </w:pPr>
    <w:rPr>
      <w:rFonts w:eastAsiaTheme="majorEastAsia" w:cstheme="majorBidi"/>
      <w:b/>
      <w:bCs/>
      <w:i/>
      <w:iCs/>
      <w:color w:val="4F81BD" w:themeColor="accent1"/>
      <w:sz w:val="24"/>
    </w:rPr>
  </w:style>
  <w:style w:type="paragraph" w:styleId="Heading5">
    <w:name w:val="heading 5"/>
    <w:basedOn w:val="Normal"/>
    <w:next w:val="Normal"/>
    <w:link w:val="Heading5Char"/>
    <w:uiPriority w:val="9"/>
    <w:unhideWhenUsed/>
    <w:qFormat/>
    <w:rsid w:val="007C165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7C165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7C165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7C165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7C165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ulletList">
    <w:name w:val="1Bullet List"/>
    <w:rsid w:val="00E91310"/>
    <w:pPr>
      <w:widowControl w:val="0"/>
      <w:tabs>
        <w:tab w:val="left" w:pos="720"/>
      </w:tabs>
      <w:autoSpaceDE w:val="0"/>
      <w:autoSpaceDN w:val="0"/>
      <w:adjustRightInd w:val="0"/>
      <w:ind w:left="720" w:hanging="720"/>
      <w:jc w:val="both"/>
    </w:pPr>
    <w:rPr>
      <w:sz w:val="24"/>
      <w:szCs w:val="24"/>
    </w:rPr>
  </w:style>
  <w:style w:type="paragraph" w:customStyle="1" w:styleId="2BulletList">
    <w:name w:val="2Bullet List"/>
    <w:rsid w:val="00E91310"/>
    <w:pPr>
      <w:widowControl w:val="0"/>
      <w:tabs>
        <w:tab w:val="left" w:pos="720"/>
        <w:tab w:val="left" w:pos="1440"/>
      </w:tabs>
      <w:autoSpaceDE w:val="0"/>
      <w:autoSpaceDN w:val="0"/>
      <w:adjustRightInd w:val="0"/>
      <w:ind w:left="1440" w:hanging="720"/>
      <w:jc w:val="both"/>
    </w:pPr>
    <w:rPr>
      <w:sz w:val="24"/>
      <w:szCs w:val="24"/>
    </w:rPr>
  </w:style>
  <w:style w:type="paragraph" w:customStyle="1" w:styleId="3BulletList">
    <w:name w:val="3Bullet List"/>
    <w:rsid w:val="00E91310"/>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BulletList">
    <w:name w:val="4Bullet List"/>
    <w:rsid w:val="00E91310"/>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BulletList">
    <w:name w:val="5Bullet List"/>
    <w:rsid w:val="00E91310"/>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BulletList">
    <w:name w:val="6Bullet List"/>
    <w:rsid w:val="00E9131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BulletList">
    <w:name w:val="7Bullet List"/>
    <w:rsid w:val="00E9131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BulletList">
    <w:name w:val="8Bullet List"/>
    <w:rsid w:val="00E9131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Triangles">
    <w:name w:val="1Triangles"/>
    <w:rsid w:val="00E91310"/>
    <w:pPr>
      <w:widowControl w:val="0"/>
      <w:tabs>
        <w:tab w:val="left" w:pos="720"/>
      </w:tabs>
      <w:autoSpaceDE w:val="0"/>
      <w:autoSpaceDN w:val="0"/>
      <w:adjustRightInd w:val="0"/>
      <w:ind w:left="720" w:hanging="720"/>
      <w:jc w:val="both"/>
    </w:pPr>
    <w:rPr>
      <w:sz w:val="24"/>
      <w:szCs w:val="24"/>
    </w:rPr>
  </w:style>
  <w:style w:type="paragraph" w:customStyle="1" w:styleId="2Triangles">
    <w:name w:val="2Triangles"/>
    <w:rsid w:val="00E91310"/>
    <w:pPr>
      <w:widowControl w:val="0"/>
      <w:tabs>
        <w:tab w:val="left" w:pos="720"/>
        <w:tab w:val="left" w:pos="1440"/>
      </w:tabs>
      <w:autoSpaceDE w:val="0"/>
      <w:autoSpaceDN w:val="0"/>
      <w:adjustRightInd w:val="0"/>
      <w:ind w:left="1440" w:hanging="720"/>
      <w:jc w:val="both"/>
    </w:pPr>
    <w:rPr>
      <w:sz w:val="24"/>
      <w:szCs w:val="24"/>
    </w:rPr>
  </w:style>
  <w:style w:type="paragraph" w:customStyle="1" w:styleId="3Triangles">
    <w:name w:val="3Triangles"/>
    <w:rsid w:val="00E91310"/>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Triangles">
    <w:name w:val="4Triangles"/>
    <w:rsid w:val="00E91310"/>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Triangles">
    <w:name w:val="5Triangles"/>
    <w:rsid w:val="00E91310"/>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Triangles">
    <w:name w:val="6Triangles"/>
    <w:rsid w:val="00E9131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Triangles">
    <w:name w:val="7Triangles"/>
    <w:rsid w:val="00E9131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Triangles">
    <w:name w:val="8Triangles"/>
    <w:rsid w:val="00E9131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a">
    <w:name w:val="_"/>
    <w:rsid w:val="00E91310"/>
    <w:pPr>
      <w:widowControl w:val="0"/>
      <w:autoSpaceDE w:val="0"/>
      <w:autoSpaceDN w:val="0"/>
      <w:adjustRightInd w:val="0"/>
      <w:ind w:left="-1080"/>
    </w:pPr>
    <w:rPr>
      <w:sz w:val="24"/>
      <w:szCs w:val="24"/>
    </w:rPr>
  </w:style>
  <w:style w:type="character" w:customStyle="1" w:styleId="DefaultPara">
    <w:name w:val="Default Para"/>
    <w:rsid w:val="00E91310"/>
  </w:style>
  <w:style w:type="character" w:customStyle="1" w:styleId="SYSHYPERTEXT">
    <w:name w:val="SYS_HYPERTEXT"/>
    <w:rsid w:val="00E91310"/>
    <w:rPr>
      <w:color w:val="0000FF"/>
    </w:rPr>
  </w:style>
  <w:style w:type="paragraph" w:styleId="Header">
    <w:name w:val="header"/>
    <w:basedOn w:val="Normal"/>
    <w:rsid w:val="00E91310"/>
    <w:pPr>
      <w:tabs>
        <w:tab w:val="center" w:pos="4320"/>
        <w:tab w:val="right" w:pos="8640"/>
      </w:tabs>
    </w:pPr>
  </w:style>
  <w:style w:type="character" w:styleId="PageNumber">
    <w:name w:val="page number"/>
    <w:basedOn w:val="DefaultParagraphFont"/>
    <w:rsid w:val="00E91310"/>
  </w:style>
  <w:style w:type="paragraph" w:styleId="BodyText">
    <w:name w:val="Body Text"/>
    <w:basedOn w:val="Normal"/>
    <w:link w:val="BodyTextChar"/>
    <w:rsid w:val="00E913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color w:val="FF00FF"/>
    </w:rPr>
  </w:style>
  <w:style w:type="paragraph" w:styleId="Caption">
    <w:name w:val="caption"/>
    <w:basedOn w:val="Normal"/>
    <w:next w:val="Normal"/>
    <w:uiPriority w:val="35"/>
    <w:unhideWhenUsed/>
    <w:qFormat/>
    <w:rsid w:val="007C165F"/>
    <w:pPr>
      <w:spacing w:line="240" w:lineRule="auto"/>
    </w:pPr>
    <w:rPr>
      <w:b/>
      <w:bCs/>
      <w:color w:val="4F81BD" w:themeColor="accent1"/>
      <w:sz w:val="18"/>
      <w:szCs w:val="18"/>
    </w:rPr>
  </w:style>
  <w:style w:type="paragraph" w:styleId="BodyText2">
    <w:name w:val="Body Text 2"/>
    <w:basedOn w:val="Normal"/>
    <w:rsid w:val="00E913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styleId="BodyText3">
    <w:name w:val="Body Text 3"/>
    <w:basedOn w:val="Normal"/>
    <w:rsid w:val="00E913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style>
  <w:style w:type="character" w:styleId="Hyperlink">
    <w:name w:val="Hyperlink"/>
    <w:rsid w:val="00E91310"/>
    <w:rPr>
      <w:color w:val="0000FF"/>
      <w:u w:val="single"/>
    </w:rPr>
  </w:style>
  <w:style w:type="character" w:styleId="FollowedHyperlink">
    <w:name w:val="FollowedHyperlink"/>
    <w:rsid w:val="00E91310"/>
    <w:rPr>
      <w:color w:val="800080"/>
      <w:u w:val="single"/>
    </w:rPr>
  </w:style>
  <w:style w:type="paragraph" w:styleId="Footer">
    <w:name w:val="footer"/>
    <w:basedOn w:val="Normal"/>
    <w:link w:val="FooterChar"/>
    <w:uiPriority w:val="99"/>
    <w:rsid w:val="00E91310"/>
    <w:pPr>
      <w:tabs>
        <w:tab w:val="center" w:pos="4320"/>
        <w:tab w:val="right" w:pos="8640"/>
      </w:tabs>
    </w:pPr>
  </w:style>
  <w:style w:type="paragraph" w:customStyle="1" w:styleId="Default">
    <w:name w:val="Default"/>
    <w:rsid w:val="00800885"/>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56059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F4C89"/>
    <w:rPr>
      <w:rFonts w:ascii="Tahoma" w:hAnsi="Tahoma" w:cs="Tahoma"/>
      <w:sz w:val="16"/>
      <w:szCs w:val="16"/>
    </w:rPr>
  </w:style>
  <w:style w:type="paragraph" w:styleId="ListParagraph">
    <w:name w:val="List Paragraph"/>
    <w:basedOn w:val="Normal"/>
    <w:qFormat/>
    <w:rsid w:val="007C165F"/>
    <w:pPr>
      <w:ind w:left="720"/>
      <w:contextualSpacing/>
    </w:pPr>
  </w:style>
  <w:style w:type="paragraph" w:styleId="ListBullet">
    <w:name w:val="List Bullet"/>
    <w:basedOn w:val="Normal"/>
    <w:rsid w:val="00C4222C"/>
    <w:pPr>
      <w:numPr>
        <w:numId w:val="1"/>
      </w:numPr>
      <w:spacing w:after="120"/>
    </w:pPr>
  </w:style>
  <w:style w:type="character" w:customStyle="1" w:styleId="BodyTextChar">
    <w:name w:val="Body Text Char"/>
    <w:basedOn w:val="DefaultParagraphFont"/>
    <w:link w:val="BodyText"/>
    <w:rsid w:val="00CE313B"/>
    <w:rPr>
      <w:color w:val="FF00FF"/>
      <w:sz w:val="22"/>
      <w:szCs w:val="22"/>
    </w:rPr>
  </w:style>
  <w:style w:type="paragraph" w:customStyle="1" w:styleId="StyleListBulletAfter12pt">
    <w:name w:val="Style List Bullet + After:  12 pt"/>
    <w:basedOn w:val="ListBullet"/>
    <w:rsid w:val="00C4222C"/>
  </w:style>
  <w:style w:type="character" w:styleId="Strong">
    <w:name w:val="Strong"/>
    <w:basedOn w:val="DefaultParagraphFont"/>
    <w:uiPriority w:val="22"/>
    <w:qFormat/>
    <w:rsid w:val="007C165F"/>
    <w:rPr>
      <w:b/>
      <w:bCs/>
    </w:rPr>
  </w:style>
  <w:style w:type="character" w:styleId="Emphasis">
    <w:name w:val="Emphasis"/>
    <w:basedOn w:val="DefaultParagraphFont"/>
    <w:qFormat/>
    <w:rsid w:val="007C165F"/>
    <w:rPr>
      <w:i/>
      <w:iCs/>
    </w:rPr>
  </w:style>
  <w:style w:type="paragraph" w:styleId="Revision">
    <w:name w:val="Revision"/>
    <w:hidden/>
    <w:uiPriority w:val="99"/>
    <w:semiHidden/>
    <w:rsid w:val="00895418"/>
  </w:style>
  <w:style w:type="paragraph" w:styleId="NoSpacing">
    <w:name w:val="No Spacing"/>
    <w:uiPriority w:val="1"/>
    <w:qFormat/>
    <w:rsid w:val="007C165F"/>
    <w:pPr>
      <w:spacing w:after="0" w:line="240" w:lineRule="auto"/>
    </w:pPr>
  </w:style>
  <w:style w:type="character" w:customStyle="1" w:styleId="Heading1Char">
    <w:name w:val="Heading 1 Char"/>
    <w:basedOn w:val="DefaultParagraphFont"/>
    <w:link w:val="Heading1"/>
    <w:uiPriority w:val="9"/>
    <w:rsid w:val="007C165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C165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E4BEC"/>
    <w:rPr>
      <w:rFonts w:eastAsiaTheme="majorEastAsia" w:cstheme="majorBidi"/>
      <w:b/>
      <w:bCs/>
      <w:i/>
      <w:color w:val="4F81BD" w:themeColor="accent1"/>
    </w:rPr>
  </w:style>
  <w:style w:type="character" w:customStyle="1" w:styleId="Heading4Char">
    <w:name w:val="Heading 4 Char"/>
    <w:basedOn w:val="DefaultParagraphFont"/>
    <w:link w:val="Heading4"/>
    <w:uiPriority w:val="9"/>
    <w:rsid w:val="00CF7317"/>
    <w:rPr>
      <w:rFonts w:eastAsiaTheme="majorEastAsia" w:cstheme="majorBidi"/>
      <w:b/>
      <w:bCs/>
      <w:i/>
      <w:iCs/>
      <w:color w:val="4F81BD" w:themeColor="accent1"/>
      <w:sz w:val="24"/>
    </w:rPr>
  </w:style>
  <w:style w:type="character" w:customStyle="1" w:styleId="Heading5Char">
    <w:name w:val="Heading 5 Char"/>
    <w:basedOn w:val="DefaultParagraphFont"/>
    <w:link w:val="Heading5"/>
    <w:uiPriority w:val="9"/>
    <w:rsid w:val="007C165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7C165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7C165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7C165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C165F"/>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7C165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C165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C165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C165F"/>
    <w:rPr>
      <w:rFonts w:asciiTheme="majorHAnsi" w:eastAsiaTheme="majorEastAsia" w:hAnsiTheme="majorHAnsi" w:cstheme="majorBidi"/>
      <w:i/>
      <w:iCs/>
      <w:color w:val="4F81BD" w:themeColor="accent1"/>
      <w:spacing w:val="15"/>
      <w:sz w:val="24"/>
      <w:szCs w:val="24"/>
    </w:rPr>
  </w:style>
  <w:style w:type="paragraph" w:styleId="Quote">
    <w:name w:val="Quote"/>
    <w:basedOn w:val="Normal"/>
    <w:next w:val="Normal"/>
    <w:link w:val="QuoteChar"/>
    <w:uiPriority w:val="29"/>
    <w:qFormat/>
    <w:rsid w:val="007C165F"/>
    <w:rPr>
      <w:i/>
      <w:iCs/>
      <w:color w:val="000000" w:themeColor="text1"/>
    </w:rPr>
  </w:style>
  <w:style w:type="character" w:customStyle="1" w:styleId="QuoteChar">
    <w:name w:val="Quote Char"/>
    <w:basedOn w:val="DefaultParagraphFont"/>
    <w:link w:val="Quote"/>
    <w:uiPriority w:val="29"/>
    <w:rsid w:val="007C165F"/>
    <w:rPr>
      <w:i/>
      <w:iCs/>
      <w:color w:val="000000" w:themeColor="text1"/>
    </w:rPr>
  </w:style>
  <w:style w:type="paragraph" w:styleId="IntenseQuote">
    <w:name w:val="Intense Quote"/>
    <w:basedOn w:val="Normal"/>
    <w:next w:val="Normal"/>
    <w:link w:val="IntenseQuoteChar"/>
    <w:uiPriority w:val="30"/>
    <w:qFormat/>
    <w:rsid w:val="007C16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C165F"/>
    <w:rPr>
      <w:b/>
      <w:bCs/>
      <w:i/>
      <w:iCs/>
      <w:color w:val="4F81BD" w:themeColor="accent1"/>
    </w:rPr>
  </w:style>
  <w:style w:type="character" w:styleId="SubtleEmphasis">
    <w:name w:val="Subtle Emphasis"/>
    <w:basedOn w:val="DefaultParagraphFont"/>
    <w:uiPriority w:val="19"/>
    <w:qFormat/>
    <w:rsid w:val="007C165F"/>
    <w:rPr>
      <w:i/>
      <w:iCs/>
      <w:color w:val="808080" w:themeColor="text1" w:themeTint="7F"/>
    </w:rPr>
  </w:style>
  <w:style w:type="character" w:styleId="IntenseEmphasis">
    <w:name w:val="Intense Emphasis"/>
    <w:basedOn w:val="DefaultParagraphFont"/>
    <w:uiPriority w:val="21"/>
    <w:qFormat/>
    <w:rsid w:val="007C165F"/>
    <w:rPr>
      <w:b/>
      <w:bCs/>
      <w:i/>
      <w:iCs/>
      <w:color w:val="4F81BD" w:themeColor="accent1"/>
    </w:rPr>
  </w:style>
  <w:style w:type="character" w:styleId="SubtleReference">
    <w:name w:val="Subtle Reference"/>
    <w:basedOn w:val="DefaultParagraphFont"/>
    <w:uiPriority w:val="31"/>
    <w:qFormat/>
    <w:rsid w:val="007C165F"/>
    <w:rPr>
      <w:smallCaps/>
      <w:color w:val="C0504D" w:themeColor="accent2"/>
      <w:u w:val="single"/>
    </w:rPr>
  </w:style>
  <w:style w:type="character" w:styleId="IntenseReference">
    <w:name w:val="Intense Reference"/>
    <w:basedOn w:val="DefaultParagraphFont"/>
    <w:uiPriority w:val="32"/>
    <w:qFormat/>
    <w:rsid w:val="007C165F"/>
    <w:rPr>
      <w:b/>
      <w:bCs/>
      <w:smallCaps/>
      <w:color w:val="C0504D" w:themeColor="accent2"/>
      <w:spacing w:val="5"/>
      <w:u w:val="single"/>
    </w:rPr>
  </w:style>
  <w:style w:type="character" w:styleId="BookTitle">
    <w:name w:val="Book Title"/>
    <w:basedOn w:val="DefaultParagraphFont"/>
    <w:uiPriority w:val="33"/>
    <w:qFormat/>
    <w:rsid w:val="007C165F"/>
    <w:rPr>
      <w:b/>
      <w:bCs/>
      <w:smallCaps/>
      <w:spacing w:val="5"/>
    </w:rPr>
  </w:style>
  <w:style w:type="paragraph" w:styleId="TOCHeading">
    <w:name w:val="TOC Heading"/>
    <w:basedOn w:val="Heading1"/>
    <w:next w:val="Normal"/>
    <w:uiPriority w:val="39"/>
    <w:semiHidden/>
    <w:unhideWhenUsed/>
    <w:qFormat/>
    <w:rsid w:val="007C165F"/>
    <w:pPr>
      <w:outlineLvl w:val="9"/>
    </w:pPr>
  </w:style>
  <w:style w:type="character" w:customStyle="1" w:styleId="FooterChar">
    <w:name w:val="Footer Char"/>
    <w:basedOn w:val="DefaultParagraphFont"/>
    <w:link w:val="Footer"/>
    <w:uiPriority w:val="99"/>
    <w:rsid w:val="001B6B06"/>
  </w:style>
  <w:style w:type="character" w:styleId="CommentReference">
    <w:name w:val="annotation reference"/>
    <w:basedOn w:val="DefaultParagraphFont"/>
    <w:semiHidden/>
    <w:unhideWhenUsed/>
    <w:rsid w:val="00D63F04"/>
    <w:rPr>
      <w:sz w:val="16"/>
      <w:szCs w:val="16"/>
    </w:rPr>
  </w:style>
  <w:style w:type="paragraph" w:styleId="CommentText">
    <w:name w:val="annotation text"/>
    <w:basedOn w:val="Normal"/>
    <w:link w:val="CommentTextChar"/>
    <w:semiHidden/>
    <w:unhideWhenUsed/>
    <w:rsid w:val="00D63F04"/>
    <w:pPr>
      <w:spacing w:line="240" w:lineRule="auto"/>
    </w:pPr>
    <w:rPr>
      <w:sz w:val="20"/>
      <w:szCs w:val="20"/>
    </w:rPr>
  </w:style>
  <w:style w:type="character" w:customStyle="1" w:styleId="CommentTextChar">
    <w:name w:val="Comment Text Char"/>
    <w:basedOn w:val="DefaultParagraphFont"/>
    <w:link w:val="CommentText"/>
    <w:semiHidden/>
    <w:rsid w:val="00D63F04"/>
    <w:rPr>
      <w:sz w:val="20"/>
      <w:szCs w:val="20"/>
    </w:rPr>
  </w:style>
  <w:style w:type="paragraph" w:styleId="CommentSubject">
    <w:name w:val="annotation subject"/>
    <w:basedOn w:val="CommentText"/>
    <w:next w:val="CommentText"/>
    <w:link w:val="CommentSubjectChar"/>
    <w:semiHidden/>
    <w:unhideWhenUsed/>
    <w:rsid w:val="00D63F04"/>
    <w:rPr>
      <w:b/>
      <w:bCs/>
    </w:rPr>
  </w:style>
  <w:style w:type="character" w:customStyle="1" w:styleId="CommentSubjectChar">
    <w:name w:val="Comment Subject Char"/>
    <w:basedOn w:val="CommentTextChar"/>
    <w:link w:val="CommentSubject"/>
    <w:semiHidden/>
    <w:rsid w:val="00D63F0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41572">
      <w:bodyDiv w:val="1"/>
      <w:marLeft w:val="60"/>
      <w:marRight w:val="60"/>
      <w:marTop w:val="60"/>
      <w:marBottom w:val="15"/>
      <w:divBdr>
        <w:top w:val="none" w:sz="0" w:space="0" w:color="auto"/>
        <w:left w:val="none" w:sz="0" w:space="0" w:color="auto"/>
        <w:bottom w:val="none" w:sz="0" w:space="0" w:color="auto"/>
        <w:right w:val="none" w:sz="0" w:space="0" w:color="auto"/>
      </w:divBdr>
      <w:divsChild>
        <w:div w:id="130952323">
          <w:marLeft w:val="0"/>
          <w:marRight w:val="0"/>
          <w:marTop w:val="0"/>
          <w:marBottom w:val="0"/>
          <w:divBdr>
            <w:top w:val="none" w:sz="0" w:space="0" w:color="auto"/>
            <w:left w:val="none" w:sz="0" w:space="0" w:color="auto"/>
            <w:bottom w:val="none" w:sz="0" w:space="0" w:color="auto"/>
            <w:right w:val="none" w:sz="0" w:space="0" w:color="auto"/>
          </w:divBdr>
        </w:div>
        <w:div w:id="135029660">
          <w:marLeft w:val="0"/>
          <w:marRight w:val="0"/>
          <w:marTop w:val="0"/>
          <w:marBottom w:val="0"/>
          <w:divBdr>
            <w:top w:val="none" w:sz="0" w:space="0" w:color="auto"/>
            <w:left w:val="none" w:sz="0" w:space="0" w:color="auto"/>
            <w:bottom w:val="none" w:sz="0" w:space="0" w:color="auto"/>
            <w:right w:val="none" w:sz="0" w:space="0" w:color="auto"/>
          </w:divBdr>
        </w:div>
        <w:div w:id="140199586">
          <w:marLeft w:val="0"/>
          <w:marRight w:val="0"/>
          <w:marTop w:val="0"/>
          <w:marBottom w:val="0"/>
          <w:divBdr>
            <w:top w:val="none" w:sz="0" w:space="0" w:color="auto"/>
            <w:left w:val="none" w:sz="0" w:space="0" w:color="auto"/>
            <w:bottom w:val="none" w:sz="0" w:space="0" w:color="auto"/>
            <w:right w:val="none" w:sz="0" w:space="0" w:color="auto"/>
          </w:divBdr>
        </w:div>
        <w:div w:id="165025019">
          <w:marLeft w:val="0"/>
          <w:marRight w:val="0"/>
          <w:marTop w:val="0"/>
          <w:marBottom w:val="0"/>
          <w:divBdr>
            <w:top w:val="none" w:sz="0" w:space="0" w:color="auto"/>
            <w:left w:val="none" w:sz="0" w:space="0" w:color="auto"/>
            <w:bottom w:val="none" w:sz="0" w:space="0" w:color="auto"/>
            <w:right w:val="none" w:sz="0" w:space="0" w:color="auto"/>
          </w:divBdr>
        </w:div>
        <w:div w:id="233275361">
          <w:marLeft w:val="0"/>
          <w:marRight w:val="0"/>
          <w:marTop w:val="0"/>
          <w:marBottom w:val="0"/>
          <w:divBdr>
            <w:top w:val="none" w:sz="0" w:space="0" w:color="auto"/>
            <w:left w:val="none" w:sz="0" w:space="0" w:color="auto"/>
            <w:bottom w:val="none" w:sz="0" w:space="0" w:color="auto"/>
            <w:right w:val="none" w:sz="0" w:space="0" w:color="auto"/>
          </w:divBdr>
        </w:div>
        <w:div w:id="236519906">
          <w:marLeft w:val="0"/>
          <w:marRight w:val="0"/>
          <w:marTop w:val="0"/>
          <w:marBottom w:val="0"/>
          <w:divBdr>
            <w:top w:val="none" w:sz="0" w:space="0" w:color="auto"/>
            <w:left w:val="none" w:sz="0" w:space="0" w:color="auto"/>
            <w:bottom w:val="none" w:sz="0" w:space="0" w:color="auto"/>
            <w:right w:val="none" w:sz="0" w:space="0" w:color="auto"/>
          </w:divBdr>
        </w:div>
        <w:div w:id="274560804">
          <w:marLeft w:val="0"/>
          <w:marRight w:val="0"/>
          <w:marTop w:val="0"/>
          <w:marBottom w:val="0"/>
          <w:divBdr>
            <w:top w:val="none" w:sz="0" w:space="0" w:color="auto"/>
            <w:left w:val="none" w:sz="0" w:space="0" w:color="auto"/>
            <w:bottom w:val="none" w:sz="0" w:space="0" w:color="auto"/>
            <w:right w:val="none" w:sz="0" w:space="0" w:color="auto"/>
          </w:divBdr>
        </w:div>
        <w:div w:id="331493830">
          <w:marLeft w:val="0"/>
          <w:marRight w:val="0"/>
          <w:marTop w:val="0"/>
          <w:marBottom w:val="0"/>
          <w:divBdr>
            <w:top w:val="none" w:sz="0" w:space="0" w:color="auto"/>
            <w:left w:val="none" w:sz="0" w:space="0" w:color="auto"/>
            <w:bottom w:val="none" w:sz="0" w:space="0" w:color="auto"/>
            <w:right w:val="none" w:sz="0" w:space="0" w:color="auto"/>
          </w:divBdr>
        </w:div>
        <w:div w:id="444538856">
          <w:marLeft w:val="0"/>
          <w:marRight w:val="0"/>
          <w:marTop w:val="0"/>
          <w:marBottom w:val="0"/>
          <w:divBdr>
            <w:top w:val="none" w:sz="0" w:space="0" w:color="auto"/>
            <w:left w:val="none" w:sz="0" w:space="0" w:color="auto"/>
            <w:bottom w:val="none" w:sz="0" w:space="0" w:color="auto"/>
            <w:right w:val="none" w:sz="0" w:space="0" w:color="auto"/>
          </w:divBdr>
        </w:div>
        <w:div w:id="513375455">
          <w:marLeft w:val="0"/>
          <w:marRight w:val="0"/>
          <w:marTop w:val="0"/>
          <w:marBottom w:val="0"/>
          <w:divBdr>
            <w:top w:val="none" w:sz="0" w:space="0" w:color="auto"/>
            <w:left w:val="none" w:sz="0" w:space="0" w:color="auto"/>
            <w:bottom w:val="none" w:sz="0" w:space="0" w:color="auto"/>
            <w:right w:val="none" w:sz="0" w:space="0" w:color="auto"/>
          </w:divBdr>
        </w:div>
        <w:div w:id="514464967">
          <w:marLeft w:val="0"/>
          <w:marRight w:val="0"/>
          <w:marTop w:val="0"/>
          <w:marBottom w:val="0"/>
          <w:divBdr>
            <w:top w:val="none" w:sz="0" w:space="0" w:color="auto"/>
            <w:left w:val="none" w:sz="0" w:space="0" w:color="auto"/>
            <w:bottom w:val="none" w:sz="0" w:space="0" w:color="auto"/>
            <w:right w:val="none" w:sz="0" w:space="0" w:color="auto"/>
          </w:divBdr>
        </w:div>
        <w:div w:id="522091692">
          <w:marLeft w:val="0"/>
          <w:marRight w:val="0"/>
          <w:marTop w:val="0"/>
          <w:marBottom w:val="0"/>
          <w:divBdr>
            <w:top w:val="none" w:sz="0" w:space="0" w:color="auto"/>
            <w:left w:val="none" w:sz="0" w:space="0" w:color="auto"/>
            <w:bottom w:val="none" w:sz="0" w:space="0" w:color="auto"/>
            <w:right w:val="none" w:sz="0" w:space="0" w:color="auto"/>
          </w:divBdr>
        </w:div>
        <w:div w:id="549847490">
          <w:marLeft w:val="0"/>
          <w:marRight w:val="0"/>
          <w:marTop w:val="0"/>
          <w:marBottom w:val="0"/>
          <w:divBdr>
            <w:top w:val="none" w:sz="0" w:space="0" w:color="auto"/>
            <w:left w:val="none" w:sz="0" w:space="0" w:color="auto"/>
            <w:bottom w:val="none" w:sz="0" w:space="0" w:color="auto"/>
            <w:right w:val="none" w:sz="0" w:space="0" w:color="auto"/>
          </w:divBdr>
        </w:div>
        <w:div w:id="571158826">
          <w:marLeft w:val="0"/>
          <w:marRight w:val="0"/>
          <w:marTop w:val="0"/>
          <w:marBottom w:val="0"/>
          <w:divBdr>
            <w:top w:val="none" w:sz="0" w:space="0" w:color="auto"/>
            <w:left w:val="none" w:sz="0" w:space="0" w:color="auto"/>
            <w:bottom w:val="none" w:sz="0" w:space="0" w:color="auto"/>
            <w:right w:val="none" w:sz="0" w:space="0" w:color="auto"/>
          </w:divBdr>
        </w:div>
        <w:div w:id="734858534">
          <w:marLeft w:val="0"/>
          <w:marRight w:val="0"/>
          <w:marTop w:val="0"/>
          <w:marBottom w:val="0"/>
          <w:divBdr>
            <w:top w:val="none" w:sz="0" w:space="0" w:color="auto"/>
            <w:left w:val="none" w:sz="0" w:space="0" w:color="auto"/>
            <w:bottom w:val="none" w:sz="0" w:space="0" w:color="auto"/>
            <w:right w:val="none" w:sz="0" w:space="0" w:color="auto"/>
          </w:divBdr>
        </w:div>
        <w:div w:id="852917297">
          <w:marLeft w:val="0"/>
          <w:marRight w:val="0"/>
          <w:marTop w:val="0"/>
          <w:marBottom w:val="0"/>
          <w:divBdr>
            <w:top w:val="none" w:sz="0" w:space="0" w:color="auto"/>
            <w:left w:val="none" w:sz="0" w:space="0" w:color="auto"/>
            <w:bottom w:val="none" w:sz="0" w:space="0" w:color="auto"/>
            <w:right w:val="none" w:sz="0" w:space="0" w:color="auto"/>
          </w:divBdr>
        </w:div>
        <w:div w:id="885220769">
          <w:marLeft w:val="0"/>
          <w:marRight w:val="0"/>
          <w:marTop w:val="0"/>
          <w:marBottom w:val="0"/>
          <w:divBdr>
            <w:top w:val="none" w:sz="0" w:space="0" w:color="auto"/>
            <w:left w:val="none" w:sz="0" w:space="0" w:color="auto"/>
            <w:bottom w:val="none" w:sz="0" w:space="0" w:color="auto"/>
            <w:right w:val="none" w:sz="0" w:space="0" w:color="auto"/>
          </w:divBdr>
        </w:div>
        <w:div w:id="921719138">
          <w:marLeft w:val="0"/>
          <w:marRight w:val="0"/>
          <w:marTop w:val="0"/>
          <w:marBottom w:val="0"/>
          <w:divBdr>
            <w:top w:val="none" w:sz="0" w:space="0" w:color="auto"/>
            <w:left w:val="none" w:sz="0" w:space="0" w:color="auto"/>
            <w:bottom w:val="none" w:sz="0" w:space="0" w:color="auto"/>
            <w:right w:val="none" w:sz="0" w:space="0" w:color="auto"/>
          </w:divBdr>
        </w:div>
        <w:div w:id="1124808185">
          <w:marLeft w:val="0"/>
          <w:marRight w:val="0"/>
          <w:marTop w:val="0"/>
          <w:marBottom w:val="0"/>
          <w:divBdr>
            <w:top w:val="none" w:sz="0" w:space="0" w:color="auto"/>
            <w:left w:val="none" w:sz="0" w:space="0" w:color="auto"/>
            <w:bottom w:val="none" w:sz="0" w:space="0" w:color="auto"/>
            <w:right w:val="none" w:sz="0" w:space="0" w:color="auto"/>
          </w:divBdr>
        </w:div>
        <w:div w:id="1298149345">
          <w:marLeft w:val="0"/>
          <w:marRight w:val="0"/>
          <w:marTop w:val="0"/>
          <w:marBottom w:val="0"/>
          <w:divBdr>
            <w:top w:val="none" w:sz="0" w:space="0" w:color="auto"/>
            <w:left w:val="none" w:sz="0" w:space="0" w:color="auto"/>
            <w:bottom w:val="none" w:sz="0" w:space="0" w:color="auto"/>
            <w:right w:val="none" w:sz="0" w:space="0" w:color="auto"/>
          </w:divBdr>
        </w:div>
        <w:div w:id="1319269194">
          <w:marLeft w:val="0"/>
          <w:marRight w:val="0"/>
          <w:marTop w:val="0"/>
          <w:marBottom w:val="0"/>
          <w:divBdr>
            <w:top w:val="none" w:sz="0" w:space="0" w:color="auto"/>
            <w:left w:val="none" w:sz="0" w:space="0" w:color="auto"/>
            <w:bottom w:val="none" w:sz="0" w:space="0" w:color="auto"/>
            <w:right w:val="none" w:sz="0" w:space="0" w:color="auto"/>
          </w:divBdr>
        </w:div>
        <w:div w:id="1368215720">
          <w:marLeft w:val="0"/>
          <w:marRight w:val="0"/>
          <w:marTop w:val="0"/>
          <w:marBottom w:val="0"/>
          <w:divBdr>
            <w:top w:val="none" w:sz="0" w:space="0" w:color="auto"/>
            <w:left w:val="none" w:sz="0" w:space="0" w:color="auto"/>
            <w:bottom w:val="none" w:sz="0" w:space="0" w:color="auto"/>
            <w:right w:val="none" w:sz="0" w:space="0" w:color="auto"/>
          </w:divBdr>
        </w:div>
        <w:div w:id="1411851049">
          <w:marLeft w:val="0"/>
          <w:marRight w:val="0"/>
          <w:marTop w:val="0"/>
          <w:marBottom w:val="0"/>
          <w:divBdr>
            <w:top w:val="none" w:sz="0" w:space="0" w:color="auto"/>
            <w:left w:val="none" w:sz="0" w:space="0" w:color="auto"/>
            <w:bottom w:val="none" w:sz="0" w:space="0" w:color="auto"/>
            <w:right w:val="none" w:sz="0" w:space="0" w:color="auto"/>
          </w:divBdr>
        </w:div>
        <w:div w:id="1519932120">
          <w:marLeft w:val="0"/>
          <w:marRight w:val="0"/>
          <w:marTop w:val="0"/>
          <w:marBottom w:val="0"/>
          <w:divBdr>
            <w:top w:val="none" w:sz="0" w:space="0" w:color="auto"/>
            <w:left w:val="none" w:sz="0" w:space="0" w:color="auto"/>
            <w:bottom w:val="none" w:sz="0" w:space="0" w:color="auto"/>
            <w:right w:val="none" w:sz="0" w:space="0" w:color="auto"/>
          </w:divBdr>
        </w:div>
        <w:div w:id="1557472255">
          <w:marLeft w:val="0"/>
          <w:marRight w:val="0"/>
          <w:marTop w:val="0"/>
          <w:marBottom w:val="0"/>
          <w:divBdr>
            <w:top w:val="none" w:sz="0" w:space="0" w:color="auto"/>
            <w:left w:val="none" w:sz="0" w:space="0" w:color="auto"/>
            <w:bottom w:val="none" w:sz="0" w:space="0" w:color="auto"/>
            <w:right w:val="none" w:sz="0" w:space="0" w:color="auto"/>
          </w:divBdr>
        </w:div>
        <w:div w:id="1582105048">
          <w:marLeft w:val="0"/>
          <w:marRight w:val="0"/>
          <w:marTop w:val="0"/>
          <w:marBottom w:val="0"/>
          <w:divBdr>
            <w:top w:val="none" w:sz="0" w:space="0" w:color="auto"/>
            <w:left w:val="none" w:sz="0" w:space="0" w:color="auto"/>
            <w:bottom w:val="none" w:sz="0" w:space="0" w:color="auto"/>
            <w:right w:val="none" w:sz="0" w:space="0" w:color="auto"/>
          </w:divBdr>
        </w:div>
        <w:div w:id="1710063345">
          <w:marLeft w:val="0"/>
          <w:marRight w:val="0"/>
          <w:marTop w:val="0"/>
          <w:marBottom w:val="0"/>
          <w:divBdr>
            <w:top w:val="none" w:sz="0" w:space="0" w:color="auto"/>
            <w:left w:val="none" w:sz="0" w:space="0" w:color="auto"/>
            <w:bottom w:val="none" w:sz="0" w:space="0" w:color="auto"/>
            <w:right w:val="none" w:sz="0" w:space="0" w:color="auto"/>
          </w:divBdr>
        </w:div>
        <w:div w:id="1752772614">
          <w:marLeft w:val="0"/>
          <w:marRight w:val="0"/>
          <w:marTop w:val="0"/>
          <w:marBottom w:val="0"/>
          <w:divBdr>
            <w:top w:val="none" w:sz="0" w:space="0" w:color="auto"/>
            <w:left w:val="none" w:sz="0" w:space="0" w:color="auto"/>
            <w:bottom w:val="none" w:sz="0" w:space="0" w:color="auto"/>
            <w:right w:val="none" w:sz="0" w:space="0" w:color="auto"/>
          </w:divBdr>
        </w:div>
        <w:div w:id="1813214408">
          <w:marLeft w:val="0"/>
          <w:marRight w:val="0"/>
          <w:marTop w:val="0"/>
          <w:marBottom w:val="0"/>
          <w:divBdr>
            <w:top w:val="none" w:sz="0" w:space="0" w:color="auto"/>
            <w:left w:val="none" w:sz="0" w:space="0" w:color="auto"/>
            <w:bottom w:val="none" w:sz="0" w:space="0" w:color="auto"/>
            <w:right w:val="none" w:sz="0" w:space="0" w:color="auto"/>
          </w:divBdr>
        </w:div>
        <w:div w:id="1819223066">
          <w:marLeft w:val="0"/>
          <w:marRight w:val="0"/>
          <w:marTop w:val="0"/>
          <w:marBottom w:val="0"/>
          <w:divBdr>
            <w:top w:val="none" w:sz="0" w:space="0" w:color="auto"/>
            <w:left w:val="none" w:sz="0" w:space="0" w:color="auto"/>
            <w:bottom w:val="none" w:sz="0" w:space="0" w:color="auto"/>
            <w:right w:val="none" w:sz="0" w:space="0" w:color="auto"/>
          </w:divBdr>
        </w:div>
        <w:div w:id="1850943744">
          <w:marLeft w:val="0"/>
          <w:marRight w:val="0"/>
          <w:marTop w:val="0"/>
          <w:marBottom w:val="0"/>
          <w:divBdr>
            <w:top w:val="none" w:sz="0" w:space="0" w:color="auto"/>
            <w:left w:val="none" w:sz="0" w:space="0" w:color="auto"/>
            <w:bottom w:val="none" w:sz="0" w:space="0" w:color="auto"/>
            <w:right w:val="none" w:sz="0" w:space="0" w:color="auto"/>
          </w:divBdr>
        </w:div>
        <w:div w:id="1886482137">
          <w:marLeft w:val="0"/>
          <w:marRight w:val="0"/>
          <w:marTop w:val="0"/>
          <w:marBottom w:val="0"/>
          <w:divBdr>
            <w:top w:val="none" w:sz="0" w:space="0" w:color="auto"/>
            <w:left w:val="none" w:sz="0" w:space="0" w:color="auto"/>
            <w:bottom w:val="none" w:sz="0" w:space="0" w:color="auto"/>
            <w:right w:val="none" w:sz="0" w:space="0" w:color="auto"/>
          </w:divBdr>
        </w:div>
        <w:div w:id="1978029152">
          <w:marLeft w:val="0"/>
          <w:marRight w:val="0"/>
          <w:marTop w:val="0"/>
          <w:marBottom w:val="0"/>
          <w:divBdr>
            <w:top w:val="none" w:sz="0" w:space="0" w:color="auto"/>
            <w:left w:val="none" w:sz="0" w:space="0" w:color="auto"/>
            <w:bottom w:val="none" w:sz="0" w:space="0" w:color="auto"/>
            <w:right w:val="none" w:sz="0" w:space="0" w:color="auto"/>
          </w:divBdr>
        </w:div>
        <w:div w:id="2045397593">
          <w:marLeft w:val="0"/>
          <w:marRight w:val="0"/>
          <w:marTop w:val="0"/>
          <w:marBottom w:val="0"/>
          <w:divBdr>
            <w:top w:val="none" w:sz="0" w:space="0" w:color="auto"/>
            <w:left w:val="none" w:sz="0" w:space="0" w:color="auto"/>
            <w:bottom w:val="none" w:sz="0" w:space="0" w:color="auto"/>
            <w:right w:val="none" w:sz="0" w:space="0" w:color="auto"/>
          </w:divBdr>
        </w:div>
      </w:divsChild>
    </w:div>
    <w:div w:id="148258125">
      <w:bodyDiv w:val="1"/>
      <w:marLeft w:val="0"/>
      <w:marRight w:val="0"/>
      <w:marTop w:val="0"/>
      <w:marBottom w:val="0"/>
      <w:divBdr>
        <w:top w:val="none" w:sz="0" w:space="0" w:color="auto"/>
        <w:left w:val="none" w:sz="0" w:space="0" w:color="auto"/>
        <w:bottom w:val="none" w:sz="0" w:space="0" w:color="auto"/>
        <w:right w:val="none" w:sz="0" w:space="0" w:color="auto"/>
      </w:divBdr>
    </w:div>
    <w:div w:id="507446586">
      <w:bodyDiv w:val="1"/>
      <w:marLeft w:val="0"/>
      <w:marRight w:val="0"/>
      <w:marTop w:val="0"/>
      <w:marBottom w:val="0"/>
      <w:divBdr>
        <w:top w:val="none" w:sz="0" w:space="0" w:color="auto"/>
        <w:left w:val="none" w:sz="0" w:space="0" w:color="auto"/>
        <w:bottom w:val="none" w:sz="0" w:space="0" w:color="auto"/>
        <w:right w:val="none" w:sz="0" w:space="0" w:color="auto"/>
      </w:divBdr>
    </w:div>
    <w:div w:id="556091595">
      <w:bodyDiv w:val="1"/>
      <w:marLeft w:val="0"/>
      <w:marRight w:val="0"/>
      <w:marTop w:val="0"/>
      <w:marBottom w:val="0"/>
      <w:divBdr>
        <w:top w:val="none" w:sz="0" w:space="0" w:color="auto"/>
        <w:left w:val="none" w:sz="0" w:space="0" w:color="auto"/>
        <w:bottom w:val="none" w:sz="0" w:space="0" w:color="auto"/>
        <w:right w:val="none" w:sz="0" w:space="0" w:color="auto"/>
      </w:divBdr>
    </w:div>
    <w:div w:id="569192947">
      <w:bodyDiv w:val="1"/>
      <w:marLeft w:val="0"/>
      <w:marRight w:val="0"/>
      <w:marTop w:val="0"/>
      <w:marBottom w:val="0"/>
      <w:divBdr>
        <w:top w:val="none" w:sz="0" w:space="0" w:color="auto"/>
        <w:left w:val="none" w:sz="0" w:space="0" w:color="auto"/>
        <w:bottom w:val="none" w:sz="0" w:space="0" w:color="auto"/>
        <w:right w:val="none" w:sz="0" w:space="0" w:color="auto"/>
      </w:divBdr>
    </w:div>
    <w:div w:id="617833075">
      <w:bodyDiv w:val="1"/>
      <w:marLeft w:val="0"/>
      <w:marRight w:val="0"/>
      <w:marTop w:val="0"/>
      <w:marBottom w:val="0"/>
      <w:divBdr>
        <w:top w:val="none" w:sz="0" w:space="0" w:color="auto"/>
        <w:left w:val="none" w:sz="0" w:space="0" w:color="auto"/>
        <w:bottom w:val="none" w:sz="0" w:space="0" w:color="auto"/>
        <w:right w:val="none" w:sz="0" w:space="0" w:color="auto"/>
      </w:divBdr>
    </w:div>
    <w:div w:id="799149858">
      <w:bodyDiv w:val="1"/>
      <w:marLeft w:val="0"/>
      <w:marRight w:val="0"/>
      <w:marTop w:val="0"/>
      <w:marBottom w:val="0"/>
      <w:divBdr>
        <w:top w:val="none" w:sz="0" w:space="0" w:color="auto"/>
        <w:left w:val="none" w:sz="0" w:space="0" w:color="auto"/>
        <w:bottom w:val="none" w:sz="0" w:space="0" w:color="auto"/>
        <w:right w:val="none" w:sz="0" w:space="0" w:color="auto"/>
      </w:divBdr>
    </w:div>
    <w:div w:id="846596447">
      <w:bodyDiv w:val="1"/>
      <w:marLeft w:val="0"/>
      <w:marRight w:val="0"/>
      <w:marTop w:val="0"/>
      <w:marBottom w:val="0"/>
      <w:divBdr>
        <w:top w:val="none" w:sz="0" w:space="0" w:color="auto"/>
        <w:left w:val="none" w:sz="0" w:space="0" w:color="auto"/>
        <w:bottom w:val="none" w:sz="0" w:space="0" w:color="auto"/>
        <w:right w:val="none" w:sz="0" w:space="0" w:color="auto"/>
      </w:divBdr>
    </w:div>
    <w:div w:id="1491678343">
      <w:bodyDiv w:val="1"/>
      <w:marLeft w:val="60"/>
      <w:marRight w:val="60"/>
      <w:marTop w:val="60"/>
      <w:marBottom w:val="15"/>
      <w:divBdr>
        <w:top w:val="none" w:sz="0" w:space="0" w:color="auto"/>
        <w:left w:val="none" w:sz="0" w:space="0" w:color="auto"/>
        <w:bottom w:val="none" w:sz="0" w:space="0" w:color="auto"/>
        <w:right w:val="none" w:sz="0" w:space="0" w:color="auto"/>
      </w:divBdr>
      <w:divsChild>
        <w:div w:id="6180454">
          <w:marLeft w:val="0"/>
          <w:marRight w:val="0"/>
          <w:marTop w:val="0"/>
          <w:marBottom w:val="0"/>
          <w:divBdr>
            <w:top w:val="none" w:sz="0" w:space="0" w:color="auto"/>
            <w:left w:val="none" w:sz="0" w:space="0" w:color="auto"/>
            <w:bottom w:val="none" w:sz="0" w:space="0" w:color="auto"/>
            <w:right w:val="none" w:sz="0" w:space="0" w:color="auto"/>
          </w:divBdr>
        </w:div>
        <w:div w:id="48652241">
          <w:marLeft w:val="0"/>
          <w:marRight w:val="0"/>
          <w:marTop w:val="0"/>
          <w:marBottom w:val="0"/>
          <w:divBdr>
            <w:top w:val="none" w:sz="0" w:space="0" w:color="auto"/>
            <w:left w:val="none" w:sz="0" w:space="0" w:color="auto"/>
            <w:bottom w:val="none" w:sz="0" w:space="0" w:color="auto"/>
            <w:right w:val="none" w:sz="0" w:space="0" w:color="auto"/>
          </w:divBdr>
        </w:div>
        <w:div w:id="75983683">
          <w:marLeft w:val="0"/>
          <w:marRight w:val="0"/>
          <w:marTop w:val="0"/>
          <w:marBottom w:val="0"/>
          <w:divBdr>
            <w:top w:val="none" w:sz="0" w:space="0" w:color="auto"/>
            <w:left w:val="none" w:sz="0" w:space="0" w:color="auto"/>
            <w:bottom w:val="none" w:sz="0" w:space="0" w:color="auto"/>
            <w:right w:val="none" w:sz="0" w:space="0" w:color="auto"/>
          </w:divBdr>
        </w:div>
        <w:div w:id="264308144">
          <w:marLeft w:val="0"/>
          <w:marRight w:val="0"/>
          <w:marTop w:val="0"/>
          <w:marBottom w:val="0"/>
          <w:divBdr>
            <w:top w:val="none" w:sz="0" w:space="0" w:color="auto"/>
            <w:left w:val="none" w:sz="0" w:space="0" w:color="auto"/>
            <w:bottom w:val="none" w:sz="0" w:space="0" w:color="auto"/>
            <w:right w:val="none" w:sz="0" w:space="0" w:color="auto"/>
          </w:divBdr>
        </w:div>
        <w:div w:id="320622269">
          <w:marLeft w:val="0"/>
          <w:marRight w:val="0"/>
          <w:marTop w:val="0"/>
          <w:marBottom w:val="0"/>
          <w:divBdr>
            <w:top w:val="none" w:sz="0" w:space="0" w:color="auto"/>
            <w:left w:val="none" w:sz="0" w:space="0" w:color="auto"/>
            <w:bottom w:val="none" w:sz="0" w:space="0" w:color="auto"/>
            <w:right w:val="none" w:sz="0" w:space="0" w:color="auto"/>
          </w:divBdr>
        </w:div>
        <w:div w:id="379676130">
          <w:marLeft w:val="0"/>
          <w:marRight w:val="0"/>
          <w:marTop w:val="0"/>
          <w:marBottom w:val="0"/>
          <w:divBdr>
            <w:top w:val="none" w:sz="0" w:space="0" w:color="auto"/>
            <w:left w:val="none" w:sz="0" w:space="0" w:color="auto"/>
            <w:bottom w:val="none" w:sz="0" w:space="0" w:color="auto"/>
            <w:right w:val="none" w:sz="0" w:space="0" w:color="auto"/>
          </w:divBdr>
        </w:div>
        <w:div w:id="433013661">
          <w:marLeft w:val="0"/>
          <w:marRight w:val="0"/>
          <w:marTop w:val="0"/>
          <w:marBottom w:val="0"/>
          <w:divBdr>
            <w:top w:val="none" w:sz="0" w:space="0" w:color="auto"/>
            <w:left w:val="none" w:sz="0" w:space="0" w:color="auto"/>
            <w:bottom w:val="none" w:sz="0" w:space="0" w:color="auto"/>
            <w:right w:val="none" w:sz="0" w:space="0" w:color="auto"/>
          </w:divBdr>
        </w:div>
        <w:div w:id="491798577">
          <w:marLeft w:val="0"/>
          <w:marRight w:val="0"/>
          <w:marTop w:val="0"/>
          <w:marBottom w:val="0"/>
          <w:divBdr>
            <w:top w:val="none" w:sz="0" w:space="0" w:color="auto"/>
            <w:left w:val="none" w:sz="0" w:space="0" w:color="auto"/>
            <w:bottom w:val="none" w:sz="0" w:space="0" w:color="auto"/>
            <w:right w:val="none" w:sz="0" w:space="0" w:color="auto"/>
          </w:divBdr>
        </w:div>
        <w:div w:id="533082959">
          <w:marLeft w:val="0"/>
          <w:marRight w:val="0"/>
          <w:marTop w:val="0"/>
          <w:marBottom w:val="0"/>
          <w:divBdr>
            <w:top w:val="none" w:sz="0" w:space="0" w:color="auto"/>
            <w:left w:val="none" w:sz="0" w:space="0" w:color="auto"/>
            <w:bottom w:val="none" w:sz="0" w:space="0" w:color="auto"/>
            <w:right w:val="none" w:sz="0" w:space="0" w:color="auto"/>
          </w:divBdr>
        </w:div>
        <w:div w:id="549615924">
          <w:marLeft w:val="0"/>
          <w:marRight w:val="0"/>
          <w:marTop w:val="0"/>
          <w:marBottom w:val="0"/>
          <w:divBdr>
            <w:top w:val="none" w:sz="0" w:space="0" w:color="auto"/>
            <w:left w:val="none" w:sz="0" w:space="0" w:color="auto"/>
            <w:bottom w:val="none" w:sz="0" w:space="0" w:color="auto"/>
            <w:right w:val="none" w:sz="0" w:space="0" w:color="auto"/>
          </w:divBdr>
        </w:div>
        <w:div w:id="693576273">
          <w:marLeft w:val="0"/>
          <w:marRight w:val="0"/>
          <w:marTop w:val="0"/>
          <w:marBottom w:val="0"/>
          <w:divBdr>
            <w:top w:val="none" w:sz="0" w:space="0" w:color="auto"/>
            <w:left w:val="none" w:sz="0" w:space="0" w:color="auto"/>
            <w:bottom w:val="none" w:sz="0" w:space="0" w:color="auto"/>
            <w:right w:val="none" w:sz="0" w:space="0" w:color="auto"/>
          </w:divBdr>
        </w:div>
        <w:div w:id="733507878">
          <w:marLeft w:val="0"/>
          <w:marRight w:val="0"/>
          <w:marTop w:val="0"/>
          <w:marBottom w:val="0"/>
          <w:divBdr>
            <w:top w:val="none" w:sz="0" w:space="0" w:color="auto"/>
            <w:left w:val="none" w:sz="0" w:space="0" w:color="auto"/>
            <w:bottom w:val="none" w:sz="0" w:space="0" w:color="auto"/>
            <w:right w:val="none" w:sz="0" w:space="0" w:color="auto"/>
          </w:divBdr>
        </w:div>
        <w:div w:id="738329561">
          <w:marLeft w:val="0"/>
          <w:marRight w:val="0"/>
          <w:marTop w:val="0"/>
          <w:marBottom w:val="0"/>
          <w:divBdr>
            <w:top w:val="none" w:sz="0" w:space="0" w:color="auto"/>
            <w:left w:val="none" w:sz="0" w:space="0" w:color="auto"/>
            <w:bottom w:val="none" w:sz="0" w:space="0" w:color="auto"/>
            <w:right w:val="none" w:sz="0" w:space="0" w:color="auto"/>
          </w:divBdr>
        </w:div>
        <w:div w:id="766539687">
          <w:marLeft w:val="0"/>
          <w:marRight w:val="0"/>
          <w:marTop w:val="0"/>
          <w:marBottom w:val="0"/>
          <w:divBdr>
            <w:top w:val="none" w:sz="0" w:space="0" w:color="auto"/>
            <w:left w:val="none" w:sz="0" w:space="0" w:color="auto"/>
            <w:bottom w:val="none" w:sz="0" w:space="0" w:color="auto"/>
            <w:right w:val="none" w:sz="0" w:space="0" w:color="auto"/>
          </w:divBdr>
        </w:div>
        <w:div w:id="814761948">
          <w:marLeft w:val="0"/>
          <w:marRight w:val="0"/>
          <w:marTop w:val="0"/>
          <w:marBottom w:val="0"/>
          <w:divBdr>
            <w:top w:val="none" w:sz="0" w:space="0" w:color="auto"/>
            <w:left w:val="none" w:sz="0" w:space="0" w:color="auto"/>
            <w:bottom w:val="none" w:sz="0" w:space="0" w:color="auto"/>
            <w:right w:val="none" w:sz="0" w:space="0" w:color="auto"/>
          </w:divBdr>
        </w:div>
        <w:div w:id="897323485">
          <w:marLeft w:val="0"/>
          <w:marRight w:val="0"/>
          <w:marTop w:val="0"/>
          <w:marBottom w:val="0"/>
          <w:divBdr>
            <w:top w:val="none" w:sz="0" w:space="0" w:color="auto"/>
            <w:left w:val="none" w:sz="0" w:space="0" w:color="auto"/>
            <w:bottom w:val="none" w:sz="0" w:space="0" w:color="auto"/>
            <w:right w:val="none" w:sz="0" w:space="0" w:color="auto"/>
          </w:divBdr>
        </w:div>
        <w:div w:id="956451479">
          <w:marLeft w:val="0"/>
          <w:marRight w:val="0"/>
          <w:marTop w:val="0"/>
          <w:marBottom w:val="0"/>
          <w:divBdr>
            <w:top w:val="none" w:sz="0" w:space="0" w:color="auto"/>
            <w:left w:val="none" w:sz="0" w:space="0" w:color="auto"/>
            <w:bottom w:val="none" w:sz="0" w:space="0" w:color="auto"/>
            <w:right w:val="none" w:sz="0" w:space="0" w:color="auto"/>
          </w:divBdr>
        </w:div>
        <w:div w:id="1027292865">
          <w:marLeft w:val="0"/>
          <w:marRight w:val="0"/>
          <w:marTop w:val="0"/>
          <w:marBottom w:val="0"/>
          <w:divBdr>
            <w:top w:val="none" w:sz="0" w:space="0" w:color="auto"/>
            <w:left w:val="none" w:sz="0" w:space="0" w:color="auto"/>
            <w:bottom w:val="none" w:sz="0" w:space="0" w:color="auto"/>
            <w:right w:val="none" w:sz="0" w:space="0" w:color="auto"/>
          </w:divBdr>
        </w:div>
        <w:div w:id="1049381007">
          <w:marLeft w:val="0"/>
          <w:marRight w:val="0"/>
          <w:marTop w:val="0"/>
          <w:marBottom w:val="0"/>
          <w:divBdr>
            <w:top w:val="none" w:sz="0" w:space="0" w:color="auto"/>
            <w:left w:val="none" w:sz="0" w:space="0" w:color="auto"/>
            <w:bottom w:val="none" w:sz="0" w:space="0" w:color="auto"/>
            <w:right w:val="none" w:sz="0" w:space="0" w:color="auto"/>
          </w:divBdr>
        </w:div>
        <w:div w:id="1226143700">
          <w:marLeft w:val="0"/>
          <w:marRight w:val="0"/>
          <w:marTop w:val="0"/>
          <w:marBottom w:val="0"/>
          <w:divBdr>
            <w:top w:val="none" w:sz="0" w:space="0" w:color="auto"/>
            <w:left w:val="none" w:sz="0" w:space="0" w:color="auto"/>
            <w:bottom w:val="none" w:sz="0" w:space="0" w:color="auto"/>
            <w:right w:val="none" w:sz="0" w:space="0" w:color="auto"/>
          </w:divBdr>
        </w:div>
        <w:div w:id="1273366763">
          <w:marLeft w:val="0"/>
          <w:marRight w:val="0"/>
          <w:marTop w:val="0"/>
          <w:marBottom w:val="0"/>
          <w:divBdr>
            <w:top w:val="none" w:sz="0" w:space="0" w:color="auto"/>
            <w:left w:val="none" w:sz="0" w:space="0" w:color="auto"/>
            <w:bottom w:val="none" w:sz="0" w:space="0" w:color="auto"/>
            <w:right w:val="none" w:sz="0" w:space="0" w:color="auto"/>
          </w:divBdr>
        </w:div>
        <w:div w:id="1293752070">
          <w:marLeft w:val="0"/>
          <w:marRight w:val="0"/>
          <w:marTop w:val="0"/>
          <w:marBottom w:val="0"/>
          <w:divBdr>
            <w:top w:val="none" w:sz="0" w:space="0" w:color="auto"/>
            <w:left w:val="none" w:sz="0" w:space="0" w:color="auto"/>
            <w:bottom w:val="none" w:sz="0" w:space="0" w:color="auto"/>
            <w:right w:val="none" w:sz="0" w:space="0" w:color="auto"/>
          </w:divBdr>
        </w:div>
        <w:div w:id="1295713079">
          <w:marLeft w:val="0"/>
          <w:marRight w:val="0"/>
          <w:marTop w:val="0"/>
          <w:marBottom w:val="0"/>
          <w:divBdr>
            <w:top w:val="none" w:sz="0" w:space="0" w:color="auto"/>
            <w:left w:val="none" w:sz="0" w:space="0" w:color="auto"/>
            <w:bottom w:val="none" w:sz="0" w:space="0" w:color="auto"/>
            <w:right w:val="none" w:sz="0" w:space="0" w:color="auto"/>
          </w:divBdr>
        </w:div>
        <w:div w:id="1302806349">
          <w:marLeft w:val="0"/>
          <w:marRight w:val="0"/>
          <w:marTop w:val="0"/>
          <w:marBottom w:val="0"/>
          <w:divBdr>
            <w:top w:val="none" w:sz="0" w:space="0" w:color="auto"/>
            <w:left w:val="none" w:sz="0" w:space="0" w:color="auto"/>
            <w:bottom w:val="none" w:sz="0" w:space="0" w:color="auto"/>
            <w:right w:val="none" w:sz="0" w:space="0" w:color="auto"/>
          </w:divBdr>
        </w:div>
        <w:div w:id="1509902587">
          <w:marLeft w:val="0"/>
          <w:marRight w:val="0"/>
          <w:marTop w:val="0"/>
          <w:marBottom w:val="0"/>
          <w:divBdr>
            <w:top w:val="none" w:sz="0" w:space="0" w:color="auto"/>
            <w:left w:val="none" w:sz="0" w:space="0" w:color="auto"/>
            <w:bottom w:val="none" w:sz="0" w:space="0" w:color="auto"/>
            <w:right w:val="none" w:sz="0" w:space="0" w:color="auto"/>
          </w:divBdr>
        </w:div>
        <w:div w:id="1553730171">
          <w:marLeft w:val="0"/>
          <w:marRight w:val="0"/>
          <w:marTop w:val="0"/>
          <w:marBottom w:val="0"/>
          <w:divBdr>
            <w:top w:val="none" w:sz="0" w:space="0" w:color="auto"/>
            <w:left w:val="none" w:sz="0" w:space="0" w:color="auto"/>
            <w:bottom w:val="none" w:sz="0" w:space="0" w:color="auto"/>
            <w:right w:val="none" w:sz="0" w:space="0" w:color="auto"/>
          </w:divBdr>
        </w:div>
        <w:div w:id="1627736823">
          <w:marLeft w:val="0"/>
          <w:marRight w:val="0"/>
          <w:marTop w:val="0"/>
          <w:marBottom w:val="0"/>
          <w:divBdr>
            <w:top w:val="none" w:sz="0" w:space="0" w:color="auto"/>
            <w:left w:val="none" w:sz="0" w:space="0" w:color="auto"/>
            <w:bottom w:val="none" w:sz="0" w:space="0" w:color="auto"/>
            <w:right w:val="none" w:sz="0" w:space="0" w:color="auto"/>
          </w:divBdr>
        </w:div>
        <w:div w:id="1653365614">
          <w:marLeft w:val="0"/>
          <w:marRight w:val="0"/>
          <w:marTop w:val="0"/>
          <w:marBottom w:val="0"/>
          <w:divBdr>
            <w:top w:val="none" w:sz="0" w:space="0" w:color="auto"/>
            <w:left w:val="none" w:sz="0" w:space="0" w:color="auto"/>
            <w:bottom w:val="none" w:sz="0" w:space="0" w:color="auto"/>
            <w:right w:val="none" w:sz="0" w:space="0" w:color="auto"/>
          </w:divBdr>
        </w:div>
        <w:div w:id="1741712463">
          <w:marLeft w:val="0"/>
          <w:marRight w:val="0"/>
          <w:marTop w:val="0"/>
          <w:marBottom w:val="0"/>
          <w:divBdr>
            <w:top w:val="none" w:sz="0" w:space="0" w:color="auto"/>
            <w:left w:val="none" w:sz="0" w:space="0" w:color="auto"/>
            <w:bottom w:val="none" w:sz="0" w:space="0" w:color="auto"/>
            <w:right w:val="none" w:sz="0" w:space="0" w:color="auto"/>
          </w:divBdr>
        </w:div>
        <w:div w:id="1887374909">
          <w:marLeft w:val="0"/>
          <w:marRight w:val="0"/>
          <w:marTop w:val="0"/>
          <w:marBottom w:val="0"/>
          <w:divBdr>
            <w:top w:val="none" w:sz="0" w:space="0" w:color="auto"/>
            <w:left w:val="none" w:sz="0" w:space="0" w:color="auto"/>
            <w:bottom w:val="none" w:sz="0" w:space="0" w:color="auto"/>
            <w:right w:val="none" w:sz="0" w:space="0" w:color="auto"/>
          </w:divBdr>
        </w:div>
        <w:div w:id="1951157452">
          <w:marLeft w:val="0"/>
          <w:marRight w:val="0"/>
          <w:marTop w:val="0"/>
          <w:marBottom w:val="0"/>
          <w:divBdr>
            <w:top w:val="none" w:sz="0" w:space="0" w:color="auto"/>
            <w:left w:val="none" w:sz="0" w:space="0" w:color="auto"/>
            <w:bottom w:val="none" w:sz="0" w:space="0" w:color="auto"/>
            <w:right w:val="none" w:sz="0" w:space="0" w:color="auto"/>
          </w:divBdr>
        </w:div>
        <w:div w:id="2075657967">
          <w:marLeft w:val="0"/>
          <w:marRight w:val="0"/>
          <w:marTop w:val="0"/>
          <w:marBottom w:val="0"/>
          <w:divBdr>
            <w:top w:val="none" w:sz="0" w:space="0" w:color="auto"/>
            <w:left w:val="none" w:sz="0" w:space="0" w:color="auto"/>
            <w:bottom w:val="none" w:sz="0" w:space="0" w:color="auto"/>
            <w:right w:val="none" w:sz="0" w:space="0" w:color="auto"/>
          </w:divBdr>
        </w:div>
        <w:div w:id="2090153335">
          <w:marLeft w:val="0"/>
          <w:marRight w:val="0"/>
          <w:marTop w:val="0"/>
          <w:marBottom w:val="0"/>
          <w:divBdr>
            <w:top w:val="none" w:sz="0" w:space="0" w:color="auto"/>
            <w:left w:val="none" w:sz="0" w:space="0" w:color="auto"/>
            <w:bottom w:val="none" w:sz="0" w:space="0" w:color="auto"/>
            <w:right w:val="none" w:sz="0" w:space="0" w:color="auto"/>
          </w:divBdr>
        </w:div>
        <w:div w:id="2134706714">
          <w:marLeft w:val="0"/>
          <w:marRight w:val="0"/>
          <w:marTop w:val="0"/>
          <w:marBottom w:val="0"/>
          <w:divBdr>
            <w:top w:val="none" w:sz="0" w:space="0" w:color="auto"/>
            <w:left w:val="none" w:sz="0" w:space="0" w:color="auto"/>
            <w:bottom w:val="none" w:sz="0" w:space="0" w:color="auto"/>
            <w:right w:val="none" w:sz="0" w:space="0" w:color="auto"/>
          </w:divBdr>
        </w:div>
      </w:divsChild>
    </w:div>
    <w:div w:id="1580869024">
      <w:bodyDiv w:val="1"/>
      <w:marLeft w:val="0"/>
      <w:marRight w:val="0"/>
      <w:marTop w:val="0"/>
      <w:marBottom w:val="0"/>
      <w:divBdr>
        <w:top w:val="none" w:sz="0" w:space="0" w:color="auto"/>
        <w:left w:val="none" w:sz="0" w:space="0" w:color="auto"/>
        <w:bottom w:val="none" w:sz="0" w:space="0" w:color="auto"/>
        <w:right w:val="none" w:sz="0" w:space="0" w:color="auto"/>
      </w:divBdr>
    </w:div>
    <w:div w:id="1581252783">
      <w:bodyDiv w:val="1"/>
      <w:marLeft w:val="0"/>
      <w:marRight w:val="0"/>
      <w:marTop w:val="0"/>
      <w:marBottom w:val="0"/>
      <w:divBdr>
        <w:top w:val="none" w:sz="0" w:space="0" w:color="auto"/>
        <w:left w:val="none" w:sz="0" w:space="0" w:color="auto"/>
        <w:bottom w:val="none" w:sz="0" w:space="0" w:color="auto"/>
        <w:right w:val="none" w:sz="0" w:space="0" w:color="auto"/>
      </w:divBdr>
    </w:div>
    <w:div w:id="1588879076">
      <w:bodyDiv w:val="1"/>
      <w:marLeft w:val="0"/>
      <w:marRight w:val="0"/>
      <w:marTop w:val="0"/>
      <w:marBottom w:val="0"/>
      <w:divBdr>
        <w:top w:val="none" w:sz="0" w:space="0" w:color="auto"/>
        <w:left w:val="none" w:sz="0" w:space="0" w:color="auto"/>
        <w:bottom w:val="none" w:sz="0" w:space="0" w:color="auto"/>
        <w:right w:val="none" w:sz="0" w:space="0" w:color="auto"/>
      </w:divBdr>
    </w:div>
    <w:div w:id="1724938557">
      <w:bodyDiv w:val="1"/>
      <w:marLeft w:val="0"/>
      <w:marRight w:val="0"/>
      <w:marTop w:val="0"/>
      <w:marBottom w:val="0"/>
      <w:divBdr>
        <w:top w:val="none" w:sz="0" w:space="0" w:color="auto"/>
        <w:left w:val="none" w:sz="0" w:space="0" w:color="auto"/>
        <w:bottom w:val="none" w:sz="0" w:space="0" w:color="auto"/>
        <w:right w:val="none" w:sz="0" w:space="0" w:color="auto"/>
      </w:divBdr>
    </w:div>
    <w:div w:id="1728409520">
      <w:bodyDiv w:val="1"/>
      <w:marLeft w:val="0"/>
      <w:marRight w:val="0"/>
      <w:marTop w:val="0"/>
      <w:marBottom w:val="0"/>
      <w:divBdr>
        <w:top w:val="none" w:sz="0" w:space="0" w:color="auto"/>
        <w:left w:val="none" w:sz="0" w:space="0" w:color="auto"/>
        <w:bottom w:val="none" w:sz="0" w:space="0" w:color="auto"/>
        <w:right w:val="none" w:sz="0" w:space="0" w:color="auto"/>
      </w:divBdr>
    </w:div>
    <w:div w:id="198142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yperlink" Target="http://mn.gov/deed/data/export-sta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manualLayout>
          <c:layoutTarget val="inner"/>
          <c:xMode val="edge"/>
          <c:yMode val="edge"/>
          <c:x val="0.27710534298790546"/>
          <c:y val="9.9288997326038464E-2"/>
          <c:w val="0.5240840026906185"/>
          <c:h val="0.78341946693283071"/>
        </c:manualLayout>
      </c:layout>
      <c:pieChart>
        <c:varyColors val="1"/>
        <c:ser>
          <c:idx val="0"/>
          <c:order val="0"/>
          <c:tx>
            <c:strRef>
              <c:f>Sheet1!$B$1</c:f>
              <c:strCache>
                <c:ptCount val="1"/>
                <c:pt idx="0">
                  <c:v> Exports, 2023-Q1 </c:v>
                </c:pt>
              </c:strCache>
            </c:strRef>
          </c:tx>
          <c:spPr>
            <a:ln>
              <a:solidFill>
                <a:schemeClr val="tx1">
                  <a:lumMod val="50000"/>
                  <a:lumOff val="50000"/>
                </a:schemeClr>
              </a:solidFill>
            </a:ln>
          </c:spPr>
          <c:dPt>
            <c:idx val="0"/>
            <c:bubble3D val="0"/>
            <c:spPr>
              <a:solidFill>
                <a:schemeClr val="accent6">
                  <a:shade val="50000"/>
                </a:schemeClr>
              </a:solidFill>
              <a:ln>
                <a:solidFill>
                  <a:schemeClr val="tx1">
                    <a:lumMod val="50000"/>
                    <a:lumOff val="50000"/>
                  </a:schemeClr>
                </a:solidFill>
              </a:ln>
              <a:effectLst/>
            </c:spPr>
            <c:extLst>
              <c:ext xmlns:c16="http://schemas.microsoft.com/office/drawing/2014/chart" uri="{C3380CC4-5D6E-409C-BE32-E72D297353CC}">
                <c16:uniqueId val="{00000001-1B88-468F-B926-1611BD07E22A}"/>
              </c:ext>
            </c:extLst>
          </c:dPt>
          <c:dPt>
            <c:idx val="1"/>
            <c:bubble3D val="0"/>
            <c:spPr>
              <a:solidFill>
                <a:schemeClr val="accent6">
                  <a:shade val="70000"/>
                </a:schemeClr>
              </a:solidFill>
              <a:ln>
                <a:solidFill>
                  <a:schemeClr val="tx1">
                    <a:lumMod val="50000"/>
                    <a:lumOff val="50000"/>
                  </a:schemeClr>
                </a:solidFill>
              </a:ln>
              <a:effectLst/>
            </c:spPr>
            <c:extLst>
              <c:ext xmlns:c16="http://schemas.microsoft.com/office/drawing/2014/chart" uri="{C3380CC4-5D6E-409C-BE32-E72D297353CC}">
                <c16:uniqueId val="{00000003-1B88-468F-B926-1611BD07E22A}"/>
              </c:ext>
            </c:extLst>
          </c:dPt>
          <c:dPt>
            <c:idx val="2"/>
            <c:bubble3D val="0"/>
            <c:spPr>
              <a:solidFill>
                <a:schemeClr val="accent6">
                  <a:shade val="90000"/>
                </a:schemeClr>
              </a:solidFill>
              <a:ln>
                <a:solidFill>
                  <a:schemeClr val="tx1">
                    <a:lumMod val="50000"/>
                    <a:lumOff val="50000"/>
                  </a:schemeClr>
                </a:solidFill>
              </a:ln>
              <a:effectLst/>
            </c:spPr>
            <c:extLst>
              <c:ext xmlns:c16="http://schemas.microsoft.com/office/drawing/2014/chart" uri="{C3380CC4-5D6E-409C-BE32-E72D297353CC}">
                <c16:uniqueId val="{00000005-1B88-468F-B926-1611BD07E22A}"/>
              </c:ext>
            </c:extLst>
          </c:dPt>
          <c:dPt>
            <c:idx val="3"/>
            <c:bubble3D val="0"/>
            <c:spPr>
              <a:solidFill>
                <a:schemeClr val="accent6">
                  <a:tint val="90000"/>
                </a:schemeClr>
              </a:solidFill>
              <a:ln>
                <a:solidFill>
                  <a:schemeClr val="tx1">
                    <a:lumMod val="50000"/>
                    <a:lumOff val="50000"/>
                  </a:schemeClr>
                </a:solidFill>
              </a:ln>
              <a:effectLst/>
            </c:spPr>
            <c:extLst>
              <c:ext xmlns:c16="http://schemas.microsoft.com/office/drawing/2014/chart" uri="{C3380CC4-5D6E-409C-BE32-E72D297353CC}">
                <c16:uniqueId val="{00000007-1B88-468F-B926-1611BD07E22A}"/>
              </c:ext>
            </c:extLst>
          </c:dPt>
          <c:dPt>
            <c:idx val="4"/>
            <c:bubble3D val="0"/>
            <c:spPr>
              <a:solidFill>
                <a:schemeClr val="accent6">
                  <a:tint val="70000"/>
                </a:schemeClr>
              </a:solidFill>
              <a:ln>
                <a:solidFill>
                  <a:schemeClr val="tx1">
                    <a:lumMod val="50000"/>
                    <a:lumOff val="50000"/>
                  </a:schemeClr>
                </a:solidFill>
              </a:ln>
              <a:effectLst/>
            </c:spPr>
            <c:extLst>
              <c:ext xmlns:c16="http://schemas.microsoft.com/office/drawing/2014/chart" uri="{C3380CC4-5D6E-409C-BE32-E72D297353CC}">
                <c16:uniqueId val="{00000009-1B88-468F-B926-1611BD07E22A}"/>
              </c:ext>
            </c:extLst>
          </c:dPt>
          <c:dPt>
            <c:idx val="5"/>
            <c:bubble3D val="0"/>
            <c:spPr>
              <a:solidFill>
                <a:schemeClr val="accent6">
                  <a:tint val="50000"/>
                </a:schemeClr>
              </a:solidFill>
              <a:ln>
                <a:solidFill>
                  <a:schemeClr val="tx1">
                    <a:lumMod val="50000"/>
                    <a:lumOff val="50000"/>
                  </a:schemeClr>
                </a:solidFill>
              </a:ln>
              <a:effectLst/>
            </c:spPr>
            <c:extLst>
              <c:ext xmlns:c16="http://schemas.microsoft.com/office/drawing/2014/chart" uri="{C3380CC4-5D6E-409C-BE32-E72D297353CC}">
                <c16:uniqueId val="{0000000B-1B88-468F-B926-1611BD07E22A}"/>
              </c:ext>
            </c:extLst>
          </c:dPt>
          <c:dPt>
            <c:idx val="6"/>
            <c:bubble3D val="0"/>
            <c:spPr>
              <a:solidFill>
                <a:schemeClr val="accent6">
                  <a:tint val="30000"/>
                </a:schemeClr>
              </a:solidFill>
              <a:ln>
                <a:solidFill>
                  <a:schemeClr val="tx1">
                    <a:lumMod val="50000"/>
                    <a:lumOff val="50000"/>
                  </a:schemeClr>
                </a:solidFill>
              </a:ln>
              <a:effectLst/>
            </c:spPr>
            <c:extLst>
              <c:ext xmlns:c16="http://schemas.microsoft.com/office/drawing/2014/chart" uri="{C3380CC4-5D6E-409C-BE32-E72D297353CC}">
                <c16:uniqueId val="{0000000D-1B88-468F-B926-1611BD07E22A}"/>
              </c:ext>
            </c:extLst>
          </c:dPt>
          <c:dPt>
            <c:idx val="7"/>
            <c:bubble3D val="0"/>
            <c:spPr>
              <a:solidFill>
                <a:schemeClr val="accent6">
                  <a:tint val="10000"/>
                </a:schemeClr>
              </a:solidFill>
              <a:ln>
                <a:solidFill>
                  <a:schemeClr val="tx1">
                    <a:lumMod val="50000"/>
                    <a:lumOff val="50000"/>
                  </a:schemeClr>
                </a:solidFill>
              </a:ln>
              <a:effectLst/>
            </c:spPr>
            <c:extLst>
              <c:ext xmlns:c16="http://schemas.microsoft.com/office/drawing/2014/chart" uri="{C3380CC4-5D6E-409C-BE32-E72D297353CC}">
                <c16:uniqueId val="{0000000F-1B88-468F-B926-1611BD07E22A}"/>
              </c:ext>
            </c:extLst>
          </c:dPt>
          <c:dPt>
            <c:idx val="8"/>
            <c:bubble3D val="0"/>
            <c:spPr>
              <a:solidFill>
                <a:schemeClr val="accent6">
                  <a:tint val="90000"/>
                </a:schemeClr>
              </a:solidFill>
              <a:ln>
                <a:solidFill>
                  <a:schemeClr val="tx1">
                    <a:lumMod val="50000"/>
                    <a:lumOff val="50000"/>
                  </a:schemeClr>
                </a:solidFill>
              </a:ln>
              <a:effectLst/>
            </c:spPr>
            <c:extLst>
              <c:ext xmlns:c16="http://schemas.microsoft.com/office/drawing/2014/chart" uri="{C3380CC4-5D6E-409C-BE32-E72D297353CC}">
                <c16:uniqueId val="{00000011-1B88-468F-B926-1611BD07E22A}"/>
              </c:ext>
            </c:extLst>
          </c:dPt>
          <c:dLbls>
            <c:dLbl>
              <c:idx val="0"/>
              <c:layout>
                <c:manualLayout>
                  <c:x val="-2.1271811534300133E-2"/>
                  <c:y val="-0.16375537564846648"/>
                </c:manualLayout>
              </c:layout>
              <c:spPr>
                <a:noFill/>
                <a:ln>
                  <a:noFill/>
                </a:ln>
                <a:effectLst/>
              </c:spPr>
              <c:txPr>
                <a:bodyPr rot="0" spcFirstLastPara="1" vertOverflow="ellipsis" vert="horz" wrap="square" lIns="38100" tIns="19050" rIns="38100" bIns="19050" anchor="ctr" anchorCtr="1">
                  <a:noAutofit/>
                </a:bodyPr>
                <a:lstStyle/>
                <a:p>
                  <a:pPr>
                    <a:defRPr sz="1050" b="0" i="0" u="none" strike="noStrike" kern="120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9187415618446966"/>
                      <c:h val="0.26902320308552979"/>
                    </c:manualLayout>
                  </c15:layout>
                </c:ext>
                <c:ext xmlns:c16="http://schemas.microsoft.com/office/drawing/2014/chart" uri="{C3380CC4-5D6E-409C-BE32-E72D297353CC}">
                  <c16:uniqueId val="{00000001-1B88-468F-B926-1611BD07E22A}"/>
                </c:ext>
              </c:extLst>
            </c:dLbl>
            <c:dLbl>
              <c:idx val="1"/>
              <c:layout>
                <c:manualLayout>
                  <c:x val="0.32644481965088779"/>
                  <c:y val="-1.1435190319519919E-2"/>
                </c:manualLayout>
              </c:layout>
              <c:spPr>
                <a:noFill/>
                <a:ln>
                  <a:noFill/>
                </a:ln>
                <a:effectLst/>
              </c:spPr>
              <c:txPr>
                <a:bodyPr rot="0" spcFirstLastPara="1" vertOverflow="ellipsis" vert="horz" wrap="square" lIns="38100" tIns="19050" rIns="38100" bIns="19050" anchor="ctr" anchorCtr="1">
                  <a:noAutofit/>
                </a:bodyPr>
                <a:lstStyle/>
                <a:p>
                  <a:pPr>
                    <a:defRPr sz="1050" b="0" i="0" u="none" strike="noStrike" kern="120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30805470924174677"/>
                      <c:h val="0.29403324584426949"/>
                    </c:manualLayout>
                  </c15:layout>
                </c:ext>
                <c:ext xmlns:c16="http://schemas.microsoft.com/office/drawing/2014/chart" uri="{C3380CC4-5D6E-409C-BE32-E72D297353CC}">
                  <c16:uniqueId val="{00000003-1B88-468F-B926-1611BD07E22A}"/>
                </c:ext>
              </c:extLst>
            </c:dLbl>
            <c:dLbl>
              <c:idx val="2"/>
              <c:layout>
                <c:manualLayout>
                  <c:x val="2.0566995159842456E-2"/>
                  <c:y val="4.9041933138639367E-2"/>
                </c:manualLayout>
              </c:layout>
              <c:spPr>
                <a:noFill/>
                <a:ln>
                  <a:noFill/>
                </a:ln>
                <a:effectLst/>
              </c:spPr>
              <c:txPr>
                <a:bodyPr rot="0" spcFirstLastPara="1" vertOverflow="ellipsis" vert="horz" wrap="square" lIns="38100" tIns="19050" rIns="38100" bIns="19050" anchor="ctr" anchorCtr="1">
                  <a:noAutofit/>
                </a:bodyPr>
                <a:lstStyle/>
                <a:p>
                  <a:pPr>
                    <a:defRPr sz="1050" b="0" i="0" u="none" strike="noStrike" kern="120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7951997520410449"/>
                      <c:h val="0.2726509186351706"/>
                    </c:manualLayout>
                  </c15:layout>
                </c:ext>
                <c:ext xmlns:c16="http://schemas.microsoft.com/office/drawing/2014/chart" uri="{C3380CC4-5D6E-409C-BE32-E72D297353CC}">
                  <c16:uniqueId val="{00000005-1B88-468F-B926-1611BD07E22A}"/>
                </c:ext>
              </c:extLst>
            </c:dLbl>
            <c:dLbl>
              <c:idx val="3"/>
              <c:layout>
                <c:manualLayout>
                  <c:x val="2.9111835280825E-3"/>
                  <c:y val="-1.1849223072468629E-3"/>
                </c:manualLayout>
              </c:layout>
              <c:spPr>
                <a:noFill/>
                <a:ln>
                  <a:noFill/>
                </a:ln>
                <a:effectLst/>
              </c:spPr>
              <c:txPr>
                <a:bodyPr rot="0" spcFirstLastPara="1" vertOverflow="ellipsis" vert="horz" wrap="square" lIns="38100" tIns="19050" rIns="38100" bIns="19050" anchor="ctr" anchorCtr="1">
                  <a:noAutofit/>
                </a:bodyPr>
                <a:lstStyle/>
                <a:p>
                  <a:pPr>
                    <a:defRPr sz="1050" b="0" i="0" u="none" strike="noStrike" kern="120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rect">
                      <a:avLst/>
                    </a:prstGeom>
                    <a:noFill/>
                    <a:ln>
                      <a:noFill/>
                    </a:ln>
                  </c15:spPr>
                  <c15:layout>
                    <c:manualLayout>
                      <c:w val="0.28973608198472678"/>
                      <c:h val="0.36701046172045398"/>
                    </c:manualLayout>
                  </c15:layout>
                </c:ext>
                <c:ext xmlns:c16="http://schemas.microsoft.com/office/drawing/2014/chart" uri="{C3380CC4-5D6E-409C-BE32-E72D297353CC}">
                  <c16:uniqueId val="{00000007-1B88-468F-B926-1611BD07E22A}"/>
                </c:ext>
              </c:extLst>
            </c:dLbl>
            <c:dLbl>
              <c:idx val="4"/>
              <c:layout>
                <c:manualLayout>
                  <c:x val="4.024780647858799E-4"/>
                  <c:y val="-9.3501903811319356E-2"/>
                </c:manualLayout>
              </c:layout>
              <c:spPr>
                <a:noFill/>
                <a:ln>
                  <a:noFill/>
                </a:ln>
                <a:effectLst/>
              </c:spPr>
              <c:txPr>
                <a:bodyPr rot="0" spcFirstLastPara="1" vertOverflow="ellipsis" vert="horz" wrap="square" lIns="38100" tIns="19050" rIns="38100" bIns="19050" anchor="ctr" anchorCtr="1">
                  <a:noAutofit/>
                </a:bodyPr>
                <a:lstStyle/>
                <a:p>
                  <a:pPr>
                    <a:defRPr sz="1050" b="0" i="0" u="none" strike="noStrike" kern="120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spPr xmlns:c15="http://schemas.microsoft.com/office/drawing/2012/chart">
                    <a:prstGeom prst="rect">
                      <a:avLst/>
                    </a:prstGeom>
                    <a:noFill/>
                    <a:ln>
                      <a:noFill/>
                    </a:ln>
                  </c15:spPr>
                  <c15:layout>
                    <c:manualLayout>
                      <c:w val="0.35702613075270739"/>
                      <c:h val="0.20677929343339124"/>
                    </c:manualLayout>
                  </c15:layout>
                </c:ext>
                <c:ext xmlns:c16="http://schemas.microsoft.com/office/drawing/2014/chart" uri="{C3380CC4-5D6E-409C-BE32-E72D297353CC}">
                  <c16:uniqueId val="{00000009-1B88-468F-B926-1611BD07E22A}"/>
                </c:ext>
              </c:extLst>
            </c:dLbl>
            <c:dLbl>
              <c:idx val="5"/>
              <c:layout>
                <c:manualLayout>
                  <c:x val="0.10357745867498228"/>
                  <c:y val="-3.255702192155558E-2"/>
                </c:manualLayout>
              </c:layout>
              <c:spPr>
                <a:noFill/>
                <a:ln>
                  <a:noFill/>
                </a:ln>
                <a:effectLst/>
              </c:spPr>
              <c:txPr>
                <a:bodyPr rot="0" spcFirstLastPara="1" vertOverflow="ellipsis" vert="horz" wrap="square" lIns="38100" tIns="19050" rIns="38100" bIns="19050" anchor="ctr" anchorCtr="1">
                  <a:noAutofit/>
                </a:bodyPr>
                <a:lstStyle/>
                <a:p>
                  <a:pPr>
                    <a:defRPr sz="1050" b="0" i="0" u="none" strike="noStrike" kern="120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1133795022610125"/>
                      <c:h val="7.7315194755585112E-2"/>
                    </c:manualLayout>
                  </c15:layout>
                </c:ext>
                <c:ext xmlns:c16="http://schemas.microsoft.com/office/drawing/2014/chart" uri="{C3380CC4-5D6E-409C-BE32-E72D297353CC}">
                  <c16:uniqueId val="{0000000B-1B88-468F-B926-1611BD07E22A}"/>
                </c:ext>
              </c:extLst>
            </c:dLbl>
            <c:dLbl>
              <c:idx val="6"/>
              <c:layout>
                <c:manualLayout>
                  <c:x val="1.5811276602472884E-7"/>
                  <c:y val="-4.0366468275972657E-2"/>
                </c:manualLayout>
              </c:layout>
              <c:spPr>
                <a:noFill/>
                <a:ln>
                  <a:noFill/>
                </a:ln>
                <a:effectLst/>
              </c:spPr>
              <c:txPr>
                <a:bodyPr rot="0" spcFirstLastPara="1" vertOverflow="ellipsis" vert="horz" wrap="square" lIns="38100" tIns="19050" rIns="38100" bIns="19050" anchor="ctr" anchorCtr="1">
                  <a:noAutofit/>
                </a:bodyPr>
                <a:lstStyle/>
                <a:p>
                  <a:pPr>
                    <a:defRPr sz="1050" b="0" i="0" u="none" strike="noStrike" kern="120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rect">
                      <a:avLst/>
                    </a:prstGeom>
                    <a:noFill/>
                    <a:ln>
                      <a:noFill/>
                    </a:ln>
                  </c15:spPr>
                  <c15:layout>
                    <c:manualLayout>
                      <c:w val="0.30400436391234226"/>
                      <c:h val="8.6639310931204E-2"/>
                    </c:manualLayout>
                  </c15:layout>
                </c:ext>
                <c:ext xmlns:c16="http://schemas.microsoft.com/office/drawing/2014/chart" uri="{C3380CC4-5D6E-409C-BE32-E72D297353CC}">
                  <c16:uniqueId val="{0000000D-1B88-468F-B926-1611BD07E22A}"/>
                </c:ext>
              </c:extLst>
            </c:dLbl>
            <c:dLbl>
              <c:idx val="7"/>
              <c:layout>
                <c:manualLayout>
                  <c:x val="-1.0681782247098644E-2"/>
                  <c:y val="-7.5843631720601046E-2"/>
                </c:manualLayout>
              </c:layout>
              <c:spPr>
                <a:noFill/>
                <a:ln>
                  <a:noFill/>
                </a:ln>
                <a:effectLst/>
              </c:spPr>
              <c:txPr>
                <a:bodyPr rot="0" spcFirstLastPara="1" vertOverflow="ellipsis" vert="horz" wrap="square" lIns="38100" tIns="19050" rIns="38100" bIns="19050" anchor="ctr" anchorCtr="1">
                  <a:noAutofit/>
                </a:bodyPr>
                <a:lstStyle/>
                <a:p>
                  <a:pPr>
                    <a:defRPr sz="1050" b="0" i="0" u="none" strike="noStrike" kern="120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5822629099073457"/>
                      <c:h val="8.8580828804850104E-2"/>
                    </c:manualLayout>
                  </c15:layout>
                </c:ext>
                <c:ext xmlns:c16="http://schemas.microsoft.com/office/drawing/2014/chart" uri="{C3380CC4-5D6E-409C-BE32-E72D297353CC}">
                  <c16:uniqueId val="{0000000F-1B88-468F-B926-1611BD07E22A}"/>
                </c:ext>
              </c:extLst>
            </c:dLbl>
            <c:dLbl>
              <c:idx val="8"/>
              <c:spPr>
                <a:noFill/>
                <a:ln>
                  <a:noFill/>
                </a:ln>
                <a:effectLst/>
              </c:spPr>
              <c:txPr>
                <a:bodyPr rot="0" spcFirstLastPara="1" vertOverflow="ellipsis" vert="horz" wrap="square" lIns="38100" tIns="19050" rIns="38100" bIns="19050" anchor="ctr" anchorCtr="1">
                  <a:noAutofit/>
                </a:bodyPr>
                <a:lstStyle/>
                <a:p>
                  <a:pPr>
                    <a:defRPr sz="1050" b="0" i="0" u="none" strike="noStrike" kern="1200" baseline="0">
                      <a:solidFill>
                        <a:sysClr val="windowText" lastClr="000000"/>
                      </a:solidFill>
                      <a:latin typeface="+mn-lt"/>
                      <a:ea typeface="+mn-ea"/>
                      <a:cs typeface="+mn-cs"/>
                    </a:defRPr>
                  </a:pPr>
                  <a:endParaRPr lang="en-US"/>
                </a:p>
              </c:txPr>
              <c:dLblPos val="outEnd"/>
              <c:showLegendKey val="0"/>
              <c:showVal val="0"/>
              <c:showCatName val="1"/>
              <c:showSerName val="0"/>
              <c:showPercent val="1"/>
              <c:showBubbleSize val="0"/>
              <c:separator> </c:separator>
              <c:extLst>
                <c:ext xmlns:c15="http://schemas.microsoft.com/office/drawing/2012/chart" uri="{CE6537A1-D6FC-4f65-9D91-7224C49458BB}">
                  <c15:layout>
                    <c:manualLayout>
                      <c:w val="0.22034120734908136"/>
                      <c:h val="0.1104225352112676"/>
                    </c:manualLayout>
                  </c15:layout>
                </c:ext>
                <c:ext xmlns:c16="http://schemas.microsoft.com/office/drawing/2014/chart" uri="{C3380CC4-5D6E-409C-BE32-E72D297353CC}">
                  <c16:uniqueId val="{00000011-1B88-468F-B926-1611BD07E22A}"/>
                </c:ext>
              </c:extLst>
            </c:dLbl>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mn-lt"/>
                    <a:ea typeface="+mn-ea"/>
                    <a:cs typeface="+mn-cs"/>
                  </a:defRPr>
                </a:pPr>
                <a:endParaRPr lang="en-US"/>
              </a:p>
            </c:txPr>
            <c:dLblPos val="outEnd"/>
            <c:showLegendKey val="0"/>
            <c:showVal val="0"/>
            <c:showCatName val="1"/>
            <c:showSerName val="0"/>
            <c:showPercent val="1"/>
            <c:showBubbleSize val="0"/>
            <c:separator> </c:separator>
            <c:showLeaderLines val="1"/>
            <c:leaderLines>
              <c:spPr>
                <a:ln w="9525" cap="flat" cmpd="sng" algn="ctr">
                  <a:solidFill>
                    <a:schemeClr val="tx1">
                      <a:lumMod val="50000"/>
                      <a:lumOff val="50000"/>
                    </a:schemeClr>
                  </a:solidFill>
                  <a:prstDash val="solid"/>
                  <a:round/>
                </a:ln>
                <a:effectLst/>
              </c:spPr>
            </c:leaderLines>
            <c:extLst>
              <c:ext xmlns:c15="http://schemas.microsoft.com/office/drawing/2012/chart" uri="{CE6537A1-D6FC-4f65-9D91-7224C49458BB}"/>
            </c:extLst>
          </c:dLbls>
          <c:cat>
            <c:strRef>
              <c:f>Sheet1!$A$2:$A$7</c:f>
              <c:strCache>
                <c:ptCount val="6"/>
                <c:pt idx="0">
                  <c:v>Medical, surgical instr.</c:v>
                </c:pt>
                <c:pt idx="1">
                  <c:v>Orthopedic, artificial body parts</c:v>
                </c:pt>
                <c:pt idx="2">
                  <c:v>Measuring, checking instr.</c:v>
                </c:pt>
                <c:pt idx="3">
                  <c:v>Measuring, checking instr. for flow, level</c:v>
                </c:pt>
                <c:pt idx="4">
                  <c:v>Physical or analytical instr.</c:v>
                </c:pt>
                <c:pt idx="5">
                  <c:v>Other</c:v>
                </c:pt>
              </c:strCache>
            </c:strRef>
          </c:cat>
          <c:val>
            <c:numRef>
              <c:f>Sheet1!$B$2:$B$7</c:f>
              <c:numCache>
                <c:formatCode>#,##0</c:formatCode>
                <c:ptCount val="6"/>
                <c:pt idx="0">
                  <c:v>409582847</c:v>
                </c:pt>
                <c:pt idx="1">
                  <c:v>245444582</c:v>
                </c:pt>
                <c:pt idx="2">
                  <c:v>101109893</c:v>
                </c:pt>
                <c:pt idx="3">
                  <c:v>82945839</c:v>
                </c:pt>
                <c:pt idx="4">
                  <c:v>82787887</c:v>
                </c:pt>
                <c:pt idx="5">
                  <c:v>133804654</c:v>
                </c:pt>
              </c:numCache>
            </c:numRef>
          </c:val>
          <c:extLst>
            <c:ext xmlns:c16="http://schemas.microsoft.com/office/drawing/2014/chart" uri="{C3380CC4-5D6E-409C-BE32-E72D297353CC}">
              <c16:uniqueId val="{00000012-1B88-468F-B926-1611BD07E22A}"/>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noFill/>
    <a:ln w="3175" cap="flat" cmpd="sng" algn="ctr">
      <a:noFill/>
      <a:prstDash val="solid"/>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9">
  <a:schemeClr val="accent6"/>
</cs:colorStyle>
</file>

<file path=word/charts/style1.xml><?xml version="1.0" encoding="utf-8"?>
<cs:chartStyle xmlns:cs="http://schemas.microsoft.com/office/drawing/2012/chartStyle" xmlns:a="http://schemas.openxmlformats.org/drawingml/2006/main" id="103">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mods="ignoreCSTransforms">
      <cs:styleClr val="0">
        <a:shade val="25000"/>
      </cs:styl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mods="ignoreCSTransforms">
      <cs:styleClr val="0">
        <a:tint val="25000"/>
      </cs:styl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B6C44-9FF8-492D-ADB5-283AD1E5C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895</TotalTime>
  <Pages>2</Pages>
  <Words>653</Words>
  <Characters>3727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Minnesota Quarterly Export Statistics, 1st Quarter 2022</vt:lpstr>
    </vt:vector>
  </TitlesOfParts>
  <Company>MN DEED</Company>
  <LinksUpToDate>false</LinksUpToDate>
  <CharactersWithSpaces>4372</CharactersWithSpaces>
  <SharedDoc>false</SharedDoc>
  <HLinks>
    <vt:vector size="12" baseType="variant">
      <vt:variant>
        <vt:i4>6488181</vt:i4>
      </vt:variant>
      <vt:variant>
        <vt:i4>9</vt:i4>
      </vt:variant>
      <vt:variant>
        <vt:i4>0</vt:i4>
      </vt:variant>
      <vt:variant>
        <vt:i4>5</vt:i4>
      </vt:variant>
      <vt:variant>
        <vt:lpwstr>http://www.deed.state.mn.us/facts/manufacturing.htm</vt:lpwstr>
      </vt:variant>
      <vt:variant>
        <vt:lpwstr/>
      </vt:variant>
      <vt:variant>
        <vt:i4>3211383</vt:i4>
      </vt:variant>
      <vt:variant>
        <vt:i4>6</vt:i4>
      </vt:variant>
      <vt:variant>
        <vt:i4>0</vt:i4>
      </vt:variant>
      <vt:variant>
        <vt:i4>5</vt:i4>
      </vt:variant>
      <vt:variant>
        <vt:lpwstr>http://www.exportminnesota.com/itradestats.htm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Quarterly Export Statistics, 1st Quarter 2022</dc:title>
  <dc:subject>Minnesota Quarterly Export Statistics</dc:subject>
  <dc:creator>Economic Analysis Unit (T. Ho-Kim)</dc:creator>
  <dc:description>1st Quarter 2022</dc:description>
  <cp:lastModifiedBy>Ho-Kim, Thu-Mai (DEED)</cp:lastModifiedBy>
  <cp:revision>26</cp:revision>
  <cp:lastPrinted>2021-02-10T19:09:00Z</cp:lastPrinted>
  <dcterms:created xsi:type="dcterms:W3CDTF">2022-05-06T18:06:00Z</dcterms:created>
  <dcterms:modified xsi:type="dcterms:W3CDTF">2023-05-16T16:58:00Z</dcterms:modified>
</cp:coreProperties>
</file>