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081E" w14:textId="1537BD4F" w:rsidR="00A30328" w:rsidRDefault="00D94144" w:rsidP="00D84668">
      <w:pPr>
        <w:tabs>
          <w:tab w:val="left" w:pos="360"/>
          <w:tab w:val="left" w:pos="6660"/>
        </w:tabs>
        <w:spacing w:after="0"/>
        <w:jc w:val="center"/>
      </w:pPr>
      <w:r w:rsidRPr="00AB54EE">
        <w:rPr>
          <w:noProof/>
        </w:rPr>
        <w:drawing>
          <wp:inline distT="0" distB="0" distL="0" distR="0" wp14:anchorId="56C97FEB" wp14:editId="166644DC">
            <wp:extent cx="6309360" cy="1103630"/>
            <wp:effectExtent l="0" t="0" r="0" b="1270"/>
            <wp:docPr id="3" name="Picture 3" descr="MN Export statistics header banner.&#10;Data on Minnesota Exports for Third Quarter 2023 – Published December 2023&#10;For More Information: Mary Haugen (mary.haugen@state.m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N Export statistics header banner.&#10;Data on Minnesota Exports for Third Quarter 2023 – Published December 2023&#10;For More Information: Mary Haugen (mary.haugen@state.mn.us)"/>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p>
    <w:p w14:paraId="280C54B8" w14:textId="77777777" w:rsidR="00D84668" w:rsidRPr="00B577E0" w:rsidRDefault="00D84668" w:rsidP="00D84668">
      <w:pPr>
        <w:pStyle w:val="NoSpacing"/>
        <w:jc w:val="center"/>
        <w:rPr>
          <w:rStyle w:val="Emphasis"/>
          <w:b/>
        </w:rPr>
      </w:pPr>
      <w:r w:rsidRPr="00B577E0">
        <w:rPr>
          <w:rStyle w:val="Emphasis"/>
          <w:b/>
        </w:rPr>
        <w:t>Dat</w:t>
      </w:r>
      <w:r>
        <w:rPr>
          <w:rStyle w:val="Emphasis"/>
          <w:b/>
        </w:rPr>
        <w:t>a on Minnesota Exports for Third Quarter 2023 – Published December 2023</w:t>
      </w:r>
    </w:p>
    <w:p w14:paraId="7C1ADAF3" w14:textId="77777777" w:rsidR="00D84668" w:rsidRPr="0034753B" w:rsidRDefault="00D84668" w:rsidP="00D84668">
      <w:pPr>
        <w:pStyle w:val="NoSpacing"/>
        <w:jc w:val="center"/>
        <w:rPr>
          <w:rStyle w:val="Emphasis"/>
          <w:b/>
          <w:bCs/>
        </w:rPr>
      </w:pPr>
      <w:r>
        <w:rPr>
          <w:rStyle w:val="Emphasis"/>
          <w:b/>
        </w:rPr>
        <w:t>For More Information</w:t>
      </w:r>
      <w:r w:rsidRPr="007818E5">
        <w:rPr>
          <w:rStyle w:val="Emphasis"/>
        </w:rPr>
        <w:t xml:space="preserve">: </w:t>
      </w:r>
      <w:r w:rsidRPr="0034753B">
        <w:rPr>
          <w:b/>
          <w:bCs/>
          <w:i/>
          <w:iCs/>
        </w:rPr>
        <w:t>Mary Haugen (mary.haugen@state.mn.us)</w:t>
      </w:r>
    </w:p>
    <w:p w14:paraId="18DCA261" w14:textId="5C74C9F9" w:rsidR="00641D3B" w:rsidRPr="00AB54EE" w:rsidRDefault="00264CC3" w:rsidP="00D84668">
      <w:pPr>
        <w:pStyle w:val="Heading1"/>
        <w:spacing w:before="120"/>
        <w:rPr>
          <w:rFonts w:asciiTheme="minorHAnsi" w:hAnsiTheme="minorHAnsi"/>
          <w:color w:val="auto"/>
          <w:sz w:val="36"/>
          <w:szCs w:val="30"/>
        </w:rPr>
        <w:sectPr w:rsidR="00641D3B" w:rsidRPr="00AB54EE" w:rsidSect="00FE15EB">
          <w:headerReference w:type="even" r:id="rId9"/>
          <w:headerReference w:type="default" r:id="rId10"/>
          <w:footerReference w:type="even" r:id="rId11"/>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r>
        <w:rPr>
          <w:rFonts w:asciiTheme="minorHAnsi" w:hAnsiTheme="minorHAnsi"/>
          <w:color w:val="auto"/>
          <w:sz w:val="36"/>
          <w:szCs w:val="30"/>
        </w:rPr>
        <w:t xml:space="preserve">Drop in </w:t>
      </w:r>
      <w:r w:rsidR="00A00283">
        <w:rPr>
          <w:rFonts w:asciiTheme="minorHAnsi" w:hAnsiTheme="minorHAnsi"/>
          <w:color w:val="auto"/>
          <w:sz w:val="36"/>
          <w:szCs w:val="30"/>
        </w:rPr>
        <w:t>Mineral Fuel</w:t>
      </w:r>
      <w:r w:rsidR="000C4ED2">
        <w:rPr>
          <w:rFonts w:asciiTheme="minorHAnsi" w:hAnsiTheme="minorHAnsi"/>
          <w:color w:val="auto"/>
          <w:sz w:val="36"/>
          <w:szCs w:val="30"/>
        </w:rPr>
        <w:t xml:space="preserve"> and Oil</w:t>
      </w:r>
      <w:r w:rsidR="00A00283">
        <w:rPr>
          <w:rFonts w:asciiTheme="minorHAnsi" w:hAnsiTheme="minorHAnsi"/>
          <w:color w:val="auto"/>
          <w:sz w:val="36"/>
          <w:szCs w:val="30"/>
        </w:rPr>
        <w:t xml:space="preserve"> </w:t>
      </w:r>
      <w:r>
        <w:rPr>
          <w:rFonts w:asciiTheme="minorHAnsi" w:hAnsiTheme="minorHAnsi"/>
          <w:color w:val="auto"/>
          <w:sz w:val="36"/>
          <w:szCs w:val="30"/>
        </w:rPr>
        <w:t xml:space="preserve">Exports </w:t>
      </w:r>
      <w:r w:rsidR="00A00283">
        <w:rPr>
          <w:rFonts w:asciiTheme="minorHAnsi" w:hAnsiTheme="minorHAnsi"/>
          <w:color w:val="auto"/>
          <w:sz w:val="36"/>
          <w:szCs w:val="30"/>
        </w:rPr>
        <w:t xml:space="preserve">Drives </w:t>
      </w:r>
      <w:r w:rsidR="00FA433D" w:rsidRPr="00AB54EE">
        <w:rPr>
          <w:rFonts w:asciiTheme="minorHAnsi" w:hAnsiTheme="minorHAnsi"/>
          <w:color w:val="auto"/>
          <w:sz w:val="36"/>
          <w:szCs w:val="30"/>
        </w:rPr>
        <w:t xml:space="preserve">State Exports </w:t>
      </w:r>
      <w:r>
        <w:rPr>
          <w:rFonts w:asciiTheme="minorHAnsi" w:hAnsiTheme="minorHAnsi"/>
          <w:color w:val="auto"/>
          <w:sz w:val="36"/>
          <w:szCs w:val="30"/>
        </w:rPr>
        <w:t xml:space="preserve">Down </w:t>
      </w:r>
      <w:r w:rsidR="00637894" w:rsidRPr="00AB54EE">
        <w:rPr>
          <w:rFonts w:asciiTheme="minorHAnsi" w:hAnsiTheme="minorHAnsi"/>
          <w:color w:val="auto"/>
          <w:sz w:val="36"/>
          <w:szCs w:val="30"/>
        </w:rPr>
        <w:t>17</w:t>
      </w:r>
      <w:r w:rsidR="00FA433D" w:rsidRPr="00AB54EE">
        <w:rPr>
          <w:rFonts w:asciiTheme="minorHAnsi" w:hAnsiTheme="minorHAnsi"/>
          <w:color w:val="auto"/>
          <w:sz w:val="36"/>
          <w:szCs w:val="30"/>
        </w:rPr>
        <w:t>%</w:t>
      </w:r>
      <w:r w:rsidR="00637894" w:rsidRPr="00AB54EE">
        <w:rPr>
          <w:rFonts w:asciiTheme="minorHAnsi" w:hAnsiTheme="minorHAnsi"/>
          <w:color w:val="auto"/>
          <w:sz w:val="36"/>
          <w:szCs w:val="30"/>
        </w:rPr>
        <w:t xml:space="preserve"> </w:t>
      </w:r>
    </w:p>
    <w:p w14:paraId="2DB69746" w14:textId="2F0D3897" w:rsidR="00F20245" w:rsidRPr="00AB54EE" w:rsidRDefault="007F1C4A" w:rsidP="00044ED9">
      <w:pPr>
        <w:pStyle w:val="ListParagraph"/>
        <w:numPr>
          <w:ilvl w:val="0"/>
          <w:numId w:val="9"/>
        </w:numPr>
        <w:spacing w:before="60" w:after="0"/>
      </w:pPr>
      <w:r w:rsidRPr="00AB54EE">
        <w:t>Minnesota exports</w:t>
      </w:r>
      <w:r w:rsidR="00F20245" w:rsidRPr="00AB54EE">
        <w:t xml:space="preserve"> of goods</w:t>
      </w:r>
      <w:r w:rsidRPr="00AB54EE">
        <w:t xml:space="preserve"> (incl</w:t>
      </w:r>
      <w:r w:rsidR="004C6288" w:rsidRPr="00AB54EE">
        <w:t>uding</w:t>
      </w:r>
      <w:r w:rsidRPr="00AB54EE">
        <w:t xml:space="preserve"> agricultural, </w:t>
      </w:r>
      <w:proofErr w:type="gramStart"/>
      <w:r w:rsidRPr="00AB54EE">
        <w:t>mining</w:t>
      </w:r>
      <w:proofErr w:type="gramEnd"/>
      <w:r w:rsidRPr="00AB54EE">
        <w:t xml:space="preserve"> and manufact</w:t>
      </w:r>
      <w:r w:rsidR="00A02A94" w:rsidRPr="00AB54EE">
        <w:t>ured products) wer</w:t>
      </w:r>
      <w:r w:rsidR="00E92FA6" w:rsidRPr="00AB54EE">
        <w:t>e</w:t>
      </w:r>
      <w:r w:rsidR="00F20245" w:rsidRPr="00AB54EE">
        <w:t xml:space="preserve"> valued at</w:t>
      </w:r>
      <w:r w:rsidR="00E92FA6" w:rsidRPr="00AB54EE">
        <w:t xml:space="preserve"> $</w:t>
      </w:r>
      <w:r w:rsidR="00D4733E" w:rsidRPr="00AB54EE">
        <w:t>6.</w:t>
      </w:r>
      <w:r w:rsidR="002D1E09" w:rsidRPr="00AB54EE">
        <w:t>1</w:t>
      </w:r>
      <w:r w:rsidR="00C23DAA" w:rsidRPr="00AB54EE">
        <w:t xml:space="preserve"> billion</w:t>
      </w:r>
      <w:r w:rsidR="00DB304D" w:rsidRPr="00AB54EE">
        <w:t xml:space="preserve"> in the </w:t>
      </w:r>
      <w:r w:rsidR="00375ACF" w:rsidRPr="00AB54EE">
        <w:t>third quarter</w:t>
      </w:r>
      <w:r w:rsidR="00DB304D" w:rsidRPr="00AB54EE">
        <w:t xml:space="preserve"> of </w:t>
      </w:r>
      <w:r w:rsidR="00D4733E" w:rsidRPr="00AB54EE">
        <w:t>202</w:t>
      </w:r>
      <w:r w:rsidR="004C6288" w:rsidRPr="00AB54EE">
        <w:t>3</w:t>
      </w:r>
      <w:r w:rsidR="00DB304D" w:rsidRPr="00AB54EE">
        <w:t xml:space="preserve">, </w:t>
      </w:r>
      <w:r w:rsidR="00F75C80" w:rsidRPr="00AB54EE">
        <w:t xml:space="preserve">representing a </w:t>
      </w:r>
      <w:r w:rsidR="002D1E09" w:rsidRPr="00AB54EE">
        <w:t>drop</w:t>
      </w:r>
      <w:r w:rsidR="00D4733E" w:rsidRPr="00AB54EE">
        <w:t xml:space="preserve"> </w:t>
      </w:r>
      <w:r w:rsidR="00F75C80" w:rsidRPr="00AB54EE">
        <w:t>of</w:t>
      </w:r>
      <w:r w:rsidR="004C6288" w:rsidRPr="00AB54EE">
        <w:t xml:space="preserve"> </w:t>
      </w:r>
      <w:r w:rsidR="00375ACF" w:rsidRPr="00AB54EE">
        <w:t>17</w:t>
      </w:r>
      <w:r w:rsidR="007818E5" w:rsidRPr="00AB54EE">
        <w:t>%</w:t>
      </w:r>
      <w:r w:rsidR="00B5144B" w:rsidRPr="00AB54EE">
        <w:t xml:space="preserve"> (or</w:t>
      </w:r>
      <w:r w:rsidR="0087384F" w:rsidRPr="00AB54EE">
        <w:t xml:space="preserve"> </w:t>
      </w:r>
      <w:r w:rsidR="002D1E09" w:rsidRPr="00AB54EE">
        <w:t>down</w:t>
      </w:r>
      <w:r w:rsidR="00B5144B" w:rsidRPr="00AB54EE">
        <w:t xml:space="preserve"> $</w:t>
      </w:r>
      <w:r w:rsidR="00375ACF" w:rsidRPr="00AB54EE">
        <w:t>1.3</w:t>
      </w:r>
      <w:r w:rsidR="00C23DAA" w:rsidRPr="00AB54EE">
        <w:t xml:space="preserve"> </w:t>
      </w:r>
      <w:r w:rsidR="00375ACF" w:rsidRPr="00AB54EE">
        <w:t>b</w:t>
      </w:r>
      <w:r w:rsidR="00C23DAA" w:rsidRPr="00AB54EE">
        <w:t>illion</w:t>
      </w:r>
      <w:r w:rsidRPr="00AB54EE">
        <w:t xml:space="preserve">) </w:t>
      </w:r>
      <w:r w:rsidR="00FA433D" w:rsidRPr="00AB54EE">
        <w:t>over</w:t>
      </w:r>
      <w:r w:rsidR="00DB304D" w:rsidRPr="00AB54EE">
        <w:t xml:space="preserve"> </w:t>
      </w:r>
      <w:r w:rsidRPr="00AB54EE">
        <w:t xml:space="preserve">the </w:t>
      </w:r>
      <w:r w:rsidR="00375ACF" w:rsidRPr="00AB54EE">
        <w:t>third quarter</w:t>
      </w:r>
      <w:r w:rsidR="00957BCF" w:rsidRPr="00AB54EE">
        <w:t xml:space="preserve"> of </w:t>
      </w:r>
      <w:r w:rsidR="004C6288" w:rsidRPr="00AB54EE">
        <w:t>2022</w:t>
      </w:r>
      <w:r w:rsidR="00B85149" w:rsidRPr="00AB54EE">
        <w:t xml:space="preserve">. </w:t>
      </w:r>
    </w:p>
    <w:p w14:paraId="3AA839B2" w14:textId="571D8FED" w:rsidR="00375ACF" w:rsidRPr="00AB54EE" w:rsidRDefault="00C97041" w:rsidP="00375ACF">
      <w:pPr>
        <w:pStyle w:val="ListParagraph"/>
        <w:numPr>
          <w:ilvl w:val="0"/>
          <w:numId w:val="9"/>
        </w:numPr>
        <w:spacing w:before="60" w:after="0"/>
      </w:pPr>
      <w:r w:rsidRPr="00AB54EE">
        <w:t>U.S. exports</w:t>
      </w:r>
      <w:r w:rsidR="00742415" w:rsidRPr="00AB54EE">
        <w:t xml:space="preserve"> of goods</w:t>
      </w:r>
      <w:r w:rsidR="00C23DAA" w:rsidRPr="00AB54EE">
        <w:t xml:space="preserve"> </w:t>
      </w:r>
      <w:r w:rsidR="002D1E09" w:rsidRPr="00AB54EE">
        <w:t>fell</w:t>
      </w:r>
      <w:r w:rsidR="00AE3C57" w:rsidRPr="00AB54EE">
        <w:t xml:space="preserve"> </w:t>
      </w:r>
      <w:r w:rsidR="00375ACF" w:rsidRPr="00AB54EE">
        <w:t>6</w:t>
      </w:r>
      <w:r w:rsidR="007818E5" w:rsidRPr="00AB54EE">
        <w:t>%</w:t>
      </w:r>
      <w:r w:rsidR="00521967" w:rsidRPr="00AB54EE">
        <w:t xml:space="preserve"> </w:t>
      </w:r>
      <w:r w:rsidR="00B81154" w:rsidRPr="00AB54EE">
        <w:t>in</w:t>
      </w:r>
      <w:r w:rsidR="00521967" w:rsidRPr="00AB54EE">
        <w:t xml:space="preserve"> </w:t>
      </w:r>
      <w:r w:rsidR="007216E3" w:rsidRPr="00AB54EE">
        <w:t xml:space="preserve">the </w:t>
      </w:r>
      <w:r w:rsidR="00375ACF" w:rsidRPr="00AB54EE">
        <w:t>third quarter</w:t>
      </w:r>
      <w:r w:rsidR="00D4733E" w:rsidRPr="00AB54EE">
        <w:t xml:space="preserve">, </w:t>
      </w:r>
      <w:r w:rsidR="00FA433D" w:rsidRPr="00AB54EE">
        <w:t>as</w:t>
      </w:r>
      <w:r w:rsidR="00D4733E" w:rsidRPr="00AB54EE">
        <w:t xml:space="preserve"> </w:t>
      </w:r>
      <w:r w:rsidR="00EF3CF4" w:rsidRPr="00AB54EE">
        <w:t>exports</w:t>
      </w:r>
      <w:r w:rsidR="00B81154" w:rsidRPr="00AB54EE">
        <w:t xml:space="preserve"> </w:t>
      </w:r>
      <w:r w:rsidR="00EF3CF4" w:rsidRPr="00AB54EE">
        <w:t xml:space="preserve">from </w:t>
      </w:r>
      <w:r w:rsidR="00375ACF" w:rsidRPr="00AB54EE">
        <w:t>30</w:t>
      </w:r>
      <w:r w:rsidR="00AE3C57" w:rsidRPr="00AB54EE">
        <w:t xml:space="preserve"> </w:t>
      </w:r>
      <w:r w:rsidR="001625A3" w:rsidRPr="00AB54EE">
        <w:t>states</w:t>
      </w:r>
      <w:r w:rsidR="00B81154" w:rsidRPr="00AB54EE">
        <w:t xml:space="preserve"> declined</w:t>
      </w:r>
      <w:r w:rsidR="0087384F" w:rsidRPr="00AB54EE">
        <w:t xml:space="preserve"> </w:t>
      </w:r>
      <w:r w:rsidR="00EF3CF4" w:rsidRPr="00AB54EE">
        <w:t>between</w:t>
      </w:r>
      <w:r w:rsidR="00AE3C57" w:rsidRPr="00AB54EE">
        <w:t xml:space="preserve"> the</w:t>
      </w:r>
      <w:r w:rsidR="00EF3CF4" w:rsidRPr="00AB54EE">
        <w:t xml:space="preserve"> </w:t>
      </w:r>
      <w:r w:rsidR="00375ACF" w:rsidRPr="00AB54EE">
        <w:t>third quarter</w:t>
      </w:r>
      <w:r w:rsidR="00EF3CF4" w:rsidRPr="00AB54EE">
        <w:t>s</w:t>
      </w:r>
      <w:r w:rsidR="00AE3C57" w:rsidRPr="00AB54EE">
        <w:t xml:space="preserve"> of</w:t>
      </w:r>
      <w:r w:rsidR="00EF3CF4" w:rsidRPr="00AB54EE">
        <w:t xml:space="preserve"> 202</w:t>
      </w:r>
      <w:r w:rsidR="001E7619" w:rsidRPr="00AB54EE">
        <w:t>2</w:t>
      </w:r>
      <w:r w:rsidR="00EF3CF4" w:rsidRPr="00AB54EE">
        <w:t xml:space="preserve"> and</w:t>
      </w:r>
      <w:r w:rsidR="00AE3C57" w:rsidRPr="00AB54EE">
        <w:t xml:space="preserve"> </w:t>
      </w:r>
      <w:r w:rsidR="004C6288" w:rsidRPr="00AB54EE">
        <w:t>202</w:t>
      </w:r>
      <w:r w:rsidR="001E7619" w:rsidRPr="00AB54EE">
        <w:t>3</w:t>
      </w:r>
      <w:r w:rsidR="007216E3" w:rsidRPr="00AB54EE">
        <w:t>.</w:t>
      </w:r>
      <w:r w:rsidR="00375ACF" w:rsidRPr="00AB54EE">
        <w:t xml:space="preserve"> </w:t>
      </w:r>
    </w:p>
    <w:p w14:paraId="0BA56A0A" w14:textId="77777777" w:rsidR="006871D2" w:rsidRPr="00AB54EE" w:rsidRDefault="00375ACF" w:rsidP="006871D2">
      <w:pPr>
        <w:pStyle w:val="ListParagraph"/>
        <w:numPr>
          <w:ilvl w:val="0"/>
          <w:numId w:val="9"/>
        </w:numPr>
        <w:spacing w:before="60" w:after="0"/>
      </w:pPr>
      <w:r w:rsidRPr="00AB54EE">
        <w:t xml:space="preserve">For the year to date, state exports </w:t>
      </w:r>
      <w:r w:rsidR="00637894" w:rsidRPr="00AB54EE">
        <w:t xml:space="preserve">slipped </w:t>
      </w:r>
      <w:r w:rsidRPr="00AB54EE">
        <w:t xml:space="preserve">6.6% between 2022 and 2023, compared to </w:t>
      </w:r>
      <w:r w:rsidR="00637894" w:rsidRPr="00AB54EE">
        <w:t>a drop of 2.5% for the nation.</w:t>
      </w:r>
    </w:p>
    <w:p w14:paraId="48CE497C" w14:textId="03C415F8" w:rsidR="006871D2" w:rsidRPr="00AB54EE" w:rsidRDefault="00692D3B" w:rsidP="006871D2">
      <w:pPr>
        <w:pStyle w:val="ListParagraph"/>
        <w:numPr>
          <w:ilvl w:val="0"/>
          <w:numId w:val="9"/>
        </w:numPr>
        <w:spacing w:before="60" w:after="0"/>
        <w:rPr>
          <w:szCs w:val="24"/>
        </w:rPr>
      </w:pPr>
      <w:r w:rsidRPr="00AB54EE">
        <w:t>Minnesota</w:t>
      </w:r>
      <w:r w:rsidR="007216E3" w:rsidRPr="00AB54EE">
        <w:t>’s</w:t>
      </w:r>
      <w:r w:rsidRPr="00AB54EE">
        <w:t xml:space="preserve"> manufactured</w:t>
      </w:r>
      <w:r w:rsidR="001F7EBF" w:rsidRPr="00AB54EE">
        <w:t xml:space="preserve"> exports</w:t>
      </w:r>
      <w:r w:rsidR="00DD736C" w:rsidRPr="00AB54EE">
        <w:t xml:space="preserve"> </w:t>
      </w:r>
      <w:r w:rsidR="00B81154" w:rsidRPr="00AB54EE">
        <w:t>slid</w:t>
      </w:r>
      <w:r w:rsidR="00EF3CF4" w:rsidRPr="00AB54EE">
        <w:t xml:space="preserve"> 1</w:t>
      </w:r>
      <w:r w:rsidR="00637894" w:rsidRPr="00AB54EE">
        <w:t>6</w:t>
      </w:r>
      <w:r w:rsidR="00EF3CF4" w:rsidRPr="00AB54EE">
        <w:t>%</w:t>
      </w:r>
      <w:r w:rsidR="00C97041" w:rsidRPr="00AB54EE">
        <w:t xml:space="preserve"> to </w:t>
      </w:r>
      <w:r w:rsidR="00956763" w:rsidRPr="00AB54EE">
        <w:t>$</w:t>
      </w:r>
      <w:r w:rsidR="00EF3CF4" w:rsidRPr="00AB54EE">
        <w:t>5.</w:t>
      </w:r>
      <w:r w:rsidR="00637894" w:rsidRPr="00AB54EE">
        <w:t>3</w:t>
      </w:r>
      <w:r w:rsidR="004A3CC9" w:rsidRPr="00AB54EE">
        <w:t xml:space="preserve"> billion</w:t>
      </w:r>
      <w:r w:rsidRPr="00AB54EE">
        <w:t xml:space="preserve"> </w:t>
      </w:r>
      <w:r w:rsidR="007F1C4A" w:rsidRPr="00AB54EE">
        <w:t xml:space="preserve">in the </w:t>
      </w:r>
      <w:r w:rsidR="00375ACF" w:rsidRPr="00AB54EE">
        <w:t>third quarter</w:t>
      </w:r>
      <w:r w:rsidR="007F1C4A" w:rsidRPr="00AB54EE">
        <w:t xml:space="preserve"> of </w:t>
      </w:r>
      <w:r w:rsidR="004C6288" w:rsidRPr="00AB54EE">
        <w:t>2023</w:t>
      </w:r>
      <w:r w:rsidR="00DE2EE4" w:rsidRPr="00AB54EE">
        <w:t>, while</w:t>
      </w:r>
      <w:r w:rsidR="00C23DAA" w:rsidRPr="00AB54EE">
        <w:t xml:space="preserve"> </w:t>
      </w:r>
      <w:r w:rsidR="00E42787" w:rsidRPr="00AB54EE">
        <w:t>U.S</w:t>
      </w:r>
      <w:r w:rsidR="00742415" w:rsidRPr="00AB54EE">
        <w:t xml:space="preserve">. manufactured exports </w:t>
      </w:r>
      <w:r w:rsidR="00EF3CF4" w:rsidRPr="00AB54EE">
        <w:t>fell</w:t>
      </w:r>
      <w:r w:rsidR="00B72D64" w:rsidRPr="00AB54EE">
        <w:t xml:space="preserve"> </w:t>
      </w:r>
      <w:r w:rsidR="00EF3CF4" w:rsidRPr="00AB54EE">
        <w:t>3</w:t>
      </w:r>
      <w:r w:rsidR="007818E5" w:rsidRPr="00AB54EE">
        <w:t>%</w:t>
      </w:r>
      <w:r w:rsidR="002E53C6" w:rsidRPr="00AB54EE">
        <w:t>.</w:t>
      </w:r>
      <w:r w:rsidR="00846556" w:rsidRPr="00AB54EE">
        <w:t xml:space="preserve">  </w:t>
      </w:r>
    </w:p>
    <w:p w14:paraId="03CA25DA" w14:textId="718CFCE1" w:rsidR="007F1C4A" w:rsidRPr="00AB54EE" w:rsidRDefault="007F1C4A" w:rsidP="006871D2">
      <w:pPr>
        <w:pStyle w:val="Heading4"/>
        <w:spacing w:before="120"/>
        <w:rPr>
          <w:rFonts w:eastAsiaTheme="minorEastAsia"/>
          <w:color w:val="auto"/>
          <w:szCs w:val="24"/>
        </w:rPr>
      </w:pPr>
      <w:r w:rsidRPr="00AB54EE">
        <w:rPr>
          <w:color w:val="auto"/>
        </w:rPr>
        <w:t xml:space="preserve">Figure </w:t>
      </w:r>
      <w:r w:rsidRPr="00AB54EE">
        <w:rPr>
          <w:color w:val="auto"/>
        </w:rPr>
        <w:fldChar w:fldCharType="begin"/>
      </w:r>
      <w:r w:rsidRPr="00AB54EE">
        <w:rPr>
          <w:color w:val="auto"/>
        </w:rPr>
        <w:instrText xml:space="preserve"> SEQ Figure \* ARABIC </w:instrText>
      </w:r>
      <w:r w:rsidRPr="00AB54EE">
        <w:rPr>
          <w:color w:val="auto"/>
        </w:rPr>
        <w:fldChar w:fldCharType="separate"/>
      </w:r>
      <w:r w:rsidR="00C430F8" w:rsidRPr="00AB54EE">
        <w:rPr>
          <w:color w:val="auto"/>
        </w:rPr>
        <w:t>1</w:t>
      </w:r>
      <w:r w:rsidRPr="00AB54EE">
        <w:rPr>
          <w:color w:val="auto"/>
        </w:rPr>
        <w:fldChar w:fldCharType="end"/>
      </w:r>
      <w:r w:rsidR="00A52415" w:rsidRPr="00AB54EE">
        <w:rPr>
          <w:color w:val="auto"/>
        </w:rPr>
        <w:t>.</w:t>
      </w:r>
      <w:r w:rsidR="00F72892" w:rsidRPr="00AB54EE">
        <w:rPr>
          <w:color w:val="auto"/>
        </w:rPr>
        <w:t xml:space="preserve"> </w:t>
      </w:r>
      <w:r w:rsidR="002E53C6" w:rsidRPr="00AB54EE">
        <w:rPr>
          <w:color w:val="auto"/>
        </w:rPr>
        <w:t>Exports</w:t>
      </w:r>
      <w:r w:rsidR="00EF3CF4" w:rsidRPr="00AB54EE">
        <w:rPr>
          <w:color w:val="auto"/>
        </w:rPr>
        <w:t xml:space="preserve"> Decline</w:t>
      </w:r>
      <w:r w:rsidR="00FA433D" w:rsidRPr="00AB54EE">
        <w:rPr>
          <w:color w:val="auto"/>
        </w:rPr>
        <w:t>d</w:t>
      </w:r>
      <w:r w:rsidR="00EF3CF4" w:rsidRPr="00AB54EE">
        <w:rPr>
          <w:color w:val="auto"/>
        </w:rPr>
        <w:t xml:space="preserve"> </w:t>
      </w:r>
      <w:r w:rsidR="002E53C6" w:rsidRPr="00AB54EE">
        <w:rPr>
          <w:color w:val="auto"/>
        </w:rPr>
        <w:t xml:space="preserve">from </w:t>
      </w:r>
      <w:r w:rsidR="00375ACF" w:rsidRPr="00AB54EE">
        <w:rPr>
          <w:color w:val="auto"/>
        </w:rPr>
        <w:t>30</w:t>
      </w:r>
      <w:r w:rsidR="00F72892" w:rsidRPr="00AB54EE">
        <w:rPr>
          <w:color w:val="auto"/>
        </w:rPr>
        <w:t xml:space="preserve"> States</w:t>
      </w:r>
      <w:r w:rsidR="00637894" w:rsidRPr="00AB54EE">
        <w:rPr>
          <w:color w:val="auto"/>
        </w:rPr>
        <w:t xml:space="preserve"> </w:t>
      </w:r>
    </w:p>
    <w:p w14:paraId="5316D7DA" w14:textId="4AA47ABC" w:rsidR="004F6D22" w:rsidRPr="00AB54EE" w:rsidRDefault="004F6D22" w:rsidP="00D4733E">
      <w:pPr>
        <w:spacing w:after="0" w:line="271" w:lineRule="auto"/>
        <w:rPr>
          <w:rStyle w:val="Heading4Char"/>
          <w:rFonts w:eastAsiaTheme="minorEastAsia" w:cstheme="minorBidi"/>
          <w:bCs w:val="0"/>
          <w:i w:val="0"/>
          <w:iCs w:val="0"/>
          <w:color w:val="auto"/>
          <w:sz w:val="22"/>
        </w:rPr>
      </w:pPr>
      <w:r w:rsidRPr="00AB54EE">
        <w:rPr>
          <w:noProof/>
        </w:rPr>
        <mc:AlternateContent>
          <mc:Choice Requires="wps">
            <w:drawing>
              <wp:anchor distT="0" distB="0" distL="114300" distR="114300" simplePos="0" relativeHeight="251658752" behindDoc="0" locked="0" layoutInCell="1" allowOverlap="1" wp14:anchorId="24E76B40" wp14:editId="2AAB8A68">
                <wp:simplePos x="0" y="0"/>
                <wp:positionH relativeFrom="margin">
                  <wp:posOffset>6013703</wp:posOffset>
                </wp:positionH>
                <wp:positionV relativeFrom="paragraph">
                  <wp:posOffset>1339544</wp:posOffset>
                </wp:positionV>
                <wp:extent cx="866775" cy="473725"/>
                <wp:effectExtent l="0" t="0" r="0" b="2540"/>
                <wp:wrapNone/>
                <wp:docPr id="307" name="Text Box 2" descr="highlight text box&#10;MN: -9%&#10;U.S.: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3725"/>
                        </a:xfrm>
                        <a:prstGeom prst="rect">
                          <a:avLst/>
                        </a:prstGeom>
                        <a:noFill/>
                        <a:ln w="9525">
                          <a:noFill/>
                          <a:miter lim="800000"/>
                          <a:headEnd/>
                          <a:tailEnd/>
                        </a:ln>
                      </wps:spPr>
                      <wps:txbx>
                        <w:txbxContent>
                          <w:p w14:paraId="60A296D5" w14:textId="2D65D8BB"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4F5EFC">
                              <w:rPr>
                                <w:b/>
                                <w:i/>
                                <w:szCs w:val="24"/>
                              </w:rPr>
                              <w:t>-</w:t>
                            </w:r>
                            <w:r w:rsidR="00637894">
                              <w:rPr>
                                <w:b/>
                                <w:i/>
                                <w:szCs w:val="24"/>
                              </w:rPr>
                              <w:t>17</w:t>
                            </w:r>
                            <w:r w:rsidRPr="00044ED9">
                              <w:rPr>
                                <w:b/>
                                <w:i/>
                                <w:szCs w:val="24"/>
                              </w:rPr>
                              <w:t>%</w:t>
                            </w:r>
                          </w:p>
                          <w:p w14:paraId="588145EA" w14:textId="56439A0F" w:rsidR="007F1C4A" w:rsidRPr="00044ED9" w:rsidRDefault="00293DCF" w:rsidP="007F1C4A">
                            <w:pPr>
                              <w:spacing w:after="0"/>
                              <w:rPr>
                                <w:b/>
                                <w:i/>
                                <w:szCs w:val="24"/>
                              </w:rPr>
                            </w:pPr>
                            <w:r w:rsidRPr="00044ED9">
                              <w:rPr>
                                <w:b/>
                                <w:i/>
                                <w:szCs w:val="24"/>
                              </w:rPr>
                              <w:t xml:space="preserve">U.S.: </w:t>
                            </w:r>
                            <w:r w:rsidR="004F5EFC">
                              <w:rPr>
                                <w:b/>
                                <w:i/>
                                <w:szCs w:val="24"/>
                              </w:rPr>
                              <w:t>-</w:t>
                            </w:r>
                            <w:r w:rsidR="00637894">
                              <w:rPr>
                                <w:b/>
                                <w:i/>
                                <w:szCs w:val="24"/>
                              </w:rPr>
                              <w:t>6</w:t>
                            </w:r>
                            <w:r w:rsidR="007F1C4A" w:rsidRPr="00044ED9">
                              <w:rPr>
                                <w:b/>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76B40" id="_x0000_t202" coordsize="21600,21600" o:spt="202" path="m,l,21600r21600,l21600,xe">
                <v:stroke joinstyle="miter"/>
                <v:path gradientshapeok="t" o:connecttype="rect"/>
              </v:shapetype>
              <v:shape id="Text Box 2" o:spid="_x0000_s1026" type="#_x0000_t202" alt="highlight text box&#10;MN: -9%&#10;U.S.: -7%&#10;" style="position:absolute;margin-left:473.5pt;margin-top:105.5pt;width:68.25pt;height:37.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" filled="f" stroked="f">
                <v:textbox>
                  <w:txbxContent>
                    <w:p w14:paraId="60A296D5" w14:textId="2D65D8BB"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4F5EFC">
                        <w:rPr>
                          <w:b/>
                          <w:i/>
                          <w:szCs w:val="24"/>
                        </w:rPr>
                        <w:t>-</w:t>
                      </w:r>
                      <w:r w:rsidR="00637894">
                        <w:rPr>
                          <w:b/>
                          <w:i/>
                          <w:szCs w:val="24"/>
                        </w:rPr>
                        <w:t>17</w:t>
                      </w:r>
                      <w:r w:rsidRPr="00044ED9">
                        <w:rPr>
                          <w:b/>
                          <w:i/>
                          <w:szCs w:val="24"/>
                        </w:rPr>
                        <w:t>%</w:t>
                      </w:r>
                    </w:p>
                    <w:p w14:paraId="588145EA" w14:textId="56439A0F" w:rsidR="007F1C4A" w:rsidRPr="00044ED9" w:rsidRDefault="00293DCF" w:rsidP="007F1C4A">
                      <w:pPr>
                        <w:spacing w:after="0"/>
                        <w:rPr>
                          <w:b/>
                          <w:i/>
                          <w:szCs w:val="24"/>
                        </w:rPr>
                      </w:pPr>
                      <w:r w:rsidRPr="00044ED9">
                        <w:rPr>
                          <w:b/>
                          <w:i/>
                          <w:szCs w:val="24"/>
                        </w:rPr>
                        <w:t xml:space="preserve">U.S.: </w:t>
                      </w:r>
                      <w:r w:rsidR="004F5EFC">
                        <w:rPr>
                          <w:b/>
                          <w:i/>
                          <w:szCs w:val="24"/>
                        </w:rPr>
                        <w:t>-</w:t>
                      </w:r>
                      <w:r w:rsidR="00637894">
                        <w:rPr>
                          <w:b/>
                          <w:i/>
                          <w:szCs w:val="24"/>
                        </w:rPr>
                        <w:t>6</w:t>
                      </w:r>
                      <w:r w:rsidR="007F1C4A" w:rsidRPr="00044ED9">
                        <w:rPr>
                          <w:b/>
                          <w:i/>
                          <w:szCs w:val="24"/>
                        </w:rPr>
                        <w:t>%</w:t>
                      </w:r>
                    </w:p>
                  </w:txbxContent>
                </v:textbox>
                <w10:wrap anchorx="margin"/>
              </v:shape>
            </w:pict>
          </mc:Fallback>
        </mc:AlternateContent>
      </w:r>
      <w:r w:rsidR="006871D2" w:rsidRPr="00AB54EE">
        <w:rPr>
          <w:noProof/>
        </w:rPr>
        <w:drawing>
          <wp:inline distT="0" distB="0" distL="0" distR="0" wp14:anchorId="402F8B64" wp14:editId="389DB462">
            <wp:extent cx="3370306" cy="1828800"/>
            <wp:effectExtent l="0" t="0" r="1905" b="0"/>
            <wp:docPr id="4" name="Picture 4" descr="State Pct Change&#10;United States -6%&#10;Minnesota -17%&#10;Alabama 6%&#10;Alaska -15%&#10;Arizona 4%&#10;Arkansas 20%&#10;California -6%&#10;Colorado -6%&#10;Connecticut 5%&#10;Delaware -13%&#10;Dist of Columbia 15%&#10;Florida -2%&#10;Georgia -1%&#10;Hawaii -39%&#10;Idaho -7%&#10;Illinois -5%&#10;Indiana 32%&#10;Iowa 0%&#10;Kansas 4%&#10;Kentucky 28%&#10;Louisiana -31%&#10;Maine -14%&#10;Maryland -8%&#10;Massachusetts 1%&#10;Michigan 15%&#10;Mississippi -16%&#10;Missouri 19%&#10;Montana 31%&#10;Nebraska -17%&#10;Nevada -3%&#10;New Hampshire -4%&#10;New Jersey -4%&#10;New Mexico -30%&#10;New York -22%&#10;North Carolina -8%&#10;North Dakota 45%&#10;Ohio -5%&#10;Oklahoma 0%&#10;Oregon -19%&#10;Pennsylvania 6%&#10;Rhode Island 13%&#10;South Carolina 22%&#10;South Dakota -2%&#10;Tennessee -2%&#10;Texas -12%&#10;Utah 11%&#10;Vermont -21%&#10;Virginia -15%&#10;Washington -1%&#10;West Virginia -40%&#10;Wisconsin 2%&#10;Wyom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Pct Change&#10;United States -6%&#10;Minnesota -17%&#10;Alabama 6%&#10;Alaska -15%&#10;Arizona 4%&#10;Arkansas 20%&#10;California -6%&#10;Colorado -6%&#10;Connecticut 5%&#10;Delaware -13%&#10;Dist of Columbia 15%&#10;Florida -2%&#10;Georgia -1%&#10;Hawaii -39%&#10;Idaho -7%&#10;Illinois -5%&#10;Indiana 32%&#10;Iowa 0%&#10;Kansas 4%&#10;Kentucky 28%&#10;Louisiana -31%&#10;Maine -14%&#10;Maryland -8%&#10;Massachusetts 1%&#10;Michigan 15%&#10;Mississippi -16%&#10;Missouri 19%&#10;Montana 31%&#10;Nebraska -17%&#10;Nevada -3%&#10;New Hampshire -4%&#10;New Jersey -4%&#10;New Mexico -30%&#10;New York -22%&#10;North Carolina -8%&#10;North Dakota 45%&#10;Ohio -5%&#10;Oklahoma 0%&#10;Oregon -19%&#10;Pennsylvania 6%&#10;Rhode Island 13%&#10;South Carolina 22%&#10;South Dakota -2%&#10;Tennessee -2%&#10;Texas -12%&#10;Utah 11%&#10;Vermont -21%&#10;Virginia -15%&#10;Washington -1%&#10;West Virginia -40%&#10;Wisconsin 2%&#10;Wyoming 9%"/>
                    <pic:cNvPicPr>
                      <a:picLocks noChangeAspect="1" noChangeArrowheads="1"/>
                    </pic:cNvPicPr>
                  </pic:nvPicPr>
                  <pic:blipFill rotWithShape="1">
                    <a:blip r:embed="rId12">
                      <a:extLst>
                        <a:ext uri="{28A0092B-C50C-407E-A947-70E740481C1C}">
                          <a14:useLocalDpi xmlns:a14="http://schemas.microsoft.com/office/drawing/2010/main" val="0"/>
                        </a:ext>
                      </a:extLst>
                    </a:blip>
                    <a:srcRect t="11445" b="13412"/>
                    <a:stretch/>
                  </pic:blipFill>
                  <pic:spPr bwMode="auto">
                    <a:xfrm>
                      <a:off x="0" y="0"/>
                      <a:ext cx="3378024" cy="1832988"/>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29FA78A6" w:rsidR="007F1C4A" w:rsidRPr="00AB54EE" w:rsidRDefault="007F1C4A" w:rsidP="007F1C4A">
      <w:pPr>
        <w:spacing w:after="0"/>
        <w:rPr>
          <w:i/>
          <w:sz w:val="18"/>
        </w:rPr>
      </w:pPr>
      <w:r w:rsidRPr="00AB54EE">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AB54EE">
        <w:rPr>
          <w:i/>
          <w:sz w:val="18"/>
        </w:rPr>
        <w:t xml:space="preserve"> Decline     0%   Growth</w:t>
      </w:r>
    </w:p>
    <w:p w14:paraId="6B23B2F3" w14:textId="40E1BED4" w:rsidR="00BE4DAD" w:rsidRPr="00AB54EE" w:rsidRDefault="00A52415" w:rsidP="00173D78">
      <w:pPr>
        <w:spacing w:after="0"/>
        <w:rPr>
          <w:rFonts w:ascii="Arial Narrow" w:hAnsi="Arial Narrow"/>
          <w:sz w:val="2"/>
          <w:szCs w:val="2"/>
        </w:rPr>
        <w:sectPr w:rsidR="00BE4DAD" w:rsidRPr="00AB54EE" w:rsidSect="00FE15EB">
          <w:footnotePr>
            <w:numRestart w:val="eachSect"/>
          </w:footnotePr>
          <w:endnotePr>
            <w:numFmt w:val="decimal"/>
          </w:endnotePr>
          <w:type w:val="continuous"/>
          <w:pgSz w:w="12240" w:h="15840" w:code="1"/>
          <w:pgMar w:top="864" w:right="1008" w:bottom="864" w:left="1008" w:header="720" w:footer="720" w:gutter="0"/>
          <w:cols w:num="2" w:space="450"/>
          <w:titlePg/>
          <w:docGrid w:linePitch="299"/>
        </w:sectPr>
      </w:pPr>
      <w:r w:rsidRPr="00AB54EE">
        <w:rPr>
          <w:rFonts w:ascii="Arial Narrow" w:hAnsi="Arial Narrow"/>
          <w:noProof/>
          <w:sz w:val="2"/>
          <w:szCs w:val="2"/>
        </w:rPr>
        <w:drawing>
          <wp:inline distT="0" distB="0" distL="0" distR="0" wp14:anchorId="5C21AFCD" wp14:editId="0405FC58">
            <wp:extent cx="1066800" cy="152400"/>
            <wp:effectExtent l="0" t="0" r="0" b="0"/>
            <wp:docPr id="7" name="Picture 7" descr="Map color legend. yellow for decline, green f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color legend. yellow for decline, green for growth"/>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57B8E9E1" w:rsidR="00E83789" w:rsidRPr="00AB54EE" w:rsidRDefault="00DC28FF" w:rsidP="00F85FA6">
      <w:pPr>
        <w:pStyle w:val="Heading2"/>
        <w:spacing w:before="120" w:after="60"/>
        <w:rPr>
          <w:rFonts w:asciiTheme="minorHAnsi" w:hAnsiTheme="minorHAnsi" w:cstheme="minorHAnsi"/>
          <w:i/>
          <w:iCs/>
          <w:color w:val="auto"/>
          <w:sz w:val="28"/>
          <w:szCs w:val="28"/>
        </w:rPr>
      </w:pPr>
      <w:r w:rsidRPr="00AB54EE">
        <w:rPr>
          <w:rFonts w:asciiTheme="minorHAnsi" w:hAnsiTheme="minorHAnsi" w:cstheme="minorHAnsi"/>
          <w:i/>
          <w:iCs/>
          <w:color w:val="auto"/>
          <w:sz w:val="28"/>
          <w:szCs w:val="28"/>
        </w:rPr>
        <w:t xml:space="preserve">Strong Growth to </w:t>
      </w:r>
      <w:r w:rsidR="004D7918" w:rsidRPr="00AB54EE">
        <w:rPr>
          <w:rFonts w:asciiTheme="minorHAnsi" w:hAnsiTheme="minorHAnsi" w:cstheme="minorHAnsi"/>
          <w:i/>
          <w:iCs/>
          <w:color w:val="auto"/>
          <w:sz w:val="28"/>
          <w:szCs w:val="28"/>
        </w:rPr>
        <w:t>Latin America</w:t>
      </w:r>
      <w:r w:rsidRPr="00AB54EE">
        <w:rPr>
          <w:rFonts w:asciiTheme="minorHAnsi" w:hAnsiTheme="minorHAnsi" w:cstheme="minorHAnsi"/>
          <w:i/>
          <w:iCs/>
          <w:color w:val="auto"/>
          <w:sz w:val="28"/>
          <w:szCs w:val="28"/>
        </w:rPr>
        <w:t xml:space="preserve">n Markets and </w:t>
      </w:r>
      <w:r w:rsidR="004D7918" w:rsidRPr="00AB54EE">
        <w:rPr>
          <w:rFonts w:asciiTheme="minorHAnsi" w:hAnsiTheme="minorHAnsi" w:cstheme="minorHAnsi"/>
          <w:i/>
          <w:iCs/>
          <w:color w:val="auto"/>
          <w:sz w:val="28"/>
          <w:szCs w:val="28"/>
        </w:rPr>
        <w:t>Australia</w:t>
      </w:r>
      <w:r w:rsidRPr="00AB54EE">
        <w:rPr>
          <w:rFonts w:asciiTheme="minorHAnsi" w:hAnsiTheme="minorHAnsi" w:cstheme="minorHAnsi"/>
          <w:i/>
          <w:iCs/>
          <w:color w:val="auto"/>
          <w:sz w:val="28"/>
          <w:szCs w:val="28"/>
        </w:rPr>
        <w:t>, Amid Widespread Decline</w:t>
      </w:r>
    </w:p>
    <w:p w14:paraId="5E66C5B5" w14:textId="7F097AED" w:rsidR="008D3756" w:rsidRPr="00AB54EE" w:rsidRDefault="00D87BD3" w:rsidP="00406747">
      <w:pPr>
        <w:pStyle w:val="ListParagraph"/>
        <w:numPr>
          <w:ilvl w:val="0"/>
          <w:numId w:val="10"/>
        </w:numPr>
        <w:spacing w:after="0"/>
        <w:ind w:right="-36"/>
      </w:pPr>
      <w:r w:rsidRPr="00AB54EE">
        <w:t>Minnesota</w:t>
      </w:r>
      <w:r w:rsidR="00136664" w:rsidRPr="00AB54EE">
        <w:t>’s e</w:t>
      </w:r>
      <w:r w:rsidR="000D02DD" w:rsidRPr="00AB54EE">
        <w:t xml:space="preserve">xports </w:t>
      </w:r>
      <w:r w:rsidR="00CC1EF1" w:rsidRPr="00AB54EE">
        <w:t xml:space="preserve">dropped sharply </w:t>
      </w:r>
      <w:r w:rsidR="00136664" w:rsidRPr="00AB54EE">
        <w:t xml:space="preserve">to </w:t>
      </w:r>
      <w:r w:rsidR="005727A5" w:rsidRPr="00AB54EE">
        <w:rPr>
          <w:b/>
          <w:bCs/>
        </w:rPr>
        <w:t>North America</w:t>
      </w:r>
      <w:r w:rsidR="00A90983" w:rsidRPr="00AB54EE">
        <w:rPr>
          <w:b/>
          <w:bCs/>
        </w:rPr>
        <w:t xml:space="preserve"> </w:t>
      </w:r>
      <w:r w:rsidR="00CC1EF1" w:rsidRPr="00AB54EE">
        <w:t>($2.4 billion, down 2</w:t>
      </w:r>
      <w:r w:rsidR="00410B76" w:rsidRPr="00AB54EE">
        <w:t>6</w:t>
      </w:r>
      <w:r w:rsidR="00CC1EF1" w:rsidRPr="00AB54EE">
        <w:t>%</w:t>
      </w:r>
      <w:r w:rsidR="002C3BBC" w:rsidRPr="00AB54EE">
        <w:t>)</w:t>
      </w:r>
      <w:r w:rsidR="00410B76" w:rsidRPr="00AB54EE">
        <w:t xml:space="preserve">, despite solid growth to </w:t>
      </w:r>
      <w:r w:rsidR="00410B76" w:rsidRPr="00AB54EE">
        <w:rPr>
          <w:b/>
          <w:bCs/>
        </w:rPr>
        <w:t>Mexico</w:t>
      </w:r>
      <w:r w:rsidR="00410B76" w:rsidRPr="00AB54EE">
        <w:t xml:space="preserve"> (up 15%).</w:t>
      </w:r>
      <w:r w:rsidR="008D3756" w:rsidRPr="00AB54EE">
        <w:t xml:space="preserve"> </w:t>
      </w:r>
      <w:r w:rsidR="00B81154" w:rsidRPr="00AB54EE">
        <w:t>S</w:t>
      </w:r>
      <w:r w:rsidR="00406747" w:rsidRPr="00AB54EE">
        <w:t>ale</w:t>
      </w:r>
      <w:r w:rsidR="00410B76" w:rsidRPr="00AB54EE">
        <w:t xml:space="preserve">s plunged to </w:t>
      </w:r>
      <w:r w:rsidR="00410B76" w:rsidRPr="00AB54EE">
        <w:rPr>
          <w:b/>
          <w:bCs/>
        </w:rPr>
        <w:t>C</w:t>
      </w:r>
      <w:r w:rsidR="008D3756" w:rsidRPr="00AB54EE">
        <w:rPr>
          <w:b/>
          <w:bCs/>
        </w:rPr>
        <w:t>anada</w:t>
      </w:r>
      <w:r w:rsidR="008D3756" w:rsidRPr="00AB54EE">
        <w:t xml:space="preserve"> (down 3</w:t>
      </w:r>
      <w:r w:rsidR="00410B76" w:rsidRPr="00AB54EE">
        <w:t>7</w:t>
      </w:r>
      <w:r w:rsidR="008D3756" w:rsidRPr="00AB54EE">
        <w:t>%)</w:t>
      </w:r>
      <w:r w:rsidR="00410B76" w:rsidRPr="00AB54EE">
        <w:t xml:space="preserve">, </w:t>
      </w:r>
      <w:r w:rsidR="00B81154" w:rsidRPr="00AB54EE">
        <w:t xml:space="preserve">driven </w:t>
      </w:r>
      <w:r w:rsidR="00410B76" w:rsidRPr="00AB54EE">
        <w:t xml:space="preserve">by </w:t>
      </w:r>
      <w:r w:rsidR="00410B76" w:rsidRPr="00AB54EE">
        <w:rPr>
          <w:b/>
          <w:bCs/>
        </w:rPr>
        <w:t>mineral fuel, oil</w:t>
      </w:r>
      <w:r w:rsidR="00410B76" w:rsidRPr="00AB54EE">
        <w:t xml:space="preserve"> (down $895 million</w:t>
      </w:r>
      <w:r w:rsidR="000F1497">
        <w:t xml:space="preserve">, </w:t>
      </w:r>
      <w:r w:rsidR="00264CC3">
        <w:t xml:space="preserve">a category that </w:t>
      </w:r>
      <w:r w:rsidR="000F1497">
        <w:t>inclu</w:t>
      </w:r>
      <w:r w:rsidR="00264CC3">
        <w:t>des</w:t>
      </w:r>
      <w:r w:rsidR="000F1497">
        <w:t xml:space="preserve"> </w:t>
      </w:r>
      <w:r w:rsidR="000F1497" w:rsidRPr="000F1497">
        <w:rPr>
          <w:b/>
          <w:bCs/>
        </w:rPr>
        <w:t>motor fuel products</w:t>
      </w:r>
      <w:r w:rsidR="00410B76" w:rsidRPr="00AB54EE">
        <w:t>).</w:t>
      </w:r>
    </w:p>
    <w:p w14:paraId="2A777F97" w14:textId="0E30B9AF" w:rsidR="00387777" w:rsidRPr="00AB54EE" w:rsidRDefault="004D7918" w:rsidP="005A4293">
      <w:pPr>
        <w:pStyle w:val="ListParagraph"/>
        <w:numPr>
          <w:ilvl w:val="0"/>
          <w:numId w:val="10"/>
        </w:numPr>
        <w:spacing w:after="0"/>
      </w:pPr>
      <w:r w:rsidRPr="00AB54EE">
        <w:t xml:space="preserve">Demand tumbled across </w:t>
      </w:r>
      <w:r w:rsidRPr="00AB54EE">
        <w:rPr>
          <w:b/>
          <w:bCs/>
        </w:rPr>
        <w:t>Asia</w:t>
      </w:r>
      <w:r w:rsidR="008D3756" w:rsidRPr="00AB54EE">
        <w:t xml:space="preserve"> ($1.</w:t>
      </w:r>
      <w:r w:rsidR="00406747" w:rsidRPr="00AB54EE">
        <w:t>6</w:t>
      </w:r>
      <w:r w:rsidR="008D3756" w:rsidRPr="00AB54EE">
        <w:t xml:space="preserve"> billion, down 1</w:t>
      </w:r>
      <w:r w:rsidR="00406747" w:rsidRPr="00AB54EE">
        <w:t>8</w:t>
      </w:r>
      <w:r w:rsidR="008D3756" w:rsidRPr="00AB54EE">
        <w:t xml:space="preserve">%) </w:t>
      </w:r>
      <w:r w:rsidR="00FA433D" w:rsidRPr="00AB54EE">
        <w:t>as</w:t>
      </w:r>
      <w:r w:rsidRPr="00AB54EE">
        <w:t xml:space="preserve"> demand weakened, </w:t>
      </w:r>
      <w:r w:rsidR="00B81154" w:rsidRPr="00AB54EE">
        <w:t>especially in</w:t>
      </w:r>
      <w:r w:rsidR="00CC1EF1" w:rsidRPr="00AB54EE">
        <w:t xml:space="preserve"> </w:t>
      </w:r>
      <w:r w:rsidRPr="00AB54EE">
        <w:rPr>
          <w:b/>
          <w:bCs/>
        </w:rPr>
        <w:t>Japan,</w:t>
      </w:r>
      <w:r w:rsidRPr="00AB54EE">
        <w:t xml:space="preserve"> </w:t>
      </w:r>
      <w:r w:rsidRPr="00AB54EE">
        <w:rPr>
          <w:b/>
          <w:bCs/>
        </w:rPr>
        <w:t>Taiwan</w:t>
      </w:r>
      <w:r w:rsidRPr="00AB54EE">
        <w:t>,</w:t>
      </w:r>
      <w:r w:rsidRPr="00AB54EE">
        <w:rPr>
          <w:b/>
          <w:bCs/>
        </w:rPr>
        <w:t xml:space="preserve"> </w:t>
      </w:r>
      <w:proofErr w:type="gramStart"/>
      <w:r w:rsidRPr="00AB54EE">
        <w:rPr>
          <w:b/>
          <w:bCs/>
        </w:rPr>
        <w:t>Korea</w:t>
      </w:r>
      <w:proofErr w:type="gramEnd"/>
      <w:r w:rsidRPr="00AB54EE">
        <w:rPr>
          <w:b/>
          <w:bCs/>
        </w:rPr>
        <w:t xml:space="preserve"> </w:t>
      </w:r>
      <w:r w:rsidRPr="00AB54EE">
        <w:t xml:space="preserve">and </w:t>
      </w:r>
      <w:r w:rsidRPr="00AB54EE">
        <w:rPr>
          <w:b/>
          <w:bCs/>
        </w:rPr>
        <w:t>China</w:t>
      </w:r>
      <w:r w:rsidRPr="00AB54EE">
        <w:t>.</w:t>
      </w:r>
      <w:r w:rsidR="008D3756" w:rsidRPr="00AB54EE">
        <w:t xml:space="preserve"> </w:t>
      </w:r>
      <w:r w:rsidRPr="00AB54EE">
        <w:t xml:space="preserve">The </w:t>
      </w:r>
      <w:r w:rsidRPr="00AB54EE">
        <w:rPr>
          <w:b/>
          <w:bCs/>
        </w:rPr>
        <w:t>Philippines</w:t>
      </w:r>
      <w:r w:rsidRPr="00AB54EE">
        <w:t xml:space="preserve"> (up 25%) and </w:t>
      </w:r>
      <w:r w:rsidRPr="00AB54EE">
        <w:rPr>
          <w:b/>
          <w:bCs/>
        </w:rPr>
        <w:t>Malaysia</w:t>
      </w:r>
      <w:r w:rsidRPr="00AB54EE">
        <w:t xml:space="preserve"> (up 6%) </w:t>
      </w:r>
      <w:r w:rsidR="008E350D" w:rsidRPr="00AB54EE">
        <w:t xml:space="preserve">were </w:t>
      </w:r>
      <w:r w:rsidRPr="00AB54EE">
        <w:t xml:space="preserve">isolated </w:t>
      </w:r>
      <w:r w:rsidR="008E350D" w:rsidRPr="00AB54EE">
        <w:t xml:space="preserve">in their </w:t>
      </w:r>
      <w:r w:rsidRPr="00AB54EE">
        <w:t>strong performances.</w:t>
      </w:r>
    </w:p>
    <w:p w14:paraId="64B8D233" w14:textId="3985C60B" w:rsidR="00DC28FF" w:rsidRPr="00AB54EE" w:rsidRDefault="00C84427" w:rsidP="00846556">
      <w:pPr>
        <w:pStyle w:val="ListParagraph"/>
        <w:numPr>
          <w:ilvl w:val="0"/>
          <w:numId w:val="10"/>
        </w:numPr>
        <w:spacing w:before="120" w:after="120"/>
      </w:pPr>
      <w:bookmarkStart w:id="0" w:name="_Hlk71710426"/>
      <w:r w:rsidRPr="00AB54EE">
        <w:t>E</w:t>
      </w:r>
      <w:r w:rsidR="00B43EF1" w:rsidRPr="00AB54EE">
        <w:t>xports</w:t>
      </w:r>
      <w:r w:rsidR="00751E26" w:rsidRPr="00AB54EE">
        <w:t xml:space="preserve"> </w:t>
      </w:r>
      <w:r w:rsidR="00DC28FF" w:rsidRPr="00AB54EE">
        <w:t>also fell</w:t>
      </w:r>
      <w:r w:rsidR="00CC1EF1" w:rsidRPr="00AB54EE">
        <w:t xml:space="preserve"> </w:t>
      </w:r>
      <w:r w:rsidR="00B43EF1" w:rsidRPr="00AB54EE">
        <w:t>to</w:t>
      </w:r>
      <w:r w:rsidR="00DC28FF" w:rsidRPr="00AB54EE">
        <w:t xml:space="preserve"> the</w:t>
      </w:r>
      <w:r w:rsidRPr="00AB54EE">
        <w:t xml:space="preserve"> </w:t>
      </w:r>
      <w:r w:rsidR="001C13C5" w:rsidRPr="00AB54EE">
        <w:rPr>
          <w:b/>
        </w:rPr>
        <w:t>Europe</w:t>
      </w:r>
      <w:r w:rsidR="00DC28FF" w:rsidRPr="00AB54EE">
        <w:rPr>
          <w:b/>
        </w:rPr>
        <w:t>an Union</w:t>
      </w:r>
      <w:r w:rsidR="00CC1EF1" w:rsidRPr="00AB54EE">
        <w:t xml:space="preserve"> </w:t>
      </w:r>
      <w:r w:rsidR="00A744D1" w:rsidRPr="00AB54EE">
        <w:t>(</w:t>
      </w:r>
      <w:r w:rsidR="00DC28FF" w:rsidRPr="00AB54EE">
        <w:t>down</w:t>
      </w:r>
      <w:r w:rsidR="00387777" w:rsidRPr="00AB54EE">
        <w:t xml:space="preserve"> 1</w:t>
      </w:r>
      <w:r w:rsidR="00DC28FF" w:rsidRPr="00AB54EE">
        <w:t>8</w:t>
      </w:r>
      <w:r w:rsidR="00387777" w:rsidRPr="00AB54EE">
        <w:t>%</w:t>
      </w:r>
      <w:r w:rsidR="00B64706" w:rsidRPr="00AB54EE">
        <w:t>)</w:t>
      </w:r>
      <w:r w:rsidR="00DC28FF" w:rsidRPr="00AB54EE">
        <w:t xml:space="preserve">, the </w:t>
      </w:r>
      <w:r w:rsidR="00DC28FF" w:rsidRPr="00AB54EE">
        <w:rPr>
          <w:b/>
          <w:bCs/>
        </w:rPr>
        <w:t>Middle East</w:t>
      </w:r>
      <w:r w:rsidR="00DC28FF" w:rsidRPr="00AB54EE">
        <w:t xml:space="preserve"> (down 12%) and </w:t>
      </w:r>
      <w:r w:rsidR="00DC28FF" w:rsidRPr="00AB54EE">
        <w:rPr>
          <w:b/>
          <w:bCs/>
        </w:rPr>
        <w:t>Africa</w:t>
      </w:r>
      <w:r w:rsidR="00DC28FF" w:rsidRPr="00AB54EE">
        <w:t xml:space="preserve"> (down 7%).</w:t>
      </w:r>
    </w:p>
    <w:p w14:paraId="5C0B6943" w14:textId="2636BDA7" w:rsidR="00B81154" w:rsidRPr="00AB54EE" w:rsidRDefault="00B81154" w:rsidP="00B81154">
      <w:pPr>
        <w:pStyle w:val="ListParagraph"/>
        <w:numPr>
          <w:ilvl w:val="0"/>
          <w:numId w:val="10"/>
        </w:numPr>
        <w:spacing w:after="0"/>
      </w:pPr>
      <w:r w:rsidRPr="00AB54EE">
        <w:rPr>
          <w:bCs/>
        </w:rPr>
        <w:t>Growing markets in the</w:t>
      </w:r>
      <w:r w:rsidRPr="00AB54EE">
        <w:rPr>
          <w:b/>
        </w:rPr>
        <w:t xml:space="preserve"> Caribbean, Central and South America</w:t>
      </w:r>
      <w:r w:rsidRPr="00AB54EE">
        <w:t xml:space="preserve"> ($407 million, up 41%) </w:t>
      </w:r>
      <w:r w:rsidRPr="00AB54EE">
        <w:rPr>
          <w:bCs/>
        </w:rPr>
        <w:t xml:space="preserve">and </w:t>
      </w:r>
      <w:r w:rsidRPr="00AB54EE">
        <w:rPr>
          <w:b/>
          <w:bCs/>
        </w:rPr>
        <w:t xml:space="preserve">Australia </w:t>
      </w:r>
      <w:r w:rsidRPr="00AB54EE">
        <w:t xml:space="preserve">($163 million, up 42%; </w:t>
      </w:r>
      <w:r w:rsidR="008E350D" w:rsidRPr="00AB54EE">
        <w:t xml:space="preserve">the state’s </w:t>
      </w:r>
      <w:r w:rsidRPr="00AB54EE">
        <w:t>7</w:t>
      </w:r>
      <w:r w:rsidRPr="00AB54EE">
        <w:rPr>
          <w:vertAlign w:val="superscript"/>
        </w:rPr>
        <w:t>th</w:t>
      </w:r>
      <w:r w:rsidRPr="00AB54EE">
        <w:t xml:space="preserve"> largest</w:t>
      </w:r>
      <w:r w:rsidR="008E350D" w:rsidRPr="00AB54EE">
        <w:t xml:space="preserve"> market</w:t>
      </w:r>
      <w:r w:rsidRPr="00AB54EE">
        <w:t>) helped bolster state exports.</w:t>
      </w:r>
    </w:p>
    <w:bookmarkEnd w:id="0"/>
    <w:p w14:paraId="481CD972" w14:textId="2FEDA48B" w:rsidR="007C165F" w:rsidRPr="00AB54EE" w:rsidRDefault="007C165F" w:rsidP="00F85FA6">
      <w:pPr>
        <w:pStyle w:val="Heading3"/>
        <w:spacing w:before="120" w:after="60"/>
        <w:rPr>
          <w:color w:val="auto"/>
          <w:sz w:val="24"/>
          <w:szCs w:val="24"/>
        </w:rPr>
      </w:pPr>
      <w:r w:rsidRPr="00AB54EE">
        <w:rPr>
          <w:color w:val="auto"/>
          <w:sz w:val="24"/>
          <w:szCs w:val="24"/>
        </w:rPr>
        <w:t xml:space="preserve">Figure </w:t>
      </w:r>
      <w:r w:rsidR="00E36364" w:rsidRPr="00AB54EE">
        <w:rPr>
          <w:color w:val="auto"/>
          <w:sz w:val="24"/>
          <w:szCs w:val="24"/>
        </w:rPr>
        <w:fldChar w:fldCharType="begin"/>
      </w:r>
      <w:r w:rsidR="00E36364" w:rsidRPr="00AB54EE">
        <w:rPr>
          <w:color w:val="auto"/>
          <w:sz w:val="24"/>
          <w:szCs w:val="24"/>
        </w:rPr>
        <w:instrText xml:space="preserve"> SEQ Figure \* ARABIC </w:instrText>
      </w:r>
      <w:r w:rsidR="00E36364" w:rsidRPr="00AB54EE">
        <w:rPr>
          <w:color w:val="auto"/>
          <w:sz w:val="24"/>
          <w:szCs w:val="24"/>
        </w:rPr>
        <w:fldChar w:fldCharType="separate"/>
      </w:r>
      <w:r w:rsidR="00C430F8" w:rsidRPr="00AB54EE">
        <w:rPr>
          <w:color w:val="auto"/>
          <w:sz w:val="24"/>
          <w:szCs w:val="24"/>
        </w:rPr>
        <w:t>2</w:t>
      </w:r>
      <w:r w:rsidR="00E36364" w:rsidRPr="00AB54EE">
        <w:rPr>
          <w:color w:val="auto"/>
          <w:sz w:val="24"/>
          <w:szCs w:val="24"/>
        </w:rPr>
        <w:fldChar w:fldCharType="end"/>
      </w:r>
      <w:r w:rsidR="00C84D0E" w:rsidRPr="00AB54EE">
        <w:rPr>
          <w:color w:val="auto"/>
          <w:sz w:val="24"/>
          <w:szCs w:val="24"/>
        </w:rPr>
        <w:t xml:space="preserve">. </w:t>
      </w:r>
      <w:r w:rsidR="00A44451" w:rsidRPr="00AB54EE">
        <w:rPr>
          <w:color w:val="auto"/>
          <w:sz w:val="24"/>
          <w:szCs w:val="24"/>
        </w:rPr>
        <w:t>Export Trends for</w:t>
      </w:r>
      <w:r w:rsidR="0038665A" w:rsidRPr="00AB54EE">
        <w:rPr>
          <w:color w:val="auto"/>
          <w:sz w:val="24"/>
          <w:szCs w:val="24"/>
        </w:rPr>
        <w:t xml:space="preserve"> Minnesota’s Top 10 Markets, </w:t>
      </w:r>
      <w:r w:rsidR="00375ACF" w:rsidRPr="00AB54EE">
        <w:rPr>
          <w:color w:val="auto"/>
          <w:sz w:val="24"/>
          <w:szCs w:val="24"/>
        </w:rPr>
        <w:t xml:space="preserve">Third </w:t>
      </w:r>
      <w:r w:rsidR="00725672" w:rsidRPr="00AB54EE">
        <w:rPr>
          <w:color w:val="auto"/>
          <w:sz w:val="24"/>
          <w:szCs w:val="24"/>
        </w:rPr>
        <w:t>Q</w:t>
      </w:r>
      <w:r w:rsidR="00375ACF" w:rsidRPr="00AB54EE">
        <w:rPr>
          <w:color w:val="auto"/>
          <w:sz w:val="24"/>
          <w:szCs w:val="24"/>
        </w:rPr>
        <w:t>uarter</w:t>
      </w:r>
      <w:r w:rsidR="00A52415" w:rsidRPr="00AB54EE">
        <w:rPr>
          <w:color w:val="auto"/>
          <w:sz w:val="24"/>
          <w:szCs w:val="24"/>
        </w:rPr>
        <w:t xml:space="preserve"> </w:t>
      </w:r>
      <w:r w:rsidR="004C6288" w:rsidRPr="00AB54EE">
        <w:rPr>
          <w:color w:val="auto"/>
          <w:sz w:val="24"/>
          <w:szCs w:val="24"/>
        </w:rPr>
        <w:t>2023</w:t>
      </w:r>
    </w:p>
    <w:p w14:paraId="11C01A8F" w14:textId="32128603" w:rsidR="004F5EFC" w:rsidRPr="00AB54EE" w:rsidRDefault="008E350D" w:rsidP="002D1E09">
      <w:pPr>
        <w:spacing w:after="0"/>
      </w:pPr>
      <w:r w:rsidRPr="00AB54EE">
        <w:rPr>
          <w:noProof/>
        </w:rPr>
        <w:drawing>
          <wp:inline distT="0" distB="0" distL="0" distR="0" wp14:anchorId="609F6568" wp14:editId="6BE9959F">
            <wp:extent cx="6492240" cy="1915630"/>
            <wp:effectExtent l="0" t="0" r="3810" b="8890"/>
            <wp:docPr id="9" name="Picture 9" descr="MN Exports to top 10 markets, 2023-Q3&#10;Country Exports (millions) Percent Change, 2022-Q3 to 2023-Q3&#10;WORLD  $6,055  -17%&#10;Canada (1)   $1,598  -37%&#10;Mexico (2)   $820  15%&#10;China (3)   $606  -7%&#10;Germany (4)   $263  6%&#10;Japan (5)   $213  -24%&#10;Ireland (6)   $172  19%&#10;Australia (7)   $163  42%&#10;Belgium (8)   $160  -10%&#10;Netherlands (9)   $158  -41%&#10;Korea (10)   $128  -30%&#10;Other  $1,774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N Exports to top 10 markets, 2023-Q3&#10;Country Exports (millions) Percent Change, 2022-Q3 to 2023-Q3&#10;WORLD  $6,055  -17%&#10;Canada (1)   $1,598  -37%&#10;Mexico (2)   $820  15%&#10;China (3)   $606  -7%&#10;Germany (4)   $263  6%&#10;Japan (5)   $213  -24%&#10;Ireland (6)   $172  19%&#10;Australia (7)   $163  42%&#10;Belgium (8)   $160  -10%&#10;Netherlands (9)   $158  -41%&#10;Korea (10)   $128  -30%&#10;Other  $1,774  -12%&#10;"/>
                    <pic:cNvPicPr>
                      <a:picLocks noChangeAspect="1" noChangeArrowheads="1"/>
                    </pic:cNvPicPr>
                  </pic:nvPicPr>
                  <pic:blipFill rotWithShape="1">
                    <a:blip r:embed="rId14">
                      <a:extLst>
                        <a:ext uri="{28A0092B-C50C-407E-A947-70E740481C1C}">
                          <a14:useLocalDpi xmlns:a14="http://schemas.microsoft.com/office/drawing/2010/main" val="0"/>
                        </a:ext>
                      </a:extLst>
                    </a:blip>
                    <a:srcRect t="6137"/>
                    <a:stretch/>
                  </pic:blipFill>
                  <pic:spPr bwMode="auto">
                    <a:xfrm>
                      <a:off x="0" y="0"/>
                      <a:ext cx="6492240" cy="1915630"/>
                    </a:xfrm>
                    <a:prstGeom prst="rect">
                      <a:avLst/>
                    </a:prstGeom>
                    <a:noFill/>
                    <a:ln>
                      <a:noFill/>
                    </a:ln>
                    <a:extLst>
                      <a:ext uri="{53640926-AAD7-44D8-BBD7-CCE9431645EC}">
                        <a14:shadowObscured xmlns:a14="http://schemas.microsoft.com/office/drawing/2010/main"/>
                      </a:ext>
                    </a:extLst>
                  </pic:spPr>
                </pic:pic>
              </a:graphicData>
            </a:graphic>
          </wp:inline>
        </w:drawing>
      </w:r>
      <w:r w:rsidR="004F5EFC" w:rsidRPr="00AB54EE">
        <w:br w:type="page"/>
      </w:r>
    </w:p>
    <w:p w14:paraId="52D9CF8F" w14:textId="53195DFC" w:rsidR="00212FF3" w:rsidRPr="00AB54EE" w:rsidRDefault="00310D8B" w:rsidP="00212FF3">
      <w:pPr>
        <w:pStyle w:val="Heading2"/>
        <w:tabs>
          <w:tab w:val="left" w:pos="360"/>
        </w:tabs>
        <w:spacing w:before="0" w:after="120"/>
        <w:ind w:left="360" w:hanging="360"/>
        <w:rPr>
          <w:rFonts w:asciiTheme="minorHAnsi" w:hAnsiTheme="minorHAnsi"/>
          <w:bCs w:val="0"/>
          <w:i/>
          <w:color w:val="auto"/>
          <w:sz w:val="28"/>
        </w:rPr>
      </w:pPr>
      <w:r w:rsidRPr="00AB54EE">
        <w:rPr>
          <w:rFonts w:asciiTheme="minorHAnsi" w:hAnsiTheme="minorHAnsi"/>
          <w:bCs w:val="0"/>
          <w:i/>
          <w:color w:val="auto"/>
          <w:sz w:val="28"/>
        </w:rPr>
        <w:lastRenderedPageBreak/>
        <w:t xml:space="preserve">Gains in </w:t>
      </w:r>
      <w:r w:rsidR="002C3BBC" w:rsidRPr="00AB54EE">
        <w:rPr>
          <w:rFonts w:asciiTheme="minorHAnsi" w:hAnsiTheme="minorHAnsi"/>
          <w:bCs w:val="0"/>
          <w:i/>
          <w:color w:val="auto"/>
          <w:sz w:val="28"/>
        </w:rPr>
        <w:t>Vehicles,</w:t>
      </w:r>
      <w:r w:rsidR="00F10BC5" w:rsidRPr="00AB54EE">
        <w:rPr>
          <w:rFonts w:asciiTheme="minorHAnsi" w:hAnsiTheme="minorHAnsi"/>
          <w:bCs w:val="0"/>
          <w:i/>
          <w:color w:val="auto"/>
          <w:sz w:val="28"/>
        </w:rPr>
        <w:t xml:space="preserve"> Optic</w:t>
      </w:r>
      <w:r w:rsidR="00913ED2" w:rsidRPr="00AB54EE">
        <w:rPr>
          <w:rFonts w:asciiTheme="minorHAnsi" w:hAnsiTheme="minorHAnsi"/>
          <w:bCs w:val="0"/>
          <w:i/>
          <w:color w:val="auto"/>
          <w:sz w:val="28"/>
        </w:rPr>
        <w:t>/</w:t>
      </w:r>
      <w:r w:rsidR="00F10BC5" w:rsidRPr="00AB54EE">
        <w:rPr>
          <w:rFonts w:asciiTheme="minorHAnsi" w:hAnsiTheme="minorHAnsi"/>
          <w:bCs w:val="0"/>
          <w:i/>
          <w:color w:val="auto"/>
          <w:sz w:val="28"/>
        </w:rPr>
        <w:t>Medical</w:t>
      </w:r>
      <w:r w:rsidR="00913ED2" w:rsidRPr="00AB54EE">
        <w:rPr>
          <w:rFonts w:asciiTheme="minorHAnsi" w:hAnsiTheme="minorHAnsi"/>
          <w:bCs w:val="0"/>
          <w:i/>
          <w:color w:val="auto"/>
          <w:sz w:val="28"/>
        </w:rPr>
        <w:t>,</w:t>
      </w:r>
      <w:r w:rsidR="00F10BC5" w:rsidRPr="00AB54EE">
        <w:rPr>
          <w:rFonts w:asciiTheme="minorHAnsi" w:hAnsiTheme="minorHAnsi"/>
          <w:bCs w:val="0"/>
          <w:i/>
          <w:color w:val="auto"/>
          <w:sz w:val="28"/>
        </w:rPr>
        <w:t xml:space="preserve"> </w:t>
      </w:r>
      <w:r w:rsidRPr="00AB54EE">
        <w:rPr>
          <w:rFonts w:asciiTheme="minorHAnsi" w:hAnsiTheme="minorHAnsi"/>
          <w:bCs w:val="0"/>
          <w:i/>
          <w:color w:val="auto"/>
          <w:sz w:val="28"/>
        </w:rPr>
        <w:t>Machinery and Ores Help Su</w:t>
      </w:r>
      <w:r w:rsidR="00F85FA6" w:rsidRPr="00AB54EE">
        <w:rPr>
          <w:rFonts w:asciiTheme="minorHAnsi" w:hAnsiTheme="minorHAnsi"/>
          <w:bCs w:val="0"/>
          <w:i/>
          <w:color w:val="auto"/>
          <w:sz w:val="28"/>
        </w:rPr>
        <w:t>stain</w:t>
      </w:r>
      <w:r w:rsidRPr="00AB54EE">
        <w:rPr>
          <w:rFonts w:asciiTheme="minorHAnsi" w:hAnsiTheme="minorHAnsi"/>
          <w:bCs w:val="0"/>
          <w:i/>
          <w:color w:val="auto"/>
          <w:sz w:val="28"/>
        </w:rPr>
        <w:t xml:space="preserve"> Exports</w:t>
      </w:r>
    </w:p>
    <w:p w14:paraId="32747C8F" w14:textId="77777777" w:rsidR="00A634F8" w:rsidRPr="00AB54EE" w:rsidRDefault="00A634F8" w:rsidP="00212FF3">
      <w:pPr>
        <w:pStyle w:val="NoSpacing"/>
        <w:numPr>
          <w:ilvl w:val="0"/>
          <w:numId w:val="18"/>
        </w:numPr>
        <w:spacing w:line="271" w:lineRule="auto"/>
        <w:rPr>
          <w:b/>
        </w:rPr>
        <w:sectPr w:rsidR="00A634F8" w:rsidRPr="00AB54EE" w:rsidSect="00FE15EB">
          <w:footerReference w:type="default" r:id="rId15"/>
          <w:footnotePr>
            <w:numRestart w:val="eachSect"/>
          </w:footnotePr>
          <w:endnotePr>
            <w:numFmt w:val="decimal"/>
          </w:endnotePr>
          <w:type w:val="continuous"/>
          <w:pgSz w:w="12240" w:h="15840" w:code="1"/>
          <w:pgMar w:top="864" w:right="1008" w:bottom="864" w:left="1008" w:header="720" w:footer="720" w:gutter="0"/>
          <w:cols w:space="720"/>
          <w:titlePg/>
          <w:docGrid w:linePitch="299"/>
        </w:sectPr>
      </w:pPr>
    </w:p>
    <w:p w14:paraId="627EA2A1" w14:textId="6E9C0DDF" w:rsidR="00A634F8" w:rsidRPr="00AB54EE" w:rsidRDefault="00310D8B" w:rsidP="00FF7510">
      <w:pPr>
        <w:pStyle w:val="NoSpacing"/>
        <w:numPr>
          <w:ilvl w:val="0"/>
          <w:numId w:val="7"/>
        </w:numPr>
        <w:spacing w:line="271" w:lineRule="auto"/>
        <w:ind w:left="360" w:right="72"/>
      </w:pPr>
      <w:r w:rsidRPr="00AB54EE">
        <w:t xml:space="preserve">Despite widespread decline, </w:t>
      </w:r>
      <w:r w:rsidR="002C3BBC" w:rsidRPr="00AB54EE">
        <w:t xml:space="preserve">some key </w:t>
      </w:r>
      <w:r w:rsidR="00861FE3" w:rsidRPr="00AB54EE">
        <w:t xml:space="preserve">products </w:t>
      </w:r>
      <w:r w:rsidR="00BB4A7B" w:rsidRPr="00AB54EE">
        <w:t>perform</w:t>
      </w:r>
      <w:r w:rsidR="00212FF3" w:rsidRPr="00AB54EE">
        <w:t>ed</w:t>
      </w:r>
      <w:r w:rsidR="00BB4A7B" w:rsidRPr="00AB54EE">
        <w:t xml:space="preserve"> </w:t>
      </w:r>
      <w:r w:rsidR="00FF7510" w:rsidRPr="00AB54EE">
        <w:t xml:space="preserve">moderately well, to </w:t>
      </w:r>
      <w:r w:rsidR="00BB4A7B" w:rsidRPr="00AB54EE">
        <w:t xml:space="preserve">strongly </w:t>
      </w:r>
      <w:r w:rsidR="00FF7510" w:rsidRPr="00AB54EE">
        <w:t xml:space="preserve">well, </w:t>
      </w:r>
      <w:r w:rsidR="008C3CC2" w:rsidRPr="00AB54EE">
        <w:t xml:space="preserve">in the </w:t>
      </w:r>
      <w:r w:rsidR="00375ACF" w:rsidRPr="00AB54EE">
        <w:t>third quarter</w:t>
      </w:r>
      <w:r w:rsidR="00FF7510" w:rsidRPr="00AB54EE">
        <w:t xml:space="preserve"> –</w:t>
      </w:r>
      <w:r w:rsidR="000D566F" w:rsidRPr="00AB54EE">
        <w:t xml:space="preserve"> </w:t>
      </w:r>
      <w:r w:rsidR="00F10BC5" w:rsidRPr="00AB54EE">
        <w:t xml:space="preserve">led by </w:t>
      </w:r>
      <w:r w:rsidR="008C3CC2" w:rsidRPr="00AB54EE">
        <w:rPr>
          <w:b/>
          <w:bCs/>
        </w:rPr>
        <w:t>vehicles</w:t>
      </w:r>
      <w:r w:rsidR="008C3CC2" w:rsidRPr="00AB54EE">
        <w:t xml:space="preserve"> (up </w:t>
      </w:r>
      <w:r w:rsidRPr="00AB54EE">
        <w:t>48</w:t>
      </w:r>
      <w:r w:rsidR="008C3CC2" w:rsidRPr="00AB54EE">
        <w:t xml:space="preserve">%), </w:t>
      </w:r>
      <w:r w:rsidR="00BB4A7B" w:rsidRPr="00AB54EE">
        <w:rPr>
          <w:b/>
          <w:bCs/>
        </w:rPr>
        <w:t>optic, medical</w:t>
      </w:r>
      <w:r w:rsidR="00FF7510" w:rsidRPr="00AB54EE">
        <w:rPr>
          <w:b/>
          <w:bCs/>
        </w:rPr>
        <w:t xml:space="preserve"> products</w:t>
      </w:r>
      <w:r w:rsidR="00BB4A7B" w:rsidRPr="00AB54EE">
        <w:t xml:space="preserve"> (up </w:t>
      </w:r>
      <w:r w:rsidRPr="00AB54EE">
        <w:t>4</w:t>
      </w:r>
      <w:r w:rsidR="00BB4A7B" w:rsidRPr="00AB54EE">
        <w:t>%),</w:t>
      </w:r>
      <w:r w:rsidRPr="00AB54EE">
        <w:t xml:space="preserve"> </w:t>
      </w:r>
      <w:r w:rsidRPr="00AB54EE">
        <w:rPr>
          <w:b/>
          <w:bCs/>
        </w:rPr>
        <w:t xml:space="preserve">machinery </w:t>
      </w:r>
      <w:r w:rsidRPr="00AB54EE">
        <w:t>(up 3%),</w:t>
      </w:r>
      <w:r w:rsidR="00BB4A7B" w:rsidRPr="00AB54EE">
        <w:t xml:space="preserve"> </w:t>
      </w:r>
      <w:r w:rsidR="008C3CC2" w:rsidRPr="00AB54EE">
        <w:rPr>
          <w:b/>
          <w:bCs/>
        </w:rPr>
        <w:t xml:space="preserve">ores, slag, ash </w:t>
      </w:r>
      <w:r w:rsidR="008C3CC2" w:rsidRPr="00AB54EE">
        <w:t xml:space="preserve">(up </w:t>
      </w:r>
      <w:r w:rsidRPr="00AB54EE">
        <w:t>11</w:t>
      </w:r>
      <w:r w:rsidR="008C3CC2" w:rsidRPr="00AB54EE">
        <w:t>%)</w:t>
      </w:r>
      <w:r w:rsidRPr="00AB54EE">
        <w:t xml:space="preserve"> and</w:t>
      </w:r>
      <w:r w:rsidR="008C3CC2" w:rsidRPr="00AB54EE">
        <w:t xml:space="preserve"> </w:t>
      </w:r>
      <w:r w:rsidR="008C3CC2" w:rsidRPr="00AB54EE">
        <w:rPr>
          <w:b/>
          <w:bCs/>
        </w:rPr>
        <w:t>aircraft, spacecraft</w:t>
      </w:r>
      <w:r w:rsidR="0061064A" w:rsidRPr="00AB54EE">
        <w:rPr>
          <w:b/>
          <w:bCs/>
        </w:rPr>
        <w:t xml:space="preserve"> </w:t>
      </w:r>
      <w:r w:rsidR="0061064A" w:rsidRPr="00AB54EE">
        <w:t xml:space="preserve">(up </w:t>
      </w:r>
      <w:r w:rsidRPr="00AB54EE">
        <w:t>9</w:t>
      </w:r>
      <w:r w:rsidR="0061064A" w:rsidRPr="00AB54EE">
        <w:t>%)</w:t>
      </w:r>
      <w:r w:rsidR="000E532F" w:rsidRPr="00AB54EE">
        <w:t xml:space="preserve">. </w:t>
      </w:r>
    </w:p>
    <w:p w14:paraId="2F265FCB" w14:textId="3339D087" w:rsidR="003C188A" w:rsidRPr="00AB54EE" w:rsidRDefault="00AC7D35" w:rsidP="00A925A8">
      <w:pPr>
        <w:pStyle w:val="NoSpacing"/>
        <w:numPr>
          <w:ilvl w:val="0"/>
          <w:numId w:val="7"/>
        </w:numPr>
        <w:spacing w:line="271" w:lineRule="auto"/>
        <w:ind w:left="360" w:right="-18"/>
      </w:pPr>
      <w:r w:rsidRPr="00AB54EE">
        <w:t>S</w:t>
      </w:r>
      <w:r w:rsidR="000D566F" w:rsidRPr="00AB54EE">
        <w:t>ales of</w:t>
      </w:r>
      <w:r w:rsidR="008C3CC2" w:rsidRPr="00AB54EE">
        <w:t xml:space="preserve"> </w:t>
      </w:r>
      <w:r w:rsidR="008C3CC2" w:rsidRPr="00AB54EE">
        <w:rPr>
          <w:b/>
          <w:bCs/>
        </w:rPr>
        <w:t>mineral fuel, oil</w:t>
      </w:r>
      <w:r w:rsidR="008C3CC2" w:rsidRPr="00AB54EE">
        <w:t xml:space="preserve"> </w:t>
      </w:r>
      <w:r w:rsidRPr="00AB54EE">
        <w:t>sank $1.1 billion (down 91%</w:t>
      </w:r>
      <w:r w:rsidR="008C3CC2" w:rsidRPr="00AB54EE">
        <w:t>)</w:t>
      </w:r>
      <w:r w:rsidR="0035592C" w:rsidRPr="00AB54EE">
        <w:t xml:space="preserve"> to $114 million</w:t>
      </w:r>
      <w:r w:rsidRPr="00AB54EE">
        <w:t>.</w:t>
      </w:r>
      <w:r w:rsidR="008C3CC2" w:rsidRPr="00AB54EE">
        <w:t xml:space="preserve"> </w:t>
      </w:r>
      <w:r w:rsidR="00FF7510" w:rsidRPr="00AB54EE">
        <w:t>These e</w:t>
      </w:r>
      <w:r w:rsidR="0021109C" w:rsidRPr="00AB54EE">
        <w:t xml:space="preserve">xports </w:t>
      </w:r>
      <w:r w:rsidR="0035592C" w:rsidRPr="00AB54EE">
        <w:t>fell</w:t>
      </w:r>
      <w:r w:rsidR="0021109C" w:rsidRPr="00AB54EE">
        <w:t xml:space="preserve"> sharply to </w:t>
      </w:r>
      <w:r w:rsidR="0021109C" w:rsidRPr="00AB54EE">
        <w:rPr>
          <w:b/>
          <w:bCs/>
        </w:rPr>
        <w:t xml:space="preserve">Canada </w:t>
      </w:r>
      <w:r w:rsidR="0021109C" w:rsidRPr="00AB54EE">
        <w:t xml:space="preserve">(down 98%, </w:t>
      </w:r>
      <w:r w:rsidR="0035592C" w:rsidRPr="00AB54EE">
        <w:t>the dominant market</w:t>
      </w:r>
      <w:r w:rsidR="00FF7510" w:rsidRPr="00AB54EE">
        <w:t>)</w:t>
      </w:r>
      <w:r w:rsidR="00A925A8">
        <w:t xml:space="preserve"> </w:t>
      </w:r>
      <w:r w:rsidR="00A925A8" w:rsidRPr="00A925A8">
        <w:t>–</w:t>
      </w:r>
      <w:r w:rsidR="00A925A8">
        <w:t xml:space="preserve"> </w:t>
      </w:r>
      <w:r w:rsidR="00E7076F">
        <w:t>as well as to</w:t>
      </w:r>
      <w:r w:rsidR="0021109C" w:rsidRPr="00AB54EE">
        <w:t xml:space="preserve"> the </w:t>
      </w:r>
      <w:r w:rsidR="0021109C" w:rsidRPr="00AB54EE">
        <w:rPr>
          <w:b/>
          <w:bCs/>
        </w:rPr>
        <w:t>Netherlands</w:t>
      </w:r>
      <w:r w:rsidR="00E7076F">
        <w:t xml:space="preserve">, </w:t>
      </w:r>
      <w:r w:rsidR="000D2409">
        <w:rPr>
          <w:b/>
          <w:bCs/>
        </w:rPr>
        <w:t>Spain</w:t>
      </w:r>
      <w:r w:rsidR="000D2409" w:rsidRPr="000D2409">
        <w:t>, and</w:t>
      </w:r>
      <w:r w:rsidR="000D2409">
        <w:rPr>
          <w:b/>
          <w:bCs/>
        </w:rPr>
        <w:t xml:space="preserve"> Lithuania</w:t>
      </w:r>
      <w:r w:rsidR="00A925A8" w:rsidRPr="00A925A8">
        <w:t xml:space="preserve"> –</w:t>
      </w:r>
      <w:r w:rsidR="00FF7510" w:rsidRPr="00AB54EE">
        <w:t xml:space="preserve"> but jumped $54 million to </w:t>
      </w:r>
      <w:r w:rsidR="00FF7510" w:rsidRPr="00A925A8">
        <w:rPr>
          <w:b/>
          <w:bCs/>
        </w:rPr>
        <w:t>Germany</w:t>
      </w:r>
      <w:r w:rsidR="00FF7510" w:rsidRPr="00AB54EE">
        <w:t>.</w:t>
      </w:r>
    </w:p>
    <w:p w14:paraId="7E271E10" w14:textId="44EC1873" w:rsidR="003C188A" w:rsidRPr="00AB54EE" w:rsidRDefault="0035592C" w:rsidP="003C188A">
      <w:pPr>
        <w:pStyle w:val="NoSpacing"/>
        <w:numPr>
          <w:ilvl w:val="0"/>
          <w:numId w:val="7"/>
        </w:numPr>
        <w:spacing w:line="271" w:lineRule="auto"/>
        <w:ind w:left="360" w:right="-18"/>
        <w:rPr>
          <w:rStyle w:val="Heading4Char"/>
          <w:rFonts w:eastAsiaTheme="minorEastAsia" w:cstheme="minorBidi"/>
          <w:b w:val="0"/>
          <w:bCs w:val="0"/>
          <w:i w:val="0"/>
          <w:iCs w:val="0"/>
          <w:color w:val="auto"/>
          <w:sz w:val="22"/>
        </w:rPr>
      </w:pPr>
      <w:r w:rsidRPr="00AB54EE">
        <w:rPr>
          <w:b/>
          <w:bCs/>
        </w:rPr>
        <w:t xml:space="preserve">Electrical equipment </w:t>
      </w:r>
      <w:r w:rsidRPr="00AB54EE">
        <w:t xml:space="preserve">(down 12%), </w:t>
      </w:r>
      <w:r w:rsidRPr="00AB54EE">
        <w:rPr>
          <w:b/>
          <w:bCs/>
        </w:rPr>
        <w:t>meat</w:t>
      </w:r>
      <w:r w:rsidR="00E50D6A" w:rsidRPr="00AB54EE">
        <w:t xml:space="preserve"> </w:t>
      </w:r>
      <w:r w:rsidRPr="00AB54EE">
        <w:t xml:space="preserve">(down 40%) and </w:t>
      </w:r>
      <w:r w:rsidRPr="00AB54EE">
        <w:rPr>
          <w:b/>
          <w:bCs/>
        </w:rPr>
        <w:t>fertilizers</w:t>
      </w:r>
      <w:r w:rsidRPr="00AB54EE">
        <w:t xml:space="preserve"> (down </w:t>
      </w:r>
      <w:r w:rsidR="00FF7510" w:rsidRPr="00AB54EE">
        <w:t>59</w:t>
      </w:r>
      <w:r w:rsidRPr="00AB54EE">
        <w:t>%) also tumbled.</w:t>
      </w:r>
    </w:p>
    <w:p w14:paraId="6BA2F72E" w14:textId="026C1028" w:rsidR="00E76FF1" w:rsidRPr="00AB54EE" w:rsidRDefault="00E76FF1" w:rsidP="003C188A">
      <w:pPr>
        <w:pStyle w:val="NoSpacing"/>
        <w:spacing w:line="271" w:lineRule="auto"/>
        <w:ind w:right="-18"/>
      </w:pPr>
      <w:r w:rsidRPr="00AB54EE">
        <w:rPr>
          <w:rStyle w:val="Heading3Char"/>
          <w:color w:val="auto"/>
          <w:sz w:val="24"/>
          <w:szCs w:val="24"/>
        </w:rPr>
        <w:t xml:space="preserve">Figure </w:t>
      </w:r>
      <w:r w:rsidRPr="00AB54EE">
        <w:rPr>
          <w:rStyle w:val="Heading3Char"/>
          <w:color w:val="auto"/>
          <w:sz w:val="24"/>
          <w:szCs w:val="24"/>
        </w:rPr>
        <w:fldChar w:fldCharType="begin"/>
      </w:r>
      <w:r w:rsidRPr="00AB54EE">
        <w:rPr>
          <w:rStyle w:val="Heading3Char"/>
          <w:color w:val="auto"/>
          <w:sz w:val="24"/>
          <w:szCs w:val="24"/>
        </w:rPr>
        <w:instrText xml:space="preserve"> SEQ Figure \* ARABIC </w:instrText>
      </w:r>
      <w:r w:rsidRPr="00AB54EE">
        <w:rPr>
          <w:rStyle w:val="Heading3Char"/>
          <w:color w:val="auto"/>
          <w:sz w:val="24"/>
          <w:szCs w:val="24"/>
        </w:rPr>
        <w:fldChar w:fldCharType="separate"/>
      </w:r>
      <w:r w:rsidR="00C430F8" w:rsidRPr="00AB54EE">
        <w:rPr>
          <w:rStyle w:val="Heading3Char"/>
          <w:color w:val="auto"/>
          <w:sz w:val="24"/>
          <w:szCs w:val="24"/>
        </w:rPr>
        <w:t>3</w:t>
      </w:r>
      <w:r w:rsidRPr="00AB54EE">
        <w:rPr>
          <w:rStyle w:val="Heading3Char"/>
          <w:color w:val="auto"/>
          <w:sz w:val="24"/>
          <w:szCs w:val="24"/>
        </w:rPr>
        <w:fldChar w:fldCharType="end"/>
      </w:r>
      <w:r w:rsidRPr="00AB54EE">
        <w:rPr>
          <w:rStyle w:val="Heading3Char"/>
          <w:color w:val="auto"/>
          <w:sz w:val="24"/>
          <w:szCs w:val="24"/>
        </w:rPr>
        <w:t>.</w:t>
      </w:r>
      <w:r w:rsidR="00913ED2" w:rsidRPr="00AB54EE">
        <w:rPr>
          <w:rStyle w:val="Heading3Char"/>
          <w:color w:val="auto"/>
          <w:sz w:val="24"/>
          <w:szCs w:val="24"/>
        </w:rPr>
        <w:t xml:space="preserve"> </w:t>
      </w:r>
      <w:r w:rsidR="00040083" w:rsidRPr="00AB54EE">
        <w:rPr>
          <w:rStyle w:val="Heading3Char"/>
          <w:color w:val="auto"/>
          <w:sz w:val="24"/>
          <w:szCs w:val="24"/>
        </w:rPr>
        <w:t>Minnesota Exports of Vehicles</w:t>
      </w:r>
    </w:p>
    <w:p w14:paraId="1B43690F" w14:textId="77777777" w:rsidR="00B77999" w:rsidRPr="00AB54EE" w:rsidRDefault="00E76FF1" w:rsidP="006330D9">
      <w:pPr>
        <w:spacing w:after="120" w:line="271" w:lineRule="auto"/>
        <w:rPr>
          <w:b/>
        </w:rPr>
      </w:pPr>
      <w:r w:rsidRPr="00AB54EE">
        <w:rPr>
          <w:noProof/>
        </w:rPr>
        <w:drawing>
          <wp:inline distT="0" distB="0" distL="0" distR="0" wp14:anchorId="15A22583" wp14:editId="1A2D4E7F">
            <wp:extent cx="3009265" cy="2028825"/>
            <wp:effectExtent l="0" t="0" r="0" b="0"/>
            <wp:docPr id="10" name="Chart 10" descr="Figure 3 MN exports of vehicles&#10;Vehicle parts 29%&#10;Passenger vehicles 23%&#10;Vehicles for 10+ passengers 15%&#10;Special purpose 13%&#10;Tractors 6%&#10;Other 14%&#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F1585C" w14:textId="77777777" w:rsidR="00EA50EC" w:rsidRPr="00AB54EE" w:rsidRDefault="00EA50EC" w:rsidP="00E50D6A">
      <w:pPr>
        <w:pStyle w:val="NoSpacing"/>
        <w:spacing w:line="271" w:lineRule="auto"/>
        <w:ind w:right="-378"/>
        <w:rPr>
          <w:b/>
        </w:rPr>
        <w:sectPr w:rsidR="00EA50EC" w:rsidRPr="00AB54EE" w:rsidSect="00AC7D35">
          <w:footnotePr>
            <w:numRestart w:val="eachSect"/>
          </w:footnotePr>
          <w:endnotePr>
            <w:numFmt w:val="decimal"/>
          </w:endnotePr>
          <w:type w:val="continuous"/>
          <w:pgSz w:w="12240" w:h="15840" w:code="1"/>
          <w:pgMar w:top="864" w:right="1008" w:bottom="864" w:left="1008" w:header="720" w:footer="720" w:gutter="0"/>
          <w:cols w:num="2" w:space="540"/>
          <w:titlePg/>
          <w:docGrid w:linePitch="299"/>
        </w:sectPr>
      </w:pPr>
    </w:p>
    <w:p w14:paraId="11B36D49" w14:textId="5E759CF5" w:rsidR="0021109C" w:rsidRPr="00AB54EE" w:rsidRDefault="00F85FA6" w:rsidP="00821BD6">
      <w:pPr>
        <w:pStyle w:val="ListParagraph"/>
        <w:numPr>
          <w:ilvl w:val="0"/>
          <w:numId w:val="20"/>
        </w:numPr>
        <w:spacing w:after="0" w:line="271" w:lineRule="auto"/>
      </w:pPr>
      <w:r w:rsidRPr="00AB54EE">
        <w:rPr>
          <w:bCs/>
        </w:rPr>
        <w:t>Sales of</w:t>
      </w:r>
      <w:r w:rsidRPr="00AB54EE">
        <w:rPr>
          <w:b/>
        </w:rPr>
        <w:t xml:space="preserve"> v</w:t>
      </w:r>
      <w:r w:rsidR="0021109C" w:rsidRPr="00AB54EE">
        <w:rPr>
          <w:b/>
        </w:rPr>
        <w:t>ehicles</w:t>
      </w:r>
      <w:r w:rsidR="0021109C" w:rsidRPr="00AB54EE">
        <w:rPr>
          <w:bCs/>
        </w:rPr>
        <w:t xml:space="preserve"> </w:t>
      </w:r>
      <w:r w:rsidR="009D0718" w:rsidRPr="00AB54EE">
        <w:rPr>
          <w:bCs/>
        </w:rPr>
        <w:t>gained traction in</w:t>
      </w:r>
      <w:r w:rsidR="0021109C" w:rsidRPr="00AB54EE">
        <w:rPr>
          <w:bCs/>
        </w:rPr>
        <w:t xml:space="preserve"> </w:t>
      </w:r>
      <w:r w:rsidR="0021109C" w:rsidRPr="00AB54EE">
        <w:rPr>
          <w:b/>
        </w:rPr>
        <w:t>Canada</w:t>
      </w:r>
      <w:r w:rsidR="0021109C" w:rsidRPr="00AB54EE">
        <w:rPr>
          <w:bCs/>
        </w:rPr>
        <w:t xml:space="preserve"> (up </w:t>
      </w:r>
      <w:r w:rsidR="00C61B15" w:rsidRPr="00AB54EE">
        <w:rPr>
          <w:bCs/>
        </w:rPr>
        <w:t>48</w:t>
      </w:r>
      <w:r w:rsidR="0021109C" w:rsidRPr="00AB54EE">
        <w:rPr>
          <w:bCs/>
        </w:rPr>
        <w:t>%)</w:t>
      </w:r>
      <w:r w:rsidR="00C61B15" w:rsidRPr="00AB54EE">
        <w:rPr>
          <w:bCs/>
        </w:rPr>
        <w:t>,</w:t>
      </w:r>
      <w:r w:rsidR="0021109C" w:rsidRPr="00AB54EE">
        <w:rPr>
          <w:bCs/>
        </w:rPr>
        <w:t xml:space="preserve"> </w:t>
      </w:r>
      <w:r w:rsidR="0021109C" w:rsidRPr="00AB54EE">
        <w:rPr>
          <w:b/>
        </w:rPr>
        <w:t xml:space="preserve">Mexico </w:t>
      </w:r>
      <w:r w:rsidR="0021109C" w:rsidRPr="00AB54EE">
        <w:rPr>
          <w:bCs/>
        </w:rPr>
        <w:t xml:space="preserve">(up </w:t>
      </w:r>
      <w:r w:rsidR="00C61B15" w:rsidRPr="00AB54EE">
        <w:rPr>
          <w:bCs/>
        </w:rPr>
        <w:t>22</w:t>
      </w:r>
      <w:r w:rsidR="0021109C" w:rsidRPr="00AB54EE">
        <w:rPr>
          <w:bCs/>
        </w:rPr>
        <w:t>%)</w:t>
      </w:r>
      <w:r w:rsidR="00C61B15" w:rsidRPr="00AB54EE">
        <w:rPr>
          <w:bCs/>
        </w:rPr>
        <w:t>,</w:t>
      </w:r>
      <w:r w:rsidR="0021109C" w:rsidRPr="00AB54EE">
        <w:rPr>
          <w:bCs/>
        </w:rPr>
        <w:t xml:space="preserve"> </w:t>
      </w:r>
      <w:r w:rsidR="00C61B15" w:rsidRPr="00AB54EE">
        <w:rPr>
          <w:b/>
        </w:rPr>
        <w:t>Australia</w:t>
      </w:r>
      <w:r w:rsidR="0021109C" w:rsidRPr="00AB54EE">
        <w:rPr>
          <w:bCs/>
        </w:rPr>
        <w:t xml:space="preserve"> (up </w:t>
      </w:r>
      <w:r w:rsidR="00C61B15" w:rsidRPr="00AB54EE">
        <w:rPr>
          <w:bCs/>
        </w:rPr>
        <w:t>397%</w:t>
      </w:r>
      <w:r w:rsidR="0021109C" w:rsidRPr="00AB54EE">
        <w:t>)</w:t>
      </w:r>
      <w:r w:rsidR="00C61B15" w:rsidRPr="00AB54EE">
        <w:t xml:space="preserve"> and </w:t>
      </w:r>
      <w:r w:rsidR="00C61B15" w:rsidRPr="00AB54EE">
        <w:rPr>
          <w:b/>
          <w:bCs/>
        </w:rPr>
        <w:t xml:space="preserve">Brazil </w:t>
      </w:r>
      <w:r w:rsidRPr="00AB54EE">
        <w:t>(</w:t>
      </w:r>
      <w:r w:rsidR="00C61B15" w:rsidRPr="00AB54EE">
        <w:t>up 993%).</w:t>
      </w:r>
      <w:r w:rsidR="002E6B92" w:rsidRPr="00AB54EE">
        <w:t xml:space="preserve"> </w:t>
      </w:r>
      <w:r w:rsidR="004A1069" w:rsidRPr="00AB54EE">
        <w:t>The s</w:t>
      </w:r>
      <w:r w:rsidRPr="00AB54EE">
        <w:t>trong</w:t>
      </w:r>
      <w:r w:rsidR="004A1069" w:rsidRPr="00AB54EE">
        <w:t>est</w:t>
      </w:r>
      <w:r w:rsidRPr="00AB54EE">
        <w:t xml:space="preserve"> segments </w:t>
      </w:r>
      <w:r w:rsidR="004A1069" w:rsidRPr="00AB54EE">
        <w:t>included</w:t>
      </w:r>
      <w:r w:rsidR="002E6B92" w:rsidRPr="00AB54EE">
        <w:t xml:space="preserve"> </w:t>
      </w:r>
      <w:r w:rsidR="004A1069" w:rsidRPr="00AB54EE">
        <w:rPr>
          <w:b/>
          <w:bCs/>
        </w:rPr>
        <w:t>large</w:t>
      </w:r>
      <w:r w:rsidRPr="00AB54EE">
        <w:rPr>
          <w:b/>
          <w:bCs/>
        </w:rPr>
        <w:t xml:space="preserve"> passenger vehicles,</w:t>
      </w:r>
      <w:r w:rsidRPr="00AB54EE">
        <w:t xml:space="preserve"> </w:t>
      </w:r>
      <w:r w:rsidR="002E6B92" w:rsidRPr="00AB54EE">
        <w:rPr>
          <w:b/>
          <w:bCs/>
        </w:rPr>
        <w:t>special purpose</w:t>
      </w:r>
      <w:r w:rsidRPr="00AB54EE">
        <w:rPr>
          <w:b/>
          <w:bCs/>
        </w:rPr>
        <w:t xml:space="preserve"> vehicles</w:t>
      </w:r>
      <w:r w:rsidRPr="00AB54EE">
        <w:t xml:space="preserve"> </w:t>
      </w:r>
      <w:r w:rsidR="002E6B92" w:rsidRPr="00AB54EE">
        <w:t>and</w:t>
      </w:r>
      <w:r w:rsidR="002E6B92" w:rsidRPr="00AB54EE">
        <w:rPr>
          <w:b/>
          <w:bCs/>
        </w:rPr>
        <w:t xml:space="preserve"> </w:t>
      </w:r>
      <w:r w:rsidRPr="00AB54EE">
        <w:rPr>
          <w:b/>
          <w:bCs/>
        </w:rPr>
        <w:t>tractors</w:t>
      </w:r>
      <w:r w:rsidRPr="00AB54EE">
        <w:t>.</w:t>
      </w:r>
    </w:p>
    <w:p w14:paraId="51F08C93" w14:textId="356EC174" w:rsidR="00FC6851" w:rsidRPr="00AB54EE" w:rsidRDefault="00F508B0" w:rsidP="00821BD6">
      <w:pPr>
        <w:pStyle w:val="ListParagraph"/>
        <w:numPr>
          <w:ilvl w:val="0"/>
          <w:numId w:val="20"/>
        </w:numPr>
        <w:spacing w:after="0" w:line="271" w:lineRule="auto"/>
      </w:pPr>
      <w:r w:rsidRPr="00AB54EE">
        <w:rPr>
          <w:b/>
        </w:rPr>
        <w:t xml:space="preserve">Optic, medical </w:t>
      </w:r>
      <w:r w:rsidR="009E312B" w:rsidRPr="00AB54EE">
        <w:rPr>
          <w:bCs/>
        </w:rPr>
        <w:t>goods</w:t>
      </w:r>
      <w:r w:rsidRPr="00AB54EE">
        <w:rPr>
          <w:b/>
        </w:rPr>
        <w:t xml:space="preserve"> </w:t>
      </w:r>
      <w:r w:rsidR="009E312B" w:rsidRPr="00AB54EE">
        <w:t>swelled</w:t>
      </w:r>
      <w:r w:rsidR="00846556" w:rsidRPr="00AB54EE">
        <w:t xml:space="preserve"> </w:t>
      </w:r>
      <w:r w:rsidR="009E312B" w:rsidRPr="00AB54EE">
        <w:t>in</w:t>
      </w:r>
      <w:r w:rsidR="00846556" w:rsidRPr="00AB54EE">
        <w:t xml:space="preserve"> </w:t>
      </w:r>
      <w:r w:rsidR="00C61B15" w:rsidRPr="00AB54EE">
        <w:rPr>
          <w:b/>
          <w:bCs/>
        </w:rPr>
        <w:t>Costa Rica</w:t>
      </w:r>
      <w:r w:rsidR="00846556" w:rsidRPr="00AB54EE">
        <w:t xml:space="preserve"> (</w:t>
      </w:r>
      <w:r w:rsidR="009D0718" w:rsidRPr="00AB54EE">
        <w:t xml:space="preserve">up </w:t>
      </w:r>
      <w:r w:rsidR="00C61B15" w:rsidRPr="00AB54EE">
        <w:t>$</w:t>
      </w:r>
      <w:r w:rsidR="009D0718" w:rsidRPr="00AB54EE">
        <w:t>17</w:t>
      </w:r>
      <w:r w:rsidR="00C61B15" w:rsidRPr="00AB54EE">
        <w:t xml:space="preserve"> million</w:t>
      </w:r>
      <w:r w:rsidR="00846556" w:rsidRPr="00AB54EE">
        <w:t xml:space="preserve">), </w:t>
      </w:r>
      <w:r w:rsidR="00846556" w:rsidRPr="00AB54EE">
        <w:rPr>
          <w:b/>
          <w:bCs/>
        </w:rPr>
        <w:t>Ireland</w:t>
      </w:r>
      <w:r w:rsidRPr="00AB54EE">
        <w:t xml:space="preserve"> (</w:t>
      </w:r>
      <w:r w:rsidR="009D0718" w:rsidRPr="00AB54EE">
        <w:t xml:space="preserve">up </w:t>
      </w:r>
      <w:r w:rsidR="00C61B15" w:rsidRPr="00AB54EE">
        <w:t>$1</w:t>
      </w:r>
      <w:r w:rsidR="009D0718" w:rsidRPr="00AB54EE">
        <w:t>2</w:t>
      </w:r>
      <w:r w:rsidR="00C61B15" w:rsidRPr="00AB54EE">
        <w:t xml:space="preserve"> million</w:t>
      </w:r>
      <w:r w:rsidRPr="00AB54EE">
        <w:t>)</w:t>
      </w:r>
      <w:r w:rsidR="00C61B15" w:rsidRPr="00AB54EE">
        <w:t>,</w:t>
      </w:r>
      <w:r w:rsidRPr="00AB54EE">
        <w:t xml:space="preserve"> </w:t>
      </w:r>
      <w:r w:rsidR="00C61B15" w:rsidRPr="00AB54EE">
        <w:rPr>
          <w:b/>
        </w:rPr>
        <w:t>Turkey</w:t>
      </w:r>
      <w:r w:rsidRPr="00AB54EE">
        <w:t xml:space="preserve"> (</w:t>
      </w:r>
      <w:r w:rsidR="009D0718" w:rsidRPr="00AB54EE">
        <w:t xml:space="preserve">up </w:t>
      </w:r>
      <w:r w:rsidR="00C61B15" w:rsidRPr="00AB54EE">
        <w:t>$</w:t>
      </w:r>
      <w:r w:rsidR="009D0718" w:rsidRPr="00AB54EE">
        <w:t>9</w:t>
      </w:r>
      <w:r w:rsidR="00C61B15" w:rsidRPr="00AB54EE">
        <w:t xml:space="preserve"> million</w:t>
      </w:r>
      <w:r w:rsidR="009D0718" w:rsidRPr="00AB54EE">
        <w:t xml:space="preserve">), </w:t>
      </w:r>
      <w:r w:rsidR="00C61B15" w:rsidRPr="00AB54EE">
        <w:rPr>
          <w:b/>
          <w:bCs/>
        </w:rPr>
        <w:t>France</w:t>
      </w:r>
      <w:r w:rsidR="00C61B15" w:rsidRPr="00AB54EE">
        <w:t xml:space="preserve"> (</w:t>
      </w:r>
      <w:r w:rsidR="009D0718" w:rsidRPr="00AB54EE">
        <w:t xml:space="preserve">up $9 million) </w:t>
      </w:r>
      <w:r w:rsidR="00596618" w:rsidRPr="00AB54EE">
        <w:t>but</w:t>
      </w:r>
      <w:r w:rsidR="009D0718" w:rsidRPr="00AB54EE">
        <w:t xml:space="preserve"> buckled</w:t>
      </w:r>
      <w:r w:rsidR="00FC6851" w:rsidRPr="00AB54EE">
        <w:t xml:space="preserve"> to</w:t>
      </w:r>
      <w:r w:rsidR="00846556" w:rsidRPr="00AB54EE">
        <w:t xml:space="preserve"> </w:t>
      </w:r>
      <w:r w:rsidR="00846556" w:rsidRPr="00AB54EE">
        <w:rPr>
          <w:b/>
          <w:bCs/>
        </w:rPr>
        <w:t>Taiwan</w:t>
      </w:r>
      <w:r w:rsidR="00FC6851" w:rsidRPr="00AB54EE">
        <w:t xml:space="preserve"> (down 4</w:t>
      </w:r>
      <w:r w:rsidR="009D0718" w:rsidRPr="00AB54EE">
        <w:t>0</w:t>
      </w:r>
      <w:r w:rsidR="00FC6851" w:rsidRPr="00AB54EE">
        <w:t>%)</w:t>
      </w:r>
      <w:r w:rsidR="009D0718" w:rsidRPr="00AB54EE">
        <w:t xml:space="preserve"> and</w:t>
      </w:r>
      <w:r w:rsidR="009D0718" w:rsidRPr="00AB54EE">
        <w:rPr>
          <w:b/>
          <w:bCs/>
        </w:rPr>
        <w:t xml:space="preserve"> Belgium</w:t>
      </w:r>
      <w:r w:rsidR="009D0718" w:rsidRPr="00AB54EE">
        <w:t xml:space="preserve"> (down 15%). Global demand</w:t>
      </w:r>
      <w:r w:rsidR="004A1069" w:rsidRPr="00AB54EE">
        <w:t xml:space="preserve"> surged</w:t>
      </w:r>
      <w:r w:rsidR="009D0718" w:rsidRPr="00AB54EE">
        <w:t xml:space="preserve"> for </w:t>
      </w:r>
      <w:r w:rsidR="009D0718" w:rsidRPr="00AB54EE">
        <w:rPr>
          <w:b/>
          <w:bCs/>
        </w:rPr>
        <w:t>m</w:t>
      </w:r>
      <w:r w:rsidR="00FC6851" w:rsidRPr="00AB54EE">
        <w:rPr>
          <w:b/>
          <w:bCs/>
        </w:rPr>
        <w:t>edical, surgical instruments</w:t>
      </w:r>
      <w:r w:rsidR="00FC6851" w:rsidRPr="00AB54EE">
        <w:t xml:space="preserve"> </w:t>
      </w:r>
      <w:r w:rsidR="00EE5D08" w:rsidRPr="00AB54EE">
        <w:t xml:space="preserve">(up 12%) </w:t>
      </w:r>
      <w:r w:rsidR="00FC6851" w:rsidRPr="00AB54EE">
        <w:t xml:space="preserve">and </w:t>
      </w:r>
      <w:r w:rsidR="00EE5D08" w:rsidRPr="00AB54EE">
        <w:rPr>
          <w:b/>
          <w:bCs/>
        </w:rPr>
        <w:t>instruments for physical and chemical analysis</w:t>
      </w:r>
      <w:r w:rsidRPr="00AB54EE">
        <w:t xml:space="preserve"> </w:t>
      </w:r>
      <w:r w:rsidR="00EE5D08" w:rsidRPr="00AB54EE">
        <w:t>(up 34%)</w:t>
      </w:r>
      <w:r w:rsidR="00FC6851" w:rsidRPr="00AB54EE">
        <w:rPr>
          <w:b/>
        </w:rPr>
        <w:t>.</w:t>
      </w:r>
    </w:p>
    <w:p w14:paraId="7B1BA23B" w14:textId="39B895B8" w:rsidR="009D0718" w:rsidRPr="00AB54EE" w:rsidRDefault="009A491C" w:rsidP="009D0718">
      <w:pPr>
        <w:pStyle w:val="ListParagraph"/>
        <w:numPr>
          <w:ilvl w:val="0"/>
          <w:numId w:val="20"/>
        </w:numPr>
        <w:spacing w:after="0" w:line="271" w:lineRule="auto"/>
        <w:ind w:right="-396"/>
      </w:pPr>
      <w:r w:rsidRPr="00AB54EE">
        <w:rPr>
          <w:b/>
          <w:bCs/>
        </w:rPr>
        <w:t>M</w:t>
      </w:r>
      <w:r w:rsidR="009D0718" w:rsidRPr="00AB54EE">
        <w:rPr>
          <w:b/>
          <w:bCs/>
        </w:rPr>
        <w:t>achinery</w:t>
      </w:r>
      <w:r w:rsidR="009D0718" w:rsidRPr="00AB54EE">
        <w:t xml:space="preserve"> </w:t>
      </w:r>
      <w:r w:rsidRPr="00AB54EE">
        <w:t xml:space="preserve">exporters </w:t>
      </w:r>
      <w:r w:rsidR="009D0718" w:rsidRPr="00AB54EE">
        <w:t xml:space="preserve">made strong inroads in </w:t>
      </w:r>
      <w:r w:rsidR="009D0718" w:rsidRPr="00AB54EE">
        <w:rPr>
          <w:b/>
          <w:bCs/>
        </w:rPr>
        <w:t xml:space="preserve">Chile </w:t>
      </w:r>
      <w:r w:rsidR="009D0718" w:rsidRPr="00AB54EE">
        <w:t>($74 million, up 1,240%),</w:t>
      </w:r>
      <w:r w:rsidR="009D0718" w:rsidRPr="00AB54EE">
        <w:rPr>
          <w:b/>
          <w:bCs/>
        </w:rPr>
        <w:t xml:space="preserve"> Saudi Arabia</w:t>
      </w:r>
      <w:r w:rsidR="009D0718" w:rsidRPr="00AB54EE">
        <w:t xml:space="preserve"> ($19 million, up 464%) and </w:t>
      </w:r>
      <w:r w:rsidR="009D0718" w:rsidRPr="00AB54EE">
        <w:rPr>
          <w:b/>
          <w:bCs/>
        </w:rPr>
        <w:t xml:space="preserve">Turkey </w:t>
      </w:r>
      <w:r w:rsidR="009D0718" w:rsidRPr="00AB54EE">
        <w:t>(</w:t>
      </w:r>
      <w:r w:rsidR="004A1069" w:rsidRPr="00AB54EE">
        <w:t xml:space="preserve">$7 million, </w:t>
      </w:r>
      <w:r w:rsidR="009D0718" w:rsidRPr="00AB54EE">
        <w:t>up 208%)</w:t>
      </w:r>
      <w:r w:rsidR="009D0718" w:rsidRPr="00AB54EE">
        <w:rPr>
          <w:b/>
          <w:bCs/>
        </w:rPr>
        <w:t xml:space="preserve"> – </w:t>
      </w:r>
      <w:r w:rsidR="009D0718" w:rsidRPr="00AB54EE">
        <w:t xml:space="preserve">offsetting </w:t>
      </w:r>
      <w:r w:rsidR="00495EF8" w:rsidRPr="00AB54EE">
        <w:t>large declines in Asia, such as</w:t>
      </w:r>
      <w:r w:rsidR="004A1069" w:rsidRPr="00AB54EE">
        <w:t xml:space="preserve"> in</w:t>
      </w:r>
      <w:r w:rsidR="009D0718" w:rsidRPr="00AB54EE">
        <w:t xml:space="preserve"> </w:t>
      </w:r>
      <w:r w:rsidR="00495EF8" w:rsidRPr="00AB54EE">
        <w:rPr>
          <w:b/>
          <w:bCs/>
        </w:rPr>
        <w:t>Korea</w:t>
      </w:r>
      <w:r w:rsidR="00495EF8" w:rsidRPr="00AB54EE">
        <w:t xml:space="preserve">, </w:t>
      </w:r>
      <w:r w:rsidR="00495EF8" w:rsidRPr="00AB54EE">
        <w:rPr>
          <w:b/>
          <w:bCs/>
        </w:rPr>
        <w:t xml:space="preserve">Singapore, </w:t>
      </w:r>
      <w:proofErr w:type="gramStart"/>
      <w:r w:rsidR="00495EF8" w:rsidRPr="00AB54EE">
        <w:rPr>
          <w:b/>
          <w:bCs/>
        </w:rPr>
        <w:t>China</w:t>
      </w:r>
      <w:proofErr w:type="gramEnd"/>
      <w:r w:rsidR="00495EF8" w:rsidRPr="00AB54EE">
        <w:t xml:space="preserve"> and </w:t>
      </w:r>
      <w:r w:rsidR="00495EF8" w:rsidRPr="00AB54EE">
        <w:rPr>
          <w:b/>
          <w:bCs/>
        </w:rPr>
        <w:t>the Philippines.</w:t>
      </w:r>
      <w:r w:rsidR="00495EF8" w:rsidRPr="00AB54EE">
        <w:t xml:space="preserve"> </w:t>
      </w:r>
      <w:r w:rsidR="00EE5D08" w:rsidRPr="00AB54EE">
        <w:t xml:space="preserve">Leading </w:t>
      </w:r>
      <w:r w:rsidR="009D0718" w:rsidRPr="00AB54EE">
        <w:t xml:space="preserve">segments included </w:t>
      </w:r>
      <w:r w:rsidR="00EE5D08" w:rsidRPr="00AB54EE">
        <w:rPr>
          <w:b/>
          <w:bCs/>
        </w:rPr>
        <w:t xml:space="preserve">centrifuges and filters </w:t>
      </w:r>
      <w:r w:rsidR="00EE5D08" w:rsidRPr="00AB54EE">
        <w:t>(up 14%)</w:t>
      </w:r>
      <w:r w:rsidR="009D0718" w:rsidRPr="00AB54EE">
        <w:rPr>
          <w:b/>
          <w:bCs/>
        </w:rPr>
        <w:t xml:space="preserve"> </w:t>
      </w:r>
      <w:r w:rsidR="009D0718" w:rsidRPr="00AB54EE">
        <w:t xml:space="preserve">and </w:t>
      </w:r>
      <w:r w:rsidR="009D0718" w:rsidRPr="00AB54EE">
        <w:rPr>
          <w:b/>
          <w:bCs/>
        </w:rPr>
        <w:t>specialized machinery</w:t>
      </w:r>
      <w:r w:rsidR="00EE5D08" w:rsidRPr="00AB54EE">
        <w:rPr>
          <w:b/>
          <w:bCs/>
        </w:rPr>
        <w:t xml:space="preserve"> </w:t>
      </w:r>
      <w:r w:rsidR="00EE5D08" w:rsidRPr="00AB54EE">
        <w:t>(up 56%)</w:t>
      </w:r>
      <w:r w:rsidR="009D0718" w:rsidRPr="00AB54EE">
        <w:t>.</w:t>
      </w:r>
    </w:p>
    <w:p w14:paraId="193E1B38" w14:textId="1148FFDF" w:rsidR="0061712B" w:rsidRPr="00AB54EE" w:rsidRDefault="0061712B" w:rsidP="0061712B">
      <w:pPr>
        <w:pStyle w:val="ListParagraph"/>
        <w:numPr>
          <w:ilvl w:val="0"/>
          <w:numId w:val="20"/>
        </w:numPr>
        <w:spacing w:after="0" w:line="271" w:lineRule="auto"/>
      </w:pPr>
      <w:r w:rsidRPr="00AB54EE">
        <w:rPr>
          <w:b/>
        </w:rPr>
        <w:t>Canada</w:t>
      </w:r>
      <w:r w:rsidRPr="00AB54EE">
        <w:rPr>
          <w:bCs/>
        </w:rPr>
        <w:t xml:space="preserve"> (up 7%) – with a market share of 97% – lifted exports of </w:t>
      </w:r>
      <w:r w:rsidRPr="00AB54EE">
        <w:rPr>
          <w:b/>
        </w:rPr>
        <w:t>o</w:t>
      </w:r>
      <w:r w:rsidR="004D19F5" w:rsidRPr="00AB54EE">
        <w:rPr>
          <w:b/>
        </w:rPr>
        <w:t>res, slag, ash</w:t>
      </w:r>
      <w:r w:rsidR="004D19F5" w:rsidRPr="00AB54EE">
        <w:rPr>
          <w:bCs/>
        </w:rPr>
        <w:t xml:space="preserve"> (mainly </w:t>
      </w:r>
      <w:r w:rsidR="004D19F5" w:rsidRPr="00AB54EE">
        <w:rPr>
          <w:b/>
        </w:rPr>
        <w:t>iron ores</w:t>
      </w:r>
      <w:r w:rsidR="004D19F5" w:rsidRPr="00AB54EE">
        <w:rPr>
          <w:bCs/>
        </w:rPr>
        <w:t>)</w:t>
      </w:r>
      <w:r w:rsidR="005953F2" w:rsidRPr="00AB54EE">
        <w:rPr>
          <w:bCs/>
        </w:rPr>
        <w:t xml:space="preserve">. </w:t>
      </w:r>
    </w:p>
    <w:p w14:paraId="2D560DA5" w14:textId="67AD3686" w:rsidR="00821BD6" w:rsidRPr="00AB54EE" w:rsidRDefault="004D19F5" w:rsidP="00821BD6">
      <w:pPr>
        <w:pStyle w:val="NoSpacing"/>
        <w:numPr>
          <w:ilvl w:val="0"/>
          <w:numId w:val="7"/>
        </w:numPr>
        <w:spacing w:line="271" w:lineRule="auto"/>
        <w:ind w:left="360" w:right="-378"/>
      </w:pPr>
      <w:r w:rsidRPr="00AB54EE">
        <w:rPr>
          <w:bCs/>
        </w:rPr>
        <w:t>T</w:t>
      </w:r>
      <w:r w:rsidR="005953F2" w:rsidRPr="00AB54EE">
        <w:rPr>
          <w:bCs/>
        </w:rPr>
        <w:t>op markets for</w:t>
      </w:r>
      <w:r w:rsidR="005953F2" w:rsidRPr="00AB54EE">
        <w:rPr>
          <w:b/>
        </w:rPr>
        <w:t xml:space="preserve"> aircraft, spacecraft </w:t>
      </w:r>
      <w:r w:rsidR="0061712B" w:rsidRPr="00AB54EE">
        <w:rPr>
          <w:bCs/>
        </w:rPr>
        <w:t>boosted exports:</w:t>
      </w:r>
      <w:r w:rsidR="005953F2" w:rsidRPr="00AB54EE">
        <w:rPr>
          <w:b/>
        </w:rPr>
        <w:t xml:space="preserve"> </w:t>
      </w:r>
      <w:r w:rsidR="0061712B" w:rsidRPr="00AB54EE">
        <w:rPr>
          <w:b/>
        </w:rPr>
        <w:t>Mexico</w:t>
      </w:r>
      <w:r w:rsidR="0061712B" w:rsidRPr="00AB54EE">
        <w:rPr>
          <w:bCs/>
        </w:rPr>
        <w:t xml:space="preserve"> (up 67%), </w:t>
      </w:r>
      <w:r w:rsidR="0061712B" w:rsidRPr="00AB54EE">
        <w:rPr>
          <w:b/>
        </w:rPr>
        <w:t>the U.K.</w:t>
      </w:r>
      <w:r w:rsidR="00821BD6" w:rsidRPr="00AB54EE">
        <w:rPr>
          <w:b/>
        </w:rPr>
        <w:t xml:space="preserve"> </w:t>
      </w:r>
      <w:r w:rsidR="00821BD6" w:rsidRPr="00AB54EE">
        <w:rPr>
          <w:bCs/>
        </w:rPr>
        <w:t>(</w:t>
      </w:r>
      <w:r w:rsidR="004A1069" w:rsidRPr="00AB54EE">
        <w:rPr>
          <w:bCs/>
        </w:rPr>
        <w:t xml:space="preserve">up </w:t>
      </w:r>
      <w:r w:rsidR="0061712B" w:rsidRPr="00AB54EE">
        <w:rPr>
          <w:bCs/>
        </w:rPr>
        <w:t>63</w:t>
      </w:r>
      <w:r w:rsidR="005953F2" w:rsidRPr="00AB54EE">
        <w:rPr>
          <w:bCs/>
        </w:rPr>
        <w:t>%</w:t>
      </w:r>
      <w:r w:rsidR="00821BD6" w:rsidRPr="00AB54EE">
        <w:rPr>
          <w:bCs/>
        </w:rPr>
        <w:t>)</w:t>
      </w:r>
      <w:r w:rsidR="0061712B" w:rsidRPr="00AB54EE">
        <w:rPr>
          <w:bCs/>
        </w:rPr>
        <w:t xml:space="preserve"> and </w:t>
      </w:r>
      <w:r w:rsidR="0061712B" w:rsidRPr="00AB54EE">
        <w:rPr>
          <w:b/>
        </w:rPr>
        <w:t xml:space="preserve">Germany </w:t>
      </w:r>
      <w:r w:rsidR="0061712B" w:rsidRPr="00AB54EE">
        <w:rPr>
          <w:bCs/>
        </w:rPr>
        <w:t>(up 19%)</w:t>
      </w:r>
      <w:r w:rsidR="00821BD6" w:rsidRPr="00AB54EE">
        <w:rPr>
          <w:bCs/>
        </w:rPr>
        <w:t>.</w:t>
      </w:r>
      <w:r w:rsidR="00596618" w:rsidRPr="00AB54EE">
        <w:rPr>
          <w:bCs/>
        </w:rPr>
        <w:t xml:space="preserve"> </w:t>
      </w:r>
    </w:p>
    <w:p w14:paraId="78F56A9B" w14:textId="12A1CBA4" w:rsidR="000D1941" w:rsidRPr="00AB54EE" w:rsidRDefault="00AB54EE" w:rsidP="00821BD6">
      <w:pPr>
        <w:pStyle w:val="ListParagraph"/>
        <w:numPr>
          <w:ilvl w:val="0"/>
          <w:numId w:val="7"/>
        </w:numPr>
        <w:spacing w:after="0" w:line="271" w:lineRule="auto"/>
        <w:ind w:left="360" w:right="-396"/>
      </w:pPr>
      <w:r w:rsidRPr="00AB54EE">
        <w:rPr>
          <w:b/>
          <w:bCs/>
        </w:rPr>
        <w:t>Glucose products</w:t>
      </w:r>
      <w:r w:rsidRPr="00AB54EE">
        <w:t xml:space="preserve"> sold to </w:t>
      </w:r>
      <w:r w:rsidRPr="00AB54EE">
        <w:rPr>
          <w:b/>
          <w:bCs/>
        </w:rPr>
        <w:t xml:space="preserve">Mexico </w:t>
      </w:r>
      <w:r w:rsidRPr="00AB54EE">
        <w:t xml:space="preserve">(up $8 million) propelled </w:t>
      </w:r>
      <w:r w:rsidRPr="00AB54EE">
        <w:rPr>
          <w:b/>
          <w:bCs/>
        </w:rPr>
        <w:t>s</w:t>
      </w:r>
      <w:r w:rsidR="0061712B" w:rsidRPr="00AB54EE">
        <w:rPr>
          <w:b/>
          <w:bCs/>
        </w:rPr>
        <w:t>ugar, confectionary</w:t>
      </w:r>
      <w:r w:rsidR="00407A70" w:rsidRPr="00AB54EE">
        <w:t xml:space="preserve"> sales (</w:t>
      </w:r>
      <w:r w:rsidR="0061712B" w:rsidRPr="00AB54EE">
        <w:t xml:space="preserve">$25 million, </w:t>
      </w:r>
      <w:r w:rsidR="00407A70" w:rsidRPr="00AB54EE">
        <w:t xml:space="preserve">up </w:t>
      </w:r>
      <w:r w:rsidR="0061712B" w:rsidRPr="00AB54EE">
        <w:t>45</w:t>
      </w:r>
      <w:r w:rsidR="00407A70" w:rsidRPr="00AB54EE">
        <w:t>%)</w:t>
      </w:r>
      <w:r w:rsidRPr="00AB54EE">
        <w:t>.</w:t>
      </w:r>
      <w:r w:rsidR="00EE5D08" w:rsidRPr="00AB54EE">
        <w:t xml:space="preserve"> </w:t>
      </w:r>
    </w:p>
    <w:p w14:paraId="27143031" w14:textId="3F8D0C0D" w:rsidR="00AA525C" w:rsidRPr="00AB54EE" w:rsidRDefault="004A2022" w:rsidP="00CB38AF">
      <w:pPr>
        <w:pStyle w:val="ListParagraph"/>
        <w:numPr>
          <w:ilvl w:val="0"/>
          <w:numId w:val="7"/>
        </w:numPr>
        <w:spacing w:after="0" w:line="271" w:lineRule="auto"/>
        <w:ind w:left="360" w:right="54"/>
      </w:pPr>
      <w:r w:rsidRPr="00AB54EE">
        <w:t>Robust sales of</w:t>
      </w:r>
      <w:r w:rsidR="0061712B" w:rsidRPr="00AB54EE">
        <w:rPr>
          <w:b/>
          <w:bCs/>
        </w:rPr>
        <w:t xml:space="preserve"> cereals </w:t>
      </w:r>
      <w:r w:rsidR="0061712B" w:rsidRPr="00AB54EE">
        <w:t>to</w:t>
      </w:r>
      <w:r w:rsidR="0061712B" w:rsidRPr="00AB54EE">
        <w:rPr>
          <w:b/>
          <w:bCs/>
        </w:rPr>
        <w:t xml:space="preserve"> </w:t>
      </w:r>
      <w:r w:rsidR="00DA2D2A" w:rsidRPr="00AB54EE">
        <w:rPr>
          <w:b/>
          <w:bCs/>
        </w:rPr>
        <w:t xml:space="preserve">Mexico </w:t>
      </w:r>
      <w:r w:rsidR="00DA2D2A" w:rsidRPr="00AB54EE">
        <w:t>(</w:t>
      </w:r>
      <w:r w:rsidR="00DA2D2A" w:rsidRPr="00AB54EE">
        <w:rPr>
          <w:bCs/>
        </w:rPr>
        <w:t>up $</w:t>
      </w:r>
      <w:r w:rsidR="0061712B" w:rsidRPr="00AB54EE">
        <w:rPr>
          <w:bCs/>
        </w:rPr>
        <w:t>68</w:t>
      </w:r>
      <w:r w:rsidR="00DA2D2A" w:rsidRPr="00AB54EE">
        <w:rPr>
          <w:bCs/>
        </w:rPr>
        <w:t xml:space="preserve"> million) </w:t>
      </w:r>
      <w:r w:rsidRPr="00AB54EE">
        <w:rPr>
          <w:bCs/>
        </w:rPr>
        <w:t>offset</w:t>
      </w:r>
      <w:r w:rsidR="0061712B" w:rsidRPr="00AB54EE">
        <w:rPr>
          <w:bCs/>
        </w:rPr>
        <w:t xml:space="preserve"> downward trends in</w:t>
      </w:r>
      <w:r w:rsidR="00821BD6" w:rsidRPr="00AB54EE">
        <w:rPr>
          <w:bCs/>
        </w:rPr>
        <w:t xml:space="preserve"> </w:t>
      </w:r>
      <w:r w:rsidR="00821BD6" w:rsidRPr="00AB54EE">
        <w:rPr>
          <w:b/>
        </w:rPr>
        <w:t>Canad</w:t>
      </w:r>
      <w:r w:rsidR="00CB38AF" w:rsidRPr="00AB54EE">
        <w:rPr>
          <w:b/>
        </w:rPr>
        <w:t>a</w:t>
      </w:r>
      <w:r w:rsidR="0061712B" w:rsidRPr="00AB54EE">
        <w:rPr>
          <w:bCs/>
        </w:rPr>
        <w:t>,</w:t>
      </w:r>
      <w:r w:rsidR="0061712B" w:rsidRPr="00AB54EE">
        <w:rPr>
          <w:b/>
        </w:rPr>
        <w:t xml:space="preserve"> </w:t>
      </w:r>
      <w:proofErr w:type="gramStart"/>
      <w:r w:rsidR="0061712B" w:rsidRPr="00AB54EE">
        <w:rPr>
          <w:b/>
        </w:rPr>
        <w:t>Indonesia</w:t>
      </w:r>
      <w:proofErr w:type="gramEnd"/>
      <w:r w:rsidR="0061712B" w:rsidRPr="00AB54EE">
        <w:rPr>
          <w:b/>
        </w:rPr>
        <w:t xml:space="preserve"> </w:t>
      </w:r>
      <w:r w:rsidR="0061712B" w:rsidRPr="00AB54EE">
        <w:rPr>
          <w:bCs/>
        </w:rPr>
        <w:t>and</w:t>
      </w:r>
      <w:r w:rsidR="0061712B" w:rsidRPr="00AB54EE">
        <w:rPr>
          <w:b/>
        </w:rPr>
        <w:t xml:space="preserve"> Italy.</w:t>
      </w:r>
    </w:p>
    <w:p w14:paraId="21141203" w14:textId="390CD510" w:rsidR="009A491C" w:rsidRPr="00AB54EE" w:rsidRDefault="00DD4EBF" w:rsidP="00CB38AF">
      <w:pPr>
        <w:pStyle w:val="ListParagraph"/>
        <w:numPr>
          <w:ilvl w:val="0"/>
          <w:numId w:val="7"/>
        </w:numPr>
        <w:spacing w:after="0" w:line="271" w:lineRule="auto"/>
        <w:ind w:left="360" w:right="54"/>
      </w:pPr>
      <w:r w:rsidRPr="00AB54EE">
        <w:rPr>
          <w:b/>
        </w:rPr>
        <w:t>I</w:t>
      </w:r>
      <w:r w:rsidR="009A491C" w:rsidRPr="00AB54EE">
        <w:rPr>
          <w:b/>
        </w:rPr>
        <w:t xml:space="preserve">ntegrated circuits </w:t>
      </w:r>
      <w:r w:rsidR="009A491C" w:rsidRPr="00AB54EE">
        <w:rPr>
          <w:bCs/>
        </w:rPr>
        <w:t>(down 26%) and</w:t>
      </w:r>
      <w:r w:rsidR="009A491C" w:rsidRPr="00AB54EE">
        <w:rPr>
          <w:b/>
        </w:rPr>
        <w:t xml:space="preserve"> electric generators </w:t>
      </w:r>
      <w:r w:rsidR="009A491C" w:rsidRPr="00AB54EE">
        <w:rPr>
          <w:bCs/>
        </w:rPr>
        <w:t>(down 36%) impact</w:t>
      </w:r>
      <w:r w:rsidRPr="00AB54EE">
        <w:rPr>
          <w:bCs/>
        </w:rPr>
        <w:t xml:space="preserve">ed </w:t>
      </w:r>
      <w:r w:rsidR="009A491C" w:rsidRPr="00AB54EE">
        <w:rPr>
          <w:b/>
        </w:rPr>
        <w:t>electrical equipment</w:t>
      </w:r>
      <w:r w:rsidRPr="00AB54EE">
        <w:rPr>
          <w:bCs/>
        </w:rPr>
        <w:t xml:space="preserve"> the most</w:t>
      </w:r>
      <w:r w:rsidR="009A491C" w:rsidRPr="00AB54EE">
        <w:rPr>
          <w:b/>
        </w:rPr>
        <w:t>.</w:t>
      </w:r>
    </w:p>
    <w:p w14:paraId="73FA3A2E" w14:textId="67EFCDE7" w:rsidR="00596618" w:rsidRDefault="007F1C4A" w:rsidP="006871D2">
      <w:pPr>
        <w:pStyle w:val="Heading3"/>
        <w:spacing w:before="120" w:after="60"/>
        <w:rPr>
          <w:color w:val="auto"/>
          <w:sz w:val="24"/>
          <w:szCs w:val="24"/>
        </w:rPr>
      </w:pPr>
      <w:r w:rsidRPr="00AB54EE">
        <w:rPr>
          <w:color w:val="auto"/>
          <w:sz w:val="24"/>
          <w:szCs w:val="24"/>
        </w:rPr>
        <w:t>Fi</w:t>
      </w:r>
      <w:r w:rsidR="00A44451" w:rsidRPr="00AB54EE">
        <w:rPr>
          <w:color w:val="auto"/>
          <w:sz w:val="24"/>
          <w:szCs w:val="24"/>
        </w:rPr>
        <w:t>gure 4. Export Trends for</w:t>
      </w:r>
      <w:r w:rsidRPr="00AB54EE">
        <w:rPr>
          <w:color w:val="auto"/>
          <w:sz w:val="24"/>
          <w:szCs w:val="24"/>
        </w:rPr>
        <w:t xml:space="preserve"> Minnesota’s Top 10 Products, </w:t>
      </w:r>
      <w:r w:rsidR="00375ACF" w:rsidRPr="00AB54EE">
        <w:rPr>
          <w:color w:val="auto"/>
          <w:sz w:val="24"/>
          <w:szCs w:val="24"/>
        </w:rPr>
        <w:t xml:space="preserve">Third </w:t>
      </w:r>
      <w:r w:rsidR="00F85FA6" w:rsidRPr="00AB54EE">
        <w:rPr>
          <w:color w:val="auto"/>
          <w:sz w:val="24"/>
          <w:szCs w:val="24"/>
        </w:rPr>
        <w:t>Q</w:t>
      </w:r>
      <w:r w:rsidR="00375ACF" w:rsidRPr="00AB54EE">
        <w:rPr>
          <w:color w:val="auto"/>
          <w:sz w:val="24"/>
          <w:szCs w:val="24"/>
        </w:rPr>
        <w:t>uarter</w:t>
      </w:r>
      <w:r w:rsidR="00A52415" w:rsidRPr="00AB54EE">
        <w:rPr>
          <w:color w:val="auto"/>
          <w:sz w:val="24"/>
          <w:szCs w:val="24"/>
        </w:rPr>
        <w:t xml:space="preserve"> </w:t>
      </w:r>
      <w:r w:rsidR="004C6288" w:rsidRPr="00AB54EE">
        <w:rPr>
          <w:color w:val="auto"/>
          <w:sz w:val="24"/>
          <w:szCs w:val="24"/>
        </w:rPr>
        <w:t>2023</w:t>
      </w:r>
    </w:p>
    <w:p w14:paraId="185A58F4" w14:textId="3CE295F5" w:rsidR="006330D9" w:rsidRPr="00AB54EE" w:rsidRDefault="00A111CB" w:rsidP="00A111CB">
      <w:pPr>
        <w:spacing w:after="120"/>
        <w:jc w:val="center"/>
      </w:pPr>
      <w:r>
        <w:rPr>
          <w:noProof/>
        </w:rPr>
        <w:drawing>
          <wp:inline distT="0" distB="0" distL="0" distR="0" wp14:anchorId="43F6FC76" wp14:editId="09ED25F6">
            <wp:extent cx="6349552" cy="1698653"/>
            <wp:effectExtent l="0" t="0" r="0" b="0"/>
            <wp:docPr id="15" name="Picture 15" descr="MN exports for top 10 products, 2023-Q3&#10;PRODUCT Exports (millions) Percent Change, 2022-Q3 to 2023-Q3&#10;TOTAL  $6,055  -17%&#10;Optic, Medical  $1,016  4%&#10;Machinery  $981  3%&#10;Electrical Equipment  $875  -12%&#10;Vehicles  $563  48%&#10;Plastics  $257  -13%&#10;Cereals  $214  -11%&#10;Ores, Slag, Ash  $211  11%&#10;Food By-Products  $186  4%&#10;Aircraft, Spacecraft  $127  9%&#10;Misc. Chemicals  $126  3%&#10;Other  $1,500  -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N exports for top 10 products, 2023-Q3&#10;PRODUCT Exports (millions) Percent Change, 2022-Q3 to 2023-Q3&#10;TOTAL  $6,055  -17%&#10;Optic, Medical  $1,016  4%&#10;Machinery  $981  3%&#10;Electrical Equipment  $875  -12%&#10;Vehicles  $563  48%&#10;Plastics  $257  -13%&#10;Cereals  $214  -11%&#10;Ores, Slag, Ash  $211  11%&#10;Food By-Products  $186  4%&#10;Aircraft, Spacecraft  $127  9%&#10;Misc. Chemicals  $126  3%&#10;Other  $1,500  -48%&#10;"/>
                    <pic:cNvPicPr>
                      <a:picLocks noChangeAspect="1" noChangeArrowheads="1"/>
                    </pic:cNvPicPr>
                  </pic:nvPicPr>
                  <pic:blipFill rotWithShape="1">
                    <a:blip r:embed="rId17">
                      <a:extLst>
                        <a:ext uri="{28A0092B-C50C-407E-A947-70E740481C1C}">
                          <a14:useLocalDpi xmlns:a14="http://schemas.microsoft.com/office/drawing/2010/main" val="0"/>
                        </a:ext>
                      </a:extLst>
                    </a:blip>
                    <a:srcRect t="6522"/>
                    <a:stretch/>
                  </pic:blipFill>
                  <pic:spPr bwMode="auto">
                    <a:xfrm>
                      <a:off x="0" y="0"/>
                      <a:ext cx="6396534" cy="1711222"/>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306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accessed from WISERTrade - State HS Database, based on data collected by the U.S. Census Bureau, Foreign Trade Division. Reports are available on DEED’s website at “Export and Trade Statistics” (http://mn.gov/deed/data/export-stats/). "/>
      </w:tblPr>
      <w:tblGrid>
        <w:gridCol w:w="10255"/>
      </w:tblGrid>
      <w:tr w:rsidR="00AB54EE" w:rsidRPr="00AB54EE" w14:paraId="4FFE0446" w14:textId="77777777" w:rsidTr="006A4D47">
        <w:trPr>
          <w:trHeight w:val="530"/>
        </w:trPr>
        <w:tc>
          <w:tcPr>
            <w:tcW w:w="10255" w:type="dxa"/>
            <w:shd w:val="clear" w:color="auto" w:fill="C9E5A6"/>
          </w:tcPr>
          <w:p w14:paraId="685640BA" w14:textId="77777777" w:rsidR="006A4D47" w:rsidRPr="00AB54EE" w:rsidRDefault="006A4D47" w:rsidP="006A4D47">
            <w:pPr>
              <w:spacing w:before="120" w:after="120" w:line="240" w:lineRule="auto"/>
              <w:rPr>
                <w:rFonts w:ascii="Calibri" w:hAnsi="Calibri" w:cs="Calibri"/>
                <w:sz w:val="20"/>
                <w:szCs w:val="20"/>
              </w:rPr>
            </w:pPr>
            <w:r w:rsidRPr="00AB54EE">
              <w:rPr>
                <w:rStyle w:val="Emphasis"/>
                <w:rFonts w:cstheme="minorHAnsi"/>
                <w:sz w:val="20"/>
                <w:szCs w:val="20"/>
              </w:rPr>
              <w:t>Minnesota Export Statistics</w:t>
            </w:r>
            <w:r w:rsidRPr="00AB54EE">
              <w:rPr>
                <w:rStyle w:val="Emphasis"/>
                <w:rFonts w:cstheme="minorHAnsi"/>
                <w:i w:val="0"/>
                <w:iCs w:val="0"/>
                <w:sz w:val="20"/>
                <w:szCs w:val="20"/>
              </w:rPr>
              <w:t xml:space="preserve"> </w:t>
            </w:r>
            <w:r w:rsidRPr="00AB54EE">
              <w:rPr>
                <w:rStyle w:val="Emphasis"/>
                <w:i w:val="0"/>
                <w:iCs w:val="0"/>
                <w:sz w:val="20"/>
                <w:szCs w:val="20"/>
              </w:rPr>
              <w:t>reports</w:t>
            </w:r>
            <w:r w:rsidRPr="00AB54EE">
              <w:rPr>
                <w:rStyle w:val="Emphasis"/>
                <w:sz w:val="20"/>
                <w:szCs w:val="20"/>
              </w:rPr>
              <w:t xml:space="preserve"> t</w:t>
            </w:r>
            <w:r w:rsidRPr="00AB54EE">
              <w:rPr>
                <w:rFonts w:cstheme="minorHAnsi"/>
                <w:sz w:val="20"/>
                <w:szCs w:val="20"/>
              </w:rPr>
              <w:t>rack the state’s trends in exports of goods and is prepared for the Minnesota Trade Office by DEED’s Economic Analysis Unit (Thu-Mai Ho-Kim). The quarterly and annual reports primarily cover export data based on the Harmonized Tariff System (Schedule B), collected by the Foreign Trade Division, Census Bureau, U.S. Dept of Commerce and accessed through USA Trade Online (Census Bureau) and Trade Data Monitor (TDM). Historical reports are available on DEED’s website at “Export and Trade Statistics” (</w:t>
            </w:r>
            <w:hyperlink r:id="rId18" w:history="1">
              <w:r w:rsidRPr="00AB54EE">
                <w:rPr>
                  <w:rStyle w:val="Hyperlink"/>
                  <w:rFonts w:cstheme="minorHAnsi"/>
                  <w:color w:val="auto"/>
                  <w:sz w:val="20"/>
                  <w:szCs w:val="20"/>
                </w:rPr>
                <w:t>http://mn.gov/deed/data/export-stats/</w:t>
              </w:r>
            </w:hyperlink>
            <w:r w:rsidRPr="00AB54EE">
              <w:rPr>
                <w:rFonts w:cstheme="minorHAnsi"/>
                <w:sz w:val="20"/>
                <w:szCs w:val="20"/>
              </w:rPr>
              <w:t xml:space="preserve">).  </w:t>
            </w:r>
          </w:p>
        </w:tc>
      </w:tr>
    </w:tbl>
    <w:p w14:paraId="67779A89" w14:textId="0109015F" w:rsidR="00FE15EB" w:rsidRPr="00AB54EE" w:rsidRDefault="00FE15EB" w:rsidP="00F331FC">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FE15EB" w:rsidRPr="00AB54EE"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EDE0" w14:textId="77777777" w:rsidR="007119FE" w:rsidRDefault="007119FE">
      <w:r>
        <w:separator/>
      </w:r>
    </w:p>
  </w:endnote>
  <w:endnote w:type="continuationSeparator" w:id="0">
    <w:p w14:paraId="7C9C92B5" w14:textId="77777777" w:rsidR="007119FE" w:rsidRDefault="0071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22E678C6"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C0B9" w14:textId="77777777" w:rsidR="007119FE" w:rsidRDefault="007119FE">
      <w:r>
        <w:separator/>
      </w:r>
    </w:p>
  </w:footnote>
  <w:footnote w:type="continuationSeparator" w:id="0">
    <w:p w14:paraId="05AAE318" w14:textId="77777777" w:rsidR="007119FE" w:rsidRDefault="0071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6753"/>
    <w:multiLevelType w:val="hybridMultilevel"/>
    <w:tmpl w:val="31E0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926A3"/>
    <w:multiLevelType w:val="hybridMultilevel"/>
    <w:tmpl w:val="0A60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CB2"/>
    <w:multiLevelType w:val="hybridMultilevel"/>
    <w:tmpl w:val="E0E41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8B18F3"/>
    <w:multiLevelType w:val="hybridMultilevel"/>
    <w:tmpl w:val="9CD05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D255A"/>
    <w:multiLevelType w:val="hybridMultilevel"/>
    <w:tmpl w:val="2EE4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15109">
    <w:abstractNumId w:val="0"/>
  </w:num>
  <w:num w:numId="2" w16cid:durableId="587809003">
    <w:abstractNumId w:val="14"/>
  </w:num>
  <w:num w:numId="3" w16cid:durableId="315185240">
    <w:abstractNumId w:val="13"/>
  </w:num>
  <w:num w:numId="4" w16cid:durableId="739328196">
    <w:abstractNumId w:val="4"/>
  </w:num>
  <w:num w:numId="5" w16cid:durableId="596596594">
    <w:abstractNumId w:val="1"/>
  </w:num>
  <w:num w:numId="6" w16cid:durableId="1351759869">
    <w:abstractNumId w:val="8"/>
  </w:num>
  <w:num w:numId="7" w16cid:durableId="1845899144">
    <w:abstractNumId w:val="19"/>
  </w:num>
  <w:num w:numId="8" w16cid:durableId="1255089048">
    <w:abstractNumId w:val="17"/>
  </w:num>
  <w:num w:numId="9" w16cid:durableId="812912516">
    <w:abstractNumId w:val="11"/>
  </w:num>
  <w:num w:numId="10" w16cid:durableId="434403191">
    <w:abstractNumId w:val="9"/>
  </w:num>
  <w:num w:numId="11" w16cid:durableId="199321401">
    <w:abstractNumId w:val="7"/>
  </w:num>
  <w:num w:numId="12" w16cid:durableId="1962147869">
    <w:abstractNumId w:val="2"/>
  </w:num>
  <w:num w:numId="13" w16cid:durableId="26877656">
    <w:abstractNumId w:val="18"/>
  </w:num>
  <w:num w:numId="14" w16cid:durableId="1700356944">
    <w:abstractNumId w:val="12"/>
  </w:num>
  <w:num w:numId="15" w16cid:durableId="1203322051">
    <w:abstractNumId w:val="6"/>
  </w:num>
  <w:num w:numId="16" w16cid:durableId="1798253661">
    <w:abstractNumId w:val="3"/>
  </w:num>
  <w:num w:numId="17" w16cid:durableId="136194312">
    <w:abstractNumId w:val="10"/>
  </w:num>
  <w:num w:numId="18" w16cid:durableId="449085045">
    <w:abstractNumId w:val="15"/>
  </w:num>
  <w:num w:numId="19" w16cid:durableId="696664036">
    <w:abstractNumId w:val="16"/>
  </w:num>
  <w:num w:numId="20" w16cid:durableId="4328281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4DC"/>
    <w:rsid w:val="00003FDB"/>
    <w:rsid w:val="000041CC"/>
    <w:rsid w:val="0000470B"/>
    <w:rsid w:val="000115BA"/>
    <w:rsid w:val="00013717"/>
    <w:rsid w:val="00015A9D"/>
    <w:rsid w:val="00017FE0"/>
    <w:rsid w:val="000218A0"/>
    <w:rsid w:val="00024BB5"/>
    <w:rsid w:val="000350A7"/>
    <w:rsid w:val="00035328"/>
    <w:rsid w:val="00036238"/>
    <w:rsid w:val="00036760"/>
    <w:rsid w:val="00040083"/>
    <w:rsid w:val="00044ED9"/>
    <w:rsid w:val="00046117"/>
    <w:rsid w:val="00051435"/>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455F"/>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1CB0"/>
    <w:rsid w:val="000C2181"/>
    <w:rsid w:val="000C3AE5"/>
    <w:rsid w:val="000C4ED2"/>
    <w:rsid w:val="000D02DD"/>
    <w:rsid w:val="000D1330"/>
    <w:rsid w:val="000D18A9"/>
    <w:rsid w:val="000D1941"/>
    <w:rsid w:val="000D2409"/>
    <w:rsid w:val="000D566F"/>
    <w:rsid w:val="000D5D94"/>
    <w:rsid w:val="000D6FAF"/>
    <w:rsid w:val="000E0786"/>
    <w:rsid w:val="000E3376"/>
    <w:rsid w:val="000E532F"/>
    <w:rsid w:val="000E6BD9"/>
    <w:rsid w:val="000E6F54"/>
    <w:rsid w:val="000E7ED0"/>
    <w:rsid w:val="000F0519"/>
    <w:rsid w:val="000F1497"/>
    <w:rsid w:val="000F1844"/>
    <w:rsid w:val="000F1B22"/>
    <w:rsid w:val="000F3E1F"/>
    <w:rsid w:val="000F4C5E"/>
    <w:rsid w:val="000F54F2"/>
    <w:rsid w:val="000F5EB1"/>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22BE"/>
    <w:rsid w:val="00145936"/>
    <w:rsid w:val="00147356"/>
    <w:rsid w:val="00147EEF"/>
    <w:rsid w:val="00150201"/>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835"/>
    <w:rsid w:val="001B0D71"/>
    <w:rsid w:val="001B1416"/>
    <w:rsid w:val="001B344A"/>
    <w:rsid w:val="001B3687"/>
    <w:rsid w:val="001B4406"/>
    <w:rsid w:val="001B5950"/>
    <w:rsid w:val="001B6B06"/>
    <w:rsid w:val="001C1112"/>
    <w:rsid w:val="001C13C5"/>
    <w:rsid w:val="001C1959"/>
    <w:rsid w:val="001C1A15"/>
    <w:rsid w:val="001C3A93"/>
    <w:rsid w:val="001C6967"/>
    <w:rsid w:val="001D0609"/>
    <w:rsid w:val="001D704D"/>
    <w:rsid w:val="001D767B"/>
    <w:rsid w:val="001E36FD"/>
    <w:rsid w:val="001E4570"/>
    <w:rsid w:val="001E4F28"/>
    <w:rsid w:val="001E53CF"/>
    <w:rsid w:val="001E6B49"/>
    <w:rsid w:val="001E761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109C"/>
    <w:rsid w:val="0021231E"/>
    <w:rsid w:val="002127D7"/>
    <w:rsid w:val="00212FF3"/>
    <w:rsid w:val="002158EE"/>
    <w:rsid w:val="00215DA6"/>
    <w:rsid w:val="00216C2D"/>
    <w:rsid w:val="00217960"/>
    <w:rsid w:val="002224AE"/>
    <w:rsid w:val="0022389E"/>
    <w:rsid w:val="00223F46"/>
    <w:rsid w:val="00226A71"/>
    <w:rsid w:val="00230CA2"/>
    <w:rsid w:val="00234444"/>
    <w:rsid w:val="00244370"/>
    <w:rsid w:val="00245025"/>
    <w:rsid w:val="0024609E"/>
    <w:rsid w:val="00250B75"/>
    <w:rsid w:val="002538D5"/>
    <w:rsid w:val="0025565E"/>
    <w:rsid w:val="002607E0"/>
    <w:rsid w:val="00262FF7"/>
    <w:rsid w:val="0026310F"/>
    <w:rsid w:val="00264CC3"/>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4B11"/>
    <w:rsid w:val="002A52FC"/>
    <w:rsid w:val="002B1415"/>
    <w:rsid w:val="002B329E"/>
    <w:rsid w:val="002B36A6"/>
    <w:rsid w:val="002B3ACE"/>
    <w:rsid w:val="002B6B53"/>
    <w:rsid w:val="002B6EBF"/>
    <w:rsid w:val="002C0C4E"/>
    <w:rsid w:val="002C164C"/>
    <w:rsid w:val="002C3BBC"/>
    <w:rsid w:val="002C52C4"/>
    <w:rsid w:val="002C6521"/>
    <w:rsid w:val="002D1E09"/>
    <w:rsid w:val="002D2A7E"/>
    <w:rsid w:val="002D2EF5"/>
    <w:rsid w:val="002D63BC"/>
    <w:rsid w:val="002D6A99"/>
    <w:rsid w:val="002D6F33"/>
    <w:rsid w:val="002E27C8"/>
    <w:rsid w:val="002E47BC"/>
    <w:rsid w:val="002E53C6"/>
    <w:rsid w:val="002E54F1"/>
    <w:rsid w:val="002E6B92"/>
    <w:rsid w:val="002F0687"/>
    <w:rsid w:val="002F1C0E"/>
    <w:rsid w:val="002F1E64"/>
    <w:rsid w:val="002F257A"/>
    <w:rsid w:val="002F285F"/>
    <w:rsid w:val="002F5224"/>
    <w:rsid w:val="002F71B1"/>
    <w:rsid w:val="002F7ABC"/>
    <w:rsid w:val="00301B16"/>
    <w:rsid w:val="003047CE"/>
    <w:rsid w:val="00304E7F"/>
    <w:rsid w:val="00310D8B"/>
    <w:rsid w:val="0031458A"/>
    <w:rsid w:val="00314865"/>
    <w:rsid w:val="00314EBD"/>
    <w:rsid w:val="00316840"/>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4753B"/>
    <w:rsid w:val="00352999"/>
    <w:rsid w:val="003530DA"/>
    <w:rsid w:val="0035427F"/>
    <w:rsid w:val="0035592C"/>
    <w:rsid w:val="003575CE"/>
    <w:rsid w:val="00361002"/>
    <w:rsid w:val="003610A2"/>
    <w:rsid w:val="00365F97"/>
    <w:rsid w:val="00370F35"/>
    <w:rsid w:val="00371C8B"/>
    <w:rsid w:val="00372846"/>
    <w:rsid w:val="00373858"/>
    <w:rsid w:val="00373CD5"/>
    <w:rsid w:val="00374F2A"/>
    <w:rsid w:val="00375ACF"/>
    <w:rsid w:val="00375BF0"/>
    <w:rsid w:val="00375D7D"/>
    <w:rsid w:val="0037721A"/>
    <w:rsid w:val="0038071A"/>
    <w:rsid w:val="003823B0"/>
    <w:rsid w:val="003833B0"/>
    <w:rsid w:val="00383D01"/>
    <w:rsid w:val="00385E7F"/>
    <w:rsid w:val="0038665A"/>
    <w:rsid w:val="00387777"/>
    <w:rsid w:val="00387942"/>
    <w:rsid w:val="00387E7F"/>
    <w:rsid w:val="00391815"/>
    <w:rsid w:val="00392609"/>
    <w:rsid w:val="0039324F"/>
    <w:rsid w:val="00396483"/>
    <w:rsid w:val="003975D0"/>
    <w:rsid w:val="003A0CE5"/>
    <w:rsid w:val="003A3D11"/>
    <w:rsid w:val="003B0B33"/>
    <w:rsid w:val="003B2771"/>
    <w:rsid w:val="003B3484"/>
    <w:rsid w:val="003B62FF"/>
    <w:rsid w:val="003C188A"/>
    <w:rsid w:val="003C316B"/>
    <w:rsid w:val="003C3B88"/>
    <w:rsid w:val="003C3D13"/>
    <w:rsid w:val="003C43EB"/>
    <w:rsid w:val="003C53CE"/>
    <w:rsid w:val="003C57B0"/>
    <w:rsid w:val="003C7165"/>
    <w:rsid w:val="003D044E"/>
    <w:rsid w:val="003D18F7"/>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870"/>
    <w:rsid w:val="00402A86"/>
    <w:rsid w:val="00405F36"/>
    <w:rsid w:val="004061B1"/>
    <w:rsid w:val="00406747"/>
    <w:rsid w:val="00406E6D"/>
    <w:rsid w:val="00407310"/>
    <w:rsid w:val="00407A70"/>
    <w:rsid w:val="00410564"/>
    <w:rsid w:val="00410B76"/>
    <w:rsid w:val="00410BBC"/>
    <w:rsid w:val="00412776"/>
    <w:rsid w:val="00412C47"/>
    <w:rsid w:val="00420D04"/>
    <w:rsid w:val="0042279B"/>
    <w:rsid w:val="0042285F"/>
    <w:rsid w:val="00425184"/>
    <w:rsid w:val="00426066"/>
    <w:rsid w:val="00426DC1"/>
    <w:rsid w:val="0043003B"/>
    <w:rsid w:val="004303E8"/>
    <w:rsid w:val="004304CD"/>
    <w:rsid w:val="00433DBF"/>
    <w:rsid w:val="004362B0"/>
    <w:rsid w:val="00437CB6"/>
    <w:rsid w:val="0044214A"/>
    <w:rsid w:val="004430A9"/>
    <w:rsid w:val="00445385"/>
    <w:rsid w:val="00445834"/>
    <w:rsid w:val="00447C35"/>
    <w:rsid w:val="004527A6"/>
    <w:rsid w:val="0045332A"/>
    <w:rsid w:val="004550A2"/>
    <w:rsid w:val="00457309"/>
    <w:rsid w:val="00457D79"/>
    <w:rsid w:val="00464CC9"/>
    <w:rsid w:val="0046665A"/>
    <w:rsid w:val="00466D65"/>
    <w:rsid w:val="0046703D"/>
    <w:rsid w:val="00467FA8"/>
    <w:rsid w:val="0047028E"/>
    <w:rsid w:val="0047084F"/>
    <w:rsid w:val="00470FED"/>
    <w:rsid w:val="004713E0"/>
    <w:rsid w:val="0047151D"/>
    <w:rsid w:val="004736AA"/>
    <w:rsid w:val="00475201"/>
    <w:rsid w:val="00475D79"/>
    <w:rsid w:val="0047760E"/>
    <w:rsid w:val="00480418"/>
    <w:rsid w:val="0048185B"/>
    <w:rsid w:val="00481E39"/>
    <w:rsid w:val="00482FFB"/>
    <w:rsid w:val="00483853"/>
    <w:rsid w:val="00484906"/>
    <w:rsid w:val="004867A4"/>
    <w:rsid w:val="00486B23"/>
    <w:rsid w:val="00487935"/>
    <w:rsid w:val="004900B8"/>
    <w:rsid w:val="004910BF"/>
    <w:rsid w:val="00491AC8"/>
    <w:rsid w:val="00493958"/>
    <w:rsid w:val="00493DF8"/>
    <w:rsid w:val="004944A7"/>
    <w:rsid w:val="004951BC"/>
    <w:rsid w:val="00495EF8"/>
    <w:rsid w:val="00497570"/>
    <w:rsid w:val="00497998"/>
    <w:rsid w:val="004A0D12"/>
    <w:rsid w:val="004A1069"/>
    <w:rsid w:val="004A2022"/>
    <w:rsid w:val="004A3CC9"/>
    <w:rsid w:val="004A4223"/>
    <w:rsid w:val="004A43B9"/>
    <w:rsid w:val="004A5841"/>
    <w:rsid w:val="004A5B9A"/>
    <w:rsid w:val="004A6B80"/>
    <w:rsid w:val="004A7FE8"/>
    <w:rsid w:val="004B0B28"/>
    <w:rsid w:val="004B4376"/>
    <w:rsid w:val="004B4BD6"/>
    <w:rsid w:val="004B74F8"/>
    <w:rsid w:val="004B7C0E"/>
    <w:rsid w:val="004C0132"/>
    <w:rsid w:val="004C31E6"/>
    <w:rsid w:val="004C4224"/>
    <w:rsid w:val="004C6288"/>
    <w:rsid w:val="004D0671"/>
    <w:rsid w:val="004D19F5"/>
    <w:rsid w:val="004D1EAB"/>
    <w:rsid w:val="004D23CF"/>
    <w:rsid w:val="004D6223"/>
    <w:rsid w:val="004D7918"/>
    <w:rsid w:val="004E06B6"/>
    <w:rsid w:val="004E1A2B"/>
    <w:rsid w:val="004E1D93"/>
    <w:rsid w:val="004E7051"/>
    <w:rsid w:val="004E7967"/>
    <w:rsid w:val="004F046B"/>
    <w:rsid w:val="004F0B2F"/>
    <w:rsid w:val="004F19B8"/>
    <w:rsid w:val="004F2AFD"/>
    <w:rsid w:val="004F5A09"/>
    <w:rsid w:val="004F5CE6"/>
    <w:rsid w:val="004F5EFC"/>
    <w:rsid w:val="004F6D22"/>
    <w:rsid w:val="004F6DBE"/>
    <w:rsid w:val="004F714C"/>
    <w:rsid w:val="004F73D4"/>
    <w:rsid w:val="00500A5C"/>
    <w:rsid w:val="005026CC"/>
    <w:rsid w:val="00503AD1"/>
    <w:rsid w:val="005041F7"/>
    <w:rsid w:val="0050449A"/>
    <w:rsid w:val="005078AA"/>
    <w:rsid w:val="005100D1"/>
    <w:rsid w:val="00513720"/>
    <w:rsid w:val="0051607A"/>
    <w:rsid w:val="005205F4"/>
    <w:rsid w:val="00521967"/>
    <w:rsid w:val="00524378"/>
    <w:rsid w:val="005269B7"/>
    <w:rsid w:val="005269D3"/>
    <w:rsid w:val="00530F70"/>
    <w:rsid w:val="005315EA"/>
    <w:rsid w:val="00532FD5"/>
    <w:rsid w:val="00533107"/>
    <w:rsid w:val="00534E9F"/>
    <w:rsid w:val="0053506A"/>
    <w:rsid w:val="0053512A"/>
    <w:rsid w:val="00535508"/>
    <w:rsid w:val="00535D23"/>
    <w:rsid w:val="00536B13"/>
    <w:rsid w:val="005370BB"/>
    <w:rsid w:val="00540B35"/>
    <w:rsid w:val="00541FFE"/>
    <w:rsid w:val="00544F1F"/>
    <w:rsid w:val="00545752"/>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1831"/>
    <w:rsid w:val="00582DC9"/>
    <w:rsid w:val="00585250"/>
    <w:rsid w:val="005859C8"/>
    <w:rsid w:val="00587796"/>
    <w:rsid w:val="005940DB"/>
    <w:rsid w:val="005953F2"/>
    <w:rsid w:val="00596618"/>
    <w:rsid w:val="00597ABF"/>
    <w:rsid w:val="005A2AAC"/>
    <w:rsid w:val="005A3C50"/>
    <w:rsid w:val="005A4293"/>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4E9"/>
    <w:rsid w:val="00606AB0"/>
    <w:rsid w:val="00607FAE"/>
    <w:rsid w:val="0061064A"/>
    <w:rsid w:val="006139EC"/>
    <w:rsid w:val="00613CC2"/>
    <w:rsid w:val="00615BC9"/>
    <w:rsid w:val="00615CB4"/>
    <w:rsid w:val="0061712B"/>
    <w:rsid w:val="006177AE"/>
    <w:rsid w:val="00620C18"/>
    <w:rsid w:val="00621065"/>
    <w:rsid w:val="00621A4A"/>
    <w:rsid w:val="0062213F"/>
    <w:rsid w:val="00624E22"/>
    <w:rsid w:val="006308E7"/>
    <w:rsid w:val="006330D9"/>
    <w:rsid w:val="006339F5"/>
    <w:rsid w:val="0063551B"/>
    <w:rsid w:val="00635F82"/>
    <w:rsid w:val="00636B6E"/>
    <w:rsid w:val="0063763A"/>
    <w:rsid w:val="00637894"/>
    <w:rsid w:val="00640620"/>
    <w:rsid w:val="00641D3B"/>
    <w:rsid w:val="00646942"/>
    <w:rsid w:val="00647786"/>
    <w:rsid w:val="006519AF"/>
    <w:rsid w:val="00652A9D"/>
    <w:rsid w:val="006549A6"/>
    <w:rsid w:val="0065603B"/>
    <w:rsid w:val="0066058B"/>
    <w:rsid w:val="006618F7"/>
    <w:rsid w:val="00662222"/>
    <w:rsid w:val="00662414"/>
    <w:rsid w:val="00663755"/>
    <w:rsid w:val="00664A69"/>
    <w:rsid w:val="0066595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871D2"/>
    <w:rsid w:val="00691D49"/>
    <w:rsid w:val="006922C8"/>
    <w:rsid w:val="00692D3B"/>
    <w:rsid w:val="00693229"/>
    <w:rsid w:val="006951FD"/>
    <w:rsid w:val="00695BB1"/>
    <w:rsid w:val="006964AF"/>
    <w:rsid w:val="006A17BE"/>
    <w:rsid w:val="006A3E64"/>
    <w:rsid w:val="006A4D47"/>
    <w:rsid w:val="006A56E4"/>
    <w:rsid w:val="006B029D"/>
    <w:rsid w:val="006B2D41"/>
    <w:rsid w:val="006B6D8D"/>
    <w:rsid w:val="006C1643"/>
    <w:rsid w:val="006C287C"/>
    <w:rsid w:val="006C3C15"/>
    <w:rsid w:val="006C7D4F"/>
    <w:rsid w:val="006D12B4"/>
    <w:rsid w:val="006D4F41"/>
    <w:rsid w:val="006D6A44"/>
    <w:rsid w:val="006D7A33"/>
    <w:rsid w:val="006E280A"/>
    <w:rsid w:val="006E4BEC"/>
    <w:rsid w:val="006E6792"/>
    <w:rsid w:val="006E75E2"/>
    <w:rsid w:val="006F01B5"/>
    <w:rsid w:val="006F06FC"/>
    <w:rsid w:val="006F4AD5"/>
    <w:rsid w:val="006F4CA7"/>
    <w:rsid w:val="006F5527"/>
    <w:rsid w:val="006F6211"/>
    <w:rsid w:val="00701034"/>
    <w:rsid w:val="00703D62"/>
    <w:rsid w:val="007046F7"/>
    <w:rsid w:val="00707559"/>
    <w:rsid w:val="007076DF"/>
    <w:rsid w:val="00710701"/>
    <w:rsid w:val="007119FE"/>
    <w:rsid w:val="00712602"/>
    <w:rsid w:val="007144F6"/>
    <w:rsid w:val="00716311"/>
    <w:rsid w:val="007216E3"/>
    <w:rsid w:val="00723A6D"/>
    <w:rsid w:val="00725672"/>
    <w:rsid w:val="007269AB"/>
    <w:rsid w:val="00731691"/>
    <w:rsid w:val="00732F74"/>
    <w:rsid w:val="007332F9"/>
    <w:rsid w:val="00734ED0"/>
    <w:rsid w:val="00736085"/>
    <w:rsid w:val="00736171"/>
    <w:rsid w:val="00741394"/>
    <w:rsid w:val="007418D9"/>
    <w:rsid w:val="00742173"/>
    <w:rsid w:val="00742415"/>
    <w:rsid w:val="007426DA"/>
    <w:rsid w:val="00743593"/>
    <w:rsid w:val="00743C00"/>
    <w:rsid w:val="00743CDA"/>
    <w:rsid w:val="007441D4"/>
    <w:rsid w:val="00744252"/>
    <w:rsid w:val="00746FD8"/>
    <w:rsid w:val="00750FE0"/>
    <w:rsid w:val="00751E26"/>
    <w:rsid w:val="007548E4"/>
    <w:rsid w:val="0075548A"/>
    <w:rsid w:val="00757335"/>
    <w:rsid w:val="00760360"/>
    <w:rsid w:val="007613E1"/>
    <w:rsid w:val="00761522"/>
    <w:rsid w:val="0076179E"/>
    <w:rsid w:val="00762462"/>
    <w:rsid w:val="00762E9C"/>
    <w:rsid w:val="00764F3A"/>
    <w:rsid w:val="00770689"/>
    <w:rsid w:val="00772951"/>
    <w:rsid w:val="007752C1"/>
    <w:rsid w:val="0077623A"/>
    <w:rsid w:val="007771AD"/>
    <w:rsid w:val="007818E5"/>
    <w:rsid w:val="0078397D"/>
    <w:rsid w:val="00784103"/>
    <w:rsid w:val="00784C0B"/>
    <w:rsid w:val="00784F13"/>
    <w:rsid w:val="00787A9E"/>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38E8"/>
    <w:rsid w:val="007D733B"/>
    <w:rsid w:val="007E22C2"/>
    <w:rsid w:val="007E2DB9"/>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1BD6"/>
    <w:rsid w:val="00824824"/>
    <w:rsid w:val="008274F3"/>
    <w:rsid w:val="0082792B"/>
    <w:rsid w:val="008303A2"/>
    <w:rsid w:val="00831997"/>
    <w:rsid w:val="00831E3F"/>
    <w:rsid w:val="00831F99"/>
    <w:rsid w:val="00833913"/>
    <w:rsid w:val="00835A94"/>
    <w:rsid w:val="00836835"/>
    <w:rsid w:val="00836FB4"/>
    <w:rsid w:val="00837B67"/>
    <w:rsid w:val="00837BEB"/>
    <w:rsid w:val="0084055A"/>
    <w:rsid w:val="00842BCE"/>
    <w:rsid w:val="00846556"/>
    <w:rsid w:val="00851C18"/>
    <w:rsid w:val="0085254B"/>
    <w:rsid w:val="00852D9B"/>
    <w:rsid w:val="00856B05"/>
    <w:rsid w:val="00861FE3"/>
    <w:rsid w:val="00863EF0"/>
    <w:rsid w:val="00864956"/>
    <w:rsid w:val="00864F1C"/>
    <w:rsid w:val="00872803"/>
    <w:rsid w:val="00872BA2"/>
    <w:rsid w:val="0087384F"/>
    <w:rsid w:val="00877E32"/>
    <w:rsid w:val="0088063C"/>
    <w:rsid w:val="00881039"/>
    <w:rsid w:val="00883AAA"/>
    <w:rsid w:val="00890980"/>
    <w:rsid w:val="00890CBC"/>
    <w:rsid w:val="00892EBC"/>
    <w:rsid w:val="00894E39"/>
    <w:rsid w:val="00895418"/>
    <w:rsid w:val="008957D9"/>
    <w:rsid w:val="0089788C"/>
    <w:rsid w:val="00897AF8"/>
    <w:rsid w:val="008A202D"/>
    <w:rsid w:val="008A4157"/>
    <w:rsid w:val="008A5FCC"/>
    <w:rsid w:val="008B4846"/>
    <w:rsid w:val="008B5689"/>
    <w:rsid w:val="008B5DBC"/>
    <w:rsid w:val="008B749E"/>
    <w:rsid w:val="008C09B5"/>
    <w:rsid w:val="008C1F20"/>
    <w:rsid w:val="008C2D17"/>
    <w:rsid w:val="008C3CC2"/>
    <w:rsid w:val="008C3E75"/>
    <w:rsid w:val="008C5F38"/>
    <w:rsid w:val="008C6B0E"/>
    <w:rsid w:val="008C6FC8"/>
    <w:rsid w:val="008C7870"/>
    <w:rsid w:val="008D3756"/>
    <w:rsid w:val="008D4971"/>
    <w:rsid w:val="008D77FD"/>
    <w:rsid w:val="008E16CE"/>
    <w:rsid w:val="008E1E77"/>
    <w:rsid w:val="008E350D"/>
    <w:rsid w:val="008E6A92"/>
    <w:rsid w:val="008F1D37"/>
    <w:rsid w:val="008F4BDD"/>
    <w:rsid w:val="008F7897"/>
    <w:rsid w:val="00900302"/>
    <w:rsid w:val="0090296E"/>
    <w:rsid w:val="00902E31"/>
    <w:rsid w:val="0090379A"/>
    <w:rsid w:val="00906C03"/>
    <w:rsid w:val="0091354B"/>
    <w:rsid w:val="00913E49"/>
    <w:rsid w:val="00913ED2"/>
    <w:rsid w:val="009147FF"/>
    <w:rsid w:val="00915805"/>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491C"/>
    <w:rsid w:val="009A5B58"/>
    <w:rsid w:val="009A5E1D"/>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0718"/>
    <w:rsid w:val="009D162F"/>
    <w:rsid w:val="009D1776"/>
    <w:rsid w:val="009D5976"/>
    <w:rsid w:val="009D5A80"/>
    <w:rsid w:val="009D79AE"/>
    <w:rsid w:val="009E0053"/>
    <w:rsid w:val="009E040A"/>
    <w:rsid w:val="009E2345"/>
    <w:rsid w:val="009E312B"/>
    <w:rsid w:val="009E40AA"/>
    <w:rsid w:val="009E4E40"/>
    <w:rsid w:val="009E710F"/>
    <w:rsid w:val="009F206C"/>
    <w:rsid w:val="009F6A97"/>
    <w:rsid w:val="00A00283"/>
    <w:rsid w:val="00A008E4"/>
    <w:rsid w:val="00A00B50"/>
    <w:rsid w:val="00A00E20"/>
    <w:rsid w:val="00A0253A"/>
    <w:rsid w:val="00A02A94"/>
    <w:rsid w:val="00A03293"/>
    <w:rsid w:val="00A03ADC"/>
    <w:rsid w:val="00A1000D"/>
    <w:rsid w:val="00A10193"/>
    <w:rsid w:val="00A10AC7"/>
    <w:rsid w:val="00A10DF8"/>
    <w:rsid w:val="00A111CB"/>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105C"/>
    <w:rsid w:val="00A513DF"/>
    <w:rsid w:val="00A52415"/>
    <w:rsid w:val="00A5321A"/>
    <w:rsid w:val="00A57B01"/>
    <w:rsid w:val="00A60B2E"/>
    <w:rsid w:val="00A61566"/>
    <w:rsid w:val="00A6188E"/>
    <w:rsid w:val="00A62E69"/>
    <w:rsid w:val="00A634F8"/>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25A8"/>
    <w:rsid w:val="00A943AF"/>
    <w:rsid w:val="00A96B58"/>
    <w:rsid w:val="00AA0175"/>
    <w:rsid w:val="00AA0A83"/>
    <w:rsid w:val="00AA25E4"/>
    <w:rsid w:val="00AA3112"/>
    <w:rsid w:val="00AA33FB"/>
    <w:rsid w:val="00AA4C9D"/>
    <w:rsid w:val="00AA525C"/>
    <w:rsid w:val="00AA6162"/>
    <w:rsid w:val="00AA733A"/>
    <w:rsid w:val="00AA78DC"/>
    <w:rsid w:val="00AA7F1A"/>
    <w:rsid w:val="00AB10AA"/>
    <w:rsid w:val="00AB25F9"/>
    <w:rsid w:val="00AB2F51"/>
    <w:rsid w:val="00AB2FDC"/>
    <w:rsid w:val="00AB54EE"/>
    <w:rsid w:val="00AB6229"/>
    <w:rsid w:val="00AC1689"/>
    <w:rsid w:val="00AC1FDD"/>
    <w:rsid w:val="00AC4D72"/>
    <w:rsid w:val="00AC4F4B"/>
    <w:rsid w:val="00AC71A6"/>
    <w:rsid w:val="00AC7D35"/>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48CD"/>
    <w:rsid w:val="00AF5E69"/>
    <w:rsid w:val="00AF5FAD"/>
    <w:rsid w:val="00AF6022"/>
    <w:rsid w:val="00AF7EC8"/>
    <w:rsid w:val="00B015A7"/>
    <w:rsid w:val="00B01F89"/>
    <w:rsid w:val="00B038CC"/>
    <w:rsid w:val="00B051B8"/>
    <w:rsid w:val="00B053D9"/>
    <w:rsid w:val="00B06556"/>
    <w:rsid w:val="00B06B85"/>
    <w:rsid w:val="00B11F31"/>
    <w:rsid w:val="00B12AB1"/>
    <w:rsid w:val="00B12C14"/>
    <w:rsid w:val="00B14090"/>
    <w:rsid w:val="00B15932"/>
    <w:rsid w:val="00B161CF"/>
    <w:rsid w:val="00B16F92"/>
    <w:rsid w:val="00B21E7A"/>
    <w:rsid w:val="00B21EA3"/>
    <w:rsid w:val="00B2296E"/>
    <w:rsid w:val="00B328E5"/>
    <w:rsid w:val="00B3388D"/>
    <w:rsid w:val="00B34168"/>
    <w:rsid w:val="00B345D9"/>
    <w:rsid w:val="00B34DF8"/>
    <w:rsid w:val="00B37B14"/>
    <w:rsid w:val="00B43D0A"/>
    <w:rsid w:val="00B43EF1"/>
    <w:rsid w:val="00B44303"/>
    <w:rsid w:val="00B47091"/>
    <w:rsid w:val="00B47D07"/>
    <w:rsid w:val="00B5144B"/>
    <w:rsid w:val="00B5170B"/>
    <w:rsid w:val="00B52EE1"/>
    <w:rsid w:val="00B53992"/>
    <w:rsid w:val="00B53D6E"/>
    <w:rsid w:val="00B54EA4"/>
    <w:rsid w:val="00B64706"/>
    <w:rsid w:val="00B679D3"/>
    <w:rsid w:val="00B67FEA"/>
    <w:rsid w:val="00B708AD"/>
    <w:rsid w:val="00B710D2"/>
    <w:rsid w:val="00B7113C"/>
    <w:rsid w:val="00B712CC"/>
    <w:rsid w:val="00B723DF"/>
    <w:rsid w:val="00B72D64"/>
    <w:rsid w:val="00B731DE"/>
    <w:rsid w:val="00B734C3"/>
    <w:rsid w:val="00B74252"/>
    <w:rsid w:val="00B7514D"/>
    <w:rsid w:val="00B7627A"/>
    <w:rsid w:val="00B7678B"/>
    <w:rsid w:val="00B77533"/>
    <w:rsid w:val="00B77999"/>
    <w:rsid w:val="00B77B05"/>
    <w:rsid w:val="00B81154"/>
    <w:rsid w:val="00B85149"/>
    <w:rsid w:val="00B85A12"/>
    <w:rsid w:val="00B86498"/>
    <w:rsid w:val="00B90481"/>
    <w:rsid w:val="00B9063F"/>
    <w:rsid w:val="00B945D4"/>
    <w:rsid w:val="00B94BAD"/>
    <w:rsid w:val="00BA1325"/>
    <w:rsid w:val="00BA5870"/>
    <w:rsid w:val="00BA679F"/>
    <w:rsid w:val="00BB0399"/>
    <w:rsid w:val="00BB0CBB"/>
    <w:rsid w:val="00BB0EFB"/>
    <w:rsid w:val="00BB3223"/>
    <w:rsid w:val="00BB4344"/>
    <w:rsid w:val="00BB4A7B"/>
    <w:rsid w:val="00BB5D61"/>
    <w:rsid w:val="00BC1307"/>
    <w:rsid w:val="00BC2B27"/>
    <w:rsid w:val="00BC3B27"/>
    <w:rsid w:val="00BC4C9B"/>
    <w:rsid w:val="00BC609B"/>
    <w:rsid w:val="00BC7910"/>
    <w:rsid w:val="00BC7BEA"/>
    <w:rsid w:val="00BD0BD5"/>
    <w:rsid w:val="00BD209D"/>
    <w:rsid w:val="00BD6641"/>
    <w:rsid w:val="00BE467F"/>
    <w:rsid w:val="00BE4DAD"/>
    <w:rsid w:val="00BE5E4B"/>
    <w:rsid w:val="00BE6C2B"/>
    <w:rsid w:val="00BE716C"/>
    <w:rsid w:val="00BE76C8"/>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2CD6"/>
    <w:rsid w:val="00C23063"/>
    <w:rsid w:val="00C23DAA"/>
    <w:rsid w:val="00C24103"/>
    <w:rsid w:val="00C25539"/>
    <w:rsid w:val="00C267D7"/>
    <w:rsid w:val="00C31877"/>
    <w:rsid w:val="00C31885"/>
    <w:rsid w:val="00C34436"/>
    <w:rsid w:val="00C347A8"/>
    <w:rsid w:val="00C4222C"/>
    <w:rsid w:val="00C42806"/>
    <w:rsid w:val="00C42BB6"/>
    <w:rsid w:val="00C430F8"/>
    <w:rsid w:val="00C43515"/>
    <w:rsid w:val="00C46BC0"/>
    <w:rsid w:val="00C53B91"/>
    <w:rsid w:val="00C53EBB"/>
    <w:rsid w:val="00C5610C"/>
    <w:rsid w:val="00C57088"/>
    <w:rsid w:val="00C60694"/>
    <w:rsid w:val="00C6189C"/>
    <w:rsid w:val="00C61B15"/>
    <w:rsid w:val="00C620D3"/>
    <w:rsid w:val="00C62687"/>
    <w:rsid w:val="00C64195"/>
    <w:rsid w:val="00C64773"/>
    <w:rsid w:val="00C73712"/>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15E2"/>
    <w:rsid w:val="00C93462"/>
    <w:rsid w:val="00C97041"/>
    <w:rsid w:val="00C97042"/>
    <w:rsid w:val="00C979F3"/>
    <w:rsid w:val="00CA06CE"/>
    <w:rsid w:val="00CA0EED"/>
    <w:rsid w:val="00CA0F8C"/>
    <w:rsid w:val="00CA2794"/>
    <w:rsid w:val="00CB1364"/>
    <w:rsid w:val="00CB3215"/>
    <w:rsid w:val="00CB38A0"/>
    <w:rsid w:val="00CB38AF"/>
    <w:rsid w:val="00CB630A"/>
    <w:rsid w:val="00CB65EF"/>
    <w:rsid w:val="00CB6DBB"/>
    <w:rsid w:val="00CB72F5"/>
    <w:rsid w:val="00CC03E3"/>
    <w:rsid w:val="00CC0D0A"/>
    <w:rsid w:val="00CC1B7D"/>
    <w:rsid w:val="00CC1EF1"/>
    <w:rsid w:val="00CC3D8E"/>
    <w:rsid w:val="00CC41DA"/>
    <w:rsid w:val="00CC5AB4"/>
    <w:rsid w:val="00CC6C4E"/>
    <w:rsid w:val="00CC6EA3"/>
    <w:rsid w:val="00CD49EC"/>
    <w:rsid w:val="00CE313B"/>
    <w:rsid w:val="00CE475C"/>
    <w:rsid w:val="00CE7AEB"/>
    <w:rsid w:val="00CE7E3D"/>
    <w:rsid w:val="00CF0DC4"/>
    <w:rsid w:val="00CF0ECB"/>
    <w:rsid w:val="00CF1D5A"/>
    <w:rsid w:val="00CF3C7B"/>
    <w:rsid w:val="00CF7317"/>
    <w:rsid w:val="00D0254C"/>
    <w:rsid w:val="00D02A61"/>
    <w:rsid w:val="00D02D91"/>
    <w:rsid w:val="00D038F3"/>
    <w:rsid w:val="00D0438E"/>
    <w:rsid w:val="00D06225"/>
    <w:rsid w:val="00D075C8"/>
    <w:rsid w:val="00D10279"/>
    <w:rsid w:val="00D113C0"/>
    <w:rsid w:val="00D11965"/>
    <w:rsid w:val="00D126B7"/>
    <w:rsid w:val="00D13636"/>
    <w:rsid w:val="00D14F5B"/>
    <w:rsid w:val="00D17713"/>
    <w:rsid w:val="00D17CB6"/>
    <w:rsid w:val="00D20356"/>
    <w:rsid w:val="00D20FFB"/>
    <w:rsid w:val="00D2478F"/>
    <w:rsid w:val="00D260F8"/>
    <w:rsid w:val="00D26D78"/>
    <w:rsid w:val="00D3203E"/>
    <w:rsid w:val="00D3214A"/>
    <w:rsid w:val="00D32E6E"/>
    <w:rsid w:val="00D33037"/>
    <w:rsid w:val="00D3377E"/>
    <w:rsid w:val="00D350D0"/>
    <w:rsid w:val="00D41699"/>
    <w:rsid w:val="00D445FA"/>
    <w:rsid w:val="00D4503A"/>
    <w:rsid w:val="00D4520B"/>
    <w:rsid w:val="00D4733E"/>
    <w:rsid w:val="00D4777B"/>
    <w:rsid w:val="00D54752"/>
    <w:rsid w:val="00D56B8F"/>
    <w:rsid w:val="00D5791A"/>
    <w:rsid w:val="00D60BDF"/>
    <w:rsid w:val="00D60DC5"/>
    <w:rsid w:val="00D6151B"/>
    <w:rsid w:val="00D61780"/>
    <w:rsid w:val="00D623EB"/>
    <w:rsid w:val="00D637FE"/>
    <w:rsid w:val="00D63F04"/>
    <w:rsid w:val="00D66D1C"/>
    <w:rsid w:val="00D72133"/>
    <w:rsid w:val="00D7221D"/>
    <w:rsid w:val="00D7237B"/>
    <w:rsid w:val="00D7363A"/>
    <w:rsid w:val="00D73FB7"/>
    <w:rsid w:val="00D73FB9"/>
    <w:rsid w:val="00D75FCF"/>
    <w:rsid w:val="00D76B66"/>
    <w:rsid w:val="00D773D0"/>
    <w:rsid w:val="00D77DC0"/>
    <w:rsid w:val="00D80073"/>
    <w:rsid w:val="00D80EB6"/>
    <w:rsid w:val="00D81A8E"/>
    <w:rsid w:val="00D8329D"/>
    <w:rsid w:val="00D83715"/>
    <w:rsid w:val="00D84668"/>
    <w:rsid w:val="00D84A3A"/>
    <w:rsid w:val="00D863CC"/>
    <w:rsid w:val="00D87B9A"/>
    <w:rsid w:val="00D87BD3"/>
    <w:rsid w:val="00D90D24"/>
    <w:rsid w:val="00D90EBF"/>
    <w:rsid w:val="00D94144"/>
    <w:rsid w:val="00D956BD"/>
    <w:rsid w:val="00D9611D"/>
    <w:rsid w:val="00D97463"/>
    <w:rsid w:val="00D9773D"/>
    <w:rsid w:val="00D97C6C"/>
    <w:rsid w:val="00DA09EB"/>
    <w:rsid w:val="00DA2D2A"/>
    <w:rsid w:val="00DA4B88"/>
    <w:rsid w:val="00DA78B5"/>
    <w:rsid w:val="00DA7EEA"/>
    <w:rsid w:val="00DB304D"/>
    <w:rsid w:val="00DB3AAA"/>
    <w:rsid w:val="00DC04AB"/>
    <w:rsid w:val="00DC28FF"/>
    <w:rsid w:val="00DC2D48"/>
    <w:rsid w:val="00DC3253"/>
    <w:rsid w:val="00DC5381"/>
    <w:rsid w:val="00DC5FA6"/>
    <w:rsid w:val="00DC6760"/>
    <w:rsid w:val="00DD30F7"/>
    <w:rsid w:val="00DD388E"/>
    <w:rsid w:val="00DD4EBF"/>
    <w:rsid w:val="00DD60C4"/>
    <w:rsid w:val="00DD736C"/>
    <w:rsid w:val="00DE2EE4"/>
    <w:rsid w:val="00DE5657"/>
    <w:rsid w:val="00DF0316"/>
    <w:rsid w:val="00DF0E5F"/>
    <w:rsid w:val="00DF11D0"/>
    <w:rsid w:val="00DF13E5"/>
    <w:rsid w:val="00DF1972"/>
    <w:rsid w:val="00DF519C"/>
    <w:rsid w:val="00DF57DB"/>
    <w:rsid w:val="00E00339"/>
    <w:rsid w:val="00E014FE"/>
    <w:rsid w:val="00E025F4"/>
    <w:rsid w:val="00E04238"/>
    <w:rsid w:val="00E076E5"/>
    <w:rsid w:val="00E077E1"/>
    <w:rsid w:val="00E10F45"/>
    <w:rsid w:val="00E12E0B"/>
    <w:rsid w:val="00E1539A"/>
    <w:rsid w:val="00E16ECF"/>
    <w:rsid w:val="00E20692"/>
    <w:rsid w:val="00E206EA"/>
    <w:rsid w:val="00E224CF"/>
    <w:rsid w:val="00E230B4"/>
    <w:rsid w:val="00E24645"/>
    <w:rsid w:val="00E24CCA"/>
    <w:rsid w:val="00E254A0"/>
    <w:rsid w:val="00E2702D"/>
    <w:rsid w:val="00E30182"/>
    <w:rsid w:val="00E3229A"/>
    <w:rsid w:val="00E33AF6"/>
    <w:rsid w:val="00E36364"/>
    <w:rsid w:val="00E3647C"/>
    <w:rsid w:val="00E36A70"/>
    <w:rsid w:val="00E41451"/>
    <w:rsid w:val="00E415B8"/>
    <w:rsid w:val="00E42787"/>
    <w:rsid w:val="00E427EE"/>
    <w:rsid w:val="00E45817"/>
    <w:rsid w:val="00E45BFB"/>
    <w:rsid w:val="00E46F93"/>
    <w:rsid w:val="00E50D6A"/>
    <w:rsid w:val="00E513D0"/>
    <w:rsid w:val="00E6068D"/>
    <w:rsid w:val="00E61C32"/>
    <w:rsid w:val="00E704F7"/>
    <w:rsid w:val="00E7076F"/>
    <w:rsid w:val="00E70C45"/>
    <w:rsid w:val="00E73382"/>
    <w:rsid w:val="00E75ABE"/>
    <w:rsid w:val="00E7646B"/>
    <w:rsid w:val="00E76542"/>
    <w:rsid w:val="00E76FF1"/>
    <w:rsid w:val="00E77000"/>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0EC"/>
    <w:rsid w:val="00EA5D5D"/>
    <w:rsid w:val="00EA692F"/>
    <w:rsid w:val="00EB37A8"/>
    <w:rsid w:val="00EB40B0"/>
    <w:rsid w:val="00EB4443"/>
    <w:rsid w:val="00EB74BC"/>
    <w:rsid w:val="00EC16F8"/>
    <w:rsid w:val="00EC336E"/>
    <w:rsid w:val="00ED2C08"/>
    <w:rsid w:val="00ED3A64"/>
    <w:rsid w:val="00ED4194"/>
    <w:rsid w:val="00ED560D"/>
    <w:rsid w:val="00ED605B"/>
    <w:rsid w:val="00ED6260"/>
    <w:rsid w:val="00ED6B98"/>
    <w:rsid w:val="00ED6C94"/>
    <w:rsid w:val="00EE1040"/>
    <w:rsid w:val="00EE5B40"/>
    <w:rsid w:val="00EE5D08"/>
    <w:rsid w:val="00EE7685"/>
    <w:rsid w:val="00EF0BF1"/>
    <w:rsid w:val="00EF0EA0"/>
    <w:rsid w:val="00EF35D0"/>
    <w:rsid w:val="00EF3CF4"/>
    <w:rsid w:val="00EF4C89"/>
    <w:rsid w:val="00EF5F9F"/>
    <w:rsid w:val="00EF64BD"/>
    <w:rsid w:val="00F0242A"/>
    <w:rsid w:val="00F05050"/>
    <w:rsid w:val="00F053EF"/>
    <w:rsid w:val="00F10BC5"/>
    <w:rsid w:val="00F12FA6"/>
    <w:rsid w:val="00F141DF"/>
    <w:rsid w:val="00F15307"/>
    <w:rsid w:val="00F16041"/>
    <w:rsid w:val="00F17A7A"/>
    <w:rsid w:val="00F20245"/>
    <w:rsid w:val="00F216B1"/>
    <w:rsid w:val="00F23A2A"/>
    <w:rsid w:val="00F23E20"/>
    <w:rsid w:val="00F23F90"/>
    <w:rsid w:val="00F25611"/>
    <w:rsid w:val="00F30A87"/>
    <w:rsid w:val="00F31DA3"/>
    <w:rsid w:val="00F331FC"/>
    <w:rsid w:val="00F3371D"/>
    <w:rsid w:val="00F35CBE"/>
    <w:rsid w:val="00F406A9"/>
    <w:rsid w:val="00F40BF4"/>
    <w:rsid w:val="00F41942"/>
    <w:rsid w:val="00F4261F"/>
    <w:rsid w:val="00F43B0B"/>
    <w:rsid w:val="00F43BA6"/>
    <w:rsid w:val="00F508B0"/>
    <w:rsid w:val="00F51C02"/>
    <w:rsid w:val="00F5227C"/>
    <w:rsid w:val="00F54C78"/>
    <w:rsid w:val="00F555DD"/>
    <w:rsid w:val="00F55D28"/>
    <w:rsid w:val="00F566C7"/>
    <w:rsid w:val="00F57850"/>
    <w:rsid w:val="00F626E0"/>
    <w:rsid w:val="00F646A4"/>
    <w:rsid w:val="00F65C61"/>
    <w:rsid w:val="00F6667B"/>
    <w:rsid w:val="00F7027C"/>
    <w:rsid w:val="00F70333"/>
    <w:rsid w:val="00F72892"/>
    <w:rsid w:val="00F729B4"/>
    <w:rsid w:val="00F73106"/>
    <w:rsid w:val="00F73F33"/>
    <w:rsid w:val="00F7494E"/>
    <w:rsid w:val="00F74B06"/>
    <w:rsid w:val="00F75C80"/>
    <w:rsid w:val="00F80AFA"/>
    <w:rsid w:val="00F8155F"/>
    <w:rsid w:val="00F82D92"/>
    <w:rsid w:val="00F85FA6"/>
    <w:rsid w:val="00F860A4"/>
    <w:rsid w:val="00F86357"/>
    <w:rsid w:val="00F90FBA"/>
    <w:rsid w:val="00F93C02"/>
    <w:rsid w:val="00F95C7C"/>
    <w:rsid w:val="00F96297"/>
    <w:rsid w:val="00FA106A"/>
    <w:rsid w:val="00FA13BE"/>
    <w:rsid w:val="00FA1A86"/>
    <w:rsid w:val="00FA1B4B"/>
    <w:rsid w:val="00FA3174"/>
    <w:rsid w:val="00FA384A"/>
    <w:rsid w:val="00FA4229"/>
    <w:rsid w:val="00FA433D"/>
    <w:rsid w:val="00FA4DCD"/>
    <w:rsid w:val="00FA65D1"/>
    <w:rsid w:val="00FA6845"/>
    <w:rsid w:val="00FA6CA0"/>
    <w:rsid w:val="00FA701F"/>
    <w:rsid w:val="00FB01B3"/>
    <w:rsid w:val="00FB5013"/>
    <w:rsid w:val="00FB507A"/>
    <w:rsid w:val="00FB6A28"/>
    <w:rsid w:val="00FB76CD"/>
    <w:rsid w:val="00FC662C"/>
    <w:rsid w:val="00FC6851"/>
    <w:rsid w:val="00FC7394"/>
    <w:rsid w:val="00FD2F99"/>
    <w:rsid w:val="00FD3B61"/>
    <w:rsid w:val="00FD5E0B"/>
    <w:rsid w:val="00FE15EB"/>
    <w:rsid w:val="00FE4B51"/>
    <w:rsid w:val="00FE4E3B"/>
    <w:rsid w:val="00FE5772"/>
    <w:rsid w:val="00FE752E"/>
    <w:rsid w:val="00FE7DFE"/>
    <w:rsid w:val="00FF06F1"/>
    <w:rsid w:val="00FF2C7A"/>
    <w:rsid w:val="00FF4869"/>
    <w:rsid w:val="00FF7510"/>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4BEC"/>
    <w:pPr>
      <w:keepNext/>
      <w:keepLines/>
      <w:spacing w:before="200" w:after="0"/>
      <w:outlineLvl w:val="2"/>
    </w:pPr>
    <w:rPr>
      <w:rFonts w:eastAsiaTheme="majorEastAsia" w:cstheme="majorBidi"/>
      <w:b/>
      <w:bCs/>
      <w:i/>
      <w:color w:val="4F81BD" w:themeColor="accent1"/>
    </w:rPr>
  </w:style>
  <w:style w:type="paragraph" w:styleId="Heading4">
    <w:name w:val="heading 4"/>
    <w:basedOn w:val="Normal"/>
    <w:next w:val="Normal"/>
    <w:link w:val="Heading4Char"/>
    <w:uiPriority w:val="9"/>
    <w:unhideWhenUsed/>
    <w:qFormat/>
    <w:rsid w:val="00CF7317"/>
    <w:pPr>
      <w:keepNext/>
      <w:keepLines/>
      <w:spacing w:before="200" w:after="0"/>
      <w:outlineLvl w:val="3"/>
    </w:pPr>
    <w:rPr>
      <w:rFonts w:eastAsiaTheme="majorEastAsia" w:cstheme="majorBidi"/>
      <w:b/>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4BEC"/>
    <w:rPr>
      <w:rFonts w:eastAsiaTheme="majorEastAsia" w:cstheme="majorBidi"/>
      <w:b/>
      <w:bCs/>
      <w:i/>
      <w:color w:val="4F81BD" w:themeColor="accent1"/>
    </w:rPr>
  </w:style>
  <w:style w:type="character" w:customStyle="1" w:styleId="Heading4Char">
    <w:name w:val="Heading 4 Char"/>
    <w:basedOn w:val="DefaultParagraphFont"/>
    <w:link w:val="Heading4"/>
    <w:uiPriority w:val="9"/>
    <w:rsid w:val="00CF7317"/>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5762270853514063"/>
          <c:y val="0.10516629083336415"/>
          <c:w val="0.5240840026906185"/>
          <c:h val="0.78341946693283071"/>
        </c:manualLayout>
      </c:layout>
      <c:pieChart>
        <c:varyColors val="1"/>
        <c:ser>
          <c:idx val="0"/>
          <c:order val="0"/>
          <c:tx>
            <c:strRef>
              <c:f>Sheet1!$B$1</c:f>
              <c:strCache>
                <c:ptCount val="1"/>
                <c:pt idx="0">
                  <c:v> Exports, 2023-Q3 </c:v>
                </c:pt>
              </c:strCache>
            </c:strRef>
          </c:tx>
          <c:spPr>
            <a:ln>
              <a:solidFill>
                <a:schemeClr val="tx1">
                  <a:lumMod val="65000"/>
                  <a:lumOff val="35000"/>
                </a:schemeClr>
              </a:solidFill>
            </a:ln>
          </c:spPr>
          <c:dPt>
            <c:idx val="0"/>
            <c:bubble3D val="0"/>
            <c:spPr>
              <a:solidFill>
                <a:schemeClr val="accent6">
                  <a:shade val="50000"/>
                </a:schemeClr>
              </a:solidFill>
              <a:ln>
                <a:solidFill>
                  <a:schemeClr val="tx1">
                    <a:lumMod val="65000"/>
                    <a:lumOff val="35000"/>
                  </a:schemeClr>
                </a:solidFill>
              </a:ln>
              <a:effectLst/>
            </c:spPr>
            <c:extLst>
              <c:ext xmlns:c16="http://schemas.microsoft.com/office/drawing/2014/chart" uri="{C3380CC4-5D6E-409C-BE32-E72D297353CC}">
                <c16:uniqueId val="{00000001-1B88-468F-B926-1611BD07E22A}"/>
              </c:ext>
            </c:extLst>
          </c:dPt>
          <c:dPt>
            <c:idx val="1"/>
            <c:bubble3D val="0"/>
            <c:spPr>
              <a:solidFill>
                <a:schemeClr val="accent6">
                  <a:shade val="70000"/>
                </a:schemeClr>
              </a:solidFill>
              <a:ln>
                <a:solidFill>
                  <a:schemeClr val="tx1">
                    <a:lumMod val="65000"/>
                    <a:lumOff val="35000"/>
                  </a:schemeClr>
                </a:solidFill>
              </a:ln>
              <a:effectLst/>
            </c:spPr>
            <c:extLst>
              <c:ext xmlns:c16="http://schemas.microsoft.com/office/drawing/2014/chart" uri="{C3380CC4-5D6E-409C-BE32-E72D297353CC}">
                <c16:uniqueId val="{00000003-1B88-468F-B926-1611BD07E22A}"/>
              </c:ext>
            </c:extLst>
          </c:dPt>
          <c:dPt>
            <c:idx val="2"/>
            <c:bubble3D val="0"/>
            <c:spPr>
              <a:solidFill>
                <a:schemeClr val="accent6">
                  <a:shade val="90000"/>
                </a:schemeClr>
              </a:solidFill>
              <a:ln>
                <a:solidFill>
                  <a:schemeClr val="tx1">
                    <a:lumMod val="65000"/>
                    <a:lumOff val="35000"/>
                  </a:schemeClr>
                </a:solidFill>
              </a:ln>
              <a:effectLst/>
            </c:spPr>
            <c:extLst>
              <c:ext xmlns:c16="http://schemas.microsoft.com/office/drawing/2014/chart" uri="{C3380CC4-5D6E-409C-BE32-E72D297353CC}">
                <c16:uniqueId val="{00000005-1B88-468F-B926-1611BD07E22A}"/>
              </c:ext>
            </c:extLst>
          </c:dPt>
          <c:dPt>
            <c:idx val="3"/>
            <c:bubble3D val="0"/>
            <c:spPr>
              <a:solidFill>
                <a:schemeClr val="accent6">
                  <a:tint val="90000"/>
                </a:schemeClr>
              </a:solidFill>
              <a:ln>
                <a:solidFill>
                  <a:schemeClr val="tx1">
                    <a:lumMod val="65000"/>
                    <a:lumOff val="35000"/>
                  </a:schemeClr>
                </a:solidFill>
              </a:ln>
              <a:effectLst/>
            </c:spPr>
            <c:extLst>
              <c:ext xmlns:c16="http://schemas.microsoft.com/office/drawing/2014/chart" uri="{C3380CC4-5D6E-409C-BE32-E72D297353CC}">
                <c16:uniqueId val="{00000007-1B88-468F-B926-1611BD07E22A}"/>
              </c:ext>
            </c:extLst>
          </c:dPt>
          <c:dPt>
            <c:idx val="4"/>
            <c:bubble3D val="0"/>
            <c:spPr>
              <a:solidFill>
                <a:schemeClr val="accent6">
                  <a:tint val="70000"/>
                </a:schemeClr>
              </a:solidFill>
              <a:ln>
                <a:solidFill>
                  <a:schemeClr val="tx1">
                    <a:lumMod val="65000"/>
                    <a:lumOff val="35000"/>
                  </a:schemeClr>
                </a:solidFill>
              </a:ln>
              <a:effectLst/>
            </c:spPr>
            <c:extLst>
              <c:ext xmlns:c16="http://schemas.microsoft.com/office/drawing/2014/chart" uri="{C3380CC4-5D6E-409C-BE32-E72D297353CC}">
                <c16:uniqueId val="{00000009-1B88-468F-B926-1611BD07E22A}"/>
              </c:ext>
            </c:extLst>
          </c:dPt>
          <c:dPt>
            <c:idx val="5"/>
            <c:bubble3D val="0"/>
            <c:spPr>
              <a:solidFill>
                <a:schemeClr val="accent6">
                  <a:tint val="50000"/>
                </a:schemeClr>
              </a:solidFill>
              <a:ln>
                <a:solidFill>
                  <a:schemeClr val="tx1">
                    <a:lumMod val="65000"/>
                    <a:lumOff val="35000"/>
                  </a:schemeClr>
                </a:solidFill>
              </a:ln>
              <a:effectLst/>
            </c:spPr>
            <c:extLst>
              <c:ext xmlns:c16="http://schemas.microsoft.com/office/drawing/2014/chart" uri="{C3380CC4-5D6E-409C-BE32-E72D297353CC}">
                <c16:uniqueId val="{0000000B-1B88-468F-B926-1611BD07E22A}"/>
              </c:ext>
            </c:extLst>
          </c:dPt>
          <c:dPt>
            <c:idx val="6"/>
            <c:bubble3D val="0"/>
            <c:spPr>
              <a:solidFill>
                <a:schemeClr val="accent6">
                  <a:tint val="30000"/>
                </a:schemeClr>
              </a:solidFill>
              <a:ln>
                <a:solidFill>
                  <a:schemeClr val="tx1">
                    <a:lumMod val="65000"/>
                    <a:lumOff val="35000"/>
                  </a:schemeClr>
                </a:solidFill>
              </a:ln>
              <a:effectLst/>
            </c:spPr>
            <c:extLst>
              <c:ext xmlns:c16="http://schemas.microsoft.com/office/drawing/2014/chart" uri="{C3380CC4-5D6E-409C-BE32-E72D297353CC}">
                <c16:uniqueId val="{0000000D-1B88-468F-B926-1611BD07E22A}"/>
              </c:ext>
            </c:extLst>
          </c:dPt>
          <c:dPt>
            <c:idx val="7"/>
            <c:bubble3D val="0"/>
            <c:spPr>
              <a:solidFill>
                <a:schemeClr val="accent6">
                  <a:tint val="10000"/>
                </a:schemeClr>
              </a:solidFill>
              <a:ln>
                <a:solidFill>
                  <a:schemeClr val="tx1">
                    <a:lumMod val="65000"/>
                    <a:lumOff val="35000"/>
                  </a:schemeClr>
                </a:solidFill>
              </a:ln>
              <a:effectLst/>
            </c:spPr>
            <c:extLst>
              <c:ext xmlns:c16="http://schemas.microsoft.com/office/drawing/2014/chart" uri="{C3380CC4-5D6E-409C-BE32-E72D297353CC}">
                <c16:uniqueId val="{0000000F-1B88-468F-B926-1611BD07E22A}"/>
              </c:ext>
            </c:extLst>
          </c:dPt>
          <c:dPt>
            <c:idx val="8"/>
            <c:bubble3D val="0"/>
            <c:spPr>
              <a:solidFill>
                <a:schemeClr val="accent6">
                  <a:tint val="90000"/>
                </a:schemeClr>
              </a:solidFill>
              <a:ln>
                <a:solidFill>
                  <a:schemeClr val="tx1">
                    <a:lumMod val="65000"/>
                    <a:lumOff val="35000"/>
                  </a:schemeClr>
                </a:solidFill>
              </a:ln>
              <a:effectLst/>
            </c:spPr>
            <c:extLst>
              <c:ext xmlns:c16="http://schemas.microsoft.com/office/drawing/2014/chart" uri="{C3380CC4-5D6E-409C-BE32-E72D297353CC}">
                <c16:uniqueId val="{00000011-1B88-468F-B926-1611BD07E22A}"/>
              </c:ext>
            </c:extLst>
          </c:dPt>
          <c:dLbls>
            <c:dLbl>
              <c:idx val="0"/>
              <c:layout>
                <c:manualLayout>
                  <c:x val="4.6419640676377875E-2"/>
                  <c:y val="1.5649945165305042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3407725806800004"/>
                      <c:h val="0.20642539400884749"/>
                    </c:manualLayout>
                  </c15:layout>
                </c:ext>
                <c:ext xmlns:c16="http://schemas.microsoft.com/office/drawing/2014/chart" uri="{C3380CC4-5D6E-409C-BE32-E72D297353CC}">
                  <c16:uniqueId val="{00000001-1B88-468F-B926-1611BD07E22A}"/>
                </c:ext>
              </c:extLst>
            </c:dLbl>
            <c:dLbl>
              <c:idx val="1"/>
              <c:layout>
                <c:manualLayout>
                  <c:x val="7.5965393542941392E-2"/>
                  <c:y val="0"/>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319858835961605"/>
                      <c:h val="0.33785171219794707"/>
                    </c:manualLayout>
                  </c15:layout>
                </c:ext>
                <c:ext xmlns:c16="http://schemas.microsoft.com/office/drawing/2014/chart" uri="{C3380CC4-5D6E-409C-BE32-E72D297353CC}">
                  <c16:uniqueId val="{00000003-1B88-468F-B926-1611BD07E22A}"/>
                </c:ext>
              </c:extLst>
            </c:dLbl>
            <c:dLbl>
              <c:idx val="2"/>
              <c:layout>
                <c:manualLayout>
                  <c:x val="2.9527642131882699E-2"/>
                  <c:y val="-1.1476132424130698E-16"/>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4057651951556273"/>
                      <c:h val="0.19127376683548358"/>
                    </c:manualLayout>
                  </c15:layout>
                </c:ext>
                <c:ext xmlns:c16="http://schemas.microsoft.com/office/drawing/2014/chart" uri="{C3380CC4-5D6E-409C-BE32-E72D297353CC}">
                  <c16:uniqueId val="{00000005-1B88-468F-B926-1611BD07E22A}"/>
                </c:ext>
              </c:extLst>
            </c:dLbl>
            <c:dLbl>
              <c:idx val="3"/>
              <c:layout>
                <c:manualLayout>
                  <c:x val="0"/>
                  <c:y val="7.3932448584771895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0757261324609166"/>
                      <c:h val="0.34575480881791182"/>
                    </c:manualLayout>
                  </c15:layout>
                </c:ext>
                <c:ext xmlns:c16="http://schemas.microsoft.com/office/drawing/2014/chart" uri="{C3380CC4-5D6E-409C-BE32-E72D297353CC}">
                  <c16:uniqueId val="{00000007-1B88-468F-B926-1611BD07E22A}"/>
                </c:ext>
              </c:extLst>
            </c:dLbl>
            <c:dLbl>
              <c:idx val="4"/>
              <c:layout>
                <c:manualLayout>
                  <c:x val="-4.2202996412745303E-3"/>
                  <c:y val="2.6747501632718447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2614625165945837"/>
                      <c:h val="0.21929885524872772"/>
                    </c:manualLayout>
                  </c15:layout>
                </c:ext>
                <c:ext xmlns:c16="http://schemas.microsoft.com/office/drawing/2014/chart" uri="{C3380CC4-5D6E-409C-BE32-E72D297353CC}">
                  <c16:uniqueId val="{00000009-1B88-468F-B926-1611BD07E22A}"/>
                </c:ext>
              </c:extLst>
            </c:dLbl>
            <c:dLbl>
              <c:idx val="5"/>
              <c:layout>
                <c:manualLayout>
                  <c:x val="1.5734573060199084E-2"/>
                  <c:y val="-2.9426885019654236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886277878485272"/>
                      <c:h val="8.3574975663253365E-2"/>
                    </c:manualLayout>
                  </c15:layout>
                </c:ext>
                <c:ext xmlns:c16="http://schemas.microsoft.com/office/drawing/2014/chart" uri="{C3380CC4-5D6E-409C-BE32-E72D297353CC}">
                  <c16:uniqueId val="{0000000B-1B88-468F-B926-1611BD07E22A}"/>
                </c:ext>
              </c:extLst>
            </c:dLbl>
            <c:dLbl>
              <c:idx val="6"/>
              <c:layout>
                <c:manualLayout>
                  <c:x val="-2.0265935546058284E-3"/>
                  <c:y val="-3.0976796914470313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1077370902208362"/>
                      <c:h val="0.1054186536542087"/>
                    </c:manualLayout>
                  </c15:layout>
                </c:ext>
                <c:ext xmlns:c16="http://schemas.microsoft.com/office/drawing/2014/chart" uri="{C3380CC4-5D6E-409C-BE32-E72D297353CC}">
                  <c16:uniqueId val="{0000000D-1B88-468F-B926-1611BD07E22A}"/>
                </c:ext>
              </c:extLst>
            </c:dLbl>
            <c:dLbl>
              <c:idx val="7"/>
              <c:layout>
                <c:manualLayout>
                  <c:x val="9.5857444248329919E-3"/>
                  <c:y val="-6.6453735536579059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79817368795663"/>
                      <c:h val="0.10736017152785479"/>
                    </c:manualLayout>
                  </c15:layout>
                </c:ext>
                <c:ext xmlns:c16="http://schemas.microsoft.com/office/drawing/2014/chart" uri="{C3380CC4-5D6E-409C-BE32-E72D297353CC}">
                  <c16:uniqueId val="{0000000F-1B88-468F-B926-1611BD07E22A}"/>
                </c:ext>
              </c:extLst>
            </c:dLbl>
            <c:dLbl>
              <c:idx val="8"/>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22034120734908136"/>
                      <c:h val="0.1104225352112676"/>
                    </c:manualLayout>
                  </c15:layout>
                </c:ext>
                <c:ext xmlns:c16="http://schemas.microsoft.com/office/drawing/2014/chart" uri="{C3380CC4-5D6E-409C-BE32-E72D297353CC}">
                  <c16:uniqueId val="{00000011-1B88-468F-B926-1611BD07E22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Sheet1!$A$2:$A$7</c:f>
              <c:strCache>
                <c:ptCount val="6"/>
                <c:pt idx="0">
                  <c:v>Vehicle parts</c:v>
                </c:pt>
                <c:pt idx="1">
                  <c:v>Passenger vehicles</c:v>
                </c:pt>
                <c:pt idx="2">
                  <c:v>Vehicles for 10+ passengers</c:v>
                </c:pt>
                <c:pt idx="3">
                  <c:v>Special purpose</c:v>
                </c:pt>
                <c:pt idx="4">
                  <c:v>Tractors</c:v>
                </c:pt>
                <c:pt idx="5">
                  <c:v>Other</c:v>
                </c:pt>
              </c:strCache>
            </c:strRef>
          </c:cat>
          <c:val>
            <c:numRef>
              <c:f>Sheet1!$B$2:$B$7</c:f>
              <c:numCache>
                <c:formatCode>_(* #,##0_);_(* \(#,##0\);_(* "-"??_);_(@_)</c:formatCode>
                <c:ptCount val="6"/>
                <c:pt idx="0">
                  <c:v>163608718</c:v>
                </c:pt>
                <c:pt idx="1">
                  <c:v>128339266</c:v>
                </c:pt>
                <c:pt idx="2">
                  <c:v>86684208</c:v>
                </c:pt>
                <c:pt idx="3">
                  <c:v>75173947</c:v>
                </c:pt>
                <c:pt idx="4">
                  <c:v>33269861</c:v>
                </c:pt>
                <c:pt idx="5">
                  <c:v>76417949</c:v>
                </c:pt>
              </c:numCache>
            </c:numRef>
          </c:val>
          <c:extLst>
            <c:ext xmlns:c16="http://schemas.microsoft.com/office/drawing/2014/chart" uri="{C3380CC4-5D6E-409C-BE32-E72D297353CC}">
              <c16:uniqueId val="{00000012-1B88-468F-B926-1611BD07E22A}"/>
            </c:ext>
          </c:extLst>
        </c:ser>
        <c:ser>
          <c:idx val="1"/>
          <c:order val="1"/>
          <c:tx>
            <c:strRef>
              <c:f>Sheet1!$C$1</c:f>
              <c:strCache>
                <c:ptCount val="1"/>
                <c:pt idx="0">
                  <c:v>Product HS87</c:v>
                </c:pt>
              </c:strCache>
            </c:strRef>
          </c:tx>
          <c:dPt>
            <c:idx val="0"/>
            <c:bubble3D val="0"/>
            <c:spPr>
              <a:solidFill>
                <a:schemeClr val="accent6">
                  <a:shade val="50000"/>
                </a:schemeClr>
              </a:solidFill>
              <a:ln>
                <a:noFill/>
              </a:ln>
              <a:effectLst/>
            </c:spPr>
            <c:extLst>
              <c:ext xmlns:c16="http://schemas.microsoft.com/office/drawing/2014/chart" uri="{C3380CC4-5D6E-409C-BE32-E72D297353CC}">
                <c16:uniqueId val="{00000013-1ED2-420E-9CF3-A5B0ADC3624D}"/>
              </c:ext>
            </c:extLst>
          </c:dPt>
          <c:dPt>
            <c:idx val="1"/>
            <c:bubble3D val="0"/>
            <c:spPr>
              <a:solidFill>
                <a:schemeClr val="accent6">
                  <a:shade val="70000"/>
                </a:schemeClr>
              </a:solidFill>
              <a:ln>
                <a:noFill/>
              </a:ln>
              <a:effectLst/>
            </c:spPr>
            <c:extLst>
              <c:ext xmlns:c16="http://schemas.microsoft.com/office/drawing/2014/chart" uri="{C3380CC4-5D6E-409C-BE32-E72D297353CC}">
                <c16:uniqueId val="{00000015-1ED2-420E-9CF3-A5B0ADC3624D}"/>
              </c:ext>
            </c:extLst>
          </c:dPt>
          <c:dPt>
            <c:idx val="2"/>
            <c:bubble3D val="0"/>
            <c:spPr>
              <a:solidFill>
                <a:schemeClr val="accent6">
                  <a:shade val="90000"/>
                </a:schemeClr>
              </a:solidFill>
              <a:ln>
                <a:noFill/>
              </a:ln>
              <a:effectLst/>
            </c:spPr>
            <c:extLst>
              <c:ext xmlns:c16="http://schemas.microsoft.com/office/drawing/2014/chart" uri="{C3380CC4-5D6E-409C-BE32-E72D297353CC}">
                <c16:uniqueId val="{00000017-1ED2-420E-9CF3-A5B0ADC3624D}"/>
              </c:ext>
            </c:extLst>
          </c:dPt>
          <c:dPt>
            <c:idx val="3"/>
            <c:bubble3D val="0"/>
            <c:spPr>
              <a:solidFill>
                <a:schemeClr val="accent6">
                  <a:tint val="90000"/>
                </a:schemeClr>
              </a:solidFill>
              <a:ln>
                <a:noFill/>
              </a:ln>
              <a:effectLst/>
            </c:spPr>
            <c:extLst>
              <c:ext xmlns:c16="http://schemas.microsoft.com/office/drawing/2014/chart" uri="{C3380CC4-5D6E-409C-BE32-E72D297353CC}">
                <c16:uniqueId val="{00000019-1ED2-420E-9CF3-A5B0ADC3624D}"/>
              </c:ext>
            </c:extLst>
          </c:dPt>
          <c:dPt>
            <c:idx val="4"/>
            <c:bubble3D val="0"/>
            <c:spPr>
              <a:solidFill>
                <a:schemeClr val="accent6">
                  <a:tint val="70000"/>
                </a:schemeClr>
              </a:solidFill>
              <a:ln>
                <a:noFill/>
              </a:ln>
              <a:effectLst/>
            </c:spPr>
            <c:extLst>
              <c:ext xmlns:c16="http://schemas.microsoft.com/office/drawing/2014/chart" uri="{C3380CC4-5D6E-409C-BE32-E72D297353CC}">
                <c16:uniqueId val="{0000001B-1ED2-420E-9CF3-A5B0ADC3624D}"/>
              </c:ext>
            </c:extLst>
          </c:dPt>
          <c:dPt>
            <c:idx val="5"/>
            <c:bubble3D val="0"/>
            <c:spPr>
              <a:solidFill>
                <a:schemeClr val="accent6">
                  <a:tint val="50000"/>
                </a:schemeClr>
              </a:solidFill>
              <a:ln>
                <a:noFill/>
              </a:ln>
              <a:effectLst/>
            </c:spPr>
            <c:extLst>
              <c:ext xmlns:c16="http://schemas.microsoft.com/office/drawing/2014/chart" uri="{C3380CC4-5D6E-409C-BE32-E72D297353CC}">
                <c16:uniqueId val="{0000001D-1ED2-420E-9CF3-A5B0ADC3624D}"/>
              </c:ext>
            </c:extLst>
          </c:dPt>
          <c:dPt>
            <c:idx val="6"/>
            <c:bubble3D val="0"/>
            <c:spPr>
              <a:solidFill>
                <a:schemeClr val="accent6">
                  <a:tint val="30000"/>
                </a:schemeClr>
              </a:solidFill>
              <a:ln>
                <a:noFill/>
              </a:ln>
              <a:effectLst/>
            </c:spPr>
            <c:extLst>
              <c:ext xmlns:c16="http://schemas.microsoft.com/office/drawing/2014/chart" uri="{C3380CC4-5D6E-409C-BE32-E72D297353CC}">
                <c16:uniqueId val="{0000001F-1ED2-420E-9CF3-A5B0ADC3624D}"/>
              </c:ext>
            </c:extLst>
          </c:dPt>
          <c:dPt>
            <c:idx val="7"/>
            <c:bubble3D val="0"/>
            <c:spPr>
              <a:solidFill>
                <a:schemeClr val="accent6">
                  <a:tint val="10000"/>
                </a:schemeClr>
              </a:solidFill>
              <a:ln>
                <a:noFill/>
              </a:ln>
              <a:effectLst/>
            </c:spPr>
            <c:extLst>
              <c:ext xmlns:c16="http://schemas.microsoft.com/office/drawing/2014/chart" uri="{C3380CC4-5D6E-409C-BE32-E72D297353CC}">
                <c16:uniqueId val="{00000021-1ED2-420E-9CF3-A5B0ADC3624D}"/>
              </c:ext>
            </c:extLst>
          </c:dPt>
          <c:cat>
            <c:strRef>
              <c:f>Sheet1!$A$2:$A$7</c:f>
              <c:strCache>
                <c:ptCount val="6"/>
                <c:pt idx="0">
                  <c:v>Vehicle parts</c:v>
                </c:pt>
                <c:pt idx="1">
                  <c:v>Passenger vehicles</c:v>
                </c:pt>
                <c:pt idx="2">
                  <c:v>Vehicles for 10+ passengers</c:v>
                </c:pt>
                <c:pt idx="3">
                  <c:v>Special purpose</c:v>
                </c:pt>
                <c:pt idx="4">
                  <c:v>Tractors</c:v>
                </c:pt>
                <c:pt idx="5">
                  <c:v>Other</c:v>
                </c:pt>
              </c:strCache>
            </c:strRef>
          </c:cat>
          <c:val>
            <c:numRef>
              <c:f>Sheet1!$C$2:$C$7</c:f>
              <c:numCache>
                <c:formatCode>General</c:formatCode>
                <c:ptCount val="6"/>
              </c:numCache>
            </c:numRef>
          </c:val>
          <c:extLst>
            <c:ext xmlns:c16="http://schemas.microsoft.com/office/drawing/2014/chart" uri="{C3380CC4-5D6E-409C-BE32-E72D297353CC}">
              <c16:uniqueId val="{00000012-B1BC-45EC-A315-229DDDC2EF5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6C44-9FF8-492D-ADB5-283AD1E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Minnesota Quarterly Export Statistics, 3rd Quarter 2023</vt:lpstr>
    </vt:vector>
  </TitlesOfParts>
  <Company>MN DEED</Company>
  <LinksUpToDate>false</LinksUpToDate>
  <CharactersWithSpaces>4649</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3rd Quarter 2023</dc:title>
  <dc:subject>Minnesota Quarterly Export Statistics</dc:subject>
  <dc:creator>Economic Analysis Unit (T. Ho-Kim)</dc:creator>
  <dc:description>3rd Quarter 2023</dc:description>
  <cp:lastModifiedBy>Ho-Kim, Thu-Mai (DEED)</cp:lastModifiedBy>
  <cp:revision>9</cp:revision>
  <cp:lastPrinted>2021-02-10T19:09:00Z</cp:lastPrinted>
  <dcterms:created xsi:type="dcterms:W3CDTF">2023-12-06T21:16:00Z</dcterms:created>
  <dcterms:modified xsi:type="dcterms:W3CDTF">2023-12-07T14:15:00Z</dcterms:modified>
</cp:coreProperties>
</file>