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ajorEastAsia" w:hAnsiTheme="minorHAnsi" w:cs="Arial"/>
          <w:b/>
          <w:color w:val="003865" w:themeColor="accent1"/>
          <w:sz w:val="26"/>
          <w:szCs w:val="24"/>
        </w:rPr>
        <w:id w:val="10729564"/>
        <w:docPartObj>
          <w:docPartGallery w:val="Cover Pages"/>
          <w:docPartUnique/>
        </w:docPartObj>
      </w:sdtPr>
      <w:sdtEndPr>
        <w:rPr>
          <w:rFonts w:cstheme="majorBidi"/>
          <w:i/>
          <w:sz w:val="32"/>
          <w:szCs w:val="32"/>
        </w:rPr>
      </w:sdtEndPr>
      <w:sdtContent>
        <w:p w14:paraId="0F9BB045" w14:textId="77777777" w:rsidR="009A66AE" w:rsidRDefault="00100675" w:rsidP="00463AD5">
          <w:pPr>
            <w:pBdr>
              <w:bottom w:val="single" w:sz="6" w:space="1" w:color="auto"/>
            </w:pBdr>
            <w:jc w:val="right"/>
          </w:pPr>
          <w:r>
            <w:rPr>
              <w:noProof/>
              <w:lang w:bidi="ar-SA"/>
            </w:rPr>
            <w:drawing>
              <wp:inline distT="0" distB="0" distL="0" distR="0" wp14:anchorId="02C54BD7" wp14:editId="65FB2D0D">
                <wp:extent cx="4129405" cy="777240"/>
                <wp:effectExtent l="0" t="0" r="4445" b="3810"/>
                <wp:docPr id="1" name="Picture 1" descr="Minnesota Department of Employment and Economic Development"/>
                <wp:cNvGraphicFramePr/>
                <a:graphic xmlns:a="http://schemas.openxmlformats.org/drawingml/2006/main">
                  <a:graphicData uri="http://schemas.openxmlformats.org/drawingml/2006/picture">
                    <pic:pic xmlns:pic="http://schemas.openxmlformats.org/drawingml/2006/picture">
                      <pic:nvPicPr>
                        <pic:cNvPr id="1" name="Picture 1" descr="Minnesota Department of Employment and Economic Develop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29405" cy="777240"/>
                        </a:xfrm>
                        <a:prstGeom prst="rect">
                          <a:avLst/>
                        </a:prstGeom>
                      </pic:spPr>
                    </pic:pic>
                  </a:graphicData>
                </a:graphic>
              </wp:inline>
            </w:drawing>
          </w:r>
        </w:p>
        <w:p w14:paraId="62C5F96B" w14:textId="35A0D034" w:rsidR="00C61688" w:rsidRPr="00463AD5" w:rsidRDefault="00742581" w:rsidP="00463AD5">
          <w:pPr>
            <w:pStyle w:val="Heading1"/>
          </w:pPr>
          <w:bookmarkStart w:id="0" w:name="_Toc177048982"/>
          <w:bookmarkStart w:id="1" w:name="_Toc177049234"/>
          <w:bookmarkStart w:id="2" w:name="_Toc183614389"/>
          <w:r>
            <w:t>Greater Twin Cities United Way</w:t>
          </w:r>
          <w:r w:rsidR="00873474">
            <w:t xml:space="preserve"> Direct Appropriation</w:t>
          </w:r>
          <w:bookmarkEnd w:id="0"/>
          <w:bookmarkEnd w:id="1"/>
          <w:bookmarkEnd w:id="2"/>
        </w:p>
        <w:p w14:paraId="5FFE5A1B" w14:textId="600C49AD" w:rsidR="007124DA" w:rsidRDefault="00873474" w:rsidP="005A5A73">
          <w:pPr>
            <w:jc w:val="right"/>
            <w:rPr>
              <w:color w:val="003865" w:themeColor="accent1"/>
              <w:sz w:val="28"/>
              <w:szCs w:val="28"/>
            </w:rPr>
          </w:pPr>
          <w:bookmarkStart w:id="3" w:name="_Toc477437899"/>
          <w:r>
            <w:rPr>
              <w:color w:val="003865" w:themeColor="accent1"/>
              <w:sz w:val="28"/>
              <w:szCs w:val="28"/>
            </w:rPr>
            <w:t>Legislative Report</w:t>
          </w:r>
        </w:p>
        <w:p w14:paraId="3BD3AEA7" w14:textId="074FE8EE" w:rsidR="005A5A73" w:rsidRPr="005A5A73" w:rsidRDefault="00FD492E" w:rsidP="005A5A73">
          <w:pPr>
            <w:pBdr>
              <w:bottom w:val="single" w:sz="4" w:space="15" w:color="auto"/>
            </w:pBdr>
            <w:jc w:val="right"/>
            <w:rPr>
              <w:color w:val="003865" w:themeColor="accent1"/>
              <w:sz w:val="28"/>
              <w:szCs w:val="28"/>
            </w:rPr>
          </w:pPr>
          <w:r>
            <w:rPr>
              <w:color w:val="003865" w:themeColor="accent1"/>
              <w:sz w:val="28"/>
              <w:szCs w:val="28"/>
            </w:rPr>
            <w:t>12</w:t>
          </w:r>
          <w:r w:rsidR="005A5A73">
            <w:rPr>
              <w:color w:val="003865" w:themeColor="accent1"/>
              <w:sz w:val="28"/>
              <w:szCs w:val="28"/>
            </w:rPr>
            <w:t>/</w:t>
          </w:r>
          <w:r>
            <w:rPr>
              <w:color w:val="003865" w:themeColor="accent1"/>
              <w:sz w:val="28"/>
              <w:szCs w:val="28"/>
            </w:rPr>
            <w:t>13</w:t>
          </w:r>
          <w:r w:rsidR="005A5A73">
            <w:rPr>
              <w:color w:val="003865" w:themeColor="accent1"/>
              <w:sz w:val="28"/>
              <w:szCs w:val="28"/>
            </w:rPr>
            <w:t>/</w:t>
          </w:r>
          <w:r w:rsidR="00873474">
            <w:rPr>
              <w:color w:val="003865" w:themeColor="accent1"/>
              <w:sz w:val="28"/>
              <w:szCs w:val="28"/>
            </w:rPr>
            <w:t>20</w:t>
          </w:r>
          <w:r w:rsidR="00812D92">
            <w:rPr>
              <w:color w:val="003865" w:themeColor="accent1"/>
              <w:sz w:val="28"/>
              <w:szCs w:val="28"/>
            </w:rPr>
            <w:t>24</w:t>
          </w:r>
        </w:p>
        <w:bookmarkEnd w:id="3"/>
        <w:p w14:paraId="42E00546" w14:textId="77777777" w:rsidR="00074A30" w:rsidRPr="00074A30" w:rsidRDefault="00074A30" w:rsidP="00074A30">
          <w:pPr>
            <w:sectPr w:rsidR="00074A30" w:rsidRPr="00074A30" w:rsidSect="00B545E5">
              <w:footerReference w:type="default" r:id="rId12"/>
              <w:footerReference w:type="first" r:id="rId13"/>
              <w:pgSz w:w="12240" w:h="15840" w:code="1"/>
              <w:pgMar w:top="1728" w:right="1080" w:bottom="1440" w:left="1080" w:header="0" w:footer="504" w:gutter="0"/>
              <w:cols w:space="720"/>
              <w:vAlign w:val="center"/>
              <w:titlePg/>
              <w:docGrid w:linePitch="326"/>
            </w:sectPr>
          </w:pPr>
        </w:p>
        <w:p w14:paraId="3F7A76D2" w14:textId="77777777" w:rsidR="00873474" w:rsidRPr="00FF033F" w:rsidRDefault="00873474" w:rsidP="00873474">
          <w:pPr>
            <w:rPr>
              <w:rStyle w:val="Hyperlink"/>
            </w:rPr>
          </w:pPr>
          <w:r>
            <w:lastRenderedPageBreak/>
            <w:t>Department of Employment and Economic Development</w:t>
          </w:r>
          <w:r w:rsidRPr="0042247B">
            <w:br/>
          </w:r>
          <w:r>
            <w:t>Office of Youth Development</w:t>
          </w:r>
          <w:r>
            <w:br/>
            <w:t>332 Minnesota Street Ste. E200</w:t>
          </w:r>
          <w:r w:rsidRPr="0042247B">
            <w:t xml:space="preserve"> </w:t>
          </w:r>
          <w:r w:rsidRPr="0042247B">
            <w:br/>
            <w:t xml:space="preserve">St. Paul, MN </w:t>
          </w:r>
          <w:r>
            <w:t>55101</w:t>
          </w:r>
          <w:r>
            <w:br/>
            <w:t>(P</w:t>
          </w:r>
          <w:r w:rsidRPr="0042247B">
            <w:t xml:space="preserve">hone) </w:t>
          </w:r>
          <w:r>
            <w:t>651-259-7555</w:t>
          </w:r>
          <w:r w:rsidRPr="0042247B">
            <w:t xml:space="preserve"> </w:t>
          </w:r>
          <w:r w:rsidRPr="0042247B">
            <w:br/>
          </w:r>
          <w:hyperlink r:id="rId14" w:history="1">
            <w:r w:rsidRPr="00C90DA5">
              <w:rPr>
                <w:rStyle w:val="Hyperlink"/>
              </w:rPr>
              <w:t>Kay.Tracy@state.mn.us</w:t>
            </w:r>
          </w:hyperlink>
          <w:r w:rsidRPr="0013434B">
            <w:rPr>
              <w:rStyle w:val="Hyperlink"/>
            </w:rPr>
            <w:br/>
          </w:r>
          <w:hyperlink r:id="rId15" w:history="1">
            <w:r w:rsidRPr="00FF033F">
              <w:rPr>
                <w:rStyle w:val="Hyperlink"/>
                <w:rFonts w:eastAsiaTheme="majorEastAsia"/>
              </w:rPr>
              <w:t>mn.gov/deed/programs-services/office-youth-development/</w:t>
            </w:r>
          </w:hyperlink>
        </w:p>
        <w:p w14:paraId="64B92D80" w14:textId="2AB2E4A5" w:rsidR="00F6052E" w:rsidRPr="0042247B" w:rsidRDefault="00F6052E" w:rsidP="00F6052E">
          <w:r w:rsidRPr="0042247B">
            <w:t xml:space="preserve">As requested by Minnesota Statute 3.197: This report cost </w:t>
          </w:r>
          <w:r w:rsidRPr="005140EC">
            <w:t>approximately $ to prepare,</w:t>
          </w:r>
          <w:r w:rsidRPr="0042247B">
            <w:t xml:space="preserve"> including staff time, printing and mailing expenses.</w:t>
          </w:r>
        </w:p>
        <w:p w14:paraId="2F137DF7" w14:textId="77777777" w:rsidR="00F6052E" w:rsidRDefault="00F6052E" w:rsidP="00F6052E">
          <w:pPr>
            <w:rPr>
              <w:rStyle w:val="Emphasis"/>
            </w:rPr>
          </w:pPr>
          <w:r w:rsidRPr="00BE1756">
            <w:rPr>
              <w:rStyle w:val="Emphasis"/>
            </w:rPr>
            <w:t>Upon request, this material will be made available in an alternative format such as large print, Braille or audio recording. Printed on recycled paper.</w:t>
          </w:r>
        </w:p>
        <w:p w14:paraId="19D426E1" w14:textId="77777777" w:rsidR="00074A30" w:rsidRDefault="00074A30">
          <w:pPr>
            <w:spacing w:before="120" w:after="0"/>
            <w:rPr>
              <w:rStyle w:val="Emphasis"/>
            </w:rPr>
            <w:sectPr w:rsidR="00074A30" w:rsidSect="00074A30">
              <w:pgSz w:w="12240" w:h="15840" w:code="1"/>
              <w:pgMar w:top="1728" w:right="1080" w:bottom="1440" w:left="1080" w:header="0" w:footer="504" w:gutter="0"/>
              <w:cols w:space="720"/>
              <w:vAlign w:val="center"/>
              <w:titlePg/>
              <w:docGrid w:linePitch="326"/>
            </w:sectPr>
          </w:pPr>
        </w:p>
        <w:bookmarkStart w:id="4" w:name="_Toc183614390" w:displacedByCustomXml="next"/>
        <w:bookmarkStart w:id="5" w:name="_Toc461105257" w:displacedByCustomXml="next"/>
        <w:sdt>
          <w:sdtPr>
            <w:rPr>
              <w:rFonts w:ascii="Calibri" w:eastAsia="Times New Roman" w:hAnsi="Calibri" w:cs="Times New Roman"/>
              <w:b w:val="0"/>
              <w:bCs/>
              <w:i/>
              <w:color w:val="auto"/>
              <w:sz w:val="22"/>
              <w:szCs w:val="22"/>
            </w:rPr>
            <w:id w:val="-1936895440"/>
            <w:docPartObj>
              <w:docPartGallery w:val="Table of Contents"/>
              <w:docPartUnique/>
            </w:docPartObj>
          </w:sdtPr>
          <w:sdtEndPr>
            <w:rPr>
              <w:bCs w:val="0"/>
              <w:noProof/>
            </w:rPr>
          </w:sdtEndPr>
          <w:sdtContent>
            <w:p w14:paraId="42527C40" w14:textId="77777777" w:rsidR="00DC4B3C" w:rsidRDefault="00014777" w:rsidP="00014777">
              <w:pPr>
                <w:pStyle w:val="Heading2"/>
                <w:rPr>
                  <w:noProof/>
                </w:rPr>
              </w:pPr>
              <w:r w:rsidRPr="00ED0230">
                <w:t>Contents</w:t>
              </w:r>
              <w:bookmarkEnd w:id="4"/>
              <w:r>
                <w:rPr>
                  <w:rFonts w:asciiTheme="majorHAnsi" w:hAnsiTheme="majorHAnsi"/>
                  <w:color w:val="00294B" w:themeColor="accent1" w:themeShade="BF"/>
                  <w:sz w:val="28"/>
                  <w:szCs w:val="28"/>
                </w:rPr>
                <w:fldChar w:fldCharType="begin"/>
              </w:r>
              <w:r>
                <w:instrText xml:space="preserve"> TOC \o "1-3" \h \z \u </w:instrText>
              </w:r>
              <w:r>
                <w:rPr>
                  <w:rFonts w:asciiTheme="majorHAnsi" w:hAnsiTheme="majorHAnsi"/>
                  <w:color w:val="00294B" w:themeColor="accent1" w:themeShade="BF"/>
                  <w:sz w:val="28"/>
                  <w:szCs w:val="28"/>
                </w:rPr>
                <w:fldChar w:fldCharType="separate"/>
              </w:r>
            </w:p>
            <w:p w14:paraId="71757751" w14:textId="5AB25A87" w:rsidR="00DC4B3C" w:rsidRDefault="00DB4F42">
              <w:pPr>
                <w:pStyle w:val="TOC1"/>
                <w:tabs>
                  <w:tab w:val="right" w:leader="dot" w:pos="10070"/>
                </w:tabs>
                <w:rPr>
                  <w:rFonts w:asciiTheme="minorHAnsi" w:eastAsiaTheme="minorEastAsia" w:hAnsiTheme="minorHAnsi" w:cstheme="minorBidi"/>
                  <w:noProof/>
                  <w:kern w:val="2"/>
                  <w:lang w:bidi="ar-SA"/>
                  <w14:ligatures w14:val="standardContextual"/>
                </w:rPr>
              </w:pPr>
              <w:hyperlink w:anchor="_Toc183614389" w:history="1">
                <w:r w:rsidR="00DC4B3C" w:rsidRPr="00882EF1">
                  <w:rPr>
                    <w:rStyle w:val="Hyperlink"/>
                    <w:noProof/>
                  </w:rPr>
                  <w:t>Greater Twin Cities United Way Direct Appropriation</w:t>
                </w:r>
                <w:r w:rsidR="00DC4B3C">
                  <w:rPr>
                    <w:noProof/>
                    <w:webHidden/>
                  </w:rPr>
                  <w:tab/>
                </w:r>
                <w:r w:rsidR="00DC4B3C">
                  <w:rPr>
                    <w:noProof/>
                    <w:webHidden/>
                  </w:rPr>
                  <w:fldChar w:fldCharType="begin"/>
                </w:r>
                <w:r w:rsidR="00DC4B3C">
                  <w:rPr>
                    <w:noProof/>
                    <w:webHidden/>
                  </w:rPr>
                  <w:instrText xml:space="preserve"> PAGEREF _Toc183614389 \h </w:instrText>
                </w:r>
                <w:r w:rsidR="00DC4B3C">
                  <w:rPr>
                    <w:noProof/>
                    <w:webHidden/>
                  </w:rPr>
                </w:r>
                <w:r w:rsidR="00DC4B3C">
                  <w:rPr>
                    <w:noProof/>
                    <w:webHidden/>
                  </w:rPr>
                  <w:fldChar w:fldCharType="separate"/>
                </w:r>
                <w:r w:rsidR="00DC4B3C">
                  <w:rPr>
                    <w:noProof/>
                    <w:webHidden/>
                  </w:rPr>
                  <w:t>1</w:t>
                </w:r>
                <w:r w:rsidR="00DC4B3C">
                  <w:rPr>
                    <w:noProof/>
                    <w:webHidden/>
                  </w:rPr>
                  <w:fldChar w:fldCharType="end"/>
                </w:r>
              </w:hyperlink>
            </w:p>
            <w:p w14:paraId="426F56FC" w14:textId="37BEF004" w:rsidR="00DC4B3C" w:rsidRDefault="00DB4F42">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3614390" w:history="1">
                <w:r w:rsidR="00DC4B3C" w:rsidRPr="00882EF1">
                  <w:rPr>
                    <w:rStyle w:val="Hyperlink"/>
                    <w:noProof/>
                  </w:rPr>
                  <w:t>Contents</w:t>
                </w:r>
                <w:r w:rsidR="00DC4B3C">
                  <w:rPr>
                    <w:noProof/>
                    <w:webHidden/>
                  </w:rPr>
                  <w:tab/>
                </w:r>
                <w:r w:rsidR="00DC4B3C">
                  <w:rPr>
                    <w:noProof/>
                    <w:webHidden/>
                  </w:rPr>
                  <w:fldChar w:fldCharType="begin"/>
                </w:r>
                <w:r w:rsidR="00DC4B3C">
                  <w:rPr>
                    <w:noProof/>
                    <w:webHidden/>
                  </w:rPr>
                  <w:instrText xml:space="preserve"> PAGEREF _Toc183614390 \h </w:instrText>
                </w:r>
                <w:r w:rsidR="00DC4B3C">
                  <w:rPr>
                    <w:noProof/>
                    <w:webHidden/>
                  </w:rPr>
                </w:r>
                <w:r w:rsidR="00DC4B3C">
                  <w:rPr>
                    <w:noProof/>
                    <w:webHidden/>
                  </w:rPr>
                  <w:fldChar w:fldCharType="separate"/>
                </w:r>
                <w:r w:rsidR="00DC4B3C">
                  <w:rPr>
                    <w:noProof/>
                    <w:webHidden/>
                  </w:rPr>
                  <w:t>3</w:t>
                </w:r>
                <w:r w:rsidR="00DC4B3C">
                  <w:rPr>
                    <w:noProof/>
                    <w:webHidden/>
                  </w:rPr>
                  <w:fldChar w:fldCharType="end"/>
                </w:r>
              </w:hyperlink>
            </w:p>
            <w:p w14:paraId="4468E56D" w14:textId="11F65D26" w:rsidR="00DC4B3C" w:rsidRDefault="00DB4F42">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3614391" w:history="1">
                <w:r w:rsidR="00DC4B3C" w:rsidRPr="00882EF1">
                  <w:rPr>
                    <w:rStyle w:val="Hyperlink"/>
                    <w:noProof/>
                  </w:rPr>
                  <w:t>Program Overview</w:t>
                </w:r>
                <w:r w:rsidR="00DC4B3C">
                  <w:rPr>
                    <w:noProof/>
                    <w:webHidden/>
                  </w:rPr>
                  <w:tab/>
                </w:r>
                <w:r w:rsidR="00DC4B3C">
                  <w:rPr>
                    <w:noProof/>
                    <w:webHidden/>
                  </w:rPr>
                  <w:fldChar w:fldCharType="begin"/>
                </w:r>
                <w:r w:rsidR="00DC4B3C">
                  <w:rPr>
                    <w:noProof/>
                    <w:webHidden/>
                  </w:rPr>
                  <w:instrText xml:space="preserve"> PAGEREF _Toc183614391 \h </w:instrText>
                </w:r>
                <w:r w:rsidR="00DC4B3C">
                  <w:rPr>
                    <w:noProof/>
                    <w:webHidden/>
                  </w:rPr>
                </w:r>
                <w:r w:rsidR="00DC4B3C">
                  <w:rPr>
                    <w:noProof/>
                    <w:webHidden/>
                  </w:rPr>
                  <w:fldChar w:fldCharType="separate"/>
                </w:r>
                <w:r w:rsidR="00DC4B3C">
                  <w:rPr>
                    <w:noProof/>
                    <w:webHidden/>
                  </w:rPr>
                  <w:t>4</w:t>
                </w:r>
                <w:r w:rsidR="00DC4B3C">
                  <w:rPr>
                    <w:noProof/>
                    <w:webHidden/>
                  </w:rPr>
                  <w:fldChar w:fldCharType="end"/>
                </w:r>
              </w:hyperlink>
            </w:p>
            <w:p w14:paraId="07366550" w14:textId="7E96A750" w:rsidR="00DC4B3C" w:rsidRDefault="00DB4F42">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3614392" w:history="1">
                <w:r w:rsidR="00DC4B3C" w:rsidRPr="00882EF1">
                  <w:rPr>
                    <w:rStyle w:val="Hyperlink"/>
                    <w:noProof/>
                  </w:rPr>
                  <w:t>Legislative Appropriation</w:t>
                </w:r>
                <w:r w:rsidR="00DC4B3C">
                  <w:rPr>
                    <w:noProof/>
                    <w:webHidden/>
                  </w:rPr>
                  <w:tab/>
                </w:r>
                <w:r w:rsidR="00DC4B3C">
                  <w:rPr>
                    <w:noProof/>
                    <w:webHidden/>
                  </w:rPr>
                  <w:fldChar w:fldCharType="begin"/>
                </w:r>
                <w:r w:rsidR="00DC4B3C">
                  <w:rPr>
                    <w:noProof/>
                    <w:webHidden/>
                  </w:rPr>
                  <w:instrText xml:space="preserve"> PAGEREF _Toc183614392 \h </w:instrText>
                </w:r>
                <w:r w:rsidR="00DC4B3C">
                  <w:rPr>
                    <w:noProof/>
                    <w:webHidden/>
                  </w:rPr>
                </w:r>
                <w:r w:rsidR="00DC4B3C">
                  <w:rPr>
                    <w:noProof/>
                    <w:webHidden/>
                  </w:rPr>
                  <w:fldChar w:fldCharType="separate"/>
                </w:r>
                <w:r w:rsidR="00DC4B3C">
                  <w:rPr>
                    <w:noProof/>
                    <w:webHidden/>
                  </w:rPr>
                  <w:t>4</w:t>
                </w:r>
                <w:r w:rsidR="00DC4B3C">
                  <w:rPr>
                    <w:noProof/>
                    <w:webHidden/>
                  </w:rPr>
                  <w:fldChar w:fldCharType="end"/>
                </w:r>
              </w:hyperlink>
            </w:p>
            <w:p w14:paraId="4CD951F4" w14:textId="39E8C48E" w:rsidR="00DC4B3C" w:rsidRDefault="00DB4F42">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3614393" w:history="1">
                <w:r w:rsidR="00DC4B3C" w:rsidRPr="00882EF1">
                  <w:rPr>
                    <w:rStyle w:val="Hyperlink"/>
                    <w:noProof/>
                  </w:rPr>
                  <w:t>Allowable Use of Funds</w:t>
                </w:r>
                <w:r w:rsidR="00DC4B3C">
                  <w:rPr>
                    <w:noProof/>
                    <w:webHidden/>
                  </w:rPr>
                  <w:tab/>
                </w:r>
                <w:r w:rsidR="00DC4B3C">
                  <w:rPr>
                    <w:noProof/>
                    <w:webHidden/>
                  </w:rPr>
                  <w:fldChar w:fldCharType="begin"/>
                </w:r>
                <w:r w:rsidR="00DC4B3C">
                  <w:rPr>
                    <w:noProof/>
                    <w:webHidden/>
                  </w:rPr>
                  <w:instrText xml:space="preserve"> PAGEREF _Toc183614393 \h </w:instrText>
                </w:r>
                <w:r w:rsidR="00DC4B3C">
                  <w:rPr>
                    <w:noProof/>
                    <w:webHidden/>
                  </w:rPr>
                </w:r>
                <w:r w:rsidR="00DC4B3C">
                  <w:rPr>
                    <w:noProof/>
                    <w:webHidden/>
                  </w:rPr>
                  <w:fldChar w:fldCharType="separate"/>
                </w:r>
                <w:r w:rsidR="00DC4B3C">
                  <w:rPr>
                    <w:noProof/>
                    <w:webHidden/>
                  </w:rPr>
                  <w:t>4</w:t>
                </w:r>
                <w:r w:rsidR="00DC4B3C">
                  <w:rPr>
                    <w:noProof/>
                    <w:webHidden/>
                  </w:rPr>
                  <w:fldChar w:fldCharType="end"/>
                </w:r>
              </w:hyperlink>
            </w:p>
            <w:p w14:paraId="4829D7B4" w14:textId="4F050BAF" w:rsidR="00DC4B3C" w:rsidRDefault="00DB4F42">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3614394" w:history="1">
                <w:r w:rsidR="00DC4B3C" w:rsidRPr="00882EF1">
                  <w:rPr>
                    <w:rStyle w:val="Hyperlink"/>
                    <w:noProof/>
                  </w:rPr>
                  <w:t>Program Activities and Performance Metrics</w:t>
                </w:r>
                <w:r w:rsidR="00DC4B3C">
                  <w:rPr>
                    <w:noProof/>
                    <w:webHidden/>
                  </w:rPr>
                  <w:tab/>
                </w:r>
                <w:r w:rsidR="00DC4B3C">
                  <w:rPr>
                    <w:noProof/>
                    <w:webHidden/>
                  </w:rPr>
                  <w:fldChar w:fldCharType="begin"/>
                </w:r>
                <w:r w:rsidR="00DC4B3C">
                  <w:rPr>
                    <w:noProof/>
                    <w:webHidden/>
                  </w:rPr>
                  <w:instrText xml:space="preserve"> PAGEREF _Toc183614394 \h </w:instrText>
                </w:r>
                <w:r w:rsidR="00DC4B3C">
                  <w:rPr>
                    <w:noProof/>
                    <w:webHidden/>
                  </w:rPr>
                </w:r>
                <w:r w:rsidR="00DC4B3C">
                  <w:rPr>
                    <w:noProof/>
                    <w:webHidden/>
                  </w:rPr>
                  <w:fldChar w:fldCharType="separate"/>
                </w:r>
                <w:r w:rsidR="00DC4B3C">
                  <w:rPr>
                    <w:noProof/>
                    <w:webHidden/>
                  </w:rPr>
                  <w:t>4</w:t>
                </w:r>
                <w:r w:rsidR="00DC4B3C">
                  <w:rPr>
                    <w:noProof/>
                    <w:webHidden/>
                  </w:rPr>
                  <w:fldChar w:fldCharType="end"/>
                </w:r>
              </w:hyperlink>
            </w:p>
            <w:p w14:paraId="0844FAF9" w14:textId="543C773C" w:rsidR="00DC4B3C" w:rsidRDefault="00DB4F42">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3614395" w:history="1">
                <w:r w:rsidR="00DC4B3C" w:rsidRPr="00882EF1">
                  <w:rPr>
                    <w:rStyle w:val="Hyperlink"/>
                    <w:noProof/>
                  </w:rPr>
                  <w:t>Expenditure Data</w:t>
                </w:r>
                <w:r w:rsidR="00DC4B3C">
                  <w:rPr>
                    <w:noProof/>
                    <w:webHidden/>
                  </w:rPr>
                  <w:tab/>
                </w:r>
                <w:r w:rsidR="00DC4B3C">
                  <w:rPr>
                    <w:noProof/>
                    <w:webHidden/>
                  </w:rPr>
                  <w:fldChar w:fldCharType="begin"/>
                </w:r>
                <w:r w:rsidR="00DC4B3C">
                  <w:rPr>
                    <w:noProof/>
                    <w:webHidden/>
                  </w:rPr>
                  <w:instrText xml:space="preserve"> PAGEREF _Toc183614395 \h </w:instrText>
                </w:r>
                <w:r w:rsidR="00DC4B3C">
                  <w:rPr>
                    <w:noProof/>
                    <w:webHidden/>
                  </w:rPr>
                </w:r>
                <w:r w:rsidR="00DC4B3C">
                  <w:rPr>
                    <w:noProof/>
                    <w:webHidden/>
                  </w:rPr>
                  <w:fldChar w:fldCharType="separate"/>
                </w:r>
                <w:r w:rsidR="00DC4B3C">
                  <w:rPr>
                    <w:noProof/>
                    <w:webHidden/>
                  </w:rPr>
                  <w:t>5</w:t>
                </w:r>
                <w:r w:rsidR="00DC4B3C">
                  <w:rPr>
                    <w:noProof/>
                    <w:webHidden/>
                  </w:rPr>
                  <w:fldChar w:fldCharType="end"/>
                </w:r>
              </w:hyperlink>
            </w:p>
            <w:p w14:paraId="595CC91E" w14:textId="7FB9D86F" w:rsidR="00DC4B3C" w:rsidRDefault="00DB4F42">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3614396" w:history="1">
                <w:r w:rsidR="00DC4B3C" w:rsidRPr="00882EF1">
                  <w:rPr>
                    <w:rStyle w:val="Hyperlink"/>
                    <w:noProof/>
                  </w:rPr>
                  <w:t>Program Data and Outcomes</w:t>
                </w:r>
                <w:r w:rsidR="00DC4B3C">
                  <w:rPr>
                    <w:noProof/>
                    <w:webHidden/>
                  </w:rPr>
                  <w:tab/>
                </w:r>
                <w:r w:rsidR="00DC4B3C">
                  <w:rPr>
                    <w:noProof/>
                    <w:webHidden/>
                  </w:rPr>
                  <w:fldChar w:fldCharType="begin"/>
                </w:r>
                <w:r w:rsidR="00DC4B3C">
                  <w:rPr>
                    <w:noProof/>
                    <w:webHidden/>
                  </w:rPr>
                  <w:instrText xml:space="preserve"> PAGEREF _Toc183614396 \h </w:instrText>
                </w:r>
                <w:r w:rsidR="00DC4B3C">
                  <w:rPr>
                    <w:noProof/>
                    <w:webHidden/>
                  </w:rPr>
                </w:r>
                <w:r w:rsidR="00DC4B3C">
                  <w:rPr>
                    <w:noProof/>
                    <w:webHidden/>
                  </w:rPr>
                  <w:fldChar w:fldCharType="separate"/>
                </w:r>
                <w:r w:rsidR="00DC4B3C">
                  <w:rPr>
                    <w:noProof/>
                    <w:webHidden/>
                  </w:rPr>
                  <w:t>5</w:t>
                </w:r>
                <w:r w:rsidR="00DC4B3C">
                  <w:rPr>
                    <w:noProof/>
                    <w:webHidden/>
                  </w:rPr>
                  <w:fldChar w:fldCharType="end"/>
                </w:r>
              </w:hyperlink>
            </w:p>
            <w:p w14:paraId="579C799C" w14:textId="7CA7A395" w:rsidR="00DC4B3C" w:rsidRDefault="00DB4F42">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3614397" w:history="1">
                <w:r w:rsidR="00DC4B3C" w:rsidRPr="00882EF1">
                  <w:rPr>
                    <w:rStyle w:val="Hyperlink"/>
                    <w:noProof/>
                  </w:rPr>
                  <w:t>Success Stories</w:t>
                </w:r>
                <w:r w:rsidR="00DC4B3C">
                  <w:rPr>
                    <w:noProof/>
                    <w:webHidden/>
                  </w:rPr>
                  <w:tab/>
                </w:r>
                <w:r w:rsidR="00DC4B3C">
                  <w:rPr>
                    <w:noProof/>
                    <w:webHidden/>
                  </w:rPr>
                  <w:fldChar w:fldCharType="begin"/>
                </w:r>
                <w:r w:rsidR="00DC4B3C">
                  <w:rPr>
                    <w:noProof/>
                    <w:webHidden/>
                  </w:rPr>
                  <w:instrText xml:space="preserve"> PAGEREF _Toc183614397 \h </w:instrText>
                </w:r>
                <w:r w:rsidR="00DC4B3C">
                  <w:rPr>
                    <w:noProof/>
                    <w:webHidden/>
                  </w:rPr>
                </w:r>
                <w:r w:rsidR="00DC4B3C">
                  <w:rPr>
                    <w:noProof/>
                    <w:webHidden/>
                  </w:rPr>
                  <w:fldChar w:fldCharType="separate"/>
                </w:r>
                <w:r w:rsidR="00DC4B3C">
                  <w:rPr>
                    <w:noProof/>
                    <w:webHidden/>
                  </w:rPr>
                  <w:t>9</w:t>
                </w:r>
                <w:r w:rsidR="00DC4B3C">
                  <w:rPr>
                    <w:noProof/>
                    <w:webHidden/>
                  </w:rPr>
                  <w:fldChar w:fldCharType="end"/>
                </w:r>
              </w:hyperlink>
            </w:p>
            <w:p w14:paraId="354B8C9A" w14:textId="55E6879A" w:rsidR="00014777" w:rsidRPr="003F61EE" w:rsidRDefault="00014777" w:rsidP="00014777">
              <w:pPr>
                <w:tabs>
                  <w:tab w:val="right" w:leader="dot" w:pos="10070"/>
                </w:tabs>
                <w:rPr>
                  <w:rFonts w:eastAsiaTheme="minorEastAsia" w:cstheme="minorBidi"/>
                  <w:noProof/>
                  <w:lang w:bidi="ar-SA"/>
                </w:rPr>
              </w:pPr>
              <w:r>
                <w:rPr>
                  <w:b/>
                  <w:bCs/>
                  <w:noProof/>
                </w:rPr>
                <w:fldChar w:fldCharType="end"/>
              </w:r>
            </w:p>
          </w:sdtContent>
        </w:sdt>
        <w:p w14:paraId="3D48C5E5" w14:textId="77777777" w:rsidR="00196EBA" w:rsidRDefault="00196EBA" w:rsidP="00196EBA">
          <w:pPr>
            <w:tabs>
              <w:tab w:val="right" w:pos="10080"/>
            </w:tabs>
            <w:jc w:val="right"/>
          </w:pPr>
        </w:p>
        <w:p w14:paraId="1A20FFDF" w14:textId="7F04D1D1" w:rsidR="00196EBA" w:rsidRDefault="00196EBA" w:rsidP="00196EBA">
          <w:pPr>
            <w:tabs>
              <w:tab w:val="left" w:pos="1550"/>
            </w:tabs>
          </w:pPr>
          <w:r>
            <w:tab/>
          </w:r>
        </w:p>
        <w:p w14:paraId="075B049F" w14:textId="77777777" w:rsidR="00DB1B86" w:rsidRDefault="00DB1B86" w:rsidP="00196EBA">
          <w:pPr>
            <w:tabs>
              <w:tab w:val="right" w:pos="10080"/>
            </w:tabs>
          </w:pPr>
        </w:p>
        <w:p w14:paraId="557C1F9A" w14:textId="77777777" w:rsidR="00DB1B86" w:rsidRDefault="00DB1B86" w:rsidP="00196EBA">
          <w:pPr>
            <w:tabs>
              <w:tab w:val="right" w:pos="10080"/>
            </w:tabs>
          </w:pPr>
        </w:p>
        <w:p w14:paraId="3007F1D2" w14:textId="77777777" w:rsidR="00DB1B86" w:rsidRDefault="00DB1B86" w:rsidP="00196EBA">
          <w:pPr>
            <w:tabs>
              <w:tab w:val="right" w:pos="10080"/>
            </w:tabs>
          </w:pPr>
        </w:p>
        <w:p w14:paraId="6E673ED7" w14:textId="77777777" w:rsidR="00DB1B86" w:rsidRDefault="00DB1B86" w:rsidP="00196EBA">
          <w:pPr>
            <w:tabs>
              <w:tab w:val="right" w:pos="10080"/>
            </w:tabs>
          </w:pPr>
        </w:p>
        <w:p w14:paraId="5B1BC97A" w14:textId="77777777" w:rsidR="00DB1B86" w:rsidRDefault="00DB1B86" w:rsidP="00196EBA">
          <w:pPr>
            <w:tabs>
              <w:tab w:val="right" w:pos="10080"/>
            </w:tabs>
          </w:pPr>
        </w:p>
        <w:p w14:paraId="1892B6D6" w14:textId="77777777" w:rsidR="00DB1B86" w:rsidRDefault="00DB1B86" w:rsidP="00196EBA">
          <w:pPr>
            <w:tabs>
              <w:tab w:val="right" w:pos="10080"/>
            </w:tabs>
          </w:pPr>
        </w:p>
        <w:p w14:paraId="0590083C" w14:textId="77777777" w:rsidR="00DB1B86" w:rsidRDefault="00DB1B86" w:rsidP="00196EBA">
          <w:pPr>
            <w:tabs>
              <w:tab w:val="right" w:pos="10080"/>
            </w:tabs>
          </w:pPr>
        </w:p>
        <w:p w14:paraId="56510332" w14:textId="77777777" w:rsidR="00DB1B86" w:rsidRDefault="00DB1B86" w:rsidP="00196EBA">
          <w:pPr>
            <w:tabs>
              <w:tab w:val="right" w:pos="10080"/>
            </w:tabs>
          </w:pPr>
        </w:p>
        <w:p w14:paraId="49AF26DA" w14:textId="77777777" w:rsidR="00DB1B86" w:rsidRDefault="00DB1B86" w:rsidP="00196EBA">
          <w:pPr>
            <w:tabs>
              <w:tab w:val="right" w:pos="10080"/>
            </w:tabs>
          </w:pPr>
        </w:p>
        <w:p w14:paraId="2E5DBF4C" w14:textId="7CF47811" w:rsidR="00014777" w:rsidRDefault="00196EBA" w:rsidP="00196EBA">
          <w:pPr>
            <w:tabs>
              <w:tab w:val="right" w:pos="10080"/>
            </w:tabs>
            <w:rPr>
              <w:rFonts w:eastAsiaTheme="majorEastAsia"/>
            </w:rPr>
          </w:pPr>
          <w:r>
            <w:tab/>
          </w:r>
        </w:p>
        <w:p w14:paraId="5D8087CC" w14:textId="535D980B" w:rsidR="00E41BD2" w:rsidRPr="00ED0230" w:rsidRDefault="007511B5" w:rsidP="00DB1B86">
          <w:pPr>
            <w:pStyle w:val="Heading2"/>
            <w:spacing w:before="0"/>
          </w:pPr>
          <w:bookmarkStart w:id="6" w:name="_Toc183614391"/>
          <w:bookmarkEnd w:id="5"/>
          <w:r w:rsidRPr="00ED0230">
            <w:lastRenderedPageBreak/>
            <w:t>Program Overview</w:t>
          </w:r>
          <w:bookmarkEnd w:id="6"/>
        </w:p>
        <w:p w14:paraId="4FAD09BB" w14:textId="77777777" w:rsidR="00870DC1" w:rsidRDefault="00870DC1" w:rsidP="00870DC1">
          <w:pPr>
            <w:rPr>
              <w:b/>
              <w:lang w:bidi="ar-SA"/>
            </w:rPr>
          </w:pPr>
          <w:bookmarkStart w:id="7" w:name="_Toc461105258"/>
          <w:r w:rsidRPr="00870DC1">
            <w:rPr>
              <w:lang w:bidi="ar-SA"/>
            </w:rPr>
            <w:t>For this project, grants will be awarded through an invitation only application to partnerships providing workforce training using the career pathways model that helps students gain work experience, earn experience in high-demand fields, and transition into family-sustaining careers. We anticipate grant sizes will range between $30,000-$50,000 per organization or partnership of organizations providing workforce opportunities. Fairness will be ensured through a rigorous and equitable review process, seeking continued feedback from community, and intentionally ensuring that a diversity of geographies, industries and communities are served through this process.</w:t>
          </w:r>
        </w:p>
        <w:p w14:paraId="3BF5FBDF" w14:textId="7E604E69" w:rsidR="007511B5" w:rsidRDefault="007511B5" w:rsidP="00ED0230">
          <w:pPr>
            <w:pStyle w:val="Heading2"/>
            <w:rPr>
              <w:lang w:bidi="ar-SA"/>
            </w:rPr>
          </w:pPr>
          <w:bookmarkStart w:id="8" w:name="_Toc183614392"/>
          <w:r>
            <w:rPr>
              <w:lang w:bidi="ar-SA"/>
            </w:rPr>
            <w:t>Legislative Appropriation</w:t>
          </w:r>
          <w:bookmarkEnd w:id="8"/>
        </w:p>
        <w:p w14:paraId="1F8FEDE1" w14:textId="2C651300" w:rsidR="007511B5" w:rsidRPr="00D50BC5" w:rsidRDefault="007511B5" w:rsidP="007511B5">
          <w:pPr>
            <w:rPr>
              <w:rFonts w:cs="Arial"/>
            </w:rPr>
          </w:pPr>
          <w:r>
            <w:rPr>
              <w:rFonts w:cs="Arial"/>
            </w:rPr>
            <w:t>Funds for this project are appropriated in</w:t>
          </w:r>
          <w:r w:rsidR="0030060B">
            <w:rPr>
              <w:rFonts w:cs="Arial"/>
            </w:rPr>
            <w:t xml:space="preserve"> </w:t>
          </w:r>
          <w:hyperlink r:id="rId16" w:history="1">
            <w:r w:rsidR="00C66730">
              <w:rPr>
                <w:rStyle w:val="Hyperlink"/>
                <w:rFonts w:eastAsiaTheme="majorEastAsia"/>
              </w:rPr>
              <w:t>Minnesota Session Laws - 2023, Regular Session, Chapter 53 S.F. 3035, Article 20, Sec. 2., Subdivision 3(</w:t>
            </w:r>
            <w:proofErr w:type="spellStart"/>
            <w:r w:rsidR="00C66730">
              <w:rPr>
                <w:rStyle w:val="Hyperlink"/>
                <w:rFonts w:eastAsiaTheme="majorEastAsia"/>
              </w:rPr>
              <w:t>rr</w:t>
            </w:r>
            <w:proofErr w:type="spellEnd"/>
            <w:r w:rsidR="00C66730">
              <w:rPr>
                <w:rStyle w:val="Hyperlink"/>
                <w:rFonts w:eastAsiaTheme="majorEastAsia"/>
              </w:rPr>
              <w:t>)</w:t>
            </w:r>
          </w:hyperlink>
          <w:r w:rsidR="00D50BC5">
            <w:t xml:space="preserve">. </w:t>
          </w:r>
          <w:r w:rsidRPr="00C95416">
            <w:rPr>
              <w:rFonts w:cs="Arial"/>
            </w:rPr>
            <w:t xml:space="preserve">The amount available to </w:t>
          </w:r>
          <w:r w:rsidR="00742581">
            <w:rPr>
              <w:rFonts w:cs="Arial"/>
            </w:rPr>
            <w:t>Greater Twin Cities United Way</w:t>
          </w:r>
          <w:r w:rsidRPr="00C95416">
            <w:rPr>
              <w:rFonts w:cs="Arial"/>
            </w:rPr>
            <w:t xml:space="preserve"> for SFY 202</w:t>
          </w:r>
          <w:r w:rsidR="000D58EC">
            <w:rPr>
              <w:rFonts w:cs="Arial"/>
            </w:rPr>
            <w:t>4</w:t>
          </w:r>
          <w:r w:rsidRPr="00C95416">
            <w:rPr>
              <w:rFonts w:cs="Arial"/>
            </w:rPr>
            <w:t xml:space="preserve"> is </w:t>
          </w:r>
          <w:r w:rsidRPr="00C95416">
            <w:rPr>
              <w:rFonts w:cs="Arial"/>
              <w:b/>
            </w:rPr>
            <w:t>$</w:t>
          </w:r>
          <w:r w:rsidR="00E06CB3">
            <w:rPr>
              <w:rFonts w:cs="Arial"/>
              <w:b/>
            </w:rPr>
            <w:t>50</w:t>
          </w:r>
          <w:r w:rsidR="000D58EC">
            <w:rPr>
              <w:rFonts w:cs="Arial"/>
              <w:b/>
            </w:rPr>
            <w:t>0,000</w:t>
          </w:r>
          <w:r w:rsidRPr="00C95416">
            <w:rPr>
              <w:rFonts w:cs="Arial"/>
            </w:rPr>
            <w:t>. DEED is permitted to retain up to 5% of the $</w:t>
          </w:r>
          <w:r w:rsidR="00C66730">
            <w:rPr>
              <w:rFonts w:cs="Arial"/>
            </w:rPr>
            <w:t>5</w:t>
          </w:r>
          <w:r w:rsidR="000D58EC">
            <w:rPr>
              <w:rFonts w:cs="Arial"/>
            </w:rPr>
            <w:t>0</w:t>
          </w:r>
          <w:r>
            <w:rPr>
              <w:rFonts w:cs="Arial"/>
            </w:rPr>
            <w:t>0</w:t>
          </w:r>
          <w:r w:rsidRPr="00C95416">
            <w:rPr>
              <w:rFonts w:cs="Arial"/>
            </w:rPr>
            <w:t>,000 appropriation for administration and monitoring of the grant.</w:t>
          </w:r>
          <w:r w:rsidR="00C66730">
            <w:rPr>
              <w:rFonts w:cs="Arial"/>
            </w:rPr>
            <w:t xml:space="preserve"> Therefore, $475,000 was available to Greater Twin Cities United Way.</w:t>
          </w:r>
          <w:r>
            <w:rPr>
              <w:rFonts w:cs="Arial"/>
            </w:rPr>
            <w:t xml:space="preserve"> </w:t>
          </w:r>
        </w:p>
        <w:p w14:paraId="72965823" w14:textId="7B507895" w:rsidR="007F7097" w:rsidRPr="00E41BD2" w:rsidRDefault="00ED0230" w:rsidP="00ED0230">
          <w:pPr>
            <w:pStyle w:val="Heading2"/>
          </w:pPr>
          <w:bookmarkStart w:id="9" w:name="_Toc183614393"/>
          <w:bookmarkEnd w:id="7"/>
          <w:r>
            <w:t>Allowable Use of Funds</w:t>
          </w:r>
          <w:bookmarkEnd w:id="9"/>
          <w:r>
            <w:t xml:space="preserve"> </w:t>
          </w:r>
        </w:p>
        <w:p w14:paraId="61BA0AE2" w14:textId="7CE9D05F" w:rsidR="0053078F" w:rsidRDefault="0053078F" w:rsidP="0053078F">
          <w:r w:rsidRPr="00C71DEF">
            <w:t>In accordance with the language appropriating these funds</w:t>
          </w:r>
          <w:r w:rsidR="00640B88">
            <w:t xml:space="preserve"> directs Greater Twin Cities United Way to make grants to partner organizations to provide workforce training using career pathways model that helps students gain work experience, earn experience in high-demand fields, and transition into family-sustaining careers.</w:t>
          </w:r>
          <w:r w:rsidR="00870DC1">
            <w:t xml:space="preserve"> The grants will be targeted statewide.</w:t>
          </w:r>
        </w:p>
        <w:p w14:paraId="3BFBFDEF" w14:textId="218F3F63" w:rsidR="00BA5500" w:rsidRDefault="00BA5500" w:rsidP="00ED0230">
          <w:pPr>
            <w:pStyle w:val="Heading2"/>
          </w:pPr>
          <w:bookmarkStart w:id="10" w:name="_Toc183614394"/>
          <w:r>
            <w:t>Program Activities</w:t>
          </w:r>
          <w:r w:rsidR="00ED0230">
            <w:t xml:space="preserve"> and Performance Metrics</w:t>
          </w:r>
          <w:bookmarkEnd w:id="10"/>
        </w:p>
        <w:p w14:paraId="7FBC2294" w14:textId="74D08085" w:rsidR="00640B88" w:rsidRDefault="00640B88" w:rsidP="007C7ADC">
          <w:r>
            <w:t xml:space="preserve">For this grant, the Greater Twin Cities United Way will leverage Career Academies. Career Academies educational programming is sequenced and stackable career-connected learning opportunities in in-demand career pathways. Coursework includes both the required and preparatory academic experiences that ladder into and through college programming. In addition to the academic programming, career connected courses will be offered to all students. These courses are offered as a part of approved rigorous programs of study within career and technical education consortia at the high school or their related college program partners. Additionally, on the job learning experiences are prioritized through formal internships, and informal pathway connected job experiences. </w:t>
          </w:r>
        </w:p>
        <w:p w14:paraId="100895B6" w14:textId="0076BE39" w:rsidR="00870DC1" w:rsidRDefault="00870DC1" w:rsidP="007C7ADC">
          <w:r>
            <w:t xml:space="preserve">A critical part of a successful career pathways strategy is high-quality work experiences for youth that are individualized to a student’s unique passions and lived experiences. Funded organizations and partnerships will be made of a combination of institutions and community organizations that work together to provide supportive and student-centered work experiences. Examples might include partnerships made up of local intermediaries, chambers of commerce, school districts or high schools or youth employment partners. Working together, these </w:t>
          </w:r>
          <w:r>
            <w:lastRenderedPageBreak/>
            <w:t>innovative partnerships can offer supportive, developmentally appropriate work experiences that are in line with high-wage and high-demand career fields. The work experiences supported might include supportive components like mentorship, career coaching, culturally specific approaches, and wrap around supports to ensure participation and enrollment of students from a diversity of backgrounds.</w:t>
          </w:r>
        </w:p>
        <w:p w14:paraId="730C9E09" w14:textId="670EBADC" w:rsidR="00DC4B3C" w:rsidRDefault="00DC4B3C" w:rsidP="007C7ADC">
          <w:r>
            <w:t>The following entities were contracted with to provide services as indicated in the appropriating language:</w:t>
          </w:r>
        </w:p>
        <w:p w14:paraId="195BAC59" w14:textId="77777777" w:rsidR="00DC4B3C" w:rsidRPr="00DC4B3C" w:rsidRDefault="00DC4B3C" w:rsidP="00DC4B3C">
          <w:pPr>
            <w:numPr>
              <w:ilvl w:val="0"/>
              <w:numId w:val="34"/>
            </w:numPr>
            <w:spacing w:before="0" w:after="0" w:line="240" w:lineRule="auto"/>
            <w:rPr>
              <w:rFonts w:cs="Calibri"/>
              <w:lang w:bidi="ar-SA"/>
              <w14:ligatures w14:val="standardContextual"/>
            </w:rPr>
          </w:pPr>
          <w:r w:rsidRPr="00DC4B3C">
            <w:rPr>
              <w:rFonts w:cs="Calibri"/>
              <w:lang w:bidi="ar-SA"/>
              <w14:ligatures w14:val="standardContextual"/>
            </w:rPr>
            <w:t>Brainerd Lakes Chamber of Commerce</w:t>
          </w:r>
        </w:p>
        <w:p w14:paraId="6CEF8176" w14:textId="77777777" w:rsidR="00DC4B3C" w:rsidRPr="00DC4B3C" w:rsidRDefault="00DC4B3C" w:rsidP="00DC4B3C">
          <w:pPr>
            <w:numPr>
              <w:ilvl w:val="0"/>
              <w:numId w:val="34"/>
            </w:numPr>
            <w:spacing w:before="0" w:after="0" w:line="240" w:lineRule="auto"/>
            <w:rPr>
              <w:rFonts w:cs="Calibri"/>
              <w:lang w:bidi="ar-SA"/>
              <w14:ligatures w14:val="standardContextual"/>
            </w:rPr>
          </w:pPr>
          <w:r w:rsidRPr="00DC4B3C">
            <w:rPr>
              <w:rFonts w:cs="Calibri"/>
              <w:lang w:bidi="ar-SA"/>
              <w14:ligatures w14:val="standardContextual"/>
            </w:rPr>
            <w:t>Burnsville Chamber of Commerce</w:t>
          </w:r>
        </w:p>
        <w:p w14:paraId="3B466F5F" w14:textId="77777777" w:rsidR="00DC4B3C" w:rsidRPr="00DC4B3C" w:rsidRDefault="00DC4B3C" w:rsidP="00DC4B3C">
          <w:pPr>
            <w:numPr>
              <w:ilvl w:val="0"/>
              <w:numId w:val="34"/>
            </w:numPr>
            <w:spacing w:before="0" w:after="0" w:line="240" w:lineRule="auto"/>
            <w:rPr>
              <w:rFonts w:cs="Calibri"/>
              <w:lang w:bidi="ar-SA"/>
              <w14:ligatures w14:val="standardContextual"/>
            </w:rPr>
          </w:pPr>
          <w:r w:rsidRPr="00DC4B3C">
            <w:rPr>
              <w:rFonts w:cs="Calibri"/>
              <w:lang w:bidi="ar-SA"/>
              <w14:ligatures w14:val="standardContextual"/>
            </w:rPr>
            <w:t>Faribault Area Chamber of Commerce</w:t>
          </w:r>
        </w:p>
        <w:p w14:paraId="182B71BF" w14:textId="77777777" w:rsidR="00DC4B3C" w:rsidRPr="00DC4B3C" w:rsidRDefault="00DC4B3C" w:rsidP="00DC4B3C">
          <w:pPr>
            <w:numPr>
              <w:ilvl w:val="0"/>
              <w:numId w:val="34"/>
            </w:numPr>
            <w:spacing w:before="0" w:after="0" w:line="240" w:lineRule="auto"/>
            <w:rPr>
              <w:rFonts w:cs="Calibri"/>
              <w:lang w:bidi="ar-SA"/>
              <w14:ligatures w14:val="standardContextual"/>
            </w:rPr>
          </w:pPr>
          <w:r w:rsidRPr="00DC4B3C">
            <w:rPr>
              <w:rFonts w:cs="Calibri"/>
              <w:lang w:bidi="ar-SA"/>
              <w14:ligatures w14:val="standardContextual"/>
            </w:rPr>
            <w:t>Fergus Falls Chamber of Commerce</w:t>
          </w:r>
        </w:p>
        <w:p w14:paraId="55B764E2" w14:textId="77777777" w:rsidR="00DC4B3C" w:rsidRPr="00DC4B3C" w:rsidRDefault="00DC4B3C" w:rsidP="00DC4B3C">
          <w:pPr>
            <w:numPr>
              <w:ilvl w:val="0"/>
              <w:numId w:val="34"/>
            </w:numPr>
            <w:spacing w:before="0" w:after="0" w:line="240" w:lineRule="auto"/>
            <w:rPr>
              <w:rFonts w:cs="Calibri"/>
              <w:lang w:bidi="ar-SA"/>
              <w14:ligatures w14:val="standardContextual"/>
            </w:rPr>
          </w:pPr>
          <w:r w:rsidRPr="00DC4B3C">
            <w:rPr>
              <w:rFonts w:cs="Calibri"/>
              <w:lang w:bidi="ar-SA"/>
              <w14:ligatures w14:val="standardContextual"/>
            </w:rPr>
            <w:t>Greater Mankato Growth, Inc.</w:t>
          </w:r>
        </w:p>
        <w:p w14:paraId="77A60A4A" w14:textId="77777777" w:rsidR="00DC4B3C" w:rsidRPr="00DC4B3C" w:rsidRDefault="00DC4B3C" w:rsidP="00DC4B3C">
          <w:pPr>
            <w:numPr>
              <w:ilvl w:val="0"/>
              <w:numId w:val="34"/>
            </w:numPr>
            <w:spacing w:before="0" w:after="0" w:line="240" w:lineRule="auto"/>
            <w:rPr>
              <w:rFonts w:cs="Calibri"/>
              <w:lang w:bidi="ar-SA"/>
              <w14:ligatures w14:val="standardContextual"/>
            </w:rPr>
          </w:pPr>
          <w:r w:rsidRPr="00DC4B3C">
            <w:rPr>
              <w:rFonts w:cs="Calibri"/>
              <w:lang w:bidi="ar-SA"/>
              <w14:ligatures w14:val="standardContextual"/>
            </w:rPr>
            <w:t>Lakeville Chamber of Commerce</w:t>
          </w:r>
        </w:p>
        <w:p w14:paraId="37E5B112" w14:textId="77777777" w:rsidR="00DC4B3C" w:rsidRPr="00DC4B3C" w:rsidRDefault="00DC4B3C" w:rsidP="00DC4B3C">
          <w:pPr>
            <w:numPr>
              <w:ilvl w:val="0"/>
              <w:numId w:val="34"/>
            </w:numPr>
            <w:spacing w:before="0" w:after="0" w:line="240" w:lineRule="auto"/>
            <w:rPr>
              <w:rFonts w:cs="Calibri"/>
              <w:lang w:bidi="ar-SA"/>
              <w14:ligatures w14:val="standardContextual"/>
            </w:rPr>
          </w:pPr>
          <w:proofErr w:type="spellStart"/>
          <w:r w:rsidRPr="00DC4B3C">
            <w:rPr>
              <w:rFonts w:cs="Calibri"/>
              <w:lang w:bidi="ar-SA"/>
              <w14:ligatures w14:val="standardContextual"/>
            </w:rPr>
            <w:t>MetroNorth</w:t>
          </w:r>
          <w:proofErr w:type="spellEnd"/>
          <w:r w:rsidRPr="00DC4B3C">
            <w:rPr>
              <w:rFonts w:cs="Calibri"/>
              <w:lang w:bidi="ar-SA"/>
              <w14:ligatures w14:val="standardContextual"/>
            </w:rPr>
            <w:t xml:space="preserve"> Chamber of Commerce</w:t>
          </w:r>
        </w:p>
        <w:p w14:paraId="01C6C082" w14:textId="77777777" w:rsidR="00DC4B3C" w:rsidRPr="00DC4B3C" w:rsidRDefault="00DC4B3C" w:rsidP="00DC4B3C">
          <w:pPr>
            <w:numPr>
              <w:ilvl w:val="0"/>
              <w:numId w:val="34"/>
            </w:numPr>
            <w:spacing w:before="0" w:after="0" w:line="240" w:lineRule="auto"/>
            <w:rPr>
              <w:rFonts w:cs="Calibri"/>
              <w:lang w:bidi="ar-SA"/>
              <w14:ligatures w14:val="standardContextual"/>
            </w:rPr>
          </w:pPr>
          <w:r w:rsidRPr="00DC4B3C">
            <w:rPr>
              <w:rFonts w:cs="Calibri"/>
              <w:lang w:bidi="ar-SA"/>
              <w14:ligatures w14:val="standardContextual"/>
            </w:rPr>
            <w:t>Owatonna Area Chamber of Commerce</w:t>
          </w:r>
        </w:p>
        <w:p w14:paraId="40D3DAD9" w14:textId="77777777" w:rsidR="00DC4B3C" w:rsidRPr="00DC4B3C" w:rsidRDefault="00DC4B3C" w:rsidP="00DC4B3C">
          <w:pPr>
            <w:numPr>
              <w:ilvl w:val="0"/>
              <w:numId w:val="34"/>
            </w:numPr>
            <w:spacing w:before="0" w:after="0" w:line="240" w:lineRule="auto"/>
            <w:rPr>
              <w:rFonts w:cs="Calibri"/>
              <w:lang w:bidi="ar-SA"/>
              <w14:ligatures w14:val="standardContextual"/>
            </w:rPr>
          </w:pPr>
          <w:r w:rsidRPr="00DC4B3C">
            <w:rPr>
              <w:rFonts w:cs="Calibri"/>
              <w:lang w:bidi="ar-SA"/>
              <w14:ligatures w14:val="standardContextual"/>
            </w:rPr>
            <w:t>Redwood Area Chamber &amp; Tourism</w:t>
          </w:r>
        </w:p>
        <w:p w14:paraId="1A7F8357" w14:textId="77777777" w:rsidR="00DC4B3C" w:rsidRPr="00DC4B3C" w:rsidRDefault="00DC4B3C" w:rsidP="00DC4B3C">
          <w:pPr>
            <w:numPr>
              <w:ilvl w:val="0"/>
              <w:numId w:val="34"/>
            </w:numPr>
            <w:spacing w:before="0" w:after="0" w:line="240" w:lineRule="auto"/>
            <w:rPr>
              <w:rFonts w:cs="Calibri"/>
              <w:lang w:bidi="ar-SA"/>
              <w14:ligatures w14:val="standardContextual"/>
            </w:rPr>
          </w:pPr>
          <w:r w:rsidRPr="00DC4B3C">
            <w:rPr>
              <w:rFonts w:cs="Calibri"/>
              <w:lang w:bidi="ar-SA"/>
              <w14:ligatures w14:val="standardContextual"/>
            </w:rPr>
            <w:t>Shakopee Area Chamber of Commerce</w:t>
          </w:r>
        </w:p>
        <w:p w14:paraId="590FF1FE" w14:textId="09538352" w:rsidR="00DC4B3C" w:rsidRDefault="00DC4B3C" w:rsidP="00997348">
          <w:pPr>
            <w:numPr>
              <w:ilvl w:val="0"/>
              <w:numId w:val="34"/>
            </w:numPr>
            <w:spacing w:before="0" w:after="0" w:line="240" w:lineRule="auto"/>
          </w:pPr>
          <w:r w:rsidRPr="00DC4B3C">
            <w:rPr>
              <w:rFonts w:cs="Calibri"/>
              <w:lang w:bidi="ar-SA"/>
              <w14:ligatures w14:val="standardContextual"/>
            </w:rPr>
            <w:t>Winona Area Chamber of Commerce Foundation</w:t>
          </w:r>
        </w:p>
        <w:p w14:paraId="32268BE3" w14:textId="77777777" w:rsidR="00ED0230" w:rsidRPr="00456E50" w:rsidRDefault="00ED0230" w:rsidP="00ED0230">
          <w:pPr>
            <w:pStyle w:val="Heading2"/>
            <w:spacing w:before="240"/>
          </w:pPr>
          <w:bookmarkStart w:id="11" w:name="_Toc157759279"/>
          <w:bookmarkStart w:id="12" w:name="_Toc183614395"/>
          <w:r w:rsidRPr="00456E50">
            <w:t>Expenditure Data</w:t>
          </w:r>
          <w:bookmarkEnd w:id="11"/>
          <w:bookmarkEnd w:id="12"/>
        </w:p>
        <w:p w14:paraId="0BD14D1F" w14:textId="5490603A" w:rsidR="00ED0230" w:rsidRPr="00456E50" w:rsidRDefault="00ED0230" w:rsidP="00ED0230">
          <w:r>
            <w:t xml:space="preserve">The SFY 24 grant contract started on July 1, </w:t>
          </w:r>
          <w:proofErr w:type="gramStart"/>
          <w:r>
            <w:t>2023</w:t>
          </w:r>
          <w:proofErr w:type="gramEnd"/>
          <w:r>
            <w:t xml:space="preserve"> and </w:t>
          </w:r>
          <w:r w:rsidR="00DC4B3C">
            <w:t>will end</w:t>
          </w:r>
          <w:r>
            <w:t xml:space="preserve"> on June 30, 202</w:t>
          </w:r>
          <w:r w:rsidR="00DC4B3C">
            <w:t>5</w:t>
          </w:r>
          <w:r>
            <w:t>. The cost category breakdown of e</w:t>
          </w:r>
          <w:r w:rsidRPr="00456E50">
            <w:t xml:space="preserve">xpenditures </w:t>
          </w:r>
          <w:r>
            <w:t>is reported below.</w:t>
          </w:r>
        </w:p>
        <w:tbl>
          <w:tblPr>
            <w:tblStyle w:val="TableGrid1"/>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ate Fiscal Year 2021 Expenditures"/>
            <w:tblDescription w:val="Shows expenditures for State Fiscal Year 2021 for each budget category."/>
          </w:tblPr>
          <w:tblGrid>
            <w:gridCol w:w="6580"/>
            <w:gridCol w:w="3749"/>
          </w:tblGrid>
          <w:tr w:rsidR="00ED0230" w:rsidRPr="00CB07BE" w14:paraId="690F5266" w14:textId="77777777" w:rsidTr="007340B8">
            <w:trPr>
              <w:cnfStyle w:val="100000000000" w:firstRow="1" w:lastRow="0" w:firstColumn="0" w:lastColumn="0" w:oddVBand="0" w:evenVBand="0" w:oddHBand="0" w:evenHBand="0" w:firstRowFirstColumn="0" w:firstRowLastColumn="0" w:lastRowFirstColumn="0" w:lastRowLastColumn="0"/>
              <w:trHeight w:val="702"/>
            </w:trPr>
            <w:tc>
              <w:tcPr>
                <w:tcW w:w="6580" w:type="dxa"/>
                <w:shd w:val="clear" w:color="auto" w:fill="DDDDDA" w:themeFill="background2"/>
              </w:tcPr>
              <w:p w14:paraId="778866F0" w14:textId="77777777" w:rsidR="00ED0230" w:rsidRPr="00D27B38" w:rsidRDefault="00ED0230" w:rsidP="007340B8">
                <w:pPr>
                  <w:spacing w:before="120" w:after="0"/>
                  <w:rPr>
                    <w:sz w:val="28"/>
                    <w:szCs w:val="28"/>
                  </w:rPr>
                </w:pPr>
                <w:r w:rsidRPr="00D27B38">
                  <w:rPr>
                    <w:sz w:val="28"/>
                    <w:szCs w:val="28"/>
                  </w:rPr>
                  <w:t>Budget Category</w:t>
                </w:r>
              </w:p>
            </w:tc>
            <w:tc>
              <w:tcPr>
                <w:tcW w:w="3749" w:type="dxa"/>
                <w:shd w:val="clear" w:color="auto" w:fill="DDDDDA" w:themeFill="background2"/>
              </w:tcPr>
              <w:p w14:paraId="46E20CBC" w14:textId="77777777" w:rsidR="00ED0230" w:rsidRPr="00D27B38" w:rsidRDefault="00ED0230" w:rsidP="007340B8">
                <w:pPr>
                  <w:spacing w:before="120" w:after="0"/>
                  <w:rPr>
                    <w:sz w:val="28"/>
                    <w:szCs w:val="28"/>
                  </w:rPr>
                </w:pPr>
                <w:r w:rsidRPr="00D27B38">
                  <w:rPr>
                    <w:sz w:val="28"/>
                    <w:szCs w:val="28"/>
                  </w:rPr>
                  <w:t>Expenditures</w:t>
                </w:r>
              </w:p>
            </w:tc>
          </w:tr>
          <w:tr w:rsidR="00ED0230" w:rsidRPr="00CB07BE" w14:paraId="3A64B3B4" w14:textId="77777777" w:rsidTr="007340B8">
            <w:trPr>
              <w:cnfStyle w:val="000000100000" w:firstRow="0" w:lastRow="0" w:firstColumn="0" w:lastColumn="0" w:oddVBand="0" w:evenVBand="0" w:oddHBand="1" w:evenHBand="0" w:firstRowFirstColumn="0" w:firstRowLastColumn="0" w:lastRowFirstColumn="0" w:lastRowLastColumn="0"/>
              <w:trHeight w:val="437"/>
            </w:trPr>
            <w:tc>
              <w:tcPr>
                <w:tcW w:w="65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BD9058C" w14:textId="77777777" w:rsidR="00ED0230" w:rsidRPr="00456E50" w:rsidRDefault="00ED0230" w:rsidP="007340B8">
                <w:pPr>
                  <w:spacing w:before="120" w:after="0"/>
                </w:pPr>
                <w:r w:rsidRPr="00456E50">
                  <w:t>Administration (up to 10% allowed)</w:t>
                </w:r>
              </w:p>
            </w:tc>
            <w:tc>
              <w:tcPr>
                <w:tcW w:w="374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FB69451" w14:textId="2E743935" w:rsidR="00ED0230" w:rsidRPr="00456E50" w:rsidRDefault="00ED0230" w:rsidP="007340B8">
                <w:pPr>
                  <w:spacing w:before="120" w:after="0"/>
                  <w:jc w:val="center"/>
                </w:pPr>
                <w:r>
                  <w:t>$</w:t>
                </w:r>
                <w:r w:rsidR="0017148C">
                  <w:t>47</w:t>
                </w:r>
                <w:r>
                  <w:t>,</w:t>
                </w:r>
                <w:r w:rsidR="0017148C">
                  <w:t>5</w:t>
                </w:r>
                <w:r>
                  <w:t>00.00</w:t>
                </w:r>
              </w:p>
            </w:tc>
          </w:tr>
          <w:tr w:rsidR="00ED0230" w:rsidRPr="00CB07BE" w14:paraId="57396D3A" w14:textId="77777777" w:rsidTr="007340B8">
            <w:trPr>
              <w:cnfStyle w:val="000000010000" w:firstRow="0" w:lastRow="0" w:firstColumn="0" w:lastColumn="0" w:oddVBand="0" w:evenVBand="0" w:oddHBand="0" w:evenHBand="1" w:firstRowFirstColumn="0" w:firstRowLastColumn="0" w:lastRowFirstColumn="0" w:lastRowLastColumn="0"/>
              <w:trHeight w:val="454"/>
            </w:trPr>
            <w:tc>
              <w:tcPr>
                <w:tcW w:w="6580" w:type="dxa"/>
                <w:tcBorders>
                  <w:top w:val="none" w:sz="0" w:space="0" w:color="auto"/>
                  <w:left w:val="none" w:sz="0" w:space="0" w:color="auto"/>
                  <w:bottom w:val="none" w:sz="0" w:space="0" w:color="auto"/>
                  <w:right w:val="none" w:sz="0" w:space="0" w:color="auto"/>
                </w:tcBorders>
                <w:shd w:val="clear" w:color="auto" w:fill="auto"/>
              </w:tcPr>
              <w:p w14:paraId="444ED6C8" w14:textId="5275D6FF" w:rsidR="00ED0230" w:rsidRPr="00456E50" w:rsidRDefault="007D0221" w:rsidP="007340B8">
                <w:pPr>
                  <w:spacing w:before="120" w:after="0"/>
                </w:pPr>
                <w:r>
                  <w:t>Contracted Services</w:t>
                </w:r>
              </w:p>
            </w:tc>
            <w:tc>
              <w:tcPr>
                <w:tcW w:w="3749" w:type="dxa"/>
                <w:tcBorders>
                  <w:top w:val="none" w:sz="0" w:space="0" w:color="auto"/>
                  <w:left w:val="none" w:sz="0" w:space="0" w:color="auto"/>
                  <w:bottom w:val="none" w:sz="0" w:space="0" w:color="auto"/>
                  <w:right w:val="none" w:sz="0" w:space="0" w:color="auto"/>
                </w:tcBorders>
                <w:shd w:val="clear" w:color="auto" w:fill="auto"/>
              </w:tcPr>
              <w:p w14:paraId="1F92A10F" w14:textId="4428183F" w:rsidR="00ED0230" w:rsidRPr="00456E50" w:rsidRDefault="00BB297E" w:rsidP="007340B8">
                <w:pPr>
                  <w:spacing w:before="120" w:after="0"/>
                  <w:jc w:val="center"/>
                </w:pPr>
                <w:r>
                  <w:t>$427,</w:t>
                </w:r>
                <w:r w:rsidR="005C5855">
                  <w:t>5</w:t>
                </w:r>
                <w:r>
                  <w:t>00.00</w:t>
                </w:r>
              </w:p>
            </w:tc>
          </w:tr>
          <w:tr w:rsidR="00BB297E" w:rsidRPr="00CB07BE" w14:paraId="4F594BEE" w14:textId="77777777" w:rsidTr="00D75DD5">
            <w:trPr>
              <w:cnfStyle w:val="000000100000" w:firstRow="0" w:lastRow="0" w:firstColumn="0" w:lastColumn="0" w:oddVBand="0" w:evenVBand="0" w:oddHBand="1" w:evenHBand="0" w:firstRowFirstColumn="0" w:firstRowLastColumn="0" w:lastRowFirstColumn="0" w:lastRowLastColumn="0"/>
              <w:trHeight w:val="437"/>
            </w:trPr>
            <w:tc>
              <w:tcPr>
                <w:tcW w:w="6580" w:type="dxa"/>
                <w:tcBorders>
                  <w:top w:val="single" w:sz="4"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1202D6D" w14:textId="06285491" w:rsidR="00BB297E" w:rsidRPr="00456E50" w:rsidRDefault="00BB297E" w:rsidP="007340B8">
                <w:pPr>
                  <w:spacing w:before="120" w:after="0"/>
                </w:pPr>
                <w:r w:rsidRPr="00A76C5B">
                  <w:rPr>
                    <w:b/>
                    <w:bCs/>
                  </w:rPr>
                  <w:t>Total</w:t>
                </w:r>
              </w:p>
            </w:tc>
            <w:tc>
              <w:tcPr>
                <w:tcW w:w="374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A7B82E4" w14:textId="48284B50" w:rsidR="00BB297E" w:rsidRPr="00456E50" w:rsidRDefault="00BB297E" w:rsidP="007340B8">
                <w:pPr>
                  <w:spacing w:before="120" w:after="0"/>
                  <w:jc w:val="center"/>
                </w:pPr>
                <w:r>
                  <w:rPr>
                    <w:b/>
                    <w:bCs/>
                  </w:rPr>
                  <w:t>$475,000.00</w:t>
                </w:r>
              </w:p>
            </w:tc>
          </w:tr>
        </w:tbl>
        <w:p w14:paraId="67A7E857" w14:textId="1725F94F" w:rsidR="00C365CE" w:rsidRDefault="0053078F" w:rsidP="00ED0230">
          <w:pPr>
            <w:pStyle w:val="Heading2"/>
          </w:pPr>
          <w:bookmarkStart w:id="13" w:name="_Toc183614396"/>
          <w:r>
            <w:t>Program Data and Outcomes</w:t>
          </w:r>
        </w:p>
      </w:sdtContent>
    </w:sdt>
    <w:bookmarkEnd w:id="13" w:displacedByCustomXml="prev"/>
    <w:p w14:paraId="5D50E09A" w14:textId="5E580A85" w:rsidR="00963BA0" w:rsidRPr="00301E8C" w:rsidRDefault="0053078F" w:rsidP="00EB251D">
      <w:pPr>
        <w:pStyle w:val="Caption"/>
        <w:rPr>
          <w:sz w:val="22"/>
          <w:szCs w:val="22"/>
        </w:rPr>
      </w:pPr>
      <w:r w:rsidRPr="00301E8C">
        <w:rPr>
          <w:sz w:val="22"/>
          <w:szCs w:val="22"/>
        </w:rPr>
        <w:t>The data included in this report reflects youth served during State Fiscal Year 202</w:t>
      </w:r>
      <w:r w:rsidR="005724D6">
        <w:rPr>
          <w:sz w:val="22"/>
          <w:szCs w:val="22"/>
        </w:rPr>
        <w:t>4</w:t>
      </w:r>
      <w:r w:rsidRPr="00301E8C">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4314"/>
        <w:gridCol w:w="876"/>
        <w:gridCol w:w="3640"/>
      </w:tblGrid>
      <w:tr w:rsidR="00873474" w:rsidRPr="0070451B" w14:paraId="45B5A13E" w14:textId="77777777" w:rsidTr="00F4703F">
        <w:trPr>
          <w:trHeight w:val="432"/>
        </w:trPr>
        <w:tc>
          <w:tcPr>
            <w:tcW w:w="9707" w:type="dxa"/>
            <w:gridSpan w:val="4"/>
            <w:shd w:val="clear" w:color="auto" w:fill="E6E6E6"/>
            <w:vAlign w:val="center"/>
          </w:tcPr>
          <w:p w14:paraId="2CBF65EB" w14:textId="77777777" w:rsidR="00873474" w:rsidRPr="00863287" w:rsidRDefault="00873474" w:rsidP="00ED6EB7">
            <w:pPr>
              <w:rPr>
                <w:rFonts w:cs="Calibri"/>
                <w:b/>
              </w:rPr>
            </w:pPr>
            <w:r w:rsidRPr="00863287">
              <w:rPr>
                <w:rFonts w:cs="Calibri"/>
                <w:b/>
              </w:rPr>
              <w:t xml:space="preserve">DATA ON PARTICIPANTS SERVED – INDIVIDUAL SERVICES - </w:t>
            </w:r>
            <w:r w:rsidRPr="00863287">
              <w:rPr>
                <w:rFonts w:cs="Calibri"/>
              </w:rPr>
              <w:t>(Cumulative for the SFY)</w:t>
            </w:r>
          </w:p>
        </w:tc>
      </w:tr>
      <w:tr w:rsidR="00277DDA" w:rsidRPr="0070451B" w14:paraId="38296C6D" w14:textId="77777777" w:rsidTr="007A1A3A">
        <w:trPr>
          <w:trHeight w:val="432"/>
        </w:trPr>
        <w:tc>
          <w:tcPr>
            <w:tcW w:w="5191" w:type="dxa"/>
            <w:gridSpan w:val="2"/>
            <w:shd w:val="clear" w:color="auto" w:fill="auto"/>
            <w:vAlign w:val="center"/>
          </w:tcPr>
          <w:p w14:paraId="63F79C31" w14:textId="77777777" w:rsidR="00277DDA" w:rsidRPr="00196EBA" w:rsidRDefault="00277DDA" w:rsidP="00ED6EB7">
            <w:pPr>
              <w:rPr>
                <w:rFonts w:cs="Calibri"/>
                <w:b/>
                <w:bCs/>
                <w:sz w:val="24"/>
                <w:szCs w:val="24"/>
              </w:rPr>
            </w:pPr>
            <w:r w:rsidRPr="00196EBA">
              <w:rPr>
                <w:rFonts w:cs="Calibri"/>
                <w:b/>
                <w:bCs/>
                <w:sz w:val="24"/>
                <w:szCs w:val="24"/>
              </w:rPr>
              <w:t xml:space="preserve">Total Individual Participants Served </w:t>
            </w:r>
          </w:p>
        </w:tc>
        <w:tc>
          <w:tcPr>
            <w:tcW w:w="4516" w:type="dxa"/>
            <w:gridSpan w:val="2"/>
            <w:shd w:val="clear" w:color="auto" w:fill="auto"/>
            <w:vAlign w:val="bottom"/>
          </w:tcPr>
          <w:p w14:paraId="21CC5D71" w14:textId="1609EAFA" w:rsidR="00277DDA" w:rsidRPr="00196EBA" w:rsidRDefault="00FD492E" w:rsidP="00196EBA">
            <w:pPr>
              <w:tabs>
                <w:tab w:val="left" w:pos="2510"/>
              </w:tabs>
              <w:jc w:val="center"/>
              <w:rPr>
                <w:rFonts w:cs="Calibri"/>
                <w:sz w:val="28"/>
                <w:szCs w:val="28"/>
              </w:rPr>
            </w:pPr>
            <w:r>
              <w:rPr>
                <w:rFonts w:cs="Calibri"/>
                <w:sz w:val="28"/>
                <w:szCs w:val="28"/>
              </w:rPr>
              <w:t>995</w:t>
            </w:r>
          </w:p>
        </w:tc>
      </w:tr>
      <w:tr w:rsidR="00277DDA" w:rsidRPr="0070451B" w14:paraId="1DAADA1C" w14:textId="77777777" w:rsidTr="00F4703F">
        <w:trPr>
          <w:trHeight w:val="432"/>
        </w:trPr>
        <w:tc>
          <w:tcPr>
            <w:tcW w:w="877" w:type="dxa"/>
            <w:vMerge w:val="restart"/>
            <w:shd w:val="clear" w:color="auto" w:fill="auto"/>
            <w:textDirection w:val="btLr"/>
            <w:vAlign w:val="center"/>
          </w:tcPr>
          <w:p w14:paraId="338A934D" w14:textId="77777777" w:rsidR="00277DDA" w:rsidRPr="00196EBA" w:rsidRDefault="00277DDA" w:rsidP="00277DDA">
            <w:pPr>
              <w:ind w:right="113"/>
              <w:jc w:val="center"/>
              <w:rPr>
                <w:rFonts w:cs="Calibri"/>
                <w:b/>
              </w:rPr>
            </w:pPr>
            <w:r w:rsidRPr="00196EBA">
              <w:rPr>
                <w:rFonts w:cs="Calibri"/>
                <w:b/>
              </w:rPr>
              <w:lastRenderedPageBreak/>
              <w:t>Gender</w:t>
            </w:r>
          </w:p>
        </w:tc>
        <w:tc>
          <w:tcPr>
            <w:tcW w:w="4314" w:type="dxa"/>
            <w:shd w:val="clear" w:color="auto" w:fill="auto"/>
            <w:vAlign w:val="center"/>
          </w:tcPr>
          <w:p w14:paraId="6641B648" w14:textId="77777777" w:rsidR="00277DDA" w:rsidRPr="00863287" w:rsidRDefault="00277DDA" w:rsidP="00277DDA">
            <w:pPr>
              <w:ind w:left="144"/>
              <w:rPr>
                <w:rFonts w:cs="Calibri"/>
              </w:rPr>
            </w:pPr>
            <w:r w:rsidRPr="00863287">
              <w:rPr>
                <w:rFonts w:cs="Calibri"/>
              </w:rPr>
              <w:t xml:space="preserve">A.  </w:t>
            </w:r>
            <w:r>
              <w:rPr>
                <w:rFonts w:cs="Calibri"/>
              </w:rPr>
              <w:t>Fem</w:t>
            </w:r>
            <w:r w:rsidRPr="00863287">
              <w:rPr>
                <w:rFonts w:cs="Calibri"/>
              </w:rPr>
              <w:t>ale</w:t>
            </w:r>
          </w:p>
        </w:tc>
        <w:tc>
          <w:tcPr>
            <w:tcW w:w="876" w:type="dxa"/>
            <w:shd w:val="clear" w:color="auto" w:fill="auto"/>
            <w:vAlign w:val="bottom"/>
          </w:tcPr>
          <w:p w14:paraId="01FAC2AC" w14:textId="572DD52D" w:rsidR="00277DDA" w:rsidRPr="00277DDA" w:rsidRDefault="00277DDA" w:rsidP="00277DDA">
            <w:pPr>
              <w:rPr>
                <w:rFonts w:cs="Calibri"/>
              </w:rPr>
            </w:pPr>
          </w:p>
        </w:tc>
        <w:tc>
          <w:tcPr>
            <w:tcW w:w="3640" w:type="dxa"/>
            <w:shd w:val="clear" w:color="auto" w:fill="auto"/>
            <w:vAlign w:val="bottom"/>
          </w:tcPr>
          <w:p w14:paraId="0C0B0426" w14:textId="0C0EE03D" w:rsidR="00277DDA" w:rsidRPr="00196EBA" w:rsidRDefault="00FD492E" w:rsidP="00277DDA">
            <w:pPr>
              <w:rPr>
                <w:rFonts w:cs="Calibri"/>
              </w:rPr>
            </w:pPr>
            <w:r>
              <w:rPr>
                <w:rFonts w:cs="Calibri"/>
              </w:rPr>
              <w:t>377</w:t>
            </w:r>
          </w:p>
        </w:tc>
      </w:tr>
      <w:tr w:rsidR="00277DDA" w:rsidRPr="0070451B" w14:paraId="49714EF5" w14:textId="77777777" w:rsidTr="00F4703F">
        <w:trPr>
          <w:trHeight w:val="432"/>
        </w:trPr>
        <w:tc>
          <w:tcPr>
            <w:tcW w:w="877" w:type="dxa"/>
            <w:vMerge/>
            <w:shd w:val="clear" w:color="auto" w:fill="auto"/>
            <w:textDirection w:val="btLr"/>
            <w:vAlign w:val="center"/>
          </w:tcPr>
          <w:p w14:paraId="0B3979AB" w14:textId="77777777" w:rsidR="00277DDA" w:rsidRPr="00196EBA" w:rsidRDefault="00277DDA" w:rsidP="00277DDA">
            <w:pPr>
              <w:ind w:right="113"/>
              <w:jc w:val="center"/>
              <w:rPr>
                <w:rFonts w:cs="Calibri"/>
                <w:b/>
              </w:rPr>
            </w:pPr>
          </w:p>
        </w:tc>
        <w:tc>
          <w:tcPr>
            <w:tcW w:w="4314" w:type="dxa"/>
            <w:shd w:val="clear" w:color="auto" w:fill="auto"/>
            <w:vAlign w:val="center"/>
          </w:tcPr>
          <w:p w14:paraId="36FD3CE9" w14:textId="59D5C13E" w:rsidR="00277DDA" w:rsidRPr="00863287" w:rsidRDefault="00277DDA" w:rsidP="00277DDA">
            <w:pPr>
              <w:ind w:left="144"/>
              <w:rPr>
                <w:rFonts w:cs="Calibri"/>
              </w:rPr>
            </w:pPr>
            <w:r w:rsidRPr="00863287">
              <w:rPr>
                <w:rFonts w:cs="Calibri"/>
              </w:rPr>
              <w:t xml:space="preserve">B.  </w:t>
            </w:r>
            <w:r>
              <w:rPr>
                <w:rFonts w:cs="Calibri"/>
              </w:rPr>
              <w:t>M</w:t>
            </w:r>
            <w:r w:rsidRPr="00863287">
              <w:rPr>
                <w:rFonts w:cs="Calibri"/>
              </w:rPr>
              <w:t>ale</w:t>
            </w:r>
          </w:p>
        </w:tc>
        <w:tc>
          <w:tcPr>
            <w:tcW w:w="876" w:type="dxa"/>
            <w:shd w:val="clear" w:color="auto" w:fill="auto"/>
            <w:vAlign w:val="bottom"/>
          </w:tcPr>
          <w:p w14:paraId="2C167B6E" w14:textId="1CCEC0AC" w:rsidR="00277DDA" w:rsidRPr="00277DDA" w:rsidRDefault="00277DDA" w:rsidP="00277DDA">
            <w:pPr>
              <w:rPr>
                <w:rFonts w:cs="Calibri"/>
              </w:rPr>
            </w:pPr>
          </w:p>
        </w:tc>
        <w:tc>
          <w:tcPr>
            <w:tcW w:w="3640" w:type="dxa"/>
            <w:shd w:val="clear" w:color="auto" w:fill="auto"/>
            <w:vAlign w:val="bottom"/>
          </w:tcPr>
          <w:p w14:paraId="7589FB0E" w14:textId="32F8A441" w:rsidR="00277DDA" w:rsidRPr="00277DDA" w:rsidRDefault="00FD492E" w:rsidP="00277DDA">
            <w:pPr>
              <w:rPr>
                <w:rFonts w:cs="Calibri"/>
              </w:rPr>
            </w:pPr>
            <w:r>
              <w:rPr>
                <w:rFonts w:cs="Calibri"/>
              </w:rPr>
              <w:t>410</w:t>
            </w:r>
          </w:p>
        </w:tc>
      </w:tr>
      <w:tr w:rsidR="00277DDA" w:rsidRPr="0070451B" w14:paraId="0AC15D13" w14:textId="77777777" w:rsidTr="00F4703F">
        <w:trPr>
          <w:trHeight w:val="432"/>
        </w:trPr>
        <w:tc>
          <w:tcPr>
            <w:tcW w:w="877" w:type="dxa"/>
            <w:vMerge/>
            <w:shd w:val="clear" w:color="auto" w:fill="auto"/>
            <w:vAlign w:val="center"/>
          </w:tcPr>
          <w:p w14:paraId="3E7E2666" w14:textId="77777777" w:rsidR="00277DDA" w:rsidRPr="00196EBA" w:rsidRDefault="00277DDA" w:rsidP="00277DDA">
            <w:pPr>
              <w:ind w:right="113"/>
              <w:jc w:val="center"/>
              <w:rPr>
                <w:rFonts w:cs="Calibri"/>
                <w:b/>
              </w:rPr>
            </w:pPr>
          </w:p>
        </w:tc>
        <w:tc>
          <w:tcPr>
            <w:tcW w:w="4314" w:type="dxa"/>
            <w:shd w:val="clear" w:color="auto" w:fill="auto"/>
            <w:vAlign w:val="center"/>
          </w:tcPr>
          <w:p w14:paraId="0893F787" w14:textId="792EA948" w:rsidR="00277DDA" w:rsidRPr="00863287" w:rsidRDefault="00277DDA" w:rsidP="00277DDA">
            <w:pPr>
              <w:ind w:left="144"/>
              <w:rPr>
                <w:rFonts w:cs="Calibri"/>
              </w:rPr>
            </w:pPr>
            <w:r>
              <w:rPr>
                <w:rFonts w:cs="Calibri"/>
              </w:rPr>
              <w:t>C. Other</w:t>
            </w:r>
          </w:p>
        </w:tc>
        <w:tc>
          <w:tcPr>
            <w:tcW w:w="876" w:type="dxa"/>
            <w:shd w:val="clear" w:color="auto" w:fill="auto"/>
            <w:vAlign w:val="bottom"/>
          </w:tcPr>
          <w:p w14:paraId="2F8BB762" w14:textId="30925FE7" w:rsidR="00277DDA" w:rsidRPr="00277DDA" w:rsidRDefault="00277DDA" w:rsidP="00277DDA">
            <w:pPr>
              <w:rPr>
                <w:rFonts w:cs="Calibri"/>
              </w:rPr>
            </w:pPr>
          </w:p>
        </w:tc>
        <w:tc>
          <w:tcPr>
            <w:tcW w:w="3640" w:type="dxa"/>
            <w:shd w:val="clear" w:color="auto" w:fill="auto"/>
            <w:vAlign w:val="bottom"/>
          </w:tcPr>
          <w:p w14:paraId="1E06ED11" w14:textId="42C23C5C" w:rsidR="00277DDA" w:rsidRPr="00277DDA" w:rsidRDefault="00277DDA" w:rsidP="00277DDA">
            <w:pPr>
              <w:rPr>
                <w:rFonts w:cs="Calibri"/>
              </w:rPr>
            </w:pPr>
          </w:p>
        </w:tc>
      </w:tr>
      <w:tr w:rsidR="00277DDA" w:rsidRPr="0070451B" w14:paraId="27891718" w14:textId="77777777" w:rsidTr="00F4703F">
        <w:trPr>
          <w:trHeight w:val="432"/>
        </w:trPr>
        <w:tc>
          <w:tcPr>
            <w:tcW w:w="877" w:type="dxa"/>
            <w:vMerge/>
            <w:shd w:val="clear" w:color="auto" w:fill="auto"/>
            <w:vAlign w:val="center"/>
          </w:tcPr>
          <w:p w14:paraId="371C68B6" w14:textId="77777777" w:rsidR="00277DDA" w:rsidRPr="00196EBA" w:rsidRDefault="00277DDA" w:rsidP="00277DDA">
            <w:pPr>
              <w:ind w:right="113"/>
              <w:jc w:val="center"/>
              <w:rPr>
                <w:rFonts w:cs="Calibri"/>
                <w:b/>
              </w:rPr>
            </w:pPr>
          </w:p>
        </w:tc>
        <w:tc>
          <w:tcPr>
            <w:tcW w:w="4314" w:type="dxa"/>
            <w:shd w:val="clear" w:color="auto" w:fill="auto"/>
            <w:vAlign w:val="center"/>
          </w:tcPr>
          <w:p w14:paraId="57E9DA8B" w14:textId="00527F3F" w:rsidR="00277DDA" w:rsidRPr="00863287" w:rsidRDefault="00277DDA" w:rsidP="00277DDA">
            <w:pPr>
              <w:ind w:left="144"/>
              <w:rPr>
                <w:rFonts w:cs="Calibri"/>
              </w:rPr>
            </w:pPr>
            <w:r>
              <w:rPr>
                <w:rFonts w:cs="Calibri"/>
              </w:rPr>
              <w:t xml:space="preserve">D. Prefer not to answer </w:t>
            </w:r>
          </w:p>
        </w:tc>
        <w:tc>
          <w:tcPr>
            <w:tcW w:w="876" w:type="dxa"/>
            <w:shd w:val="clear" w:color="auto" w:fill="auto"/>
            <w:vAlign w:val="bottom"/>
          </w:tcPr>
          <w:p w14:paraId="4171EAD3" w14:textId="188C93E5" w:rsidR="00277DDA" w:rsidRPr="00277DDA" w:rsidRDefault="00277DDA" w:rsidP="00277DDA">
            <w:pPr>
              <w:rPr>
                <w:rFonts w:cs="Calibri"/>
              </w:rPr>
            </w:pPr>
          </w:p>
        </w:tc>
        <w:tc>
          <w:tcPr>
            <w:tcW w:w="3640" w:type="dxa"/>
            <w:shd w:val="clear" w:color="auto" w:fill="auto"/>
            <w:vAlign w:val="bottom"/>
          </w:tcPr>
          <w:p w14:paraId="4A4A82CF" w14:textId="340EF8DB" w:rsidR="00277DDA" w:rsidRPr="00277DDA" w:rsidRDefault="00FD492E" w:rsidP="00277DDA">
            <w:pPr>
              <w:rPr>
                <w:rFonts w:cs="Calibri"/>
              </w:rPr>
            </w:pPr>
            <w:r>
              <w:rPr>
                <w:rFonts w:cs="Calibri"/>
              </w:rPr>
              <w:t>208</w:t>
            </w:r>
          </w:p>
        </w:tc>
      </w:tr>
      <w:tr w:rsidR="00277DDA" w:rsidRPr="0070451B" w14:paraId="6B0B6220" w14:textId="77777777" w:rsidTr="00F4703F">
        <w:trPr>
          <w:trHeight w:val="432"/>
        </w:trPr>
        <w:tc>
          <w:tcPr>
            <w:tcW w:w="877" w:type="dxa"/>
            <w:vMerge w:val="restart"/>
            <w:shd w:val="clear" w:color="auto" w:fill="auto"/>
            <w:textDirection w:val="btLr"/>
            <w:vAlign w:val="center"/>
          </w:tcPr>
          <w:p w14:paraId="0A2EB0E4" w14:textId="423DF031" w:rsidR="00277DDA" w:rsidRPr="00196EBA" w:rsidRDefault="00277DDA" w:rsidP="00277DDA">
            <w:pPr>
              <w:ind w:right="113"/>
              <w:jc w:val="center"/>
              <w:rPr>
                <w:rFonts w:cs="Calibri"/>
                <w:b/>
              </w:rPr>
            </w:pPr>
            <w:r w:rsidRPr="00196EBA">
              <w:rPr>
                <w:rFonts w:cs="Calibri"/>
                <w:b/>
              </w:rPr>
              <w:t>Age</w:t>
            </w:r>
          </w:p>
        </w:tc>
        <w:tc>
          <w:tcPr>
            <w:tcW w:w="4314" w:type="dxa"/>
            <w:shd w:val="clear" w:color="auto" w:fill="auto"/>
            <w:vAlign w:val="center"/>
          </w:tcPr>
          <w:p w14:paraId="3C44D3D9" w14:textId="1BB8004C" w:rsidR="00277DDA" w:rsidRPr="00863287" w:rsidRDefault="00277DDA" w:rsidP="00277DDA">
            <w:pPr>
              <w:numPr>
                <w:ilvl w:val="0"/>
                <w:numId w:val="30"/>
              </w:numPr>
              <w:spacing w:before="0" w:after="0" w:line="240" w:lineRule="auto"/>
              <w:rPr>
                <w:rFonts w:cs="Calibri"/>
              </w:rPr>
            </w:pPr>
            <w:r>
              <w:rPr>
                <w:rFonts w:cs="Calibri"/>
              </w:rPr>
              <w:t>14 and under</w:t>
            </w:r>
          </w:p>
        </w:tc>
        <w:tc>
          <w:tcPr>
            <w:tcW w:w="876" w:type="dxa"/>
            <w:shd w:val="clear" w:color="auto" w:fill="auto"/>
            <w:vAlign w:val="bottom"/>
          </w:tcPr>
          <w:p w14:paraId="37800E70" w14:textId="35B8A2C1" w:rsidR="00277DDA" w:rsidRPr="00863287" w:rsidRDefault="00277DDA" w:rsidP="00277DDA">
            <w:pPr>
              <w:rPr>
                <w:rFonts w:cs="Calibri"/>
              </w:rPr>
            </w:pPr>
          </w:p>
        </w:tc>
        <w:tc>
          <w:tcPr>
            <w:tcW w:w="3640" w:type="dxa"/>
            <w:shd w:val="clear" w:color="auto" w:fill="auto"/>
            <w:vAlign w:val="bottom"/>
          </w:tcPr>
          <w:p w14:paraId="46B6BA06" w14:textId="3D6DC9EB" w:rsidR="00277DDA" w:rsidRPr="00863287" w:rsidRDefault="00FD492E" w:rsidP="00277DDA">
            <w:pPr>
              <w:rPr>
                <w:rFonts w:cs="Calibri"/>
              </w:rPr>
            </w:pPr>
            <w:r>
              <w:rPr>
                <w:rFonts w:cs="Calibri"/>
              </w:rPr>
              <w:t>0</w:t>
            </w:r>
          </w:p>
        </w:tc>
      </w:tr>
      <w:tr w:rsidR="00277DDA" w:rsidRPr="0070451B" w14:paraId="5A14AFC5" w14:textId="77777777" w:rsidTr="00F4703F">
        <w:trPr>
          <w:trHeight w:val="432"/>
        </w:trPr>
        <w:tc>
          <w:tcPr>
            <w:tcW w:w="877" w:type="dxa"/>
            <w:vMerge/>
            <w:shd w:val="clear" w:color="auto" w:fill="auto"/>
            <w:textDirection w:val="btLr"/>
            <w:vAlign w:val="center"/>
          </w:tcPr>
          <w:p w14:paraId="5147A9AB" w14:textId="5039534F" w:rsidR="00277DDA" w:rsidRPr="00196EBA" w:rsidRDefault="00277DDA" w:rsidP="00277DDA">
            <w:pPr>
              <w:ind w:right="113"/>
              <w:jc w:val="center"/>
              <w:rPr>
                <w:rFonts w:cs="Calibri"/>
                <w:b/>
              </w:rPr>
            </w:pPr>
          </w:p>
        </w:tc>
        <w:tc>
          <w:tcPr>
            <w:tcW w:w="4314" w:type="dxa"/>
            <w:shd w:val="clear" w:color="auto" w:fill="auto"/>
            <w:vAlign w:val="center"/>
          </w:tcPr>
          <w:p w14:paraId="4544D691" w14:textId="77777777" w:rsidR="00277DDA" w:rsidRPr="00863287" w:rsidRDefault="00277DDA" w:rsidP="00277DDA">
            <w:pPr>
              <w:numPr>
                <w:ilvl w:val="0"/>
                <w:numId w:val="30"/>
              </w:numPr>
              <w:spacing w:before="0" w:after="0" w:line="240" w:lineRule="auto"/>
              <w:rPr>
                <w:rFonts w:cs="Calibri"/>
              </w:rPr>
            </w:pPr>
            <w:r w:rsidRPr="00863287">
              <w:rPr>
                <w:rFonts w:cs="Calibri"/>
              </w:rPr>
              <w:t>14 – 15</w:t>
            </w:r>
          </w:p>
        </w:tc>
        <w:tc>
          <w:tcPr>
            <w:tcW w:w="876" w:type="dxa"/>
            <w:shd w:val="clear" w:color="auto" w:fill="auto"/>
            <w:vAlign w:val="bottom"/>
          </w:tcPr>
          <w:p w14:paraId="7CE86385" w14:textId="06B77621" w:rsidR="00277DDA" w:rsidRPr="00863287" w:rsidRDefault="00277DDA" w:rsidP="00277DDA">
            <w:pPr>
              <w:rPr>
                <w:rFonts w:cs="Calibri"/>
              </w:rPr>
            </w:pPr>
          </w:p>
        </w:tc>
        <w:tc>
          <w:tcPr>
            <w:tcW w:w="3640" w:type="dxa"/>
            <w:shd w:val="clear" w:color="auto" w:fill="auto"/>
            <w:vAlign w:val="bottom"/>
          </w:tcPr>
          <w:p w14:paraId="7A3EE644" w14:textId="37E8067A" w:rsidR="00277DDA" w:rsidRPr="00863287" w:rsidRDefault="00FD492E" w:rsidP="00277DDA">
            <w:pPr>
              <w:rPr>
                <w:rFonts w:cs="Calibri"/>
              </w:rPr>
            </w:pPr>
            <w:r>
              <w:rPr>
                <w:rFonts w:cs="Calibri"/>
              </w:rPr>
              <w:t>5</w:t>
            </w:r>
          </w:p>
        </w:tc>
      </w:tr>
      <w:tr w:rsidR="00277DDA" w:rsidRPr="0070451B" w14:paraId="0E631E0F" w14:textId="77777777" w:rsidTr="00F4703F">
        <w:trPr>
          <w:trHeight w:val="432"/>
        </w:trPr>
        <w:tc>
          <w:tcPr>
            <w:tcW w:w="877" w:type="dxa"/>
            <w:vMerge/>
            <w:shd w:val="clear" w:color="auto" w:fill="auto"/>
            <w:textDirection w:val="btLr"/>
            <w:vAlign w:val="center"/>
          </w:tcPr>
          <w:p w14:paraId="66A7F626" w14:textId="77777777" w:rsidR="00277DDA" w:rsidRPr="00196EBA" w:rsidRDefault="00277DDA" w:rsidP="00277DDA">
            <w:pPr>
              <w:ind w:right="113"/>
              <w:jc w:val="center"/>
              <w:rPr>
                <w:rFonts w:cs="Calibri"/>
                <w:b/>
              </w:rPr>
            </w:pPr>
          </w:p>
        </w:tc>
        <w:tc>
          <w:tcPr>
            <w:tcW w:w="4314" w:type="dxa"/>
            <w:shd w:val="clear" w:color="auto" w:fill="auto"/>
            <w:vAlign w:val="center"/>
          </w:tcPr>
          <w:p w14:paraId="549B0AFC" w14:textId="77777777" w:rsidR="00277DDA" w:rsidRPr="00863287" w:rsidRDefault="00277DDA" w:rsidP="00277DDA">
            <w:pPr>
              <w:ind w:left="144"/>
              <w:rPr>
                <w:rFonts w:cs="Calibri"/>
              </w:rPr>
            </w:pPr>
            <w:r w:rsidRPr="00863287">
              <w:rPr>
                <w:rFonts w:cs="Calibri"/>
              </w:rPr>
              <w:t>B.  16 – 17</w:t>
            </w:r>
          </w:p>
        </w:tc>
        <w:tc>
          <w:tcPr>
            <w:tcW w:w="876" w:type="dxa"/>
            <w:shd w:val="clear" w:color="auto" w:fill="auto"/>
            <w:vAlign w:val="bottom"/>
          </w:tcPr>
          <w:p w14:paraId="5B015710" w14:textId="50EA4101" w:rsidR="00277DDA" w:rsidRPr="00863287" w:rsidRDefault="00277DDA" w:rsidP="00277DDA">
            <w:pPr>
              <w:rPr>
                <w:rFonts w:cs="Calibri"/>
              </w:rPr>
            </w:pPr>
          </w:p>
        </w:tc>
        <w:tc>
          <w:tcPr>
            <w:tcW w:w="3640" w:type="dxa"/>
            <w:shd w:val="clear" w:color="auto" w:fill="auto"/>
            <w:vAlign w:val="bottom"/>
          </w:tcPr>
          <w:p w14:paraId="5D75E1C5" w14:textId="60F81012" w:rsidR="00277DDA" w:rsidRPr="00863287" w:rsidRDefault="00FD492E" w:rsidP="00277DDA">
            <w:pPr>
              <w:rPr>
                <w:rFonts w:cs="Calibri"/>
              </w:rPr>
            </w:pPr>
            <w:r>
              <w:rPr>
                <w:rFonts w:cs="Calibri"/>
              </w:rPr>
              <w:t>435</w:t>
            </w:r>
          </w:p>
        </w:tc>
      </w:tr>
      <w:tr w:rsidR="00277DDA" w:rsidRPr="0070451B" w14:paraId="67736CBA" w14:textId="77777777" w:rsidTr="00F4703F">
        <w:trPr>
          <w:trHeight w:val="432"/>
        </w:trPr>
        <w:tc>
          <w:tcPr>
            <w:tcW w:w="877" w:type="dxa"/>
            <w:vMerge/>
            <w:shd w:val="clear" w:color="auto" w:fill="auto"/>
            <w:textDirection w:val="btLr"/>
            <w:vAlign w:val="center"/>
          </w:tcPr>
          <w:p w14:paraId="0B84D09D" w14:textId="77777777" w:rsidR="00277DDA" w:rsidRPr="00196EBA" w:rsidRDefault="00277DDA" w:rsidP="00277DDA">
            <w:pPr>
              <w:ind w:right="113"/>
              <w:jc w:val="right"/>
              <w:rPr>
                <w:rFonts w:cs="Calibri"/>
                <w:b/>
              </w:rPr>
            </w:pPr>
          </w:p>
        </w:tc>
        <w:tc>
          <w:tcPr>
            <w:tcW w:w="4314" w:type="dxa"/>
            <w:shd w:val="clear" w:color="auto" w:fill="auto"/>
            <w:vAlign w:val="center"/>
          </w:tcPr>
          <w:p w14:paraId="0143BC21" w14:textId="77777777" w:rsidR="00277DDA" w:rsidRPr="00863287" w:rsidRDefault="00277DDA" w:rsidP="00277DDA">
            <w:pPr>
              <w:ind w:left="144"/>
              <w:rPr>
                <w:rFonts w:cs="Calibri"/>
              </w:rPr>
            </w:pPr>
            <w:r w:rsidRPr="00863287">
              <w:rPr>
                <w:rFonts w:cs="Calibri"/>
              </w:rPr>
              <w:t>D.  1</w:t>
            </w:r>
            <w:r>
              <w:rPr>
                <w:rFonts w:cs="Calibri"/>
              </w:rPr>
              <w:t>8</w:t>
            </w:r>
            <w:r w:rsidRPr="00863287">
              <w:rPr>
                <w:rFonts w:cs="Calibri"/>
              </w:rPr>
              <w:t xml:space="preserve"> – 21</w:t>
            </w:r>
          </w:p>
        </w:tc>
        <w:tc>
          <w:tcPr>
            <w:tcW w:w="876" w:type="dxa"/>
            <w:shd w:val="clear" w:color="auto" w:fill="auto"/>
            <w:vAlign w:val="bottom"/>
          </w:tcPr>
          <w:p w14:paraId="1E94EE18" w14:textId="58F9400F" w:rsidR="00277DDA" w:rsidRPr="00863287" w:rsidRDefault="00277DDA" w:rsidP="00277DDA">
            <w:pPr>
              <w:rPr>
                <w:rFonts w:cs="Calibri"/>
              </w:rPr>
            </w:pPr>
          </w:p>
        </w:tc>
        <w:tc>
          <w:tcPr>
            <w:tcW w:w="3640" w:type="dxa"/>
            <w:vAlign w:val="bottom"/>
          </w:tcPr>
          <w:p w14:paraId="527ED9B9" w14:textId="4E917315" w:rsidR="00277DDA" w:rsidRPr="00863287" w:rsidRDefault="00FD492E" w:rsidP="00277DDA">
            <w:pPr>
              <w:rPr>
                <w:rFonts w:cs="Calibri"/>
              </w:rPr>
            </w:pPr>
            <w:r>
              <w:rPr>
                <w:rFonts w:cs="Calibri"/>
              </w:rPr>
              <w:t>386</w:t>
            </w:r>
          </w:p>
        </w:tc>
      </w:tr>
      <w:tr w:rsidR="00277DDA" w:rsidRPr="0070451B" w14:paraId="516B0215" w14:textId="77777777" w:rsidTr="00F4703F">
        <w:trPr>
          <w:trHeight w:val="432"/>
        </w:trPr>
        <w:tc>
          <w:tcPr>
            <w:tcW w:w="877" w:type="dxa"/>
            <w:vMerge/>
            <w:shd w:val="clear" w:color="auto" w:fill="auto"/>
            <w:textDirection w:val="btLr"/>
            <w:vAlign w:val="center"/>
          </w:tcPr>
          <w:p w14:paraId="521F0DE9" w14:textId="77777777" w:rsidR="00277DDA" w:rsidRPr="00196EBA" w:rsidRDefault="00277DDA" w:rsidP="00277DDA">
            <w:pPr>
              <w:ind w:right="113"/>
              <w:jc w:val="right"/>
              <w:rPr>
                <w:rFonts w:cs="Calibri"/>
                <w:b/>
              </w:rPr>
            </w:pPr>
          </w:p>
        </w:tc>
        <w:tc>
          <w:tcPr>
            <w:tcW w:w="4314" w:type="dxa"/>
            <w:shd w:val="clear" w:color="auto" w:fill="auto"/>
            <w:vAlign w:val="center"/>
          </w:tcPr>
          <w:p w14:paraId="0C658488" w14:textId="77777777" w:rsidR="00277DDA" w:rsidRPr="00863287" w:rsidRDefault="00277DDA" w:rsidP="00277DDA">
            <w:pPr>
              <w:ind w:left="144"/>
              <w:rPr>
                <w:rFonts w:cs="Calibri"/>
              </w:rPr>
            </w:pPr>
            <w:r w:rsidRPr="00863287">
              <w:rPr>
                <w:rFonts w:cs="Calibri"/>
              </w:rPr>
              <w:t>E.  22 – 24</w:t>
            </w:r>
          </w:p>
        </w:tc>
        <w:tc>
          <w:tcPr>
            <w:tcW w:w="876" w:type="dxa"/>
            <w:shd w:val="clear" w:color="auto" w:fill="auto"/>
            <w:vAlign w:val="bottom"/>
          </w:tcPr>
          <w:p w14:paraId="2D9A0390" w14:textId="4C4BC86B" w:rsidR="00277DDA" w:rsidRPr="00863287" w:rsidRDefault="00277DDA" w:rsidP="00277DDA">
            <w:pPr>
              <w:rPr>
                <w:rFonts w:cs="Calibri"/>
              </w:rPr>
            </w:pPr>
          </w:p>
        </w:tc>
        <w:tc>
          <w:tcPr>
            <w:tcW w:w="3640" w:type="dxa"/>
            <w:vAlign w:val="bottom"/>
          </w:tcPr>
          <w:p w14:paraId="088780F6" w14:textId="3CF8D00F" w:rsidR="00277DDA" w:rsidRPr="00863287" w:rsidRDefault="00FD492E" w:rsidP="00277DDA">
            <w:pPr>
              <w:rPr>
                <w:rFonts w:cs="Calibri"/>
              </w:rPr>
            </w:pPr>
            <w:r>
              <w:rPr>
                <w:rFonts w:cs="Calibri"/>
              </w:rPr>
              <w:t>0</w:t>
            </w:r>
          </w:p>
        </w:tc>
      </w:tr>
      <w:tr w:rsidR="00277DDA" w:rsidRPr="0070451B" w14:paraId="71F7B067" w14:textId="77777777" w:rsidTr="00F4703F">
        <w:trPr>
          <w:trHeight w:val="432"/>
        </w:trPr>
        <w:tc>
          <w:tcPr>
            <w:tcW w:w="877" w:type="dxa"/>
            <w:vMerge w:val="restart"/>
            <w:shd w:val="clear" w:color="auto" w:fill="auto"/>
            <w:textDirection w:val="btLr"/>
            <w:vAlign w:val="center"/>
          </w:tcPr>
          <w:p w14:paraId="113BB99F" w14:textId="77777777" w:rsidR="00277DDA" w:rsidRPr="00196EBA" w:rsidRDefault="00277DDA" w:rsidP="00277DDA">
            <w:pPr>
              <w:ind w:left="113" w:right="113"/>
              <w:jc w:val="center"/>
              <w:rPr>
                <w:rFonts w:cs="Calibri"/>
                <w:b/>
              </w:rPr>
            </w:pPr>
            <w:r w:rsidRPr="00196EBA">
              <w:rPr>
                <w:rFonts w:cs="Calibri"/>
                <w:b/>
              </w:rPr>
              <w:t>Ethnicity / Race</w:t>
            </w:r>
          </w:p>
        </w:tc>
        <w:tc>
          <w:tcPr>
            <w:tcW w:w="4314" w:type="dxa"/>
            <w:shd w:val="clear" w:color="auto" w:fill="auto"/>
            <w:vAlign w:val="center"/>
          </w:tcPr>
          <w:p w14:paraId="3B4CC202" w14:textId="77777777" w:rsidR="00277DDA" w:rsidRPr="00863287" w:rsidRDefault="00277DDA" w:rsidP="00277DDA">
            <w:pPr>
              <w:ind w:left="144"/>
              <w:rPr>
                <w:rFonts w:cs="Calibri"/>
              </w:rPr>
            </w:pPr>
            <w:r w:rsidRPr="00863287">
              <w:rPr>
                <w:rFonts w:cs="Calibri"/>
              </w:rPr>
              <w:t>A.  Hispanic/Latino</w:t>
            </w:r>
          </w:p>
        </w:tc>
        <w:tc>
          <w:tcPr>
            <w:tcW w:w="876" w:type="dxa"/>
            <w:shd w:val="clear" w:color="auto" w:fill="auto"/>
            <w:vAlign w:val="bottom"/>
          </w:tcPr>
          <w:p w14:paraId="0ABB97E1" w14:textId="507138C1" w:rsidR="00277DDA" w:rsidRPr="00277DDA" w:rsidRDefault="00277DDA" w:rsidP="00277DDA">
            <w:pPr>
              <w:rPr>
                <w:rFonts w:cs="Calibri"/>
              </w:rPr>
            </w:pPr>
          </w:p>
        </w:tc>
        <w:tc>
          <w:tcPr>
            <w:tcW w:w="3640" w:type="dxa"/>
            <w:vAlign w:val="bottom"/>
          </w:tcPr>
          <w:p w14:paraId="59BE3B59" w14:textId="6E6BEB18" w:rsidR="00277DDA" w:rsidRPr="00277DDA" w:rsidRDefault="00FD492E" w:rsidP="00277DDA">
            <w:pPr>
              <w:rPr>
                <w:rFonts w:cs="Calibri"/>
              </w:rPr>
            </w:pPr>
            <w:r>
              <w:rPr>
                <w:rFonts w:cs="Calibri"/>
              </w:rPr>
              <w:t>45</w:t>
            </w:r>
          </w:p>
        </w:tc>
      </w:tr>
      <w:tr w:rsidR="00277DDA" w:rsidRPr="0070451B" w14:paraId="2046BD39" w14:textId="77777777" w:rsidTr="00F4703F">
        <w:trPr>
          <w:trHeight w:val="432"/>
        </w:trPr>
        <w:tc>
          <w:tcPr>
            <w:tcW w:w="877" w:type="dxa"/>
            <w:vMerge/>
            <w:shd w:val="clear" w:color="auto" w:fill="auto"/>
            <w:vAlign w:val="center"/>
          </w:tcPr>
          <w:p w14:paraId="46374EE9" w14:textId="77777777" w:rsidR="00277DDA" w:rsidRPr="00863287" w:rsidRDefault="00277DDA" w:rsidP="00277DDA">
            <w:pPr>
              <w:jc w:val="center"/>
              <w:rPr>
                <w:rFonts w:cs="Calibri"/>
                <w:b/>
                <w:sz w:val="18"/>
                <w:szCs w:val="18"/>
              </w:rPr>
            </w:pPr>
          </w:p>
        </w:tc>
        <w:tc>
          <w:tcPr>
            <w:tcW w:w="4314" w:type="dxa"/>
            <w:shd w:val="clear" w:color="auto" w:fill="auto"/>
            <w:vAlign w:val="center"/>
          </w:tcPr>
          <w:p w14:paraId="52DB2546" w14:textId="77777777" w:rsidR="00277DDA" w:rsidRPr="00863287" w:rsidRDefault="00277DDA" w:rsidP="00277DDA">
            <w:pPr>
              <w:ind w:left="144"/>
              <w:rPr>
                <w:rFonts w:cs="Calibri"/>
              </w:rPr>
            </w:pPr>
            <w:r w:rsidRPr="00863287">
              <w:rPr>
                <w:rFonts w:cs="Calibri"/>
              </w:rPr>
              <w:t xml:space="preserve">B.  American Indian or </w:t>
            </w:r>
            <w:smartTag w:uri="urn:schemas-microsoft-com:office:smarttags" w:element="place">
              <w:smartTag w:uri="urn:schemas-microsoft-com:office:smarttags" w:element="State">
                <w:r w:rsidRPr="00863287">
                  <w:rPr>
                    <w:rFonts w:cs="Calibri"/>
                  </w:rPr>
                  <w:t>Alaska</w:t>
                </w:r>
              </w:smartTag>
            </w:smartTag>
            <w:r w:rsidRPr="00863287">
              <w:rPr>
                <w:rFonts w:cs="Calibri"/>
              </w:rPr>
              <w:t xml:space="preserve"> Native</w:t>
            </w:r>
          </w:p>
        </w:tc>
        <w:tc>
          <w:tcPr>
            <w:tcW w:w="876" w:type="dxa"/>
            <w:shd w:val="clear" w:color="auto" w:fill="auto"/>
            <w:vAlign w:val="bottom"/>
          </w:tcPr>
          <w:p w14:paraId="3C31C619" w14:textId="3496A2C7" w:rsidR="00277DDA" w:rsidRPr="00277DDA" w:rsidRDefault="00277DDA" w:rsidP="00277DDA">
            <w:pPr>
              <w:rPr>
                <w:rFonts w:cs="Calibri"/>
              </w:rPr>
            </w:pPr>
          </w:p>
        </w:tc>
        <w:tc>
          <w:tcPr>
            <w:tcW w:w="3640" w:type="dxa"/>
            <w:vAlign w:val="bottom"/>
          </w:tcPr>
          <w:p w14:paraId="5C89747D" w14:textId="3D26F5E6" w:rsidR="00277DDA" w:rsidRPr="00277DDA" w:rsidRDefault="00FD492E" w:rsidP="00277DDA">
            <w:pPr>
              <w:rPr>
                <w:rFonts w:cs="Calibri"/>
              </w:rPr>
            </w:pPr>
            <w:r>
              <w:rPr>
                <w:rFonts w:cs="Calibri"/>
              </w:rPr>
              <w:t>1</w:t>
            </w:r>
          </w:p>
        </w:tc>
      </w:tr>
      <w:tr w:rsidR="00277DDA" w:rsidRPr="0070451B" w14:paraId="558C4F4C" w14:textId="77777777" w:rsidTr="00F4703F">
        <w:trPr>
          <w:trHeight w:val="432"/>
        </w:trPr>
        <w:tc>
          <w:tcPr>
            <w:tcW w:w="877" w:type="dxa"/>
            <w:vMerge/>
            <w:shd w:val="clear" w:color="auto" w:fill="auto"/>
            <w:vAlign w:val="center"/>
          </w:tcPr>
          <w:p w14:paraId="54D5F711" w14:textId="77777777" w:rsidR="00277DDA" w:rsidRPr="00863287" w:rsidRDefault="00277DDA" w:rsidP="00277DDA">
            <w:pPr>
              <w:jc w:val="center"/>
              <w:rPr>
                <w:rFonts w:cs="Calibri"/>
                <w:b/>
                <w:sz w:val="18"/>
                <w:szCs w:val="18"/>
              </w:rPr>
            </w:pPr>
          </w:p>
        </w:tc>
        <w:tc>
          <w:tcPr>
            <w:tcW w:w="4314" w:type="dxa"/>
            <w:shd w:val="clear" w:color="auto" w:fill="auto"/>
            <w:vAlign w:val="center"/>
          </w:tcPr>
          <w:p w14:paraId="2F742C55" w14:textId="77777777" w:rsidR="00277DDA" w:rsidRPr="00863287" w:rsidRDefault="00277DDA" w:rsidP="00277DDA">
            <w:pPr>
              <w:ind w:left="144"/>
              <w:rPr>
                <w:rFonts w:cs="Calibri"/>
              </w:rPr>
            </w:pPr>
            <w:r w:rsidRPr="00863287">
              <w:rPr>
                <w:rFonts w:cs="Calibri"/>
              </w:rPr>
              <w:t>C.  Asian/Pacific Islander</w:t>
            </w:r>
          </w:p>
        </w:tc>
        <w:tc>
          <w:tcPr>
            <w:tcW w:w="876" w:type="dxa"/>
            <w:shd w:val="clear" w:color="auto" w:fill="auto"/>
            <w:vAlign w:val="bottom"/>
          </w:tcPr>
          <w:p w14:paraId="16D57499" w14:textId="2C641EC0" w:rsidR="00277DDA" w:rsidRPr="00277DDA" w:rsidRDefault="00277DDA" w:rsidP="00277DDA">
            <w:pPr>
              <w:rPr>
                <w:rFonts w:cs="Calibri"/>
              </w:rPr>
            </w:pPr>
          </w:p>
        </w:tc>
        <w:tc>
          <w:tcPr>
            <w:tcW w:w="3640" w:type="dxa"/>
            <w:vAlign w:val="bottom"/>
          </w:tcPr>
          <w:p w14:paraId="15E6E282" w14:textId="121D4620" w:rsidR="00277DDA" w:rsidRPr="00277DDA" w:rsidRDefault="00FD492E" w:rsidP="00277DDA">
            <w:pPr>
              <w:rPr>
                <w:rFonts w:cs="Calibri"/>
              </w:rPr>
            </w:pPr>
            <w:r>
              <w:rPr>
                <w:rFonts w:cs="Calibri"/>
              </w:rPr>
              <w:t>11</w:t>
            </w:r>
          </w:p>
        </w:tc>
      </w:tr>
      <w:tr w:rsidR="00277DDA" w:rsidRPr="0070451B" w14:paraId="1A90EBB6" w14:textId="77777777" w:rsidTr="00F4703F">
        <w:trPr>
          <w:trHeight w:val="432"/>
        </w:trPr>
        <w:tc>
          <w:tcPr>
            <w:tcW w:w="877" w:type="dxa"/>
            <w:vMerge/>
            <w:shd w:val="clear" w:color="auto" w:fill="auto"/>
            <w:vAlign w:val="center"/>
          </w:tcPr>
          <w:p w14:paraId="02CAE7B0" w14:textId="77777777" w:rsidR="00277DDA" w:rsidRPr="00863287" w:rsidRDefault="00277DDA" w:rsidP="00277DDA">
            <w:pPr>
              <w:jc w:val="center"/>
              <w:rPr>
                <w:rFonts w:cs="Calibri"/>
                <w:b/>
                <w:sz w:val="18"/>
                <w:szCs w:val="18"/>
              </w:rPr>
            </w:pPr>
          </w:p>
        </w:tc>
        <w:tc>
          <w:tcPr>
            <w:tcW w:w="4314" w:type="dxa"/>
            <w:shd w:val="clear" w:color="auto" w:fill="auto"/>
            <w:vAlign w:val="center"/>
          </w:tcPr>
          <w:p w14:paraId="3D26EC95" w14:textId="77777777" w:rsidR="00277DDA" w:rsidRPr="00863287" w:rsidRDefault="00277DDA" w:rsidP="00277DDA">
            <w:pPr>
              <w:ind w:left="144"/>
              <w:rPr>
                <w:rFonts w:cs="Calibri"/>
              </w:rPr>
            </w:pPr>
            <w:r w:rsidRPr="00863287">
              <w:rPr>
                <w:rFonts w:cs="Calibri"/>
              </w:rPr>
              <w:t>D.  Black or African American</w:t>
            </w:r>
          </w:p>
        </w:tc>
        <w:tc>
          <w:tcPr>
            <w:tcW w:w="876" w:type="dxa"/>
            <w:shd w:val="clear" w:color="auto" w:fill="auto"/>
            <w:vAlign w:val="bottom"/>
          </w:tcPr>
          <w:p w14:paraId="194ED8F7" w14:textId="4B2B1FB8" w:rsidR="00277DDA" w:rsidRPr="00277DDA" w:rsidRDefault="00277DDA" w:rsidP="00277DDA">
            <w:pPr>
              <w:rPr>
                <w:rFonts w:cs="Calibri"/>
              </w:rPr>
            </w:pPr>
          </w:p>
        </w:tc>
        <w:tc>
          <w:tcPr>
            <w:tcW w:w="3640" w:type="dxa"/>
            <w:vAlign w:val="bottom"/>
          </w:tcPr>
          <w:p w14:paraId="00E63521" w14:textId="1B6DF369" w:rsidR="00277DDA" w:rsidRPr="00277DDA" w:rsidRDefault="00FD492E" w:rsidP="00277DDA">
            <w:pPr>
              <w:rPr>
                <w:rFonts w:cs="Calibri"/>
              </w:rPr>
            </w:pPr>
            <w:r>
              <w:rPr>
                <w:rFonts w:cs="Calibri"/>
              </w:rPr>
              <w:t>91</w:t>
            </w:r>
          </w:p>
        </w:tc>
      </w:tr>
      <w:tr w:rsidR="00277DDA" w:rsidRPr="0070451B" w14:paraId="77FE4CC4" w14:textId="77777777" w:rsidTr="00F4703F">
        <w:trPr>
          <w:trHeight w:val="432"/>
        </w:trPr>
        <w:tc>
          <w:tcPr>
            <w:tcW w:w="877" w:type="dxa"/>
            <w:vMerge/>
            <w:shd w:val="clear" w:color="auto" w:fill="auto"/>
            <w:vAlign w:val="center"/>
          </w:tcPr>
          <w:p w14:paraId="44AF6BDA" w14:textId="77777777" w:rsidR="00277DDA" w:rsidRPr="00863287" w:rsidRDefault="00277DDA" w:rsidP="00277DDA">
            <w:pPr>
              <w:jc w:val="center"/>
              <w:rPr>
                <w:rFonts w:cs="Calibri"/>
                <w:b/>
                <w:sz w:val="18"/>
                <w:szCs w:val="18"/>
              </w:rPr>
            </w:pPr>
          </w:p>
        </w:tc>
        <w:tc>
          <w:tcPr>
            <w:tcW w:w="4314" w:type="dxa"/>
            <w:shd w:val="clear" w:color="auto" w:fill="auto"/>
            <w:vAlign w:val="center"/>
          </w:tcPr>
          <w:p w14:paraId="18C95B28" w14:textId="77777777" w:rsidR="00277DDA" w:rsidRPr="00863287" w:rsidRDefault="00277DDA" w:rsidP="00277DDA">
            <w:pPr>
              <w:ind w:left="144"/>
              <w:rPr>
                <w:rFonts w:cs="Calibri"/>
              </w:rPr>
            </w:pPr>
            <w:r w:rsidRPr="00863287">
              <w:rPr>
                <w:rFonts w:cs="Calibri"/>
              </w:rPr>
              <w:t xml:space="preserve">E. </w:t>
            </w:r>
            <w:r>
              <w:rPr>
                <w:rFonts w:cs="Calibri"/>
              </w:rPr>
              <w:t xml:space="preserve"> </w:t>
            </w:r>
            <w:r w:rsidRPr="00863287">
              <w:rPr>
                <w:rFonts w:cs="Calibri"/>
              </w:rPr>
              <w:t>White</w:t>
            </w:r>
          </w:p>
        </w:tc>
        <w:tc>
          <w:tcPr>
            <w:tcW w:w="876" w:type="dxa"/>
            <w:shd w:val="clear" w:color="auto" w:fill="auto"/>
            <w:vAlign w:val="bottom"/>
          </w:tcPr>
          <w:p w14:paraId="7FBADE4D" w14:textId="76F28358" w:rsidR="00277DDA" w:rsidRPr="00277DDA" w:rsidRDefault="00277DDA" w:rsidP="00277DDA">
            <w:pPr>
              <w:rPr>
                <w:rFonts w:cs="Calibri"/>
              </w:rPr>
            </w:pPr>
          </w:p>
        </w:tc>
        <w:tc>
          <w:tcPr>
            <w:tcW w:w="3640" w:type="dxa"/>
            <w:vAlign w:val="bottom"/>
          </w:tcPr>
          <w:p w14:paraId="3EEF28D5" w14:textId="3BFD1AD8" w:rsidR="00277DDA" w:rsidRPr="00277DDA" w:rsidRDefault="00FD492E" w:rsidP="00277DDA">
            <w:pPr>
              <w:rPr>
                <w:rFonts w:cs="Calibri"/>
              </w:rPr>
            </w:pPr>
            <w:r>
              <w:rPr>
                <w:rFonts w:cs="Calibri"/>
              </w:rPr>
              <w:t>508</w:t>
            </w:r>
          </w:p>
        </w:tc>
      </w:tr>
      <w:tr w:rsidR="00277DDA" w:rsidRPr="0070451B" w14:paraId="246F6A4D" w14:textId="77777777" w:rsidTr="00F4703F">
        <w:trPr>
          <w:trHeight w:val="432"/>
        </w:trPr>
        <w:tc>
          <w:tcPr>
            <w:tcW w:w="877" w:type="dxa"/>
            <w:vMerge/>
            <w:shd w:val="clear" w:color="auto" w:fill="auto"/>
            <w:vAlign w:val="center"/>
          </w:tcPr>
          <w:p w14:paraId="71D3EFCA" w14:textId="77777777" w:rsidR="00277DDA" w:rsidRPr="00863287" w:rsidRDefault="00277DDA" w:rsidP="00277DDA">
            <w:pPr>
              <w:jc w:val="center"/>
              <w:rPr>
                <w:rFonts w:cs="Calibri"/>
                <w:b/>
                <w:sz w:val="18"/>
                <w:szCs w:val="18"/>
              </w:rPr>
            </w:pPr>
          </w:p>
        </w:tc>
        <w:tc>
          <w:tcPr>
            <w:tcW w:w="4314" w:type="dxa"/>
            <w:shd w:val="clear" w:color="auto" w:fill="auto"/>
            <w:vAlign w:val="center"/>
          </w:tcPr>
          <w:p w14:paraId="6AA30A7F" w14:textId="77777777" w:rsidR="00277DDA" w:rsidRPr="00863287" w:rsidRDefault="00277DDA" w:rsidP="00277DDA">
            <w:pPr>
              <w:ind w:left="144"/>
              <w:rPr>
                <w:rFonts w:cs="Calibri"/>
              </w:rPr>
            </w:pPr>
            <w:r>
              <w:rPr>
                <w:rFonts w:cs="Calibri"/>
              </w:rPr>
              <w:t>F.  Multiracial</w:t>
            </w:r>
          </w:p>
        </w:tc>
        <w:tc>
          <w:tcPr>
            <w:tcW w:w="876" w:type="dxa"/>
            <w:shd w:val="clear" w:color="auto" w:fill="auto"/>
            <w:vAlign w:val="bottom"/>
          </w:tcPr>
          <w:p w14:paraId="0BD69C8E" w14:textId="00CB8C46" w:rsidR="00277DDA" w:rsidRPr="00277DDA" w:rsidRDefault="00277DDA" w:rsidP="00277DDA">
            <w:pPr>
              <w:rPr>
                <w:rFonts w:cs="Calibri"/>
              </w:rPr>
            </w:pPr>
          </w:p>
        </w:tc>
        <w:tc>
          <w:tcPr>
            <w:tcW w:w="3640" w:type="dxa"/>
            <w:vAlign w:val="bottom"/>
          </w:tcPr>
          <w:p w14:paraId="4340B513" w14:textId="4527B454" w:rsidR="00277DDA" w:rsidRPr="00277DDA" w:rsidRDefault="00FD492E" w:rsidP="00277DDA">
            <w:pPr>
              <w:rPr>
                <w:rFonts w:cs="Calibri"/>
              </w:rPr>
            </w:pPr>
            <w:r>
              <w:rPr>
                <w:rFonts w:cs="Calibri"/>
              </w:rPr>
              <w:t>45</w:t>
            </w:r>
          </w:p>
        </w:tc>
      </w:tr>
      <w:tr w:rsidR="00277DDA" w:rsidRPr="0070451B" w14:paraId="3858B5B1" w14:textId="77777777" w:rsidTr="00F4703F">
        <w:trPr>
          <w:trHeight w:val="432"/>
        </w:trPr>
        <w:tc>
          <w:tcPr>
            <w:tcW w:w="877" w:type="dxa"/>
            <w:vMerge/>
            <w:shd w:val="clear" w:color="auto" w:fill="auto"/>
            <w:vAlign w:val="center"/>
          </w:tcPr>
          <w:p w14:paraId="614DE1FD" w14:textId="77777777" w:rsidR="00277DDA" w:rsidRPr="00863287" w:rsidRDefault="00277DDA" w:rsidP="00277DDA">
            <w:pPr>
              <w:jc w:val="center"/>
              <w:rPr>
                <w:rFonts w:cs="Calibri"/>
                <w:b/>
                <w:sz w:val="18"/>
                <w:szCs w:val="18"/>
              </w:rPr>
            </w:pPr>
          </w:p>
        </w:tc>
        <w:tc>
          <w:tcPr>
            <w:tcW w:w="4314" w:type="dxa"/>
            <w:shd w:val="clear" w:color="auto" w:fill="auto"/>
            <w:vAlign w:val="center"/>
          </w:tcPr>
          <w:p w14:paraId="03E394D5" w14:textId="77777777" w:rsidR="00277DDA" w:rsidRPr="00863287" w:rsidRDefault="00277DDA" w:rsidP="00277DDA">
            <w:pPr>
              <w:ind w:left="144"/>
              <w:rPr>
                <w:rFonts w:cs="Calibri"/>
              </w:rPr>
            </w:pPr>
            <w:r>
              <w:rPr>
                <w:rFonts w:cs="Calibri"/>
              </w:rPr>
              <w:t>G. Not Disclosed</w:t>
            </w:r>
          </w:p>
        </w:tc>
        <w:tc>
          <w:tcPr>
            <w:tcW w:w="876" w:type="dxa"/>
            <w:shd w:val="clear" w:color="auto" w:fill="auto"/>
            <w:vAlign w:val="bottom"/>
          </w:tcPr>
          <w:p w14:paraId="4CD174C3" w14:textId="3C4DE473" w:rsidR="00277DDA" w:rsidRPr="00277DDA" w:rsidRDefault="00277DDA" w:rsidP="00277DDA">
            <w:pPr>
              <w:rPr>
                <w:rFonts w:cs="Calibri"/>
              </w:rPr>
            </w:pPr>
          </w:p>
        </w:tc>
        <w:tc>
          <w:tcPr>
            <w:tcW w:w="3640" w:type="dxa"/>
            <w:vAlign w:val="bottom"/>
          </w:tcPr>
          <w:p w14:paraId="1A793E53" w14:textId="2B1445CE" w:rsidR="00277DDA" w:rsidRPr="00277DDA" w:rsidRDefault="00FD492E" w:rsidP="00277DDA">
            <w:pPr>
              <w:rPr>
                <w:rFonts w:cs="Calibri"/>
              </w:rPr>
            </w:pPr>
            <w:r>
              <w:rPr>
                <w:rFonts w:cs="Calibri"/>
              </w:rPr>
              <w:t>297</w:t>
            </w:r>
          </w:p>
        </w:tc>
      </w:tr>
      <w:tr w:rsidR="00277DDA" w:rsidRPr="0070451B" w14:paraId="58C14EFE" w14:textId="77777777" w:rsidTr="00F4703F">
        <w:trPr>
          <w:trHeight w:val="432"/>
        </w:trPr>
        <w:tc>
          <w:tcPr>
            <w:tcW w:w="877" w:type="dxa"/>
            <w:vMerge w:val="restart"/>
            <w:shd w:val="clear" w:color="auto" w:fill="auto"/>
            <w:textDirection w:val="btLr"/>
            <w:vAlign w:val="center"/>
          </w:tcPr>
          <w:p w14:paraId="3E3F2257" w14:textId="77777777" w:rsidR="00277DDA" w:rsidRPr="00196EBA" w:rsidRDefault="00277DDA" w:rsidP="00277DDA">
            <w:pPr>
              <w:ind w:left="113" w:right="113"/>
              <w:jc w:val="center"/>
              <w:rPr>
                <w:rFonts w:cs="Calibri"/>
                <w:b/>
              </w:rPr>
            </w:pPr>
            <w:r w:rsidRPr="00196EBA">
              <w:rPr>
                <w:rFonts w:cs="Calibri"/>
                <w:b/>
              </w:rPr>
              <w:t>Education Level</w:t>
            </w:r>
          </w:p>
        </w:tc>
        <w:tc>
          <w:tcPr>
            <w:tcW w:w="4314" w:type="dxa"/>
            <w:shd w:val="clear" w:color="auto" w:fill="auto"/>
            <w:vAlign w:val="center"/>
          </w:tcPr>
          <w:p w14:paraId="171531AF" w14:textId="47183D20" w:rsidR="00277DDA" w:rsidRPr="00277DDA" w:rsidRDefault="00277DDA" w:rsidP="00277DDA">
            <w:pPr>
              <w:ind w:left="144"/>
              <w:rPr>
                <w:rFonts w:cs="Calibri"/>
              </w:rPr>
            </w:pPr>
            <w:r w:rsidRPr="00277DDA">
              <w:rPr>
                <w:rFonts w:cs="Calibri"/>
                <w:color w:val="000000"/>
              </w:rPr>
              <w:t>8th Grade, or under</w:t>
            </w:r>
          </w:p>
        </w:tc>
        <w:tc>
          <w:tcPr>
            <w:tcW w:w="876" w:type="dxa"/>
            <w:shd w:val="clear" w:color="auto" w:fill="auto"/>
            <w:vAlign w:val="bottom"/>
          </w:tcPr>
          <w:p w14:paraId="231FC464" w14:textId="60A82B3F" w:rsidR="00277DDA" w:rsidRPr="00277DDA" w:rsidRDefault="00277DDA" w:rsidP="00277DDA">
            <w:pPr>
              <w:rPr>
                <w:rFonts w:cs="Calibri"/>
              </w:rPr>
            </w:pPr>
          </w:p>
        </w:tc>
        <w:tc>
          <w:tcPr>
            <w:tcW w:w="3640" w:type="dxa"/>
            <w:vAlign w:val="bottom"/>
          </w:tcPr>
          <w:p w14:paraId="14BE048D" w14:textId="68E3AEDE" w:rsidR="00277DDA" w:rsidRPr="00277DDA" w:rsidRDefault="00FD492E" w:rsidP="00277DDA">
            <w:pPr>
              <w:rPr>
                <w:rFonts w:cs="Calibri"/>
              </w:rPr>
            </w:pPr>
            <w:r>
              <w:rPr>
                <w:rFonts w:cs="Calibri"/>
              </w:rPr>
              <w:t>0</w:t>
            </w:r>
          </w:p>
        </w:tc>
      </w:tr>
      <w:tr w:rsidR="00277DDA" w:rsidRPr="0070451B" w14:paraId="17E7AAF0" w14:textId="77777777" w:rsidTr="00F4703F">
        <w:trPr>
          <w:trHeight w:val="432"/>
        </w:trPr>
        <w:tc>
          <w:tcPr>
            <w:tcW w:w="877" w:type="dxa"/>
            <w:vMerge/>
            <w:shd w:val="clear" w:color="auto" w:fill="auto"/>
            <w:vAlign w:val="center"/>
          </w:tcPr>
          <w:p w14:paraId="0B0041D7" w14:textId="77777777" w:rsidR="00277DDA" w:rsidRPr="00196EBA" w:rsidRDefault="00277DDA" w:rsidP="00277DDA">
            <w:pPr>
              <w:jc w:val="center"/>
              <w:rPr>
                <w:rFonts w:cs="Calibri"/>
              </w:rPr>
            </w:pPr>
          </w:p>
        </w:tc>
        <w:tc>
          <w:tcPr>
            <w:tcW w:w="4314" w:type="dxa"/>
            <w:shd w:val="clear" w:color="auto" w:fill="auto"/>
            <w:vAlign w:val="center"/>
          </w:tcPr>
          <w:p w14:paraId="23EA873C" w14:textId="4C01DB47" w:rsidR="00277DDA" w:rsidRPr="00277DDA" w:rsidRDefault="00277DDA" w:rsidP="00277DDA">
            <w:pPr>
              <w:ind w:left="144"/>
              <w:rPr>
                <w:rFonts w:cs="Calibri"/>
              </w:rPr>
            </w:pPr>
            <w:r w:rsidRPr="00277DDA">
              <w:rPr>
                <w:rFonts w:cs="Calibri"/>
                <w:color w:val="000000"/>
              </w:rPr>
              <w:t xml:space="preserve">9th Grade -12th Grade </w:t>
            </w:r>
          </w:p>
        </w:tc>
        <w:tc>
          <w:tcPr>
            <w:tcW w:w="876" w:type="dxa"/>
            <w:shd w:val="clear" w:color="auto" w:fill="auto"/>
            <w:vAlign w:val="bottom"/>
          </w:tcPr>
          <w:p w14:paraId="7752D020" w14:textId="630ECA58" w:rsidR="00277DDA" w:rsidRPr="00277DDA" w:rsidRDefault="00277DDA" w:rsidP="00277DDA">
            <w:pPr>
              <w:rPr>
                <w:rFonts w:cs="Calibri"/>
              </w:rPr>
            </w:pPr>
          </w:p>
        </w:tc>
        <w:tc>
          <w:tcPr>
            <w:tcW w:w="3640" w:type="dxa"/>
            <w:vAlign w:val="bottom"/>
          </w:tcPr>
          <w:p w14:paraId="3F0758D5" w14:textId="63344FBB" w:rsidR="00277DDA" w:rsidRPr="00277DDA" w:rsidRDefault="00FD492E" w:rsidP="00277DDA">
            <w:pPr>
              <w:rPr>
                <w:rFonts w:cs="Calibri"/>
              </w:rPr>
            </w:pPr>
            <w:r>
              <w:rPr>
                <w:rFonts w:cs="Calibri"/>
              </w:rPr>
              <w:t>995</w:t>
            </w:r>
          </w:p>
        </w:tc>
      </w:tr>
      <w:tr w:rsidR="00277DDA" w:rsidRPr="0070451B" w14:paraId="00737CAE" w14:textId="77777777" w:rsidTr="00F4703F">
        <w:trPr>
          <w:trHeight w:val="432"/>
        </w:trPr>
        <w:tc>
          <w:tcPr>
            <w:tcW w:w="877" w:type="dxa"/>
            <w:vMerge/>
            <w:shd w:val="clear" w:color="auto" w:fill="auto"/>
            <w:vAlign w:val="center"/>
          </w:tcPr>
          <w:p w14:paraId="2D957E93" w14:textId="77777777" w:rsidR="00277DDA" w:rsidRPr="00196EBA" w:rsidRDefault="00277DDA" w:rsidP="00277DDA">
            <w:pPr>
              <w:jc w:val="center"/>
              <w:rPr>
                <w:rFonts w:cs="Calibri"/>
              </w:rPr>
            </w:pPr>
          </w:p>
        </w:tc>
        <w:tc>
          <w:tcPr>
            <w:tcW w:w="4314" w:type="dxa"/>
            <w:shd w:val="clear" w:color="auto" w:fill="auto"/>
            <w:vAlign w:val="center"/>
          </w:tcPr>
          <w:p w14:paraId="5B258885" w14:textId="60B5B0A4" w:rsidR="00277DDA" w:rsidRPr="00277DDA" w:rsidRDefault="00277DDA" w:rsidP="00277DDA">
            <w:pPr>
              <w:ind w:left="144"/>
              <w:rPr>
                <w:rFonts w:cs="Calibri"/>
              </w:rPr>
            </w:pPr>
            <w:r w:rsidRPr="00277DDA">
              <w:rPr>
                <w:rFonts w:cs="Calibri"/>
                <w:color w:val="000000"/>
              </w:rPr>
              <w:t>High School graduate or equivalent</w:t>
            </w:r>
          </w:p>
        </w:tc>
        <w:tc>
          <w:tcPr>
            <w:tcW w:w="876" w:type="dxa"/>
            <w:shd w:val="clear" w:color="auto" w:fill="auto"/>
            <w:vAlign w:val="bottom"/>
          </w:tcPr>
          <w:p w14:paraId="49F33C38" w14:textId="3950EEE3" w:rsidR="00277DDA" w:rsidRPr="00277DDA" w:rsidRDefault="00277DDA" w:rsidP="00277DDA">
            <w:pPr>
              <w:rPr>
                <w:rFonts w:cs="Calibri"/>
              </w:rPr>
            </w:pPr>
          </w:p>
        </w:tc>
        <w:tc>
          <w:tcPr>
            <w:tcW w:w="3640" w:type="dxa"/>
            <w:vAlign w:val="bottom"/>
          </w:tcPr>
          <w:p w14:paraId="135A0B62" w14:textId="01B8771C" w:rsidR="00277DDA" w:rsidRPr="00277DDA" w:rsidRDefault="00FD492E" w:rsidP="00277DDA">
            <w:pPr>
              <w:rPr>
                <w:rFonts w:cs="Calibri"/>
              </w:rPr>
            </w:pPr>
            <w:r>
              <w:rPr>
                <w:rFonts w:cs="Calibri"/>
              </w:rPr>
              <w:t>0</w:t>
            </w:r>
          </w:p>
        </w:tc>
      </w:tr>
      <w:tr w:rsidR="00277DDA" w:rsidRPr="0070451B" w14:paraId="0FB08295" w14:textId="77777777" w:rsidTr="00F4703F">
        <w:trPr>
          <w:trHeight w:val="432"/>
        </w:trPr>
        <w:tc>
          <w:tcPr>
            <w:tcW w:w="877" w:type="dxa"/>
            <w:vMerge/>
            <w:shd w:val="clear" w:color="auto" w:fill="auto"/>
            <w:vAlign w:val="center"/>
          </w:tcPr>
          <w:p w14:paraId="6982DD06" w14:textId="77777777" w:rsidR="00277DDA" w:rsidRPr="00196EBA" w:rsidRDefault="00277DDA" w:rsidP="00277DDA">
            <w:pPr>
              <w:jc w:val="center"/>
              <w:rPr>
                <w:rFonts w:cs="Calibri"/>
              </w:rPr>
            </w:pPr>
          </w:p>
        </w:tc>
        <w:tc>
          <w:tcPr>
            <w:tcW w:w="4314" w:type="dxa"/>
            <w:shd w:val="clear" w:color="auto" w:fill="auto"/>
            <w:vAlign w:val="center"/>
          </w:tcPr>
          <w:p w14:paraId="5C6629C3" w14:textId="6BE170D8" w:rsidR="00277DDA" w:rsidRPr="00277DDA" w:rsidRDefault="00277DDA" w:rsidP="00277DDA">
            <w:pPr>
              <w:ind w:left="144"/>
              <w:rPr>
                <w:rFonts w:cs="Calibri"/>
              </w:rPr>
            </w:pPr>
            <w:r w:rsidRPr="00277DDA">
              <w:rPr>
                <w:rFonts w:cs="Calibri"/>
                <w:color w:val="000000"/>
              </w:rPr>
              <w:t>Post-Secondary Education</w:t>
            </w:r>
          </w:p>
        </w:tc>
        <w:tc>
          <w:tcPr>
            <w:tcW w:w="876" w:type="dxa"/>
            <w:shd w:val="clear" w:color="auto" w:fill="auto"/>
            <w:vAlign w:val="bottom"/>
          </w:tcPr>
          <w:p w14:paraId="565D0970" w14:textId="4367F998" w:rsidR="00277DDA" w:rsidRPr="00277DDA" w:rsidRDefault="00277DDA" w:rsidP="00277DDA">
            <w:pPr>
              <w:rPr>
                <w:rFonts w:cs="Calibri"/>
              </w:rPr>
            </w:pPr>
          </w:p>
        </w:tc>
        <w:tc>
          <w:tcPr>
            <w:tcW w:w="3640" w:type="dxa"/>
            <w:vAlign w:val="bottom"/>
          </w:tcPr>
          <w:p w14:paraId="4A3FE13B" w14:textId="1CBE1556" w:rsidR="00277DDA" w:rsidRPr="00277DDA" w:rsidRDefault="00FD492E" w:rsidP="00277DDA">
            <w:pPr>
              <w:rPr>
                <w:rFonts w:cs="Calibri"/>
              </w:rPr>
            </w:pPr>
            <w:r>
              <w:rPr>
                <w:rFonts w:cs="Calibri"/>
              </w:rPr>
              <w:t>0</w:t>
            </w:r>
          </w:p>
        </w:tc>
      </w:tr>
      <w:tr w:rsidR="00277DDA" w:rsidRPr="0070451B" w14:paraId="543A13AB" w14:textId="77777777" w:rsidTr="00F4703F">
        <w:trPr>
          <w:trHeight w:val="432"/>
        </w:trPr>
        <w:tc>
          <w:tcPr>
            <w:tcW w:w="877" w:type="dxa"/>
            <w:vMerge w:val="restart"/>
            <w:shd w:val="clear" w:color="auto" w:fill="auto"/>
            <w:textDirection w:val="btLr"/>
            <w:vAlign w:val="center"/>
          </w:tcPr>
          <w:p w14:paraId="018E420F" w14:textId="77777777" w:rsidR="00277DDA" w:rsidRPr="00196EBA" w:rsidRDefault="00277DDA" w:rsidP="00277DDA">
            <w:pPr>
              <w:ind w:left="113" w:right="113"/>
              <w:jc w:val="center"/>
              <w:rPr>
                <w:rFonts w:cs="Calibri"/>
                <w:b/>
              </w:rPr>
            </w:pPr>
            <w:r w:rsidRPr="00196EBA">
              <w:rPr>
                <w:rFonts w:cs="Calibri"/>
                <w:b/>
              </w:rPr>
              <w:t>Other Demographics</w:t>
            </w:r>
          </w:p>
        </w:tc>
        <w:tc>
          <w:tcPr>
            <w:tcW w:w="4314" w:type="dxa"/>
            <w:vAlign w:val="center"/>
          </w:tcPr>
          <w:p w14:paraId="4988E834" w14:textId="7D7A3848" w:rsidR="00277DDA" w:rsidRPr="008A7204" w:rsidRDefault="00277DDA" w:rsidP="00277DDA">
            <w:pPr>
              <w:pStyle w:val="ListParagraph"/>
              <w:numPr>
                <w:ilvl w:val="0"/>
                <w:numId w:val="31"/>
              </w:numPr>
              <w:spacing w:before="0" w:after="0" w:line="240" w:lineRule="auto"/>
              <w:rPr>
                <w:rFonts w:cs="Calibri"/>
              </w:rPr>
            </w:pPr>
            <w:r>
              <w:t>Limited English Proficient</w:t>
            </w:r>
          </w:p>
        </w:tc>
        <w:tc>
          <w:tcPr>
            <w:tcW w:w="876" w:type="dxa"/>
            <w:shd w:val="clear" w:color="auto" w:fill="auto"/>
            <w:vAlign w:val="bottom"/>
          </w:tcPr>
          <w:p w14:paraId="2440F9EC" w14:textId="3586A455" w:rsidR="00277DDA" w:rsidRPr="00863287" w:rsidRDefault="00277DDA" w:rsidP="00277DDA">
            <w:pPr>
              <w:rPr>
                <w:rFonts w:cs="Calibri"/>
              </w:rPr>
            </w:pPr>
          </w:p>
        </w:tc>
        <w:tc>
          <w:tcPr>
            <w:tcW w:w="3640" w:type="dxa"/>
            <w:vAlign w:val="bottom"/>
          </w:tcPr>
          <w:p w14:paraId="6BC0884E" w14:textId="5C6425CA" w:rsidR="00277DDA" w:rsidRPr="00277DDA" w:rsidRDefault="00FD492E" w:rsidP="00277DDA">
            <w:pPr>
              <w:rPr>
                <w:rFonts w:cs="Calibri"/>
              </w:rPr>
            </w:pPr>
            <w:r>
              <w:rPr>
                <w:rFonts w:cs="Calibri"/>
              </w:rPr>
              <w:t>Not Collected</w:t>
            </w:r>
          </w:p>
        </w:tc>
      </w:tr>
      <w:tr w:rsidR="00277DDA" w:rsidRPr="0070451B" w14:paraId="6440B694" w14:textId="77777777" w:rsidTr="00F4703F">
        <w:trPr>
          <w:trHeight w:val="432"/>
        </w:trPr>
        <w:tc>
          <w:tcPr>
            <w:tcW w:w="877" w:type="dxa"/>
            <w:vMerge/>
            <w:shd w:val="clear" w:color="auto" w:fill="auto"/>
            <w:vAlign w:val="center"/>
          </w:tcPr>
          <w:p w14:paraId="5311605C" w14:textId="77777777" w:rsidR="00277DDA" w:rsidRPr="00863287" w:rsidRDefault="00277DDA" w:rsidP="00277DDA">
            <w:pPr>
              <w:rPr>
                <w:rFonts w:cs="Calibri"/>
                <w:sz w:val="18"/>
                <w:szCs w:val="18"/>
              </w:rPr>
            </w:pPr>
          </w:p>
        </w:tc>
        <w:tc>
          <w:tcPr>
            <w:tcW w:w="4314" w:type="dxa"/>
            <w:vAlign w:val="center"/>
          </w:tcPr>
          <w:p w14:paraId="5CAA9012" w14:textId="387862FC" w:rsidR="00277DDA" w:rsidRPr="008A7204" w:rsidRDefault="00277DDA" w:rsidP="00277DDA">
            <w:pPr>
              <w:pStyle w:val="ListParagraph"/>
              <w:numPr>
                <w:ilvl w:val="0"/>
                <w:numId w:val="31"/>
              </w:numPr>
              <w:spacing w:before="0" w:after="0" w:line="240" w:lineRule="auto"/>
              <w:rPr>
                <w:rFonts w:cs="Calibri"/>
              </w:rPr>
            </w:pPr>
            <w:r>
              <w:t>Participant/Family Receiving Public Assistance</w:t>
            </w:r>
          </w:p>
        </w:tc>
        <w:tc>
          <w:tcPr>
            <w:tcW w:w="876" w:type="dxa"/>
            <w:shd w:val="clear" w:color="auto" w:fill="auto"/>
            <w:vAlign w:val="bottom"/>
          </w:tcPr>
          <w:p w14:paraId="1665FCE6" w14:textId="073E00A5" w:rsidR="00277DDA" w:rsidRPr="00863287" w:rsidRDefault="00277DDA" w:rsidP="00277DDA">
            <w:pPr>
              <w:rPr>
                <w:rFonts w:cs="Calibri"/>
              </w:rPr>
            </w:pPr>
          </w:p>
        </w:tc>
        <w:tc>
          <w:tcPr>
            <w:tcW w:w="3640" w:type="dxa"/>
            <w:vAlign w:val="bottom"/>
          </w:tcPr>
          <w:p w14:paraId="61A3CEC8" w14:textId="75D1E693" w:rsidR="00277DDA" w:rsidRPr="00277DDA" w:rsidRDefault="00FD492E" w:rsidP="00277DDA">
            <w:pPr>
              <w:rPr>
                <w:rFonts w:cs="Calibri"/>
              </w:rPr>
            </w:pPr>
            <w:r>
              <w:rPr>
                <w:rFonts w:cs="Calibri"/>
              </w:rPr>
              <w:t>Not Collected</w:t>
            </w:r>
          </w:p>
        </w:tc>
      </w:tr>
      <w:tr w:rsidR="00277DDA" w:rsidRPr="0070451B" w14:paraId="196058FE" w14:textId="77777777" w:rsidTr="00F4703F">
        <w:trPr>
          <w:trHeight w:val="432"/>
        </w:trPr>
        <w:tc>
          <w:tcPr>
            <w:tcW w:w="877" w:type="dxa"/>
            <w:vMerge/>
            <w:shd w:val="clear" w:color="auto" w:fill="auto"/>
            <w:vAlign w:val="center"/>
          </w:tcPr>
          <w:p w14:paraId="21A9497F" w14:textId="77777777" w:rsidR="00277DDA" w:rsidRPr="00863287" w:rsidRDefault="00277DDA" w:rsidP="00277DDA">
            <w:pPr>
              <w:rPr>
                <w:rFonts w:cs="Calibri"/>
                <w:sz w:val="18"/>
                <w:szCs w:val="18"/>
              </w:rPr>
            </w:pPr>
          </w:p>
        </w:tc>
        <w:tc>
          <w:tcPr>
            <w:tcW w:w="4314" w:type="dxa"/>
            <w:vAlign w:val="center"/>
          </w:tcPr>
          <w:p w14:paraId="76755F08" w14:textId="24A7125E" w:rsidR="00277DDA" w:rsidRPr="008A7204" w:rsidRDefault="00277DDA" w:rsidP="00277DDA">
            <w:pPr>
              <w:pStyle w:val="ListParagraph"/>
              <w:numPr>
                <w:ilvl w:val="0"/>
                <w:numId w:val="31"/>
              </w:numPr>
              <w:spacing w:before="0" w:after="0" w:line="240" w:lineRule="auto"/>
              <w:rPr>
                <w:rFonts w:cs="Calibri"/>
              </w:rPr>
            </w:pPr>
            <w:r>
              <w:t>Foster Youth</w:t>
            </w:r>
          </w:p>
        </w:tc>
        <w:tc>
          <w:tcPr>
            <w:tcW w:w="876" w:type="dxa"/>
            <w:shd w:val="clear" w:color="auto" w:fill="auto"/>
            <w:vAlign w:val="bottom"/>
          </w:tcPr>
          <w:p w14:paraId="0FCBA434" w14:textId="79C5883B" w:rsidR="00277DDA" w:rsidRPr="00863287" w:rsidRDefault="00277DDA" w:rsidP="00277DDA">
            <w:pPr>
              <w:rPr>
                <w:rFonts w:cs="Calibri"/>
              </w:rPr>
            </w:pPr>
          </w:p>
        </w:tc>
        <w:tc>
          <w:tcPr>
            <w:tcW w:w="3640" w:type="dxa"/>
            <w:vAlign w:val="bottom"/>
          </w:tcPr>
          <w:p w14:paraId="126720C1" w14:textId="10877ADC" w:rsidR="00277DDA" w:rsidRPr="00277DDA" w:rsidRDefault="00FD492E" w:rsidP="00277DDA">
            <w:pPr>
              <w:rPr>
                <w:rFonts w:cs="Calibri"/>
              </w:rPr>
            </w:pPr>
            <w:r>
              <w:rPr>
                <w:rFonts w:cs="Calibri"/>
              </w:rPr>
              <w:t>Not Collected</w:t>
            </w:r>
          </w:p>
        </w:tc>
      </w:tr>
      <w:tr w:rsidR="00277DDA" w:rsidRPr="0070451B" w14:paraId="79365114" w14:textId="77777777" w:rsidTr="00F4703F">
        <w:trPr>
          <w:trHeight w:val="432"/>
        </w:trPr>
        <w:tc>
          <w:tcPr>
            <w:tcW w:w="877" w:type="dxa"/>
            <w:vMerge/>
            <w:shd w:val="clear" w:color="auto" w:fill="auto"/>
            <w:vAlign w:val="center"/>
          </w:tcPr>
          <w:p w14:paraId="2042C9B0" w14:textId="77777777" w:rsidR="00277DDA" w:rsidRPr="00863287" w:rsidRDefault="00277DDA" w:rsidP="00277DDA">
            <w:pPr>
              <w:rPr>
                <w:rFonts w:cs="Calibri"/>
                <w:sz w:val="18"/>
                <w:szCs w:val="18"/>
              </w:rPr>
            </w:pPr>
          </w:p>
        </w:tc>
        <w:tc>
          <w:tcPr>
            <w:tcW w:w="4314" w:type="dxa"/>
            <w:vAlign w:val="center"/>
          </w:tcPr>
          <w:p w14:paraId="3D402E5E" w14:textId="149B4B5E" w:rsidR="00277DDA" w:rsidRPr="008A7204" w:rsidRDefault="00277DDA" w:rsidP="00277DDA">
            <w:pPr>
              <w:pStyle w:val="ListParagraph"/>
              <w:numPr>
                <w:ilvl w:val="0"/>
                <w:numId w:val="31"/>
              </w:numPr>
              <w:spacing w:before="0" w:after="0" w:line="240" w:lineRule="auto"/>
              <w:rPr>
                <w:rFonts w:cs="Calibri"/>
              </w:rPr>
            </w:pPr>
            <w:r>
              <w:t>Participants with a Disability</w:t>
            </w:r>
          </w:p>
        </w:tc>
        <w:tc>
          <w:tcPr>
            <w:tcW w:w="876" w:type="dxa"/>
            <w:shd w:val="clear" w:color="auto" w:fill="auto"/>
            <w:vAlign w:val="bottom"/>
          </w:tcPr>
          <w:p w14:paraId="623FA649" w14:textId="1A869611" w:rsidR="00277DDA" w:rsidRPr="00863287" w:rsidRDefault="00277DDA" w:rsidP="00277DDA">
            <w:pPr>
              <w:rPr>
                <w:rFonts w:cs="Calibri"/>
              </w:rPr>
            </w:pPr>
          </w:p>
        </w:tc>
        <w:tc>
          <w:tcPr>
            <w:tcW w:w="3640" w:type="dxa"/>
            <w:vAlign w:val="bottom"/>
          </w:tcPr>
          <w:p w14:paraId="3EDB2C11" w14:textId="3880FB4D" w:rsidR="00277DDA" w:rsidRPr="00277DDA" w:rsidRDefault="00FD492E" w:rsidP="00277DDA">
            <w:pPr>
              <w:rPr>
                <w:rFonts w:cs="Calibri"/>
              </w:rPr>
            </w:pPr>
            <w:r>
              <w:rPr>
                <w:rFonts w:cs="Calibri"/>
              </w:rPr>
              <w:t>Not Collected</w:t>
            </w:r>
          </w:p>
        </w:tc>
      </w:tr>
      <w:tr w:rsidR="00277DDA" w:rsidRPr="0070451B" w14:paraId="3D20A8DB" w14:textId="77777777" w:rsidTr="00F4703F">
        <w:trPr>
          <w:trHeight w:val="432"/>
        </w:trPr>
        <w:tc>
          <w:tcPr>
            <w:tcW w:w="877" w:type="dxa"/>
            <w:vMerge/>
            <w:shd w:val="clear" w:color="auto" w:fill="auto"/>
            <w:vAlign w:val="center"/>
          </w:tcPr>
          <w:p w14:paraId="33D1625B" w14:textId="77777777" w:rsidR="00277DDA" w:rsidRPr="00863287" w:rsidRDefault="00277DDA" w:rsidP="00277DDA">
            <w:pPr>
              <w:rPr>
                <w:rFonts w:cs="Calibri"/>
                <w:sz w:val="18"/>
                <w:szCs w:val="18"/>
              </w:rPr>
            </w:pPr>
          </w:p>
        </w:tc>
        <w:tc>
          <w:tcPr>
            <w:tcW w:w="4314" w:type="dxa"/>
            <w:vAlign w:val="center"/>
          </w:tcPr>
          <w:p w14:paraId="02B6FABB" w14:textId="760DE4DC" w:rsidR="00277DDA" w:rsidRPr="008A7204" w:rsidRDefault="00277DDA" w:rsidP="00277DDA">
            <w:pPr>
              <w:pStyle w:val="ListParagraph"/>
              <w:numPr>
                <w:ilvl w:val="0"/>
                <w:numId w:val="31"/>
              </w:numPr>
              <w:spacing w:before="0" w:after="0" w:line="240" w:lineRule="auto"/>
              <w:rPr>
                <w:rFonts w:cs="Calibri"/>
              </w:rPr>
            </w:pPr>
            <w:r>
              <w:t>High School Drop-Out</w:t>
            </w:r>
          </w:p>
        </w:tc>
        <w:tc>
          <w:tcPr>
            <w:tcW w:w="876" w:type="dxa"/>
            <w:shd w:val="clear" w:color="auto" w:fill="auto"/>
            <w:vAlign w:val="bottom"/>
          </w:tcPr>
          <w:p w14:paraId="40BD77DA" w14:textId="4F1A0E54" w:rsidR="00277DDA" w:rsidRPr="00863287" w:rsidRDefault="00277DDA" w:rsidP="00277DDA">
            <w:pPr>
              <w:rPr>
                <w:rFonts w:cs="Calibri"/>
              </w:rPr>
            </w:pPr>
          </w:p>
        </w:tc>
        <w:tc>
          <w:tcPr>
            <w:tcW w:w="3640" w:type="dxa"/>
            <w:vAlign w:val="bottom"/>
          </w:tcPr>
          <w:p w14:paraId="3FABCE93" w14:textId="47358759" w:rsidR="00277DDA" w:rsidRPr="00277DDA" w:rsidRDefault="00FD492E" w:rsidP="00277DDA">
            <w:pPr>
              <w:rPr>
                <w:rFonts w:cs="Calibri"/>
              </w:rPr>
            </w:pPr>
            <w:r>
              <w:rPr>
                <w:rFonts w:cs="Calibri"/>
              </w:rPr>
              <w:t>Not Collected</w:t>
            </w:r>
          </w:p>
        </w:tc>
      </w:tr>
      <w:tr w:rsidR="00277DDA" w:rsidRPr="0070451B" w14:paraId="78A8F35D" w14:textId="77777777" w:rsidTr="00F4703F">
        <w:trPr>
          <w:trHeight w:val="432"/>
        </w:trPr>
        <w:tc>
          <w:tcPr>
            <w:tcW w:w="877" w:type="dxa"/>
            <w:vMerge/>
            <w:shd w:val="clear" w:color="auto" w:fill="auto"/>
            <w:vAlign w:val="center"/>
          </w:tcPr>
          <w:p w14:paraId="28FAB007" w14:textId="77777777" w:rsidR="00277DDA" w:rsidRPr="00863287" w:rsidRDefault="00277DDA" w:rsidP="00277DDA">
            <w:pPr>
              <w:rPr>
                <w:rFonts w:cs="Calibri"/>
                <w:sz w:val="18"/>
                <w:szCs w:val="18"/>
              </w:rPr>
            </w:pPr>
          </w:p>
        </w:tc>
        <w:tc>
          <w:tcPr>
            <w:tcW w:w="4314" w:type="dxa"/>
            <w:vAlign w:val="center"/>
          </w:tcPr>
          <w:p w14:paraId="343FC78C" w14:textId="01DF7EBE" w:rsidR="00277DDA" w:rsidRPr="008A7204" w:rsidRDefault="00277DDA" w:rsidP="00277DDA">
            <w:pPr>
              <w:pStyle w:val="ListParagraph"/>
              <w:numPr>
                <w:ilvl w:val="0"/>
                <w:numId w:val="31"/>
              </w:numPr>
              <w:spacing w:before="0" w:after="0" w:line="240" w:lineRule="auto"/>
              <w:rPr>
                <w:rFonts w:cs="Calibri"/>
              </w:rPr>
            </w:pPr>
            <w:r>
              <w:t>Youth or Adult Offender</w:t>
            </w:r>
          </w:p>
        </w:tc>
        <w:tc>
          <w:tcPr>
            <w:tcW w:w="876" w:type="dxa"/>
            <w:shd w:val="clear" w:color="auto" w:fill="auto"/>
            <w:vAlign w:val="bottom"/>
          </w:tcPr>
          <w:p w14:paraId="0DD718E2" w14:textId="04E575AC" w:rsidR="00277DDA" w:rsidRPr="00863287" w:rsidRDefault="00277DDA" w:rsidP="00277DDA">
            <w:pPr>
              <w:rPr>
                <w:rFonts w:cs="Calibri"/>
              </w:rPr>
            </w:pPr>
          </w:p>
        </w:tc>
        <w:tc>
          <w:tcPr>
            <w:tcW w:w="3640" w:type="dxa"/>
            <w:vAlign w:val="bottom"/>
          </w:tcPr>
          <w:p w14:paraId="0FE25379" w14:textId="6B963B05" w:rsidR="00277DDA" w:rsidRPr="00277DDA" w:rsidRDefault="00FD492E" w:rsidP="00277DDA">
            <w:pPr>
              <w:rPr>
                <w:rFonts w:cs="Calibri"/>
              </w:rPr>
            </w:pPr>
            <w:r>
              <w:rPr>
                <w:rFonts w:cs="Calibri"/>
              </w:rPr>
              <w:t>Not Collected</w:t>
            </w:r>
          </w:p>
        </w:tc>
      </w:tr>
      <w:tr w:rsidR="00277DDA" w:rsidRPr="0070451B" w14:paraId="3897DC5E" w14:textId="77777777" w:rsidTr="00F4703F">
        <w:trPr>
          <w:trHeight w:val="432"/>
        </w:trPr>
        <w:tc>
          <w:tcPr>
            <w:tcW w:w="877" w:type="dxa"/>
            <w:vMerge/>
            <w:shd w:val="clear" w:color="auto" w:fill="auto"/>
            <w:vAlign w:val="center"/>
          </w:tcPr>
          <w:p w14:paraId="048D2FA6" w14:textId="77777777" w:rsidR="00277DDA" w:rsidRPr="00863287" w:rsidRDefault="00277DDA" w:rsidP="00277DDA">
            <w:pPr>
              <w:rPr>
                <w:rFonts w:cs="Calibri"/>
                <w:sz w:val="18"/>
                <w:szCs w:val="18"/>
              </w:rPr>
            </w:pPr>
          </w:p>
        </w:tc>
        <w:tc>
          <w:tcPr>
            <w:tcW w:w="4314" w:type="dxa"/>
            <w:vAlign w:val="center"/>
          </w:tcPr>
          <w:p w14:paraId="3769A655" w14:textId="3922A9F9" w:rsidR="00277DDA" w:rsidRPr="008A7204" w:rsidRDefault="00277DDA" w:rsidP="00277DDA">
            <w:pPr>
              <w:pStyle w:val="ListParagraph"/>
              <w:numPr>
                <w:ilvl w:val="0"/>
                <w:numId w:val="31"/>
              </w:numPr>
              <w:spacing w:before="0" w:after="0" w:line="240" w:lineRule="auto"/>
              <w:rPr>
                <w:rFonts w:cs="Calibri"/>
              </w:rPr>
            </w:pPr>
            <w:r>
              <w:t>Pregnant or Parenting Youth</w:t>
            </w:r>
          </w:p>
        </w:tc>
        <w:tc>
          <w:tcPr>
            <w:tcW w:w="876" w:type="dxa"/>
            <w:shd w:val="clear" w:color="auto" w:fill="auto"/>
            <w:vAlign w:val="bottom"/>
          </w:tcPr>
          <w:p w14:paraId="6B1ED91A" w14:textId="397797DC" w:rsidR="00277DDA" w:rsidRPr="00863287" w:rsidRDefault="00277DDA" w:rsidP="00277DDA">
            <w:pPr>
              <w:rPr>
                <w:rFonts w:cs="Calibri"/>
              </w:rPr>
            </w:pPr>
          </w:p>
        </w:tc>
        <w:tc>
          <w:tcPr>
            <w:tcW w:w="3640" w:type="dxa"/>
            <w:vAlign w:val="bottom"/>
          </w:tcPr>
          <w:p w14:paraId="197BAC90" w14:textId="7D6318E9" w:rsidR="00277DDA" w:rsidRPr="00277DDA" w:rsidRDefault="00FD492E" w:rsidP="00277DDA">
            <w:pPr>
              <w:rPr>
                <w:rFonts w:cs="Calibri"/>
              </w:rPr>
            </w:pPr>
            <w:r>
              <w:rPr>
                <w:rFonts w:cs="Calibri"/>
              </w:rPr>
              <w:t>Not Collected</w:t>
            </w:r>
          </w:p>
        </w:tc>
      </w:tr>
      <w:tr w:rsidR="00277DDA" w:rsidRPr="0070451B" w14:paraId="55F64853" w14:textId="77777777" w:rsidTr="00F4703F">
        <w:trPr>
          <w:trHeight w:val="432"/>
        </w:trPr>
        <w:tc>
          <w:tcPr>
            <w:tcW w:w="877" w:type="dxa"/>
            <w:vMerge/>
            <w:shd w:val="clear" w:color="auto" w:fill="auto"/>
            <w:vAlign w:val="center"/>
          </w:tcPr>
          <w:p w14:paraId="34EDC3A3" w14:textId="77777777" w:rsidR="00277DDA" w:rsidRPr="00863287" w:rsidRDefault="00277DDA" w:rsidP="00277DDA">
            <w:pPr>
              <w:rPr>
                <w:rFonts w:cs="Calibri"/>
                <w:sz w:val="18"/>
                <w:szCs w:val="18"/>
              </w:rPr>
            </w:pPr>
          </w:p>
        </w:tc>
        <w:tc>
          <w:tcPr>
            <w:tcW w:w="4314" w:type="dxa"/>
            <w:vAlign w:val="center"/>
          </w:tcPr>
          <w:p w14:paraId="2077149D" w14:textId="311621FD" w:rsidR="00277DDA" w:rsidRPr="008A7204" w:rsidRDefault="00277DDA" w:rsidP="00277DDA">
            <w:pPr>
              <w:pStyle w:val="ListParagraph"/>
              <w:numPr>
                <w:ilvl w:val="0"/>
                <w:numId w:val="31"/>
              </w:numPr>
              <w:spacing w:before="0" w:after="0" w:line="240" w:lineRule="auto"/>
              <w:rPr>
                <w:rFonts w:cs="Calibri"/>
              </w:rPr>
            </w:pPr>
            <w:r>
              <w:t xml:space="preserve"> Basic Skills Deficient</w:t>
            </w:r>
          </w:p>
        </w:tc>
        <w:tc>
          <w:tcPr>
            <w:tcW w:w="876" w:type="dxa"/>
            <w:shd w:val="clear" w:color="auto" w:fill="auto"/>
            <w:vAlign w:val="bottom"/>
          </w:tcPr>
          <w:p w14:paraId="135EA10E" w14:textId="568C70AC" w:rsidR="00277DDA" w:rsidRPr="00863287" w:rsidRDefault="00277DDA" w:rsidP="00277DDA">
            <w:pPr>
              <w:rPr>
                <w:rFonts w:cs="Calibri"/>
              </w:rPr>
            </w:pPr>
          </w:p>
        </w:tc>
        <w:tc>
          <w:tcPr>
            <w:tcW w:w="3640" w:type="dxa"/>
            <w:vAlign w:val="bottom"/>
          </w:tcPr>
          <w:p w14:paraId="30555DA5" w14:textId="5DBFAAA3" w:rsidR="00277DDA" w:rsidRPr="00277DDA" w:rsidRDefault="00FD492E" w:rsidP="00277DDA">
            <w:pPr>
              <w:rPr>
                <w:rFonts w:cs="Calibri"/>
              </w:rPr>
            </w:pPr>
            <w:r>
              <w:rPr>
                <w:rFonts w:cs="Calibri"/>
              </w:rPr>
              <w:t>Not Collected</w:t>
            </w:r>
          </w:p>
        </w:tc>
      </w:tr>
      <w:tr w:rsidR="00277DDA" w:rsidRPr="00773A67" w14:paraId="017560B5" w14:textId="77777777" w:rsidTr="00F4703F">
        <w:trPr>
          <w:trHeight w:val="432"/>
        </w:trPr>
        <w:tc>
          <w:tcPr>
            <w:tcW w:w="877" w:type="dxa"/>
            <w:vMerge/>
            <w:shd w:val="clear" w:color="auto" w:fill="auto"/>
            <w:vAlign w:val="center"/>
          </w:tcPr>
          <w:p w14:paraId="644179A2" w14:textId="77777777" w:rsidR="00277DDA" w:rsidRPr="00863287" w:rsidRDefault="00277DDA" w:rsidP="00277DDA">
            <w:pPr>
              <w:rPr>
                <w:rFonts w:cs="Calibri"/>
                <w:sz w:val="18"/>
                <w:szCs w:val="18"/>
              </w:rPr>
            </w:pPr>
          </w:p>
        </w:tc>
        <w:tc>
          <w:tcPr>
            <w:tcW w:w="4314" w:type="dxa"/>
            <w:vAlign w:val="center"/>
          </w:tcPr>
          <w:p w14:paraId="3EE421C1" w14:textId="587B9C0C" w:rsidR="00277DDA" w:rsidRPr="008A7204" w:rsidRDefault="00277DDA" w:rsidP="00277DDA">
            <w:pPr>
              <w:pStyle w:val="ListParagraph"/>
              <w:numPr>
                <w:ilvl w:val="0"/>
                <w:numId w:val="31"/>
              </w:numPr>
              <w:spacing w:before="0" w:after="0" w:line="240" w:lineRule="auto"/>
              <w:rPr>
                <w:rFonts w:cs="Calibri"/>
              </w:rPr>
            </w:pPr>
            <w:r>
              <w:t xml:space="preserve">Homeless Individual or Runaway Youth </w:t>
            </w:r>
          </w:p>
        </w:tc>
        <w:tc>
          <w:tcPr>
            <w:tcW w:w="876" w:type="dxa"/>
            <w:tcBorders>
              <w:bottom w:val="single" w:sz="4" w:space="0" w:color="auto"/>
            </w:tcBorders>
            <w:shd w:val="clear" w:color="auto" w:fill="auto"/>
            <w:vAlign w:val="bottom"/>
          </w:tcPr>
          <w:p w14:paraId="50EFC427" w14:textId="66E0D14E" w:rsidR="00277DDA" w:rsidRPr="00773A67" w:rsidRDefault="00277DDA" w:rsidP="00277DDA">
            <w:pPr>
              <w:rPr>
                <w:rFonts w:cs="Calibri"/>
              </w:rPr>
            </w:pPr>
          </w:p>
        </w:tc>
        <w:tc>
          <w:tcPr>
            <w:tcW w:w="3640" w:type="dxa"/>
            <w:tcBorders>
              <w:bottom w:val="single" w:sz="4" w:space="0" w:color="auto"/>
            </w:tcBorders>
            <w:vAlign w:val="bottom"/>
          </w:tcPr>
          <w:p w14:paraId="1944DA3F" w14:textId="1D022322" w:rsidR="00277DDA" w:rsidRPr="00277DDA" w:rsidRDefault="00FD492E" w:rsidP="00277DDA">
            <w:pPr>
              <w:rPr>
                <w:rFonts w:cs="Calibri"/>
              </w:rPr>
            </w:pPr>
            <w:r>
              <w:rPr>
                <w:rFonts w:cs="Calibri"/>
              </w:rPr>
              <w:t>Not Collected</w:t>
            </w:r>
          </w:p>
        </w:tc>
      </w:tr>
      <w:tr w:rsidR="00277DDA" w:rsidRPr="00773A67" w14:paraId="58F65479" w14:textId="77777777" w:rsidTr="00F4703F">
        <w:trPr>
          <w:trHeight w:val="432"/>
        </w:trPr>
        <w:tc>
          <w:tcPr>
            <w:tcW w:w="877" w:type="dxa"/>
            <w:vMerge/>
            <w:shd w:val="clear" w:color="auto" w:fill="auto"/>
            <w:vAlign w:val="center"/>
          </w:tcPr>
          <w:p w14:paraId="0F0BAD9D" w14:textId="77777777" w:rsidR="00277DDA" w:rsidRPr="00863287" w:rsidRDefault="00277DDA" w:rsidP="00277DDA">
            <w:pPr>
              <w:rPr>
                <w:rFonts w:cs="Calibri"/>
                <w:sz w:val="18"/>
                <w:szCs w:val="18"/>
              </w:rPr>
            </w:pPr>
          </w:p>
        </w:tc>
        <w:tc>
          <w:tcPr>
            <w:tcW w:w="4314" w:type="dxa"/>
            <w:vAlign w:val="center"/>
          </w:tcPr>
          <w:p w14:paraId="4E1019CE" w14:textId="4E4211B0" w:rsidR="00277DDA" w:rsidRPr="008A7204" w:rsidRDefault="00277DDA" w:rsidP="00277DDA">
            <w:pPr>
              <w:pStyle w:val="ListParagraph"/>
              <w:numPr>
                <w:ilvl w:val="0"/>
                <w:numId w:val="31"/>
              </w:numPr>
              <w:spacing w:before="0" w:after="0" w:line="240" w:lineRule="auto"/>
              <w:rPr>
                <w:rFonts w:cs="Calibri"/>
              </w:rPr>
            </w:pPr>
            <w:r>
              <w:t xml:space="preserve"> Not Employed at Program Enrollment</w:t>
            </w:r>
          </w:p>
        </w:tc>
        <w:tc>
          <w:tcPr>
            <w:tcW w:w="876" w:type="dxa"/>
            <w:tcBorders>
              <w:bottom w:val="single" w:sz="4" w:space="0" w:color="auto"/>
            </w:tcBorders>
            <w:shd w:val="clear" w:color="auto" w:fill="auto"/>
            <w:vAlign w:val="bottom"/>
          </w:tcPr>
          <w:p w14:paraId="5ABADAE6" w14:textId="4A80E608" w:rsidR="00277DDA" w:rsidRPr="00773A67" w:rsidRDefault="00277DDA" w:rsidP="00277DDA">
            <w:pPr>
              <w:rPr>
                <w:rFonts w:cs="Calibri"/>
              </w:rPr>
            </w:pPr>
          </w:p>
        </w:tc>
        <w:tc>
          <w:tcPr>
            <w:tcW w:w="3640" w:type="dxa"/>
            <w:tcBorders>
              <w:bottom w:val="single" w:sz="4" w:space="0" w:color="auto"/>
            </w:tcBorders>
            <w:vAlign w:val="bottom"/>
          </w:tcPr>
          <w:p w14:paraId="4D6C90A8" w14:textId="760A82C0" w:rsidR="00277DDA" w:rsidRPr="00277DDA" w:rsidRDefault="00FD492E" w:rsidP="00277DDA">
            <w:pPr>
              <w:rPr>
                <w:rFonts w:cs="Calibri"/>
              </w:rPr>
            </w:pPr>
            <w:r>
              <w:rPr>
                <w:rFonts w:cs="Calibri"/>
              </w:rPr>
              <w:t>Not Collected</w:t>
            </w:r>
          </w:p>
        </w:tc>
      </w:tr>
      <w:tr w:rsidR="00277DDA" w:rsidRPr="00773A67" w14:paraId="0E0B31A2" w14:textId="77777777" w:rsidTr="00F4703F">
        <w:trPr>
          <w:trHeight w:val="432"/>
        </w:trPr>
        <w:tc>
          <w:tcPr>
            <w:tcW w:w="877" w:type="dxa"/>
            <w:vMerge/>
            <w:shd w:val="clear" w:color="auto" w:fill="auto"/>
            <w:vAlign w:val="center"/>
          </w:tcPr>
          <w:p w14:paraId="7BDBC9F1" w14:textId="77777777" w:rsidR="00277DDA" w:rsidRPr="00863287" w:rsidRDefault="00277DDA" w:rsidP="00277DDA">
            <w:pPr>
              <w:rPr>
                <w:rFonts w:cs="Calibri"/>
                <w:sz w:val="18"/>
                <w:szCs w:val="18"/>
              </w:rPr>
            </w:pPr>
          </w:p>
        </w:tc>
        <w:tc>
          <w:tcPr>
            <w:tcW w:w="4314" w:type="dxa"/>
            <w:vAlign w:val="center"/>
          </w:tcPr>
          <w:p w14:paraId="39DF09CD" w14:textId="07BEA942" w:rsidR="00277DDA" w:rsidRDefault="00277DDA" w:rsidP="00277DDA">
            <w:pPr>
              <w:pStyle w:val="ListParagraph"/>
              <w:numPr>
                <w:ilvl w:val="0"/>
                <w:numId w:val="31"/>
              </w:numPr>
              <w:spacing w:before="0" w:after="0" w:line="240" w:lineRule="auto"/>
            </w:pPr>
            <w:r>
              <w:t>Veteran</w:t>
            </w:r>
          </w:p>
        </w:tc>
        <w:tc>
          <w:tcPr>
            <w:tcW w:w="876" w:type="dxa"/>
            <w:tcBorders>
              <w:bottom w:val="single" w:sz="4" w:space="0" w:color="auto"/>
            </w:tcBorders>
            <w:shd w:val="clear" w:color="auto" w:fill="auto"/>
            <w:vAlign w:val="bottom"/>
          </w:tcPr>
          <w:p w14:paraId="3C87E300" w14:textId="49955178" w:rsidR="00277DDA" w:rsidRDefault="00277DDA" w:rsidP="00277DDA">
            <w:pPr>
              <w:rPr>
                <w:rFonts w:cs="Calibri"/>
              </w:rPr>
            </w:pPr>
          </w:p>
        </w:tc>
        <w:tc>
          <w:tcPr>
            <w:tcW w:w="3640" w:type="dxa"/>
            <w:tcBorders>
              <w:bottom w:val="single" w:sz="4" w:space="0" w:color="auto"/>
            </w:tcBorders>
            <w:vAlign w:val="bottom"/>
          </w:tcPr>
          <w:p w14:paraId="441C558F" w14:textId="0C46F0D2" w:rsidR="00277DDA" w:rsidRPr="00277DDA" w:rsidRDefault="00FD492E" w:rsidP="00277DDA">
            <w:pPr>
              <w:rPr>
                <w:rFonts w:cs="Calibri"/>
              </w:rPr>
            </w:pPr>
            <w:r>
              <w:rPr>
                <w:rFonts w:cs="Calibri"/>
              </w:rPr>
              <w:t>Not Collected</w:t>
            </w:r>
          </w:p>
        </w:tc>
      </w:tr>
      <w:tr w:rsidR="00277DDA" w:rsidRPr="00773A67" w14:paraId="69CB7331" w14:textId="77777777" w:rsidTr="00F4703F">
        <w:trPr>
          <w:trHeight w:val="432"/>
        </w:trPr>
        <w:tc>
          <w:tcPr>
            <w:tcW w:w="877" w:type="dxa"/>
            <w:vMerge/>
            <w:shd w:val="clear" w:color="auto" w:fill="auto"/>
            <w:vAlign w:val="center"/>
          </w:tcPr>
          <w:p w14:paraId="30A7D989" w14:textId="77777777" w:rsidR="00277DDA" w:rsidRPr="00863287" w:rsidRDefault="00277DDA" w:rsidP="00277DDA">
            <w:pPr>
              <w:rPr>
                <w:rFonts w:cs="Calibri"/>
                <w:sz w:val="18"/>
                <w:szCs w:val="18"/>
              </w:rPr>
            </w:pPr>
          </w:p>
        </w:tc>
        <w:tc>
          <w:tcPr>
            <w:tcW w:w="4314" w:type="dxa"/>
            <w:vAlign w:val="center"/>
          </w:tcPr>
          <w:p w14:paraId="32511B69" w14:textId="677F90D1" w:rsidR="00277DDA" w:rsidRDefault="00277DDA" w:rsidP="00277DDA">
            <w:pPr>
              <w:pStyle w:val="ListParagraph"/>
              <w:numPr>
                <w:ilvl w:val="0"/>
                <w:numId w:val="31"/>
              </w:numPr>
              <w:spacing w:before="0" w:after="0" w:line="240" w:lineRule="auto"/>
            </w:pPr>
            <w:r>
              <w:t xml:space="preserve">Economically Disadvantaged </w:t>
            </w:r>
          </w:p>
        </w:tc>
        <w:tc>
          <w:tcPr>
            <w:tcW w:w="876" w:type="dxa"/>
            <w:tcBorders>
              <w:bottom w:val="single" w:sz="4" w:space="0" w:color="auto"/>
            </w:tcBorders>
            <w:shd w:val="clear" w:color="auto" w:fill="auto"/>
            <w:vAlign w:val="bottom"/>
          </w:tcPr>
          <w:p w14:paraId="6C955F49" w14:textId="7D2614E7" w:rsidR="00277DDA" w:rsidRDefault="00277DDA" w:rsidP="00277DDA">
            <w:pPr>
              <w:rPr>
                <w:rFonts w:cs="Calibri"/>
              </w:rPr>
            </w:pPr>
          </w:p>
        </w:tc>
        <w:tc>
          <w:tcPr>
            <w:tcW w:w="3640" w:type="dxa"/>
            <w:tcBorders>
              <w:bottom w:val="single" w:sz="4" w:space="0" w:color="auto"/>
            </w:tcBorders>
            <w:vAlign w:val="bottom"/>
          </w:tcPr>
          <w:p w14:paraId="3975730C" w14:textId="18915F84" w:rsidR="00277DDA" w:rsidRPr="00277DDA" w:rsidRDefault="00FD492E" w:rsidP="00277DDA">
            <w:pPr>
              <w:rPr>
                <w:rFonts w:cs="Calibri"/>
              </w:rPr>
            </w:pPr>
            <w:r>
              <w:rPr>
                <w:rFonts w:cs="Calibri"/>
              </w:rPr>
              <w:t>Not Collected</w:t>
            </w:r>
          </w:p>
        </w:tc>
      </w:tr>
      <w:tr w:rsidR="00161927" w:rsidRPr="00503C05" w14:paraId="2B1E1F8B" w14:textId="77777777" w:rsidTr="00805D76">
        <w:trPr>
          <w:trHeight w:val="432"/>
        </w:trPr>
        <w:tc>
          <w:tcPr>
            <w:tcW w:w="9707" w:type="dxa"/>
            <w:gridSpan w:val="4"/>
            <w:shd w:val="clear" w:color="auto" w:fill="E6E6E6"/>
            <w:vAlign w:val="center"/>
          </w:tcPr>
          <w:p w14:paraId="6FF52876" w14:textId="547B89E4" w:rsidR="00161927" w:rsidRPr="00863287" w:rsidRDefault="00161927" w:rsidP="00ED6EB7">
            <w:pPr>
              <w:rPr>
                <w:rFonts w:cs="Calibri"/>
              </w:rPr>
            </w:pPr>
            <w:r w:rsidRPr="00863287">
              <w:rPr>
                <w:rFonts w:cs="Calibri"/>
              </w:rPr>
              <w:br w:type="page"/>
            </w:r>
            <w:r w:rsidRPr="00863287">
              <w:rPr>
                <w:rFonts w:cs="Calibri"/>
                <w:b/>
              </w:rPr>
              <w:t xml:space="preserve">PROGRAM SERVICES, ACTIVITIES, AND OTHER RELATED ASSISTANCE FOR INDIVIDUAL SERVICES - </w:t>
            </w:r>
            <w:r w:rsidRPr="00863287">
              <w:rPr>
                <w:rFonts w:cs="Calibri"/>
              </w:rPr>
              <w:t>(Cumulative for the SFY)</w:t>
            </w:r>
          </w:p>
        </w:tc>
      </w:tr>
      <w:tr w:rsidR="00277DDA" w:rsidRPr="0070451B" w14:paraId="796BA8BA" w14:textId="77777777" w:rsidTr="00F4703F">
        <w:trPr>
          <w:trHeight w:val="432"/>
        </w:trPr>
        <w:tc>
          <w:tcPr>
            <w:tcW w:w="5191" w:type="dxa"/>
            <w:gridSpan w:val="2"/>
            <w:shd w:val="clear" w:color="auto" w:fill="auto"/>
            <w:vAlign w:val="center"/>
          </w:tcPr>
          <w:p w14:paraId="3DACE7E5" w14:textId="77777777" w:rsidR="00277DDA" w:rsidRPr="00863287" w:rsidRDefault="00277DDA" w:rsidP="00277DDA">
            <w:pPr>
              <w:numPr>
                <w:ilvl w:val="0"/>
                <w:numId w:val="28"/>
              </w:numPr>
              <w:spacing w:before="0" w:after="0" w:line="240" w:lineRule="auto"/>
              <w:rPr>
                <w:rFonts w:cs="Calibri"/>
              </w:rPr>
            </w:pPr>
            <w:r w:rsidRPr="00863287">
              <w:rPr>
                <w:rFonts w:cs="Calibri"/>
              </w:rPr>
              <w:t xml:space="preserve">Received Education, Employment Preparation, or Work Readiness/Job Training Activities (Includes Training in ABE/Remedial, Basic Skills, </w:t>
            </w:r>
            <w:r w:rsidRPr="00863287">
              <w:rPr>
                <w:rFonts w:cs="Calibri"/>
              </w:rPr>
              <w:lastRenderedPageBreak/>
              <w:t xml:space="preserve">Classroom, Labor Market Info, Life Skills, and Occupational Skills) </w:t>
            </w:r>
          </w:p>
        </w:tc>
        <w:tc>
          <w:tcPr>
            <w:tcW w:w="876" w:type="dxa"/>
            <w:shd w:val="clear" w:color="auto" w:fill="auto"/>
            <w:vAlign w:val="bottom"/>
          </w:tcPr>
          <w:p w14:paraId="2D491236" w14:textId="59561591" w:rsidR="00277DDA" w:rsidRPr="00863287" w:rsidRDefault="00277DDA" w:rsidP="00277DDA">
            <w:pPr>
              <w:rPr>
                <w:rFonts w:cs="Calibri"/>
              </w:rPr>
            </w:pPr>
          </w:p>
        </w:tc>
        <w:tc>
          <w:tcPr>
            <w:tcW w:w="3640" w:type="dxa"/>
            <w:vAlign w:val="bottom"/>
          </w:tcPr>
          <w:p w14:paraId="674C692C" w14:textId="5828D091" w:rsidR="00277DDA" w:rsidRPr="00863287" w:rsidRDefault="00FD492E" w:rsidP="00277DDA">
            <w:pPr>
              <w:rPr>
                <w:rFonts w:cs="Calibri"/>
              </w:rPr>
            </w:pPr>
            <w:r>
              <w:rPr>
                <w:rFonts w:cs="Calibri"/>
              </w:rPr>
              <w:t>995</w:t>
            </w:r>
          </w:p>
        </w:tc>
      </w:tr>
      <w:tr w:rsidR="00277DDA" w:rsidRPr="0070451B" w14:paraId="3528D10B" w14:textId="77777777" w:rsidTr="00F4703F">
        <w:trPr>
          <w:trHeight w:val="432"/>
        </w:trPr>
        <w:tc>
          <w:tcPr>
            <w:tcW w:w="5191" w:type="dxa"/>
            <w:gridSpan w:val="2"/>
            <w:shd w:val="clear" w:color="auto" w:fill="auto"/>
            <w:vAlign w:val="center"/>
          </w:tcPr>
          <w:p w14:paraId="3234EF6B" w14:textId="77777777" w:rsidR="00277DDA" w:rsidRPr="00863287" w:rsidRDefault="00277DDA" w:rsidP="00277DDA">
            <w:pPr>
              <w:numPr>
                <w:ilvl w:val="0"/>
                <w:numId w:val="28"/>
              </w:numPr>
              <w:spacing w:before="0" w:after="0" w:line="240" w:lineRule="auto"/>
              <w:rPr>
                <w:rFonts w:cs="Calibri"/>
              </w:rPr>
            </w:pPr>
            <w:r w:rsidRPr="00863287">
              <w:rPr>
                <w:rFonts w:cs="Calibri"/>
              </w:rPr>
              <w:t>Received Work Experience, Internship, or Apprenticeship Activities</w:t>
            </w:r>
          </w:p>
        </w:tc>
        <w:tc>
          <w:tcPr>
            <w:tcW w:w="876" w:type="dxa"/>
            <w:shd w:val="clear" w:color="auto" w:fill="auto"/>
            <w:vAlign w:val="bottom"/>
          </w:tcPr>
          <w:p w14:paraId="33D19B7C" w14:textId="75108283" w:rsidR="00277DDA" w:rsidRPr="00863287" w:rsidRDefault="00277DDA" w:rsidP="00277DDA">
            <w:pPr>
              <w:rPr>
                <w:rFonts w:cs="Calibri"/>
              </w:rPr>
            </w:pPr>
          </w:p>
        </w:tc>
        <w:tc>
          <w:tcPr>
            <w:tcW w:w="3640" w:type="dxa"/>
            <w:vAlign w:val="bottom"/>
          </w:tcPr>
          <w:p w14:paraId="0B46C60E" w14:textId="1375C61D" w:rsidR="00277DDA" w:rsidRPr="00863287" w:rsidRDefault="00FD492E" w:rsidP="00277DDA">
            <w:pPr>
              <w:rPr>
                <w:rFonts w:cs="Calibri"/>
              </w:rPr>
            </w:pPr>
            <w:r>
              <w:rPr>
                <w:rFonts w:cs="Calibri"/>
              </w:rPr>
              <w:t>995</w:t>
            </w:r>
          </w:p>
        </w:tc>
      </w:tr>
      <w:tr w:rsidR="00277DDA" w:rsidRPr="0070451B" w14:paraId="4823D0D4" w14:textId="77777777" w:rsidTr="00F4703F">
        <w:trPr>
          <w:trHeight w:val="432"/>
        </w:trPr>
        <w:tc>
          <w:tcPr>
            <w:tcW w:w="5191" w:type="dxa"/>
            <w:gridSpan w:val="2"/>
            <w:shd w:val="clear" w:color="auto" w:fill="auto"/>
            <w:vAlign w:val="center"/>
          </w:tcPr>
          <w:p w14:paraId="79E8512F" w14:textId="77777777" w:rsidR="00277DDA" w:rsidRPr="00863287" w:rsidRDefault="00277DDA" w:rsidP="00277DDA">
            <w:pPr>
              <w:numPr>
                <w:ilvl w:val="0"/>
                <w:numId w:val="28"/>
              </w:numPr>
              <w:spacing w:before="0" w:after="0" w:line="240" w:lineRule="auto"/>
              <w:rPr>
                <w:rFonts w:cs="Calibri"/>
              </w:rPr>
            </w:pPr>
            <w:r w:rsidRPr="00863287">
              <w:rPr>
                <w:rFonts w:cs="Calibri"/>
              </w:rPr>
              <w:t>Received Community Involvement and Leadership Development Activities</w:t>
            </w:r>
          </w:p>
        </w:tc>
        <w:tc>
          <w:tcPr>
            <w:tcW w:w="876" w:type="dxa"/>
            <w:shd w:val="clear" w:color="auto" w:fill="auto"/>
            <w:vAlign w:val="bottom"/>
          </w:tcPr>
          <w:p w14:paraId="607F6F22" w14:textId="63384ACF" w:rsidR="00277DDA" w:rsidRPr="00863287" w:rsidRDefault="00277DDA" w:rsidP="00277DDA">
            <w:pPr>
              <w:rPr>
                <w:rFonts w:cs="Calibri"/>
              </w:rPr>
            </w:pPr>
          </w:p>
        </w:tc>
        <w:tc>
          <w:tcPr>
            <w:tcW w:w="3640" w:type="dxa"/>
            <w:vAlign w:val="bottom"/>
          </w:tcPr>
          <w:p w14:paraId="13D75D52" w14:textId="283DF6A4" w:rsidR="00277DDA" w:rsidRPr="00863287" w:rsidRDefault="00FD492E" w:rsidP="00277DDA">
            <w:pPr>
              <w:rPr>
                <w:rFonts w:cs="Calibri"/>
              </w:rPr>
            </w:pPr>
            <w:r>
              <w:rPr>
                <w:rFonts w:cs="Calibri"/>
              </w:rPr>
              <w:t>Not Collected</w:t>
            </w:r>
          </w:p>
        </w:tc>
      </w:tr>
      <w:tr w:rsidR="00277DDA" w:rsidRPr="0070451B" w14:paraId="5B65273E" w14:textId="77777777" w:rsidTr="00F4703F">
        <w:trPr>
          <w:trHeight w:val="432"/>
        </w:trPr>
        <w:tc>
          <w:tcPr>
            <w:tcW w:w="5191" w:type="dxa"/>
            <w:gridSpan w:val="2"/>
            <w:shd w:val="clear" w:color="auto" w:fill="auto"/>
            <w:vAlign w:val="center"/>
          </w:tcPr>
          <w:p w14:paraId="210F3E24" w14:textId="77777777" w:rsidR="00277DDA" w:rsidRPr="00863287" w:rsidRDefault="00277DDA" w:rsidP="00277DDA">
            <w:pPr>
              <w:numPr>
                <w:ilvl w:val="0"/>
                <w:numId w:val="28"/>
              </w:numPr>
              <w:spacing w:before="0" w:after="0" w:line="240" w:lineRule="auto"/>
              <w:rPr>
                <w:rFonts w:cs="Calibri"/>
              </w:rPr>
            </w:pPr>
            <w:r w:rsidRPr="00863287">
              <w:rPr>
                <w:rFonts w:cs="Calibri"/>
              </w:rPr>
              <w:t>Received Post-Secondary Exploration, Career Guidance and Planning Activities</w:t>
            </w:r>
          </w:p>
        </w:tc>
        <w:tc>
          <w:tcPr>
            <w:tcW w:w="876" w:type="dxa"/>
            <w:shd w:val="clear" w:color="auto" w:fill="auto"/>
            <w:vAlign w:val="bottom"/>
          </w:tcPr>
          <w:p w14:paraId="60CFBED9" w14:textId="2A427EEB" w:rsidR="00277DDA" w:rsidRPr="00863287" w:rsidRDefault="00277DDA" w:rsidP="00277DDA">
            <w:pPr>
              <w:rPr>
                <w:rFonts w:cs="Calibri"/>
              </w:rPr>
            </w:pPr>
          </w:p>
        </w:tc>
        <w:tc>
          <w:tcPr>
            <w:tcW w:w="3640" w:type="dxa"/>
            <w:vAlign w:val="bottom"/>
          </w:tcPr>
          <w:p w14:paraId="1CD96785" w14:textId="6C2BBC94" w:rsidR="00277DDA" w:rsidRPr="00863287" w:rsidRDefault="00FD492E" w:rsidP="00277DDA">
            <w:pPr>
              <w:rPr>
                <w:rFonts w:cs="Calibri"/>
              </w:rPr>
            </w:pPr>
            <w:r>
              <w:rPr>
                <w:rFonts w:cs="Calibri"/>
              </w:rPr>
              <w:t>Not Collected</w:t>
            </w:r>
          </w:p>
        </w:tc>
      </w:tr>
      <w:tr w:rsidR="00277DDA" w:rsidRPr="0070451B" w14:paraId="10A266B0" w14:textId="77777777" w:rsidTr="00F4703F">
        <w:trPr>
          <w:trHeight w:val="432"/>
        </w:trPr>
        <w:tc>
          <w:tcPr>
            <w:tcW w:w="5191" w:type="dxa"/>
            <w:gridSpan w:val="2"/>
            <w:shd w:val="clear" w:color="auto" w:fill="auto"/>
            <w:vAlign w:val="center"/>
          </w:tcPr>
          <w:p w14:paraId="529F4BC4" w14:textId="77777777" w:rsidR="00277DDA" w:rsidRPr="00863287" w:rsidRDefault="00277DDA" w:rsidP="00277DDA">
            <w:pPr>
              <w:numPr>
                <w:ilvl w:val="0"/>
                <w:numId w:val="28"/>
              </w:numPr>
              <w:spacing w:before="0" w:after="0" w:line="240" w:lineRule="auto"/>
              <w:rPr>
                <w:rFonts w:cs="Calibri"/>
              </w:rPr>
            </w:pPr>
            <w:r w:rsidRPr="00863287">
              <w:rPr>
                <w:rFonts w:cs="Calibri"/>
              </w:rPr>
              <w:t>Received Mentoring Activities</w:t>
            </w:r>
          </w:p>
        </w:tc>
        <w:tc>
          <w:tcPr>
            <w:tcW w:w="876" w:type="dxa"/>
            <w:shd w:val="clear" w:color="auto" w:fill="auto"/>
            <w:vAlign w:val="bottom"/>
          </w:tcPr>
          <w:p w14:paraId="442A7AAA" w14:textId="60BA246D" w:rsidR="00277DDA" w:rsidRPr="00863287" w:rsidRDefault="00277DDA" w:rsidP="00277DDA">
            <w:pPr>
              <w:rPr>
                <w:rFonts w:cs="Calibri"/>
              </w:rPr>
            </w:pPr>
          </w:p>
        </w:tc>
        <w:tc>
          <w:tcPr>
            <w:tcW w:w="3640" w:type="dxa"/>
            <w:vAlign w:val="bottom"/>
          </w:tcPr>
          <w:p w14:paraId="2CB0AB25" w14:textId="64EE7326" w:rsidR="00277DDA" w:rsidRPr="00863287" w:rsidRDefault="00FD492E" w:rsidP="00277DDA">
            <w:pPr>
              <w:rPr>
                <w:rFonts w:cs="Calibri"/>
              </w:rPr>
            </w:pPr>
            <w:r>
              <w:rPr>
                <w:rFonts w:cs="Calibri"/>
              </w:rPr>
              <w:t>Not Collected</w:t>
            </w:r>
          </w:p>
        </w:tc>
      </w:tr>
      <w:tr w:rsidR="00277DDA" w:rsidRPr="0070451B" w14:paraId="4B0EF6BA" w14:textId="77777777" w:rsidTr="00F4703F">
        <w:trPr>
          <w:trHeight w:val="432"/>
        </w:trPr>
        <w:tc>
          <w:tcPr>
            <w:tcW w:w="5191" w:type="dxa"/>
            <w:gridSpan w:val="2"/>
            <w:tcBorders>
              <w:bottom w:val="single" w:sz="4" w:space="0" w:color="auto"/>
            </w:tcBorders>
            <w:shd w:val="clear" w:color="auto" w:fill="auto"/>
            <w:vAlign w:val="center"/>
          </w:tcPr>
          <w:p w14:paraId="414A22E9" w14:textId="77777777" w:rsidR="00277DDA" w:rsidRPr="00863287" w:rsidRDefault="00277DDA" w:rsidP="00277DDA">
            <w:pPr>
              <w:numPr>
                <w:ilvl w:val="0"/>
                <w:numId w:val="28"/>
              </w:numPr>
              <w:spacing w:before="0" w:after="0" w:line="240" w:lineRule="auto"/>
              <w:rPr>
                <w:rFonts w:cs="Calibri"/>
              </w:rPr>
            </w:pPr>
            <w:r w:rsidRPr="00863287">
              <w:rPr>
                <w:rFonts w:cs="Calibri"/>
              </w:rPr>
              <w:t>Received Support Services</w:t>
            </w:r>
          </w:p>
        </w:tc>
        <w:tc>
          <w:tcPr>
            <w:tcW w:w="876" w:type="dxa"/>
            <w:tcBorders>
              <w:bottom w:val="single" w:sz="4" w:space="0" w:color="auto"/>
            </w:tcBorders>
            <w:shd w:val="clear" w:color="auto" w:fill="auto"/>
            <w:vAlign w:val="bottom"/>
          </w:tcPr>
          <w:p w14:paraId="542A2E98" w14:textId="04F30B49" w:rsidR="00277DDA" w:rsidRPr="00863287" w:rsidRDefault="00277DDA" w:rsidP="00277DDA">
            <w:pPr>
              <w:rPr>
                <w:rFonts w:cs="Calibri"/>
              </w:rPr>
            </w:pPr>
          </w:p>
        </w:tc>
        <w:tc>
          <w:tcPr>
            <w:tcW w:w="3640" w:type="dxa"/>
            <w:vAlign w:val="bottom"/>
          </w:tcPr>
          <w:p w14:paraId="714A50E9" w14:textId="3E913EBF" w:rsidR="00277DDA" w:rsidRPr="00863287" w:rsidRDefault="00FD492E" w:rsidP="00277DDA">
            <w:pPr>
              <w:rPr>
                <w:rFonts w:cs="Calibri"/>
              </w:rPr>
            </w:pPr>
            <w:r>
              <w:rPr>
                <w:rFonts w:cs="Calibri"/>
              </w:rPr>
              <w:t>Not Collected</w:t>
            </w:r>
          </w:p>
        </w:tc>
      </w:tr>
      <w:tr w:rsidR="00277DDA" w:rsidRPr="0070451B" w14:paraId="0041FDB1" w14:textId="77777777" w:rsidTr="00F4703F">
        <w:trPr>
          <w:trHeight w:val="432"/>
        </w:trPr>
        <w:tc>
          <w:tcPr>
            <w:tcW w:w="5191" w:type="dxa"/>
            <w:gridSpan w:val="2"/>
            <w:tcBorders>
              <w:bottom w:val="single" w:sz="4" w:space="0" w:color="auto"/>
            </w:tcBorders>
            <w:shd w:val="clear" w:color="auto" w:fill="auto"/>
            <w:vAlign w:val="center"/>
          </w:tcPr>
          <w:p w14:paraId="1006B5C3" w14:textId="53E70336" w:rsidR="00277DDA" w:rsidRPr="00863287" w:rsidRDefault="00277DDA" w:rsidP="00277DDA">
            <w:pPr>
              <w:numPr>
                <w:ilvl w:val="0"/>
                <w:numId w:val="28"/>
              </w:numPr>
              <w:spacing w:before="0" w:after="0" w:line="240" w:lineRule="auto"/>
              <w:rPr>
                <w:rFonts w:cs="Calibri"/>
              </w:rPr>
            </w:pPr>
            <w:r>
              <w:rPr>
                <w:rFonts w:cs="Calibri"/>
              </w:rPr>
              <w:t>Received Financial Literacy Education</w:t>
            </w:r>
          </w:p>
        </w:tc>
        <w:tc>
          <w:tcPr>
            <w:tcW w:w="876" w:type="dxa"/>
            <w:tcBorders>
              <w:bottom w:val="single" w:sz="4" w:space="0" w:color="auto"/>
            </w:tcBorders>
            <w:shd w:val="clear" w:color="auto" w:fill="auto"/>
            <w:vAlign w:val="bottom"/>
          </w:tcPr>
          <w:p w14:paraId="6C77A9CB" w14:textId="7B94C650" w:rsidR="00277DDA" w:rsidRDefault="00277DDA" w:rsidP="00277DDA">
            <w:pPr>
              <w:rPr>
                <w:rFonts w:cs="Calibri"/>
              </w:rPr>
            </w:pPr>
          </w:p>
        </w:tc>
        <w:tc>
          <w:tcPr>
            <w:tcW w:w="3640" w:type="dxa"/>
            <w:vAlign w:val="bottom"/>
          </w:tcPr>
          <w:p w14:paraId="45B9B42D" w14:textId="652109CA" w:rsidR="00277DDA" w:rsidRPr="00863287" w:rsidRDefault="00FD492E" w:rsidP="00277DDA">
            <w:pPr>
              <w:rPr>
                <w:rFonts w:cs="Calibri"/>
              </w:rPr>
            </w:pPr>
            <w:r>
              <w:rPr>
                <w:rFonts w:cs="Calibri"/>
              </w:rPr>
              <w:t>Not Collected</w:t>
            </w:r>
          </w:p>
        </w:tc>
      </w:tr>
      <w:tr w:rsidR="00161927" w:rsidRPr="00503C05" w14:paraId="218E2391" w14:textId="77777777" w:rsidTr="0045044C">
        <w:trPr>
          <w:trHeight w:val="432"/>
        </w:trPr>
        <w:tc>
          <w:tcPr>
            <w:tcW w:w="9707" w:type="dxa"/>
            <w:gridSpan w:val="4"/>
            <w:shd w:val="clear" w:color="auto" w:fill="E6E6E6"/>
            <w:vAlign w:val="center"/>
          </w:tcPr>
          <w:p w14:paraId="38E76EB0" w14:textId="6B3DA670" w:rsidR="00161927" w:rsidRPr="00863287" w:rsidRDefault="00161927" w:rsidP="00ED6EB7">
            <w:pPr>
              <w:rPr>
                <w:rFonts w:cs="Calibri"/>
                <w:b/>
              </w:rPr>
            </w:pPr>
            <w:r w:rsidRPr="00863287">
              <w:rPr>
                <w:rFonts w:cs="Calibri"/>
                <w:b/>
              </w:rPr>
              <w:t xml:space="preserve">INDICATORS OF PERFORMANCE FOR INDIVIDUAL SERVICES - </w:t>
            </w:r>
            <w:r w:rsidRPr="00863287">
              <w:rPr>
                <w:rFonts w:cs="Calibri"/>
              </w:rPr>
              <w:t>(Cumulative for the SFY)</w:t>
            </w:r>
          </w:p>
        </w:tc>
      </w:tr>
      <w:tr w:rsidR="00277DDA" w:rsidRPr="0070451B" w14:paraId="06994018" w14:textId="77777777" w:rsidTr="00F4703F">
        <w:trPr>
          <w:trHeight w:val="432"/>
        </w:trPr>
        <w:tc>
          <w:tcPr>
            <w:tcW w:w="5191" w:type="dxa"/>
            <w:gridSpan w:val="2"/>
            <w:shd w:val="clear" w:color="auto" w:fill="auto"/>
            <w:vAlign w:val="center"/>
          </w:tcPr>
          <w:p w14:paraId="64F72C0B" w14:textId="4CB908A3" w:rsidR="00277DDA" w:rsidRPr="00863287" w:rsidRDefault="00277DDA" w:rsidP="00277DDA">
            <w:pPr>
              <w:numPr>
                <w:ilvl w:val="0"/>
                <w:numId w:val="29"/>
              </w:numPr>
              <w:spacing w:before="0" w:after="0" w:line="240" w:lineRule="auto"/>
              <w:rPr>
                <w:rFonts w:cs="Calibri"/>
              </w:rPr>
            </w:pPr>
            <w:r w:rsidRPr="00863287">
              <w:rPr>
                <w:rFonts w:cs="Calibri"/>
              </w:rPr>
              <w:t>Attained Work Readiness Goals</w:t>
            </w:r>
          </w:p>
        </w:tc>
        <w:tc>
          <w:tcPr>
            <w:tcW w:w="876" w:type="dxa"/>
            <w:vAlign w:val="bottom"/>
          </w:tcPr>
          <w:p w14:paraId="79618EF0" w14:textId="428DCC3E" w:rsidR="00277DDA" w:rsidRPr="00277DDA" w:rsidRDefault="00277DDA" w:rsidP="00277DDA">
            <w:pPr>
              <w:rPr>
                <w:rFonts w:cs="Calibri"/>
              </w:rPr>
            </w:pPr>
          </w:p>
        </w:tc>
        <w:tc>
          <w:tcPr>
            <w:tcW w:w="3640" w:type="dxa"/>
            <w:vAlign w:val="bottom"/>
          </w:tcPr>
          <w:p w14:paraId="2EB59170" w14:textId="130A4153" w:rsidR="00277DDA" w:rsidRPr="00277DDA" w:rsidRDefault="00FD492E" w:rsidP="00277DDA">
            <w:pPr>
              <w:rPr>
                <w:rFonts w:cs="Calibri"/>
              </w:rPr>
            </w:pPr>
            <w:r>
              <w:rPr>
                <w:rFonts w:cs="Calibri"/>
              </w:rPr>
              <w:t>Not Collected</w:t>
            </w:r>
          </w:p>
        </w:tc>
      </w:tr>
      <w:tr w:rsidR="00277DDA" w:rsidRPr="0070451B" w14:paraId="131BDFAB" w14:textId="77777777" w:rsidTr="00F4703F">
        <w:trPr>
          <w:trHeight w:val="432"/>
        </w:trPr>
        <w:tc>
          <w:tcPr>
            <w:tcW w:w="5191" w:type="dxa"/>
            <w:gridSpan w:val="2"/>
            <w:shd w:val="clear" w:color="auto" w:fill="auto"/>
            <w:vAlign w:val="center"/>
          </w:tcPr>
          <w:p w14:paraId="73986DB9" w14:textId="50B5500A" w:rsidR="00277DDA" w:rsidRPr="00863287" w:rsidRDefault="00277DDA" w:rsidP="00277DDA">
            <w:pPr>
              <w:numPr>
                <w:ilvl w:val="0"/>
                <w:numId w:val="29"/>
              </w:numPr>
              <w:spacing w:before="0" w:after="0" w:line="240" w:lineRule="auto"/>
              <w:rPr>
                <w:rFonts w:cs="Calibri"/>
              </w:rPr>
            </w:pPr>
            <w:r>
              <w:rPr>
                <w:rFonts w:cs="Calibri"/>
              </w:rPr>
              <w:t>Attained Education Goals</w:t>
            </w:r>
          </w:p>
        </w:tc>
        <w:tc>
          <w:tcPr>
            <w:tcW w:w="876" w:type="dxa"/>
            <w:vAlign w:val="bottom"/>
          </w:tcPr>
          <w:p w14:paraId="39B64FF0" w14:textId="5DDCBF12" w:rsidR="00277DDA" w:rsidRPr="00277DDA" w:rsidRDefault="00277DDA" w:rsidP="00277DDA">
            <w:pPr>
              <w:rPr>
                <w:rFonts w:cs="Calibri"/>
              </w:rPr>
            </w:pPr>
          </w:p>
        </w:tc>
        <w:tc>
          <w:tcPr>
            <w:tcW w:w="3640" w:type="dxa"/>
            <w:vAlign w:val="bottom"/>
          </w:tcPr>
          <w:p w14:paraId="22257C3C" w14:textId="0B78C979" w:rsidR="00277DDA" w:rsidRPr="00277DDA" w:rsidRDefault="00FD492E" w:rsidP="00277DDA">
            <w:pPr>
              <w:rPr>
                <w:rFonts w:cs="Calibri"/>
              </w:rPr>
            </w:pPr>
            <w:r>
              <w:rPr>
                <w:rFonts w:cs="Calibri"/>
              </w:rPr>
              <w:t>Not Collected</w:t>
            </w:r>
          </w:p>
        </w:tc>
      </w:tr>
      <w:tr w:rsidR="00277DDA" w:rsidRPr="0070451B" w14:paraId="39703F0D" w14:textId="77777777" w:rsidTr="00F4703F">
        <w:trPr>
          <w:trHeight w:val="432"/>
        </w:trPr>
        <w:tc>
          <w:tcPr>
            <w:tcW w:w="5191" w:type="dxa"/>
            <w:gridSpan w:val="2"/>
            <w:shd w:val="clear" w:color="auto" w:fill="auto"/>
            <w:vAlign w:val="center"/>
          </w:tcPr>
          <w:p w14:paraId="403C9A5B" w14:textId="521A2934" w:rsidR="00277DDA" w:rsidRPr="00863287" w:rsidRDefault="00277DDA" w:rsidP="00277DDA">
            <w:pPr>
              <w:numPr>
                <w:ilvl w:val="0"/>
                <w:numId w:val="29"/>
              </w:numPr>
              <w:spacing w:before="0" w:after="0" w:line="240" w:lineRule="auto"/>
              <w:rPr>
                <w:rFonts w:cs="Calibri"/>
              </w:rPr>
            </w:pPr>
            <w:r w:rsidRPr="00863287">
              <w:rPr>
                <w:rFonts w:cs="Calibri"/>
              </w:rPr>
              <w:t>Received Academic Credit or Service</w:t>
            </w:r>
            <w:r>
              <w:rPr>
                <w:rFonts w:cs="Calibri"/>
              </w:rPr>
              <w:t>-</w:t>
            </w:r>
            <w:r w:rsidRPr="00863287">
              <w:rPr>
                <w:rFonts w:cs="Calibri"/>
              </w:rPr>
              <w:t>Learning Credit</w:t>
            </w:r>
          </w:p>
        </w:tc>
        <w:tc>
          <w:tcPr>
            <w:tcW w:w="876" w:type="dxa"/>
            <w:vAlign w:val="bottom"/>
          </w:tcPr>
          <w:p w14:paraId="6FFA7364" w14:textId="6E3F66FB" w:rsidR="00277DDA" w:rsidRPr="00277DDA" w:rsidRDefault="00277DDA" w:rsidP="00277DDA">
            <w:pPr>
              <w:rPr>
                <w:rFonts w:cs="Calibri"/>
              </w:rPr>
            </w:pPr>
          </w:p>
        </w:tc>
        <w:tc>
          <w:tcPr>
            <w:tcW w:w="3640" w:type="dxa"/>
            <w:vAlign w:val="bottom"/>
          </w:tcPr>
          <w:p w14:paraId="7629B777" w14:textId="33D5E2E7" w:rsidR="00277DDA" w:rsidRPr="00277DDA" w:rsidRDefault="00FD492E" w:rsidP="00277DDA">
            <w:pPr>
              <w:rPr>
                <w:rFonts w:cs="Calibri"/>
              </w:rPr>
            </w:pPr>
            <w:r>
              <w:rPr>
                <w:rFonts w:cs="Calibri"/>
              </w:rPr>
              <w:t>Not Collected</w:t>
            </w:r>
          </w:p>
        </w:tc>
      </w:tr>
      <w:tr w:rsidR="00277DDA" w:rsidRPr="0070451B" w14:paraId="644BC4EA" w14:textId="77777777" w:rsidTr="00F4703F">
        <w:trPr>
          <w:trHeight w:val="432"/>
        </w:trPr>
        <w:tc>
          <w:tcPr>
            <w:tcW w:w="5191" w:type="dxa"/>
            <w:gridSpan w:val="2"/>
            <w:shd w:val="clear" w:color="auto" w:fill="auto"/>
            <w:vAlign w:val="center"/>
          </w:tcPr>
          <w:p w14:paraId="222FA214" w14:textId="77777777" w:rsidR="00277DDA" w:rsidRPr="00863287" w:rsidRDefault="00277DDA" w:rsidP="00277DDA">
            <w:pPr>
              <w:numPr>
                <w:ilvl w:val="0"/>
                <w:numId w:val="29"/>
              </w:numPr>
              <w:spacing w:before="0" w:after="0" w:line="240" w:lineRule="auto"/>
              <w:rPr>
                <w:rFonts w:cs="Calibri"/>
              </w:rPr>
            </w:pPr>
            <w:r w:rsidRPr="00863287">
              <w:rPr>
                <w:rFonts w:cs="Calibri"/>
              </w:rPr>
              <w:t>Obtained High School Diploma, GED, Remained in School, Obtained a Certificate or Degree, or Dropout - Returned to School</w:t>
            </w:r>
          </w:p>
        </w:tc>
        <w:tc>
          <w:tcPr>
            <w:tcW w:w="876" w:type="dxa"/>
            <w:vAlign w:val="bottom"/>
          </w:tcPr>
          <w:p w14:paraId="18699044" w14:textId="75E7DD78" w:rsidR="00277DDA" w:rsidRPr="00277DDA" w:rsidRDefault="00277DDA" w:rsidP="00277DDA">
            <w:pPr>
              <w:rPr>
                <w:rFonts w:cs="Calibri"/>
              </w:rPr>
            </w:pPr>
          </w:p>
        </w:tc>
        <w:tc>
          <w:tcPr>
            <w:tcW w:w="3640" w:type="dxa"/>
            <w:vAlign w:val="bottom"/>
          </w:tcPr>
          <w:p w14:paraId="24D0409E" w14:textId="2F6E7762" w:rsidR="00277DDA" w:rsidRPr="00277DDA" w:rsidRDefault="00FD492E" w:rsidP="00277DDA">
            <w:pPr>
              <w:rPr>
                <w:rFonts w:cs="Calibri"/>
              </w:rPr>
            </w:pPr>
            <w:r>
              <w:rPr>
                <w:rFonts w:cs="Calibri"/>
              </w:rPr>
              <w:t>Not Collected</w:t>
            </w:r>
          </w:p>
        </w:tc>
      </w:tr>
      <w:tr w:rsidR="00277DDA" w:rsidRPr="0070451B" w14:paraId="70016E0F" w14:textId="77777777" w:rsidTr="00F4703F">
        <w:trPr>
          <w:trHeight w:val="432"/>
        </w:trPr>
        <w:tc>
          <w:tcPr>
            <w:tcW w:w="5191" w:type="dxa"/>
            <w:gridSpan w:val="2"/>
            <w:shd w:val="clear" w:color="auto" w:fill="auto"/>
            <w:vAlign w:val="center"/>
          </w:tcPr>
          <w:p w14:paraId="49CE24D7" w14:textId="77777777" w:rsidR="00277DDA" w:rsidRPr="00863287" w:rsidRDefault="00277DDA" w:rsidP="00277DDA">
            <w:pPr>
              <w:numPr>
                <w:ilvl w:val="0"/>
                <w:numId w:val="29"/>
              </w:numPr>
              <w:spacing w:before="0" w:after="0" w:line="240" w:lineRule="auto"/>
              <w:rPr>
                <w:rFonts w:cs="Calibri"/>
              </w:rPr>
            </w:pPr>
            <w:r w:rsidRPr="00863287">
              <w:rPr>
                <w:rFonts w:cs="Calibri"/>
              </w:rPr>
              <w:t>Entered Post Secondary Education, Vocational/Occupational Skills Training, Apprenticeship, or Military</w:t>
            </w:r>
          </w:p>
        </w:tc>
        <w:tc>
          <w:tcPr>
            <w:tcW w:w="876" w:type="dxa"/>
            <w:vAlign w:val="bottom"/>
          </w:tcPr>
          <w:p w14:paraId="04683229" w14:textId="335432E3" w:rsidR="00277DDA" w:rsidRPr="00277DDA" w:rsidRDefault="00277DDA" w:rsidP="00277DDA">
            <w:pPr>
              <w:rPr>
                <w:rFonts w:cs="Calibri"/>
              </w:rPr>
            </w:pPr>
          </w:p>
        </w:tc>
        <w:tc>
          <w:tcPr>
            <w:tcW w:w="3640" w:type="dxa"/>
            <w:vAlign w:val="bottom"/>
          </w:tcPr>
          <w:p w14:paraId="2C591182" w14:textId="3BE6BEAC" w:rsidR="00277DDA" w:rsidRPr="00277DDA" w:rsidRDefault="00FD492E" w:rsidP="00277DDA">
            <w:pPr>
              <w:rPr>
                <w:rFonts w:cs="Calibri"/>
              </w:rPr>
            </w:pPr>
            <w:r>
              <w:rPr>
                <w:rFonts w:cs="Calibri"/>
              </w:rPr>
              <w:t>Not Collected</w:t>
            </w:r>
          </w:p>
        </w:tc>
      </w:tr>
      <w:tr w:rsidR="00277DDA" w:rsidRPr="0070451B" w14:paraId="140A36F4" w14:textId="77777777" w:rsidTr="00F4703F">
        <w:trPr>
          <w:trHeight w:val="432"/>
        </w:trPr>
        <w:tc>
          <w:tcPr>
            <w:tcW w:w="5191" w:type="dxa"/>
            <w:gridSpan w:val="2"/>
            <w:shd w:val="clear" w:color="auto" w:fill="auto"/>
            <w:vAlign w:val="center"/>
          </w:tcPr>
          <w:p w14:paraId="01E81A62" w14:textId="77777777" w:rsidR="00277DDA" w:rsidRPr="00863287" w:rsidRDefault="00277DDA" w:rsidP="00277DDA">
            <w:pPr>
              <w:numPr>
                <w:ilvl w:val="0"/>
                <w:numId w:val="29"/>
              </w:numPr>
              <w:spacing w:before="0" w:after="0" w:line="240" w:lineRule="auto"/>
              <w:rPr>
                <w:rFonts w:cs="Calibri"/>
              </w:rPr>
            </w:pPr>
            <w:r w:rsidRPr="00863287">
              <w:rPr>
                <w:rFonts w:cs="Calibri"/>
              </w:rPr>
              <w:t>Entered employment</w:t>
            </w:r>
          </w:p>
        </w:tc>
        <w:tc>
          <w:tcPr>
            <w:tcW w:w="876" w:type="dxa"/>
            <w:vAlign w:val="bottom"/>
          </w:tcPr>
          <w:p w14:paraId="4048C87D" w14:textId="3506FF46" w:rsidR="00277DDA" w:rsidRPr="00277DDA" w:rsidRDefault="00277DDA" w:rsidP="00277DDA">
            <w:pPr>
              <w:rPr>
                <w:rFonts w:cs="Calibri"/>
              </w:rPr>
            </w:pPr>
          </w:p>
        </w:tc>
        <w:tc>
          <w:tcPr>
            <w:tcW w:w="3640" w:type="dxa"/>
            <w:vAlign w:val="bottom"/>
          </w:tcPr>
          <w:p w14:paraId="434047AB" w14:textId="1E2D9EAF" w:rsidR="00277DDA" w:rsidRPr="00277DDA" w:rsidRDefault="00FD492E" w:rsidP="00277DDA">
            <w:pPr>
              <w:rPr>
                <w:rFonts w:cs="Calibri"/>
              </w:rPr>
            </w:pPr>
            <w:r>
              <w:rPr>
                <w:rFonts w:cs="Calibri"/>
              </w:rPr>
              <w:t>Not Collected</w:t>
            </w:r>
          </w:p>
        </w:tc>
      </w:tr>
      <w:tr w:rsidR="00277DDA" w:rsidRPr="00503C05" w14:paraId="70B84387" w14:textId="77777777" w:rsidTr="00F4703F">
        <w:trPr>
          <w:trHeight w:val="432"/>
        </w:trPr>
        <w:tc>
          <w:tcPr>
            <w:tcW w:w="5191" w:type="dxa"/>
            <w:gridSpan w:val="2"/>
            <w:shd w:val="clear" w:color="auto" w:fill="auto"/>
            <w:vAlign w:val="center"/>
          </w:tcPr>
          <w:p w14:paraId="66EADB39" w14:textId="77777777" w:rsidR="00277DDA" w:rsidRPr="00863287" w:rsidRDefault="00277DDA" w:rsidP="00277DDA">
            <w:pPr>
              <w:numPr>
                <w:ilvl w:val="0"/>
                <w:numId w:val="29"/>
              </w:numPr>
              <w:spacing w:before="0" w:after="0" w:line="240" w:lineRule="auto"/>
              <w:rPr>
                <w:rFonts w:cs="Calibri"/>
              </w:rPr>
            </w:pPr>
            <w:r w:rsidRPr="00863287">
              <w:rPr>
                <w:rFonts w:cs="Calibri"/>
              </w:rPr>
              <w:t>Retained employment, increased wages or advanced career</w:t>
            </w:r>
          </w:p>
        </w:tc>
        <w:tc>
          <w:tcPr>
            <w:tcW w:w="876" w:type="dxa"/>
            <w:vAlign w:val="bottom"/>
          </w:tcPr>
          <w:p w14:paraId="5AE8F678" w14:textId="77A755F3" w:rsidR="00277DDA" w:rsidRPr="00277DDA" w:rsidRDefault="00277DDA" w:rsidP="00277DDA">
            <w:pPr>
              <w:rPr>
                <w:rFonts w:cs="Calibri"/>
              </w:rPr>
            </w:pPr>
          </w:p>
        </w:tc>
        <w:tc>
          <w:tcPr>
            <w:tcW w:w="3640" w:type="dxa"/>
            <w:vAlign w:val="bottom"/>
          </w:tcPr>
          <w:p w14:paraId="36442E7D" w14:textId="572D5D04" w:rsidR="00277DDA" w:rsidRPr="00277DDA" w:rsidRDefault="00FD492E" w:rsidP="00277DDA">
            <w:pPr>
              <w:rPr>
                <w:rFonts w:cs="Calibri"/>
              </w:rPr>
            </w:pPr>
            <w:r>
              <w:rPr>
                <w:rFonts w:cs="Calibri"/>
              </w:rPr>
              <w:t>Not Collected</w:t>
            </w:r>
          </w:p>
        </w:tc>
      </w:tr>
      <w:tr w:rsidR="00277DDA" w:rsidRPr="00503C05" w14:paraId="18A040FC" w14:textId="77777777" w:rsidTr="00F4703F">
        <w:trPr>
          <w:trHeight w:val="432"/>
        </w:trPr>
        <w:tc>
          <w:tcPr>
            <w:tcW w:w="5191" w:type="dxa"/>
            <w:gridSpan w:val="2"/>
            <w:shd w:val="clear" w:color="auto" w:fill="auto"/>
            <w:vAlign w:val="center"/>
          </w:tcPr>
          <w:p w14:paraId="6803953E" w14:textId="77777777" w:rsidR="00277DDA" w:rsidRPr="00863287" w:rsidRDefault="00277DDA" w:rsidP="00277DDA">
            <w:pPr>
              <w:numPr>
                <w:ilvl w:val="0"/>
                <w:numId w:val="29"/>
              </w:numPr>
              <w:spacing w:before="0" w:after="0" w:line="240" w:lineRule="auto"/>
              <w:rPr>
                <w:rFonts w:cs="Calibri"/>
              </w:rPr>
            </w:pPr>
            <w:r w:rsidRPr="00863287">
              <w:rPr>
                <w:rFonts w:cs="Calibri"/>
              </w:rPr>
              <w:t>Completed Program Objective</w:t>
            </w:r>
          </w:p>
        </w:tc>
        <w:tc>
          <w:tcPr>
            <w:tcW w:w="876" w:type="dxa"/>
            <w:vAlign w:val="bottom"/>
          </w:tcPr>
          <w:p w14:paraId="6C814775" w14:textId="39059E9A" w:rsidR="00277DDA" w:rsidRPr="00277DDA" w:rsidRDefault="00277DDA" w:rsidP="00277DDA">
            <w:pPr>
              <w:rPr>
                <w:rFonts w:cs="Calibri"/>
              </w:rPr>
            </w:pPr>
          </w:p>
        </w:tc>
        <w:tc>
          <w:tcPr>
            <w:tcW w:w="3640" w:type="dxa"/>
            <w:vAlign w:val="bottom"/>
          </w:tcPr>
          <w:p w14:paraId="369F4ED6" w14:textId="02563A33" w:rsidR="00277DDA" w:rsidRPr="00277DDA" w:rsidRDefault="00FD492E" w:rsidP="00277DDA">
            <w:pPr>
              <w:rPr>
                <w:rFonts w:cs="Calibri"/>
              </w:rPr>
            </w:pPr>
            <w:r>
              <w:rPr>
                <w:rFonts w:cs="Calibri"/>
              </w:rPr>
              <w:t>Not Collected</w:t>
            </w:r>
          </w:p>
        </w:tc>
      </w:tr>
      <w:tr w:rsidR="00161927" w:rsidRPr="00503C05" w14:paraId="42E7E75F" w14:textId="77777777" w:rsidTr="00D72A58">
        <w:trPr>
          <w:trHeight w:val="432"/>
        </w:trPr>
        <w:tc>
          <w:tcPr>
            <w:tcW w:w="9707" w:type="dxa"/>
            <w:gridSpan w:val="4"/>
            <w:shd w:val="clear" w:color="auto" w:fill="auto"/>
            <w:vAlign w:val="center"/>
          </w:tcPr>
          <w:p w14:paraId="1CC1690D" w14:textId="12A8B8CF" w:rsidR="00161927" w:rsidRPr="00863287" w:rsidRDefault="00161927" w:rsidP="00161927">
            <w:pPr>
              <w:rPr>
                <w:rFonts w:cs="Calibri"/>
              </w:rPr>
            </w:pPr>
            <w:r>
              <w:rPr>
                <w:rFonts w:cs="Calibri"/>
                <w:b/>
              </w:rPr>
              <w:t>CUSTOMER SATISFACTION FOR</w:t>
            </w:r>
            <w:r w:rsidRPr="00863287">
              <w:rPr>
                <w:rFonts w:cs="Calibri"/>
                <w:b/>
              </w:rPr>
              <w:t xml:space="preserve"> PERFORMANCE FOR INDIVIDUAL SERVICES - </w:t>
            </w:r>
            <w:r w:rsidRPr="00863287">
              <w:rPr>
                <w:rFonts w:cs="Calibri"/>
              </w:rPr>
              <w:t>(Cumulative for the SFY)</w:t>
            </w:r>
          </w:p>
        </w:tc>
      </w:tr>
      <w:tr w:rsidR="00277DDA" w:rsidRPr="00503C05" w14:paraId="5074FAB7" w14:textId="77777777" w:rsidTr="00940F61">
        <w:trPr>
          <w:trHeight w:val="432"/>
        </w:trPr>
        <w:tc>
          <w:tcPr>
            <w:tcW w:w="5191" w:type="dxa"/>
            <w:gridSpan w:val="2"/>
            <w:shd w:val="clear" w:color="auto" w:fill="auto"/>
          </w:tcPr>
          <w:p w14:paraId="066F0B15" w14:textId="5B181787" w:rsidR="00277DDA" w:rsidRPr="00863287" w:rsidRDefault="00277DDA" w:rsidP="00277DDA">
            <w:pPr>
              <w:numPr>
                <w:ilvl w:val="0"/>
                <w:numId w:val="33"/>
              </w:numPr>
              <w:spacing w:before="0" w:after="0" w:line="240" w:lineRule="auto"/>
              <w:rPr>
                <w:rFonts w:cs="Calibri"/>
              </w:rPr>
            </w:pPr>
            <w:r w:rsidRPr="00DD6B2B">
              <w:rPr>
                <w:sz w:val="24"/>
                <w:szCs w:val="24"/>
              </w:rPr>
              <w:lastRenderedPageBreak/>
              <w:t>Number</w:t>
            </w:r>
            <w:r w:rsidRPr="00DD6B2B">
              <w:rPr>
                <w:spacing w:val="-5"/>
                <w:sz w:val="24"/>
                <w:szCs w:val="24"/>
              </w:rPr>
              <w:t xml:space="preserve"> </w:t>
            </w:r>
            <w:r w:rsidRPr="00DD6B2B">
              <w:rPr>
                <w:sz w:val="24"/>
                <w:szCs w:val="24"/>
              </w:rPr>
              <w:t>of</w:t>
            </w:r>
            <w:r w:rsidRPr="00DD6B2B">
              <w:rPr>
                <w:spacing w:val="-5"/>
                <w:sz w:val="24"/>
                <w:szCs w:val="24"/>
              </w:rPr>
              <w:t xml:space="preserve"> </w:t>
            </w:r>
            <w:r w:rsidRPr="00DD6B2B">
              <w:rPr>
                <w:sz w:val="24"/>
                <w:szCs w:val="24"/>
              </w:rPr>
              <w:t>participants</w:t>
            </w:r>
            <w:r w:rsidRPr="00DD6B2B">
              <w:rPr>
                <w:spacing w:val="-4"/>
                <w:sz w:val="24"/>
                <w:szCs w:val="24"/>
              </w:rPr>
              <w:t xml:space="preserve"> </w:t>
            </w:r>
            <w:r w:rsidRPr="00DD6B2B">
              <w:rPr>
                <w:sz w:val="24"/>
                <w:szCs w:val="24"/>
              </w:rPr>
              <w:t>rating</w:t>
            </w:r>
            <w:r w:rsidRPr="00DD6B2B">
              <w:rPr>
                <w:spacing w:val="-5"/>
                <w:sz w:val="24"/>
                <w:szCs w:val="24"/>
              </w:rPr>
              <w:t xml:space="preserve"> </w:t>
            </w:r>
            <w:r w:rsidRPr="00DD6B2B">
              <w:rPr>
                <w:sz w:val="24"/>
                <w:szCs w:val="24"/>
              </w:rPr>
              <w:t>experience</w:t>
            </w:r>
            <w:r w:rsidRPr="00DD6B2B">
              <w:rPr>
                <w:spacing w:val="-5"/>
                <w:sz w:val="24"/>
                <w:szCs w:val="24"/>
              </w:rPr>
              <w:t xml:space="preserve"> </w:t>
            </w:r>
            <w:r w:rsidRPr="00DD6B2B">
              <w:rPr>
                <w:sz w:val="24"/>
                <w:szCs w:val="24"/>
              </w:rPr>
              <w:t>as</w:t>
            </w:r>
            <w:r w:rsidRPr="00DD6B2B">
              <w:rPr>
                <w:spacing w:val="-5"/>
                <w:sz w:val="24"/>
                <w:szCs w:val="24"/>
              </w:rPr>
              <w:t xml:space="preserve"> </w:t>
            </w:r>
            <w:r w:rsidRPr="00DD6B2B">
              <w:rPr>
                <w:spacing w:val="-2"/>
                <w:sz w:val="24"/>
                <w:szCs w:val="24"/>
              </w:rPr>
              <w:t>“Excellent”</w:t>
            </w:r>
          </w:p>
        </w:tc>
        <w:tc>
          <w:tcPr>
            <w:tcW w:w="876" w:type="dxa"/>
            <w:vAlign w:val="bottom"/>
          </w:tcPr>
          <w:p w14:paraId="6D08CC1D" w14:textId="1727D235" w:rsidR="00277DDA" w:rsidRDefault="00277DDA" w:rsidP="00277DDA">
            <w:pPr>
              <w:rPr>
                <w:rFonts w:cs="Calibri"/>
              </w:rPr>
            </w:pPr>
          </w:p>
        </w:tc>
        <w:tc>
          <w:tcPr>
            <w:tcW w:w="3640" w:type="dxa"/>
            <w:vAlign w:val="bottom"/>
          </w:tcPr>
          <w:p w14:paraId="058B6A2D" w14:textId="41035E8A" w:rsidR="00277DDA" w:rsidRPr="00863287" w:rsidRDefault="00FD492E" w:rsidP="00277DDA">
            <w:pPr>
              <w:rPr>
                <w:rFonts w:cs="Calibri"/>
              </w:rPr>
            </w:pPr>
            <w:r>
              <w:rPr>
                <w:rFonts w:cs="Calibri"/>
              </w:rPr>
              <w:t>Not Collected</w:t>
            </w:r>
          </w:p>
        </w:tc>
      </w:tr>
      <w:tr w:rsidR="00277DDA" w:rsidRPr="00503C05" w14:paraId="6C09CB8A" w14:textId="77777777" w:rsidTr="00940F61">
        <w:trPr>
          <w:trHeight w:val="432"/>
        </w:trPr>
        <w:tc>
          <w:tcPr>
            <w:tcW w:w="5191" w:type="dxa"/>
            <w:gridSpan w:val="2"/>
            <w:shd w:val="clear" w:color="auto" w:fill="auto"/>
          </w:tcPr>
          <w:p w14:paraId="0611C7A2" w14:textId="4B811B3E" w:rsidR="00277DDA" w:rsidRPr="00863287" w:rsidRDefault="00277DDA" w:rsidP="00277DDA">
            <w:pPr>
              <w:numPr>
                <w:ilvl w:val="0"/>
                <w:numId w:val="33"/>
              </w:numPr>
              <w:spacing w:before="0" w:after="0" w:line="240" w:lineRule="auto"/>
              <w:rPr>
                <w:rFonts w:cs="Calibri"/>
              </w:rPr>
            </w:pPr>
            <w:r w:rsidRPr="00DD6B2B">
              <w:rPr>
                <w:sz w:val="24"/>
                <w:szCs w:val="24"/>
              </w:rPr>
              <w:t>Number</w:t>
            </w:r>
            <w:r w:rsidRPr="00DD6B2B">
              <w:rPr>
                <w:spacing w:val="-7"/>
                <w:sz w:val="24"/>
                <w:szCs w:val="24"/>
              </w:rPr>
              <w:t xml:space="preserve"> </w:t>
            </w:r>
            <w:r w:rsidRPr="00DD6B2B">
              <w:rPr>
                <w:sz w:val="24"/>
                <w:szCs w:val="24"/>
              </w:rPr>
              <w:t>of</w:t>
            </w:r>
            <w:r w:rsidRPr="00DD6B2B">
              <w:rPr>
                <w:spacing w:val="-6"/>
                <w:sz w:val="24"/>
                <w:szCs w:val="24"/>
              </w:rPr>
              <w:t xml:space="preserve"> </w:t>
            </w:r>
            <w:r w:rsidRPr="00DD6B2B">
              <w:rPr>
                <w:sz w:val="24"/>
                <w:szCs w:val="24"/>
              </w:rPr>
              <w:t>participants</w:t>
            </w:r>
            <w:r w:rsidRPr="00DD6B2B">
              <w:rPr>
                <w:spacing w:val="-6"/>
                <w:sz w:val="24"/>
                <w:szCs w:val="24"/>
              </w:rPr>
              <w:t xml:space="preserve"> </w:t>
            </w:r>
            <w:r w:rsidRPr="00DD6B2B">
              <w:rPr>
                <w:sz w:val="24"/>
                <w:szCs w:val="24"/>
              </w:rPr>
              <w:t>rating</w:t>
            </w:r>
            <w:r w:rsidRPr="00DD6B2B">
              <w:rPr>
                <w:spacing w:val="-6"/>
                <w:sz w:val="24"/>
                <w:szCs w:val="24"/>
              </w:rPr>
              <w:t xml:space="preserve"> </w:t>
            </w:r>
            <w:r w:rsidRPr="00DD6B2B">
              <w:rPr>
                <w:sz w:val="24"/>
                <w:szCs w:val="24"/>
              </w:rPr>
              <w:t>experience</w:t>
            </w:r>
            <w:r w:rsidRPr="00DD6B2B">
              <w:rPr>
                <w:spacing w:val="-6"/>
                <w:sz w:val="24"/>
                <w:szCs w:val="24"/>
              </w:rPr>
              <w:t xml:space="preserve"> </w:t>
            </w:r>
            <w:r w:rsidRPr="00DD6B2B">
              <w:rPr>
                <w:sz w:val="24"/>
                <w:szCs w:val="24"/>
              </w:rPr>
              <w:t>as</w:t>
            </w:r>
            <w:r w:rsidRPr="00DD6B2B">
              <w:rPr>
                <w:spacing w:val="-6"/>
                <w:sz w:val="24"/>
                <w:szCs w:val="24"/>
              </w:rPr>
              <w:t xml:space="preserve"> </w:t>
            </w:r>
            <w:r w:rsidRPr="00DD6B2B">
              <w:rPr>
                <w:sz w:val="24"/>
                <w:szCs w:val="24"/>
              </w:rPr>
              <w:t>“Very</w:t>
            </w:r>
            <w:r w:rsidRPr="00DD6B2B">
              <w:rPr>
                <w:spacing w:val="-6"/>
                <w:sz w:val="24"/>
                <w:szCs w:val="24"/>
              </w:rPr>
              <w:t xml:space="preserve"> </w:t>
            </w:r>
            <w:r w:rsidRPr="00DD6B2B">
              <w:rPr>
                <w:spacing w:val="-2"/>
                <w:sz w:val="24"/>
                <w:szCs w:val="24"/>
              </w:rPr>
              <w:t>Good”</w:t>
            </w:r>
          </w:p>
        </w:tc>
        <w:tc>
          <w:tcPr>
            <w:tcW w:w="876" w:type="dxa"/>
            <w:vAlign w:val="bottom"/>
          </w:tcPr>
          <w:p w14:paraId="73244433" w14:textId="445CACF5" w:rsidR="00277DDA" w:rsidRDefault="00277DDA" w:rsidP="00277DDA">
            <w:pPr>
              <w:rPr>
                <w:rFonts w:cs="Calibri"/>
              </w:rPr>
            </w:pPr>
          </w:p>
        </w:tc>
        <w:tc>
          <w:tcPr>
            <w:tcW w:w="3640" w:type="dxa"/>
            <w:vAlign w:val="bottom"/>
          </w:tcPr>
          <w:p w14:paraId="51595B20" w14:textId="394EADD3" w:rsidR="00277DDA" w:rsidRPr="00863287" w:rsidRDefault="00FD492E" w:rsidP="00277DDA">
            <w:pPr>
              <w:rPr>
                <w:rFonts w:cs="Calibri"/>
              </w:rPr>
            </w:pPr>
            <w:r>
              <w:rPr>
                <w:rFonts w:cs="Calibri"/>
              </w:rPr>
              <w:t>Not Collected</w:t>
            </w:r>
          </w:p>
        </w:tc>
      </w:tr>
      <w:tr w:rsidR="00277DDA" w:rsidRPr="00503C05" w14:paraId="54B96CA0" w14:textId="77777777" w:rsidTr="00940F61">
        <w:trPr>
          <w:trHeight w:val="432"/>
        </w:trPr>
        <w:tc>
          <w:tcPr>
            <w:tcW w:w="5191" w:type="dxa"/>
            <w:gridSpan w:val="2"/>
            <w:shd w:val="clear" w:color="auto" w:fill="auto"/>
          </w:tcPr>
          <w:p w14:paraId="09BD2939" w14:textId="0EADB0F4" w:rsidR="00277DDA" w:rsidRPr="00863287" w:rsidRDefault="00277DDA" w:rsidP="00277DDA">
            <w:pPr>
              <w:numPr>
                <w:ilvl w:val="0"/>
                <w:numId w:val="33"/>
              </w:numPr>
              <w:spacing w:before="0" w:after="0" w:line="240" w:lineRule="auto"/>
              <w:rPr>
                <w:rFonts w:cs="Calibri"/>
              </w:rPr>
            </w:pPr>
            <w:r w:rsidRPr="00DD6B2B">
              <w:rPr>
                <w:sz w:val="24"/>
                <w:szCs w:val="24"/>
              </w:rPr>
              <w:t>Number</w:t>
            </w:r>
            <w:r w:rsidRPr="00DD6B2B">
              <w:rPr>
                <w:spacing w:val="-5"/>
                <w:sz w:val="24"/>
                <w:szCs w:val="24"/>
              </w:rPr>
              <w:t xml:space="preserve"> </w:t>
            </w:r>
            <w:r w:rsidRPr="00DD6B2B">
              <w:rPr>
                <w:sz w:val="24"/>
                <w:szCs w:val="24"/>
              </w:rPr>
              <w:t>of</w:t>
            </w:r>
            <w:r w:rsidRPr="00DD6B2B">
              <w:rPr>
                <w:spacing w:val="-5"/>
                <w:sz w:val="24"/>
                <w:szCs w:val="24"/>
              </w:rPr>
              <w:t xml:space="preserve"> </w:t>
            </w:r>
            <w:r w:rsidRPr="00DD6B2B">
              <w:rPr>
                <w:sz w:val="24"/>
                <w:szCs w:val="24"/>
              </w:rPr>
              <w:t>participants</w:t>
            </w:r>
            <w:r w:rsidRPr="00DD6B2B">
              <w:rPr>
                <w:spacing w:val="-5"/>
                <w:sz w:val="24"/>
                <w:szCs w:val="24"/>
              </w:rPr>
              <w:t xml:space="preserve"> </w:t>
            </w:r>
            <w:r w:rsidRPr="00DD6B2B">
              <w:rPr>
                <w:sz w:val="24"/>
                <w:szCs w:val="24"/>
              </w:rPr>
              <w:t>rating</w:t>
            </w:r>
            <w:r w:rsidRPr="00DD6B2B">
              <w:rPr>
                <w:spacing w:val="-5"/>
                <w:sz w:val="24"/>
                <w:szCs w:val="24"/>
              </w:rPr>
              <w:t xml:space="preserve"> </w:t>
            </w:r>
            <w:r w:rsidRPr="00DD6B2B">
              <w:rPr>
                <w:sz w:val="24"/>
                <w:szCs w:val="24"/>
              </w:rPr>
              <w:t>experience</w:t>
            </w:r>
            <w:r w:rsidRPr="00DD6B2B">
              <w:rPr>
                <w:spacing w:val="-5"/>
                <w:sz w:val="24"/>
                <w:szCs w:val="24"/>
              </w:rPr>
              <w:t xml:space="preserve"> </w:t>
            </w:r>
            <w:r w:rsidRPr="00DD6B2B">
              <w:rPr>
                <w:sz w:val="24"/>
                <w:szCs w:val="24"/>
              </w:rPr>
              <w:t>as</w:t>
            </w:r>
            <w:r w:rsidRPr="00DD6B2B">
              <w:rPr>
                <w:spacing w:val="-4"/>
                <w:sz w:val="24"/>
                <w:szCs w:val="24"/>
              </w:rPr>
              <w:t xml:space="preserve"> </w:t>
            </w:r>
            <w:r w:rsidRPr="00DD6B2B">
              <w:rPr>
                <w:spacing w:val="-2"/>
                <w:sz w:val="24"/>
                <w:szCs w:val="24"/>
              </w:rPr>
              <w:t>“Average”</w:t>
            </w:r>
          </w:p>
        </w:tc>
        <w:tc>
          <w:tcPr>
            <w:tcW w:w="876" w:type="dxa"/>
            <w:vAlign w:val="bottom"/>
          </w:tcPr>
          <w:p w14:paraId="38E31386" w14:textId="45E86E23" w:rsidR="00277DDA" w:rsidRDefault="00277DDA" w:rsidP="00277DDA">
            <w:pPr>
              <w:rPr>
                <w:rFonts w:cs="Calibri"/>
              </w:rPr>
            </w:pPr>
          </w:p>
        </w:tc>
        <w:tc>
          <w:tcPr>
            <w:tcW w:w="3640" w:type="dxa"/>
            <w:vAlign w:val="bottom"/>
          </w:tcPr>
          <w:p w14:paraId="7A70CEC6" w14:textId="1A6F5265" w:rsidR="00277DDA" w:rsidRPr="00863287" w:rsidRDefault="00FD492E" w:rsidP="00277DDA">
            <w:pPr>
              <w:rPr>
                <w:rFonts w:cs="Calibri"/>
              </w:rPr>
            </w:pPr>
            <w:r>
              <w:rPr>
                <w:rFonts w:cs="Calibri"/>
              </w:rPr>
              <w:t>Not Collected</w:t>
            </w:r>
          </w:p>
        </w:tc>
      </w:tr>
      <w:tr w:rsidR="00277DDA" w:rsidRPr="00503C05" w14:paraId="44CA9FC4" w14:textId="77777777" w:rsidTr="00940F61">
        <w:trPr>
          <w:trHeight w:val="432"/>
        </w:trPr>
        <w:tc>
          <w:tcPr>
            <w:tcW w:w="5191" w:type="dxa"/>
            <w:gridSpan w:val="2"/>
            <w:shd w:val="clear" w:color="auto" w:fill="auto"/>
          </w:tcPr>
          <w:p w14:paraId="370D6C94" w14:textId="3F5D5C2E" w:rsidR="00277DDA" w:rsidRPr="00863287" w:rsidRDefault="00277DDA" w:rsidP="00277DDA">
            <w:pPr>
              <w:numPr>
                <w:ilvl w:val="0"/>
                <w:numId w:val="33"/>
              </w:numPr>
              <w:spacing w:before="0" w:after="0" w:line="240" w:lineRule="auto"/>
              <w:rPr>
                <w:rFonts w:cs="Calibri"/>
              </w:rPr>
            </w:pPr>
            <w:r>
              <w:rPr>
                <w:sz w:val="24"/>
                <w:szCs w:val="24"/>
              </w:rPr>
              <w:t>N</w:t>
            </w:r>
            <w:r w:rsidRPr="00DD6B2B">
              <w:rPr>
                <w:sz w:val="24"/>
                <w:szCs w:val="24"/>
              </w:rPr>
              <w:t>umber</w:t>
            </w:r>
            <w:r w:rsidRPr="00DD6B2B">
              <w:rPr>
                <w:spacing w:val="-5"/>
                <w:sz w:val="24"/>
                <w:szCs w:val="24"/>
              </w:rPr>
              <w:t xml:space="preserve"> </w:t>
            </w:r>
            <w:r w:rsidRPr="00DD6B2B">
              <w:rPr>
                <w:sz w:val="24"/>
                <w:szCs w:val="24"/>
              </w:rPr>
              <w:t>of</w:t>
            </w:r>
            <w:r w:rsidRPr="00DD6B2B">
              <w:rPr>
                <w:spacing w:val="-6"/>
                <w:sz w:val="24"/>
                <w:szCs w:val="24"/>
              </w:rPr>
              <w:t xml:space="preserve"> </w:t>
            </w:r>
            <w:r w:rsidRPr="00DD6B2B">
              <w:rPr>
                <w:sz w:val="24"/>
                <w:szCs w:val="24"/>
              </w:rPr>
              <w:t>participants</w:t>
            </w:r>
            <w:r w:rsidRPr="00DD6B2B">
              <w:rPr>
                <w:spacing w:val="-5"/>
                <w:sz w:val="24"/>
                <w:szCs w:val="24"/>
              </w:rPr>
              <w:t xml:space="preserve"> </w:t>
            </w:r>
            <w:r w:rsidRPr="00DD6B2B">
              <w:rPr>
                <w:sz w:val="24"/>
                <w:szCs w:val="24"/>
              </w:rPr>
              <w:t>rating</w:t>
            </w:r>
            <w:r w:rsidRPr="00DD6B2B">
              <w:rPr>
                <w:spacing w:val="-5"/>
                <w:sz w:val="24"/>
                <w:szCs w:val="24"/>
              </w:rPr>
              <w:t xml:space="preserve"> </w:t>
            </w:r>
            <w:r w:rsidRPr="00DD6B2B">
              <w:rPr>
                <w:sz w:val="24"/>
                <w:szCs w:val="24"/>
              </w:rPr>
              <w:t>experience</w:t>
            </w:r>
            <w:r w:rsidRPr="00DD6B2B">
              <w:rPr>
                <w:spacing w:val="-5"/>
                <w:sz w:val="24"/>
                <w:szCs w:val="24"/>
              </w:rPr>
              <w:t xml:space="preserve"> </w:t>
            </w:r>
            <w:r w:rsidRPr="00DD6B2B">
              <w:rPr>
                <w:sz w:val="24"/>
                <w:szCs w:val="24"/>
              </w:rPr>
              <w:t>as</w:t>
            </w:r>
            <w:r w:rsidRPr="00DD6B2B">
              <w:rPr>
                <w:spacing w:val="-5"/>
                <w:sz w:val="24"/>
                <w:szCs w:val="24"/>
              </w:rPr>
              <w:t xml:space="preserve"> </w:t>
            </w:r>
            <w:r w:rsidRPr="00DD6B2B">
              <w:rPr>
                <w:sz w:val="24"/>
                <w:szCs w:val="24"/>
              </w:rPr>
              <w:t>“Below</w:t>
            </w:r>
            <w:r w:rsidRPr="00DD6B2B">
              <w:rPr>
                <w:spacing w:val="-15"/>
                <w:sz w:val="24"/>
                <w:szCs w:val="24"/>
              </w:rPr>
              <w:t xml:space="preserve"> </w:t>
            </w:r>
            <w:r w:rsidRPr="00DD6B2B">
              <w:rPr>
                <w:spacing w:val="-2"/>
                <w:sz w:val="24"/>
                <w:szCs w:val="24"/>
              </w:rPr>
              <w:t>Average”</w:t>
            </w:r>
          </w:p>
        </w:tc>
        <w:tc>
          <w:tcPr>
            <w:tcW w:w="876" w:type="dxa"/>
            <w:vAlign w:val="bottom"/>
          </w:tcPr>
          <w:p w14:paraId="190B2F9A" w14:textId="3F17B431" w:rsidR="00277DDA" w:rsidRDefault="00277DDA" w:rsidP="00277DDA">
            <w:pPr>
              <w:rPr>
                <w:rFonts w:cs="Calibri"/>
              </w:rPr>
            </w:pPr>
          </w:p>
        </w:tc>
        <w:tc>
          <w:tcPr>
            <w:tcW w:w="3640" w:type="dxa"/>
            <w:vAlign w:val="bottom"/>
          </w:tcPr>
          <w:p w14:paraId="5D2DE582" w14:textId="3BB89EE5" w:rsidR="00277DDA" w:rsidRPr="00863287" w:rsidRDefault="00FD492E" w:rsidP="00277DDA">
            <w:pPr>
              <w:rPr>
                <w:rFonts w:cs="Calibri"/>
              </w:rPr>
            </w:pPr>
            <w:r>
              <w:rPr>
                <w:rFonts w:cs="Calibri"/>
              </w:rPr>
              <w:t>Not Collected</w:t>
            </w:r>
          </w:p>
        </w:tc>
      </w:tr>
      <w:tr w:rsidR="00277DDA" w:rsidRPr="00503C05" w14:paraId="655C610F" w14:textId="77777777" w:rsidTr="00940F61">
        <w:trPr>
          <w:trHeight w:val="432"/>
        </w:trPr>
        <w:tc>
          <w:tcPr>
            <w:tcW w:w="5191" w:type="dxa"/>
            <w:gridSpan w:val="2"/>
            <w:shd w:val="clear" w:color="auto" w:fill="auto"/>
          </w:tcPr>
          <w:p w14:paraId="676F8256" w14:textId="386F55A4" w:rsidR="00277DDA" w:rsidRPr="00863287" w:rsidRDefault="00277DDA" w:rsidP="00277DDA">
            <w:pPr>
              <w:numPr>
                <w:ilvl w:val="0"/>
                <w:numId w:val="33"/>
              </w:numPr>
              <w:spacing w:before="0" w:after="0" w:line="240" w:lineRule="auto"/>
              <w:rPr>
                <w:rFonts w:cs="Calibri"/>
              </w:rPr>
            </w:pPr>
            <w:r w:rsidRPr="00DD6B2B">
              <w:rPr>
                <w:sz w:val="24"/>
                <w:szCs w:val="24"/>
              </w:rPr>
              <w:t>Number</w:t>
            </w:r>
            <w:r w:rsidRPr="00DD6B2B">
              <w:rPr>
                <w:spacing w:val="-5"/>
                <w:sz w:val="24"/>
                <w:szCs w:val="24"/>
              </w:rPr>
              <w:t xml:space="preserve"> </w:t>
            </w:r>
            <w:r w:rsidRPr="00DD6B2B">
              <w:rPr>
                <w:sz w:val="24"/>
                <w:szCs w:val="24"/>
              </w:rPr>
              <w:t>of</w:t>
            </w:r>
            <w:r w:rsidRPr="00DD6B2B">
              <w:rPr>
                <w:spacing w:val="-5"/>
                <w:sz w:val="24"/>
                <w:szCs w:val="24"/>
              </w:rPr>
              <w:t xml:space="preserve"> </w:t>
            </w:r>
            <w:r w:rsidRPr="00DD6B2B">
              <w:rPr>
                <w:sz w:val="24"/>
                <w:szCs w:val="24"/>
              </w:rPr>
              <w:t>participants</w:t>
            </w:r>
            <w:r w:rsidRPr="00DD6B2B">
              <w:rPr>
                <w:spacing w:val="-4"/>
                <w:sz w:val="24"/>
                <w:szCs w:val="24"/>
              </w:rPr>
              <w:t xml:space="preserve"> </w:t>
            </w:r>
            <w:r w:rsidRPr="00DD6B2B">
              <w:rPr>
                <w:sz w:val="24"/>
                <w:szCs w:val="24"/>
              </w:rPr>
              <w:t>rating</w:t>
            </w:r>
            <w:r w:rsidRPr="00DD6B2B">
              <w:rPr>
                <w:spacing w:val="-5"/>
                <w:sz w:val="24"/>
                <w:szCs w:val="24"/>
              </w:rPr>
              <w:t xml:space="preserve"> </w:t>
            </w:r>
            <w:r w:rsidRPr="00DD6B2B">
              <w:rPr>
                <w:sz w:val="24"/>
                <w:szCs w:val="24"/>
              </w:rPr>
              <w:t>experience</w:t>
            </w:r>
            <w:r w:rsidRPr="00DD6B2B">
              <w:rPr>
                <w:spacing w:val="-5"/>
                <w:sz w:val="24"/>
                <w:szCs w:val="24"/>
              </w:rPr>
              <w:t xml:space="preserve"> </w:t>
            </w:r>
            <w:r w:rsidRPr="00DD6B2B">
              <w:rPr>
                <w:sz w:val="24"/>
                <w:szCs w:val="24"/>
              </w:rPr>
              <w:t>as</w:t>
            </w:r>
            <w:r w:rsidRPr="00DD6B2B">
              <w:rPr>
                <w:spacing w:val="-5"/>
                <w:sz w:val="24"/>
                <w:szCs w:val="24"/>
              </w:rPr>
              <w:t xml:space="preserve"> </w:t>
            </w:r>
            <w:r w:rsidRPr="00DD6B2B">
              <w:rPr>
                <w:spacing w:val="-2"/>
                <w:sz w:val="24"/>
                <w:szCs w:val="24"/>
              </w:rPr>
              <w:t>“Poor”</w:t>
            </w:r>
          </w:p>
        </w:tc>
        <w:tc>
          <w:tcPr>
            <w:tcW w:w="876" w:type="dxa"/>
            <w:vAlign w:val="bottom"/>
          </w:tcPr>
          <w:p w14:paraId="3BE80FF5" w14:textId="44085FDB" w:rsidR="00277DDA" w:rsidRDefault="00277DDA" w:rsidP="00277DDA">
            <w:pPr>
              <w:rPr>
                <w:rFonts w:cs="Calibri"/>
              </w:rPr>
            </w:pPr>
          </w:p>
        </w:tc>
        <w:tc>
          <w:tcPr>
            <w:tcW w:w="3640" w:type="dxa"/>
            <w:vAlign w:val="bottom"/>
          </w:tcPr>
          <w:p w14:paraId="50B9075D" w14:textId="34B4857E" w:rsidR="00277DDA" w:rsidRPr="00863287" w:rsidRDefault="00FD492E" w:rsidP="00277DDA">
            <w:pPr>
              <w:rPr>
                <w:rFonts w:cs="Calibri"/>
              </w:rPr>
            </w:pPr>
            <w:r>
              <w:rPr>
                <w:rFonts w:cs="Calibri"/>
              </w:rPr>
              <w:t>Not Collected</w:t>
            </w:r>
          </w:p>
        </w:tc>
      </w:tr>
      <w:tr w:rsidR="00277DDA" w:rsidRPr="00503C05" w14:paraId="017AC306" w14:textId="77777777" w:rsidTr="00940F61">
        <w:trPr>
          <w:trHeight w:val="432"/>
        </w:trPr>
        <w:tc>
          <w:tcPr>
            <w:tcW w:w="5191" w:type="dxa"/>
            <w:gridSpan w:val="2"/>
            <w:shd w:val="clear" w:color="auto" w:fill="auto"/>
          </w:tcPr>
          <w:p w14:paraId="490F9643" w14:textId="0C7F7792" w:rsidR="00277DDA" w:rsidRPr="00863287" w:rsidRDefault="00277DDA" w:rsidP="00277DDA">
            <w:pPr>
              <w:numPr>
                <w:ilvl w:val="0"/>
                <w:numId w:val="33"/>
              </w:numPr>
              <w:spacing w:before="0" w:after="0" w:line="240" w:lineRule="auto"/>
              <w:rPr>
                <w:rFonts w:cs="Calibri"/>
              </w:rPr>
            </w:pPr>
            <w:r w:rsidRPr="00DD6B2B">
              <w:rPr>
                <w:sz w:val="24"/>
                <w:szCs w:val="24"/>
              </w:rPr>
              <w:t>Total</w:t>
            </w:r>
            <w:r w:rsidRPr="00DD6B2B">
              <w:rPr>
                <w:spacing w:val="-10"/>
                <w:sz w:val="24"/>
                <w:szCs w:val="24"/>
              </w:rPr>
              <w:t xml:space="preserve"> </w:t>
            </w:r>
            <w:r w:rsidRPr="00DD6B2B">
              <w:rPr>
                <w:sz w:val="24"/>
                <w:szCs w:val="24"/>
              </w:rPr>
              <w:t>Number</w:t>
            </w:r>
            <w:r w:rsidRPr="00DD6B2B">
              <w:rPr>
                <w:spacing w:val="-10"/>
                <w:sz w:val="24"/>
                <w:szCs w:val="24"/>
              </w:rPr>
              <w:t xml:space="preserve"> </w:t>
            </w:r>
            <w:r w:rsidRPr="00DD6B2B">
              <w:rPr>
                <w:sz w:val="24"/>
                <w:szCs w:val="24"/>
              </w:rPr>
              <w:t>of</w:t>
            </w:r>
            <w:r w:rsidRPr="00DD6B2B">
              <w:rPr>
                <w:spacing w:val="-10"/>
                <w:sz w:val="24"/>
                <w:szCs w:val="24"/>
              </w:rPr>
              <w:t xml:space="preserve"> </w:t>
            </w:r>
            <w:r w:rsidRPr="00DD6B2B">
              <w:rPr>
                <w:sz w:val="24"/>
                <w:szCs w:val="24"/>
              </w:rPr>
              <w:t>Surveys</w:t>
            </w:r>
            <w:r w:rsidRPr="00DD6B2B">
              <w:rPr>
                <w:spacing w:val="-10"/>
                <w:sz w:val="24"/>
                <w:szCs w:val="24"/>
              </w:rPr>
              <w:t xml:space="preserve"> </w:t>
            </w:r>
            <w:r w:rsidRPr="00DD6B2B">
              <w:rPr>
                <w:spacing w:val="-2"/>
                <w:sz w:val="24"/>
                <w:szCs w:val="24"/>
              </w:rPr>
              <w:t>Completed</w:t>
            </w:r>
          </w:p>
        </w:tc>
        <w:tc>
          <w:tcPr>
            <w:tcW w:w="876" w:type="dxa"/>
            <w:vAlign w:val="bottom"/>
          </w:tcPr>
          <w:p w14:paraId="7604665F" w14:textId="3D463FA8" w:rsidR="00277DDA" w:rsidRDefault="00277DDA" w:rsidP="00277DDA">
            <w:pPr>
              <w:rPr>
                <w:rFonts w:cs="Calibri"/>
              </w:rPr>
            </w:pPr>
          </w:p>
        </w:tc>
        <w:tc>
          <w:tcPr>
            <w:tcW w:w="3640" w:type="dxa"/>
            <w:vAlign w:val="bottom"/>
          </w:tcPr>
          <w:p w14:paraId="21D84925" w14:textId="0C72057F" w:rsidR="00277DDA" w:rsidRPr="00863287" w:rsidRDefault="00FD492E" w:rsidP="00277DDA">
            <w:pPr>
              <w:rPr>
                <w:rFonts w:cs="Calibri"/>
              </w:rPr>
            </w:pPr>
            <w:r>
              <w:rPr>
                <w:rFonts w:cs="Calibri"/>
              </w:rPr>
              <w:t>Not Collected</w:t>
            </w:r>
          </w:p>
        </w:tc>
      </w:tr>
    </w:tbl>
    <w:p w14:paraId="6E3C5071" w14:textId="1AF6CC26" w:rsidR="00ED0230" w:rsidRDefault="00ED0230" w:rsidP="00ED0230">
      <w:pPr>
        <w:pStyle w:val="Heading2"/>
      </w:pPr>
      <w:bookmarkStart w:id="14" w:name="_Toc183614397"/>
      <w:r w:rsidRPr="00A660F1">
        <w:t>Success Stories</w:t>
      </w:r>
      <w:bookmarkEnd w:id="14"/>
    </w:p>
    <w:p w14:paraId="22694E09" w14:textId="77777777" w:rsidR="003F0843" w:rsidRPr="003F0843" w:rsidRDefault="003F0843" w:rsidP="003F0843">
      <w:pPr>
        <w:rPr>
          <w:b/>
          <w:bCs/>
        </w:rPr>
      </w:pPr>
      <w:r w:rsidRPr="003F0843">
        <w:rPr>
          <w:b/>
          <w:bCs/>
        </w:rPr>
        <w:t>Redwood Area Chamber of Commerce </w:t>
      </w:r>
    </w:p>
    <w:p w14:paraId="3CE36225" w14:textId="77777777" w:rsidR="003F0843" w:rsidRPr="003F0843" w:rsidRDefault="003F0843" w:rsidP="003F0843">
      <w:r w:rsidRPr="003F0843">
        <w:t>Redwood Area Chamber said FRWF is helping the partnership fill a need for more Certified Nursing Assistants (CNA) at the local nursing home and assisted living facility. Over the past year and a half, there have been some CNA training offerings, usually after school or in the evening. FRWF funding allowed the chamber to boost the partnership and open the door for discussions about how to improve the program. As a result, students will be able to take a credit-bearing CNA class during the school day starting in second semester of the 2024-25 school year. </w:t>
      </w:r>
    </w:p>
    <w:p w14:paraId="500CC94C" w14:textId="77777777" w:rsidR="003F0843" w:rsidRPr="003F0843" w:rsidRDefault="003F0843" w:rsidP="003F0843">
      <w:pPr>
        <w:rPr>
          <w:b/>
          <w:bCs/>
        </w:rPr>
      </w:pPr>
      <w:r w:rsidRPr="003F0843">
        <w:rPr>
          <w:b/>
          <w:bCs/>
        </w:rPr>
        <w:t>Greater Mankato Growth, Inc. </w:t>
      </w:r>
    </w:p>
    <w:p w14:paraId="15933C4F" w14:textId="77777777" w:rsidR="003F0843" w:rsidRPr="003F0843" w:rsidRDefault="003F0843" w:rsidP="003F0843">
      <w:r w:rsidRPr="003F0843">
        <w:t>Greater Mankato Growth (GMG) said one of their Mankato Area Public Schools (MAPS) had the highest number of sign-ups for internships ever during the past quarter. Because of FRWF, Greater Mankato Growth had the relationships and partnerships to ensure all interested students from East and West High Schools were placed in a formal internship with employers. GMG is working on ongoing efforts to create more annually recurring programs and engage more employers in the district, both of which will help ensure they can continue to meet the demand. In the future, GMG hopes to expand the program to Central High School. </w:t>
      </w:r>
    </w:p>
    <w:p w14:paraId="4C7D520E" w14:textId="77777777" w:rsidR="003F0843" w:rsidRPr="003F0843" w:rsidRDefault="003F0843" w:rsidP="003F0843">
      <w:r w:rsidRPr="003F0843">
        <w:t>GMG is also using FRWF funding to develop video content about the district’s Career &amp; Technical Education program. These videos, which have been discussed in previous reports, will highlight what the district is doing to prepare students for work experiences and the employer role in helping students be successful in those experiences.  </w:t>
      </w:r>
    </w:p>
    <w:p w14:paraId="202C2712" w14:textId="77777777" w:rsidR="003F0843" w:rsidRDefault="003F0843" w:rsidP="003F0843"/>
    <w:p w14:paraId="2E7B49E7" w14:textId="77777777" w:rsidR="003F0843" w:rsidRDefault="003F0843" w:rsidP="003F0843"/>
    <w:p w14:paraId="59DB6901" w14:textId="58E39941" w:rsidR="003F0843" w:rsidRPr="003F0843" w:rsidRDefault="003F0843" w:rsidP="003F0843">
      <w:pPr>
        <w:rPr>
          <w:b/>
          <w:bCs/>
        </w:rPr>
      </w:pPr>
      <w:r w:rsidRPr="003F0843">
        <w:lastRenderedPageBreak/>
        <w:t> </w:t>
      </w:r>
      <w:r w:rsidRPr="003F0843">
        <w:rPr>
          <w:b/>
          <w:bCs/>
        </w:rPr>
        <w:t>Fergus Falls Chamber of Commerce  </w:t>
      </w:r>
    </w:p>
    <w:p w14:paraId="51583AEE" w14:textId="77777777" w:rsidR="003F0843" w:rsidRPr="003F0843" w:rsidRDefault="003F0843" w:rsidP="003F0843">
      <w:r w:rsidRPr="003F0843">
        <w:t>Fergus Falls identified an unanticipated outcome when they used the grant funds to offer wage reimbursement for youth interns in high demand, high wage jobs. The wage reimbursement allowed a business partner from a local cafe to staff up more than what the owner needed. Because of the higher staffing levels, the owner was able to spend more one-on-one time with employees and provide coaching in workplace soft skills. For example, one youth employee missed a family celebration because they didn’t know how to ask for time off. The cafe owner identified this as a teaching opportunity and provided coaching to all the youth workers about how to ask for time off, including things like working on eye contact when asking for time off.  </w:t>
      </w:r>
    </w:p>
    <w:p w14:paraId="3CC61479" w14:textId="77777777" w:rsidR="003F0843" w:rsidRPr="003F0843" w:rsidRDefault="003F0843" w:rsidP="003F0843">
      <w:pPr>
        <w:rPr>
          <w:b/>
          <w:bCs/>
        </w:rPr>
      </w:pPr>
      <w:r w:rsidRPr="003F0843">
        <w:rPr>
          <w:b/>
          <w:bCs/>
        </w:rPr>
        <w:t>Faribault Area Chamber of Commerce  </w:t>
      </w:r>
    </w:p>
    <w:p w14:paraId="160C2B6B" w14:textId="77777777" w:rsidR="003F0843" w:rsidRPr="003F0843" w:rsidRDefault="003F0843" w:rsidP="003F0843">
      <w:r w:rsidRPr="003F0843">
        <w:t xml:space="preserve">Faribault Area Chamber of Commerce has previously reported that the FRWF grant has supported the creation of new positions in the area. Among the newly created positions is a paid teaching assistant role for bilingual Faribault C2C Career Academy high school youth. Teaching assistants work with Faribault’s new-to-country students, many of whom have very limited English skills. Because </w:t>
      </w:r>
      <w:proofErr w:type="gramStart"/>
      <w:r w:rsidRPr="003F0843">
        <w:t>the vast majority of</w:t>
      </w:r>
      <w:proofErr w:type="gramEnd"/>
      <w:r w:rsidRPr="003F0843">
        <w:t xml:space="preserve"> Faribault’s teaching staff does not speak Spanish or Somali, these teaching assistant positions are “vital links in connecting these new students with their teachers, school, and learning,” while also providing paid experience in the education field.  As one of the supervising teachers noted this quarter:  </w:t>
      </w:r>
    </w:p>
    <w:p w14:paraId="6BEA69F5" w14:textId="77777777" w:rsidR="003F0843" w:rsidRPr="003F0843" w:rsidRDefault="003F0843" w:rsidP="003F0843">
      <w:r w:rsidRPr="003F0843">
        <w:t xml:space="preserve">“It has been marvelous to have [the Academy student – name withheld for confidentiality]. It’s immensely beneficial to [the new-to-county students], but it has been helpful to all my students. It helps to </w:t>
      </w:r>
      <w:proofErr w:type="gramStart"/>
      <w:r w:rsidRPr="003F0843">
        <w:t>open up</w:t>
      </w:r>
      <w:proofErr w:type="gramEnd"/>
      <w:r w:rsidRPr="003F0843">
        <w:t xml:space="preserve"> access and to provide additional support. [Academy student] is incredibly respectful and a real joy to work with.” - Faribault C2C Career Academy supervising teacher </w:t>
      </w:r>
    </w:p>
    <w:p w14:paraId="684EAF38" w14:textId="40D9A80F" w:rsidR="003F0843" w:rsidRPr="003F0843" w:rsidRDefault="003F0843" w:rsidP="003F0843">
      <w:pPr>
        <w:rPr>
          <w:b/>
          <w:bCs/>
        </w:rPr>
      </w:pPr>
      <w:r w:rsidRPr="003F0843">
        <w:rPr>
          <w:b/>
          <w:bCs/>
        </w:rPr>
        <w:t>Lakeville Chamber of Commerce </w:t>
      </w:r>
    </w:p>
    <w:p w14:paraId="27EB3EE2" w14:textId="4ACEDCFD" w:rsidR="003F0843" w:rsidRPr="003F0843" w:rsidRDefault="003F0843" w:rsidP="003F0843">
      <w:r w:rsidRPr="003F0843">
        <w:t xml:space="preserve">In Q2, 27 students completed the 20-hour </w:t>
      </w:r>
      <w:proofErr w:type="gramStart"/>
      <w:r w:rsidRPr="003F0843">
        <w:t>work based</w:t>
      </w:r>
      <w:proofErr w:type="gramEnd"/>
      <w:r w:rsidRPr="003F0843">
        <w:t xml:space="preserve"> learning and exploration summer program. In Q3, Lakeville Chamber of Commerce has been working on placing students in a 20-hour internship placement based on the preferences students identified during the summer program. Some students have completed their internships and others will be completed this semester. The chamber hired one of the interns who was interested in marketing. The intern has been working on the chamber’s social media, including producing videos from events.  </w:t>
      </w:r>
    </w:p>
    <w:p w14:paraId="06D83C98" w14:textId="77777777" w:rsidR="003F0843" w:rsidRPr="003F0843" w:rsidRDefault="003F0843" w:rsidP="003F0843">
      <w:pPr>
        <w:rPr>
          <w:b/>
          <w:bCs/>
        </w:rPr>
      </w:pPr>
      <w:r w:rsidRPr="003F0843">
        <w:rPr>
          <w:b/>
          <w:bCs/>
        </w:rPr>
        <w:t>Owatonna Chamber of Commerce </w:t>
      </w:r>
    </w:p>
    <w:p w14:paraId="30995A8D" w14:textId="77777777" w:rsidR="003F0843" w:rsidRDefault="003F0843" w:rsidP="003F0843">
      <w:r w:rsidRPr="003F0843">
        <w:t>Owatonna Chamber of Commerce shared an example of how FRWF helped them to better support students and local business partners. The partnership had one student who came in with a work experience that wasn’t a good fit for the student or employer. Rather than force an unsuccessful placement or give up on the student, Owatonna identified a small local manufacturer that was a better fit for the student. This led to a better work experience for the student and a stronger partnership with local businesses. </w:t>
      </w:r>
    </w:p>
    <w:p w14:paraId="1D12D98E" w14:textId="77777777" w:rsidR="003F0843" w:rsidRDefault="003F0843" w:rsidP="003F0843">
      <w:pPr>
        <w:rPr>
          <w:b/>
          <w:bCs/>
        </w:rPr>
      </w:pPr>
    </w:p>
    <w:p w14:paraId="29E0E280" w14:textId="77777777" w:rsidR="003F0843" w:rsidRDefault="003F0843" w:rsidP="003F0843">
      <w:pPr>
        <w:rPr>
          <w:b/>
          <w:bCs/>
        </w:rPr>
      </w:pPr>
    </w:p>
    <w:p w14:paraId="197D1386" w14:textId="7730E57D" w:rsidR="003F0843" w:rsidRPr="003F0843" w:rsidRDefault="003F0843" w:rsidP="003F0843">
      <w:pPr>
        <w:rPr>
          <w:b/>
          <w:bCs/>
        </w:rPr>
      </w:pPr>
      <w:r w:rsidRPr="003F0843">
        <w:rPr>
          <w:b/>
          <w:bCs/>
        </w:rPr>
        <w:lastRenderedPageBreak/>
        <w:t>Brainerd Lakes Chamber of Commerce/Bridges  </w:t>
      </w:r>
    </w:p>
    <w:p w14:paraId="6E62BF6A" w14:textId="77777777" w:rsidR="003F0843" w:rsidRPr="003F0843" w:rsidRDefault="003F0843" w:rsidP="003F0843">
      <w:r w:rsidRPr="003F0843">
        <w:t>Brainerd Lakes said FRWF allowed them to leverage long-time involvement with Lakes Area Manufacturing Alliance (LAMA), Chamber and Bridges Workplace Connection to build up interest in manufacturing careers through internships. In spring 2024, the partnership offered a Career Exploration Day for 3,500 middle and high school students. During the event over 500+ students participated in the production and assembly of products made by materials from 8 different manufacturers to create a gift to take home. In October 2024, over 200 students participated in manufacturing tours at companies around the area. As a result of the work, eight companies signed up to offer a combined total of 40-50 internships. As of October 2024, four students signed up for a fall internship. In summer 2025, Bridges Workplace Connection will add the manufacturing summer camp for 8th and 9th grade students to their camp schedule of offerings. </w:t>
      </w:r>
    </w:p>
    <w:p w14:paraId="6ED2EC48" w14:textId="0400A67A" w:rsidR="00873474" w:rsidRPr="00873474" w:rsidRDefault="00765222" w:rsidP="00873474">
      <w:r>
        <w:t xml:space="preserve">Partnership Success: </w:t>
      </w:r>
      <w:r w:rsidRPr="00765222">
        <w:t>Most chambers said FRWF was one of the simplest, most well-supported grants they have worked with. They appreciated that GTCUW is looking for the best ways to use the funding and is flexible within the program constraints. They said future grant recipients should work with GTCUW to find ways to use the funds to best meet the needs of their communities.  </w:t>
      </w:r>
    </w:p>
    <w:sectPr w:rsidR="00873474" w:rsidRPr="00873474" w:rsidSect="00EB251D">
      <w:headerReference w:type="even" r:id="rId17"/>
      <w:headerReference w:type="default" r:id="rId18"/>
      <w:headerReference w:type="first" r:id="rId19"/>
      <w:pgSz w:w="12240" w:h="15840" w:code="1"/>
      <w:pgMar w:top="1728"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923B1" w14:textId="77777777" w:rsidR="00C9011C" w:rsidRDefault="00C9011C" w:rsidP="00D247F6">
      <w:r>
        <w:separator/>
      </w:r>
    </w:p>
  </w:endnote>
  <w:endnote w:type="continuationSeparator" w:id="0">
    <w:p w14:paraId="7075640E" w14:textId="77777777" w:rsidR="00C9011C" w:rsidRDefault="00C9011C" w:rsidP="00D2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12AB" w14:textId="06B13D29" w:rsidR="00324E7E" w:rsidRPr="00324E7E" w:rsidRDefault="00742581" w:rsidP="00324E7E">
    <w:pPr>
      <w:pStyle w:val="Footer"/>
      <w:jc w:val="right"/>
    </w:pPr>
    <w:r>
      <w:t>Greater Twin Cities United Way</w:t>
    </w:r>
    <w:r w:rsidR="00193300">
      <w:t xml:space="preserve"> Direct Appropriation </w:t>
    </w:r>
    <w:r w:rsidR="00B917C0">
      <w:t xml:space="preserve">2024 </w:t>
    </w:r>
    <w:r w:rsidR="00193300">
      <w:t>Legislative Report</w:t>
    </w:r>
    <w:r w:rsidR="00324E7E" w:rsidRPr="00AF5107">
      <w:tab/>
    </w:r>
    <w:r w:rsidR="00324E7E" w:rsidRPr="00AF5107">
      <w:fldChar w:fldCharType="begin"/>
    </w:r>
    <w:r w:rsidR="00324E7E" w:rsidRPr="00AF5107">
      <w:instrText xml:space="preserve"> PAGE   \* MERGEFORMAT </w:instrText>
    </w:r>
    <w:r w:rsidR="00324E7E" w:rsidRPr="00AF5107">
      <w:fldChar w:fldCharType="separate"/>
    </w:r>
    <w:r w:rsidR="00100675">
      <w:rPr>
        <w:noProof/>
      </w:rPr>
      <w:t>4</w:t>
    </w:r>
    <w:r w:rsidR="00324E7E"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9228" w14:textId="5CD3588F" w:rsidR="00ED0230" w:rsidRDefault="00742581">
    <w:pPr>
      <w:pStyle w:val="Footer"/>
    </w:pPr>
    <w:r>
      <w:t>Greater Twin Cities United Way</w:t>
    </w:r>
    <w:r w:rsidR="00ED0230">
      <w:t xml:space="preserve"> Direct Appropriation 2024 Legislative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4B08E" w14:textId="77777777" w:rsidR="00C9011C" w:rsidRDefault="00C9011C" w:rsidP="00D247F6">
      <w:r>
        <w:separator/>
      </w:r>
    </w:p>
  </w:footnote>
  <w:footnote w:type="continuationSeparator" w:id="0">
    <w:p w14:paraId="7224B5C6" w14:textId="77777777" w:rsidR="00C9011C" w:rsidRDefault="00C9011C" w:rsidP="00D2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1E7A" w14:textId="57D7491A" w:rsidR="00193300" w:rsidRDefault="00193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E180" w14:textId="791C4482" w:rsidR="00193300" w:rsidRDefault="001933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911B" w14:textId="5505BAAC" w:rsidR="00622BB5" w:rsidRPr="005666F2" w:rsidRDefault="00622BB5" w:rsidP="00D24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2C54B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F955DA"/>
    <w:multiLevelType w:val="hybridMultilevel"/>
    <w:tmpl w:val="4C361786"/>
    <w:lvl w:ilvl="0" w:tplc="F23ED0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B49B3"/>
    <w:multiLevelType w:val="hybridMultilevel"/>
    <w:tmpl w:val="16562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DA03F9"/>
    <w:multiLevelType w:val="hybridMultilevel"/>
    <w:tmpl w:val="1E1C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5D4857"/>
    <w:multiLevelType w:val="hybridMultilevel"/>
    <w:tmpl w:val="1B6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C24BA4"/>
    <w:multiLevelType w:val="hybridMultilevel"/>
    <w:tmpl w:val="700CF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04F82"/>
    <w:multiLevelType w:val="hybridMultilevel"/>
    <w:tmpl w:val="700CF1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13A2051"/>
    <w:multiLevelType w:val="hybridMultilevel"/>
    <w:tmpl w:val="E9E6C3D8"/>
    <w:lvl w:ilvl="0" w:tplc="135E8020">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1"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9A7567"/>
    <w:multiLevelType w:val="hybridMultilevel"/>
    <w:tmpl w:val="4B764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C179D"/>
    <w:multiLevelType w:val="hybridMultilevel"/>
    <w:tmpl w:val="9D741B30"/>
    <w:lvl w:ilvl="0" w:tplc="08FCE4EA">
      <w:start w:val="1"/>
      <w:numFmt w:val="upperLetter"/>
      <w:lvlText w:val="%1."/>
      <w:lvlJc w:val="left"/>
      <w:pPr>
        <w:ind w:left="504" w:hanging="360"/>
      </w:pPr>
      <w:rPr>
        <w:rFonts w:hint="default"/>
        <w:b/>
        <w:color w:val="00000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16cid:durableId="547961766">
    <w:abstractNumId w:val="3"/>
  </w:num>
  <w:num w:numId="2" w16cid:durableId="1312059139">
    <w:abstractNumId w:val="6"/>
  </w:num>
  <w:num w:numId="3" w16cid:durableId="1591815255">
    <w:abstractNumId w:val="25"/>
  </w:num>
  <w:num w:numId="4" w16cid:durableId="819882169">
    <w:abstractNumId w:val="23"/>
  </w:num>
  <w:num w:numId="5" w16cid:durableId="2021157416">
    <w:abstractNumId w:val="21"/>
  </w:num>
  <w:num w:numId="6" w16cid:durableId="333580436">
    <w:abstractNumId w:val="4"/>
  </w:num>
  <w:num w:numId="7" w16cid:durableId="373114442">
    <w:abstractNumId w:val="16"/>
  </w:num>
  <w:num w:numId="8" w16cid:durableId="1764648336">
    <w:abstractNumId w:val="9"/>
  </w:num>
  <w:num w:numId="9" w16cid:durableId="1061749424">
    <w:abstractNumId w:val="14"/>
  </w:num>
  <w:num w:numId="10" w16cid:durableId="4863181">
    <w:abstractNumId w:val="2"/>
  </w:num>
  <w:num w:numId="11" w16cid:durableId="110708309">
    <w:abstractNumId w:val="2"/>
  </w:num>
  <w:num w:numId="12" w16cid:durableId="1340619089">
    <w:abstractNumId w:val="26"/>
  </w:num>
  <w:num w:numId="13" w16cid:durableId="229310602">
    <w:abstractNumId w:val="28"/>
  </w:num>
  <w:num w:numId="14" w16cid:durableId="751271879">
    <w:abstractNumId w:val="19"/>
  </w:num>
  <w:num w:numId="15" w16cid:durableId="1790050891">
    <w:abstractNumId w:val="2"/>
  </w:num>
  <w:num w:numId="16" w16cid:durableId="1361859077">
    <w:abstractNumId w:val="28"/>
  </w:num>
  <w:num w:numId="17" w16cid:durableId="1921869675">
    <w:abstractNumId w:val="19"/>
  </w:num>
  <w:num w:numId="18" w16cid:durableId="1077748727">
    <w:abstractNumId w:val="11"/>
  </w:num>
  <w:num w:numId="19" w16cid:durableId="745491084">
    <w:abstractNumId w:val="5"/>
  </w:num>
  <w:num w:numId="20" w16cid:durableId="1147209592">
    <w:abstractNumId w:val="1"/>
  </w:num>
  <w:num w:numId="21" w16cid:durableId="1508715861">
    <w:abstractNumId w:val="0"/>
  </w:num>
  <w:num w:numId="22" w16cid:durableId="588932190">
    <w:abstractNumId w:val="10"/>
  </w:num>
  <w:num w:numId="23" w16cid:durableId="73861263">
    <w:abstractNumId w:val="22"/>
  </w:num>
  <w:num w:numId="24" w16cid:durableId="1299148794">
    <w:abstractNumId w:val="24"/>
  </w:num>
  <w:num w:numId="25" w16cid:durableId="1969430527">
    <w:abstractNumId w:val="12"/>
  </w:num>
  <w:num w:numId="26" w16cid:durableId="619608475">
    <w:abstractNumId w:val="7"/>
  </w:num>
  <w:num w:numId="27" w16cid:durableId="2031830608">
    <w:abstractNumId w:val="15"/>
  </w:num>
  <w:num w:numId="28" w16cid:durableId="869612207">
    <w:abstractNumId w:val="27"/>
  </w:num>
  <w:num w:numId="29" w16cid:durableId="1746957295">
    <w:abstractNumId w:val="17"/>
  </w:num>
  <w:num w:numId="30" w16cid:durableId="1505509025">
    <w:abstractNumId w:val="20"/>
  </w:num>
  <w:num w:numId="31" w16cid:durableId="1029792856">
    <w:abstractNumId w:val="29"/>
  </w:num>
  <w:num w:numId="32" w16cid:durableId="293758358">
    <w:abstractNumId w:val="13"/>
  </w:num>
  <w:num w:numId="33" w16cid:durableId="1115443014">
    <w:abstractNumId w:val="18"/>
  </w:num>
  <w:num w:numId="34" w16cid:durableId="105535676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54C"/>
    <w:rsid w:val="00002DEC"/>
    <w:rsid w:val="000065AC"/>
    <w:rsid w:val="00006A0A"/>
    <w:rsid w:val="00014777"/>
    <w:rsid w:val="000158A7"/>
    <w:rsid w:val="000233BF"/>
    <w:rsid w:val="000261E8"/>
    <w:rsid w:val="00061C98"/>
    <w:rsid w:val="00064B90"/>
    <w:rsid w:val="0007374A"/>
    <w:rsid w:val="00074A30"/>
    <w:rsid w:val="0007512E"/>
    <w:rsid w:val="00077F82"/>
    <w:rsid w:val="00080404"/>
    <w:rsid w:val="00084742"/>
    <w:rsid w:val="000B2E68"/>
    <w:rsid w:val="000C3708"/>
    <w:rsid w:val="000C3761"/>
    <w:rsid w:val="000C7373"/>
    <w:rsid w:val="000D58EC"/>
    <w:rsid w:val="000D6F0D"/>
    <w:rsid w:val="000E313B"/>
    <w:rsid w:val="000E3E9D"/>
    <w:rsid w:val="000F4BB1"/>
    <w:rsid w:val="00100675"/>
    <w:rsid w:val="00135082"/>
    <w:rsid w:val="00135DC7"/>
    <w:rsid w:val="00147ED1"/>
    <w:rsid w:val="001500D6"/>
    <w:rsid w:val="00157C41"/>
    <w:rsid w:val="00161927"/>
    <w:rsid w:val="001661D9"/>
    <w:rsid w:val="001708EC"/>
    <w:rsid w:val="0017148C"/>
    <w:rsid w:val="00190FAC"/>
    <w:rsid w:val="001925A8"/>
    <w:rsid w:val="00193300"/>
    <w:rsid w:val="001961CB"/>
    <w:rsid w:val="0019673D"/>
    <w:rsid w:val="00196EBA"/>
    <w:rsid w:val="001A46BB"/>
    <w:rsid w:val="001B20E6"/>
    <w:rsid w:val="001C4B91"/>
    <w:rsid w:val="001C55E0"/>
    <w:rsid w:val="001D2CE4"/>
    <w:rsid w:val="001E160D"/>
    <w:rsid w:val="001E5ECF"/>
    <w:rsid w:val="001F278F"/>
    <w:rsid w:val="00211CA3"/>
    <w:rsid w:val="00222A49"/>
    <w:rsid w:val="0022552E"/>
    <w:rsid w:val="00227D62"/>
    <w:rsid w:val="00261247"/>
    <w:rsid w:val="00264652"/>
    <w:rsid w:val="002667A9"/>
    <w:rsid w:val="0027051A"/>
    <w:rsid w:val="00274294"/>
    <w:rsid w:val="00277822"/>
    <w:rsid w:val="00277DDA"/>
    <w:rsid w:val="00282084"/>
    <w:rsid w:val="00287FA4"/>
    <w:rsid w:val="00291052"/>
    <w:rsid w:val="002A2AFC"/>
    <w:rsid w:val="002B5E79"/>
    <w:rsid w:val="002C0859"/>
    <w:rsid w:val="002F1947"/>
    <w:rsid w:val="0030060B"/>
    <w:rsid w:val="00301E8C"/>
    <w:rsid w:val="00306D94"/>
    <w:rsid w:val="003125DF"/>
    <w:rsid w:val="00315FC1"/>
    <w:rsid w:val="00324E7E"/>
    <w:rsid w:val="003253B6"/>
    <w:rsid w:val="00335736"/>
    <w:rsid w:val="0034554C"/>
    <w:rsid w:val="0034728D"/>
    <w:rsid w:val="003563D2"/>
    <w:rsid w:val="00364F93"/>
    <w:rsid w:val="00367E1E"/>
    <w:rsid w:val="00376FA5"/>
    <w:rsid w:val="00387693"/>
    <w:rsid w:val="00392B94"/>
    <w:rsid w:val="003A1479"/>
    <w:rsid w:val="003A1813"/>
    <w:rsid w:val="003B7D82"/>
    <w:rsid w:val="003C4644"/>
    <w:rsid w:val="003C5BE3"/>
    <w:rsid w:val="003C6315"/>
    <w:rsid w:val="003F0843"/>
    <w:rsid w:val="003F61EE"/>
    <w:rsid w:val="00413A7C"/>
    <w:rsid w:val="004141DD"/>
    <w:rsid w:val="00447199"/>
    <w:rsid w:val="00461804"/>
    <w:rsid w:val="004626E3"/>
    <w:rsid w:val="00463AD5"/>
    <w:rsid w:val="00466810"/>
    <w:rsid w:val="004816B5"/>
    <w:rsid w:val="00483DD2"/>
    <w:rsid w:val="00490BD7"/>
    <w:rsid w:val="00494E6F"/>
    <w:rsid w:val="004A1B4D"/>
    <w:rsid w:val="004A58DD"/>
    <w:rsid w:val="004A6119"/>
    <w:rsid w:val="004B3DF0"/>
    <w:rsid w:val="004B47DC"/>
    <w:rsid w:val="004C04F1"/>
    <w:rsid w:val="004D5320"/>
    <w:rsid w:val="004E2555"/>
    <w:rsid w:val="004E75B3"/>
    <w:rsid w:val="004F04BA"/>
    <w:rsid w:val="004F0EFF"/>
    <w:rsid w:val="004F2B6E"/>
    <w:rsid w:val="004F33A6"/>
    <w:rsid w:val="0050093F"/>
    <w:rsid w:val="005140EC"/>
    <w:rsid w:val="00514788"/>
    <w:rsid w:val="0053078F"/>
    <w:rsid w:val="00536245"/>
    <w:rsid w:val="0054371B"/>
    <w:rsid w:val="00555B93"/>
    <w:rsid w:val="00561A69"/>
    <w:rsid w:val="0056615E"/>
    <w:rsid w:val="005666F2"/>
    <w:rsid w:val="005724D6"/>
    <w:rsid w:val="00575EFD"/>
    <w:rsid w:val="005769A5"/>
    <w:rsid w:val="005A58F9"/>
    <w:rsid w:val="005A5A73"/>
    <w:rsid w:val="005B2DDF"/>
    <w:rsid w:val="005B4AE7"/>
    <w:rsid w:val="005B53B0"/>
    <w:rsid w:val="005C5855"/>
    <w:rsid w:val="005C5FC6"/>
    <w:rsid w:val="005C672C"/>
    <w:rsid w:val="005D4207"/>
    <w:rsid w:val="005D45B3"/>
    <w:rsid w:val="005E2605"/>
    <w:rsid w:val="005F5506"/>
    <w:rsid w:val="005F6005"/>
    <w:rsid w:val="006064AB"/>
    <w:rsid w:val="006229CF"/>
    <w:rsid w:val="00622BB5"/>
    <w:rsid w:val="00624CFF"/>
    <w:rsid w:val="00633855"/>
    <w:rsid w:val="00634E82"/>
    <w:rsid w:val="00640B88"/>
    <w:rsid w:val="00655345"/>
    <w:rsid w:val="00662C20"/>
    <w:rsid w:val="00672536"/>
    <w:rsid w:val="006755A2"/>
    <w:rsid w:val="00681EDC"/>
    <w:rsid w:val="0068649F"/>
    <w:rsid w:val="00687189"/>
    <w:rsid w:val="00697CCC"/>
    <w:rsid w:val="006B0D98"/>
    <w:rsid w:val="006B13B7"/>
    <w:rsid w:val="006B2942"/>
    <w:rsid w:val="006B3994"/>
    <w:rsid w:val="006C077B"/>
    <w:rsid w:val="006C0E45"/>
    <w:rsid w:val="006D4829"/>
    <w:rsid w:val="006F3B38"/>
    <w:rsid w:val="007124DA"/>
    <w:rsid w:val="007137A4"/>
    <w:rsid w:val="0071469D"/>
    <w:rsid w:val="007225DF"/>
    <w:rsid w:val="007371AC"/>
    <w:rsid w:val="00742581"/>
    <w:rsid w:val="00745873"/>
    <w:rsid w:val="0074778B"/>
    <w:rsid w:val="007511B5"/>
    <w:rsid w:val="00765222"/>
    <w:rsid w:val="007655C9"/>
    <w:rsid w:val="007658D0"/>
    <w:rsid w:val="0077225E"/>
    <w:rsid w:val="0077552B"/>
    <w:rsid w:val="00781701"/>
    <w:rsid w:val="00793F48"/>
    <w:rsid w:val="007B038E"/>
    <w:rsid w:val="007B35B2"/>
    <w:rsid w:val="007C4A88"/>
    <w:rsid w:val="007C7ADC"/>
    <w:rsid w:val="007D0221"/>
    <w:rsid w:val="007D1FFF"/>
    <w:rsid w:val="007D42A0"/>
    <w:rsid w:val="007E0CAA"/>
    <w:rsid w:val="007E685C"/>
    <w:rsid w:val="007F6108"/>
    <w:rsid w:val="007F7097"/>
    <w:rsid w:val="008067A6"/>
    <w:rsid w:val="00812D92"/>
    <w:rsid w:val="00814C62"/>
    <w:rsid w:val="008251B3"/>
    <w:rsid w:val="00844F1D"/>
    <w:rsid w:val="00844F51"/>
    <w:rsid w:val="0084749F"/>
    <w:rsid w:val="008533D4"/>
    <w:rsid w:val="008601DB"/>
    <w:rsid w:val="00864202"/>
    <w:rsid w:val="00870DC1"/>
    <w:rsid w:val="00873474"/>
    <w:rsid w:val="008767E5"/>
    <w:rsid w:val="008A7204"/>
    <w:rsid w:val="008B2BFB"/>
    <w:rsid w:val="008B5443"/>
    <w:rsid w:val="008C7EEB"/>
    <w:rsid w:val="008D0DEF"/>
    <w:rsid w:val="008D2256"/>
    <w:rsid w:val="008D5E3D"/>
    <w:rsid w:val="008F4308"/>
    <w:rsid w:val="0090737A"/>
    <w:rsid w:val="0091080C"/>
    <w:rsid w:val="0091746E"/>
    <w:rsid w:val="00930899"/>
    <w:rsid w:val="009367B6"/>
    <w:rsid w:val="009440E4"/>
    <w:rsid w:val="0096108C"/>
    <w:rsid w:val="00963BA0"/>
    <w:rsid w:val="00967764"/>
    <w:rsid w:val="009810EE"/>
    <w:rsid w:val="00984CC9"/>
    <w:rsid w:val="0099233F"/>
    <w:rsid w:val="009A66AE"/>
    <w:rsid w:val="009B4090"/>
    <w:rsid w:val="009B54A0"/>
    <w:rsid w:val="009C6405"/>
    <w:rsid w:val="009E4627"/>
    <w:rsid w:val="00A06A05"/>
    <w:rsid w:val="00A202DC"/>
    <w:rsid w:val="00A21C0E"/>
    <w:rsid w:val="00A25DD4"/>
    <w:rsid w:val="00A30799"/>
    <w:rsid w:val="00A5181C"/>
    <w:rsid w:val="00A57FE8"/>
    <w:rsid w:val="00A64ECE"/>
    <w:rsid w:val="00A660F1"/>
    <w:rsid w:val="00A66185"/>
    <w:rsid w:val="00A71CAD"/>
    <w:rsid w:val="00A731A2"/>
    <w:rsid w:val="00A827C1"/>
    <w:rsid w:val="00A82A78"/>
    <w:rsid w:val="00A93F40"/>
    <w:rsid w:val="00A96F93"/>
    <w:rsid w:val="00AA4B22"/>
    <w:rsid w:val="00AD2CD6"/>
    <w:rsid w:val="00AE5772"/>
    <w:rsid w:val="00AF22AD"/>
    <w:rsid w:val="00AF5107"/>
    <w:rsid w:val="00B007FF"/>
    <w:rsid w:val="00B027A8"/>
    <w:rsid w:val="00B04998"/>
    <w:rsid w:val="00B06264"/>
    <w:rsid w:val="00B07C8F"/>
    <w:rsid w:val="00B275D4"/>
    <w:rsid w:val="00B31F41"/>
    <w:rsid w:val="00B545E5"/>
    <w:rsid w:val="00B75051"/>
    <w:rsid w:val="00B859DE"/>
    <w:rsid w:val="00B917C0"/>
    <w:rsid w:val="00BA23A4"/>
    <w:rsid w:val="00BA3445"/>
    <w:rsid w:val="00BA5500"/>
    <w:rsid w:val="00BB297E"/>
    <w:rsid w:val="00BD0E59"/>
    <w:rsid w:val="00C01703"/>
    <w:rsid w:val="00C12D2F"/>
    <w:rsid w:val="00C14F08"/>
    <w:rsid w:val="00C277A8"/>
    <w:rsid w:val="00C309AE"/>
    <w:rsid w:val="00C356DB"/>
    <w:rsid w:val="00C365CE"/>
    <w:rsid w:val="00C417EB"/>
    <w:rsid w:val="00C528AE"/>
    <w:rsid w:val="00C61688"/>
    <w:rsid w:val="00C66730"/>
    <w:rsid w:val="00C9011C"/>
    <w:rsid w:val="00CB1603"/>
    <w:rsid w:val="00CC524E"/>
    <w:rsid w:val="00CE45B0"/>
    <w:rsid w:val="00CF625F"/>
    <w:rsid w:val="00D0014D"/>
    <w:rsid w:val="00D064DF"/>
    <w:rsid w:val="00D22819"/>
    <w:rsid w:val="00D22C71"/>
    <w:rsid w:val="00D247F6"/>
    <w:rsid w:val="00D50BC5"/>
    <w:rsid w:val="00D511F0"/>
    <w:rsid w:val="00D54EE5"/>
    <w:rsid w:val="00D63F82"/>
    <w:rsid w:val="00D640FC"/>
    <w:rsid w:val="00D70F7D"/>
    <w:rsid w:val="00D80D0A"/>
    <w:rsid w:val="00D817C7"/>
    <w:rsid w:val="00D92929"/>
    <w:rsid w:val="00D93C2E"/>
    <w:rsid w:val="00D970A5"/>
    <w:rsid w:val="00DA212A"/>
    <w:rsid w:val="00DB0BE6"/>
    <w:rsid w:val="00DB1B86"/>
    <w:rsid w:val="00DB4967"/>
    <w:rsid w:val="00DB4F42"/>
    <w:rsid w:val="00DC4B3C"/>
    <w:rsid w:val="00DE50CB"/>
    <w:rsid w:val="00DF6662"/>
    <w:rsid w:val="00DF71E0"/>
    <w:rsid w:val="00E05639"/>
    <w:rsid w:val="00E06CB3"/>
    <w:rsid w:val="00E206AE"/>
    <w:rsid w:val="00E23397"/>
    <w:rsid w:val="00E32CD7"/>
    <w:rsid w:val="00E41BD2"/>
    <w:rsid w:val="00E44EE1"/>
    <w:rsid w:val="00E5241D"/>
    <w:rsid w:val="00E5680C"/>
    <w:rsid w:val="00E61A16"/>
    <w:rsid w:val="00E76267"/>
    <w:rsid w:val="00EA0EB1"/>
    <w:rsid w:val="00EA535B"/>
    <w:rsid w:val="00EB251D"/>
    <w:rsid w:val="00EB2B13"/>
    <w:rsid w:val="00EC24AF"/>
    <w:rsid w:val="00EC579D"/>
    <w:rsid w:val="00ED0230"/>
    <w:rsid w:val="00ED5BDC"/>
    <w:rsid w:val="00ED60A8"/>
    <w:rsid w:val="00ED7DAC"/>
    <w:rsid w:val="00EF7D8D"/>
    <w:rsid w:val="00F067A6"/>
    <w:rsid w:val="00F164F6"/>
    <w:rsid w:val="00F20B25"/>
    <w:rsid w:val="00F4703F"/>
    <w:rsid w:val="00F6052E"/>
    <w:rsid w:val="00F6416E"/>
    <w:rsid w:val="00F70C03"/>
    <w:rsid w:val="00F80B97"/>
    <w:rsid w:val="00F9084A"/>
    <w:rsid w:val="00FB6E40"/>
    <w:rsid w:val="00FC61A2"/>
    <w:rsid w:val="00FD1CCB"/>
    <w:rsid w:val="00FD492E"/>
    <w:rsid w:val="00FD7A7E"/>
    <w:rsid w:val="00FF2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2"/>
    </o:shapelayout>
  </w:shapeDefaults>
  <w:decimalSymbol w:val="."/>
  <w:listSeparator w:val=","/>
  <w14:docId w14:val="7FD0902D"/>
  <w15:docId w15:val="{517DBA7B-C563-4321-8A89-55E0E435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693"/>
    <w:pPr>
      <w:spacing w:before="200" w:after="200"/>
    </w:pPr>
  </w:style>
  <w:style w:type="paragraph" w:styleId="Heading1">
    <w:name w:val="heading 1"/>
    <w:next w:val="Normal"/>
    <w:link w:val="Heading1Char"/>
    <w:uiPriority w:val="1"/>
    <w:qFormat/>
    <w:rsid w:val="007124DA"/>
    <w:pPr>
      <w:keepNext/>
      <w:keepLines/>
      <w:tabs>
        <w:tab w:val="left" w:pos="3345"/>
      </w:tabs>
      <w:spacing w:before="240" w:after="120"/>
      <w:jc w:val="right"/>
      <w:outlineLvl w:val="0"/>
    </w:pPr>
    <w:rPr>
      <w:b/>
      <w:color w:val="003865"/>
      <w:sz w:val="48"/>
      <w:szCs w:val="48"/>
    </w:rPr>
  </w:style>
  <w:style w:type="paragraph" w:styleId="Heading2">
    <w:name w:val="heading 2"/>
    <w:next w:val="Normal"/>
    <w:link w:val="Heading2Char"/>
    <w:uiPriority w:val="1"/>
    <w:qFormat/>
    <w:rsid w:val="00324E7E"/>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624CFF"/>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324E7E"/>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DB0BE6"/>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DB0BE6"/>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24DA"/>
    <w:rPr>
      <w:b/>
      <w:color w:val="003865"/>
      <w:sz w:val="48"/>
      <w:szCs w:val="48"/>
    </w:rPr>
  </w:style>
  <w:style w:type="character" w:customStyle="1" w:styleId="Heading2Char">
    <w:name w:val="Heading 2 Char"/>
    <w:basedOn w:val="DefaultParagraphFont"/>
    <w:link w:val="Heading2"/>
    <w:uiPriority w:val="1"/>
    <w:rsid w:val="00324E7E"/>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624CFF"/>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324E7E"/>
    <w:rPr>
      <w:rFonts w:eastAsiaTheme="majorEastAsia" w:cstheme="majorBidi"/>
      <w:i/>
      <w:sz w:val="24"/>
      <w:szCs w:val="24"/>
    </w:rPr>
  </w:style>
  <w:style w:type="character" w:customStyle="1" w:styleId="Heading5Char">
    <w:name w:val="Heading 5 Char"/>
    <w:basedOn w:val="DefaultParagraphFont"/>
    <w:link w:val="Heading5"/>
    <w:uiPriority w:val="1"/>
    <w:rsid w:val="00DB0BE6"/>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DB0BE6"/>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324E7E"/>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324E7E"/>
    <w:rPr>
      <w:b/>
      <w:i/>
      <w:iCs/>
      <w:color w:val="auto"/>
    </w:rPr>
  </w:style>
  <w:style w:type="paragraph" w:styleId="IntenseQuote">
    <w:name w:val="Intense Quote"/>
    <w:basedOn w:val="Normal"/>
    <w:next w:val="Normal"/>
    <w:link w:val="IntenseQuoteChar"/>
    <w:uiPriority w:val="30"/>
    <w:qFormat/>
    <w:rsid w:val="0034728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34728D"/>
    <w:rPr>
      <w:rFonts w:asciiTheme="minorHAnsi" w:hAnsiTheme="minorHAnsi"/>
      <w:i/>
      <w:iCs/>
      <w:color w:val="003865" w:themeColor="accent1"/>
      <w:sz w:val="26"/>
      <w:lang w:bidi="ar-SA"/>
    </w:rPr>
  </w:style>
  <w:style w:type="paragraph" w:styleId="ListNumber">
    <w:name w:val="List Number"/>
    <w:basedOn w:val="Normal"/>
    <w:semiHidden/>
    <w:rsid w:val="00D247F6"/>
    <w:pPr>
      <w:numPr>
        <w:numId w:val="15"/>
      </w:numPr>
    </w:pPr>
  </w:style>
  <w:style w:type="paragraph" w:styleId="Quote">
    <w:name w:val="Quote"/>
    <w:basedOn w:val="Normal"/>
    <w:next w:val="Normal"/>
    <w:link w:val="QuoteChar"/>
    <w:uiPriority w:val="29"/>
    <w:qFormat/>
    <w:rsid w:val="00324E7E"/>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324E7E"/>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30899"/>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Footer">
    <w:name w:val="footer"/>
    <w:link w:val="FooterChar"/>
    <w:uiPriority w:val="99"/>
    <w:qFormat/>
    <w:rsid w:val="00324E7E"/>
    <w:pPr>
      <w:tabs>
        <w:tab w:val="right" w:pos="10080"/>
      </w:tabs>
      <w:spacing w:before="0" w:line="336" w:lineRule="auto"/>
    </w:pPr>
  </w:style>
  <w:style w:type="character" w:customStyle="1" w:styleId="FooterChar">
    <w:name w:val="Footer Char"/>
    <w:basedOn w:val="DefaultParagraphFont"/>
    <w:link w:val="Footer"/>
    <w:uiPriority w:val="99"/>
    <w:rsid w:val="00324E7E"/>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324E7E"/>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29"/>
    <w:qFormat/>
    <w:rsid w:val="008533D4"/>
    <w:pPr>
      <w:spacing w:after="400" w:line="240" w:lineRule="auto"/>
    </w:pPr>
    <w:rPr>
      <w:iCs/>
      <w:color w:val="000000" w:themeColor="text2"/>
      <w:sz w:val="20"/>
      <w:szCs w:val="20"/>
    </w:rPr>
  </w:style>
  <w:style w:type="paragraph" w:styleId="Header">
    <w:name w:val="header"/>
    <w:basedOn w:val="Normal"/>
    <w:link w:val="HeaderChar"/>
    <w:uiPriority w:val="99"/>
    <w:unhideWhenUsed/>
    <w:rsid w:val="00B545E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545E5"/>
  </w:style>
  <w:style w:type="paragraph" w:styleId="TOC1">
    <w:name w:val="toc 1"/>
    <w:basedOn w:val="Normal"/>
    <w:next w:val="Normal"/>
    <w:autoRedefine/>
    <w:uiPriority w:val="39"/>
    <w:unhideWhenUsed/>
    <w:rsid w:val="005769A5"/>
    <w:pPr>
      <w:spacing w:after="100"/>
    </w:pPr>
  </w:style>
  <w:style w:type="paragraph" w:styleId="TOC2">
    <w:name w:val="toc 2"/>
    <w:basedOn w:val="Normal"/>
    <w:next w:val="Normal"/>
    <w:autoRedefine/>
    <w:uiPriority w:val="39"/>
    <w:unhideWhenUsed/>
    <w:rsid w:val="005769A5"/>
    <w:pPr>
      <w:spacing w:after="100"/>
      <w:ind w:left="220"/>
    </w:pPr>
  </w:style>
  <w:style w:type="paragraph" w:styleId="TOC3">
    <w:name w:val="toc 3"/>
    <w:basedOn w:val="Normal"/>
    <w:next w:val="Normal"/>
    <w:autoRedefine/>
    <w:uiPriority w:val="39"/>
    <w:unhideWhenUsed/>
    <w:rsid w:val="005769A5"/>
    <w:pPr>
      <w:spacing w:after="100"/>
      <w:ind w:left="440"/>
    </w:pPr>
  </w:style>
  <w:style w:type="character" w:styleId="FollowedHyperlink">
    <w:name w:val="FollowedHyperlink"/>
    <w:basedOn w:val="DefaultParagraphFont"/>
    <w:semiHidden/>
    <w:unhideWhenUsed/>
    <w:rsid w:val="00812D92"/>
    <w:rPr>
      <w:color w:val="5D295F" w:themeColor="followedHyperlink"/>
      <w:u w:val="single"/>
    </w:rPr>
  </w:style>
  <w:style w:type="character" w:styleId="CommentReference">
    <w:name w:val="annotation reference"/>
    <w:basedOn w:val="DefaultParagraphFont"/>
    <w:semiHidden/>
    <w:unhideWhenUsed/>
    <w:rsid w:val="00196EBA"/>
    <w:rPr>
      <w:sz w:val="16"/>
      <w:szCs w:val="16"/>
    </w:rPr>
  </w:style>
  <w:style w:type="paragraph" w:styleId="CommentText">
    <w:name w:val="annotation text"/>
    <w:basedOn w:val="Normal"/>
    <w:link w:val="CommentTextChar"/>
    <w:unhideWhenUsed/>
    <w:rsid w:val="00196EBA"/>
    <w:pPr>
      <w:spacing w:line="240" w:lineRule="auto"/>
    </w:pPr>
    <w:rPr>
      <w:sz w:val="20"/>
      <w:szCs w:val="20"/>
    </w:rPr>
  </w:style>
  <w:style w:type="character" w:customStyle="1" w:styleId="CommentTextChar">
    <w:name w:val="Comment Text Char"/>
    <w:basedOn w:val="DefaultParagraphFont"/>
    <w:link w:val="CommentText"/>
    <w:rsid w:val="00196EBA"/>
    <w:rPr>
      <w:sz w:val="20"/>
      <w:szCs w:val="20"/>
    </w:rPr>
  </w:style>
  <w:style w:type="paragraph" w:styleId="CommentSubject">
    <w:name w:val="annotation subject"/>
    <w:basedOn w:val="CommentText"/>
    <w:next w:val="CommentText"/>
    <w:link w:val="CommentSubjectChar"/>
    <w:semiHidden/>
    <w:unhideWhenUsed/>
    <w:rsid w:val="00196EBA"/>
    <w:rPr>
      <w:b/>
      <w:bCs/>
    </w:rPr>
  </w:style>
  <w:style w:type="character" w:customStyle="1" w:styleId="CommentSubjectChar">
    <w:name w:val="Comment Subject Char"/>
    <w:basedOn w:val="CommentTextChar"/>
    <w:link w:val="CommentSubject"/>
    <w:semiHidden/>
    <w:rsid w:val="00196E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213935655">
      <w:bodyDiv w:val="1"/>
      <w:marLeft w:val="0"/>
      <w:marRight w:val="0"/>
      <w:marTop w:val="0"/>
      <w:marBottom w:val="0"/>
      <w:divBdr>
        <w:top w:val="none" w:sz="0" w:space="0" w:color="auto"/>
        <w:left w:val="none" w:sz="0" w:space="0" w:color="auto"/>
        <w:bottom w:val="none" w:sz="0" w:space="0" w:color="auto"/>
        <w:right w:val="none" w:sz="0" w:space="0" w:color="auto"/>
      </w:divBdr>
      <w:divsChild>
        <w:div w:id="1445925998">
          <w:marLeft w:val="0"/>
          <w:marRight w:val="0"/>
          <w:marTop w:val="0"/>
          <w:marBottom w:val="0"/>
          <w:divBdr>
            <w:top w:val="none" w:sz="0" w:space="0" w:color="auto"/>
            <w:left w:val="none" w:sz="0" w:space="0" w:color="auto"/>
            <w:bottom w:val="none" w:sz="0" w:space="0" w:color="auto"/>
            <w:right w:val="none" w:sz="0" w:space="0" w:color="auto"/>
          </w:divBdr>
        </w:div>
        <w:div w:id="1412115950">
          <w:marLeft w:val="0"/>
          <w:marRight w:val="0"/>
          <w:marTop w:val="0"/>
          <w:marBottom w:val="0"/>
          <w:divBdr>
            <w:top w:val="none" w:sz="0" w:space="0" w:color="auto"/>
            <w:left w:val="none" w:sz="0" w:space="0" w:color="auto"/>
            <w:bottom w:val="none" w:sz="0" w:space="0" w:color="auto"/>
            <w:right w:val="none" w:sz="0" w:space="0" w:color="auto"/>
          </w:divBdr>
        </w:div>
        <w:div w:id="103498850">
          <w:marLeft w:val="0"/>
          <w:marRight w:val="0"/>
          <w:marTop w:val="0"/>
          <w:marBottom w:val="0"/>
          <w:divBdr>
            <w:top w:val="none" w:sz="0" w:space="0" w:color="auto"/>
            <w:left w:val="none" w:sz="0" w:space="0" w:color="auto"/>
            <w:bottom w:val="none" w:sz="0" w:space="0" w:color="auto"/>
            <w:right w:val="none" w:sz="0" w:space="0" w:color="auto"/>
          </w:divBdr>
        </w:div>
        <w:div w:id="269363893">
          <w:marLeft w:val="0"/>
          <w:marRight w:val="0"/>
          <w:marTop w:val="0"/>
          <w:marBottom w:val="0"/>
          <w:divBdr>
            <w:top w:val="none" w:sz="0" w:space="0" w:color="auto"/>
            <w:left w:val="none" w:sz="0" w:space="0" w:color="auto"/>
            <w:bottom w:val="none" w:sz="0" w:space="0" w:color="auto"/>
            <w:right w:val="none" w:sz="0" w:space="0" w:color="auto"/>
          </w:divBdr>
        </w:div>
        <w:div w:id="70856425">
          <w:marLeft w:val="0"/>
          <w:marRight w:val="0"/>
          <w:marTop w:val="0"/>
          <w:marBottom w:val="0"/>
          <w:divBdr>
            <w:top w:val="none" w:sz="0" w:space="0" w:color="auto"/>
            <w:left w:val="none" w:sz="0" w:space="0" w:color="auto"/>
            <w:bottom w:val="none" w:sz="0" w:space="0" w:color="auto"/>
            <w:right w:val="none" w:sz="0" w:space="0" w:color="auto"/>
          </w:divBdr>
        </w:div>
        <w:div w:id="596793063">
          <w:marLeft w:val="0"/>
          <w:marRight w:val="0"/>
          <w:marTop w:val="0"/>
          <w:marBottom w:val="0"/>
          <w:divBdr>
            <w:top w:val="none" w:sz="0" w:space="0" w:color="auto"/>
            <w:left w:val="none" w:sz="0" w:space="0" w:color="auto"/>
            <w:bottom w:val="none" w:sz="0" w:space="0" w:color="auto"/>
            <w:right w:val="none" w:sz="0" w:space="0" w:color="auto"/>
          </w:divBdr>
        </w:div>
        <w:div w:id="1914656422">
          <w:marLeft w:val="0"/>
          <w:marRight w:val="0"/>
          <w:marTop w:val="0"/>
          <w:marBottom w:val="0"/>
          <w:divBdr>
            <w:top w:val="none" w:sz="0" w:space="0" w:color="auto"/>
            <w:left w:val="none" w:sz="0" w:space="0" w:color="auto"/>
            <w:bottom w:val="none" w:sz="0" w:space="0" w:color="auto"/>
            <w:right w:val="none" w:sz="0" w:space="0" w:color="auto"/>
          </w:divBdr>
        </w:div>
        <w:div w:id="1253970983">
          <w:marLeft w:val="0"/>
          <w:marRight w:val="0"/>
          <w:marTop w:val="0"/>
          <w:marBottom w:val="0"/>
          <w:divBdr>
            <w:top w:val="none" w:sz="0" w:space="0" w:color="auto"/>
            <w:left w:val="none" w:sz="0" w:space="0" w:color="auto"/>
            <w:bottom w:val="none" w:sz="0" w:space="0" w:color="auto"/>
            <w:right w:val="none" w:sz="0" w:space="0" w:color="auto"/>
          </w:divBdr>
        </w:div>
        <w:div w:id="510993394">
          <w:marLeft w:val="0"/>
          <w:marRight w:val="0"/>
          <w:marTop w:val="0"/>
          <w:marBottom w:val="0"/>
          <w:divBdr>
            <w:top w:val="none" w:sz="0" w:space="0" w:color="auto"/>
            <w:left w:val="none" w:sz="0" w:space="0" w:color="auto"/>
            <w:bottom w:val="none" w:sz="0" w:space="0" w:color="auto"/>
            <w:right w:val="none" w:sz="0" w:space="0" w:color="auto"/>
          </w:divBdr>
        </w:div>
      </w:divsChild>
    </w:div>
    <w:div w:id="311953892">
      <w:bodyDiv w:val="1"/>
      <w:marLeft w:val="0"/>
      <w:marRight w:val="0"/>
      <w:marTop w:val="0"/>
      <w:marBottom w:val="0"/>
      <w:divBdr>
        <w:top w:val="none" w:sz="0" w:space="0" w:color="auto"/>
        <w:left w:val="none" w:sz="0" w:space="0" w:color="auto"/>
        <w:bottom w:val="none" w:sz="0" w:space="0" w:color="auto"/>
        <w:right w:val="none" w:sz="0" w:space="0" w:color="auto"/>
      </w:divBdr>
      <w:divsChild>
        <w:div w:id="1898272779">
          <w:marLeft w:val="0"/>
          <w:marRight w:val="0"/>
          <w:marTop w:val="0"/>
          <w:marBottom w:val="0"/>
          <w:divBdr>
            <w:top w:val="none" w:sz="0" w:space="0" w:color="auto"/>
            <w:left w:val="none" w:sz="0" w:space="0" w:color="auto"/>
            <w:bottom w:val="none" w:sz="0" w:space="0" w:color="auto"/>
            <w:right w:val="none" w:sz="0" w:space="0" w:color="auto"/>
          </w:divBdr>
        </w:div>
        <w:div w:id="1384328002">
          <w:marLeft w:val="0"/>
          <w:marRight w:val="0"/>
          <w:marTop w:val="0"/>
          <w:marBottom w:val="0"/>
          <w:divBdr>
            <w:top w:val="none" w:sz="0" w:space="0" w:color="auto"/>
            <w:left w:val="none" w:sz="0" w:space="0" w:color="auto"/>
            <w:bottom w:val="none" w:sz="0" w:space="0" w:color="auto"/>
            <w:right w:val="none" w:sz="0" w:space="0" w:color="auto"/>
          </w:divBdr>
        </w:div>
      </w:divsChild>
    </w:div>
    <w:div w:id="389884161">
      <w:bodyDiv w:val="1"/>
      <w:marLeft w:val="0"/>
      <w:marRight w:val="0"/>
      <w:marTop w:val="0"/>
      <w:marBottom w:val="0"/>
      <w:divBdr>
        <w:top w:val="none" w:sz="0" w:space="0" w:color="auto"/>
        <w:left w:val="none" w:sz="0" w:space="0" w:color="auto"/>
        <w:bottom w:val="none" w:sz="0" w:space="0" w:color="auto"/>
        <w:right w:val="none" w:sz="0" w:space="0" w:color="auto"/>
      </w:divBdr>
      <w:divsChild>
        <w:div w:id="233008377">
          <w:marLeft w:val="0"/>
          <w:marRight w:val="0"/>
          <w:marTop w:val="0"/>
          <w:marBottom w:val="0"/>
          <w:divBdr>
            <w:top w:val="none" w:sz="0" w:space="0" w:color="auto"/>
            <w:left w:val="none" w:sz="0" w:space="0" w:color="auto"/>
            <w:bottom w:val="none" w:sz="0" w:space="0" w:color="auto"/>
            <w:right w:val="none" w:sz="0" w:space="0" w:color="auto"/>
          </w:divBdr>
        </w:div>
        <w:div w:id="1014645458">
          <w:marLeft w:val="0"/>
          <w:marRight w:val="0"/>
          <w:marTop w:val="0"/>
          <w:marBottom w:val="0"/>
          <w:divBdr>
            <w:top w:val="none" w:sz="0" w:space="0" w:color="auto"/>
            <w:left w:val="none" w:sz="0" w:space="0" w:color="auto"/>
            <w:bottom w:val="none" w:sz="0" w:space="0" w:color="auto"/>
            <w:right w:val="none" w:sz="0" w:space="0" w:color="auto"/>
          </w:divBdr>
        </w:div>
        <w:div w:id="2110806290">
          <w:marLeft w:val="0"/>
          <w:marRight w:val="0"/>
          <w:marTop w:val="0"/>
          <w:marBottom w:val="0"/>
          <w:divBdr>
            <w:top w:val="none" w:sz="0" w:space="0" w:color="auto"/>
            <w:left w:val="none" w:sz="0" w:space="0" w:color="auto"/>
            <w:bottom w:val="none" w:sz="0" w:space="0" w:color="auto"/>
            <w:right w:val="none" w:sz="0" w:space="0" w:color="auto"/>
          </w:divBdr>
        </w:div>
      </w:divsChild>
    </w:div>
    <w:div w:id="425003173">
      <w:bodyDiv w:val="1"/>
      <w:marLeft w:val="0"/>
      <w:marRight w:val="0"/>
      <w:marTop w:val="0"/>
      <w:marBottom w:val="0"/>
      <w:divBdr>
        <w:top w:val="none" w:sz="0" w:space="0" w:color="auto"/>
        <w:left w:val="none" w:sz="0" w:space="0" w:color="auto"/>
        <w:bottom w:val="none" w:sz="0" w:space="0" w:color="auto"/>
        <w:right w:val="none" w:sz="0" w:space="0" w:color="auto"/>
      </w:divBdr>
      <w:divsChild>
        <w:div w:id="1649356206">
          <w:marLeft w:val="0"/>
          <w:marRight w:val="0"/>
          <w:marTop w:val="0"/>
          <w:marBottom w:val="0"/>
          <w:divBdr>
            <w:top w:val="none" w:sz="0" w:space="0" w:color="auto"/>
            <w:left w:val="none" w:sz="0" w:space="0" w:color="auto"/>
            <w:bottom w:val="none" w:sz="0" w:space="0" w:color="auto"/>
            <w:right w:val="none" w:sz="0" w:space="0" w:color="auto"/>
          </w:divBdr>
        </w:div>
        <w:div w:id="2050688471">
          <w:marLeft w:val="0"/>
          <w:marRight w:val="0"/>
          <w:marTop w:val="0"/>
          <w:marBottom w:val="0"/>
          <w:divBdr>
            <w:top w:val="none" w:sz="0" w:space="0" w:color="auto"/>
            <w:left w:val="none" w:sz="0" w:space="0" w:color="auto"/>
            <w:bottom w:val="none" w:sz="0" w:space="0" w:color="auto"/>
            <w:right w:val="none" w:sz="0" w:space="0" w:color="auto"/>
          </w:divBdr>
        </w:div>
      </w:divsChild>
    </w:div>
    <w:div w:id="734671241">
      <w:bodyDiv w:val="1"/>
      <w:marLeft w:val="0"/>
      <w:marRight w:val="0"/>
      <w:marTop w:val="0"/>
      <w:marBottom w:val="0"/>
      <w:divBdr>
        <w:top w:val="none" w:sz="0" w:space="0" w:color="auto"/>
        <w:left w:val="none" w:sz="0" w:space="0" w:color="auto"/>
        <w:bottom w:val="none" w:sz="0" w:space="0" w:color="auto"/>
        <w:right w:val="none" w:sz="0" w:space="0" w:color="auto"/>
      </w:divBdr>
      <w:divsChild>
        <w:div w:id="1281843370">
          <w:marLeft w:val="0"/>
          <w:marRight w:val="0"/>
          <w:marTop w:val="0"/>
          <w:marBottom w:val="0"/>
          <w:divBdr>
            <w:top w:val="none" w:sz="0" w:space="0" w:color="auto"/>
            <w:left w:val="none" w:sz="0" w:space="0" w:color="auto"/>
            <w:bottom w:val="none" w:sz="0" w:space="0" w:color="auto"/>
            <w:right w:val="none" w:sz="0" w:space="0" w:color="auto"/>
          </w:divBdr>
        </w:div>
        <w:div w:id="153880844">
          <w:marLeft w:val="0"/>
          <w:marRight w:val="0"/>
          <w:marTop w:val="0"/>
          <w:marBottom w:val="0"/>
          <w:divBdr>
            <w:top w:val="none" w:sz="0" w:space="0" w:color="auto"/>
            <w:left w:val="none" w:sz="0" w:space="0" w:color="auto"/>
            <w:bottom w:val="none" w:sz="0" w:space="0" w:color="auto"/>
            <w:right w:val="none" w:sz="0" w:space="0" w:color="auto"/>
          </w:divBdr>
        </w:div>
      </w:divsChild>
    </w:div>
    <w:div w:id="738214807">
      <w:bodyDiv w:val="1"/>
      <w:marLeft w:val="0"/>
      <w:marRight w:val="0"/>
      <w:marTop w:val="0"/>
      <w:marBottom w:val="0"/>
      <w:divBdr>
        <w:top w:val="none" w:sz="0" w:space="0" w:color="auto"/>
        <w:left w:val="none" w:sz="0" w:space="0" w:color="auto"/>
        <w:bottom w:val="none" w:sz="0" w:space="0" w:color="auto"/>
        <w:right w:val="none" w:sz="0" w:space="0" w:color="auto"/>
      </w:divBdr>
      <w:divsChild>
        <w:div w:id="1951888184">
          <w:marLeft w:val="0"/>
          <w:marRight w:val="0"/>
          <w:marTop w:val="0"/>
          <w:marBottom w:val="0"/>
          <w:divBdr>
            <w:top w:val="none" w:sz="0" w:space="0" w:color="auto"/>
            <w:left w:val="none" w:sz="0" w:space="0" w:color="auto"/>
            <w:bottom w:val="none" w:sz="0" w:space="0" w:color="auto"/>
            <w:right w:val="none" w:sz="0" w:space="0" w:color="auto"/>
          </w:divBdr>
        </w:div>
        <w:div w:id="1550259529">
          <w:marLeft w:val="0"/>
          <w:marRight w:val="0"/>
          <w:marTop w:val="0"/>
          <w:marBottom w:val="0"/>
          <w:divBdr>
            <w:top w:val="none" w:sz="0" w:space="0" w:color="auto"/>
            <w:left w:val="none" w:sz="0" w:space="0" w:color="auto"/>
            <w:bottom w:val="none" w:sz="0" w:space="0" w:color="auto"/>
            <w:right w:val="none" w:sz="0" w:space="0" w:color="auto"/>
          </w:divBdr>
        </w:div>
        <w:div w:id="406080035">
          <w:marLeft w:val="0"/>
          <w:marRight w:val="0"/>
          <w:marTop w:val="0"/>
          <w:marBottom w:val="0"/>
          <w:divBdr>
            <w:top w:val="none" w:sz="0" w:space="0" w:color="auto"/>
            <w:left w:val="none" w:sz="0" w:space="0" w:color="auto"/>
            <w:bottom w:val="none" w:sz="0" w:space="0" w:color="auto"/>
            <w:right w:val="none" w:sz="0" w:space="0" w:color="auto"/>
          </w:divBdr>
        </w:div>
      </w:divsChild>
    </w:div>
    <w:div w:id="1495874965">
      <w:bodyDiv w:val="1"/>
      <w:marLeft w:val="0"/>
      <w:marRight w:val="0"/>
      <w:marTop w:val="0"/>
      <w:marBottom w:val="0"/>
      <w:divBdr>
        <w:top w:val="none" w:sz="0" w:space="0" w:color="auto"/>
        <w:left w:val="none" w:sz="0" w:space="0" w:color="auto"/>
        <w:bottom w:val="none" w:sz="0" w:space="0" w:color="auto"/>
        <w:right w:val="none" w:sz="0" w:space="0" w:color="auto"/>
      </w:divBdr>
      <w:divsChild>
        <w:div w:id="901869074">
          <w:marLeft w:val="0"/>
          <w:marRight w:val="0"/>
          <w:marTop w:val="0"/>
          <w:marBottom w:val="0"/>
          <w:divBdr>
            <w:top w:val="none" w:sz="0" w:space="0" w:color="auto"/>
            <w:left w:val="none" w:sz="0" w:space="0" w:color="auto"/>
            <w:bottom w:val="none" w:sz="0" w:space="0" w:color="auto"/>
            <w:right w:val="none" w:sz="0" w:space="0" w:color="auto"/>
          </w:divBdr>
        </w:div>
        <w:div w:id="1298755911">
          <w:marLeft w:val="0"/>
          <w:marRight w:val="0"/>
          <w:marTop w:val="0"/>
          <w:marBottom w:val="0"/>
          <w:divBdr>
            <w:top w:val="none" w:sz="0" w:space="0" w:color="auto"/>
            <w:left w:val="none" w:sz="0" w:space="0" w:color="auto"/>
            <w:bottom w:val="none" w:sz="0" w:space="0" w:color="auto"/>
            <w:right w:val="none" w:sz="0" w:space="0" w:color="auto"/>
          </w:divBdr>
        </w:div>
      </w:divsChild>
    </w:div>
    <w:div w:id="1498882068">
      <w:bodyDiv w:val="1"/>
      <w:marLeft w:val="0"/>
      <w:marRight w:val="0"/>
      <w:marTop w:val="0"/>
      <w:marBottom w:val="0"/>
      <w:divBdr>
        <w:top w:val="none" w:sz="0" w:space="0" w:color="auto"/>
        <w:left w:val="none" w:sz="0" w:space="0" w:color="auto"/>
        <w:bottom w:val="none" w:sz="0" w:space="0" w:color="auto"/>
        <w:right w:val="none" w:sz="0" w:space="0" w:color="auto"/>
      </w:divBdr>
    </w:div>
    <w:div w:id="1575899002">
      <w:bodyDiv w:val="1"/>
      <w:marLeft w:val="0"/>
      <w:marRight w:val="0"/>
      <w:marTop w:val="0"/>
      <w:marBottom w:val="0"/>
      <w:divBdr>
        <w:top w:val="none" w:sz="0" w:space="0" w:color="auto"/>
        <w:left w:val="none" w:sz="0" w:space="0" w:color="auto"/>
        <w:bottom w:val="none" w:sz="0" w:space="0" w:color="auto"/>
        <w:right w:val="none" w:sz="0" w:space="0" w:color="auto"/>
      </w:divBdr>
      <w:divsChild>
        <w:div w:id="581911150">
          <w:marLeft w:val="0"/>
          <w:marRight w:val="0"/>
          <w:marTop w:val="0"/>
          <w:marBottom w:val="0"/>
          <w:divBdr>
            <w:top w:val="none" w:sz="0" w:space="0" w:color="auto"/>
            <w:left w:val="none" w:sz="0" w:space="0" w:color="auto"/>
            <w:bottom w:val="none" w:sz="0" w:space="0" w:color="auto"/>
            <w:right w:val="none" w:sz="0" w:space="0" w:color="auto"/>
          </w:divBdr>
        </w:div>
        <w:div w:id="200243965">
          <w:marLeft w:val="0"/>
          <w:marRight w:val="0"/>
          <w:marTop w:val="0"/>
          <w:marBottom w:val="0"/>
          <w:divBdr>
            <w:top w:val="none" w:sz="0" w:space="0" w:color="auto"/>
            <w:left w:val="none" w:sz="0" w:space="0" w:color="auto"/>
            <w:bottom w:val="none" w:sz="0" w:space="0" w:color="auto"/>
            <w:right w:val="none" w:sz="0" w:space="0" w:color="auto"/>
          </w:divBdr>
        </w:div>
      </w:divsChild>
    </w:div>
    <w:div w:id="1655065492">
      <w:bodyDiv w:val="1"/>
      <w:marLeft w:val="0"/>
      <w:marRight w:val="0"/>
      <w:marTop w:val="0"/>
      <w:marBottom w:val="0"/>
      <w:divBdr>
        <w:top w:val="none" w:sz="0" w:space="0" w:color="auto"/>
        <w:left w:val="none" w:sz="0" w:space="0" w:color="auto"/>
        <w:bottom w:val="none" w:sz="0" w:space="0" w:color="auto"/>
        <w:right w:val="none" w:sz="0" w:space="0" w:color="auto"/>
      </w:divBdr>
      <w:divsChild>
        <w:div w:id="411001682">
          <w:marLeft w:val="0"/>
          <w:marRight w:val="0"/>
          <w:marTop w:val="0"/>
          <w:marBottom w:val="0"/>
          <w:divBdr>
            <w:top w:val="none" w:sz="0" w:space="0" w:color="auto"/>
            <w:left w:val="none" w:sz="0" w:space="0" w:color="auto"/>
            <w:bottom w:val="none" w:sz="0" w:space="0" w:color="auto"/>
            <w:right w:val="none" w:sz="0" w:space="0" w:color="auto"/>
          </w:divBdr>
        </w:div>
        <w:div w:id="1465349644">
          <w:marLeft w:val="0"/>
          <w:marRight w:val="0"/>
          <w:marTop w:val="0"/>
          <w:marBottom w:val="0"/>
          <w:divBdr>
            <w:top w:val="none" w:sz="0" w:space="0" w:color="auto"/>
            <w:left w:val="none" w:sz="0" w:space="0" w:color="auto"/>
            <w:bottom w:val="none" w:sz="0" w:space="0" w:color="auto"/>
            <w:right w:val="none" w:sz="0" w:space="0" w:color="auto"/>
          </w:divBdr>
        </w:div>
      </w:divsChild>
    </w:div>
    <w:div w:id="1744985838">
      <w:bodyDiv w:val="1"/>
      <w:marLeft w:val="0"/>
      <w:marRight w:val="0"/>
      <w:marTop w:val="0"/>
      <w:marBottom w:val="0"/>
      <w:divBdr>
        <w:top w:val="none" w:sz="0" w:space="0" w:color="auto"/>
        <w:left w:val="none" w:sz="0" w:space="0" w:color="auto"/>
        <w:bottom w:val="none" w:sz="0" w:space="0" w:color="auto"/>
        <w:right w:val="none" w:sz="0" w:space="0" w:color="auto"/>
      </w:divBdr>
      <w:divsChild>
        <w:div w:id="701243975">
          <w:marLeft w:val="0"/>
          <w:marRight w:val="0"/>
          <w:marTop w:val="0"/>
          <w:marBottom w:val="0"/>
          <w:divBdr>
            <w:top w:val="none" w:sz="0" w:space="0" w:color="auto"/>
            <w:left w:val="none" w:sz="0" w:space="0" w:color="auto"/>
            <w:bottom w:val="none" w:sz="0" w:space="0" w:color="auto"/>
            <w:right w:val="none" w:sz="0" w:space="0" w:color="auto"/>
          </w:divBdr>
        </w:div>
        <w:div w:id="288754382">
          <w:marLeft w:val="0"/>
          <w:marRight w:val="0"/>
          <w:marTop w:val="0"/>
          <w:marBottom w:val="0"/>
          <w:divBdr>
            <w:top w:val="none" w:sz="0" w:space="0" w:color="auto"/>
            <w:left w:val="none" w:sz="0" w:space="0" w:color="auto"/>
            <w:bottom w:val="none" w:sz="0" w:space="0" w:color="auto"/>
            <w:right w:val="none" w:sz="0" w:space="0" w:color="auto"/>
          </w:divBdr>
        </w:div>
        <w:div w:id="478768439">
          <w:marLeft w:val="0"/>
          <w:marRight w:val="0"/>
          <w:marTop w:val="0"/>
          <w:marBottom w:val="0"/>
          <w:divBdr>
            <w:top w:val="none" w:sz="0" w:space="0" w:color="auto"/>
            <w:left w:val="none" w:sz="0" w:space="0" w:color="auto"/>
            <w:bottom w:val="none" w:sz="0" w:space="0" w:color="auto"/>
            <w:right w:val="none" w:sz="0" w:space="0" w:color="auto"/>
          </w:divBdr>
        </w:div>
        <w:div w:id="2061202229">
          <w:marLeft w:val="0"/>
          <w:marRight w:val="0"/>
          <w:marTop w:val="0"/>
          <w:marBottom w:val="0"/>
          <w:divBdr>
            <w:top w:val="none" w:sz="0" w:space="0" w:color="auto"/>
            <w:left w:val="none" w:sz="0" w:space="0" w:color="auto"/>
            <w:bottom w:val="none" w:sz="0" w:space="0" w:color="auto"/>
            <w:right w:val="none" w:sz="0" w:space="0" w:color="auto"/>
          </w:divBdr>
        </w:div>
        <w:div w:id="1702198185">
          <w:marLeft w:val="0"/>
          <w:marRight w:val="0"/>
          <w:marTop w:val="0"/>
          <w:marBottom w:val="0"/>
          <w:divBdr>
            <w:top w:val="none" w:sz="0" w:space="0" w:color="auto"/>
            <w:left w:val="none" w:sz="0" w:space="0" w:color="auto"/>
            <w:bottom w:val="none" w:sz="0" w:space="0" w:color="auto"/>
            <w:right w:val="none" w:sz="0" w:space="0" w:color="auto"/>
          </w:divBdr>
        </w:div>
        <w:div w:id="753668273">
          <w:marLeft w:val="0"/>
          <w:marRight w:val="0"/>
          <w:marTop w:val="0"/>
          <w:marBottom w:val="0"/>
          <w:divBdr>
            <w:top w:val="none" w:sz="0" w:space="0" w:color="auto"/>
            <w:left w:val="none" w:sz="0" w:space="0" w:color="auto"/>
            <w:bottom w:val="none" w:sz="0" w:space="0" w:color="auto"/>
            <w:right w:val="none" w:sz="0" w:space="0" w:color="auto"/>
          </w:divBdr>
        </w:div>
        <w:div w:id="1476289237">
          <w:marLeft w:val="0"/>
          <w:marRight w:val="0"/>
          <w:marTop w:val="0"/>
          <w:marBottom w:val="0"/>
          <w:divBdr>
            <w:top w:val="none" w:sz="0" w:space="0" w:color="auto"/>
            <w:left w:val="none" w:sz="0" w:space="0" w:color="auto"/>
            <w:bottom w:val="none" w:sz="0" w:space="0" w:color="auto"/>
            <w:right w:val="none" w:sz="0" w:space="0" w:color="auto"/>
          </w:divBdr>
        </w:div>
        <w:div w:id="941062142">
          <w:marLeft w:val="0"/>
          <w:marRight w:val="0"/>
          <w:marTop w:val="0"/>
          <w:marBottom w:val="0"/>
          <w:divBdr>
            <w:top w:val="none" w:sz="0" w:space="0" w:color="auto"/>
            <w:left w:val="none" w:sz="0" w:space="0" w:color="auto"/>
            <w:bottom w:val="none" w:sz="0" w:space="0" w:color="auto"/>
            <w:right w:val="none" w:sz="0" w:space="0" w:color="auto"/>
          </w:divBdr>
        </w:div>
        <w:div w:id="1908421465">
          <w:marLeft w:val="0"/>
          <w:marRight w:val="0"/>
          <w:marTop w:val="0"/>
          <w:marBottom w:val="0"/>
          <w:divBdr>
            <w:top w:val="none" w:sz="0" w:space="0" w:color="auto"/>
            <w:left w:val="none" w:sz="0" w:space="0" w:color="auto"/>
            <w:bottom w:val="none" w:sz="0" w:space="0" w:color="auto"/>
            <w:right w:val="none" w:sz="0" w:space="0" w:color="auto"/>
          </w:divBdr>
        </w:div>
      </w:divsChild>
    </w:div>
    <w:div w:id="185965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evisor.mn.gov/laws/2023/0/Session+Law/Chapter/5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mn.gov/deed/programs-services/office-youth-development/"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y.Tracy@state.mn.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A8F766A8A5C4439D1F9E47463AE977" ma:contentTypeVersion="11" ma:contentTypeDescription="Create a new document." ma:contentTypeScope="" ma:versionID="0ad00db4089fc3da0bfc3b1b1135b1e3">
  <xsd:schema xmlns:xsd="http://www.w3.org/2001/XMLSchema" xmlns:xs="http://www.w3.org/2001/XMLSchema" xmlns:p="http://schemas.microsoft.com/office/2006/metadata/properties" xmlns:ns2="11b35ced-cbbd-4bb6-a753-082a779fefc4" xmlns:ns3="91a27f72-aaa3-479a-8056-4d1f482f6428" targetNamespace="http://schemas.microsoft.com/office/2006/metadata/properties" ma:root="true" ma:fieldsID="c7c05b377c24bfae94c00f4c05122c6d" ns2:_="" ns3:_="">
    <xsd:import namespace="11b35ced-cbbd-4bb6-a753-082a779fefc4"/>
    <xsd:import namespace="91a27f72-aaa3-479a-8056-4d1f482f64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35ced-cbbd-4bb6-a753-082a779fe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a27f72-aaa3-479a-8056-4d1f482f642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f6bc12-f1ad-477b-a311-a0c105f128e1}" ma:internalName="TaxCatchAll" ma:showField="CatchAllData" ma:web="91a27f72-aaa3-479a-8056-4d1f482f6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1a27f72-aaa3-479a-8056-4d1f482f6428" xsi:nil="true"/>
    <lcf76f155ced4ddcb4097134ff3c332f xmlns="11b35ced-cbbd-4bb6-a753-082a779fefc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4B8B2-97F6-41AD-A43E-8122C09F1509}">
  <ds:schemaRefs>
    <ds:schemaRef ds:uri="http://schemas.microsoft.com/sharepoint/v3/contenttype/forms"/>
  </ds:schemaRefs>
</ds:datastoreItem>
</file>

<file path=customXml/itemProps2.xml><?xml version="1.0" encoding="utf-8"?>
<ds:datastoreItem xmlns:ds="http://schemas.openxmlformats.org/officeDocument/2006/customXml" ds:itemID="{D759DD08-E4FA-4998-9731-036B770CE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35ced-cbbd-4bb6-a753-082a779fefc4"/>
    <ds:schemaRef ds:uri="91a27f72-aaa3-479a-8056-4d1f482f6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73A2B-B247-48D0-9579-3481F102C991}">
  <ds:schemaRefs>
    <ds:schemaRef ds:uri="http://schemas.microsoft.com/office/2006/metadata/properties"/>
    <ds:schemaRef ds:uri="http://schemas.microsoft.com/office/infopath/2007/PartnerControls"/>
    <ds:schemaRef ds:uri="91a27f72-aaa3-479a-8056-4d1f482f6428"/>
    <ds:schemaRef ds:uri="11b35ced-cbbd-4bb6-a753-082a779fefc4"/>
  </ds:schemaRefs>
</ds:datastoreItem>
</file>

<file path=customXml/itemProps4.xml><?xml version="1.0" encoding="utf-8"?>
<ds:datastoreItem xmlns:ds="http://schemas.openxmlformats.org/officeDocument/2006/customXml" ds:itemID="{D944686A-1AC7-4B2E-B3B6-565E5C88AF43}">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2071</Words>
  <Characters>12760</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Legislative Report Template</vt:lpstr>
    </vt:vector>
  </TitlesOfParts>
  <Manager/>
  <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Report Template</dc:title>
  <dc:subject>template</dc:subject>
  <dc:creator>Heidi A Johnson</dc:creator>
  <cp:keywords>template, report</cp:keywords>
  <dc:description>Document template version 1.2, Released 4-2017</dc:description>
  <cp:lastModifiedBy>Schmid, Cory (DEED)</cp:lastModifiedBy>
  <cp:revision>2</cp:revision>
  <dcterms:created xsi:type="dcterms:W3CDTF">2025-01-06T19:21:00Z</dcterms:created>
  <dcterms:modified xsi:type="dcterms:W3CDTF">2025-01-06T19:21:00Z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0x0101003FA8F766A8A5C4439D1F9E47463AE977</vt:lpwstr>
  </property>
</Properties>
</file>