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4581" w14:textId="013C8821" w:rsidR="001B6E5E" w:rsidRPr="00EE4797" w:rsidRDefault="001B6E5E" w:rsidP="00D84668">
      <w:pPr>
        <w:tabs>
          <w:tab w:val="left" w:pos="360"/>
          <w:tab w:val="left" w:pos="6660"/>
        </w:tabs>
        <w:spacing w:after="0"/>
        <w:jc w:val="center"/>
        <w:rPr>
          <w:color w:val="000000" w:themeColor="text1"/>
        </w:rPr>
      </w:pPr>
      <w:r w:rsidRPr="00EE4797">
        <w:rPr>
          <w:noProof/>
          <w:color w:val="000000" w:themeColor="text1"/>
        </w:rPr>
        <w:drawing>
          <wp:inline distT="0" distB="0" distL="0" distR="0" wp14:anchorId="6E6F8710" wp14:editId="15A4AD08">
            <wp:extent cx="6492240" cy="1136015"/>
            <wp:effectExtent l="0" t="0" r="3810" b="6985"/>
            <wp:docPr id="2" name="Picture 2" descr="1st Quarter banner for MN Export Statistics, DEED&#10;Data on Minnesota Exports for First Quarter 2024 – Published June 2024&#10;For More Information: Mary Haugen (mary.haugen@state.m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st Quarter banner for MN Export Statistics, DEED&#10;Data on Minnesota Exports for First Quarter 2024 – Published June 2024&#10;For More Information: Mary Haugen (mary.haugen@state.mn.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0" cy="1136015"/>
                    </a:xfrm>
                    <a:prstGeom prst="rect">
                      <a:avLst/>
                    </a:prstGeom>
                    <a:noFill/>
                    <a:ln>
                      <a:noFill/>
                    </a:ln>
                  </pic:spPr>
                </pic:pic>
              </a:graphicData>
            </a:graphic>
          </wp:inline>
        </w:drawing>
      </w:r>
    </w:p>
    <w:p w14:paraId="280C54B8" w14:textId="0B04394B" w:rsidR="00D84668" w:rsidRPr="00EE4797" w:rsidRDefault="00D84668" w:rsidP="00D84668">
      <w:pPr>
        <w:pStyle w:val="NoSpacing"/>
        <w:jc w:val="center"/>
        <w:rPr>
          <w:rStyle w:val="Emphasis"/>
          <w:b/>
          <w:color w:val="000000" w:themeColor="text1"/>
        </w:rPr>
      </w:pPr>
      <w:r w:rsidRPr="00EE4797">
        <w:rPr>
          <w:rStyle w:val="Emphasis"/>
          <w:b/>
          <w:color w:val="000000" w:themeColor="text1"/>
        </w:rPr>
        <w:t xml:space="preserve">Data on Minnesota Exports for </w:t>
      </w:r>
      <w:r w:rsidR="00DC631F" w:rsidRPr="00EE4797">
        <w:rPr>
          <w:rStyle w:val="Emphasis"/>
          <w:b/>
          <w:color w:val="000000" w:themeColor="text1"/>
        </w:rPr>
        <w:t>F</w:t>
      </w:r>
      <w:r w:rsidR="001B6E5E" w:rsidRPr="00EE4797">
        <w:rPr>
          <w:rStyle w:val="Emphasis"/>
          <w:b/>
          <w:color w:val="000000" w:themeColor="text1"/>
        </w:rPr>
        <w:t>irst</w:t>
      </w:r>
      <w:r w:rsidRPr="00EE4797">
        <w:rPr>
          <w:rStyle w:val="Emphasis"/>
          <w:b/>
          <w:color w:val="000000" w:themeColor="text1"/>
        </w:rPr>
        <w:t xml:space="preserve"> Quarter 202</w:t>
      </w:r>
      <w:r w:rsidR="001B6E5E" w:rsidRPr="00EE4797">
        <w:rPr>
          <w:rStyle w:val="Emphasis"/>
          <w:b/>
          <w:color w:val="000000" w:themeColor="text1"/>
        </w:rPr>
        <w:t>4</w:t>
      </w:r>
      <w:r w:rsidRPr="00EE4797">
        <w:rPr>
          <w:rStyle w:val="Emphasis"/>
          <w:b/>
          <w:color w:val="000000" w:themeColor="text1"/>
        </w:rPr>
        <w:t xml:space="preserve"> – Published </w:t>
      </w:r>
      <w:r w:rsidR="007D1343">
        <w:rPr>
          <w:rStyle w:val="Emphasis"/>
          <w:b/>
          <w:color w:val="000000" w:themeColor="text1"/>
        </w:rPr>
        <w:t>June</w:t>
      </w:r>
      <w:r w:rsidR="00E25680" w:rsidRPr="00EE4797">
        <w:rPr>
          <w:rStyle w:val="Emphasis"/>
          <w:b/>
          <w:color w:val="000000" w:themeColor="text1"/>
        </w:rPr>
        <w:t xml:space="preserve"> </w:t>
      </w:r>
      <w:r w:rsidRPr="00EE4797">
        <w:rPr>
          <w:rStyle w:val="Emphasis"/>
          <w:b/>
          <w:color w:val="000000" w:themeColor="text1"/>
        </w:rPr>
        <w:t>202</w:t>
      </w:r>
      <w:r w:rsidR="00DC631F" w:rsidRPr="00EE4797">
        <w:rPr>
          <w:rStyle w:val="Emphasis"/>
          <w:b/>
          <w:color w:val="000000" w:themeColor="text1"/>
        </w:rPr>
        <w:t>4</w:t>
      </w:r>
    </w:p>
    <w:p w14:paraId="7C1ADAF3" w14:textId="77777777" w:rsidR="00D84668" w:rsidRPr="00EE4797" w:rsidRDefault="00D84668" w:rsidP="00D84668">
      <w:pPr>
        <w:pStyle w:val="NoSpacing"/>
        <w:jc w:val="center"/>
        <w:rPr>
          <w:rStyle w:val="Emphasis"/>
          <w:b/>
          <w:bCs/>
          <w:color w:val="000000" w:themeColor="text1"/>
        </w:rPr>
      </w:pPr>
      <w:r w:rsidRPr="00EE4797">
        <w:rPr>
          <w:rStyle w:val="Emphasis"/>
          <w:b/>
          <w:color w:val="000000" w:themeColor="text1"/>
        </w:rPr>
        <w:t>For More Information</w:t>
      </w:r>
      <w:r w:rsidRPr="00EE4797">
        <w:rPr>
          <w:rStyle w:val="Emphasis"/>
          <w:color w:val="000000" w:themeColor="text1"/>
        </w:rPr>
        <w:t xml:space="preserve">: </w:t>
      </w:r>
      <w:r w:rsidRPr="00EE4797">
        <w:rPr>
          <w:b/>
          <w:bCs/>
          <w:i/>
          <w:iCs/>
          <w:color w:val="000000" w:themeColor="text1"/>
        </w:rPr>
        <w:t>Mary Haugen (mary.haugen@state.mn.us)</w:t>
      </w:r>
    </w:p>
    <w:p w14:paraId="18DCA261" w14:textId="4B4262F0" w:rsidR="00641D3B" w:rsidRPr="00EE4797" w:rsidRDefault="00CC5F28" w:rsidP="00D84668">
      <w:pPr>
        <w:pStyle w:val="Heading1"/>
        <w:spacing w:before="120"/>
        <w:rPr>
          <w:rFonts w:asciiTheme="minorHAnsi" w:hAnsiTheme="minorHAnsi"/>
          <w:color w:val="000000" w:themeColor="text1"/>
          <w:sz w:val="36"/>
          <w:szCs w:val="30"/>
        </w:rPr>
        <w:sectPr w:rsidR="00641D3B" w:rsidRPr="00EE4797" w:rsidSect="00FE15EB">
          <w:headerReference w:type="even" r:id="rId9"/>
          <w:headerReference w:type="default" r:id="rId10"/>
          <w:footerReference w:type="even" r:id="rId11"/>
          <w:footnotePr>
            <w:numRestart w:val="eachSect"/>
          </w:footnotePr>
          <w:endnotePr>
            <w:numFmt w:val="decimal"/>
          </w:endnotePr>
          <w:type w:val="continuous"/>
          <w:pgSz w:w="12240" w:h="15840" w:code="1"/>
          <w:pgMar w:top="864" w:right="1008" w:bottom="864" w:left="1008" w:header="720" w:footer="720" w:gutter="0"/>
          <w:cols w:space="720"/>
          <w:titlePg/>
          <w:docGrid w:linePitch="272"/>
        </w:sectPr>
      </w:pPr>
      <w:r w:rsidRPr="00EE4797">
        <w:rPr>
          <w:rFonts w:asciiTheme="minorHAnsi" w:hAnsiTheme="minorHAnsi"/>
          <w:color w:val="000000" w:themeColor="text1"/>
          <w:sz w:val="36"/>
          <w:szCs w:val="30"/>
        </w:rPr>
        <w:t xml:space="preserve">Minnesota </w:t>
      </w:r>
      <w:r w:rsidR="00FA433D" w:rsidRPr="00EE4797">
        <w:rPr>
          <w:rFonts w:asciiTheme="minorHAnsi" w:hAnsiTheme="minorHAnsi"/>
          <w:color w:val="000000" w:themeColor="text1"/>
          <w:sz w:val="36"/>
          <w:szCs w:val="30"/>
        </w:rPr>
        <w:t xml:space="preserve">Exports </w:t>
      </w:r>
      <w:r w:rsidR="004C5C9C" w:rsidRPr="00EE4797">
        <w:rPr>
          <w:rFonts w:asciiTheme="minorHAnsi" w:hAnsiTheme="minorHAnsi"/>
          <w:color w:val="000000" w:themeColor="text1"/>
          <w:sz w:val="36"/>
          <w:szCs w:val="30"/>
        </w:rPr>
        <w:t>S</w:t>
      </w:r>
      <w:r w:rsidR="003D0885" w:rsidRPr="00EE4797">
        <w:rPr>
          <w:rFonts w:asciiTheme="minorHAnsi" w:hAnsiTheme="minorHAnsi"/>
          <w:color w:val="000000" w:themeColor="text1"/>
          <w:sz w:val="36"/>
          <w:szCs w:val="30"/>
        </w:rPr>
        <w:t xml:space="preserve">ignal </w:t>
      </w:r>
      <w:r w:rsidR="004C5C9C" w:rsidRPr="00EE4797">
        <w:rPr>
          <w:rFonts w:asciiTheme="minorHAnsi" w:hAnsiTheme="minorHAnsi"/>
          <w:color w:val="000000" w:themeColor="text1"/>
          <w:sz w:val="36"/>
          <w:szCs w:val="30"/>
        </w:rPr>
        <w:t>Re</w:t>
      </w:r>
      <w:r w:rsidR="00F5610C" w:rsidRPr="00EE4797">
        <w:rPr>
          <w:rFonts w:asciiTheme="minorHAnsi" w:hAnsiTheme="minorHAnsi"/>
          <w:color w:val="000000" w:themeColor="text1"/>
          <w:sz w:val="36"/>
          <w:szCs w:val="30"/>
        </w:rPr>
        <w:t>bound</w:t>
      </w:r>
      <w:r w:rsidR="004C5C9C" w:rsidRPr="00EE4797">
        <w:rPr>
          <w:rFonts w:asciiTheme="minorHAnsi" w:hAnsiTheme="minorHAnsi"/>
          <w:color w:val="000000" w:themeColor="text1"/>
          <w:sz w:val="36"/>
          <w:szCs w:val="30"/>
        </w:rPr>
        <w:t xml:space="preserve">, </w:t>
      </w:r>
      <w:r w:rsidR="001B6E5E" w:rsidRPr="00EE4797">
        <w:rPr>
          <w:rFonts w:asciiTheme="minorHAnsi" w:hAnsiTheme="minorHAnsi"/>
          <w:color w:val="000000" w:themeColor="text1"/>
          <w:sz w:val="36"/>
          <w:szCs w:val="30"/>
        </w:rPr>
        <w:t>Grow</w:t>
      </w:r>
      <w:r w:rsidR="004C5C9C" w:rsidRPr="00EE4797">
        <w:rPr>
          <w:rFonts w:asciiTheme="minorHAnsi" w:hAnsiTheme="minorHAnsi"/>
          <w:color w:val="000000" w:themeColor="text1"/>
          <w:sz w:val="36"/>
          <w:szCs w:val="30"/>
        </w:rPr>
        <w:t>ing</w:t>
      </w:r>
      <w:r w:rsidR="001B6E5E" w:rsidRPr="00EE4797">
        <w:rPr>
          <w:rFonts w:asciiTheme="minorHAnsi" w:hAnsiTheme="minorHAnsi"/>
          <w:color w:val="000000" w:themeColor="text1"/>
          <w:sz w:val="36"/>
          <w:szCs w:val="30"/>
        </w:rPr>
        <w:t xml:space="preserve"> 2%</w:t>
      </w:r>
      <w:r w:rsidRPr="00EE4797">
        <w:rPr>
          <w:rFonts w:asciiTheme="minorHAnsi" w:hAnsiTheme="minorHAnsi"/>
          <w:color w:val="000000" w:themeColor="text1"/>
          <w:sz w:val="36"/>
          <w:szCs w:val="30"/>
        </w:rPr>
        <w:t xml:space="preserve"> in F</w:t>
      </w:r>
      <w:r w:rsidR="001B6E5E" w:rsidRPr="00EE4797">
        <w:rPr>
          <w:rFonts w:asciiTheme="minorHAnsi" w:hAnsiTheme="minorHAnsi"/>
          <w:color w:val="000000" w:themeColor="text1"/>
          <w:sz w:val="36"/>
          <w:szCs w:val="30"/>
        </w:rPr>
        <w:t>irst</w:t>
      </w:r>
      <w:r w:rsidRPr="00EE4797">
        <w:rPr>
          <w:rFonts w:asciiTheme="minorHAnsi" w:hAnsiTheme="minorHAnsi"/>
          <w:color w:val="000000" w:themeColor="text1"/>
          <w:sz w:val="36"/>
          <w:szCs w:val="30"/>
        </w:rPr>
        <w:t xml:space="preserve"> Quarter</w:t>
      </w:r>
    </w:p>
    <w:p w14:paraId="2DB69746" w14:textId="0174046B" w:rsidR="00F20245" w:rsidRPr="00EE4797" w:rsidRDefault="007F1C4A" w:rsidP="00044ED9">
      <w:pPr>
        <w:pStyle w:val="ListParagraph"/>
        <w:numPr>
          <w:ilvl w:val="0"/>
          <w:numId w:val="9"/>
        </w:numPr>
        <w:spacing w:before="60" w:after="0"/>
        <w:rPr>
          <w:color w:val="000000" w:themeColor="text1"/>
        </w:rPr>
      </w:pPr>
      <w:r w:rsidRPr="00EE4797">
        <w:rPr>
          <w:color w:val="000000" w:themeColor="text1"/>
        </w:rPr>
        <w:t>Minnesota exports</w:t>
      </w:r>
      <w:r w:rsidR="00F20245" w:rsidRPr="00EE4797">
        <w:rPr>
          <w:color w:val="000000" w:themeColor="text1"/>
        </w:rPr>
        <w:t xml:space="preserve"> of goods</w:t>
      </w:r>
      <w:r w:rsidRPr="00EE4797">
        <w:rPr>
          <w:color w:val="000000" w:themeColor="text1"/>
        </w:rPr>
        <w:t xml:space="preserve"> (incl</w:t>
      </w:r>
      <w:r w:rsidR="004C6288" w:rsidRPr="00EE4797">
        <w:rPr>
          <w:color w:val="000000" w:themeColor="text1"/>
        </w:rPr>
        <w:t>uding</w:t>
      </w:r>
      <w:r w:rsidRPr="00EE4797">
        <w:rPr>
          <w:color w:val="000000" w:themeColor="text1"/>
        </w:rPr>
        <w:t xml:space="preserve"> agricultur</w:t>
      </w:r>
      <w:r w:rsidR="00E21972" w:rsidRPr="00EE4797">
        <w:rPr>
          <w:color w:val="000000" w:themeColor="text1"/>
        </w:rPr>
        <w:t>e</w:t>
      </w:r>
      <w:r w:rsidRPr="00EE4797">
        <w:rPr>
          <w:color w:val="000000" w:themeColor="text1"/>
        </w:rPr>
        <w:t xml:space="preserve">, </w:t>
      </w:r>
      <w:proofErr w:type="gramStart"/>
      <w:r w:rsidRPr="00EE4797">
        <w:rPr>
          <w:color w:val="000000" w:themeColor="text1"/>
        </w:rPr>
        <w:t>mining</w:t>
      </w:r>
      <w:proofErr w:type="gramEnd"/>
      <w:r w:rsidRPr="00EE4797">
        <w:rPr>
          <w:color w:val="000000" w:themeColor="text1"/>
        </w:rPr>
        <w:t xml:space="preserve"> and manufact</w:t>
      </w:r>
      <w:r w:rsidR="00A02A94" w:rsidRPr="00EE4797">
        <w:rPr>
          <w:color w:val="000000" w:themeColor="text1"/>
        </w:rPr>
        <w:t>ur</w:t>
      </w:r>
      <w:r w:rsidR="00E21972" w:rsidRPr="00EE4797">
        <w:rPr>
          <w:color w:val="000000" w:themeColor="text1"/>
        </w:rPr>
        <w:t>ing</w:t>
      </w:r>
      <w:r w:rsidR="00A02A94" w:rsidRPr="00EE4797">
        <w:rPr>
          <w:color w:val="000000" w:themeColor="text1"/>
        </w:rPr>
        <w:t>) wer</w:t>
      </w:r>
      <w:r w:rsidR="00E92FA6" w:rsidRPr="00EE4797">
        <w:rPr>
          <w:color w:val="000000" w:themeColor="text1"/>
        </w:rPr>
        <w:t>e</w:t>
      </w:r>
      <w:r w:rsidR="00F20245" w:rsidRPr="00EE4797">
        <w:rPr>
          <w:color w:val="000000" w:themeColor="text1"/>
        </w:rPr>
        <w:t xml:space="preserve"> valued at</w:t>
      </w:r>
      <w:r w:rsidR="00E92FA6" w:rsidRPr="00EE4797">
        <w:rPr>
          <w:color w:val="000000" w:themeColor="text1"/>
        </w:rPr>
        <w:t xml:space="preserve"> $</w:t>
      </w:r>
      <w:r w:rsidR="00D4733E" w:rsidRPr="00EE4797">
        <w:rPr>
          <w:color w:val="000000" w:themeColor="text1"/>
        </w:rPr>
        <w:t>6.</w:t>
      </w:r>
      <w:r w:rsidR="001B6E5E" w:rsidRPr="00EE4797">
        <w:rPr>
          <w:color w:val="000000" w:themeColor="text1"/>
        </w:rPr>
        <w:t>7</w:t>
      </w:r>
      <w:r w:rsidR="00C23DAA" w:rsidRPr="00EE4797">
        <w:rPr>
          <w:color w:val="000000" w:themeColor="text1"/>
        </w:rPr>
        <w:t xml:space="preserve"> billion</w:t>
      </w:r>
      <w:r w:rsidR="00DB304D" w:rsidRPr="00EE4797">
        <w:rPr>
          <w:color w:val="000000" w:themeColor="text1"/>
        </w:rPr>
        <w:t xml:space="preserve"> in the </w:t>
      </w:r>
      <w:r w:rsidR="001B6E5E" w:rsidRPr="00EE4797">
        <w:rPr>
          <w:color w:val="000000" w:themeColor="text1"/>
        </w:rPr>
        <w:t>first</w:t>
      </w:r>
      <w:r w:rsidR="00375ACF" w:rsidRPr="00EE4797">
        <w:rPr>
          <w:color w:val="000000" w:themeColor="text1"/>
        </w:rPr>
        <w:t xml:space="preserve"> quarter</w:t>
      </w:r>
      <w:r w:rsidR="00DB304D" w:rsidRPr="00EE4797">
        <w:rPr>
          <w:color w:val="000000" w:themeColor="text1"/>
        </w:rPr>
        <w:t xml:space="preserve"> of </w:t>
      </w:r>
      <w:r w:rsidR="001B6E5E" w:rsidRPr="00EE4797">
        <w:rPr>
          <w:color w:val="000000" w:themeColor="text1"/>
        </w:rPr>
        <w:t>2024</w:t>
      </w:r>
      <w:r w:rsidR="00DB304D" w:rsidRPr="00EE4797">
        <w:rPr>
          <w:color w:val="000000" w:themeColor="text1"/>
        </w:rPr>
        <w:t xml:space="preserve">, </w:t>
      </w:r>
      <w:r w:rsidR="00F75C80" w:rsidRPr="00EE4797">
        <w:rPr>
          <w:color w:val="000000" w:themeColor="text1"/>
        </w:rPr>
        <w:t xml:space="preserve">representing </w:t>
      </w:r>
      <w:r w:rsidR="00E21972" w:rsidRPr="00EE4797">
        <w:rPr>
          <w:color w:val="000000" w:themeColor="text1"/>
        </w:rPr>
        <w:t>an increase of</w:t>
      </w:r>
      <w:r w:rsidR="004C6288" w:rsidRPr="00EE4797">
        <w:rPr>
          <w:color w:val="000000" w:themeColor="text1"/>
        </w:rPr>
        <w:t xml:space="preserve"> </w:t>
      </w:r>
      <w:r w:rsidR="001B6E5E" w:rsidRPr="00EE4797">
        <w:rPr>
          <w:color w:val="000000" w:themeColor="text1"/>
        </w:rPr>
        <w:t>2</w:t>
      </w:r>
      <w:r w:rsidR="007818E5" w:rsidRPr="00EE4797">
        <w:rPr>
          <w:color w:val="000000" w:themeColor="text1"/>
        </w:rPr>
        <w:t>%</w:t>
      </w:r>
      <w:r w:rsidR="00B5144B" w:rsidRPr="00EE4797">
        <w:rPr>
          <w:color w:val="000000" w:themeColor="text1"/>
        </w:rPr>
        <w:t xml:space="preserve"> (or</w:t>
      </w:r>
      <w:r w:rsidR="0087384F" w:rsidRPr="00EE4797">
        <w:rPr>
          <w:color w:val="000000" w:themeColor="text1"/>
        </w:rPr>
        <w:t xml:space="preserve"> </w:t>
      </w:r>
      <w:r w:rsidR="001B6E5E" w:rsidRPr="00EE4797">
        <w:rPr>
          <w:color w:val="000000" w:themeColor="text1"/>
        </w:rPr>
        <w:t>up</w:t>
      </w:r>
      <w:r w:rsidR="00B5144B" w:rsidRPr="00EE4797">
        <w:rPr>
          <w:color w:val="000000" w:themeColor="text1"/>
        </w:rPr>
        <w:t xml:space="preserve"> $</w:t>
      </w:r>
      <w:r w:rsidR="001B6E5E" w:rsidRPr="00EE4797">
        <w:rPr>
          <w:color w:val="000000" w:themeColor="text1"/>
        </w:rPr>
        <w:t>133</w:t>
      </w:r>
      <w:r w:rsidR="00C23DAA" w:rsidRPr="00EE4797">
        <w:rPr>
          <w:color w:val="000000" w:themeColor="text1"/>
        </w:rPr>
        <w:t xml:space="preserve"> </w:t>
      </w:r>
      <w:r w:rsidR="00CE08AA" w:rsidRPr="00EE4797">
        <w:rPr>
          <w:color w:val="000000" w:themeColor="text1"/>
        </w:rPr>
        <w:t>m</w:t>
      </w:r>
      <w:r w:rsidR="00C23DAA" w:rsidRPr="00EE4797">
        <w:rPr>
          <w:color w:val="000000" w:themeColor="text1"/>
        </w:rPr>
        <w:t>illion</w:t>
      </w:r>
      <w:r w:rsidRPr="00EE4797">
        <w:rPr>
          <w:color w:val="000000" w:themeColor="text1"/>
        </w:rPr>
        <w:t xml:space="preserve">) </w:t>
      </w:r>
      <w:r w:rsidR="00F81BA9" w:rsidRPr="00EE4797">
        <w:rPr>
          <w:color w:val="000000" w:themeColor="text1"/>
        </w:rPr>
        <w:t xml:space="preserve">since </w:t>
      </w:r>
      <w:r w:rsidRPr="00EE4797">
        <w:rPr>
          <w:color w:val="000000" w:themeColor="text1"/>
        </w:rPr>
        <w:t xml:space="preserve">the </w:t>
      </w:r>
      <w:r w:rsidR="001B6E5E" w:rsidRPr="00EE4797">
        <w:rPr>
          <w:color w:val="000000" w:themeColor="text1"/>
        </w:rPr>
        <w:t>first</w:t>
      </w:r>
      <w:r w:rsidR="00375ACF" w:rsidRPr="00EE4797">
        <w:rPr>
          <w:color w:val="000000" w:themeColor="text1"/>
        </w:rPr>
        <w:t xml:space="preserve"> quarter</w:t>
      </w:r>
      <w:r w:rsidR="00957BCF" w:rsidRPr="00EE4797">
        <w:rPr>
          <w:color w:val="000000" w:themeColor="text1"/>
        </w:rPr>
        <w:t xml:space="preserve"> of </w:t>
      </w:r>
      <w:r w:rsidR="001B6E5E" w:rsidRPr="00EE4797">
        <w:rPr>
          <w:color w:val="000000" w:themeColor="text1"/>
        </w:rPr>
        <w:t>2023</w:t>
      </w:r>
      <w:r w:rsidR="0045432D" w:rsidRPr="00EE4797">
        <w:rPr>
          <w:color w:val="000000" w:themeColor="text1"/>
        </w:rPr>
        <w:t>. T</w:t>
      </w:r>
      <w:r w:rsidR="00E21972" w:rsidRPr="00EE4797">
        <w:rPr>
          <w:color w:val="000000" w:themeColor="text1"/>
        </w:rPr>
        <w:t xml:space="preserve">he state’s exports </w:t>
      </w:r>
      <w:r w:rsidR="0045432D" w:rsidRPr="00EE4797">
        <w:rPr>
          <w:color w:val="000000" w:themeColor="text1"/>
        </w:rPr>
        <w:t xml:space="preserve">had </w:t>
      </w:r>
      <w:r w:rsidR="00E21972" w:rsidRPr="00EE4797">
        <w:rPr>
          <w:color w:val="000000" w:themeColor="text1"/>
        </w:rPr>
        <w:t>last show</w:t>
      </w:r>
      <w:r w:rsidR="0045432D" w:rsidRPr="00EE4797">
        <w:rPr>
          <w:color w:val="000000" w:themeColor="text1"/>
        </w:rPr>
        <w:t>n</w:t>
      </w:r>
      <w:r w:rsidR="00E21972" w:rsidRPr="00EE4797">
        <w:rPr>
          <w:color w:val="000000" w:themeColor="text1"/>
        </w:rPr>
        <w:t xml:space="preserve"> growth in the first quarter of 2023.</w:t>
      </w:r>
    </w:p>
    <w:p w14:paraId="55E6222A" w14:textId="01160A12" w:rsidR="00E21972" w:rsidRPr="00EE4797" w:rsidRDefault="00E21972" w:rsidP="00375ACF">
      <w:pPr>
        <w:pStyle w:val="ListParagraph"/>
        <w:numPr>
          <w:ilvl w:val="0"/>
          <w:numId w:val="9"/>
        </w:numPr>
        <w:spacing w:before="60" w:after="0"/>
        <w:rPr>
          <w:color w:val="000000" w:themeColor="text1"/>
        </w:rPr>
      </w:pPr>
      <w:r w:rsidRPr="00EE4797">
        <w:rPr>
          <w:color w:val="000000" w:themeColor="text1"/>
        </w:rPr>
        <w:t xml:space="preserve">Although the state’s sales of mineral fuel and oil continued to decline, the drop was </w:t>
      </w:r>
      <w:r w:rsidR="0045432D" w:rsidRPr="00EE4797">
        <w:rPr>
          <w:color w:val="000000" w:themeColor="text1"/>
        </w:rPr>
        <w:t>les</w:t>
      </w:r>
      <w:r w:rsidRPr="00EE4797">
        <w:rPr>
          <w:color w:val="000000" w:themeColor="text1"/>
        </w:rPr>
        <w:t>s severe.</w:t>
      </w:r>
    </w:p>
    <w:p w14:paraId="3AA839B2" w14:textId="4702EA5F" w:rsidR="00375ACF" w:rsidRPr="00EE4797" w:rsidRDefault="00C97041" w:rsidP="00375ACF">
      <w:pPr>
        <w:pStyle w:val="ListParagraph"/>
        <w:numPr>
          <w:ilvl w:val="0"/>
          <w:numId w:val="9"/>
        </w:numPr>
        <w:spacing w:before="60" w:after="0"/>
        <w:rPr>
          <w:color w:val="000000" w:themeColor="text1"/>
        </w:rPr>
      </w:pPr>
      <w:r w:rsidRPr="00EE4797">
        <w:rPr>
          <w:color w:val="000000" w:themeColor="text1"/>
        </w:rPr>
        <w:t>U.S. exports</w:t>
      </w:r>
      <w:r w:rsidR="00742415" w:rsidRPr="00EE4797">
        <w:rPr>
          <w:color w:val="000000" w:themeColor="text1"/>
        </w:rPr>
        <w:t xml:space="preserve"> of goods</w:t>
      </w:r>
      <w:r w:rsidR="00C23DAA" w:rsidRPr="00EE4797">
        <w:rPr>
          <w:color w:val="000000" w:themeColor="text1"/>
        </w:rPr>
        <w:t xml:space="preserve"> </w:t>
      </w:r>
      <w:r w:rsidR="001B6E5E" w:rsidRPr="00EE4797">
        <w:rPr>
          <w:color w:val="000000" w:themeColor="text1"/>
        </w:rPr>
        <w:t>were unchanged between</w:t>
      </w:r>
      <w:r w:rsidR="00521967" w:rsidRPr="00EE4797">
        <w:rPr>
          <w:color w:val="000000" w:themeColor="text1"/>
        </w:rPr>
        <w:t xml:space="preserve"> </w:t>
      </w:r>
      <w:r w:rsidR="007216E3" w:rsidRPr="00EE4797">
        <w:rPr>
          <w:color w:val="000000" w:themeColor="text1"/>
        </w:rPr>
        <w:t xml:space="preserve">the </w:t>
      </w:r>
      <w:r w:rsidR="001B6E5E" w:rsidRPr="00EE4797">
        <w:rPr>
          <w:color w:val="000000" w:themeColor="text1"/>
        </w:rPr>
        <w:t>first</w:t>
      </w:r>
      <w:r w:rsidR="00375ACF" w:rsidRPr="00EE4797">
        <w:rPr>
          <w:color w:val="000000" w:themeColor="text1"/>
        </w:rPr>
        <w:t xml:space="preserve"> quarter</w:t>
      </w:r>
      <w:r w:rsidR="001B6E5E" w:rsidRPr="00EE4797">
        <w:rPr>
          <w:color w:val="000000" w:themeColor="text1"/>
        </w:rPr>
        <w:t>s of 2023 and 2024</w:t>
      </w:r>
      <w:r w:rsidR="003D0885" w:rsidRPr="00EE4797">
        <w:rPr>
          <w:color w:val="000000" w:themeColor="text1"/>
        </w:rPr>
        <w:t>.</w:t>
      </w:r>
      <w:r w:rsidR="00806897" w:rsidRPr="00EE4797">
        <w:rPr>
          <w:color w:val="000000" w:themeColor="text1"/>
        </w:rPr>
        <w:t xml:space="preserve"> </w:t>
      </w:r>
      <w:r w:rsidR="00E21972" w:rsidRPr="00EE4797">
        <w:rPr>
          <w:color w:val="000000" w:themeColor="text1"/>
        </w:rPr>
        <w:t>More</w:t>
      </w:r>
      <w:r w:rsidR="00806897" w:rsidRPr="00EE4797">
        <w:rPr>
          <w:color w:val="000000" w:themeColor="text1"/>
        </w:rPr>
        <w:t xml:space="preserve"> </w:t>
      </w:r>
      <w:r w:rsidR="004B25EA" w:rsidRPr="00EE4797">
        <w:rPr>
          <w:color w:val="000000" w:themeColor="text1"/>
        </w:rPr>
        <w:t xml:space="preserve">states </w:t>
      </w:r>
      <w:r w:rsidR="00E21972" w:rsidRPr="00EE4797">
        <w:rPr>
          <w:color w:val="000000" w:themeColor="text1"/>
        </w:rPr>
        <w:t xml:space="preserve">had </w:t>
      </w:r>
      <w:r w:rsidR="00806897" w:rsidRPr="00EE4797">
        <w:rPr>
          <w:color w:val="000000" w:themeColor="text1"/>
        </w:rPr>
        <w:t>g</w:t>
      </w:r>
      <w:r w:rsidR="003D0885" w:rsidRPr="00EE4797">
        <w:rPr>
          <w:color w:val="000000" w:themeColor="text1"/>
        </w:rPr>
        <w:t>ains</w:t>
      </w:r>
      <w:r w:rsidR="00806897" w:rsidRPr="00EE4797">
        <w:rPr>
          <w:color w:val="000000" w:themeColor="text1"/>
        </w:rPr>
        <w:t xml:space="preserve"> (28) </w:t>
      </w:r>
      <w:r w:rsidR="00E21972" w:rsidRPr="00EE4797">
        <w:rPr>
          <w:color w:val="000000" w:themeColor="text1"/>
        </w:rPr>
        <w:t>than had</w:t>
      </w:r>
      <w:r w:rsidR="00806897" w:rsidRPr="00EE4797">
        <w:rPr>
          <w:color w:val="000000" w:themeColor="text1"/>
        </w:rPr>
        <w:t xml:space="preserve"> declines (22</w:t>
      </w:r>
      <w:r w:rsidR="003D0885" w:rsidRPr="00EE4797">
        <w:rPr>
          <w:color w:val="000000" w:themeColor="text1"/>
        </w:rPr>
        <w:t>).</w:t>
      </w:r>
    </w:p>
    <w:p w14:paraId="03CA25DA" w14:textId="3C04AFCF" w:rsidR="007F1C4A" w:rsidRPr="00EE4797" w:rsidRDefault="007F1C4A" w:rsidP="006871D2">
      <w:pPr>
        <w:pStyle w:val="Heading4"/>
        <w:spacing w:before="120"/>
        <w:rPr>
          <w:rFonts w:eastAsiaTheme="minorEastAsia"/>
          <w:color w:val="000000" w:themeColor="text1"/>
          <w:szCs w:val="24"/>
        </w:rPr>
      </w:pPr>
      <w:r w:rsidRPr="00EE4797">
        <w:rPr>
          <w:color w:val="000000" w:themeColor="text1"/>
        </w:rPr>
        <w:t xml:space="preserve">Figure </w:t>
      </w:r>
      <w:r w:rsidRPr="00EE4797">
        <w:rPr>
          <w:color w:val="000000" w:themeColor="text1"/>
        </w:rPr>
        <w:fldChar w:fldCharType="begin"/>
      </w:r>
      <w:r w:rsidRPr="00EE4797">
        <w:rPr>
          <w:color w:val="000000" w:themeColor="text1"/>
        </w:rPr>
        <w:instrText xml:space="preserve"> SEQ Figure \* ARABIC </w:instrText>
      </w:r>
      <w:r w:rsidRPr="00EE4797">
        <w:rPr>
          <w:color w:val="000000" w:themeColor="text1"/>
        </w:rPr>
        <w:fldChar w:fldCharType="separate"/>
      </w:r>
      <w:r w:rsidR="00C430F8" w:rsidRPr="00EE4797">
        <w:rPr>
          <w:color w:val="000000" w:themeColor="text1"/>
        </w:rPr>
        <w:t>1</w:t>
      </w:r>
      <w:r w:rsidRPr="00EE4797">
        <w:rPr>
          <w:color w:val="000000" w:themeColor="text1"/>
        </w:rPr>
        <w:fldChar w:fldCharType="end"/>
      </w:r>
      <w:r w:rsidR="00A52415" w:rsidRPr="00EE4797">
        <w:rPr>
          <w:color w:val="000000" w:themeColor="text1"/>
        </w:rPr>
        <w:t>.</w:t>
      </w:r>
      <w:r w:rsidR="00F72892" w:rsidRPr="00EE4797">
        <w:rPr>
          <w:color w:val="000000" w:themeColor="text1"/>
        </w:rPr>
        <w:t xml:space="preserve"> </w:t>
      </w:r>
      <w:r w:rsidR="003D0885" w:rsidRPr="00EE4797">
        <w:rPr>
          <w:color w:val="000000" w:themeColor="text1"/>
        </w:rPr>
        <w:t>More S</w:t>
      </w:r>
      <w:r w:rsidR="00F72892" w:rsidRPr="00EE4797">
        <w:rPr>
          <w:color w:val="000000" w:themeColor="text1"/>
        </w:rPr>
        <w:t>tates</w:t>
      </w:r>
      <w:r w:rsidR="00806897" w:rsidRPr="00EE4797">
        <w:rPr>
          <w:color w:val="000000" w:themeColor="text1"/>
        </w:rPr>
        <w:t xml:space="preserve"> </w:t>
      </w:r>
      <w:r w:rsidR="003D0885" w:rsidRPr="00EE4797">
        <w:rPr>
          <w:color w:val="000000" w:themeColor="text1"/>
        </w:rPr>
        <w:t>Have</w:t>
      </w:r>
      <w:r w:rsidR="00806897" w:rsidRPr="00EE4797">
        <w:rPr>
          <w:color w:val="000000" w:themeColor="text1"/>
        </w:rPr>
        <w:t xml:space="preserve"> G</w:t>
      </w:r>
      <w:r w:rsidR="003D0885" w:rsidRPr="00EE4797">
        <w:rPr>
          <w:color w:val="000000" w:themeColor="text1"/>
        </w:rPr>
        <w:t>ains Than Declines</w:t>
      </w:r>
    </w:p>
    <w:p w14:paraId="0AAEB35D" w14:textId="5AFDA9D3" w:rsidR="007F1C4A" w:rsidRPr="00EE4797" w:rsidRDefault="003D0885" w:rsidP="00F675A0">
      <w:pPr>
        <w:spacing w:after="0" w:line="271" w:lineRule="auto"/>
        <w:rPr>
          <w:b/>
          <w:color w:val="000000" w:themeColor="text1"/>
        </w:rPr>
      </w:pPr>
      <w:r w:rsidRPr="00EE4797">
        <w:rPr>
          <w:noProof/>
          <w:color w:val="000000" w:themeColor="text1"/>
        </w:rPr>
        <mc:AlternateContent>
          <mc:Choice Requires="wps">
            <w:drawing>
              <wp:anchor distT="0" distB="0" distL="114300" distR="114300" simplePos="0" relativeHeight="251658752" behindDoc="0" locked="0" layoutInCell="1" allowOverlap="1" wp14:anchorId="24E76B40" wp14:editId="32461CF7">
                <wp:simplePos x="0" y="0"/>
                <wp:positionH relativeFrom="margin">
                  <wp:posOffset>5830462</wp:posOffset>
                </wp:positionH>
                <wp:positionV relativeFrom="paragraph">
                  <wp:posOffset>1260572</wp:posOffset>
                </wp:positionV>
                <wp:extent cx="759417" cy="473725"/>
                <wp:effectExtent l="0" t="0" r="0" b="2540"/>
                <wp:wrapNone/>
                <wp:docPr id="307" name="Text Box 2" descr="highlight text box for US Map&#10;MN: -14%&#10;U.S.: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17" cy="473725"/>
                        </a:xfrm>
                        <a:prstGeom prst="rect">
                          <a:avLst/>
                        </a:prstGeom>
                        <a:noFill/>
                        <a:ln w="9525">
                          <a:noFill/>
                          <a:miter lim="800000"/>
                          <a:headEnd/>
                          <a:tailEnd/>
                        </a:ln>
                      </wps:spPr>
                      <wps:txbx>
                        <w:txbxContent>
                          <w:p w14:paraId="60A296D5" w14:textId="6414EDB4" w:rsidR="007F1C4A" w:rsidRPr="00044ED9" w:rsidRDefault="007F1C4A" w:rsidP="007F1C4A">
                            <w:pPr>
                              <w:spacing w:after="0"/>
                              <w:rPr>
                                <w:b/>
                                <w:i/>
                                <w:szCs w:val="24"/>
                              </w:rPr>
                            </w:pPr>
                            <w:r w:rsidRPr="00044ED9">
                              <w:rPr>
                                <w:b/>
                                <w:i/>
                                <w:szCs w:val="24"/>
                              </w:rPr>
                              <w:t>M</w:t>
                            </w:r>
                            <w:r w:rsidR="0065603B" w:rsidRPr="00044ED9">
                              <w:rPr>
                                <w:b/>
                                <w:i/>
                                <w:szCs w:val="24"/>
                              </w:rPr>
                              <w:t xml:space="preserve">N:  </w:t>
                            </w:r>
                            <w:r w:rsidR="00806897">
                              <w:rPr>
                                <w:b/>
                                <w:i/>
                                <w:szCs w:val="24"/>
                              </w:rPr>
                              <w:t>+2</w:t>
                            </w:r>
                            <w:r w:rsidRPr="00044ED9">
                              <w:rPr>
                                <w:b/>
                                <w:i/>
                                <w:szCs w:val="24"/>
                              </w:rPr>
                              <w:t>%</w:t>
                            </w:r>
                          </w:p>
                          <w:p w14:paraId="588145EA" w14:textId="7A6675B1" w:rsidR="007F1C4A" w:rsidRPr="00044ED9" w:rsidRDefault="00293DCF" w:rsidP="007F1C4A">
                            <w:pPr>
                              <w:spacing w:after="0"/>
                              <w:rPr>
                                <w:b/>
                                <w:i/>
                                <w:szCs w:val="24"/>
                              </w:rPr>
                            </w:pPr>
                            <w:r w:rsidRPr="00044ED9">
                              <w:rPr>
                                <w:b/>
                                <w:i/>
                                <w:szCs w:val="24"/>
                              </w:rPr>
                              <w:t xml:space="preserve">U.S.: </w:t>
                            </w:r>
                            <w:r w:rsidR="00806897">
                              <w:rPr>
                                <w:b/>
                                <w:i/>
                                <w:szCs w:val="24"/>
                              </w:rPr>
                              <w:t xml:space="preserve"> 0</w:t>
                            </w:r>
                            <w:r w:rsidR="007F1C4A" w:rsidRPr="00044ED9">
                              <w:rPr>
                                <w:b/>
                                <w: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76B40" id="_x0000_t202" coordsize="21600,21600" o:spt="202" path="m,l,21600r21600,l21600,xe">
                <v:stroke joinstyle="miter"/>
                <v:path gradientshapeok="t" o:connecttype="rect"/>
              </v:shapetype>
              <v:shape id="Text Box 2" o:spid="_x0000_s1026" type="#_x0000_t202" alt="highlight text box for US Map&#10;MN: -14%&#10;U.S.: -1%&#10;" style="position:absolute;margin-left:459.1pt;margin-top:99.25pt;width:59.8pt;height:37.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" filled="f" stroked="f">
                <v:textbox>
                  <w:txbxContent>
                    <w:p w14:paraId="60A296D5" w14:textId="6414EDB4" w:rsidR="007F1C4A" w:rsidRPr="00044ED9" w:rsidRDefault="007F1C4A" w:rsidP="007F1C4A">
                      <w:pPr>
                        <w:spacing w:after="0"/>
                        <w:rPr>
                          <w:b/>
                          <w:i/>
                          <w:szCs w:val="24"/>
                        </w:rPr>
                      </w:pPr>
                      <w:r w:rsidRPr="00044ED9">
                        <w:rPr>
                          <w:b/>
                          <w:i/>
                          <w:szCs w:val="24"/>
                        </w:rPr>
                        <w:t>M</w:t>
                      </w:r>
                      <w:r w:rsidR="0065603B" w:rsidRPr="00044ED9">
                        <w:rPr>
                          <w:b/>
                          <w:i/>
                          <w:szCs w:val="24"/>
                        </w:rPr>
                        <w:t xml:space="preserve">N:  </w:t>
                      </w:r>
                      <w:r w:rsidR="00806897">
                        <w:rPr>
                          <w:b/>
                          <w:i/>
                          <w:szCs w:val="24"/>
                        </w:rPr>
                        <w:t>+2</w:t>
                      </w:r>
                      <w:r w:rsidRPr="00044ED9">
                        <w:rPr>
                          <w:b/>
                          <w:i/>
                          <w:szCs w:val="24"/>
                        </w:rPr>
                        <w:t>%</w:t>
                      </w:r>
                    </w:p>
                    <w:p w14:paraId="588145EA" w14:textId="7A6675B1" w:rsidR="007F1C4A" w:rsidRPr="00044ED9" w:rsidRDefault="00293DCF" w:rsidP="007F1C4A">
                      <w:pPr>
                        <w:spacing w:after="0"/>
                        <w:rPr>
                          <w:b/>
                          <w:i/>
                          <w:szCs w:val="24"/>
                        </w:rPr>
                      </w:pPr>
                      <w:r w:rsidRPr="00044ED9">
                        <w:rPr>
                          <w:b/>
                          <w:i/>
                          <w:szCs w:val="24"/>
                        </w:rPr>
                        <w:t xml:space="preserve">U.S.: </w:t>
                      </w:r>
                      <w:r w:rsidR="00806897">
                        <w:rPr>
                          <w:b/>
                          <w:i/>
                          <w:szCs w:val="24"/>
                        </w:rPr>
                        <w:t xml:space="preserve"> 0</w:t>
                      </w:r>
                      <w:r w:rsidR="007F1C4A" w:rsidRPr="00044ED9">
                        <w:rPr>
                          <w:b/>
                          <w:i/>
                          <w:szCs w:val="24"/>
                        </w:rPr>
                        <w:t>%</w:t>
                      </w:r>
                    </w:p>
                  </w:txbxContent>
                </v:textbox>
                <w10:wrap anchorx="margin"/>
              </v:shape>
            </w:pict>
          </mc:Fallback>
        </mc:AlternateContent>
      </w:r>
      <w:r w:rsidR="00BE4117" w:rsidRPr="00EE4797">
        <w:rPr>
          <w:noProof/>
          <w:color w:val="000000" w:themeColor="text1"/>
        </w:rPr>
        <mc:AlternateContent>
          <mc:Choice Requires="wps">
            <w:drawing>
              <wp:anchor distT="0" distB="0" distL="114300" distR="114300" simplePos="0" relativeHeight="251660800" behindDoc="0" locked="0" layoutInCell="1" allowOverlap="1" wp14:anchorId="098AB7ED" wp14:editId="138F8D92">
                <wp:simplePos x="0" y="0"/>
                <wp:positionH relativeFrom="page">
                  <wp:posOffset>3890075</wp:posOffset>
                </wp:positionH>
                <wp:positionV relativeFrom="paragraph">
                  <wp:posOffset>1555041</wp:posOffset>
                </wp:positionV>
                <wp:extent cx="1319530" cy="225812"/>
                <wp:effectExtent l="0" t="0" r="0" b="3175"/>
                <wp:wrapNone/>
                <wp:docPr id="11" name="Text Box 2" descr="labels for map color legend.&#10;Decline for yellow&#10;0% midpoint&#10;Growth for gree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25812"/>
                        </a:xfrm>
                        <a:prstGeom prst="rect">
                          <a:avLst/>
                        </a:prstGeom>
                        <a:noFill/>
                        <a:ln w="9525">
                          <a:noFill/>
                          <a:miter lim="800000"/>
                          <a:headEnd/>
                          <a:tailEnd/>
                        </a:ln>
                      </wps:spPr>
                      <wps:txbx>
                        <w:txbxContent>
                          <w:p w14:paraId="3C4BE73A" w14:textId="42E6E448" w:rsidR="00CC5F28" w:rsidRPr="00F675A0" w:rsidRDefault="00CC5F28" w:rsidP="00BE4117">
                            <w:pPr>
                              <w:spacing w:after="120"/>
                              <w:rPr>
                                <w:i/>
                                <w:sz w:val="18"/>
                              </w:rPr>
                            </w:pPr>
                            <w:r w:rsidRPr="00F675A0">
                              <w:rPr>
                                <w:i/>
                                <w:sz w:val="18"/>
                              </w:rPr>
                              <w:t xml:space="preserve">Decline    </w:t>
                            </w:r>
                            <w:r w:rsidR="00BE4117" w:rsidRPr="00F675A0">
                              <w:rPr>
                                <w:i/>
                                <w:sz w:val="18"/>
                              </w:rPr>
                              <w:t xml:space="preserve">  </w:t>
                            </w:r>
                            <w:r w:rsidRPr="00F675A0">
                              <w:rPr>
                                <w:i/>
                                <w:sz w:val="18"/>
                              </w:rPr>
                              <w:t xml:space="preserve"> 0%   Growth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AB7ED" id="_x0000_s1027" type="#_x0000_t202" alt="labels for map color legend.&#10;Decline for yellow&#10;0% midpoint&#10;Growth for green&#10;" style="position:absolute;margin-left:306.3pt;margin-top:122.45pt;width:103.9pt;height:17.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" filled="f" stroked="f">
                <v:textbox>
                  <w:txbxContent>
                    <w:p w14:paraId="3C4BE73A" w14:textId="42E6E448" w:rsidR="00CC5F28" w:rsidRPr="00F675A0" w:rsidRDefault="00CC5F28" w:rsidP="00BE4117">
                      <w:pPr>
                        <w:spacing w:after="120"/>
                        <w:rPr>
                          <w:i/>
                          <w:sz w:val="18"/>
                        </w:rPr>
                      </w:pPr>
                      <w:r w:rsidRPr="00F675A0">
                        <w:rPr>
                          <w:i/>
                          <w:sz w:val="18"/>
                        </w:rPr>
                        <w:t xml:space="preserve">Decline    </w:t>
                      </w:r>
                      <w:r w:rsidR="00BE4117" w:rsidRPr="00F675A0">
                        <w:rPr>
                          <w:i/>
                          <w:sz w:val="18"/>
                        </w:rPr>
                        <w:t xml:space="preserve">  </w:t>
                      </w:r>
                      <w:r w:rsidRPr="00F675A0">
                        <w:rPr>
                          <w:i/>
                          <w:sz w:val="18"/>
                        </w:rPr>
                        <w:t xml:space="preserve"> 0%   Growth</w:t>
                      </w:r>
                    </w:p>
                  </w:txbxContent>
                </v:textbox>
                <w10:wrap anchorx="page"/>
              </v:shape>
            </w:pict>
          </mc:Fallback>
        </mc:AlternateContent>
      </w:r>
      <w:r w:rsidRPr="00EE4797">
        <w:rPr>
          <w:noProof/>
          <w:color w:val="000000" w:themeColor="text1"/>
        </w:rPr>
        <w:drawing>
          <wp:inline distT="0" distB="0" distL="0" distR="0" wp14:anchorId="1F3A8B62" wp14:editId="6DFA19E1">
            <wp:extent cx="3102532" cy="1704813"/>
            <wp:effectExtent l="0" t="0" r="3175" b="0"/>
            <wp:docPr id="4" name="Picture 4" descr="US Map of States showing export trend between 2023-Q1 and 2024-Q1&#10;key shows growth in green, declines in yellow.&#10;State Percent Change, 2023-Q1 to 2024-Q1&#10;Minnesota 2%&#10;United States 0%&#10;Alabama 4%&#10;Alaska -5%&#10;Arizona 4%&#10;Arkansas -3%&#10;California -4%&#10;Colorado -3%&#10;Connecticut 21%&#10;Delaware -5%&#10;Dist of Columbia 83%&#10;Florida 9%&#10;Georgia -1%&#10;Hawaii -70%&#10;Idaho 0%&#10;Illinois -3%&#10;Indiana 15%&#10;Iowa -6%&#10;Kansas 6%&#10;Kentucky 26%&#10;Louisiana -20%&#10;Maine 11%&#10;Maryland 4%&#10;Massachusetts -21%&#10;Michigan -4%&#10;Mississippi -9%&#10;Missouri 4%&#10;Montana 14%&#10;Nebraska 7%&#10;Nevada -4%&#10;New Hampshire -1%&#10;New Jersey -3%&#10;New Mexico 6%&#10;New York 4%&#10;North Carolina 4%&#10;North Dakota 25%&#10;Ohio 2%&#10;Oklahoma 10%&#10;Oregon 6%&#10;Pennsylvania 4%&#10;Rhode Island 10%&#10;South Carolina 20%&#10;South Dakota -13%&#10;Tennessee 5%&#10;Texas 0%&#10;Utah 12%&#10;Vermont -5%&#10;Virginia -9%&#10;Washington -7%&#10;West Virginia -23%&#10;Wisconsin 2%&#10;Wyoming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S Map of States showing export trend between 2023-Q1 and 2024-Q1&#10;key shows growth in green, declines in yellow.&#10;State Percent Change, 2023-Q1 to 2024-Q1&#10;Minnesota 2%&#10;United States 0%&#10;Alabama 4%&#10;Alaska -5%&#10;Arizona 4%&#10;Arkansas -3%&#10;California -4%&#10;Colorado -3%&#10;Connecticut 21%&#10;Delaware -5%&#10;Dist of Columbia 83%&#10;Florida 9%&#10;Georgia -1%&#10;Hawaii -70%&#10;Idaho 0%&#10;Illinois -3%&#10;Indiana 15%&#10;Iowa -6%&#10;Kansas 6%&#10;Kentucky 26%&#10;Louisiana -20%&#10;Maine 11%&#10;Maryland 4%&#10;Massachusetts -21%&#10;Michigan -4%&#10;Mississippi -9%&#10;Missouri 4%&#10;Montana 14%&#10;Nebraska 7%&#10;Nevada -4%&#10;New Hampshire -1%&#10;New Jersey -3%&#10;New Mexico 6%&#10;New York 4%&#10;North Carolina 4%&#10;North Dakota 25%&#10;Ohio 2%&#10;Oklahoma 10%&#10;Oregon 6%&#10;Pennsylvania 4%&#10;Rhode Island 10%&#10;South Carolina 20%&#10;South Dakota -13%&#10;Tennessee 5%&#10;Texas 0%&#10;Utah 12%&#10;Vermont -5%&#10;Virginia -9%&#10;Washington -7%&#10;West Virginia -23%&#10;Wisconsin 2%&#10;Wyoming -11%&#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951" b="7881"/>
                    <a:stretch/>
                  </pic:blipFill>
                  <pic:spPr bwMode="auto">
                    <a:xfrm>
                      <a:off x="0" y="0"/>
                      <a:ext cx="3103245" cy="1705205"/>
                    </a:xfrm>
                    <a:prstGeom prst="rect">
                      <a:avLst/>
                    </a:prstGeom>
                    <a:noFill/>
                    <a:ln>
                      <a:noFill/>
                    </a:ln>
                    <a:extLst>
                      <a:ext uri="{53640926-AAD7-44D8-BBD7-CCE9431645EC}">
                        <a14:shadowObscured xmlns:a14="http://schemas.microsoft.com/office/drawing/2010/main"/>
                      </a:ext>
                    </a:extLst>
                  </pic:spPr>
                </pic:pic>
              </a:graphicData>
            </a:graphic>
          </wp:inline>
        </w:drawing>
      </w:r>
    </w:p>
    <w:p w14:paraId="6B23B2F3" w14:textId="4AB4FD0E" w:rsidR="00BE4DAD" w:rsidRPr="00EE4797" w:rsidRDefault="00A52415" w:rsidP="00F675A0">
      <w:pPr>
        <w:spacing w:after="0"/>
        <w:rPr>
          <w:rFonts w:ascii="Arial Narrow" w:hAnsi="Arial Narrow"/>
          <w:color w:val="000000" w:themeColor="text1"/>
          <w:sz w:val="2"/>
          <w:szCs w:val="2"/>
        </w:rPr>
        <w:sectPr w:rsidR="00BE4DAD" w:rsidRPr="00EE4797" w:rsidSect="00FE15EB">
          <w:footnotePr>
            <w:numRestart w:val="eachSect"/>
          </w:footnotePr>
          <w:endnotePr>
            <w:numFmt w:val="decimal"/>
          </w:endnotePr>
          <w:type w:val="continuous"/>
          <w:pgSz w:w="12240" w:h="15840" w:code="1"/>
          <w:pgMar w:top="864" w:right="1008" w:bottom="864" w:left="1008" w:header="720" w:footer="720" w:gutter="0"/>
          <w:cols w:num="2" w:space="450"/>
          <w:titlePg/>
          <w:docGrid w:linePitch="299"/>
        </w:sectPr>
      </w:pPr>
      <w:r w:rsidRPr="00EE4797">
        <w:rPr>
          <w:rFonts w:ascii="Arial Narrow" w:hAnsi="Arial Narrow"/>
          <w:noProof/>
          <w:color w:val="000000" w:themeColor="text1"/>
          <w:sz w:val="2"/>
          <w:szCs w:val="2"/>
        </w:rPr>
        <w:drawing>
          <wp:inline distT="0" distB="0" distL="0" distR="0" wp14:anchorId="5C21AFCD" wp14:editId="0405FC58">
            <wp:extent cx="1066800" cy="152400"/>
            <wp:effectExtent l="0" t="0" r="0" b="0"/>
            <wp:docPr id="7" name="Picture 7" descr="Map color legend. yellow for decline, green for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 color legend. yellow for decline, green for growth"/>
                    <pic:cNvPicPr>
                      <a:picLocks noChangeAspect="1" noChangeArrowheads="1"/>
                    </pic:cNvPicPr>
                  </pic:nvPicPr>
                  <pic:blipFill rotWithShape="1">
                    <a:blip r:embed="rId13">
                      <a:extLst>
                        <a:ext uri="{28A0092B-C50C-407E-A947-70E740481C1C}">
                          <a14:useLocalDpi xmlns:a14="http://schemas.microsoft.com/office/drawing/2010/main" val="0"/>
                        </a:ext>
                      </a:extLst>
                    </a:blip>
                    <a:srcRect t="41379" b="24138"/>
                    <a:stretch/>
                  </pic:blipFill>
                  <pic:spPr bwMode="auto">
                    <a:xfrm>
                      <a:off x="0" y="0"/>
                      <a:ext cx="1066800" cy="152400"/>
                    </a:xfrm>
                    <a:prstGeom prst="rect">
                      <a:avLst/>
                    </a:prstGeom>
                    <a:noFill/>
                    <a:ln>
                      <a:noFill/>
                    </a:ln>
                    <a:extLst>
                      <a:ext uri="{53640926-AAD7-44D8-BBD7-CCE9431645EC}">
                        <a14:shadowObscured xmlns:a14="http://schemas.microsoft.com/office/drawing/2010/main"/>
                      </a:ext>
                    </a:extLst>
                  </pic:spPr>
                </pic:pic>
              </a:graphicData>
            </a:graphic>
          </wp:inline>
        </w:drawing>
      </w:r>
    </w:p>
    <w:p w14:paraId="3B7C68EA" w14:textId="6DC846B7" w:rsidR="004B25EA" w:rsidRPr="00EE4797" w:rsidRDefault="004C5C9C" w:rsidP="004B25EA">
      <w:pPr>
        <w:pStyle w:val="Heading2"/>
        <w:spacing w:before="120" w:after="60"/>
        <w:rPr>
          <w:rFonts w:asciiTheme="minorHAnsi" w:hAnsiTheme="minorHAnsi" w:cstheme="minorHAnsi"/>
          <w:i/>
          <w:iCs/>
          <w:color w:val="000000" w:themeColor="text1"/>
          <w:sz w:val="28"/>
          <w:szCs w:val="28"/>
        </w:rPr>
      </w:pPr>
      <w:r w:rsidRPr="00EE4797">
        <w:rPr>
          <w:rFonts w:asciiTheme="minorHAnsi" w:hAnsiTheme="minorHAnsi" w:cstheme="minorHAnsi"/>
          <w:i/>
          <w:iCs/>
          <w:color w:val="000000" w:themeColor="text1"/>
          <w:sz w:val="28"/>
          <w:szCs w:val="28"/>
        </w:rPr>
        <w:t>Exports Show Signs of Recovery</w:t>
      </w:r>
      <w:r w:rsidR="00D62905" w:rsidRPr="00EE4797">
        <w:rPr>
          <w:rFonts w:asciiTheme="minorHAnsi" w:hAnsiTheme="minorHAnsi" w:cstheme="minorHAnsi"/>
          <w:i/>
          <w:iCs/>
          <w:color w:val="000000" w:themeColor="text1"/>
          <w:sz w:val="28"/>
          <w:szCs w:val="28"/>
        </w:rPr>
        <w:t xml:space="preserve"> </w:t>
      </w:r>
      <w:r w:rsidRPr="00EE4797">
        <w:rPr>
          <w:rFonts w:asciiTheme="minorHAnsi" w:hAnsiTheme="minorHAnsi" w:cstheme="minorHAnsi"/>
          <w:i/>
          <w:iCs/>
          <w:color w:val="000000" w:themeColor="text1"/>
          <w:sz w:val="28"/>
          <w:szCs w:val="28"/>
        </w:rPr>
        <w:t>in North America and Asia</w:t>
      </w:r>
    </w:p>
    <w:p w14:paraId="096CABBA" w14:textId="4B8B2BE1" w:rsidR="004C5C9C" w:rsidRPr="00EE4797" w:rsidRDefault="00D87BD3" w:rsidP="004C5C9C">
      <w:pPr>
        <w:pStyle w:val="ListParagraph"/>
        <w:numPr>
          <w:ilvl w:val="0"/>
          <w:numId w:val="21"/>
        </w:numPr>
        <w:rPr>
          <w:color w:val="000000" w:themeColor="text1"/>
        </w:rPr>
      </w:pPr>
      <w:r w:rsidRPr="00EE4797">
        <w:rPr>
          <w:color w:val="000000" w:themeColor="text1"/>
        </w:rPr>
        <w:t>Minnesota</w:t>
      </w:r>
      <w:r w:rsidR="00136664" w:rsidRPr="00EE4797">
        <w:rPr>
          <w:color w:val="000000" w:themeColor="text1"/>
        </w:rPr>
        <w:t>’s e</w:t>
      </w:r>
      <w:r w:rsidR="000D02DD" w:rsidRPr="00EE4797">
        <w:rPr>
          <w:color w:val="000000" w:themeColor="text1"/>
        </w:rPr>
        <w:t xml:space="preserve">xports </w:t>
      </w:r>
      <w:r w:rsidR="004C5C9C" w:rsidRPr="00EE4797">
        <w:rPr>
          <w:color w:val="000000" w:themeColor="text1"/>
        </w:rPr>
        <w:t>gained a modest 1</w:t>
      </w:r>
      <w:r w:rsidR="00B06B04" w:rsidRPr="00EE4797">
        <w:rPr>
          <w:color w:val="000000" w:themeColor="text1"/>
        </w:rPr>
        <w:t xml:space="preserve">% </w:t>
      </w:r>
      <w:r w:rsidR="00136664" w:rsidRPr="00EE4797">
        <w:rPr>
          <w:color w:val="000000" w:themeColor="text1"/>
        </w:rPr>
        <w:t xml:space="preserve">to </w:t>
      </w:r>
      <w:r w:rsidR="005727A5" w:rsidRPr="00EE4797">
        <w:rPr>
          <w:b/>
          <w:bCs/>
          <w:color w:val="000000" w:themeColor="text1"/>
        </w:rPr>
        <w:t>North America</w:t>
      </w:r>
      <w:r w:rsidR="00A90983" w:rsidRPr="00EE4797">
        <w:rPr>
          <w:b/>
          <w:bCs/>
          <w:color w:val="000000" w:themeColor="text1"/>
        </w:rPr>
        <w:t xml:space="preserve"> </w:t>
      </w:r>
      <w:r w:rsidR="00CC1EF1" w:rsidRPr="00EE4797">
        <w:rPr>
          <w:color w:val="000000" w:themeColor="text1"/>
        </w:rPr>
        <w:t>($</w:t>
      </w:r>
      <w:r w:rsidR="004C5C9C" w:rsidRPr="00EE4797">
        <w:rPr>
          <w:color w:val="000000" w:themeColor="text1"/>
        </w:rPr>
        <w:t>3.0</w:t>
      </w:r>
      <w:r w:rsidR="00CC1EF1" w:rsidRPr="00EE4797">
        <w:rPr>
          <w:color w:val="000000" w:themeColor="text1"/>
        </w:rPr>
        <w:t xml:space="preserve"> billion</w:t>
      </w:r>
      <w:r w:rsidR="00B06B04" w:rsidRPr="00EE4797">
        <w:rPr>
          <w:color w:val="000000" w:themeColor="text1"/>
        </w:rPr>
        <w:t>)</w:t>
      </w:r>
      <w:r w:rsidR="00225B74" w:rsidRPr="00EE4797">
        <w:rPr>
          <w:color w:val="000000" w:themeColor="text1"/>
        </w:rPr>
        <w:t>, bolstered by</w:t>
      </w:r>
      <w:r w:rsidR="00B06B04" w:rsidRPr="00EE4797">
        <w:rPr>
          <w:color w:val="000000" w:themeColor="text1"/>
        </w:rPr>
        <w:t xml:space="preserve"> </w:t>
      </w:r>
      <w:r w:rsidR="00225B74" w:rsidRPr="00EE4797">
        <w:rPr>
          <w:color w:val="000000" w:themeColor="text1"/>
        </w:rPr>
        <w:t>r</w:t>
      </w:r>
      <w:r w:rsidR="004C5C9C" w:rsidRPr="00EE4797">
        <w:rPr>
          <w:color w:val="000000" w:themeColor="text1"/>
        </w:rPr>
        <w:t xml:space="preserve">obust growth </w:t>
      </w:r>
      <w:r w:rsidR="00B06B04" w:rsidRPr="00EE4797">
        <w:rPr>
          <w:color w:val="000000" w:themeColor="text1"/>
        </w:rPr>
        <w:t xml:space="preserve">to </w:t>
      </w:r>
      <w:r w:rsidR="00410B76" w:rsidRPr="00EE4797">
        <w:rPr>
          <w:b/>
          <w:bCs/>
          <w:color w:val="000000" w:themeColor="text1"/>
        </w:rPr>
        <w:t>Mexico</w:t>
      </w:r>
      <w:r w:rsidR="00410B76" w:rsidRPr="00EE4797">
        <w:rPr>
          <w:color w:val="000000" w:themeColor="text1"/>
        </w:rPr>
        <w:t xml:space="preserve"> </w:t>
      </w:r>
      <w:r w:rsidR="00B16C7B" w:rsidRPr="00EE4797">
        <w:rPr>
          <w:color w:val="000000" w:themeColor="text1"/>
        </w:rPr>
        <w:t>(up 20%)</w:t>
      </w:r>
      <w:r w:rsidR="00E21972" w:rsidRPr="00EE4797">
        <w:rPr>
          <w:color w:val="000000" w:themeColor="text1"/>
        </w:rPr>
        <w:t xml:space="preserve">. Overall exports </w:t>
      </w:r>
      <w:r w:rsidR="004C5C9C" w:rsidRPr="00EE4797">
        <w:rPr>
          <w:color w:val="000000" w:themeColor="text1"/>
        </w:rPr>
        <w:t>to</w:t>
      </w:r>
      <w:r w:rsidR="00B06B04" w:rsidRPr="00EE4797">
        <w:rPr>
          <w:color w:val="000000" w:themeColor="text1"/>
        </w:rPr>
        <w:t xml:space="preserve"> </w:t>
      </w:r>
      <w:r w:rsidR="00B06B04" w:rsidRPr="00EE4797">
        <w:rPr>
          <w:b/>
          <w:bCs/>
          <w:color w:val="000000" w:themeColor="text1"/>
        </w:rPr>
        <w:t>Canada</w:t>
      </w:r>
      <w:r w:rsidR="00225B74" w:rsidRPr="00EE4797">
        <w:rPr>
          <w:color w:val="000000" w:themeColor="text1"/>
        </w:rPr>
        <w:t xml:space="preserve"> </w:t>
      </w:r>
      <w:r w:rsidR="00E21972" w:rsidRPr="00EE4797">
        <w:rPr>
          <w:color w:val="000000" w:themeColor="text1"/>
        </w:rPr>
        <w:t xml:space="preserve">continued to </w:t>
      </w:r>
      <w:r w:rsidR="0045432D" w:rsidRPr="00EE4797">
        <w:rPr>
          <w:color w:val="000000" w:themeColor="text1"/>
        </w:rPr>
        <w:t>slid</w:t>
      </w:r>
      <w:r w:rsidR="00E21972" w:rsidRPr="00EE4797">
        <w:rPr>
          <w:color w:val="000000" w:themeColor="text1"/>
        </w:rPr>
        <w:t>e, d</w:t>
      </w:r>
      <w:r w:rsidR="00F5610C" w:rsidRPr="00EE4797">
        <w:rPr>
          <w:color w:val="000000" w:themeColor="text1"/>
        </w:rPr>
        <w:t>ragged down by the drop in</w:t>
      </w:r>
      <w:r w:rsidR="00225B74" w:rsidRPr="00EE4797">
        <w:rPr>
          <w:color w:val="000000" w:themeColor="text1"/>
        </w:rPr>
        <w:t xml:space="preserve"> </w:t>
      </w:r>
      <w:r w:rsidR="00225B74" w:rsidRPr="00EE4797">
        <w:rPr>
          <w:b/>
          <w:bCs/>
          <w:color w:val="000000" w:themeColor="text1"/>
        </w:rPr>
        <w:t>mineral fuel, oil</w:t>
      </w:r>
      <w:r w:rsidR="00225B74" w:rsidRPr="00EE4797">
        <w:rPr>
          <w:color w:val="000000" w:themeColor="text1"/>
        </w:rPr>
        <w:t>.</w:t>
      </w:r>
    </w:p>
    <w:p w14:paraId="09102A02" w14:textId="2B161318" w:rsidR="00F5610C" w:rsidRPr="002A1776" w:rsidRDefault="00527152" w:rsidP="002A1776">
      <w:pPr>
        <w:pStyle w:val="ListParagraph"/>
        <w:numPr>
          <w:ilvl w:val="0"/>
          <w:numId w:val="21"/>
        </w:numPr>
        <w:rPr>
          <w:color w:val="000000" w:themeColor="text1"/>
        </w:rPr>
      </w:pPr>
      <w:r>
        <w:rPr>
          <w:color w:val="000000" w:themeColor="text1"/>
        </w:rPr>
        <w:t>Exports to</w:t>
      </w:r>
      <w:r w:rsidR="007405DC" w:rsidRPr="00EE4797">
        <w:rPr>
          <w:color w:val="000000" w:themeColor="text1"/>
        </w:rPr>
        <w:t xml:space="preserve"> </w:t>
      </w:r>
      <w:r w:rsidR="007405DC" w:rsidRPr="00EE4797">
        <w:rPr>
          <w:b/>
          <w:bCs/>
          <w:color w:val="000000" w:themeColor="text1"/>
        </w:rPr>
        <w:t>Asia</w:t>
      </w:r>
      <w:r w:rsidR="007405DC" w:rsidRPr="00EE4797">
        <w:rPr>
          <w:color w:val="000000" w:themeColor="text1"/>
        </w:rPr>
        <w:t xml:space="preserve"> ($</w:t>
      </w:r>
      <w:r w:rsidR="004C5C9C" w:rsidRPr="00EE4797">
        <w:rPr>
          <w:color w:val="000000" w:themeColor="text1"/>
        </w:rPr>
        <w:t>1.8</w:t>
      </w:r>
      <w:r w:rsidR="007405DC" w:rsidRPr="00EE4797">
        <w:rPr>
          <w:color w:val="000000" w:themeColor="text1"/>
        </w:rPr>
        <w:t xml:space="preserve"> billion, </w:t>
      </w:r>
      <w:r w:rsidR="004C5C9C" w:rsidRPr="00EE4797">
        <w:rPr>
          <w:color w:val="000000" w:themeColor="text1"/>
        </w:rPr>
        <w:t>up</w:t>
      </w:r>
      <w:r w:rsidR="007405DC" w:rsidRPr="00EE4797">
        <w:rPr>
          <w:color w:val="000000" w:themeColor="text1"/>
        </w:rPr>
        <w:t xml:space="preserve"> </w:t>
      </w:r>
      <w:r w:rsidR="004C5C9C" w:rsidRPr="00EE4797">
        <w:rPr>
          <w:color w:val="000000" w:themeColor="text1"/>
        </w:rPr>
        <w:t>7</w:t>
      </w:r>
      <w:r w:rsidR="007405DC" w:rsidRPr="00EE4797">
        <w:rPr>
          <w:color w:val="000000" w:themeColor="text1"/>
        </w:rPr>
        <w:t xml:space="preserve">%) </w:t>
      </w:r>
      <w:r w:rsidR="0045432D" w:rsidRPr="00EE4797">
        <w:rPr>
          <w:color w:val="000000" w:themeColor="text1"/>
        </w:rPr>
        <w:t>reversed course</w:t>
      </w:r>
      <w:r>
        <w:rPr>
          <w:color w:val="000000" w:themeColor="text1"/>
        </w:rPr>
        <w:t xml:space="preserve">, swelling to </w:t>
      </w:r>
      <w:r w:rsidR="00B06B04" w:rsidRPr="00EE4797">
        <w:rPr>
          <w:b/>
          <w:bCs/>
          <w:color w:val="000000" w:themeColor="text1"/>
        </w:rPr>
        <w:t>Thailand</w:t>
      </w:r>
      <w:r w:rsidR="004D7918" w:rsidRPr="00EE4797">
        <w:rPr>
          <w:color w:val="000000" w:themeColor="text1"/>
        </w:rPr>
        <w:t xml:space="preserve"> (up </w:t>
      </w:r>
      <w:r w:rsidR="004C5C9C" w:rsidRPr="00EE4797">
        <w:rPr>
          <w:color w:val="000000" w:themeColor="text1"/>
        </w:rPr>
        <w:t>74</w:t>
      </w:r>
      <w:r w:rsidR="004D7918" w:rsidRPr="00EE4797">
        <w:rPr>
          <w:color w:val="000000" w:themeColor="text1"/>
        </w:rPr>
        <w:t>%</w:t>
      </w:r>
      <w:r w:rsidR="002A1776">
        <w:rPr>
          <w:color w:val="000000" w:themeColor="text1"/>
        </w:rPr>
        <w:t xml:space="preserve"> </w:t>
      </w:r>
      <w:r w:rsidR="002A1776" w:rsidRPr="00EE4797">
        <w:rPr>
          <w:bCs/>
          <w:color w:val="000000" w:themeColor="text1"/>
        </w:rPr>
        <w:t xml:space="preserve"> –</w:t>
      </w:r>
      <w:r w:rsidR="002A1776" w:rsidRPr="00EE4797">
        <w:rPr>
          <w:color w:val="000000" w:themeColor="text1"/>
        </w:rPr>
        <w:t xml:space="preserve"> </w:t>
      </w:r>
      <w:r w:rsidR="002A1776">
        <w:rPr>
          <w:color w:val="000000" w:themeColor="text1"/>
        </w:rPr>
        <w:t xml:space="preserve">mainly due to </w:t>
      </w:r>
      <w:r w:rsidR="002A1776" w:rsidRPr="002A1776">
        <w:rPr>
          <w:b/>
          <w:bCs/>
          <w:color w:val="000000" w:themeColor="text1"/>
        </w:rPr>
        <w:t>integrated circuits</w:t>
      </w:r>
      <w:r w:rsidR="004D7918" w:rsidRPr="002A1776">
        <w:rPr>
          <w:color w:val="000000" w:themeColor="text1"/>
        </w:rPr>
        <w:t>)</w:t>
      </w:r>
      <w:r w:rsidR="004C5C9C" w:rsidRPr="002A1776">
        <w:rPr>
          <w:color w:val="000000" w:themeColor="text1"/>
        </w:rPr>
        <w:t>,</w:t>
      </w:r>
      <w:r w:rsidR="004D7918" w:rsidRPr="002A1776">
        <w:rPr>
          <w:color w:val="000000" w:themeColor="text1"/>
        </w:rPr>
        <w:t xml:space="preserve"> </w:t>
      </w:r>
      <w:r w:rsidR="004C5C9C" w:rsidRPr="002A1776">
        <w:rPr>
          <w:b/>
          <w:bCs/>
          <w:color w:val="000000" w:themeColor="text1"/>
        </w:rPr>
        <w:t>Taiwan</w:t>
      </w:r>
      <w:r w:rsidR="004D7918" w:rsidRPr="002A1776">
        <w:rPr>
          <w:color w:val="000000" w:themeColor="text1"/>
        </w:rPr>
        <w:t xml:space="preserve"> (up </w:t>
      </w:r>
      <w:r w:rsidR="00B06B04" w:rsidRPr="002A1776">
        <w:rPr>
          <w:color w:val="000000" w:themeColor="text1"/>
        </w:rPr>
        <w:t>24</w:t>
      </w:r>
      <w:r w:rsidR="004D7918" w:rsidRPr="002A1776">
        <w:rPr>
          <w:color w:val="000000" w:themeColor="text1"/>
        </w:rPr>
        <w:t>%)</w:t>
      </w:r>
      <w:r w:rsidR="004C5C9C" w:rsidRPr="002A1776">
        <w:rPr>
          <w:color w:val="000000" w:themeColor="text1"/>
        </w:rPr>
        <w:t xml:space="preserve">, </w:t>
      </w:r>
      <w:r w:rsidR="004C5C9C" w:rsidRPr="002A1776">
        <w:rPr>
          <w:b/>
          <w:bCs/>
          <w:color w:val="000000" w:themeColor="text1"/>
        </w:rPr>
        <w:t xml:space="preserve">Korea </w:t>
      </w:r>
      <w:r w:rsidR="004C5C9C" w:rsidRPr="002A1776">
        <w:rPr>
          <w:color w:val="000000" w:themeColor="text1"/>
        </w:rPr>
        <w:t xml:space="preserve">(up 13%) and </w:t>
      </w:r>
      <w:r w:rsidR="004C5C9C" w:rsidRPr="002A1776">
        <w:rPr>
          <w:b/>
          <w:bCs/>
          <w:color w:val="000000" w:themeColor="text1"/>
        </w:rPr>
        <w:t xml:space="preserve">India </w:t>
      </w:r>
      <w:r w:rsidR="004C5C9C" w:rsidRPr="002A1776">
        <w:rPr>
          <w:color w:val="000000" w:themeColor="text1"/>
        </w:rPr>
        <w:t>(up 37%)</w:t>
      </w:r>
      <w:r>
        <w:rPr>
          <w:color w:val="000000" w:themeColor="text1"/>
        </w:rPr>
        <w:t xml:space="preserve"> and</w:t>
      </w:r>
      <w:r w:rsidR="00E21972" w:rsidRPr="002A1776">
        <w:rPr>
          <w:color w:val="000000" w:themeColor="text1"/>
        </w:rPr>
        <w:t xml:space="preserve"> </w:t>
      </w:r>
      <w:r w:rsidR="002A1776">
        <w:rPr>
          <w:color w:val="000000" w:themeColor="text1"/>
        </w:rPr>
        <w:t>countering</w:t>
      </w:r>
      <w:r>
        <w:rPr>
          <w:color w:val="000000" w:themeColor="text1"/>
        </w:rPr>
        <w:t xml:space="preserve"> weakness</w:t>
      </w:r>
      <w:r w:rsidR="00B16C7B" w:rsidRPr="002A1776">
        <w:rPr>
          <w:color w:val="000000" w:themeColor="text1"/>
        </w:rPr>
        <w:t xml:space="preserve"> in</w:t>
      </w:r>
      <w:r w:rsidR="004C5C9C" w:rsidRPr="002A1776">
        <w:rPr>
          <w:color w:val="000000" w:themeColor="text1"/>
        </w:rPr>
        <w:t xml:space="preserve"> </w:t>
      </w:r>
      <w:r w:rsidR="004C5C9C" w:rsidRPr="002A1776">
        <w:rPr>
          <w:b/>
          <w:bCs/>
          <w:color w:val="000000" w:themeColor="text1"/>
        </w:rPr>
        <w:t xml:space="preserve">China </w:t>
      </w:r>
      <w:r w:rsidR="004C5C9C" w:rsidRPr="002A1776">
        <w:rPr>
          <w:color w:val="000000" w:themeColor="text1"/>
        </w:rPr>
        <w:t xml:space="preserve">and </w:t>
      </w:r>
      <w:r w:rsidR="004C5C9C" w:rsidRPr="002A1776">
        <w:rPr>
          <w:b/>
          <w:bCs/>
          <w:color w:val="000000" w:themeColor="text1"/>
        </w:rPr>
        <w:t>Japan</w:t>
      </w:r>
      <w:r w:rsidR="004C5C9C" w:rsidRPr="002A1776">
        <w:rPr>
          <w:color w:val="000000" w:themeColor="text1"/>
        </w:rPr>
        <w:t>.</w:t>
      </w:r>
    </w:p>
    <w:p w14:paraId="03CF38FF" w14:textId="5A6BE53A" w:rsidR="00C8413F" w:rsidRPr="00EE4797" w:rsidRDefault="00CC5F28" w:rsidP="00846556">
      <w:pPr>
        <w:pStyle w:val="ListParagraph"/>
        <w:numPr>
          <w:ilvl w:val="0"/>
          <w:numId w:val="10"/>
        </w:numPr>
        <w:spacing w:before="120" w:after="120"/>
        <w:rPr>
          <w:color w:val="000000" w:themeColor="text1"/>
        </w:rPr>
      </w:pPr>
      <w:bookmarkStart w:id="0" w:name="_Hlk71710426"/>
      <w:r w:rsidRPr="00EE4797">
        <w:rPr>
          <w:color w:val="000000" w:themeColor="text1"/>
        </w:rPr>
        <w:t xml:space="preserve">Sales of Minnesota goods </w:t>
      </w:r>
      <w:r w:rsidR="00F675A0" w:rsidRPr="00EE4797">
        <w:rPr>
          <w:color w:val="000000" w:themeColor="text1"/>
        </w:rPr>
        <w:t>strengthened</w:t>
      </w:r>
      <w:r w:rsidR="004C5C9C" w:rsidRPr="00EE4797">
        <w:rPr>
          <w:color w:val="000000" w:themeColor="text1"/>
        </w:rPr>
        <w:t xml:space="preserve"> to the </w:t>
      </w:r>
      <w:r w:rsidR="00D62905" w:rsidRPr="00EE4797">
        <w:rPr>
          <w:b/>
          <w:bCs/>
          <w:color w:val="000000" w:themeColor="text1"/>
        </w:rPr>
        <w:t>Caribbean, Central and South America</w:t>
      </w:r>
      <w:r w:rsidR="00D62905" w:rsidRPr="00EE4797">
        <w:rPr>
          <w:color w:val="000000" w:themeColor="text1"/>
        </w:rPr>
        <w:t xml:space="preserve"> ($3</w:t>
      </w:r>
      <w:r w:rsidR="004C5C9C" w:rsidRPr="00EE4797">
        <w:rPr>
          <w:color w:val="000000" w:themeColor="text1"/>
        </w:rPr>
        <w:t>49</w:t>
      </w:r>
      <w:r w:rsidR="00D62905" w:rsidRPr="00EE4797">
        <w:rPr>
          <w:color w:val="000000" w:themeColor="text1"/>
        </w:rPr>
        <w:t xml:space="preserve"> million, </w:t>
      </w:r>
      <w:r w:rsidR="004C5C9C" w:rsidRPr="00EE4797">
        <w:rPr>
          <w:color w:val="000000" w:themeColor="text1"/>
        </w:rPr>
        <w:t>up</w:t>
      </w:r>
      <w:r w:rsidR="00D62905" w:rsidRPr="00EE4797">
        <w:rPr>
          <w:color w:val="000000" w:themeColor="text1"/>
        </w:rPr>
        <w:t xml:space="preserve"> 1</w:t>
      </w:r>
      <w:r w:rsidR="004C5C9C" w:rsidRPr="00EE4797">
        <w:rPr>
          <w:color w:val="000000" w:themeColor="text1"/>
        </w:rPr>
        <w:t>2</w:t>
      </w:r>
      <w:r w:rsidR="00D62905" w:rsidRPr="00EE4797">
        <w:rPr>
          <w:color w:val="000000" w:themeColor="text1"/>
        </w:rPr>
        <w:t>%)</w:t>
      </w:r>
      <w:r w:rsidR="00C8413F" w:rsidRPr="00EE4797">
        <w:rPr>
          <w:color w:val="000000" w:themeColor="text1"/>
        </w:rPr>
        <w:t xml:space="preserve">, </w:t>
      </w:r>
      <w:r w:rsidR="00C8413F" w:rsidRPr="00EE4797">
        <w:rPr>
          <w:b/>
          <w:bCs/>
          <w:color w:val="000000" w:themeColor="text1"/>
        </w:rPr>
        <w:t xml:space="preserve">Australia-Pacific </w:t>
      </w:r>
      <w:r w:rsidR="00C8413F" w:rsidRPr="00EE4797">
        <w:rPr>
          <w:color w:val="000000" w:themeColor="text1"/>
        </w:rPr>
        <w:t>($154 million, up 27%)</w:t>
      </w:r>
      <w:r w:rsidR="004C5C9C" w:rsidRPr="00EE4797">
        <w:rPr>
          <w:color w:val="000000" w:themeColor="text1"/>
        </w:rPr>
        <w:t xml:space="preserve"> and </w:t>
      </w:r>
      <w:r w:rsidR="00C8413F" w:rsidRPr="00EE4797">
        <w:rPr>
          <w:color w:val="000000" w:themeColor="text1"/>
        </w:rPr>
        <w:t>the</w:t>
      </w:r>
      <w:r w:rsidR="00C8413F" w:rsidRPr="00EE4797">
        <w:rPr>
          <w:b/>
          <w:bCs/>
          <w:color w:val="000000" w:themeColor="text1"/>
        </w:rPr>
        <w:t xml:space="preserve"> Middle East </w:t>
      </w:r>
      <w:r w:rsidR="00C8413F" w:rsidRPr="00EE4797">
        <w:rPr>
          <w:color w:val="000000" w:themeColor="text1"/>
        </w:rPr>
        <w:t xml:space="preserve">($127 million, up 9%). </w:t>
      </w:r>
      <w:r w:rsidR="00C8413F" w:rsidRPr="00EE4797">
        <w:rPr>
          <w:b/>
          <w:bCs/>
          <w:color w:val="000000" w:themeColor="text1"/>
        </w:rPr>
        <w:t>Brazil,</w:t>
      </w:r>
      <w:r w:rsidR="00C8413F" w:rsidRPr="00EE4797">
        <w:rPr>
          <w:color w:val="000000" w:themeColor="text1"/>
        </w:rPr>
        <w:t xml:space="preserve"> </w:t>
      </w:r>
      <w:r w:rsidR="00C8413F" w:rsidRPr="00EE4797">
        <w:rPr>
          <w:b/>
          <w:bCs/>
          <w:color w:val="000000" w:themeColor="text1"/>
        </w:rPr>
        <w:t>Colombia</w:t>
      </w:r>
      <w:r w:rsidR="00C8413F" w:rsidRPr="00EE4797">
        <w:rPr>
          <w:color w:val="000000" w:themeColor="text1"/>
        </w:rPr>
        <w:t xml:space="preserve">, the </w:t>
      </w:r>
      <w:r w:rsidR="00C8413F" w:rsidRPr="00EE4797">
        <w:rPr>
          <w:b/>
          <w:bCs/>
          <w:color w:val="000000" w:themeColor="text1"/>
        </w:rPr>
        <w:t>Dominican Republic</w:t>
      </w:r>
      <w:r w:rsidR="00C8413F" w:rsidRPr="00EE4797">
        <w:rPr>
          <w:color w:val="000000" w:themeColor="text1"/>
        </w:rPr>
        <w:t>,</w:t>
      </w:r>
      <w:r w:rsidR="00C8413F" w:rsidRPr="00EE4797">
        <w:rPr>
          <w:b/>
          <w:bCs/>
          <w:color w:val="000000" w:themeColor="text1"/>
        </w:rPr>
        <w:t xml:space="preserve"> El Salvador</w:t>
      </w:r>
      <w:r w:rsidR="00C8413F" w:rsidRPr="00EE4797">
        <w:rPr>
          <w:color w:val="000000" w:themeColor="text1"/>
        </w:rPr>
        <w:t xml:space="preserve">, </w:t>
      </w:r>
      <w:proofErr w:type="gramStart"/>
      <w:r w:rsidR="00C8413F" w:rsidRPr="00EE4797">
        <w:rPr>
          <w:b/>
          <w:bCs/>
          <w:color w:val="000000" w:themeColor="text1"/>
        </w:rPr>
        <w:t>Australia</w:t>
      </w:r>
      <w:proofErr w:type="gramEnd"/>
      <w:r w:rsidR="00C8413F" w:rsidRPr="00EE4797">
        <w:rPr>
          <w:b/>
          <w:bCs/>
          <w:color w:val="000000" w:themeColor="text1"/>
        </w:rPr>
        <w:t xml:space="preserve"> </w:t>
      </w:r>
      <w:r w:rsidR="00C8413F" w:rsidRPr="00EE4797">
        <w:rPr>
          <w:color w:val="000000" w:themeColor="text1"/>
        </w:rPr>
        <w:t xml:space="preserve">and the </w:t>
      </w:r>
      <w:r w:rsidR="00C8413F" w:rsidRPr="00EE4797">
        <w:rPr>
          <w:b/>
          <w:bCs/>
          <w:color w:val="000000" w:themeColor="text1"/>
        </w:rPr>
        <w:t xml:space="preserve">United Arab Emirates </w:t>
      </w:r>
      <w:r w:rsidR="00A500E9" w:rsidRPr="00EE4797">
        <w:rPr>
          <w:color w:val="000000" w:themeColor="text1"/>
        </w:rPr>
        <w:t>spurred</w:t>
      </w:r>
      <w:r w:rsidR="00C8413F" w:rsidRPr="00EE4797">
        <w:rPr>
          <w:color w:val="000000" w:themeColor="text1"/>
        </w:rPr>
        <w:t xml:space="preserve"> g</w:t>
      </w:r>
      <w:r w:rsidR="00A500E9" w:rsidRPr="00EE4797">
        <w:rPr>
          <w:color w:val="000000" w:themeColor="text1"/>
        </w:rPr>
        <w:t>rowth in</w:t>
      </w:r>
      <w:r w:rsidR="00C8413F" w:rsidRPr="00EE4797">
        <w:rPr>
          <w:color w:val="000000" w:themeColor="text1"/>
        </w:rPr>
        <w:t xml:space="preserve"> these regions.</w:t>
      </w:r>
    </w:p>
    <w:p w14:paraId="64B8D233" w14:textId="258006EF" w:rsidR="00DC28FF" w:rsidRPr="00EE4797" w:rsidRDefault="00C8413F" w:rsidP="00846556">
      <w:pPr>
        <w:pStyle w:val="ListParagraph"/>
        <w:numPr>
          <w:ilvl w:val="0"/>
          <w:numId w:val="10"/>
        </w:numPr>
        <w:spacing w:before="120" w:after="120"/>
        <w:rPr>
          <w:color w:val="000000" w:themeColor="text1"/>
        </w:rPr>
      </w:pPr>
      <w:r w:rsidRPr="00EE4797">
        <w:rPr>
          <w:color w:val="000000" w:themeColor="text1"/>
        </w:rPr>
        <w:t xml:space="preserve">Exports to the </w:t>
      </w:r>
      <w:r w:rsidR="00FF330B" w:rsidRPr="00EE4797">
        <w:rPr>
          <w:b/>
          <w:bCs/>
          <w:color w:val="000000" w:themeColor="text1"/>
        </w:rPr>
        <w:t>E</w:t>
      </w:r>
      <w:r w:rsidR="00B97A58" w:rsidRPr="00EE4797">
        <w:rPr>
          <w:b/>
          <w:bCs/>
          <w:color w:val="000000" w:themeColor="text1"/>
        </w:rPr>
        <w:t>U</w:t>
      </w:r>
      <w:r w:rsidR="00FF330B" w:rsidRPr="00EE4797">
        <w:rPr>
          <w:color w:val="000000" w:themeColor="text1"/>
        </w:rPr>
        <w:t xml:space="preserve"> </w:t>
      </w:r>
      <w:r w:rsidR="00B16C7B" w:rsidRPr="00EE4797">
        <w:rPr>
          <w:color w:val="000000" w:themeColor="text1"/>
        </w:rPr>
        <w:t>fell</w:t>
      </w:r>
      <w:r w:rsidRPr="00EE4797">
        <w:rPr>
          <w:color w:val="000000" w:themeColor="text1"/>
        </w:rPr>
        <w:t xml:space="preserve"> 6%, </w:t>
      </w:r>
      <w:r w:rsidR="00B97A58" w:rsidRPr="00EE4797">
        <w:rPr>
          <w:color w:val="000000" w:themeColor="text1"/>
        </w:rPr>
        <w:t xml:space="preserve">as </w:t>
      </w:r>
      <w:r w:rsidR="00A500E9" w:rsidRPr="00EE4797">
        <w:rPr>
          <w:color w:val="000000" w:themeColor="text1"/>
        </w:rPr>
        <w:t>sales buckled to</w:t>
      </w:r>
      <w:r w:rsidR="00FF330B" w:rsidRPr="00EE4797">
        <w:rPr>
          <w:color w:val="000000" w:themeColor="text1"/>
        </w:rPr>
        <w:t xml:space="preserve"> </w:t>
      </w:r>
      <w:r w:rsidR="00B97A58" w:rsidRPr="00EE4797">
        <w:rPr>
          <w:b/>
          <w:bCs/>
          <w:color w:val="000000" w:themeColor="text1"/>
        </w:rPr>
        <w:t xml:space="preserve">Sweden </w:t>
      </w:r>
      <w:r w:rsidR="00B97A58" w:rsidRPr="00EE4797">
        <w:rPr>
          <w:color w:val="000000" w:themeColor="text1"/>
        </w:rPr>
        <w:t xml:space="preserve">(down 52%), </w:t>
      </w:r>
      <w:r w:rsidR="00B97A58" w:rsidRPr="00EE4797">
        <w:rPr>
          <w:b/>
          <w:bCs/>
          <w:color w:val="000000" w:themeColor="text1"/>
        </w:rPr>
        <w:t xml:space="preserve">Spain </w:t>
      </w:r>
      <w:r w:rsidR="00B97A58" w:rsidRPr="00EE4797">
        <w:rPr>
          <w:color w:val="000000" w:themeColor="text1"/>
        </w:rPr>
        <w:t xml:space="preserve">(down 36%), </w:t>
      </w:r>
      <w:r w:rsidR="00B97A58" w:rsidRPr="00EE4797">
        <w:rPr>
          <w:b/>
          <w:bCs/>
          <w:color w:val="000000" w:themeColor="text1"/>
        </w:rPr>
        <w:t>Germany</w:t>
      </w:r>
      <w:r w:rsidR="00B97A58" w:rsidRPr="00EE4797">
        <w:rPr>
          <w:color w:val="000000" w:themeColor="text1"/>
        </w:rPr>
        <w:t xml:space="preserve"> (down 16%) and </w:t>
      </w:r>
      <w:r w:rsidR="00B97A58" w:rsidRPr="00EE4797">
        <w:rPr>
          <w:b/>
          <w:bCs/>
          <w:color w:val="000000" w:themeColor="text1"/>
        </w:rPr>
        <w:t xml:space="preserve">the Netherlands </w:t>
      </w:r>
      <w:r w:rsidR="00B97A58" w:rsidRPr="00EE4797">
        <w:rPr>
          <w:color w:val="000000" w:themeColor="text1"/>
        </w:rPr>
        <w:t xml:space="preserve">(down 10%). </w:t>
      </w:r>
      <w:r w:rsidR="00A500E9" w:rsidRPr="00EE4797">
        <w:rPr>
          <w:color w:val="000000" w:themeColor="text1"/>
        </w:rPr>
        <w:t>However</w:t>
      </w:r>
      <w:r w:rsidR="00B97A58" w:rsidRPr="00EE4797">
        <w:rPr>
          <w:color w:val="000000" w:themeColor="text1"/>
        </w:rPr>
        <w:t xml:space="preserve">, sales </w:t>
      </w:r>
      <w:r w:rsidR="00B16C7B" w:rsidRPr="00EE4797">
        <w:rPr>
          <w:color w:val="000000" w:themeColor="text1"/>
        </w:rPr>
        <w:t>gained</w:t>
      </w:r>
      <w:r w:rsidR="00A500E9" w:rsidRPr="00EE4797">
        <w:rPr>
          <w:color w:val="000000" w:themeColor="text1"/>
        </w:rPr>
        <w:t xml:space="preserve"> traction</w:t>
      </w:r>
      <w:r w:rsidR="00B97A58" w:rsidRPr="00EE4797">
        <w:rPr>
          <w:color w:val="000000" w:themeColor="text1"/>
        </w:rPr>
        <w:t xml:space="preserve"> </w:t>
      </w:r>
      <w:r w:rsidR="00B16C7B" w:rsidRPr="00EE4797">
        <w:rPr>
          <w:color w:val="000000" w:themeColor="text1"/>
        </w:rPr>
        <w:t>in</w:t>
      </w:r>
      <w:r w:rsidR="00B97A58" w:rsidRPr="00EE4797">
        <w:rPr>
          <w:color w:val="000000" w:themeColor="text1"/>
        </w:rPr>
        <w:t xml:space="preserve"> </w:t>
      </w:r>
      <w:r w:rsidR="00B97A58" w:rsidRPr="00EE4797">
        <w:rPr>
          <w:b/>
          <w:bCs/>
          <w:color w:val="000000" w:themeColor="text1"/>
        </w:rPr>
        <w:t xml:space="preserve">Ireland </w:t>
      </w:r>
      <w:r w:rsidR="00B97A58" w:rsidRPr="00EE4797">
        <w:rPr>
          <w:color w:val="000000" w:themeColor="text1"/>
        </w:rPr>
        <w:t xml:space="preserve">(up 22%) and </w:t>
      </w:r>
      <w:r w:rsidR="00B97A58" w:rsidRPr="00EE4797">
        <w:rPr>
          <w:b/>
          <w:bCs/>
          <w:color w:val="000000" w:themeColor="text1"/>
        </w:rPr>
        <w:t xml:space="preserve">France </w:t>
      </w:r>
      <w:r w:rsidR="00B97A58" w:rsidRPr="00EE4797">
        <w:rPr>
          <w:color w:val="000000" w:themeColor="text1"/>
        </w:rPr>
        <w:t>(up 25%).</w:t>
      </w:r>
    </w:p>
    <w:p w14:paraId="5C0B6943" w14:textId="3B82CCE3" w:rsidR="00B81154" w:rsidRPr="00EE4797" w:rsidRDefault="00E21972" w:rsidP="00B81154">
      <w:pPr>
        <w:pStyle w:val="ListParagraph"/>
        <w:numPr>
          <w:ilvl w:val="0"/>
          <w:numId w:val="10"/>
        </w:numPr>
        <w:spacing w:after="0"/>
        <w:rPr>
          <w:color w:val="000000" w:themeColor="text1"/>
        </w:rPr>
      </w:pPr>
      <w:r w:rsidRPr="00EE4797">
        <w:rPr>
          <w:bCs/>
          <w:color w:val="000000" w:themeColor="text1"/>
        </w:rPr>
        <w:t>The downward trend in e</w:t>
      </w:r>
      <w:r w:rsidR="00B16C7B" w:rsidRPr="00EE4797">
        <w:rPr>
          <w:bCs/>
          <w:color w:val="000000" w:themeColor="text1"/>
        </w:rPr>
        <w:t xml:space="preserve">xports to </w:t>
      </w:r>
      <w:r w:rsidR="00D62905" w:rsidRPr="00EE4797">
        <w:rPr>
          <w:b/>
          <w:color w:val="000000" w:themeColor="text1"/>
        </w:rPr>
        <w:t>Africa</w:t>
      </w:r>
      <w:r w:rsidR="00B81154" w:rsidRPr="00EE4797">
        <w:rPr>
          <w:color w:val="000000" w:themeColor="text1"/>
        </w:rPr>
        <w:t xml:space="preserve"> ($</w:t>
      </w:r>
      <w:r w:rsidR="00B16C7B" w:rsidRPr="00EE4797">
        <w:rPr>
          <w:color w:val="000000" w:themeColor="text1"/>
        </w:rPr>
        <w:t>44</w:t>
      </w:r>
      <w:r w:rsidR="00B81154" w:rsidRPr="00EE4797">
        <w:rPr>
          <w:color w:val="000000" w:themeColor="text1"/>
        </w:rPr>
        <w:t xml:space="preserve"> million, </w:t>
      </w:r>
      <w:r w:rsidR="00B16C7B" w:rsidRPr="00EE4797">
        <w:rPr>
          <w:color w:val="000000" w:themeColor="text1"/>
        </w:rPr>
        <w:t>down 13</w:t>
      </w:r>
      <w:r w:rsidR="00B81154" w:rsidRPr="00EE4797">
        <w:rPr>
          <w:color w:val="000000" w:themeColor="text1"/>
        </w:rPr>
        <w:t>%)</w:t>
      </w:r>
      <w:r w:rsidR="00B16C7B" w:rsidRPr="00EE4797">
        <w:rPr>
          <w:color w:val="000000" w:themeColor="text1"/>
        </w:rPr>
        <w:t xml:space="preserve"> </w:t>
      </w:r>
      <w:r w:rsidR="00A500E9" w:rsidRPr="00EE4797">
        <w:rPr>
          <w:color w:val="000000" w:themeColor="text1"/>
        </w:rPr>
        <w:t>concealed the</w:t>
      </w:r>
      <w:r w:rsidRPr="00EE4797">
        <w:rPr>
          <w:color w:val="000000" w:themeColor="text1"/>
        </w:rPr>
        <w:t xml:space="preserve"> strong gains to</w:t>
      </w:r>
      <w:r w:rsidR="00B81154" w:rsidRPr="00EE4797">
        <w:rPr>
          <w:bCs/>
          <w:color w:val="000000" w:themeColor="text1"/>
        </w:rPr>
        <w:t xml:space="preserve"> </w:t>
      </w:r>
      <w:r w:rsidR="00B16C7B" w:rsidRPr="00EE4797">
        <w:rPr>
          <w:b/>
          <w:color w:val="000000" w:themeColor="text1"/>
        </w:rPr>
        <w:t>South Africa</w:t>
      </w:r>
      <w:r w:rsidR="00B16C7B" w:rsidRPr="00EE4797">
        <w:rPr>
          <w:bCs/>
          <w:color w:val="000000" w:themeColor="text1"/>
        </w:rPr>
        <w:t xml:space="preserve"> (up $4.5 million) and </w:t>
      </w:r>
      <w:r w:rsidR="00B16C7B" w:rsidRPr="00EE4797">
        <w:rPr>
          <w:b/>
          <w:color w:val="000000" w:themeColor="text1"/>
        </w:rPr>
        <w:t xml:space="preserve">Morocco </w:t>
      </w:r>
      <w:r w:rsidR="00B16C7B" w:rsidRPr="00EE4797">
        <w:rPr>
          <w:bCs/>
          <w:color w:val="000000" w:themeColor="text1"/>
        </w:rPr>
        <w:t xml:space="preserve">(up $3.6 million) </w:t>
      </w:r>
      <w:r w:rsidRPr="00EE4797">
        <w:rPr>
          <w:bCs/>
          <w:color w:val="000000" w:themeColor="text1"/>
        </w:rPr>
        <w:t xml:space="preserve">that offset </w:t>
      </w:r>
      <w:r w:rsidR="000B5C1E" w:rsidRPr="00EE4797">
        <w:rPr>
          <w:bCs/>
          <w:color w:val="000000" w:themeColor="text1"/>
        </w:rPr>
        <w:t xml:space="preserve">some </w:t>
      </w:r>
      <w:r w:rsidRPr="00EE4797">
        <w:rPr>
          <w:bCs/>
          <w:color w:val="000000" w:themeColor="text1"/>
        </w:rPr>
        <w:t>losses</w:t>
      </w:r>
      <w:r w:rsidR="00B16C7B" w:rsidRPr="00EE4797">
        <w:rPr>
          <w:bCs/>
          <w:color w:val="000000" w:themeColor="text1"/>
        </w:rPr>
        <w:t xml:space="preserve"> to </w:t>
      </w:r>
      <w:r w:rsidR="00B16C7B" w:rsidRPr="00EE4797">
        <w:rPr>
          <w:b/>
          <w:color w:val="000000" w:themeColor="text1"/>
        </w:rPr>
        <w:t xml:space="preserve">Ethiopia </w:t>
      </w:r>
      <w:r w:rsidR="00B16C7B" w:rsidRPr="00EE4797">
        <w:rPr>
          <w:bCs/>
          <w:color w:val="000000" w:themeColor="text1"/>
        </w:rPr>
        <w:t>(down $14.5 million).</w:t>
      </w:r>
    </w:p>
    <w:bookmarkEnd w:id="0"/>
    <w:p w14:paraId="481CD972" w14:textId="5B6AA1B3" w:rsidR="007C165F" w:rsidRPr="00EE4797" w:rsidRDefault="007C165F" w:rsidP="00F85FA6">
      <w:pPr>
        <w:pStyle w:val="Heading3"/>
        <w:spacing w:before="120" w:after="60"/>
        <w:rPr>
          <w:color w:val="000000" w:themeColor="text1"/>
          <w:sz w:val="24"/>
          <w:szCs w:val="24"/>
        </w:rPr>
      </w:pPr>
      <w:r w:rsidRPr="00EE4797">
        <w:rPr>
          <w:color w:val="000000" w:themeColor="text1"/>
          <w:sz w:val="24"/>
          <w:szCs w:val="24"/>
        </w:rPr>
        <w:t xml:space="preserve">Figure </w:t>
      </w:r>
      <w:r w:rsidR="00E36364" w:rsidRPr="00EE4797">
        <w:rPr>
          <w:color w:val="000000" w:themeColor="text1"/>
          <w:sz w:val="24"/>
          <w:szCs w:val="24"/>
        </w:rPr>
        <w:fldChar w:fldCharType="begin"/>
      </w:r>
      <w:r w:rsidR="00E36364" w:rsidRPr="00EE4797">
        <w:rPr>
          <w:color w:val="000000" w:themeColor="text1"/>
          <w:sz w:val="24"/>
          <w:szCs w:val="24"/>
        </w:rPr>
        <w:instrText xml:space="preserve"> SEQ Figure \* ARABIC </w:instrText>
      </w:r>
      <w:r w:rsidR="00E36364" w:rsidRPr="00EE4797">
        <w:rPr>
          <w:color w:val="000000" w:themeColor="text1"/>
          <w:sz w:val="24"/>
          <w:szCs w:val="24"/>
        </w:rPr>
        <w:fldChar w:fldCharType="separate"/>
      </w:r>
      <w:r w:rsidR="00C430F8" w:rsidRPr="00EE4797">
        <w:rPr>
          <w:color w:val="000000" w:themeColor="text1"/>
          <w:sz w:val="24"/>
          <w:szCs w:val="24"/>
        </w:rPr>
        <w:t>2</w:t>
      </w:r>
      <w:r w:rsidR="00E36364" w:rsidRPr="00EE4797">
        <w:rPr>
          <w:color w:val="000000" w:themeColor="text1"/>
          <w:sz w:val="24"/>
          <w:szCs w:val="24"/>
        </w:rPr>
        <w:fldChar w:fldCharType="end"/>
      </w:r>
      <w:r w:rsidR="00C84D0E" w:rsidRPr="00EE4797">
        <w:rPr>
          <w:color w:val="000000" w:themeColor="text1"/>
          <w:sz w:val="24"/>
          <w:szCs w:val="24"/>
        </w:rPr>
        <w:t xml:space="preserve">. </w:t>
      </w:r>
      <w:r w:rsidR="00A44451" w:rsidRPr="00EE4797">
        <w:rPr>
          <w:color w:val="000000" w:themeColor="text1"/>
          <w:sz w:val="24"/>
          <w:szCs w:val="24"/>
        </w:rPr>
        <w:t>Export Trends for</w:t>
      </w:r>
      <w:r w:rsidR="0038665A" w:rsidRPr="00EE4797">
        <w:rPr>
          <w:color w:val="000000" w:themeColor="text1"/>
          <w:sz w:val="24"/>
          <w:szCs w:val="24"/>
        </w:rPr>
        <w:t xml:space="preserve"> Minnesota’s Top 10 Markets, </w:t>
      </w:r>
      <w:r w:rsidR="001B6E5E" w:rsidRPr="00EE4797">
        <w:rPr>
          <w:color w:val="000000" w:themeColor="text1"/>
          <w:sz w:val="24"/>
          <w:szCs w:val="24"/>
        </w:rPr>
        <w:t>First</w:t>
      </w:r>
      <w:r w:rsidR="00375ACF" w:rsidRPr="00EE4797">
        <w:rPr>
          <w:color w:val="000000" w:themeColor="text1"/>
          <w:sz w:val="24"/>
          <w:szCs w:val="24"/>
        </w:rPr>
        <w:t xml:space="preserve"> </w:t>
      </w:r>
      <w:r w:rsidR="00725672" w:rsidRPr="00EE4797">
        <w:rPr>
          <w:color w:val="000000" w:themeColor="text1"/>
          <w:sz w:val="24"/>
          <w:szCs w:val="24"/>
        </w:rPr>
        <w:t>Q</w:t>
      </w:r>
      <w:r w:rsidR="00375ACF" w:rsidRPr="00EE4797">
        <w:rPr>
          <w:color w:val="000000" w:themeColor="text1"/>
          <w:sz w:val="24"/>
          <w:szCs w:val="24"/>
        </w:rPr>
        <w:t>uarter</w:t>
      </w:r>
      <w:r w:rsidR="00A52415" w:rsidRPr="00EE4797">
        <w:rPr>
          <w:color w:val="000000" w:themeColor="text1"/>
          <w:sz w:val="24"/>
          <w:szCs w:val="24"/>
        </w:rPr>
        <w:t xml:space="preserve"> </w:t>
      </w:r>
      <w:r w:rsidR="001B6E5E" w:rsidRPr="00EE4797">
        <w:rPr>
          <w:color w:val="000000" w:themeColor="text1"/>
          <w:sz w:val="24"/>
          <w:szCs w:val="24"/>
        </w:rPr>
        <w:t>2024</w:t>
      </w:r>
    </w:p>
    <w:p w14:paraId="11C01A8F" w14:textId="668F5E05" w:rsidR="004F5EFC" w:rsidRPr="00EE4797" w:rsidRDefault="003D0885" w:rsidP="002D1E09">
      <w:pPr>
        <w:spacing w:after="0"/>
        <w:rPr>
          <w:color w:val="000000" w:themeColor="text1"/>
        </w:rPr>
      </w:pPr>
      <w:r w:rsidRPr="00EE4797">
        <w:rPr>
          <w:noProof/>
          <w:color w:val="000000" w:themeColor="text1"/>
        </w:rPr>
        <w:drawing>
          <wp:inline distT="0" distB="0" distL="0" distR="0" wp14:anchorId="699297CC" wp14:editId="2AB7DD12">
            <wp:extent cx="6492240" cy="1921348"/>
            <wp:effectExtent l="0" t="0" r="3810" b="3175"/>
            <wp:docPr id="9" name="Picture 9" descr="double bar chart&#10;Figure 2 Export trends for MN's Top 10 Markets, 2024-Q1&#10;Country Exports (millions) Percent Change, 2023-Q1 to 2024-Q1&#10;WORLD  $6,738  2%&#10;Canada (1)   $1,956  -7%&#10;Mexico (2)   $1,044  20%&#10;China (3)   $559  -3%&#10;Japan (4)   $224  -19%&#10;Ireland (5)   $198  22%&#10;Korea (6)   $196  13%&#10;Germany (7)   $192  -16%&#10;Belgium (8)   $172  -7%&#10;Thailand (9)   $165  74%&#10;Netherlands (10)   $151  -10%&#10;Other  $1,883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ouble bar chart&#10;Figure 2 Export trends for MN's Top 10 Markets, 2024-Q1&#10;Country Exports (millions) Percent Change, 2023-Q1 to 2024-Q1&#10;WORLD  $6,738  2%&#10;Canada (1)   $1,956  -7%&#10;Mexico (2)   $1,044  20%&#10;China (3)   $559  -3%&#10;Japan (4)   $224  -19%&#10;Ireland (5)   $198  22%&#10;Korea (6)   $196  13%&#10;Germany (7)   $192  -16%&#10;Belgium (8)   $172  -7%&#10;Thailand (9)   $165  74%&#10;Netherlands (10)   $151  -10%&#10;Other  $1,883  6%&#10;"/>
                    <pic:cNvPicPr>
                      <a:picLocks noChangeAspect="1" noChangeArrowheads="1"/>
                    </pic:cNvPicPr>
                  </pic:nvPicPr>
                  <pic:blipFill rotWithShape="1">
                    <a:blip r:embed="rId14">
                      <a:extLst>
                        <a:ext uri="{28A0092B-C50C-407E-A947-70E740481C1C}">
                          <a14:useLocalDpi xmlns:a14="http://schemas.microsoft.com/office/drawing/2010/main" val="0"/>
                        </a:ext>
                      </a:extLst>
                    </a:blip>
                    <a:srcRect t="6062"/>
                    <a:stretch/>
                  </pic:blipFill>
                  <pic:spPr bwMode="auto">
                    <a:xfrm>
                      <a:off x="0" y="0"/>
                      <a:ext cx="6492240" cy="1921348"/>
                    </a:xfrm>
                    <a:prstGeom prst="rect">
                      <a:avLst/>
                    </a:prstGeom>
                    <a:noFill/>
                    <a:ln>
                      <a:noFill/>
                    </a:ln>
                    <a:extLst>
                      <a:ext uri="{53640926-AAD7-44D8-BBD7-CCE9431645EC}">
                        <a14:shadowObscured xmlns:a14="http://schemas.microsoft.com/office/drawing/2010/main"/>
                      </a:ext>
                    </a:extLst>
                  </pic:spPr>
                </pic:pic>
              </a:graphicData>
            </a:graphic>
          </wp:inline>
        </w:drawing>
      </w:r>
      <w:r w:rsidRPr="00EE4797">
        <w:rPr>
          <w:color w:val="000000" w:themeColor="text1"/>
        </w:rPr>
        <w:t xml:space="preserve"> </w:t>
      </w:r>
    </w:p>
    <w:p w14:paraId="52D9CF8F" w14:textId="7BE83D58" w:rsidR="00212FF3" w:rsidRPr="00EE4797" w:rsidRDefault="00163A63" w:rsidP="00212FF3">
      <w:pPr>
        <w:pStyle w:val="Heading2"/>
        <w:tabs>
          <w:tab w:val="left" w:pos="360"/>
        </w:tabs>
        <w:spacing w:before="0" w:after="120"/>
        <w:ind w:left="360" w:hanging="360"/>
        <w:rPr>
          <w:rFonts w:asciiTheme="minorHAnsi" w:hAnsiTheme="minorHAnsi"/>
          <w:bCs w:val="0"/>
          <w:i/>
          <w:color w:val="000000" w:themeColor="text1"/>
          <w:sz w:val="28"/>
        </w:rPr>
      </w:pPr>
      <w:r w:rsidRPr="00EE4797">
        <w:rPr>
          <w:rFonts w:asciiTheme="minorHAnsi" w:hAnsiTheme="minorHAnsi"/>
          <w:bCs w:val="0"/>
          <w:i/>
          <w:color w:val="000000" w:themeColor="text1"/>
          <w:sz w:val="28"/>
        </w:rPr>
        <w:lastRenderedPageBreak/>
        <w:t>Medical Products</w:t>
      </w:r>
      <w:r w:rsidR="007041A0" w:rsidRPr="00EE4797">
        <w:rPr>
          <w:rFonts w:asciiTheme="minorHAnsi" w:hAnsiTheme="minorHAnsi"/>
          <w:bCs w:val="0"/>
          <w:i/>
          <w:color w:val="000000" w:themeColor="text1"/>
          <w:sz w:val="28"/>
        </w:rPr>
        <w:t>, Vehicles, Plastics</w:t>
      </w:r>
      <w:r w:rsidRPr="00EE4797">
        <w:rPr>
          <w:rFonts w:asciiTheme="minorHAnsi" w:hAnsiTheme="minorHAnsi"/>
          <w:bCs w:val="0"/>
          <w:i/>
          <w:color w:val="000000" w:themeColor="text1"/>
          <w:sz w:val="28"/>
        </w:rPr>
        <w:t xml:space="preserve"> </w:t>
      </w:r>
      <w:r w:rsidR="00310D8B" w:rsidRPr="00EE4797">
        <w:rPr>
          <w:rFonts w:asciiTheme="minorHAnsi" w:hAnsiTheme="minorHAnsi"/>
          <w:bCs w:val="0"/>
          <w:i/>
          <w:color w:val="000000" w:themeColor="text1"/>
          <w:sz w:val="28"/>
        </w:rPr>
        <w:t xml:space="preserve">and </w:t>
      </w:r>
      <w:r w:rsidRPr="00EE4797">
        <w:rPr>
          <w:rFonts w:asciiTheme="minorHAnsi" w:hAnsiTheme="minorHAnsi"/>
          <w:bCs w:val="0"/>
          <w:i/>
          <w:color w:val="000000" w:themeColor="text1"/>
          <w:sz w:val="28"/>
        </w:rPr>
        <w:t>Aircraft</w:t>
      </w:r>
      <w:r w:rsidR="00310D8B" w:rsidRPr="00EE4797">
        <w:rPr>
          <w:rFonts w:asciiTheme="minorHAnsi" w:hAnsiTheme="minorHAnsi"/>
          <w:bCs w:val="0"/>
          <w:i/>
          <w:color w:val="000000" w:themeColor="text1"/>
          <w:sz w:val="28"/>
        </w:rPr>
        <w:t xml:space="preserve"> </w:t>
      </w:r>
      <w:r w:rsidR="007041A0" w:rsidRPr="00EE4797">
        <w:rPr>
          <w:rFonts w:asciiTheme="minorHAnsi" w:hAnsiTheme="minorHAnsi"/>
          <w:bCs w:val="0"/>
          <w:i/>
          <w:color w:val="000000" w:themeColor="text1"/>
          <w:sz w:val="28"/>
        </w:rPr>
        <w:t>Lead in Export Gains</w:t>
      </w:r>
    </w:p>
    <w:p w14:paraId="63FB73A0" w14:textId="6E9C0A77" w:rsidR="009A38D1" w:rsidRPr="00EE4797" w:rsidRDefault="007041A0" w:rsidP="000C2375">
      <w:pPr>
        <w:pStyle w:val="NoSpacing"/>
        <w:numPr>
          <w:ilvl w:val="0"/>
          <w:numId w:val="7"/>
        </w:numPr>
        <w:spacing w:line="271" w:lineRule="auto"/>
        <w:ind w:left="360" w:right="72"/>
        <w:rPr>
          <w:color w:val="000000" w:themeColor="text1"/>
        </w:rPr>
        <w:sectPr w:rsidR="009A38D1" w:rsidRPr="00EE4797" w:rsidSect="00FE15EB">
          <w:footerReference w:type="default" r:id="rId15"/>
          <w:footnotePr>
            <w:numRestart w:val="eachSect"/>
          </w:footnotePr>
          <w:endnotePr>
            <w:numFmt w:val="decimal"/>
          </w:endnotePr>
          <w:type w:val="continuous"/>
          <w:pgSz w:w="12240" w:h="15840" w:code="1"/>
          <w:pgMar w:top="864" w:right="1008" w:bottom="864" w:left="1008" w:header="720" w:footer="720" w:gutter="0"/>
          <w:cols w:space="720"/>
          <w:titlePg/>
          <w:docGrid w:linePitch="299"/>
        </w:sectPr>
      </w:pPr>
      <w:r w:rsidRPr="00EE4797">
        <w:rPr>
          <w:color w:val="000000" w:themeColor="text1"/>
        </w:rPr>
        <w:t xml:space="preserve">Over half of the state’s </w:t>
      </w:r>
      <w:r w:rsidR="00FF330B" w:rsidRPr="00EE4797">
        <w:rPr>
          <w:color w:val="000000" w:themeColor="text1"/>
        </w:rPr>
        <w:t xml:space="preserve">top 10 </w:t>
      </w:r>
      <w:r w:rsidRPr="00EE4797">
        <w:rPr>
          <w:color w:val="000000" w:themeColor="text1"/>
        </w:rPr>
        <w:t xml:space="preserve">exported </w:t>
      </w:r>
      <w:r w:rsidR="00163A63" w:rsidRPr="00EE4797">
        <w:rPr>
          <w:color w:val="000000" w:themeColor="text1"/>
        </w:rPr>
        <w:t>product</w:t>
      </w:r>
      <w:r w:rsidRPr="00EE4797">
        <w:rPr>
          <w:color w:val="000000" w:themeColor="text1"/>
        </w:rPr>
        <w:t xml:space="preserve">s had moderate to strong performances in the first quarter. </w:t>
      </w:r>
      <w:r w:rsidRPr="00EE4797">
        <w:rPr>
          <w:b/>
          <w:bCs/>
          <w:color w:val="000000" w:themeColor="text1"/>
        </w:rPr>
        <w:t>O</w:t>
      </w:r>
      <w:r w:rsidR="00BB4A7B" w:rsidRPr="00EE4797">
        <w:rPr>
          <w:b/>
          <w:bCs/>
          <w:color w:val="000000" w:themeColor="text1"/>
        </w:rPr>
        <w:t>ptic, medical</w:t>
      </w:r>
      <w:r w:rsidR="00BB4A7B" w:rsidRPr="00EE4797">
        <w:rPr>
          <w:color w:val="000000" w:themeColor="text1"/>
        </w:rPr>
        <w:t xml:space="preserve"> (up </w:t>
      </w:r>
      <w:r w:rsidRPr="00EE4797">
        <w:rPr>
          <w:color w:val="000000" w:themeColor="text1"/>
        </w:rPr>
        <w:t>12</w:t>
      </w:r>
      <w:r w:rsidR="00BB4A7B" w:rsidRPr="00EE4797">
        <w:rPr>
          <w:color w:val="000000" w:themeColor="text1"/>
        </w:rPr>
        <w:t>%)</w:t>
      </w:r>
      <w:r w:rsidRPr="00EE4797">
        <w:rPr>
          <w:color w:val="000000" w:themeColor="text1"/>
        </w:rPr>
        <w:t xml:space="preserve">, </w:t>
      </w:r>
      <w:r w:rsidRPr="00EE4797">
        <w:rPr>
          <w:b/>
          <w:bCs/>
          <w:color w:val="000000" w:themeColor="text1"/>
        </w:rPr>
        <w:t>vehicles</w:t>
      </w:r>
      <w:r w:rsidRPr="00EE4797">
        <w:rPr>
          <w:color w:val="000000" w:themeColor="text1"/>
        </w:rPr>
        <w:t xml:space="preserve"> (up 26%), </w:t>
      </w:r>
      <w:r w:rsidRPr="00EE4797">
        <w:rPr>
          <w:b/>
          <w:bCs/>
          <w:color w:val="000000" w:themeColor="text1"/>
        </w:rPr>
        <w:t xml:space="preserve">plastics </w:t>
      </w:r>
      <w:r w:rsidRPr="00EE4797">
        <w:rPr>
          <w:color w:val="000000" w:themeColor="text1"/>
        </w:rPr>
        <w:t>(up 18%)</w:t>
      </w:r>
      <w:r w:rsidR="00163A63" w:rsidRPr="00EE4797">
        <w:rPr>
          <w:color w:val="000000" w:themeColor="text1"/>
        </w:rPr>
        <w:t xml:space="preserve"> and</w:t>
      </w:r>
      <w:r w:rsidR="008C3CC2" w:rsidRPr="00EE4797">
        <w:rPr>
          <w:color w:val="000000" w:themeColor="text1"/>
        </w:rPr>
        <w:t xml:space="preserve"> </w:t>
      </w:r>
      <w:r w:rsidR="008C3CC2" w:rsidRPr="00EE4797">
        <w:rPr>
          <w:b/>
          <w:bCs/>
          <w:color w:val="000000" w:themeColor="text1"/>
        </w:rPr>
        <w:t>aircraft, spacecraft</w:t>
      </w:r>
      <w:r w:rsidR="0061064A" w:rsidRPr="00EE4797">
        <w:rPr>
          <w:b/>
          <w:bCs/>
          <w:color w:val="000000" w:themeColor="text1"/>
        </w:rPr>
        <w:t xml:space="preserve"> </w:t>
      </w:r>
      <w:r w:rsidR="0061064A" w:rsidRPr="00EE4797">
        <w:rPr>
          <w:color w:val="000000" w:themeColor="text1"/>
        </w:rPr>
        <w:t xml:space="preserve">(up </w:t>
      </w:r>
      <w:r w:rsidRPr="00EE4797">
        <w:rPr>
          <w:color w:val="000000" w:themeColor="text1"/>
        </w:rPr>
        <w:t>33</w:t>
      </w:r>
      <w:r w:rsidR="0061064A" w:rsidRPr="00EE4797">
        <w:rPr>
          <w:color w:val="000000" w:themeColor="text1"/>
        </w:rPr>
        <w:t>%)</w:t>
      </w:r>
      <w:r w:rsidRPr="00EE4797">
        <w:rPr>
          <w:color w:val="000000" w:themeColor="text1"/>
        </w:rPr>
        <w:t xml:space="preserve"> led in gains</w:t>
      </w:r>
      <w:r w:rsidR="000C2375" w:rsidRPr="00EE4797">
        <w:rPr>
          <w:color w:val="000000" w:themeColor="text1"/>
        </w:rPr>
        <w:t>.</w:t>
      </w:r>
    </w:p>
    <w:p w14:paraId="4E3DF67B" w14:textId="3D0E9AC0" w:rsidR="009A38D1" w:rsidRPr="00EE4797" w:rsidRDefault="000C2375" w:rsidP="00CF2048">
      <w:pPr>
        <w:pStyle w:val="ListParagraph"/>
        <w:numPr>
          <w:ilvl w:val="0"/>
          <w:numId w:val="20"/>
        </w:numPr>
        <w:spacing w:after="0" w:line="271" w:lineRule="auto"/>
        <w:ind w:right="54"/>
        <w:rPr>
          <w:color w:val="000000" w:themeColor="text1"/>
        </w:rPr>
      </w:pPr>
      <w:r w:rsidRPr="00EE4797">
        <w:rPr>
          <w:bCs/>
          <w:color w:val="000000" w:themeColor="text1"/>
        </w:rPr>
        <w:t>Higher</w:t>
      </w:r>
      <w:r w:rsidRPr="00EE4797">
        <w:rPr>
          <w:b/>
          <w:color w:val="000000" w:themeColor="text1"/>
        </w:rPr>
        <w:t xml:space="preserve"> optic and medical </w:t>
      </w:r>
      <w:r w:rsidRPr="00EE4797">
        <w:rPr>
          <w:bCs/>
          <w:color w:val="000000" w:themeColor="text1"/>
        </w:rPr>
        <w:t>exports were fueled by m</w:t>
      </w:r>
      <w:r w:rsidR="003A0334" w:rsidRPr="00EE4797">
        <w:rPr>
          <w:bCs/>
          <w:color w:val="000000" w:themeColor="text1"/>
        </w:rPr>
        <w:t>arkets in</w:t>
      </w:r>
      <w:r w:rsidR="003A0334" w:rsidRPr="00EE4797">
        <w:rPr>
          <w:b/>
          <w:color w:val="000000" w:themeColor="text1"/>
        </w:rPr>
        <w:t xml:space="preserve"> Asia </w:t>
      </w:r>
      <w:r w:rsidR="003A0334" w:rsidRPr="00EE4797">
        <w:rPr>
          <w:bCs/>
          <w:color w:val="000000" w:themeColor="text1"/>
        </w:rPr>
        <w:t xml:space="preserve">(up $98 million – led by </w:t>
      </w:r>
      <w:r w:rsidR="003A0334" w:rsidRPr="00EE4797">
        <w:rPr>
          <w:b/>
          <w:color w:val="000000" w:themeColor="text1"/>
        </w:rPr>
        <w:t xml:space="preserve">Korea, </w:t>
      </w:r>
      <w:proofErr w:type="gramStart"/>
      <w:r w:rsidR="003A0334" w:rsidRPr="00EE4797">
        <w:rPr>
          <w:b/>
          <w:color w:val="000000" w:themeColor="text1"/>
        </w:rPr>
        <w:t>Taiwan</w:t>
      </w:r>
      <w:proofErr w:type="gramEnd"/>
      <w:r w:rsidR="003A0334" w:rsidRPr="00EE4797">
        <w:rPr>
          <w:b/>
          <w:color w:val="000000" w:themeColor="text1"/>
        </w:rPr>
        <w:t xml:space="preserve"> </w:t>
      </w:r>
      <w:r w:rsidR="003A0334" w:rsidRPr="00EE4797">
        <w:rPr>
          <w:bCs/>
          <w:color w:val="000000" w:themeColor="text1"/>
        </w:rPr>
        <w:t>and</w:t>
      </w:r>
      <w:r w:rsidR="003A0334" w:rsidRPr="00EE4797">
        <w:rPr>
          <w:b/>
          <w:color w:val="000000" w:themeColor="text1"/>
        </w:rPr>
        <w:t xml:space="preserve"> China</w:t>
      </w:r>
      <w:r w:rsidR="003A0334" w:rsidRPr="00EE4797">
        <w:rPr>
          <w:bCs/>
          <w:color w:val="000000" w:themeColor="text1"/>
        </w:rPr>
        <w:t>) and</w:t>
      </w:r>
      <w:r w:rsidR="003A0334" w:rsidRPr="00EE4797">
        <w:rPr>
          <w:b/>
          <w:color w:val="000000" w:themeColor="text1"/>
        </w:rPr>
        <w:t xml:space="preserve"> North America </w:t>
      </w:r>
      <w:r w:rsidR="003A0334" w:rsidRPr="00EE4797">
        <w:rPr>
          <w:bCs/>
          <w:color w:val="000000" w:themeColor="text1"/>
        </w:rPr>
        <w:t>(up $</w:t>
      </w:r>
      <w:r w:rsidRPr="00EE4797">
        <w:rPr>
          <w:bCs/>
          <w:color w:val="000000" w:themeColor="text1"/>
        </w:rPr>
        <w:t>33</w:t>
      </w:r>
      <w:r w:rsidR="003A0334" w:rsidRPr="00EE4797">
        <w:rPr>
          <w:bCs/>
          <w:color w:val="000000" w:themeColor="text1"/>
        </w:rPr>
        <w:t xml:space="preserve"> million – led by </w:t>
      </w:r>
      <w:r w:rsidR="003A0334" w:rsidRPr="00EE4797">
        <w:rPr>
          <w:b/>
          <w:color w:val="000000" w:themeColor="text1"/>
        </w:rPr>
        <w:t>Mexico</w:t>
      </w:r>
      <w:r w:rsidR="003A0334" w:rsidRPr="00EE4797">
        <w:rPr>
          <w:bCs/>
          <w:color w:val="000000" w:themeColor="text1"/>
        </w:rPr>
        <w:t>)</w:t>
      </w:r>
      <w:r w:rsidRPr="00EE4797">
        <w:rPr>
          <w:bCs/>
          <w:color w:val="000000" w:themeColor="text1"/>
        </w:rPr>
        <w:t>. Growing</w:t>
      </w:r>
      <w:r w:rsidR="003A0334" w:rsidRPr="00EE4797">
        <w:rPr>
          <w:bCs/>
          <w:color w:val="000000" w:themeColor="text1"/>
        </w:rPr>
        <w:t xml:space="preserve"> </w:t>
      </w:r>
      <w:r w:rsidRPr="00EE4797">
        <w:rPr>
          <w:bCs/>
          <w:color w:val="000000" w:themeColor="text1"/>
        </w:rPr>
        <w:t>nee</w:t>
      </w:r>
      <w:r w:rsidR="003A0334" w:rsidRPr="00EE4797">
        <w:rPr>
          <w:bCs/>
          <w:color w:val="000000" w:themeColor="text1"/>
        </w:rPr>
        <w:t>d for</w:t>
      </w:r>
      <w:r w:rsidR="00AB4394" w:rsidRPr="00EE4797">
        <w:rPr>
          <w:b/>
          <w:color w:val="000000" w:themeColor="text1"/>
        </w:rPr>
        <w:t xml:space="preserve"> </w:t>
      </w:r>
      <w:r w:rsidR="00E67B6F" w:rsidRPr="00EE4797">
        <w:rPr>
          <w:b/>
          <w:bCs/>
          <w:color w:val="000000" w:themeColor="text1"/>
        </w:rPr>
        <w:t>measuring</w:t>
      </w:r>
      <w:r w:rsidR="003A0334" w:rsidRPr="00EE4797">
        <w:rPr>
          <w:b/>
          <w:bCs/>
          <w:color w:val="000000" w:themeColor="text1"/>
        </w:rPr>
        <w:t xml:space="preserve"> </w:t>
      </w:r>
      <w:r w:rsidR="00E67B6F" w:rsidRPr="00EE4797">
        <w:rPr>
          <w:b/>
          <w:bCs/>
          <w:color w:val="000000" w:themeColor="text1"/>
        </w:rPr>
        <w:t>instruments</w:t>
      </w:r>
      <w:r w:rsidR="003A0334" w:rsidRPr="00EE4797">
        <w:rPr>
          <w:b/>
          <w:bCs/>
          <w:color w:val="000000" w:themeColor="text1"/>
        </w:rPr>
        <w:t xml:space="preserve"> </w:t>
      </w:r>
      <w:r w:rsidR="003A0334" w:rsidRPr="00EE4797">
        <w:rPr>
          <w:color w:val="000000" w:themeColor="text1"/>
        </w:rPr>
        <w:t>($164 million, up 62%)</w:t>
      </w:r>
      <w:r w:rsidRPr="00EE4797">
        <w:rPr>
          <w:color w:val="000000" w:themeColor="text1"/>
        </w:rPr>
        <w:t xml:space="preserve"> and</w:t>
      </w:r>
      <w:r w:rsidR="00E67B6F" w:rsidRPr="00EE4797">
        <w:rPr>
          <w:b/>
          <w:bCs/>
          <w:color w:val="000000" w:themeColor="text1"/>
        </w:rPr>
        <w:t xml:space="preserve"> </w:t>
      </w:r>
      <w:r w:rsidR="003A0334" w:rsidRPr="00EE4797">
        <w:rPr>
          <w:b/>
          <w:bCs/>
          <w:color w:val="000000" w:themeColor="text1"/>
        </w:rPr>
        <w:t>medical, surgical instruments</w:t>
      </w:r>
      <w:r w:rsidR="003A0334" w:rsidRPr="00EE4797">
        <w:rPr>
          <w:color w:val="000000" w:themeColor="text1"/>
        </w:rPr>
        <w:t xml:space="preserve"> ($451 million, up 10%) </w:t>
      </w:r>
      <w:r w:rsidR="003A0334" w:rsidRPr="00EE4797">
        <w:rPr>
          <w:bCs/>
          <w:color w:val="000000" w:themeColor="text1"/>
        </w:rPr>
        <w:t>drove growth.</w:t>
      </w:r>
    </w:p>
    <w:p w14:paraId="7D5B9C44" w14:textId="722FE4D4" w:rsidR="009A38D1" w:rsidRPr="00EE4797" w:rsidRDefault="009A38D1" w:rsidP="000B5C1E">
      <w:pPr>
        <w:pStyle w:val="NoSpacing"/>
        <w:numPr>
          <w:ilvl w:val="0"/>
          <w:numId w:val="20"/>
        </w:numPr>
        <w:spacing w:line="271" w:lineRule="auto"/>
        <w:ind w:right="-18"/>
        <w:rPr>
          <w:color w:val="000000" w:themeColor="text1"/>
        </w:rPr>
      </w:pPr>
      <w:r w:rsidRPr="00EE4797">
        <w:rPr>
          <w:bCs/>
          <w:color w:val="000000" w:themeColor="text1"/>
        </w:rPr>
        <w:t>Sales of</w:t>
      </w:r>
      <w:r w:rsidRPr="00EE4797">
        <w:rPr>
          <w:b/>
          <w:color w:val="000000" w:themeColor="text1"/>
        </w:rPr>
        <w:t xml:space="preserve"> vehicles</w:t>
      </w:r>
      <w:r w:rsidR="000C2375" w:rsidRPr="00EE4797">
        <w:rPr>
          <w:b/>
          <w:color w:val="000000" w:themeColor="text1"/>
        </w:rPr>
        <w:t xml:space="preserve"> and </w:t>
      </w:r>
      <w:r w:rsidR="000B5C1E" w:rsidRPr="00EE4797">
        <w:rPr>
          <w:b/>
          <w:color w:val="000000" w:themeColor="text1"/>
        </w:rPr>
        <w:t>vehicle</w:t>
      </w:r>
      <w:r w:rsidR="000C2375" w:rsidRPr="00EE4797">
        <w:rPr>
          <w:b/>
          <w:color w:val="000000" w:themeColor="text1"/>
        </w:rPr>
        <w:t xml:space="preserve"> parts</w:t>
      </w:r>
      <w:r w:rsidRPr="00EE4797">
        <w:rPr>
          <w:bCs/>
          <w:color w:val="000000" w:themeColor="text1"/>
        </w:rPr>
        <w:t xml:space="preserve"> surged</w:t>
      </w:r>
      <w:r w:rsidR="00225B74" w:rsidRPr="00EE4797">
        <w:rPr>
          <w:bCs/>
          <w:color w:val="000000" w:themeColor="text1"/>
        </w:rPr>
        <w:t xml:space="preserve"> </w:t>
      </w:r>
      <w:r w:rsidRPr="00EE4797">
        <w:rPr>
          <w:bCs/>
          <w:color w:val="000000" w:themeColor="text1"/>
        </w:rPr>
        <w:t xml:space="preserve">to </w:t>
      </w:r>
      <w:r w:rsidR="000B5C1E" w:rsidRPr="00EE4797">
        <w:rPr>
          <w:bCs/>
          <w:color w:val="000000" w:themeColor="text1"/>
        </w:rPr>
        <w:t>core</w:t>
      </w:r>
      <w:r w:rsidRPr="00EE4797">
        <w:rPr>
          <w:bCs/>
          <w:color w:val="000000" w:themeColor="text1"/>
        </w:rPr>
        <w:t xml:space="preserve"> markets</w:t>
      </w:r>
      <w:r w:rsidR="000B5C1E" w:rsidRPr="00EE4797">
        <w:rPr>
          <w:bCs/>
          <w:color w:val="000000" w:themeColor="text1"/>
        </w:rPr>
        <w:t xml:space="preserve"> –</w:t>
      </w:r>
      <w:r w:rsidR="000B5C1E" w:rsidRPr="00EE4797">
        <w:rPr>
          <w:color w:val="000000" w:themeColor="text1"/>
        </w:rPr>
        <w:t xml:space="preserve"> </w:t>
      </w:r>
      <w:r w:rsidRPr="00EE4797">
        <w:rPr>
          <w:bCs/>
          <w:color w:val="000000" w:themeColor="text1"/>
        </w:rPr>
        <w:t xml:space="preserve">such as </w:t>
      </w:r>
      <w:r w:rsidRPr="00EE4797">
        <w:rPr>
          <w:b/>
          <w:color w:val="000000" w:themeColor="text1"/>
        </w:rPr>
        <w:t>Mexico</w:t>
      </w:r>
      <w:r w:rsidRPr="00EE4797">
        <w:rPr>
          <w:bCs/>
          <w:color w:val="000000" w:themeColor="text1"/>
        </w:rPr>
        <w:t xml:space="preserve"> ($191 million, up 38%) and </w:t>
      </w:r>
      <w:r w:rsidRPr="00EE4797">
        <w:rPr>
          <w:b/>
          <w:color w:val="000000" w:themeColor="text1"/>
        </w:rPr>
        <w:t>Canada</w:t>
      </w:r>
      <w:r w:rsidRPr="00EE4797">
        <w:rPr>
          <w:bCs/>
          <w:color w:val="000000" w:themeColor="text1"/>
        </w:rPr>
        <w:t xml:space="preserve"> ($222 million, up 17%)</w:t>
      </w:r>
      <w:r w:rsidR="000B5C1E" w:rsidRPr="00EE4797">
        <w:rPr>
          <w:bCs/>
          <w:color w:val="000000" w:themeColor="text1"/>
        </w:rPr>
        <w:t xml:space="preserve"> –</w:t>
      </w:r>
      <w:r w:rsidR="000B5C1E" w:rsidRPr="00EE4797">
        <w:rPr>
          <w:color w:val="000000" w:themeColor="text1"/>
        </w:rPr>
        <w:t xml:space="preserve"> </w:t>
      </w:r>
      <w:r w:rsidRPr="00EE4797">
        <w:rPr>
          <w:bCs/>
          <w:color w:val="000000" w:themeColor="text1"/>
        </w:rPr>
        <w:t>and emerging markets</w:t>
      </w:r>
      <w:r w:rsidR="000B5C1E" w:rsidRPr="00EE4797">
        <w:rPr>
          <w:bCs/>
          <w:color w:val="000000" w:themeColor="text1"/>
        </w:rPr>
        <w:t>,</w:t>
      </w:r>
      <w:r w:rsidR="000B5C1E" w:rsidRPr="00EE4797">
        <w:rPr>
          <w:color w:val="000000" w:themeColor="text1"/>
        </w:rPr>
        <w:t xml:space="preserve"> </w:t>
      </w:r>
      <w:r w:rsidRPr="00EE4797">
        <w:rPr>
          <w:bCs/>
          <w:color w:val="000000" w:themeColor="text1"/>
        </w:rPr>
        <w:t>such as</w:t>
      </w:r>
      <w:r w:rsidRPr="00EE4797">
        <w:rPr>
          <w:b/>
          <w:color w:val="000000" w:themeColor="text1"/>
        </w:rPr>
        <w:t xml:space="preserve"> Australia</w:t>
      </w:r>
      <w:r w:rsidRPr="00EE4797">
        <w:rPr>
          <w:bCs/>
          <w:color w:val="000000" w:themeColor="text1"/>
        </w:rPr>
        <w:t xml:space="preserve"> ($28 million, up 202%), </w:t>
      </w:r>
      <w:r w:rsidRPr="00EE4797">
        <w:rPr>
          <w:b/>
          <w:color w:val="000000" w:themeColor="text1"/>
        </w:rPr>
        <w:t xml:space="preserve">South Africa </w:t>
      </w:r>
      <w:r w:rsidRPr="00EE4797">
        <w:rPr>
          <w:bCs/>
          <w:color w:val="000000" w:themeColor="text1"/>
        </w:rPr>
        <w:t xml:space="preserve">($9 million, up 317%) and </w:t>
      </w:r>
      <w:r w:rsidRPr="00EE4797">
        <w:rPr>
          <w:b/>
          <w:color w:val="000000" w:themeColor="text1"/>
        </w:rPr>
        <w:t>Poland</w:t>
      </w:r>
      <w:r w:rsidRPr="00EE4797">
        <w:rPr>
          <w:bCs/>
          <w:color w:val="000000" w:themeColor="text1"/>
        </w:rPr>
        <w:t xml:space="preserve"> ($8 million, up 318%)</w:t>
      </w:r>
      <w:r w:rsidRPr="00EE4797">
        <w:rPr>
          <w:color w:val="000000" w:themeColor="text1"/>
        </w:rPr>
        <w:t>.</w:t>
      </w:r>
    </w:p>
    <w:p w14:paraId="6854DE4E" w14:textId="77777777" w:rsidR="009A38D1" w:rsidRPr="00EE4797" w:rsidRDefault="009A38D1" w:rsidP="006C4479">
      <w:pPr>
        <w:tabs>
          <w:tab w:val="left" w:pos="3330"/>
        </w:tabs>
        <w:spacing w:before="120" w:after="0" w:line="271" w:lineRule="auto"/>
        <w:ind w:right="54"/>
        <w:rPr>
          <w:color w:val="000000" w:themeColor="text1"/>
        </w:rPr>
      </w:pPr>
      <w:r w:rsidRPr="00EE4797">
        <w:rPr>
          <w:rStyle w:val="Heading3Char"/>
          <w:color w:val="000000" w:themeColor="text1"/>
          <w:sz w:val="24"/>
          <w:szCs w:val="24"/>
        </w:rPr>
        <w:t xml:space="preserve">Figure </w:t>
      </w:r>
      <w:r w:rsidRPr="00EE4797">
        <w:rPr>
          <w:rStyle w:val="Heading3Char"/>
          <w:color w:val="000000" w:themeColor="text1"/>
          <w:sz w:val="24"/>
          <w:szCs w:val="24"/>
        </w:rPr>
        <w:fldChar w:fldCharType="begin"/>
      </w:r>
      <w:r w:rsidRPr="00EE4797">
        <w:rPr>
          <w:rStyle w:val="Heading3Char"/>
          <w:color w:val="000000" w:themeColor="text1"/>
          <w:sz w:val="24"/>
          <w:szCs w:val="24"/>
        </w:rPr>
        <w:instrText xml:space="preserve"> SEQ Figure \* ARABIC </w:instrText>
      </w:r>
      <w:r w:rsidRPr="00EE4797">
        <w:rPr>
          <w:rStyle w:val="Heading3Char"/>
          <w:color w:val="000000" w:themeColor="text1"/>
          <w:sz w:val="24"/>
          <w:szCs w:val="24"/>
        </w:rPr>
        <w:fldChar w:fldCharType="separate"/>
      </w:r>
      <w:r w:rsidRPr="00EE4797">
        <w:rPr>
          <w:rStyle w:val="Heading3Char"/>
          <w:color w:val="000000" w:themeColor="text1"/>
          <w:sz w:val="24"/>
          <w:szCs w:val="24"/>
        </w:rPr>
        <w:t>3</w:t>
      </w:r>
      <w:r w:rsidRPr="00EE4797">
        <w:rPr>
          <w:rStyle w:val="Heading3Char"/>
          <w:color w:val="000000" w:themeColor="text1"/>
          <w:sz w:val="24"/>
          <w:szCs w:val="24"/>
        </w:rPr>
        <w:fldChar w:fldCharType="end"/>
      </w:r>
      <w:r w:rsidRPr="00EE4797">
        <w:rPr>
          <w:rStyle w:val="Heading3Char"/>
          <w:color w:val="000000" w:themeColor="text1"/>
          <w:sz w:val="24"/>
          <w:szCs w:val="24"/>
        </w:rPr>
        <w:t>. Markets for Optic, Medical Goods</w:t>
      </w:r>
    </w:p>
    <w:p w14:paraId="51837393" w14:textId="7057194A" w:rsidR="009A38D1" w:rsidRPr="00EE4797" w:rsidRDefault="009A38D1" w:rsidP="009A38D1">
      <w:pPr>
        <w:tabs>
          <w:tab w:val="left" w:pos="3330"/>
        </w:tabs>
        <w:spacing w:after="120" w:line="271" w:lineRule="auto"/>
        <w:rPr>
          <w:color w:val="000000" w:themeColor="text1"/>
        </w:rPr>
      </w:pPr>
      <w:r w:rsidRPr="00EE4797">
        <w:rPr>
          <w:noProof/>
          <w:color w:val="000000" w:themeColor="text1"/>
        </w:rPr>
        <w:drawing>
          <wp:inline distT="0" distB="0" distL="0" distR="0" wp14:anchorId="2534C441" wp14:editId="4D15D193">
            <wp:extent cx="3022600" cy="1847850"/>
            <wp:effectExtent l="0" t="0" r="6350" b="0"/>
            <wp:docPr id="10" name="Chart 10" descr="pie chart&#10;Figure 3 MN  markets for Optic Medical Goods&#10;China 13%&#10;Ireland 12%&#10;Korea 7%&#10;Canada 6%&#10;Netherlands 6%&#10;Japan 6%&#10;Belgium 6%&#10;Taiwan 6%&#10;Mexico 5%&#10;Other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8FB723" w14:textId="77777777" w:rsidR="009A38D1" w:rsidRPr="00EE4797" w:rsidRDefault="009A38D1" w:rsidP="009A38D1">
      <w:pPr>
        <w:pStyle w:val="NoSpacing"/>
        <w:numPr>
          <w:ilvl w:val="0"/>
          <w:numId w:val="20"/>
        </w:numPr>
        <w:spacing w:line="271" w:lineRule="auto"/>
        <w:ind w:right="-18"/>
        <w:rPr>
          <w:bCs/>
          <w:color w:val="000000" w:themeColor="text1"/>
        </w:rPr>
        <w:sectPr w:rsidR="009A38D1" w:rsidRPr="00EE4797" w:rsidSect="009A38D1">
          <w:footnotePr>
            <w:numRestart w:val="eachSect"/>
          </w:footnotePr>
          <w:endnotePr>
            <w:numFmt w:val="decimal"/>
          </w:endnotePr>
          <w:type w:val="continuous"/>
          <w:pgSz w:w="12240" w:h="15840" w:code="1"/>
          <w:pgMar w:top="864" w:right="1008" w:bottom="864" w:left="1008" w:header="720" w:footer="720" w:gutter="0"/>
          <w:cols w:num="2" w:space="720"/>
          <w:titlePg/>
          <w:docGrid w:linePitch="299"/>
        </w:sectPr>
      </w:pPr>
    </w:p>
    <w:p w14:paraId="583219CE" w14:textId="20AE6386" w:rsidR="00163A63" w:rsidRPr="00EE4797" w:rsidRDefault="00225B74" w:rsidP="00CF2048">
      <w:pPr>
        <w:pStyle w:val="ListParagraph"/>
        <w:numPr>
          <w:ilvl w:val="0"/>
          <w:numId w:val="20"/>
        </w:numPr>
        <w:spacing w:after="0" w:line="271" w:lineRule="auto"/>
        <w:ind w:right="54"/>
        <w:rPr>
          <w:color w:val="000000" w:themeColor="text1"/>
        </w:rPr>
      </w:pPr>
      <w:r w:rsidRPr="00EE4797">
        <w:rPr>
          <w:color w:val="000000" w:themeColor="text1"/>
        </w:rPr>
        <w:t xml:space="preserve">Growth in </w:t>
      </w:r>
      <w:r w:rsidR="003302FF" w:rsidRPr="00EE4797">
        <w:rPr>
          <w:color w:val="000000" w:themeColor="text1"/>
        </w:rPr>
        <w:t>exported</w:t>
      </w:r>
      <w:r w:rsidRPr="00EE4797">
        <w:rPr>
          <w:b/>
          <w:bCs/>
          <w:color w:val="000000" w:themeColor="text1"/>
        </w:rPr>
        <w:t xml:space="preserve"> a</w:t>
      </w:r>
      <w:r w:rsidR="006C4479" w:rsidRPr="00EE4797">
        <w:rPr>
          <w:b/>
          <w:bCs/>
          <w:color w:val="000000" w:themeColor="text1"/>
        </w:rPr>
        <w:t xml:space="preserve">ircraft and </w:t>
      </w:r>
      <w:r w:rsidR="000B5C1E" w:rsidRPr="00EE4797">
        <w:rPr>
          <w:b/>
          <w:bCs/>
          <w:color w:val="000000" w:themeColor="text1"/>
        </w:rPr>
        <w:t>aircraft</w:t>
      </w:r>
      <w:r w:rsidR="006C4479" w:rsidRPr="00EE4797">
        <w:rPr>
          <w:b/>
          <w:bCs/>
          <w:color w:val="000000" w:themeColor="text1"/>
        </w:rPr>
        <w:t xml:space="preserve"> parts</w:t>
      </w:r>
      <w:r w:rsidR="006C4479" w:rsidRPr="00EE4797">
        <w:rPr>
          <w:color w:val="000000" w:themeColor="text1"/>
        </w:rPr>
        <w:t xml:space="preserve"> </w:t>
      </w:r>
      <w:r w:rsidRPr="00EE4797">
        <w:rPr>
          <w:color w:val="000000" w:themeColor="text1"/>
        </w:rPr>
        <w:t>were propelled by</w:t>
      </w:r>
      <w:r w:rsidR="009D0718" w:rsidRPr="00EE4797">
        <w:rPr>
          <w:color w:val="000000" w:themeColor="text1"/>
        </w:rPr>
        <w:t xml:space="preserve"> </w:t>
      </w:r>
      <w:r w:rsidR="006C4479" w:rsidRPr="00EE4797">
        <w:rPr>
          <w:b/>
          <w:bCs/>
          <w:color w:val="000000" w:themeColor="text1"/>
        </w:rPr>
        <w:t>Canada</w:t>
      </w:r>
      <w:r w:rsidR="009D0718" w:rsidRPr="00EE4797">
        <w:rPr>
          <w:b/>
          <w:bCs/>
          <w:color w:val="000000" w:themeColor="text1"/>
        </w:rPr>
        <w:t xml:space="preserve"> </w:t>
      </w:r>
      <w:r w:rsidR="009D0718" w:rsidRPr="00EE4797">
        <w:rPr>
          <w:color w:val="000000" w:themeColor="text1"/>
        </w:rPr>
        <w:t>(</w:t>
      </w:r>
      <w:r w:rsidR="00736C8E" w:rsidRPr="00EE4797">
        <w:rPr>
          <w:color w:val="000000" w:themeColor="text1"/>
        </w:rPr>
        <w:t>$</w:t>
      </w:r>
      <w:r w:rsidR="000C2375" w:rsidRPr="00EE4797">
        <w:rPr>
          <w:color w:val="000000" w:themeColor="text1"/>
        </w:rPr>
        <w:t>25 million, up 112%</w:t>
      </w:r>
      <w:r w:rsidR="009D0718" w:rsidRPr="00EE4797">
        <w:rPr>
          <w:color w:val="000000" w:themeColor="text1"/>
        </w:rPr>
        <w:t>),</w:t>
      </w:r>
      <w:r w:rsidR="009D0718" w:rsidRPr="00EE4797">
        <w:rPr>
          <w:b/>
          <w:bCs/>
          <w:color w:val="000000" w:themeColor="text1"/>
        </w:rPr>
        <w:t xml:space="preserve"> </w:t>
      </w:r>
      <w:r w:rsidR="006C4479" w:rsidRPr="00EE4797">
        <w:rPr>
          <w:b/>
          <w:bCs/>
          <w:color w:val="000000" w:themeColor="text1"/>
        </w:rPr>
        <w:t>Nepal</w:t>
      </w:r>
      <w:r w:rsidR="009D0718" w:rsidRPr="00EE4797">
        <w:rPr>
          <w:color w:val="000000" w:themeColor="text1"/>
        </w:rPr>
        <w:t xml:space="preserve"> </w:t>
      </w:r>
      <w:r w:rsidR="000C2375" w:rsidRPr="00EE4797">
        <w:rPr>
          <w:color w:val="000000" w:themeColor="text1"/>
        </w:rPr>
        <w:t>(</w:t>
      </w:r>
      <w:r w:rsidR="009D0718" w:rsidRPr="00EE4797">
        <w:rPr>
          <w:color w:val="000000" w:themeColor="text1"/>
        </w:rPr>
        <w:t>$1</w:t>
      </w:r>
      <w:r w:rsidR="006C4479" w:rsidRPr="00EE4797">
        <w:rPr>
          <w:color w:val="000000" w:themeColor="text1"/>
        </w:rPr>
        <w:t>0</w:t>
      </w:r>
      <w:r w:rsidR="009D0718" w:rsidRPr="00EE4797">
        <w:rPr>
          <w:color w:val="000000" w:themeColor="text1"/>
        </w:rPr>
        <w:t xml:space="preserve"> million</w:t>
      </w:r>
      <w:r w:rsidR="000C2375" w:rsidRPr="00EE4797">
        <w:rPr>
          <w:color w:val="000000" w:themeColor="text1"/>
        </w:rPr>
        <w:t>, up from none</w:t>
      </w:r>
      <w:r w:rsidR="009D0718" w:rsidRPr="00EE4797">
        <w:rPr>
          <w:color w:val="000000" w:themeColor="text1"/>
        </w:rPr>
        <w:t>)</w:t>
      </w:r>
      <w:r w:rsidR="00736C8E" w:rsidRPr="00EE4797">
        <w:rPr>
          <w:color w:val="000000" w:themeColor="text1"/>
        </w:rPr>
        <w:t>,</w:t>
      </w:r>
      <w:r w:rsidR="009D0718" w:rsidRPr="00EE4797">
        <w:rPr>
          <w:color w:val="000000" w:themeColor="text1"/>
        </w:rPr>
        <w:t xml:space="preserve"> </w:t>
      </w:r>
      <w:r w:rsidR="006C4479" w:rsidRPr="00EE4797">
        <w:rPr>
          <w:b/>
          <w:bCs/>
          <w:color w:val="000000" w:themeColor="text1"/>
        </w:rPr>
        <w:t xml:space="preserve">Germany </w:t>
      </w:r>
      <w:r w:rsidR="009D0718" w:rsidRPr="00EE4797">
        <w:rPr>
          <w:color w:val="000000" w:themeColor="text1"/>
        </w:rPr>
        <w:t>(</w:t>
      </w:r>
      <w:r w:rsidR="004A1069" w:rsidRPr="00EE4797">
        <w:rPr>
          <w:color w:val="000000" w:themeColor="text1"/>
        </w:rPr>
        <w:t>$</w:t>
      </w:r>
      <w:r w:rsidR="000C2375" w:rsidRPr="00EE4797">
        <w:rPr>
          <w:color w:val="000000" w:themeColor="text1"/>
        </w:rPr>
        <w:t>23</w:t>
      </w:r>
      <w:r w:rsidR="004A1069" w:rsidRPr="00EE4797">
        <w:rPr>
          <w:color w:val="000000" w:themeColor="text1"/>
        </w:rPr>
        <w:t xml:space="preserve"> million</w:t>
      </w:r>
      <w:r w:rsidR="000C2375" w:rsidRPr="00EE4797">
        <w:rPr>
          <w:color w:val="000000" w:themeColor="text1"/>
        </w:rPr>
        <w:t>, up 75%</w:t>
      </w:r>
      <w:r w:rsidR="009D0718" w:rsidRPr="00EE4797">
        <w:rPr>
          <w:color w:val="000000" w:themeColor="text1"/>
        </w:rPr>
        <w:t>)</w:t>
      </w:r>
      <w:r w:rsidR="00736C8E" w:rsidRPr="00EE4797">
        <w:rPr>
          <w:color w:val="000000" w:themeColor="text1"/>
        </w:rPr>
        <w:t xml:space="preserve"> and </w:t>
      </w:r>
      <w:r w:rsidR="006C4479" w:rsidRPr="00EE4797">
        <w:rPr>
          <w:b/>
          <w:bCs/>
          <w:color w:val="000000" w:themeColor="text1"/>
        </w:rPr>
        <w:t>Brazil</w:t>
      </w:r>
      <w:r w:rsidR="00736C8E" w:rsidRPr="00EE4797">
        <w:rPr>
          <w:b/>
          <w:bCs/>
          <w:color w:val="000000" w:themeColor="text1"/>
        </w:rPr>
        <w:t xml:space="preserve"> </w:t>
      </w:r>
      <w:r w:rsidR="00736C8E" w:rsidRPr="00EE4797">
        <w:rPr>
          <w:color w:val="000000" w:themeColor="text1"/>
        </w:rPr>
        <w:t>($</w:t>
      </w:r>
      <w:r w:rsidR="000C2375" w:rsidRPr="00EE4797">
        <w:rPr>
          <w:color w:val="000000" w:themeColor="text1"/>
        </w:rPr>
        <w:t>13</w:t>
      </w:r>
      <w:r w:rsidR="00736C8E" w:rsidRPr="00EE4797">
        <w:rPr>
          <w:color w:val="000000" w:themeColor="text1"/>
        </w:rPr>
        <w:t xml:space="preserve"> million</w:t>
      </w:r>
      <w:r w:rsidR="000C2375" w:rsidRPr="00EE4797">
        <w:rPr>
          <w:color w:val="000000" w:themeColor="text1"/>
        </w:rPr>
        <w:t>, up 265%</w:t>
      </w:r>
      <w:r w:rsidR="00736C8E" w:rsidRPr="00EE4797">
        <w:rPr>
          <w:color w:val="000000" w:themeColor="text1"/>
        </w:rPr>
        <w:t>)</w:t>
      </w:r>
      <w:r w:rsidR="00DF13A6" w:rsidRPr="00EE4797">
        <w:rPr>
          <w:color w:val="000000" w:themeColor="text1"/>
        </w:rPr>
        <w:t>.</w:t>
      </w:r>
    </w:p>
    <w:p w14:paraId="2FE6F8FB" w14:textId="137F1491" w:rsidR="006C4479" w:rsidRPr="00EE4797" w:rsidRDefault="006C4479" w:rsidP="006C4479">
      <w:pPr>
        <w:pStyle w:val="ListParagraph"/>
        <w:numPr>
          <w:ilvl w:val="0"/>
          <w:numId w:val="20"/>
        </w:numPr>
        <w:tabs>
          <w:tab w:val="left" w:pos="3330"/>
        </w:tabs>
        <w:spacing w:before="120" w:after="0" w:line="271" w:lineRule="auto"/>
        <w:ind w:right="54"/>
        <w:rPr>
          <w:color w:val="000000" w:themeColor="text1"/>
        </w:rPr>
      </w:pPr>
      <w:r w:rsidRPr="00EE4797">
        <w:rPr>
          <w:color w:val="000000" w:themeColor="text1"/>
        </w:rPr>
        <w:t xml:space="preserve">Demand for </w:t>
      </w:r>
      <w:r w:rsidRPr="00EE4797">
        <w:rPr>
          <w:b/>
          <w:bCs/>
          <w:color w:val="000000" w:themeColor="text1"/>
        </w:rPr>
        <w:t>plastic goods</w:t>
      </w:r>
      <w:r w:rsidRPr="00EE4797">
        <w:rPr>
          <w:color w:val="000000" w:themeColor="text1"/>
        </w:rPr>
        <w:t xml:space="preserve"> rebounded, </w:t>
      </w:r>
      <w:r w:rsidR="001E2122" w:rsidRPr="00EE4797">
        <w:rPr>
          <w:color w:val="000000" w:themeColor="text1"/>
        </w:rPr>
        <w:t>driven by</w:t>
      </w:r>
      <w:r w:rsidR="000B5C1E" w:rsidRPr="00EE4797">
        <w:rPr>
          <w:color w:val="000000" w:themeColor="text1"/>
        </w:rPr>
        <w:t xml:space="preserve"> markets in </w:t>
      </w:r>
      <w:r w:rsidRPr="00EE4797">
        <w:rPr>
          <w:b/>
          <w:bCs/>
          <w:color w:val="000000" w:themeColor="text1"/>
        </w:rPr>
        <w:t>North America</w:t>
      </w:r>
      <w:r w:rsidRPr="00EE4797">
        <w:rPr>
          <w:color w:val="000000" w:themeColor="text1"/>
        </w:rPr>
        <w:t xml:space="preserve"> (up 25%) </w:t>
      </w:r>
      <w:r w:rsidR="001E2122" w:rsidRPr="00EE4797">
        <w:rPr>
          <w:color w:val="000000" w:themeColor="text1"/>
        </w:rPr>
        <w:t>and the</w:t>
      </w:r>
      <w:r w:rsidRPr="00EE4797">
        <w:rPr>
          <w:color w:val="000000" w:themeColor="text1"/>
        </w:rPr>
        <w:t xml:space="preserve"> </w:t>
      </w:r>
      <w:r w:rsidRPr="00EE4797">
        <w:rPr>
          <w:b/>
          <w:bCs/>
          <w:color w:val="000000" w:themeColor="text1"/>
        </w:rPr>
        <w:t>EU</w:t>
      </w:r>
      <w:r w:rsidRPr="00EE4797">
        <w:rPr>
          <w:color w:val="000000" w:themeColor="text1"/>
        </w:rPr>
        <w:t xml:space="preserve"> (up 46%). </w:t>
      </w:r>
      <w:r w:rsidR="00DF13A6" w:rsidRPr="00EE4797">
        <w:rPr>
          <w:color w:val="000000" w:themeColor="text1"/>
        </w:rPr>
        <w:t>Increased sales of</w:t>
      </w:r>
      <w:r w:rsidR="001E2122" w:rsidRPr="00EE4797">
        <w:rPr>
          <w:color w:val="000000" w:themeColor="text1"/>
        </w:rPr>
        <w:t xml:space="preserve"> </w:t>
      </w:r>
      <w:r w:rsidR="001E2122" w:rsidRPr="00EE4797">
        <w:rPr>
          <w:b/>
          <w:bCs/>
          <w:color w:val="000000" w:themeColor="text1"/>
        </w:rPr>
        <w:t>tubes, pipes</w:t>
      </w:r>
      <w:r w:rsidR="001E2122" w:rsidRPr="00EE4797">
        <w:rPr>
          <w:color w:val="000000" w:themeColor="text1"/>
        </w:rPr>
        <w:t xml:space="preserve"> ($56 million, up 68%), </w:t>
      </w:r>
      <w:r w:rsidR="001E2122" w:rsidRPr="00EE4797">
        <w:rPr>
          <w:b/>
          <w:bCs/>
          <w:color w:val="000000" w:themeColor="text1"/>
        </w:rPr>
        <w:t>self-adhesive sheets, film</w:t>
      </w:r>
      <w:r w:rsidR="001E2122" w:rsidRPr="00EE4797">
        <w:rPr>
          <w:color w:val="000000" w:themeColor="text1"/>
        </w:rPr>
        <w:t xml:space="preserve"> ($36 million, up 41%) and </w:t>
      </w:r>
      <w:r w:rsidR="001E2122" w:rsidRPr="00EE4797">
        <w:rPr>
          <w:b/>
          <w:bCs/>
          <w:color w:val="000000" w:themeColor="text1"/>
        </w:rPr>
        <w:t>natural polymers</w:t>
      </w:r>
      <w:r w:rsidR="001E2122" w:rsidRPr="00EE4797">
        <w:rPr>
          <w:color w:val="000000" w:themeColor="text1"/>
        </w:rPr>
        <w:t xml:space="preserve"> ($9 million, up from $93,000)</w:t>
      </w:r>
      <w:r w:rsidR="00DF13A6" w:rsidRPr="00EE4797">
        <w:rPr>
          <w:color w:val="000000" w:themeColor="text1"/>
        </w:rPr>
        <w:t xml:space="preserve"> boosted exports the most.</w:t>
      </w:r>
    </w:p>
    <w:p w14:paraId="702620E5" w14:textId="5AB7A1C7" w:rsidR="00426D95" w:rsidRPr="00EE4797" w:rsidRDefault="00426D95" w:rsidP="00EB48E8">
      <w:pPr>
        <w:pStyle w:val="ListParagraph"/>
        <w:numPr>
          <w:ilvl w:val="0"/>
          <w:numId w:val="20"/>
        </w:numPr>
        <w:tabs>
          <w:tab w:val="left" w:pos="3330"/>
        </w:tabs>
        <w:spacing w:before="120" w:after="60" w:line="271" w:lineRule="auto"/>
        <w:ind w:right="54"/>
        <w:rPr>
          <w:color w:val="000000" w:themeColor="text1"/>
          <w:sz w:val="24"/>
          <w:szCs w:val="24"/>
        </w:rPr>
      </w:pPr>
      <w:r w:rsidRPr="00EE4797">
        <w:rPr>
          <w:color w:val="000000" w:themeColor="text1"/>
        </w:rPr>
        <w:t>Nearly 90% of</w:t>
      </w:r>
      <w:r w:rsidRPr="00EE4797">
        <w:rPr>
          <w:bCs/>
          <w:color w:val="000000" w:themeColor="text1"/>
        </w:rPr>
        <w:t xml:space="preserve"> </w:t>
      </w:r>
      <w:r w:rsidRPr="00EE4797">
        <w:rPr>
          <w:b/>
          <w:bCs/>
          <w:color w:val="000000" w:themeColor="text1"/>
        </w:rPr>
        <w:t xml:space="preserve">food-by products </w:t>
      </w:r>
      <w:r w:rsidRPr="00EE4797">
        <w:rPr>
          <w:color w:val="000000" w:themeColor="text1"/>
        </w:rPr>
        <w:t xml:space="preserve">were sold to </w:t>
      </w:r>
      <w:r w:rsidRPr="00EE4797">
        <w:rPr>
          <w:b/>
          <w:bCs/>
          <w:color w:val="000000" w:themeColor="text1"/>
        </w:rPr>
        <w:t>North America</w:t>
      </w:r>
      <w:r w:rsidRPr="00EE4797">
        <w:rPr>
          <w:color w:val="000000" w:themeColor="text1"/>
        </w:rPr>
        <w:t xml:space="preserve"> ($119 million, up 18%) and </w:t>
      </w:r>
      <w:r w:rsidRPr="00EE4797">
        <w:rPr>
          <w:b/>
          <w:bCs/>
          <w:color w:val="000000" w:themeColor="text1"/>
        </w:rPr>
        <w:t>Asia</w:t>
      </w:r>
      <w:r w:rsidRPr="00EE4797">
        <w:rPr>
          <w:color w:val="000000" w:themeColor="text1"/>
        </w:rPr>
        <w:t xml:space="preserve"> ($72 million, up 52%).</w:t>
      </w:r>
      <w:r w:rsidRPr="00EE4797">
        <w:rPr>
          <w:b/>
          <w:color w:val="000000" w:themeColor="text1"/>
        </w:rPr>
        <w:t xml:space="preserve"> </w:t>
      </w:r>
      <w:r w:rsidRPr="00EE4797">
        <w:rPr>
          <w:bCs/>
          <w:color w:val="000000" w:themeColor="text1"/>
        </w:rPr>
        <w:t>Canada and Mexico</w:t>
      </w:r>
      <w:r w:rsidR="003302FF" w:rsidRPr="00EE4797">
        <w:rPr>
          <w:bCs/>
          <w:color w:val="000000" w:themeColor="text1"/>
        </w:rPr>
        <w:t>,</w:t>
      </w:r>
      <w:r w:rsidR="00DF13A6" w:rsidRPr="00EE4797">
        <w:rPr>
          <w:bCs/>
          <w:color w:val="000000" w:themeColor="text1"/>
        </w:rPr>
        <w:t xml:space="preserve"> </w:t>
      </w:r>
      <w:r w:rsidR="003302FF" w:rsidRPr="00EE4797">
        <w:rPr>
          <w:bCs/>
          <w:color w:val="000000" w:themeColor="text1"/>
        </w:rPr>
        <w:t>the dominant markets, made solid gains</w:t>
      </w:r>
      <w:r w:rsidR="00DF13A6" w:rsidRPr="00EE4797">
        <w:rPr>
          <w:bCs/>
          <w:color w:val="000000" w:themeColor="text1"/>
        </w:rPr>
        <w:t>.</w:t>
      </w:r>
      <w:r w:rsidR="000B5C1E" w:rsidRPr="00EE4797">
        <w:rPr>
          <w:bCs/>
          <w:color w:val="000000" w:themeColor="text1"/>
        </w:rPr>
        <w:t xml:space="preserve"> Inroads into</w:t>
      </w:r>
      <w:r w:rsidR="00DF13A6" w:rsidRPr="00EE4797">
        <w:rPr>
          <w:bCs/>
          <w:color w:val="000000" w:themeColor="text1"/>
        </w:rPr>
        <w:t xml:space="preserve"> </w:t>
      </w:r>
      <w:r w:rsidRPr="00EE4797">
        <w:rPr>
          <w:b/>
          <w:color w:val="000000" w:themeColor="text1"/>
        </w:rPr>
        <w:t>Thailand</w:t>
      </w:r>
      <w:r w:rsidRPr="00EE4797">
        <w:rPr>
          <w:bCs/>
          <w:color w:val="000000" w:themeColor="text1"/>
        </w:rPr>
        <w:t xml:space="preserve"> ($11 million, up 97%), </w:t>
      </w:r>
      <w:r w:rsidRPr="00EE4797">
        <w:rPr>
          <w:b/>
          <w:color w:val="000000" w:themeColor="text1"/>
        </w:rPr>
        <w:t xml:space="preserve">Vietnam </w:t>
      </w:r>
      <w:r w:rsidRPr="00EE4797">
        <w:rPr>
          <w:bCs/>
          <w:color w:val="000000" w:themeColor="text1"/>
        </w:rPr>
        <w:t xml:space="preserve">($6 million, up 116%) and </w:t>
      </w:r>
      <w:r w:rsidR="00DF13A6" w:rsidRPr="00EE4797">
        <w:rPr>
          <w:b/>
          <w:color w:val="000000" w:themeColor="text1"/>
        </w:rPr>
        <w:t>Japan</w:t>
      </w:r>
      <w:r w:rsidRPr="00EE4797">
        <w:rPr>
          <w:bCs/>
          <w:color w:val="000000" w:themeColor="text1"/>
        </w:rPr>
        <w:t xml:space="preserve"> ($</w:t>
      </w:r>
      <w:r w:rsidR="00DF13A6" w:rsidRPr="00EE4797">
        <w:rPr>
          <w:bCs/>
          <w:color w:val="000000" w:themeColor="text1"/>
        </w:rPr>
        <w:t>8</w:t>
      </w:r>
      <w:r w:rsidRPr="00EE4797">
        <w:rPr>
          <w:bCs/>
          <w:color w:val="000000" w:themeColor="text1"/>
        </w:rPr>
        <w:t xml:space="preserve"> million, up </w:t>
      </w:r>
      <w:r w:rsidR="00DF13A6" w:rsidRPr="00EE4797">
        <w:rPr>
          <w:bCs/>
          <w:color w:val="000000" w:themeColor="text1"/>
        </w:rPr>
        <w:t>62%</w:t>
      </w:r>
      <w:r w:rsidRPr="00EE4797">
        <w:rPr>
          <w:bCs/>
          <w:color w:val="000000" w:themeColor="text1"/>
        </w:rPr>
        <w:t>)</w:t>
      </w:r>
      <w:r w:rsidR="003302FF" w:rsidRPr="00EE4797">
        <w:rPr>
          <w:bCs/>
          <w:color w:val="000000" w:themeColor="text1"/>
        </w:rPr>
        <w:t xml:space="preserve"> </w:t>
      </w:r>
      <w:r w:rsidR="000B5C1E" w:rsidRPr="00EE4797">
        <w:rPr>
          <w:bCs/>
          <w:color w:val="000000" w:themeColor="text1"/>
        </w:rPr>
        <w:t>resulted in</w:t>
      </w:r>
      <w:r w:rsidR="003302FF" w:rsidRPr="00EE4797">
        <w:rPr>
          <w:bCs/>
          <w:color w:val="000000" w:themeColor="text1"/>
        </w:rPr>
        <w:t xml:space="preserve"> high-growth </w:t>
      </w:r>
      <w:r w:rsidR="000B5C1E" w:rsidRPr="00EE4797">
        <w:rPr>
          <w:bCs/>
          <w:color w:val="000000" w:themeColor="text1"/>
        </w:rPr>
        <w:t>performances.</w:t>
      </w:r>
    </w:p>
    <w:p w14:paraId="6AA0605B" w14:textId="1E0524C8" w:rsidR="0085673F" w:rsidRPr="00EE4797" w:rsidRDefault="000A1297" w:rsidP="00DE331D">
      <w:pPr>
        <w:pStyle w:val="ListParagraph"/>
        <w:numPr>
          <w:ilvl w:val="0"/>
          <w:numId w:val="20"/>
        </w:numPr>
        <w:tabs>
          <w:tab w:val="left" w:pos="3330"/>
        </w:tabs>
        <w:spacing w:before="120" w:after="60" w:line="271" w:lineRule="auto"/>
        <w:ind w:right="54"/>
        <w:rPr>
          <w:color w:val="000000" w:themeColor="text1"/>
        </w:rPr>
      </w:pPr>
      <w:r w:rsidRPr="00EE4797">
        <w:rPr>
          <w:b/>
          <w:bCs/>
          <w:color w:val="000000" w:themeColor="text1"/>
        </w:rPr>
        <w:t>Mexico</w:t>
      </w:r>
      <w:r w:rsidRPr="00EE4797">
        <w:rPr>
          <w:color w:val="000000" w:themeColor="text1"/>
        </w:rPr>
        <w:t xml:space="preserve"> uplifted sales of</w:t>
      </w:r>
      <w:r w:rsidR="0085673F" w:rsidRPr="00EE4797">
        <w:rPr>
          <w:color w:val="000000" w:themeColor="text1"/>
        </w:rPr>
        <w:t xml:space="preserve"> s</w:t>
      </w:r>
      <w:r w:rsidR="00DF13A6" w:rsidRPr="00EE4797">
        <w:rPr>
          <w:b/>
          <w:bCs/>
          <w:color w:val="000000" w:themeColor="text1"/>
        </w:rPr>
        <w:t>ugar</w:t>
      </w:r>
      <w:r w:rsidR="00DF13A6" w:rsidRPr="00EE4797">
        <w:rPr>
          <w:color w:val="000000" w:themeColor="text1"/>
        </w:rPr>
        <w:t xml:space="preserve"> </w:t>
      </w:r>
      <w:r w:rsidR="0085673F" w:rsidRPr="00EE4797">
        <w:rPr>
          <w:color w:val="000000" w:themeColor="text1"/>
        </w:rPr>
        <w:t>(</w:t>
      </w:r>
      <w:r w:rsidR="00DF13A6" w:rsidRPr="00EE4797">
        <w:rPr>
          <w:color w:val="000000" w:themeColor="text1"/>
        </w:rPr>
        <w:t>$46 million</w:t>
      </w:r>
      <w:r w:rsidR="0085673F" w:rsidRPr="00EE4797">
        <w:rPr>
          <w:color w:val="000000" w:themeColor="text1"/>
        </w:rPr>
        <w:t>, up 126%)</w:t>
      </w:r>
      <w:r w:rsidR="003302FF" w:rsidRPr="00EE4797">
        <w:rPr>
          <w:color w:val="000000" w:themeColor="text1"/>
        </w:rPr>
        <w:t xml:space="preserve"> </w:t>
      </w:r>
      <w:r w:rsidRPr="00EE4797">
        <w:rPr>
          <w:color w:val="000000" w:themeColor="text1"/>
        </w:rPr>
        <w:t>but shrank those of</w:t>
      </w:r>
      <w:r w:rsidR="004738CD" w:rsidRPr="00EE4797">
        <w:rPr>
          <w:b/>
          <w:bCs/>
          <w:color w:val="000000" w:themeColor="text1"/>
        </w:rPr>
        <w:t xml:space="preserve"> cereals</w:t>
      </w:r>
      <w:r w:rsidR="004738CD" w:rsidRPr="00EE4797">
        <w:rPr>
          <w:color w:val="000000" w:themeColor="text1"/>
        </w:rPr>
        <w:t xml:space="preserve"> ($140 million, down 32%)</w:t>
      </w:r>
      <w:r w:rsidRPr="00EE4797">
        <w:rPr>
          <w:color w:val="000000" w:themeColor="text1"/>
        </w:rPr>
        <w:t>.</w:t>
      </w:r>
    </w:p>
    <w:p w14:paraId="73FA3A2E" w14:textId="01BA7ED5" w:rsidR="00596618" w:rsidRPr="00EE4797" w:rsidRDefault="007F1C4A" w:rsidP="0085673F">
      <w:pPr>
        <w:pStyle w:val="Heading3"/>
        <w:rPr>
          <w:color w:val="000000" w:themeColor="text1"/>
        </w:rPr>
      </w:pPr>
      <w:r w:rsidRPr="00EE4797">
        <w:rPr>
          <w:color w:val="000000" w:themeColor="text1"/>
        </w:rPr>
        <w:t>Fi</w:t>
      </w:r>
      <w:r w:rsidR="00A44451" w:rsidRPr="00EE4797">
        <w:rPr>
          <w:color w:val="000000" w:themeColor="text1"/>
        </w:rPr>
        <w:t>gure 4. Export Trends for</w:t>
      </w:r>
      <w:r w:rsidRPr="00EE4797">
        <w:rPr>
          <w:color w:val="000000" w:themeColor="text1"/>
        </w:rPr>
        <w:t xml:space="preserve"> Minnesota’s Top 10 Products, </w:t>
      </w:r>
      <w:r w:rsidR="001B6E5E" w:rsidRPr="00EE4797">
        <w:rPr>
          <w:color w:val="000000" w:themeColor="text1"/>
        </w:rPr>
        <w:t>First</w:t>
      </w:r>
      <w:r w:rsidR="00375ACF" w:rsidRPr="00EE4797">
        <w:rPr>
          <w:color w:val="000000" w:themeColor="text1"/>
        </w:rPr>
        <w:t xml:space="preserve"> </w:t>
      </w:r>
      <w:r w:rsidR="00F85FA6" w:rsidRPr="00EE4797">
        <w:rPr>
          <w:color w:val="000000" w:themeColor="text1"/>
        </w:rPr>
        <w:t>Q</w:t>
      </w:r>
      <w:r w:rsidR="00375ACF" w:rsidRPr="00EE4797">
        <w:rPr>
          <w:color w:val="000000" w:themeColor="text1"/>
        </w:rPr>
        <w:t>uarter</w:t>
      </w:r>
      <w:r w:rsidR="00A52415" w:rsidRPr="00EE4797">
        <w:rPr>
          <w:color w:val="000000" w:themeColor="text1"/>
        </w:rPr>
        <w:t xml:space="preserve"> </w:t>
      </w:r>
      <w:r w:rsidR="001B6E5E" w:rsidRPr="00EE4797">
        <w:rPr>
          <w:color w:val="000000" w:themeColor="text1"/>
        </w:rPr>
        <w:t>2024</w:t>
      </w:r>
    </w:p>
    <w:p w14:paraId="185A58F4" w14:textId="52D3F5F2" w:rsidR="006330D9" w:rsidRPr="00EE4797" w:rsidRDefault="003D0885" w:rsidP="00E05D27">
      <w:pPr>
        <w:spacing w:after="0"/>
        <w:rPr>
          <w:color w:val="000000" w:themeColor="text1"/>
        </w:rPr>
      </w:pPr>
      <w:r w:rsidRPr="00EE4797">
        <w:rPr>
          <w:noProof/>
          <w:color w:val="000000" w:themeColor="text1"/>
        </w:rPr>
        <w:drawing>
          <wp:inline distT="0" distB="0" distL="0" distR="0" wp14:anchorId="77EA9D53" wp14:editId="59990298">
            <wp:extent cx="6492240" cy="2044410"/>
            <wp:effectExtent l="0" t="0" r="3810" b="0"/>
            <wp:docPr id="12" name="Picture 12" descr="double bar chart&#10;Figure 4. trends for MN's top 10 products, 2024-Q1&#10;Product Exports (millions) Percent Change, 2023-Q1 to 2024-Q1&#10;TOTAL  $6,738  2%&#10;Optic, Medical  $1,183  12%&#10;Machinery  $966  0%&#10;Electrical Equipment  $922  -5%&#10;Mineral Fuel, Oil  $632  -16%&#10;Vehicles  $529  26%&#10;Plastics  $306  18%&#10;Food By-Products  $216  20%&#10;Aircraft, Spacecraft  $159  33%&#10;Cereals  $140  -31%&#10;Misc. Chemicals  $130  6%&#10;Other  $1,555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ouble bar chart&#10;Figure 4. trends for MN's top 10 products, 2024-Q1&#10;Product Exports (millions) Percent Change, 2023-Q1 to 2024-Q1&#10;TOTAL  $6,738  2%&#10;Optic, Medical  $1,183  12%&#10;Machinery  $966  0%&#10;Electrical Equipment  $922  -5%&#10;Mineral Fuel, Oil  $632  -16%&#10;Vehicles  $529  26%&#10;Plastics  $306  18%&#10;Food By-Products  $216  20%&#10;Aircraft, Spacecraft  $159  33%&#10;Cereals  $140  -31%&#10;Misc. Chemicals  $130  6%&#10;Other  $1,555  0%&#10;"/>
                    <pic:cNvPicPr>
                      <a:picLocks noChangeAspect="1" noChangeArrowheads="1"/>
                    </pic:cNvPicPr>
                  </pic:nvPicPr>
                  <pic:blipFill rotWithShape="1">
                    <a:blip r:embed="rId17">
                      <a:extLst>
                        <a:ext uri="{28A0092B-C50C-407E-A947-70E740481C1C}">
                          <a14:useLocalDpi xmlns:a14="http://schemas.microsoft.com/office/drawing/2010/main" val="0"/>
                        </a:ext>
                      </a:extLst>
                    </a:blip>
                    <a:srcRect t="6054"/>
                    <a:stretch/>
                  </pic:blipFill>
                  <pic:spPr bwMode="auto">
                    <a:xfrm>
                      <a:off x="0" y="0"/>
                      <a:ext cx="6492240" cy="2044410"/>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0" w:rightFromText="180" w:vertAnchor="page" w:horzAnchor="margin" w:tblpY="1306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E5A6"/>
        <w:tblLook w:val="04A0" w:firstRow="1" w:lastRow="0" w:firstColumn="1" w:lastColumn="0" w:noHBand="0" w:noVBand="1"/>
        <w:tblCaption w:val="Additional information"/>
        <w:tblDescription w:val="Minnesota Quarterly Export Statistics is the most current resource available for tracking the state’s export trends in manufactured and other goods, and is prepared for the Minnesota Trade Office (MTO) by the Department of Employment and Economic Development’s (DEED) Economic Analysis Unit (Thu-Mai Ho-Kim).  The quarterly and annual statistics reports primarily cover export data based on the Harmonized Tariff System (Schedule B), accessed from WISERTrade - State HS Database, based on data collected by the U.S. Census Bureau, Foreign Trade Division. Reports are available on DEED’s website at “Export and Trade Statistics” (http://mn.gov/deed/data/export-stats/). "/>
      </w:tblPr>
      <w:tblGrid>
        <w:gridCol w:w="10255"/>
      </w:tblGrid>
      <w:tr w:rsidR="00EE4797" w:rsidRPr="00EE4797" w14:paraId="4FFE0446" w14:textId="77777777" w:rsidTr="006A4D47">
        <w:trPr>
          <w:trHeight w:val="530"/>
        </w:trPr>
        <w:tc>
          <w:tcPr>
            <w:tcW w:w="10255" w:type="dxa"/>
            <w:shd w:val="clear" w:color="auto" w:fill="C9E5A6"/>
          </w:tcPr>
          <w:p w14:paraId="685640BA" w14:textId="77777777" w:rsidR="006A4D47" w:rsidRPr="00EE4797" w:rsidRDefault="006A4D47" w:rsidP="006A4D47">
            <w:pPr>
              <w:spacing w:before="120" w:after="120" w:line="240" w:lineRule="auto"/>
              <w:rPr>
                <w:rFonts w:ascii="Calibri" w:hAnsi="Calibri" w:cs="Calibri"/>
                <w:color w:val="000000" w:themeColor="text1"/>
                <w:sz w:val="20"/>
                <w:szCs w:val="20"/>
              </w:rPr>
            </w:pPr>
            <w:r w:rsidRPr="00EE4797">
              <w:rPr>
                <w:rStyle w:val="Emphasis"/>
                <w:rFonts w:cstheme="minorHAnsi"/>
                <w:color w:val="000000" w:themeColor="text1"/>
                <w:sz w:val="20"/>
                <w:szCs w:val="20"/>
              </w:rPr>
              <w:t>Minnesota Export Statistics</w:t>
            </w:r>
            <w:r w:rsidRPr="00EE4797">
              <w:rPr>
                <w:rStyle w:val="Emphasis"/>
                <w:rFonts w:cstheme="minorHAnsi"/>
                <w:i w:val="0"/>
                <w:iCs w:val="0"/>
                <w:color w:val="000000" w:themeColor="text1"/>
                <w:sz w:val="20"/>
                <w:szCs w:val="20"/>
              </w:rPr>
              <w:t xml:space="preserve"> </w:t>
            </w:r>
            <w:r w:rsidRPr="00EE4797">
              <w:rPr>
                <w:rStyle w:val="Emphasis"/>
                <w:i w:val="0"/>
                <w:iCs w:val="0"/>
                <w:color w:val="000000" w:themeColor="text1"/>
                <w:sz w:val="20"/>
                <w:szCs w:val="20"/>
              </w:rPr>
              <w:t>reports</w:t>
            </w:r>
            <w:r w:rsidRPr="00EE4797">
              <w:rPr>
                <w:rStyle w:val="Emphasis"/>
                <w:color w:val="000000" w:themeColor="text1"/>
                <w:sz w:val="20"/>
                <w:szCs w:val="20"/>
              </w:rPr>
              <w:t xml:space="preserve"> t</w:t>
            </w:r>
            <w:r w:rsidRPr="00EE4797">
              <w:rPr>
                <w:rFonts w:cstheme="minorHAnsi"/>
                <w:color w:val="000000" w:themeColor="text1"/>
                <w:sz w:val="20"/>
                <w:szCs w:val="20"/>
              </w:rPr>
              <w:t>rack the state’s trends in exports of goods and is prepared for the Minnesota Trade Office by DEED’s Economic Analysis Unit (Thu-Mai Ho-Kim). The quarterly and annual reports primarily cover export data based on the Harmonized Tariff System (Schedule B), collected by the Foreign Trade Division, Census Bureau, U.S. Dept of Commerce and accessed through USA Trade Online (Census Bureau) and Trade Data Monitor (TDM). Historical reports are available on DEED’s website at “Export and Trade Statistics” (</w:t>
            </w:r>
            <w:hyperlink r:id="rId18" w:history="1">
              <w:r w:rsidRPr="00EE4797">
                <w:rPr>
                  <w:rStyle w:val="Hyperlink"/>
                  <w:rFonts w:cstheme="minorHAnsi"/>
                  <w:color w:val="000000" w:themeColor="text1"/>
                  <w:sz w:val="20"/>
                  <w:szCs w:val="20"/>
                </w:rPr>
                <w:t>http://mn.gov/deed/data/export-stats/</w:t>
              </w:r>
            </w:hyperlink>
            <w:r w:rsidRPr="00EE4797">
              <w:rPr>
                <w:rFonts w:cstheme="minorHAnsi"/>
                <w:color w:val="000000" w:themeColor="text1"/>
                <w:sz w:val="20"/>
                <w:szCs w:val="20"/>
              </w:rPr>
              <w:t xml:space="preserve">).  </w:t>
            </w:r>
          </w:p>
        </w:tc>
      </w:tr>
    </w:tbl>
    <w:p w14:paraId="67779A89" w14:textId="0109015F" w:rsidR="00FE15EB" w:rsidRPr="00EE4797" w:rsidRDefault="00FE15EB" w:rsidP="00F331FC">
      <w:pPr>
        <w:rPr>
          <w:rFonts w:ascii="Times New Roman" w:eastAsia="Times New Roman" w:hAnsi="Times New Roman" w:cs="Times New Roman"/>
          <w:snapToGrid w:val="0"/>
          <w:color w:val="000000" w:themeColor="text1"/>
          <w:w w:val="0"/>
          <w:sz w:val="0"/>
          <w:szCs w:val="0"/>
          <w:u w:color="000000"/>
          <w:bdr w:val="none" w:sz="0" w:space="0" w:color="000000"/>
          <w:shd w:val="clear" w:color="000000" w:fill="000000"/>
          <w:lang w:eastAsia="x-none" w:bidi="x-none"/>
        </w:rPr>
      </w:pPr>
    </w:p>
    <w:sectPr w:rsidR="00FE15EB" w:rsidRPr="00EE4797" w:rsidSect="00FE15EB">
      <w:footnotePr>
        <w:numRestart w:val="eachSect"/>
      </w:footnotePr>
      <w:endnotePr>
        <w:numFmt w:val="decimal"/>
      </w:endnotePr>
      <w:type w:val="continuous"/>
      <w:pgSz w:w="12240" w:h="15840" w:code="1"/>
      <w:pgMar w:top="864" w:right="1008" w:bottom="864"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EDE0" w14:textId="77777777" w:rsidR="007119FE" w:rsidRDefault="007119FE">
      <w:r>
        <w:separator/>
      </w:r>
    </w:p>
  </w:endnote>
  <w:endnote w:type="continuationSeparator" w:id="0">
    <w:p w14:paraId="7C9C92B5" w14:textId="77777777" w:rsidR="007119FE" w:rsidRDefault="0071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11F6" w14:textId="77777777" w:rsidR="00CC1B7D" w:rsidRDefault="00CC1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2E195" w14:textId="77777777" w:rsidR="00CC1B7D" w:rsidRDefault="00CC1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6150" w14:textId="22E678C6" w:rsidR="00A14E15" w:rsidRPr="00A14E15" w:rsidRDefault="00A14E15" w:rsidP="00A14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3C0B9" w14:textId="77777777" w:rsidR="007119FE" w:rsidRDefault="007119FE">
      <w:r>
        <w:separator/>
      </w:r>
    </w:p>
  </w:footnote>
  <w:footnote w:type="continuationSeparator" w:id="0">
    <w:p w14:paraId="05AAE318" w14:textId="77777777" w:rsidR="007119FE" w:rsidRDefault="0071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B42A"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47C6F" w14:textId="77777777" w:rsidR="00CC1B7D" w:rsidRDefault="00CC1B7D" w:rsidP="00E014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EFB" w14:textId="77777777" w:rsidR="00CC1B7D" w:rsidRDefault="00CC1B7D" w:rsidP="00E014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236">
      <w:rPr>
        <w:rStyle w:val="PageNumber"/>
        <w:noProof/>
      </w:rPr>
      <w:t>2</w:t>
    </w:r>
    <w:r>
      <w:rPr>
        <w:rStyle w:val="PageNumber"/>
      </w:rPr>
      <w:fldChar w:fldCharType="end"/>
    </w:r>
  </w:p>
  <w:p w14:paraId="4CE97ED2" w14:textId="77777777" w:rsidR="00CC1B7D" w:rsidRDefault="00CC1B7D" w:rsidP="00E014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948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D7251"/>
    <w:multiLevelType w:val="hybridMultilevel"/>
    <w:tmpl w:val="A20C3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055FB0"/>
    <w:multiLevelType w:val="hybridMultilevel"/>
    <w:tmpl w:val="39F0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22E7"/>
    <w:multiLevelType w:val="hybridMultilevel"/>
    <w:tmpl w:val="DB8C1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621A5E"/>
    <w:multiLevelType w:val="hybridMultilevel"/>
    <w:tmpl w:val="787C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6B6753"/>
    <w:multiLevelType w:val="hybridMultilevel"/>
    <w:tmpl w:val="31E0D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8E4940"/>
    <w:multiLevelType w:val="hybridMultilevel"/>
    <w:tmpl w:val="4AAE80EE"/>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1121C"/>
    <w:multiLevelType w:val="hybridMultilevel"/>
    <w:tmpl w:val="CFAA2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731D63"/>
    <w:multiLevelType w:val="hybridMultilevel"/>
    <w:tmpl w:val="0FB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81A19"/>
    <w:multiLevelType w:val="hybridMultilevel"/>
    <w:tmpl w:val="B83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4926A3"/>
    <w:multiLevelType w:val="hybridMultilevel"/>
    <w:tmpl w:val="0A604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73CB2"/>
    <w:multiLevelType w:val="hybridMultilevel"/>
    <w:tmpl w:val="E0E41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1704E9"/>
    <w:multiLevelType w:val="hybridMultilevel"/>
    <w:tmpl w:val="187C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550900"/>
    <w:multiLevelType w:val="hybridMultilevel"/>
    <w:tmpl w:val="D1D21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38056F"/>
    <w:multiLevelType w:val="hybridMultilevel"/>
    <w:tmpl w:val="88CEE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DA42E3"/>
    <w:multiLevelType w:val="hybridMultilevel"/>
    <w:tmpl w:val="8A0ED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8B18F3"/>
    <w:multiLevelType w:val="hybridMultilevel"/>
    <w:tmpl w:val="9CD05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D255A"/>
    <w:multiLevelType w:val="hybridMultilevel"/>
    <w:tmpl w:val="2EE4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975A35"/>
    <w:multiLevelType w:val="hybridMultilevel"/>
    <w:tmpl w:val="E5021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F11FFB"/>
    <w:multiLevelType w:val="hybridMultilevel"/>
    <w:tmpl w:val="4CDA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E717D2"/>
    <w:multiLevelType w:val="hybridMultilevel"/>
    <w:tmpl w:val="E334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115109">
    <w:abstractNumId w:val="0"/>
  </w:num>
  <w:num w:numId="2" w16cid:durableId="587809003">
    <w:abstractNumId w:val="15"/>
  </w:num>
  <w:num w:numId="3" w16cid:durableId="315185240">
    <w:abstractNumId w:val="14"/>
  </w:num>
  <w:num w:numId="4" w16cid:durableId="739328196">
    <w:abstractNumId w:val="4"/>
  </w:num>
  <w:num w:numId="5" w16cid:durableId="596596594">
    <w:abstractNumId w:val="1"/>
  </w:num>
  <w:num w:numId="6" w16cid:durableId="1351759869">
    <w:abstractNumId w:val="8"/>
  </w:num>
  <w:num w:numId="7" w16cid:durableId="1845899144">
    <w:abstractNumId w:val="20"/>
  </w:num>
  <w:num w:numId="8" w16cid:durableId="1255089048">
    <w:abstractNumId w:val="18"/>
  </w:num>
  <w:num w:numId="9" w16cid:durableId="812912516">
    <w:abstractNumId w:val="11"/>
  </w:num>
  <w:num w:numId="10" w16cid:durableId="434403191">
    <w:abstractNumId w:val="9"/>
  </w:num>
  <w:num w:numId="11" w16cid:durableId="199321401">
    <w:abstractNumId w:val="7"/>
  </w:num>
  <w:num w:numId="12" w16cid:durableId="1962147869">
    <w:abstractNumId w:val="2"/>
  </w:num>
  <w:num w:numId="13" w16cid:durableId="26877656">
    <w:abstractNumId w:val="19"/>
  </w:num>
  <w:num w:numId="14" w16cid:durableId="1700356944">
    <w:abstractNumId w:val="12"/>
  </w:num>
  <w:num w:numId="15" w16cid:durableId="1203322051">
    <w:abstractNumId w:val="6"/>
  </w:num>
  <w:num w:numId="16" w16cid:durableId="1798253661">
    <w:abstractNumId w:val="3"/>
  </w:num>
  <w:num w:numId="17" w16cid:durableId="136194312">
    <w:abstractNumId w:val="10"/>
  </w:num>
  <w:num w:numId="18" w16cid:durableId="449085045">
    <w:abstractNumId w:val="16"/>
  </w:num>
  <w:num w:numId="19" w16cid:durableId="696664036">
    <w:abstractNumId w:val="17"/>
  </w:num>
  <w:num w:numId="20" w16cid:durableId="432828150">
    <w:abstractNumId w:val="5"/>
  </w:num>
  <w:num w:numId="21" w16cid:durableId="162217826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AB"/>
    <w:rsid w:val="000034DC"/>
    <w:rsid w:val="00003FDB"/>
    <w:rsid w:val="000041CC"/>
    <w:rsid w:val="0000470B"/>
    <w:rsid w:val="000067D4"/>
    <w:rsid w:val="000115BA"/>
    <w:rsid w:val="00013717"/>
    <w:rsid w:val="00015A9D"/>
    <w:rsid w:val="00017FE0"/>
    <w:rsid w:val="000218A0"/>
    <w:rsid w:val="00024BB5"/>
    <w:rsid w:val="000350A7"/>
    <w:rsid w:val="00035328"/>
    <w:rsid w:val="00036238"/>
    <w:rsid w:val="00036760"/>
    <w:rsid w:val="00040083"/>
    <w:rsid w:val="00044ED9"/>
    <w:rsid w:val="00046117"/>
    <w:rsid w:val="00051435"/>
    <w:rsid w:val="00051FE0"/>
    <w:rsid w:val="00051FF7"/>
    <w:rsid w:val="00052D34"/>
    <w:rsid w:val="000541A0"/>
    <w:rsid w:val="00054A6E"/>
    <w:rsid w:val="00055AAF"/>
    <w:rsid w:val="0005790D"/>
    <w:rsid w:val="000603F2"/>
    <w:rsid w:val="00061093"/>
    <w:rsid w:val="0006144E"/>
    <w:rsid w:val="0006608A"/>
    <w:rsid w:val="000705F0"/>
    <w:rsid w:val="000716AC"/>
    <w:rsid w:val="00073109"/>
    <w:rsid w:val="000731F2"/>
    <w:rsid w:val="00073987"/>
    <w:rsid w:val="0007455F"/>
    <w:rsid w:val="00076DF3"/>
    <w:rsid w:val="00077989"/>
    <w:rsid w:val="0008038B"/>
    <w:rsid w:val="00083199"/>
    <w:rsid w:val="000859F2"/>
    <w:rsid w:val="00085EED"/>
    <w:rsid w:val="000878A3"/>
    <w:rsid w:val="00090B7B"/>
    <w:rsid w:val="000919F2"/>
    <w:rsid w:val="0009219A"/>
    <w:rsid w:val="000924DC"/>
    <w:rsid w:val="00092621"/>
    <w:rsid w:val="0009287F"/>
    <w:rsid w:val="000929D8"/>
    <w:rsid w:val="00092FFB"/>
    <w:rsid w:val="00096FFD"/>
    <w:rsid w:val="000A1297"/>
    <w:rsid w:val="000A1B8D"/>
    <w:rsid w:val="000A491B"/>
    <w:rsid w:val="000A4AB3"/>
    <w:rsid w:val="000A5664"/>
    <w:rsid w:val="000A7EF0"/>
    <w:rsid w:val="000B2DF3"/>
    <w:rsid w:val="000B518F"/>
    <w:rsid w:val="000B5C1E"/>
    <w:rsid w:val="000B6338"/>
    <w:rsid w:val="000C1CB0"/>
    <w:rsid w:val="000C2181"/>
    <w:rsid w:val="000C2375"/>
    <w:rsid w:val="000C3AE5"/>
    <w:rsid w:val="000C4ED2"/>
    <w:rsid w:val="000D02DD"/>
    <w:rsid w:val="000D1330"/>
    <w:rsid w:val="000D18A9"/>
    <w:rsid w:val="000D1941"/>
    <w:rsid w:val="000D2409"/>
    <w:rsid w:val="000D566F"/>
    <w:rsid w:val="000D5D94"/>
    <w:rsid w:val="000D6FAF"/>
    <w:rsid w:val="000E0786"/>
    <w:rsid w:val="000E3376"/>
    <w:rsid w:val="000E532F"/>
    <w:rsid w:val="000E6BD9"/>
    <w:rsid w:val="000E6F54"/>
    <w:rsid w:val="000E7ED0"/>
    <w:rsid w:val="000F0519"/>
    <w:rsid w:val="000F1497"/>
    <w:rsid w:val="000F1844"/>
    <w:rsid w:val="000F1B22"/>
    <w:rsid w:val="000F3E1F"/>
    <w:rsid w:val="000F4C5E"/>
    <w:rsid w:val="000F54F2"/>
    <w:rsid w:val="000F5EB1"/>
    <w:rsid w:val="000F6660"/>
    <w:rsid w:val="000F6CDA"/>
    <w:rsid w:val="00106910"/>
    <w:rsid w:val="00107686"/>
    <w:rsid w:val="001104C3"/>
    <w:rsid w:val="001127F8"/>
    <w:rsid w:val="00112A1D"/>
    <w:rsid w:val="00112A91"/>
    <w:rsid w:val="001214D7"/>
    <w:rsid w:val="0012471B"/>
    <w:rsid w:val="001250AB"/>
    <w:rsid w:val="001263E2"/>
    <w:rsid w:val="00132366"/>
    <w:rsid w:val="00132A66"/>
    <w:rsid w:val="00134ECC"/>
    <w:rsid w:val="00134F20"/>
    <w:rsid w:val="00135A0B"/>
    <w:rsid w:val="001360E3"/>
    <w:rsid w:val="00136664"/>
    <w:rsid w:val="001373C3"/>
    <w:rsid w:val="00137E8C"/>
    <w:rsid w:val="00140B5F"/>
    <w:rsid w:val="00142003"/>
    <w:rsid w:val="0014228E"/>
    <w:rsid w:val="001422BE"/>
    <w:rsid w:val="00145936"/>
    <w:rsid w:val="00147356"/>
    <w:rsid w:val="00147EEF"/>
    <w:rsid w:val="00150201"/>
    <w:rsid w:val="001619F1"/>
    <w:rsid w:val="001625A3"/>
    <w:rsid w:val="00162EF3"/>
    <w:rsid w:val="0016340E"/>
    <w:rsid w:val="00163A63"/>
    <w:rsid w:val="00164B97"/>
    <w:rsid w:val="00170A9E"/>
    <w:rsid w:val="00172BF4"/>
    <w:rsid w:val="00172FA7"/>
    <w:rsid w:val="00173478"/>
    <w:rsid w:val="00173D78"/>
    <w:rsid w:val="00176732"/>
    <w:rsid w:val="00176E55"/>
    <w:rsid w:val="0018069A"/>
    <w:rsid w:val="00182D30"/>
    <w:rsid w:val="0018375B"/>
    <w:rsid w:val="0018461A"/>
    <w:rsid w:val="001846AE"/>
    <w:rsid w:val="001873D8"/>
    <w:rsid w:val="00192539"/>
    <w:rsid w:val="001942D2"/>
    <w:rsid w:val="001944CA"/>
    <w:rsid w:val="001968E6"/>
    <w:rsid w:val="001978D1"/>
    <w:rsid w:val="001979B1"/>
    <w:rsid w:val="001A7229"/>
    <w:rsid w:val="001A7363"/>
    <w:rsid w:val="001A787E"/>
    <w:rsid w:val="001B0716"/>
    <w:rsid w:val="001B0835"/>
    <w:rsid w:val="001B0D71"/>
    <w:rsid w:val="001B1416"/>
    <w:rsid w:val="001B344A"/>
    <w:rsid w:val="001B3687"/>
    <w:rsid w:val="001B4406"/>
    <w:rsid w:val="001B5950"/>
    <w:rsid w:val="001B6B06"/>
    <w:rsid w:val="001B6E5E"/>
    <w:rsid w:val="001C1112"/>
    <w:rsid w:val="001C13C5"/>
    <w:rsid w:val="001C1959"/>
    <w:rsid w:val="001C1A15"/>
    <w:rsid w:val="001C3A93"/>
    <w:rsid w:val="001C6967"/>
    <w:rsid w:val="001D0609"/>
    <w:rsid w:val="001D704D"/>
    <w:rsid w:val="001D767B"/>
    <w:rsid w:val="001E2122"/>
    <w:rsid w:val="001E36FD"/>
    <w:rsid w:val="001E4570"/>
    <w:rsid w:val="001E4F28"/>
    <w:rsid w:val="001E53CF"/>
    <w:rsid w:val="001E6B49"/>
    <w:rsid w:val="001E7619"/>
    <w:rsid w:val="001E79C1"/>
    <w:rsid w:val="001E7B61"/>
    <w:rsid w:val="001F56E0"/>
    <w:rsid w:val="001F591D"/>
    <w:rsid w:val="001F62FF"/>
    <w:rsid w:val="001F7EBF"/>
    <w:rsid w:val="002003FA"/>
    <w:rsid w:val="0020291D"/>
    <w:rsid w:val="00202963"/>
    <w:rsid w:val="00203298"/>
    <w:rsid w:val="002040F2"/>
    <w:rsid w:val="00205084"/>
    <w:rsid w:val="00205F9C"/>
    <w:rsid w:val="00211025"/>
    <w:rsid w:val="0021109C"/>
    <w:rsid w:val="0021231E"/>
    <w:rsid w:val="002127D7"/>
    <w:rsid w:val="00212FF3"/>
    <w:rsid w:val="002158EE"/>
    <w:rsid w:val="00215DA6"/>
    <w:rsid w:val="00216C2D"/>
    <w:rsid w:val="00217960"/>
    <w:rsid w:val="002224AE"/>
    <w:rsid w:val="0022389E"/>
    <w:rsid w:val="00223F46"/>
    <w:rsid w:val="00225B74"/>
    <w:rsid w:val="00226A71"/>
    <w:rsid w:val="00230CA2"/>
    <w:rsid w:val="00234444"/>
    <w:rsid w:val="00244370"/>
    <w:rsid w:val="00245025"/>
    <w:rsid w:val="0024609E"/>
    <w:rsid w:val="00250B75"/>
    <w:rsid w:val="002538D5"/>
    <w:rsid w:val="0025565E"/>
    <w:rsid w:val="002607E0"/>
    <w:rsid w:val="00262FF7"/>
    <w:rsid w:val="0026310F"/>
    <w:rsid w:val="00264CC3"/>
    <w:rsid w:val="00267778"/>
    <w:rsid w:val="002726A4"/>
    <w:rsid w:val="00272910"/>
    <w:rsid w:val="00275F40"/>
    <w:rsid w:val="0027681D"/>
    <w:rsid w:val="00277C67"/>
    <w:rsid w:val="00277E66"/>
    <w:rsid w:val="0028048A"/>
    <w:rsid w:val="00284EDE"/>
    <w:rsid w:val="00287234"/>
    <w:rsid w:val="002907B4"/>
    <w:rsid w:val="00293DCF"/>
    <w:rsid w:val="002969E6"/>
    <w:rsid w:val="00297DBE"/>
    <w:rsid w:val="002A0D6B"/>
    <w:rsid w:val="002A1776"/>
    <w:rsid w:val="002A27D6"/>
    <w:rsid w:val="002A2F54"/>
    <w:rsid w:val="002A3F50"/>
    <w:rsid w:val="002A4808"/>
    <w:rsid w:val="002A4B11"/>
    <w:rsid w:val="002A52FC"/>
    <w:rsid w:val="002B1415"/>
    <w:rsid w:val="002B329E"/>
    <w:rsid w:val="002B36A6"/>
    <w:rsid w:val="002B3ACE"/>
    <w:rsid w:val="002B6B53"/>
    <w:rsid w:val="002B6EBF"/>
    <w:rsid w:val="002C0C4E"/>
    <w:rsid w:val="002C164C"/>
    <w:rsid w:val="002C3BBC"/>
    <w:rsid w:val="002C52C4"/>
    <w:rsid w:val="002C6521"/>
    <w:rsid w:val="002D1E09"/>
    <w:rsid w:val="002D2A7E"/>
    <w:rsid w:val="002D2EF5"/>
    <w:rsid w:val="002D63BC"/>
    <w:rsid w:val="002D6A99"/>
    <w:rsid w:val="002D6F33"/>
    <w:rsid w:val="002E27C8"/>
    <w:rsid w:val="002E47BC"/>
    <w:rsid w:val="002E53C6"/>
    <w:rsid w:val="002E54F1"/>
    <w:rsid w:val="002E6B92"/>
    <w:rsid w:val="002F0687"/>
    <w:rsid w:val="002F1C0E"/>
    <w:rsid w:val="002F1E64"/>
    <w:rsid w:val="002F257A"/>
    <w:rsid w:val="002F285F"/>
    <w:rsid w:val="002F5224"/>
    <w:rsid w:val="002F71B1"/>
    <w:rsid w:val="002F7ABC"/>
    <w:rsid w:val="00301B16"/>
    <w:rsid w:val="003047CE"/>
    <w:rsid w:val="00304E7F"/>
    <w:rsid w:val="00310D8B"/>
    <w:rsid w:val="0031458A"/>
    <w:rsid w:val="00314865"/>
    <w:rsid w:val="00314EBD"/>
    <w:rsid w:val="00316840"/>
    <w:rsid w:val="00320905"/>
    <w:rsid w:val="00327817"/>
    <w:rsid w:val="003302FF"/>
    <w:rsid w:val="0033034E"/>
    <w:rsid w:val="00330852"/>
    <w:rsid w:val="00332036"/>
    <w:rsid w:val="00332B6B"/>
    <w:rsid w:val="00335273"/>
    <w:rsid w:val="00337018"/>
    <w:rsid w:val="00337315"/>
    <w:rsid w:val="00340E9C"/>
    <w:rsid w:val="003413C6"/>
    <w:rsid w:val="003415A0"/>
    <w:rsid w:val="00342DD3"/>
    <w:rsid w:val="00343C68"/>
    <w:rsid w:val="0034514F"/>
    <w:rsid w:val="0034596F"/>
    <w:rsid w:val="0034753B"/>
    <w:rsid w:val="00352999"/>
    <w:rsid w:val="003530DA"/>
    <w:rsid w:val="0035427F"/>
    <w:rsid w:val="0035592C"/>
    <w:rsid w:val="003575CE"/>
    <w:rsid w:val="00361002"/>
    <w:rsid w:val="003610A2"/>
    <w:rsid w:val="00365F97"/>
    <w:rsid w:val="00370F35"/>
    <w:rsid w:val="00371C8B"/>
    <w:rsid w:val="00372846"/>
    <w:rsid w:val="00373858"/>
    <w:rsid w:val="00373CD5"/>
    <w:rsid w:val="00374F2A"/>
    <w:rsid w:val="00375ACF"/>
    <w:rsid w:val="00375BF0"/>
    <w:rsid w:val="00375D7D"/>
    <w:rsid w:val="0037721A"/>
    <w:rsid w:val="0038071A"/>
    <w:rsid w:val="003823B0"/>
    <w:rsid w:val="003833B0"/>
    <w:rsid w:val="00383D01"/>
    <w:rsid w:val="00385E7F"/>
    <w:rsid w:val="003861FF"/>
    <w:rsid w:val="0038665A"/>
    <w:rsid w:val="00387777"/>
    <w:rsid w:val="00387942"/>
    <w:rsid w:val="00387E7F"/>
    <w:rsid w:val="00391815"/>
    <w:rsid w:val="00392609"/>
    <w:rsid w:val="0039324F"/>
    <w:rsid w:val="00396483"/>
    <w:rsid w:val="003975D0"/>
    <w:rsid w:val="003A0334"/>
    <w:rsid w:val="003A0CE5"/>
    <w:rsid w:val="003A3D11"/>
    <w:rsid w:val="003B0B33"/>
    <w:rsid w:val="003B2771"/>
    <w:rsid w:val="003B3484"/>
    <w:rsid w:val="003B62FF"/>
    <w:rsid w:val="003C188A"/>
    <w:rsid w:val="003C316B"/>
    <w:rsid w:val="003C3B88"/>
    <w:rsid w:val="003C3D13"/>
    <w:rsid w:val="003C43EB"/>
    <w:rsid w:val="003C53CE"/>
    <w:rsid w:val="003C57B0"/>
    <w:rsid w:val="003C7165"/>
    <w:rsid w:val="003D044E"/>
    <w:rsid w:val="003D0885"/>
    <w:rsid w:val="003D18F7"/>
    <w:rsid w:val="003D23DD"/>
    <w:rsid w:val="003D2CFC"/>
    <w:rsid w:val="003D49DF"/>
    <w:rsid w:val="003D4F5D"/>
    <w:rsid w:val="003D6202"/>
    <w:rsid w:val="003D744B"/>
    <w:rsid w:val="003D7C4C"/>
    <w:rsid w:val="003E01C9"/>
    <w:rsid w:val="003E21CA"/>
    <w:rsid w:val="003F27BF"/>
    <w:rsid w:val="003F41C6"/>
    <w:rsid w:val="003F44C1"/>
    <w:rsid w:val="003F6B30"/>
    <w:rsid w:val="0040062C"/>
    <w:rsid w:val="00402870"/>
    <w:rsid w:val="00402A86"/>
    <w:rsid w:val="00405F36"/>
    <w:rsid w:val="004061B1"/>
    <w:rsid w:val="00406747"/>
    <w:rsid w:val="00406E6D"/>
    <w:rsid w:val="00407310"/>
    <w:rsid w:val="00407A70"/>
    <w:rsid w:val="00410564"/>
    <w:rsid w:val="00410B76"/>
    <w:rsid w:val="00410BBC"/>
    <w:rsid w:val="00412776"/>
    <w:rsid w:val="00412C47"/>
    <w:rsid w:val="00420D04"/>
    <w:rsid w:val="0042279B"/>
    <w:rsid w:val="0042285F"/>
    <w:rsid w:val="00425184"/>
    <w:rsid w:val="00426066"/>
    <w:rsid w:val="00426D95"/>
    <w:rsid w:val="00426DC1"/>
    <w:rsid w:val="0043003B"/>
    <w:rsid w:val="004303E8"/>
    <w:rsid w:val="004304CD"/>
    <w:rsid w:val="00433DBF"/>
    <w:rsid w:val="004362B0"/>
    <w:rsid w:val="00437CB6"/>
    <w:rsid w:val="0044214A"/>
    <w:rsid w:val="004430A9"/>
    <w:rsid w:val="00445385"/>
    <w:rsid w:val="00445834"/>
    <w:rsid w:val="00447C35"/>
    <w:rsid w:val="004527A6"/>
    <w:rsid w:val="0045332A"/>
    <w:rsid w:val="0045432D"/>
    <w:rsid w:val="004550A2"/>
    <w:rsid w:val="00457309"/>
    <w:rsid w:val="00457D79"/>
    <w:rsid w:val="00464CC9"/>
    <w:rsid w:val="004663B8"/>
    <w:rsid w:val="0046665A"/>
    <w:rsid w:val="00466D65"/>
    <w:rsid w:val="0046703D"/>
    <w:rsid w:val="00467FA8"/>
    <w:rsid w:val="0047028E"/>
    <w:rsid w:val="0047084F"/>
    <w:rsid w:val="00470FED"/>
    <w:rsid w:val="004713E0"/>
    <w:rsid w:val="0047151D"/>
    <w:rsid w:val="004736AA"/>
    <w:rsid w:val="004738CD"/>
    <w:rsid w:val="00475201"/>
    <w:rsid w:val="00475D79"/>
    <w:rsid w:val="0047760E"/>
    <w:rsid w:val="00480418"/>
    <w:rsid w:val="0048185B"/>
    <w:rsid w:val="00481E39"/>
    <w:rsid w:val="00482FFB"/>
    <w:rsid w:val="00483853"/>
    <w:rsid w:val="00484906"/>
    <w:rsid w:val="004867A4"/>
    <w:rsid w:val="00486B23"/>
    <w:rsid w:val="00487935"/>
    <w:rsid w:val="004900B8"/>
    <w:rsid w:val="004910BF"/>
    <w:rsid w:val="00491AC8"/>
    <w:rsid w:val="00493958"/>
    <w:rsid w:val="00493DF8"/>
    <w:rsid w:val="004944A7"/>
    <w:rsid w:val="004951BC"/>
    <w:rsid w:val="00495EF8"/>
    <w:rsid w:val="00497570"/>
    <w:rsid w:val="00497998"/>
    <w:rsid w:val="004A0D12"/>
    <w:rsid w:val="004A1069"/>
    <w:rsid w:val="004A2022"/>
    <w:rsid w:val="004A3CC9"/>
    <w:rsid w:val="004A4223"/>
    <w:rsid w:val="004A43B9"/>
    <w:rsid w:val="004A5841"/>
    <w:rsid w:val="004A5B9A"/>
    <w:rsid w:val="004A6B80"/>
    <w:rsid w:val="004A7FE8"/>
    <w:rsid w:val="004B0B28"/>
    <w:rsid w:val="004B25EA"/>
    <w:rsid w:val="004B4376"/>
    <w:rsid w:val="004B4BD6"/>
    <w:rsid w:val="004B74F8"/>
    <w:rsid w:val="004B7C0E"/>
    <w:rsid w:val="004C0132"/>
    <w:rsid w:val="004C31E6"/>
    <w:rsid w:val="004C4224"/>
    <w:rsid w:val="004C5C9C"/>
    <w:rsid w:val="004C6288"/>
    <w:rsid w:val="004D0671"/>
    <w:rsid w:val="004D19F5"/>
    <w:rsid w:val="004D1EAB"/>
    <w:rsid w:val="004D23CF"/>
    <w:rsid w:val="004D6223"/>
    <w:rsid w:val="004D7918"/>
    <w:rsid w:val="004E06B6"/>
    <w:rsid w:val="004E1A2B"/>
    <w:rsid w:val="004E1D93"/>
    <w:rsid w:val="004E7051"/>
    <w:rsid w:val="004E7967"/>
    <w:rsid w:val="004F046B"/>
    <w:rsid w:val="004F0B2F"/>
    <w:rsid w:val="004F19B8"/>
    <w:rsid w:val="004F2AFD"/>
    <w:rsid w:val="004F5A09"/>
    <w:rsid w:val="004F5CE6"/>
    <w:rsid w:val="004F5EFC"/>
    <w:rsid w:val="004F6D22"/>
    <w:rsid w:val="004F6DBE"/>
    <w:rsid w:val="004F714C"/>
    <w:rsid w:val="004F73D4"/>
    <w:rsid w:val="00500A5C"/>
    <w:rsid w:val="005026CC"/>
    <w:rsid w:val="00503AD1"/>
    <w:rsid w:val="005041F7"/>
    <w:rsid w:val="0050449A"/>
    <w:rsid w:val="005078AA"/>
    <w:rsid w:val="005100D1"/>
    <w:rsid w:val="00513720"/>
    <w:rsid w:val="0051607A"/>
    <w:rsid w:val="005205F4"/>
    <w:rsid w:val="00521967"/>
    <w:rsid w:val="00524378"/>
    <w:rsid w:val="005269B7"/>
    <w:rsid w:val="005269D3"/>
    <w:rsid w:val="00527152"/>
    <w:rsid w:val="00530F70"/>
    <w:rsid w:val="005315EA"/>
    <w:rsid w:val="00532FD5"/>
    <w:rsid w:val="00533107"/>
    <w:rsid w:val="00534E9F"/>
    <w:rsid w:val="0053506A"/>
    <w:rsid w:val="0053512A"/>
    <w:rsid w:val="00535508"/>
    <w:rsid w:val="00535D23"/>
    <w:rsid w:val="00536B13"/>
    <w:rsid w:val="005370BB"/>
    <w:rsid w:val="00540B35"/>
    <w:rsid w:val="00541FFE"/>
    <w:rsid w:val="00544F1F"/>
    <w:rsid w:val="00545752"/>
    <w:rsid w:val="00545DDF"/>
    <w:rsid w:val="00545F38"/>
    <w:rsid w:val="0054634E"/>
    <w:rsid w:val="005514BE"/>
    <w:rsid w:val="005517D0"/>
    <w:rsid w:val="0055424F"/>
    <w:rsid w:val="00554428"/>
    <w:rsid w:val="00557377"/>
    <w:rsid w:val="00560495"/>
    <w:rsid w:val="00560599"/>
    <w:rsid w:val="00562F8A"/>
    <w:rsid w:val="00563721"/>
    <w:rsid w:val="00565776"/>
    <w:rsid w:val="00566508"/>
    <w:rsid w:val="00566C4E"/>
    <w:rsid w:val="00570ACF"/>
    <w:rsid w:val="005727A5"/>
    <w:rsid w:val="00573535"/>
    <w:rsid w:val="00573C2D"/>
    <w:rsid w:val="00575BB7"/>
    <w:rsid w:val="00575F88"/>
    <w:rsid w:val="0057794D"/>
    <w:rsid w:val="00581831"/>
    <w:rsid w:val="00582DC9"/>
    <w:rsid w:val="00585250"/>
    <w:rsid w:val="005859C8"/>
    <w:rsid w:val="00587796"/>
    <w:rsid w:val="005940DB"/>
    <w:rsid w:val="005953F2"/>
    <w:rsid w:val="00596618"/>
    <w:rsid w:val="00597ABF"/>
    <w:rsid w:val="005A2AAC"/>
    <w:rsid w:val="005A3C50"/>
    <w:rsid w:val="005A4293"/>
    <w:rsid w:val="005A61AB"/>
    <w:rsid w:val="005B0E04"/>
    <w:rsid w:val="005B2781"/>
    <w:rsid w:val="005B6872"/>
    <w:rsid w:val="005B6B09"/>
    <w:rsid w:val="005B75E6"/>
    <w:rsid w:val="005C0164"/>
    <w:rsid w:val="005C4DE0"/>
    <w:rsid w:val="005C5B41"/>
    <w:rsid w:val="005C61D6"/>
    <w:rsid w:val="005D315F"/>
    <w:rsid w:val="005E139A"/>
    <w:rsid w:val="005E2D06"/>
    <w:rsid w:val="005E41A6"/>
    <w:rsid w:val="005E4CC6"/>
    <w:rsid w:val="005E5D9F"/>
    <w:rsid w:val="005E6921"/>
    <w:rsid w:val="005F082A"/>
    <w:rsid w:val="005F1B29"/>
    <w:rsid w:val="005F3BCE"/>
    <w:rsid w:val="005F5087"/>
    <w:rsid w:val="005F69A9"/>
    <w:rsid w:val="00600502"/>
    <w:rsid w:val="0060605E"/>
    <w:rsid w:val="006064E9"/>
    <w:rsid w:val="00606AB0"/>
    <w:rsid w:val="00607FAE"/>
    <w:rsid w:val="0061064A"/>
    <w:rsid w:val="006139EC"/>
    <w:rsid w:val="00613CC2"/>
    <w:rsid w:val="00615BC9"/>
    <w:rsid w:val="00615CB4"/>
    <w:rsid w:val="0061712B"/>
    <w:rsid w:val="006177AE"/>
    <w:rsid w:val="00620C18"/>
    <w:rsid w:val="00621065"/>
    <w:rsid w:val="00621A4A"/>
    <w:rsid w:val="0062213F"/>
    <w:rsid w:val="00624E22"/>
    <w:rsid w:val="006308E7"/>
    <w:rsid w:val="006330D9"/>
    <w:rsid w:val="006339F5"/>
    <w:rsid w:val="0063551B"/>
    <w:rsid w:val="00635F82"/>
    <w:rsid w:val="00636B6E"/>
    <w:rsid w:val="0063763A"/>
    <w:rsid w:val="00637894"/>
    <w:rsid w:val="00640620"/>
    <w:rsid w:val="00641D3B"/>
    <w:rsid w:val="00646942"/>
    <w:rsid w:val="00647786"/>
    <w:rsid w:val="006519AF"/>
    <w:rsid w:val="00652A9D"/>
    <w:rsid w:val="006549A6"/>
    <w:rsid w:val="0065603B"/>
    <w:rsid w:val="0066058B"/>
    <w:rsid w:val="006618F7"/>
    <w:rsid w:val="00662222"/>
    <w:rsid w:val="00662414"/>
    <w:rsid w:val="00663755"/>
    <w:rsid w:val="00664A69"/>
    <w:rsid w:val="00665959"/>
    <w:rsid w:val="00666745"/>
    <w:rsid w:val="006674D7"/>
    <w:rsid w:val="0067275F"/>
    <w:rsid w:val="00674A82"/>
    <w:rsid w:val="00674D0B"/>
    <w:rsid w:val="006754B7"/>
    <w:rsid w:val="00675B7D"/>
    <w:rsid w:val="00676C69"/>
    <w:rsid w:val="00680F03"/>
    <w:rsid w:val="0068122B"/>
    <w:rsid w:val="00681236"/>
    <w:rsid w:val="006826BB"/>
    <w:rsid w:val="006829E5"/>
    <w:rsid w:val="006830C9"/>
    <w:rsid w:val="0068364A"/>
    <w:rsid w:val="0068525B"/>
    <w:rsid w:val="00685D4F"/>
    <w:rsid w:val="00685DD6"/>
    <w:rsid w:val="006871D2"/>
    <w:rsid w:val="00691D49"/>
    <w:rsid w:val="006922C8"/>
    <w:rsid w:val="00692D3B"/>
    <w:rsid w:val="00693229"/>
    <w:rsid w:val="006951FD"/>
    <w:rsid w:val="00695BB1"/>
    <w:rsid w:val="006964AF"/>
    <w:rsid w:val="006A17BE"/>
    <w:rsid w:val="006A3E64"/>
    <w:rsid w:val="006A4D47"/>
    <w:rsid w:val="006A56E4"/>
    <w:rsid w:val="006B029D"/>
    <w:rsid w:val="006B2D41"/>
    <w:rsid w:val="006B6D8D"/>
    <w:rsid w:val="006C1643"/>
    <w:rsid w:val="006C287C"/>
    <w:rsid w:val="006C3C15"/>
    <w:rsid w:val="006C4479"/>
    <w:rsid w:val="006C7D4F"/>
    <w:rsid w:val="006D12B4"/>
    <w:rsid w:val="006D4F41"/>
    <w:rsid w:val="006D6A44"/>
    <w:rsid w:val="006D7A33"/>
    <w:rsid w:val="006E280A"/>
    <w:rsid w:val="006E4BEC"/>
    <w:rsid w:val="006E6792"/>
    <w:rsid w:val="006E75E2"/>
    <w:rsid w:val="006F01B5"/>
    <w:rsid w:val="006F06FC"/>
    <w:rsid w:val="006F0A9A"/>
    <w:rsid w:val="006F4AD5"/>
    <w:rsid w:val="006F4CA7"/>
    <w:rsid w:val="006F5527"/>
    <w:rsid w:val="006F6211"/>
    <w:rsid w:val="00701034"/>
    <w:rsid w:val="00703D62"/>
    <w:rsid w:val="007041A0"/>
    <w:rsid w:val="007046F7"/>
    <w:rsid w:val="00707559"/>
    <w:rsid w:val="007076DF"/>
    <w:rsid w:val="00710701"/>
    <w:rsid w:val="007119FE"/>
    <w:rsid w:val="00712602"/>
    <w:rsid w:val="007144F6"/>
    <w:rsid w:val="00716311"/>
    <w:rsid w:val="007216E3"/>
    <w:rsid w:val="00723A6D"/>
    <w:rsid w:val="00725672"/>
    <w:rsid w:val="007269AB"/>
    <w:rsid w:val="00731691"/>
    <w:rsid w:val="00732F74"/>
    <w:rsid w:val="007332F9"/>
    <w:rsid w:val="00734ED0"/>
    <w:rsid w:val="00736085"/>
    <w:rsid w:val="00736171"/>
    <w:rsid w:val="00736C8E"/>
    <w:rsid w:val="007405DC"/>
    <w:rsid w:val="00741394"/>
    <w:rsid w:val="007418D9"/>
    <w:rsid w:val="00742173"/>
    <w:rsid w:val="00742415"/>
    <w:rsid w:val="007426DA"/>
    <w:rsid w:val="00743593"/>
    <w:rsid w:val="00743C00"/>
    <w:rsid w:val="00743CDA"/>
    <w:rsid w:val="007441D4"/>
    <w:rsid w:val="00744252"/>
    <w:rsid w:val="00746FD8"/>
    <w:rsid w:val="00750FE0"/>
    <w:rsid w:val="00751E26"/>
    <w:rsid w:val="007548E4"/>
    <w:rsid w:val="0075548A"/>
    <w:rsid w:val="00757335"/>
    <w:rsid w:val="00760360"/>
    <w:rsid w:val="007613E1"/>
    <w:rsid w:val="00761522"/>
    <w:rsid w:val="0076179E"/>
    <w:rsid w:val="00762462"/>
    <w:rsid w:val="00762E9C"/>
    <w:rsid w:val="00764F3A"/>
    <w:rsid w:val="00770689"/>
    <w:rsid w:val="00772951"/>
    <w:rsid w:val="007752C1"/>
    <w:rsid w:val="0077623A"/>
    <w:rsid w:val="007771AD"/>
    <w:rsid w:val="007818E5"/>
    <w:rsid w:val="0078397D"/>
    <w:rsid w:val="00784103"/>
    <w:rsid w:val="00784C0B"/>
    <w:rsid w:val="00784F13"/>
    <w:rsid w:val="00787A9E"/>
    <w:rsid w:val="007910B2"/>
    <w:rsid w:val="007964A2"/>
    <w:rsid w:val="007970F7"/>
    <w:rsid w:val="007A0496"/>
    <w:rsid w:val="007A2054"/>
    <w:rsid w:val="007A2D2F"/>
    <w:rsid w:val="007A6F27"/>
    <w:rsid w:val="007A7979"/>
    <w:rsid w:val="007A7D3B"/>
    <w:rsid w:val="007B0321"/>
    <w:rsid w:val="007B183D"/>
    <w:rsid w:val="007B1D69"/>
    <w:rsid w:val="007C165F"/>
    <w:rsid w:val="007C1DCB"/>
    <w:rsid w:val="007C29FD"/>
    <w:rsid w:val="007C542D"/>
    <w:rsid w:val="007D1343"/>
    <w:rsid w:val="007D2377"/>
    <w:rsid w:val="007D2D9B"/>
    <w:rsid w:val="007D3342"/>
    <w:rsid w:val="007D38E8"/>
    <w:rsid w:val="007D733B"/>
    <w:rsid w:val="007E22C2"/>
    <w:rsid w:val="007E2DB9"/>
    <w:rsid w:val="007E3EFB"/>
    <w:rsid w:val="007E4D02"/>
    <w:rsid w:val="007E4D0D"/>
    <w:rsid w:val="007E5495"/>
    <w:rsid w:val="007E5EA9"/>
    <w:rsid w:val="007E6CE7"/>
    <w:rsid w:val="007F1C4A"/>
    <w:rsid w:val="007F3673"/>
    <w:rsid w:val="007F3B3E"/>
    <w:rsid w:val="007F507E"/>
    <w:rsid w:val="007F63B6"/>
    <w:rsid w:val="007F79B4"/>
    <w:rsid w:val="00800885"/>
    <w:rsid w:val="00800E2F"/>
    <w:rsid w:val="00801427"/>
    <w:rsid w:val="0080162F"/>
    <w:rsid w:val="0080204A"/>
    <w:rsid w:val="008022A8"/>
    <w:rsid w:val="0080286D"/>
    <w:rsid w:val="00806897"/>
    <w:rsid w:val="00811627"/>
    <w:rsid w:val="008117B6"/>
    <w:rsid w:val="00813F99"/>
    <w:rsid w:val="00817E9E"/>
    <w:rsid w:val="00821BD6"/>
    <w:rsid w:val="00824824"/>
    <w:rsid w:val="008274F3"/>
    <w:rsid w:val="0082792B"/>
    <w:rsid w:val="008303A2"/>
    <w:rsid w:val="00831997"/>
    <w:rsid w:val="00831E3F"/>
    <w:rsid w:val="00831F99"/>
    <w:rsid w:val="00833913"/>
    <w:rsid w:val="00835A94"/>
    <w:rsid w:val="00836835"/>
    <w:rsid w:val="00836FB4"/>
    <w:rsid w:val="00837B67"/>
    <w:rsid w:val="00837BEB"/>
    <w:rsid w:val="0084055A"/>
    <w:rsid w:val="00842BCE"/>
    <w:rsid w:val="00846556"/>
    <w:rsid w:val="00851C18"/>
    <w:rsid w:val="0085254B"/>
    <w:rsid w:val="00852D9B"/>
    <w:rsid w:val="0085673F"/>
    <w:rsid w:val="00856B05"/>
    <w:rsid w:val="00861FE3"/>
    <w:rsid w:val="00863EF0"/>
    <w:rsid w:val="00864956"/>
    <w:rsid w:val="00864F1C"/>
    <w:rsid w:val="00872803"/>
    <w:rsid w:val="00872BA2"/>
    <w:rsid w:val="0087384F"/>
    <w:rsid w:val="0087775F"/>
    <w:rsid w:val="00877E32"/>
    <w:rsid w:val="0088063C"/>
    <w:rsid w:val="00881039"/>
    <w:rsid w:val="00883AAA"/>
    <w:rsid w:val="00890980"/>
    <w:rsid w:val="00890CBC"/>
    <w:rsid w:val="00892EBC"/>
    <w:rsid w:val="00894E39"/>
    <w:rsid w:val="00895418"/>
    <w:rsid w:val="008957D9"/>
    <w:rsid w:val="0089788C"/>
    <w:rsid w:val="00897AF8"/>
    <w:rsid w:val="008A202D"/>
    <w:rsid w:val="008A4157"/>
    <w:rsid w:val="008A5FCC"/>
    <w:rsid w:val="008B4846"/>
    <w:rsid w:val="008B5689"/>
    <w:rsid w:val="008B5DBC"/>
    <w:rsid w:val="008B749E"/>
    <w:rsid w:val="008C09B5"/>
    <w:rsid w:val="008C1171"/>
    <w:rsid w:val="008C1F20"/>
    <w:rsid w:val="008C2D17"/>
    <w:rsid w:val="008C3CC2"/>
    <w:rsid w:val="008C3E75"/>
    <w:rsid w:val="008C5F38"/>
    <w:rsid w:val="008C6B0E"/>
    <w:rsid w:val="008C6FC8"/>
    <w:rsid w:val="008C7870"/>
    <w:rsid w:val="008D3756"/>
    <w:rsid w:val="008D4971"/>
    <w:rsid w:val="008D77FD"/>
    <w:rsid w:val="008E16CE"/>
    <w:rsid w:val="008E1E77"/>
    <w:rsid w:val="008E350D"/>
    <w:rsid w:val="008E6A92"/>
    <w:rsid w:val="008F1D37"/>
    <w:rsid w:val="008F4BDD"/>
    <w:rsid w:val="008F7897"/>
    <w:rsid w:val="00900302"/>
    <w:rsid w:val="0090296E"/>
    <w:rsid w:val="00902E31"/>
    <w:rsid w:val="0090379A"/>
    <w:rsid w:val="00906C03"/>
    <w:rsid w:val="0091354B"/>
    <w:rsid w:val="00913E49"/>
    <w:rsid w:val="00913ED2"/>
    <w:rsid w:val="009147FF"/>
    <w:rsid w:val="00915805"/>
    <w:rsid w:val="00916358"/>
    <w:rsid w:val="009204BB"/>
    <w:rsid w:val="009225DE"/>
    <w:rsid w:val="00922AFC"/>
    <w:rsid w:val="009237A5"/>
    <w:rsid w:val="009301DE"/>
    <w:rsid w:val="00934718"/>
    <w:rsid w:val="009370E2"/>
    <w:rsid w:val="009379AA"/>
    <w:rsid w:val="00940535"/>
    <w:rsid w:val="009407A8"/>
    <w:rsid w:val="0094395B"/>
    <w:rsid w:val="00945F19"/>
    <w:rsid w:val="00950233"/>
    <w:rsid w:val="00950841"/>
    <w:rsid w:val="00952DBF"/>
    <w:rsid w:val="00953B35"/>
    <w:rsid w:val="00954414"/>
    <w:rsid w:val="00954A83"/>
    <w:rsid w:val="00956763"/>
    <w:rsid w:val="00957BCF"/>
    <w:rsid w:val="009625F6"/>
    <w:rsid w:val="009627F9"/>
    <w:rsid w:val="009658D6"/>
    <w:rsid w:val="009676D8"/>
    <w:rsid w:val="00975F96"/>
    <w:rsid w:val="0098324A"/>
    <w:rsid w:val="00985FFB"/>
    <w:rsid w:val="00987CAC"/>
    <w:rsid w:val="00990CFC"/>
    <w:rsid w:val="00993516"/>
    <w:rsid w:val="00995DD7"/>
    <w:rsid w:val="00995E0E"/>
    <w:rsid w:val="00996052"/>
    <w:rsid w:val="009960C9"/>
    <w:rsid w:val="00996C55"/>
    <w:rsid w:val="00997DA9"/>
    <w:rsid w:val="009A2905"/>
    <w:rsid w:val="009A38CE"/>
    <w:rsid w:val="009A38D1"/>
    <w:rsid w:val="009A491C"/>
    <w:rsid w:val="009A5B58"/>
    <w:rsid w:val="009A5E1D"/>
    <w:rsid w:val="009A649B"/>
    <w:rsid w:val="009A6EB1"/>
    <w:rsid w:val="009A72B6"/>
    <w:rsid w:val="009B3E5B"/>
    <w:rsid w:val="009B4294"/>
    <w:rsid w:val="009B430C"/>
    <w:rsid w:val="009B5295"/>
    <w:rsid w:val="009B60BD"/>
    <w:rsid w:val="009B6D4C"/>
    <w:rsid w:val="009B70F4"/>
    <w:rsid w:val="009B7374"/>
    <w:rsid w:val="009C0727"/>
    <w:rsid w:val="009C1EF7"/>
    <w:rsid w:val="009C2556"/>
    <w:rsid w:val="009C6C52"/>
    <w:rsid w:val="009D0718"/>
    <w:rsid w:val="009D162F"/>
    <w:rsid w:val="009D1776"/>
    <w:rsid w:val="009D5976"/>
    <w:rsid w:val="009D5A80"/>
    <w:rsid w:val="009D79AE"/>
    <w:rsid w:val="009E0053"/>
    <w:rsid w:val="009E040A"/>
    <w:rsid w:val="009E2345"/>
    <w:rsid w:val="009E312B"/>
    <w:rsid w:val="009E40AA"/>
    <w:rsid w:val="009E4E40"/>
    <w:rsid w:val="009E710F"/>
    <w:rsid w:val="009F206C"/>
    <w:rsid w:val="009F6A97"/>
    <w:rsid w:val="00A00283"/>
    <w:rsid w:val="00A008E4"/>
    <w:rsid w:val="00A00B50"/>
    <w:rsid w:val="00A00E20"/>
    <w:rsid w:val="00A0253A"/>
    <w:rsid w:val="00A02A94"/>
    <w:rsid w:val="00A03293"/>
    <w:rsid w:val="00A03ADC"/>
    <w:rsid w:val="00A1000D"/>
    <w:rsid w:val="00A10193"/>
    <w:rsid w:val="00A10AC7"/>
    <w:rsid w:val="00A10DF8"/>
    <w:rsid w:val="00A111CB"/>
    <w:rsid w:val="00A11201"/>
    <w:rsid w:val="00A126F1"/>
    <w:rsid w:val="00A12A9B"/>
    <w:rsid w:val="00A14055"/>
    <w:rsid w:val="00A14E15"/>
    <w:rsid w:val="00A23BB2"/>
    <w:rsid w:val="00A24540"/>
    <w:rsid w:val="00A27388"/>
    <w:rsid w:val="00A300BF"/>
    <w:rsid w:val="00A30328"/>
    <w:rsid w:val="00A3255E"/>
    <w:rsid w:val="00A3267D"/>
    <w:rsid w:val="00A331C8"/>
    <w:rsid w:val="00A43E28"/>
    <w:rsid w:val="00A44451"/>
    <w:rsid w:val="00A46428"/>
    <w:rsid w:val="00A46BDC"/>
    <w:rsid w:val="00A500E9"/>
    <w:rsid w:val="00A5105C"/>
    <w:rsid w:val="00A513DF"/>
    <w:rsid w:val="00A52415"/>
    <w:rsid w:val="00A5321A"/>
    <w:rsid w:val="00A57B01"/>
    <w:rsid w:val="00A60B2E"/>
    <w:rsid w:val="00A61566"/>
    <w:rsid w:val="00A6188E"/>
    <w:rsid w:val="00A62E69"/>
    <w:rsid w:val="00A634F8"/>
    <w:rsid w:val="00A67499"/>
    <w:rsid w:val="00A716CD"/>
    <w:rsid w:val="00A744D1"/>
    <w:rsid w:val="00A745E3"/>
    <w:rsid w:val="00A76173"/>
    <w:rsid w:val="00A762E1"/>
    <w:rsid w:val="00A77AE4"/>
    <w:rsid w:val="00A806F4"/>
    <w:rsid w:val="00A81FA6"/>
    <w:rsid w:val="00A84E31"/>
    <w:rsid w:val="00A8697D"/>
    <w:rsid w:val="00A873DD"/>
    <w:rsid w:val="00A9059D"/>
    <w:rsid w:val="00A90983"/>
    <w:rsid w:val="00A925A8"/>
    <w:rsid w:val="00A943AF"/>
    <w:rsid w:val="00A96B58"/>
    <w:rsid w:val="00AA0175"/>
    <w:rsid w:val="00AA0A83"/>
    <w:rsid w:val="00AA25E4"/>
    <w:rsid w:val="00AA3112"/>
    <w:rsid w:val="00AA33FB"/>
    <w:rsid w:val="00AA4C9D"/>
    <w:rsid w:val="00AA525C"/>
    <w:rsid w:val="00AA6162"/>
    <w:rsid w:val="00AA733A"/>
    <w:rsid w:val="00AA78DC"/>
    <w:rsid w:val="00AA7F1A"/>
    <w:rsid w:val="00AB10AA"/>
    <w:rsid w:val="00AB25F9"/>
    <w:rsid w:val="00AB2F51"/>
    <w:rsid w:val="00AB2FDC"/>
    <w:rsid w:val="00AB4394"/>
    <w:rsid w:val="00AB54EE"/>
    <w:rsid w:val="00AB6229"/>
    <w:rsid w:val="00AC1689"/>
    <w:rsid w:val="00AC1FDD"/>
    <w:rsid w:val="00AC4D72"/>
    <w:rsid w:val="00AC4F4B"/>
    <w:rsid w:val="00AC71A6"/>
    <w:rsid w:val="00AC7D35"/>
    <w:rsid w:val="00AD15B2"/>
    <w:rsid w:val="00AD24FE"/>
    <w:rsid w:val="00AD2536"/>
    <w:rsid w:val="00AD362B"/>
    <w:rsid w:val="00AD4B24"/>
    <w:rsid w:val="00AD6D51"/>
    <w:rsid w:val="00AE1B54"/>
    <w:rsid w:val="00AE2FF1"/>
    <w:rsid w:val="00AE36A3"/>
    <w:rsid w:val="00AE3C57"/>
    <w:rsid w:val="00AE515D"/>
    <w:rsid w:val="00AE64C1"/>
    <w:rsid w:val="00AE6B2A"/>
    <w:rsid w:val="00AF3041"/>
    <w:rsid w:val="00AF48CD"/>
    <w:rsid w:val="00AF5E69"/>
    <w:rsid w:val="00AF5FAD"/>
    <w:rsid w:val="00AF6022"/>
    <w:rsid w:val="00AF7EC8"/>
    <w:rsid w:val="00B015A7"/>
    <w:rsid w:val="00B01F89"/>
    <w:rsid w:val="00B038CC"/>
    <w:rsid w:val="00B051B8"/>
    <w:rsid w:val="00B053D9"/>
    <w:rsid w:val="00B06556"/>
    <w:rsid w:val="00B06B04"/>
    <w:rsid w:val="00B06B85"/>
    <w:rsid w:val="00B11F31"/>
    <w:rsid w:val="00B12AB1"/>
    <w:rsid w:val="00B12C14"/>
    <w:rsid w:val="00B14090"/>
    <w:rsid w:val="00B15932"/>
    <w:rsid w:val="00B161CF"/>
    <w:rsid w:val="00B16C7B"/>
    <w:rsid w:val="00B16F92"/>
    <w:rsid w:val="00B21E7A"/>
    <w:rsid w:val="00B21EA3"/>
    <w:rsid w:val="00B2296E"/>
    <w:rsid w:val="00B328E5"/>
    <w:rsid w:val="00B3388D"/>
    <w:rsid w:val="00B34168"/>
    <w:rsid w:val="00B345D9"/>
    <w:rsid w:val="00B34DF8"/>
    <w:rsid w:val="00B37B14"/>
    <w:rsid w:val="00B43D0A"/>
    <w:rsid w:val="00B43EF1"/>
    <w:rsid w:val="00B44303"/>
    <w:rsid w:val="00B47091"/>
    <w:rsid w:val="00B47D07"/>
    <w:rsid w:val="00B5144B"/>
    <w:rsid w:val="00B5170B"/>
    <w:rsid w:val="00B52EE1"/>
    <w:rsid w:val="00B53992"/>
    <w:rsid w:val="00B53D6E"/>
    <w:rsid w:val="00B54EA4"/>
    <w:rsid w:val="00B64706"/>
    <w:rsid w:val="00B679D3"/>
    <w:rsid w:val="00B67FEA"/>
    <w:rsid w:val="00B708AD"/>
    <w:rsid w:val="00B710D2"/>
    <w:rsid w:val="00B7113C"/>
    <w:rsid w:val="00B712CC"/>
    <w:rsid w:val="00B723DF"/>
    <w:rsid w:val="00B72D64"/>
    <w:rsid w:val="00B731DE"/>
    <w:rsid w:val="00B734C3"/>
    <w:rsid w:val="00B74252"/>
    <w:rsid w:val="00B7514D"/>
    <w:rsid w:val="00B7627A"/>
    <w:rsid w:val="00B7678B"/>
    <w:rsid w:val="00B77533"/>
    <w:rsid w:val="00B77999"/>
    <w:rsid w:val="00B77B05"/>
    <w:rsid w:val="00B81154"/>
    <w:rsid w:val="00B85149"/>
    <w:rsid w:val="00B85A12"/>
    <w:rsid w:val="00B86498"/>
    <w:rsid w:val="00B90481"/>
    <w:rsid w:val="00B9063F"/>
    <w:rsid w:val="00B92975"/>
    <w:rsid w:val="00B945D4"/>
    <w:rsid w:val="00B94BAD"/>
    <w:rsid w:val="00B97A58"/>
    <w:rsid w:val="00BA1325"/>
    <w:rsid w:val="00BA48FC"/>
    <w:rsid w:val="00BA5870"/>
    <w:rsid w:val="00BA679F"/>
    <w:rsid w:val="00BB0399"/>
    <w:rsid w:val="00BB0CBB"/>
    <w:rsid w:val="00BB0EFB"/>
    <w:rsid w:val="00BB3223"/>
    <w:rsid w:val="00BB4344"/>
    <w:rsid w:val="00BB4A7B"/>
    <w:rsid w:val="00BB5D61"/>
    <w:rsid w:val="00BC1307"/>
    <w:rsid w:val="00BC2B27"/>
    <w:rsid w:val="00BC3B27"/>
    <w:rsid w:val="00BC4C9B"/>
    <w:rsid w:val="00BC609B"/>
    <w:rsid w:val="00BC7910"/>
    <w:rsid w:val="00BC7BEA"/>
    <w:rsid w:val="00BD0BD5"/>
    <w:rsid w:val="00BD209D"/>
    <w:rsid w:val="00BD6641"/>
    <w:rsid w:val="00BE4117"/>
    <w:rsid w:val="00BE467F"/>
    <w:rsid w:val="00BE4DAD"/>
    <w:rsid w:val="00BE5E4B"/>
    <w:rsid w:val="00BE6C2B"/>
    <w:rsid w:val="00BE716C"/>
    <w:rsid w:val="00BE76C8"/>
    <w:rsid w:val="00BE7990"/>
    <w:rsid w:val="00BF1AB9"/>
    <w:rsid w:val="00BF29E1"/>
    <w:rsid w:val="00BF2F12"/>
    <w:rsid w:val="00BF30AB"/>
    <w:rsid w:val="00BF3A0E"/>
    <w:rsid w:val="00BF3A82"/>
    <w:rsid w:val="00BF4C9A"/>
    <w:rsid w:val="00BF58CF"/>
    <w:rsid w:val="00C0339F"/>
    <w:rsid w:val="00C0411C"/>
    <w:rsid w:val="00C057FE"/>
    <w:rsid w:val="00C07331"/>
    <w:rsid w:val="00C10955"/>
    <w:rsid w:val="00C11B85"/>
    <w:rsid w:val="00C13C70"/>
    <w:rsid w:val="00C22BC5"/>
    <w:rsid w:val="00C22CD6"/>
    <w:rsid w:val="00C23063"/>
    <w:rsid w:val="00C23DAA"/>
    <w:rsid w:val="00C24103"/>
    <w:rsid w:val="00C25539"/>
    <w:rsid w:val="00C267D7"/>
    <w:rsid w:val="00C31877"/>
    <w:rsid w:val="00C31885"/>
    <w:rsid w:val="00C34436"/>
    <w:rsid w:val="00C347A8"/>
    <w:rsid w:val="00C4222C"/>
    <w:rsid w:val="00C42806"/>
    <w:rsid w:val="00C42BB6"/>
    <w:rsid w:val="00C430F8"/>
    <w:rsid w:val="00C43515"/>
    <w:rsid w:val="00C46BC0"/>
    <w:rsid w:val="00C53B91"/>
    <w:rsid w:val="00C53EBB"/>
    <w:rsid w:val="00C5610C"/>
    <w:rsid w:val="00C57088"/>
    <w:rsid w:val="00C60694"/>
    <w:rsid w:val="00C6189C"/>
    <w:rsid w:val="00C61B15"/>
    <w:rsid w:val="00C620D3"/>
    <w:rsid w:val="00C62687"/>
    <w:rsid w:val="00C64195"/>
    <w:rsid w:val="00C64773"/>
    <w:rsid w:val="00C73712"/>
    <w:rsid w:val="00C73A21"/>
    <w:rsid w:val="00C76728"/>
    <w:rsid w:val="00C76F72"/>
    <w:rsid w:val="00C77A75"/>
    <w:rsid w:val="00C80771"/>
    <w:rsid w:val="00C836EC"/>
    <w:rsid w:val="00C8413F"/>
    <w:rsid w:val="00C84368"/>
    <w:rsid w:val="00C84427"/>
    <w:rsid w:val="00C844F7"/>
    <w:rsid w:val="00C84D0E"/>
    <w:rsid w:val="00C859C7"/>
    <w:rsid w:val="00C8680A"/>
    <w:rsid w:val="00C87B56"/>
    <w:rsid w:val="00C87D7F"/>
    <w:rsid w:val="00C91002"/>
    <w:rsid w:val="00C915E2"/>
    <w:rsid w:val="00C93462"/>
    <w:rsid w:val="00C97041"/>
    <w:rsid w:val="00C97042"/>
    <w:rsid w:val="00C979F3"/>
    <w:rsid w:val="00CA06CE"/>
    <w:rsid w:val="00CA0EED"/>
    <w:rsid w:val="00CA0F8C"/>
    <w:rsid w:val="00CA2794"/>
    <w:rsid w:val="00CB1364"/>
    <w:rsid w:val="00CB3215"/>
    <w:rsid w:val="00CB38A0"/>
    <w:rsid w:val="00CB38AF"/>
    <w:rsid w:val="00CB630A"/>
    <w:rsid w:val="00CB65EF"/>
    <w:rsid w:val="00CB6DBB"/>
    <w:rsid w:val="00CB72F5"/>
    <w:rsid w:val="00CC03E3"/>
    <w:rsid w:val="00CC0D0A"/>
    <w:rsid w:val="00CC1B7D"/>
    <w:rsid w:val="00CC1EF1"/>
    <w:rsid w:val="00CC3D8E"/>
    <w:rsid w:val="00CC41DA"/>
    <w:rsid w:val="00CC5AB4"/>
    <w:rsid w:val="00CC5F28"/>
    <w:rsid w:val="00CC6C4E"/>
    <w:rsid w:val="00CC6EA3"/>
    <w:rsid w:val="00CD49EC"/>
    <w:rsid w:val="00CE08AA"/>
    <w:rsid w:val="00CE313B"/>
    <w:rsid w:val="00CE475C"/>
    <w:rsid w:val="00CE7AEB"/>
    <w:rsid w:val="00CE7E3D"/>
    <w:rsid w:val="00CF0DC4"/>
    <w:rsid w:val="00CF0ECB"/>
    <w:rsid w:val="00CF1D5A"/>
    <w:rsid w:val="00CF3C7B"/>
    <w:rsid w:val="00CF4E4D"/>
    <w:rsid w:val="00CF7317"/>
    <w:rsid w:val="00D0254C"/>
    <w:rsid w:val="00D02A61"/>
    <w:rsid w:val="00D02D91"/>
    <w:rsid w:val="00D038F3"/>
    <w:rsid w:val="00D0438E"/>
    <w:rsid w:val="00D06225"/>
    <w:rsid w:val="00D075C8"/>
    <w:rsid w:val="00D10279"/>
    <w:rsid w:val="00D113C0"/>
    <w:rsid w:val="00D11965"/>
    <w:rsid w:val="00D126B7"/>
    <w:rsid w:val="00D13636"/>
    <w:rsid w:val="00D14F5B"/>
    <w:rsid w:val="00D17713"/>
    <w:rsid w:val="00D17CB6"/>
    <w:rsid w:val="00D20356"/>
    <w:rsid w:val="00D20FFB"/>
    <w:rsid w:val="00D2478F"/>
    <w:rsid w:val="00D260F8"/>
    <w:rsid w:val="00D26D78"/>
    <w:rsid w:val="00D3203E"/>
    <w:rsid w:val="00D3214A"/>
    <w:rsid w:val="00D32E6E"/>
    <w:rsid w:val="00D33037"/>
    <w:rsid w:val="00D3377E"/>
    <w:rsid w:val="00D350D0"/>
    <w:rsid w:val="00D41699"/>
    <w:rsid w:val="00D445FA"/>
    <w:rsid w:val="00D4503A"/>
    <w:rsid w:val="00D4520B"/>
    <w:rsid w:val="00D4733E"/>
    <w:rsid w:val="00D4777B"/>
    <w:rsid w:val="00D54752"/>
    <w:rsid w:val="00D56B8F"/>
    <w:rsid w:val="00D5791A"/>
    <w:rsid w:val="00D60BDF"/>
    <w:rsid w:val="00D60DC5"/>
    <w:rsid w:val="00D6151B"/>
    <w:rsid w:val="00D61780"/>
    <w:rsid w:val="00D623EB"/>
    <w:rsid w:val="00D62905"/>
    <w:rsid w:val="00D637FE"/>
    <w:rsid w:val="00D63F04"/>
    <w:rsid w:val="00D65A6E"/>
    <w:rsid w:val="00D66D1C"/>
    <w:rsid w:val="00D72133"/>
    <w:rsid w:val="00D7221D"/>
    <w:rsid w:val="00D7237B"/>
    <w:rsid w:val="00D7363A"/>
    <w:rsid w:val="00D73FB7"/>
    <w:rsid w:val="00D73FB9"/>
    <w:rsid w:val="00D75FCF"/>
    <w:rsid w:val="00D76B66"/>
    <w:rsid w:val="00D773D0"/>
    <w:rsid w:val="00D77DC0"/>
    <w:rsid w:val="00D80073"/>
    <w:rsid w:val="00D80EB6"/>
    <w:rsid w:val="00D81A8E"/>
    <w:rsid w:val="00D8329D"/>
    <w:rsid w:val="00D83715"/>
    <w:rsid w:val="00D84668"/>
    <w:rsid w:val="00D84A3A"/>
    <w:rsid w:val="00D863CC"/>
    <w:rsid w:val="00D87B9A"/>
    <w:rsid w:val="00D87BD3"/>
    <w:rsid w:val="00D90D24"/>
    <w:rsid w:val="00D90EBF"/>
    <w:rsid w:val="00D916A9"/>
    <w:rsid w:val="00D94144"/>
    <w:rsid w:val="00D956BD"/>
    <w:rsid w:val="00D9611D"/>
    <w:rsid w:val="00D97463"/>
    <w:rsid w:val="00D9773D"/>
    <w:rsid w:val="00D97C6C"/>
    <w:rsid w:val="00DA09EB"/>
    <w:rsid w:val="00DA2D2A"/>
    <w:rsid w:val="00DA4B88"/>
    <w:rsid w:val="00DA78B5"/>
    <w:rsid w:val="00DA7EEA"/>
    <w:rsid w:val="00DB304D"/>
    <w:rsid w:val="00DB3AAA"/>
    <w:rsid w:val="00DC04AB"/>
    <w:rsid w:val="00DC28FF"/>
    <w:rsid w:val="00DC2D48"/>
    <w:rsid w:val="00DC3253"/>
    <w:rsid w:val="00DC5381"/>
    <w:rsid w:val="00DC5FA6"/>
    <w:rsid w:val="00DC631F"/>
    <w:rsid w:val="00DC6760"/>
    <w:rsid w:val="00DD30F7"/>
    <w:rsid w:val="00DD388E"/>
    <w:rsid w:val="00DD4EBF"/>
    <w:rsid w:val="00DD60C4"/>
    <w:rsid w:val="00DD736C"/>
    <w:rsid w:val="00DE2EE4"/>
    <w:rsid w:val="00DE5657"/>
    <w:rsid w:val="00DF0316"/>
    <w:rsid w:val="00DF0E5F"/>
    <w:rsid w:val="00DF11D0"/>
    <w:rsid w:val="00DF13A6"/>
    <w:rsid w:val="00DF13E5"/>
    <w:rsid w:val="00DF1972"/>
    <w:rsid w:val="00DF519C"/>
    <w:rsid w:val="00DF57DB"/>
    <w:rsid w:val="00E00339"/>
    <w:rsid w:val="00E014FE"/>
    <w:rsid w:val="00E025F4"/>
    <w:rsid w:val="00E04238"/>
    <w:rsid w:val="00E05D27"/>
    <w:rsid w:val="00E076E5"/>
    <w:rsid w:val="00E077E1"/>
    <w:rsid w:val="00E10F45"/>
    <w:rsid w:val="00E12E0B"/>
    <w:rsid w:val="00E1539A"/>
    <w:rsid w:val="00E16ECF"/>
    <w:rsid w:val="00E20692"/>
    <w:rsid w:val="00E206EA"/>
    <w:rsid w:val="00E21972"/>
    <w:rsid w:val="00E224CF"/>
    <w:rsid w:val="00E230B4"/>
    <w:rsid w:val="00E24645"/>
    <w:rsid w:val="00E24CCA"/>
    <w:rsid w:val="00E254A0"/>
    <w:rsid w:val="00E25680"/>
    <w:rsid w:val="00E2702D"/>
    <w:rsid w:val="00E30182"/>
    <w:rsid w:val="00E3229A"/>
    <w:rsid w:val="00E33AF6"/>
    <w:rsid w:val="00E36364"/>
    <w:rsid w:val="00E3647C"/>
    <w:rsid w:val="00E36A70"/>
    <w:rsid w:val="00E41451"/>
    <w:rsid w:val="00E415B8"/>
    <w:rsid w:val="00E42787"/>
    <w:rsid w:val="00E427EE"/>
    <w:rsid w:val="00E45817"/>
    <w:rsid w:val="00E45BFB"/>
    <w:rsid w:val="00E46F93"/>
    <w:rsid w:val="00E50D6A"/>
    <w:rsid w:val="00E513D0"/>
    <w:rsid w:val="00E6068D"/>
    <w:rsid w:val="00E61C32"/>
    <w:rsid w:val="00E67B6F"/>
    <w:rsid w:val="00E704F7"/>
    <w:rsid w:val="00E7076F"/>
    <w:rsid w:val="00E70C45"/>
    <w:rsid w:val="00E73382"/>
    <w:rsid w:val="00E75ABE"/>
    <w:rsid w:val="00E7646B"/>
    <w:rsid w:val="00E76542"/>
    <w:rsid w:val="00E76FF1"/>
    <w:rsid w:val="00E77000"/>
    <w:rsid w:val="00E77777"/>
    <w:rsid w:val="00E81560"/>
    <w:rsid w:val="00E83789"/>
    <w:rsid w:val="00E83838"/>
    <w:rsid w:val="00E83A19"/>
    <w:rsid w:val="00E850BA"/>
    <w:rsid w:val="00E8562C"/>
    <w:rsid w:val="00E86556"/>
    <w:rsid w:val="00E876CB"/>
    <w:rsid w:val="00E900A3"/>
    <w:rsid w:val="00E91310"/>
    <w:rsid w:val="00E9144E"/>
    <w:rsid w:val="00E92FA6"/>
    <w:rsid w:val="00E9477E"/>
    <w:rsid w:val="00E9694D"/>
    <w:rsid w:val="00EA1AF6"/>
    <w:rsid w:val="00EA2EEB"/>
    <w:rsid w:val="00EA50EC"/>
    <w:rsid w:val="00EA5D5D"/>
    <w:rsid w:val="00EA692F"/>
    <w:rsid w:val="00EB37A8"/>
    <w:rsid w:val="00EB40B0"/>
    <w:rsid w:val="00EB4443"/>
    <w:rsid w:val="00EB74BC"/>
    <w:rsid w:val="00EC16F8"/>
    <w:rsid w:val="00EC336E"/>
    <w:rsid w:val="00ED2C08"/>
    <w:rsid w:val="00ED3A64"/>
    <w:rsid w:val="00ED4194"/>
    <w:rsid w:val="00ED560D"/>
    <w:rsid w:val="00ED605B"/>
    <w:rsid w:val="00ED6260"/>
    <w:rsid w:val="00ED6B98"/>
    <w:rsid w:val="00ED6C94"/>
    <w:rsid w:val="00EE1040"/>
    <w:rsid w:val="00EE4797"/>
    <w:rsid w:val="00EE5B40"/>
    <w:rsid w:val="00EE5D08"/>
    <w:rsid w:val="00EE7685"/>
    <w:rsid w:val="00EF0BF1"/>
    <w:rsid w:val="00EF0EA0"/>
    <w:rsid w:val="00EF35D0"/>
    <w:rsid w:val="00EF3CF4"/>
    <w:rsid w:val="00EF4C89"/>
    <w:rsid w:val="00EF5F9F"/>
    <w:rsid w:val="00EF64BD"/>
    <w:rsid w:val="00F0242A"/>
    <w:rsid w:val="00F05050"/>
    <w:rsid w:val="00F053EF"/>
    <w:rsid w:val="00F10BC5"/>
    <w:rsid w:val="00F12FA6"/>
    <w:rsid w:val="00F141DF"/>
    <w:rsid w:val="00F15307"/>
    <w:rsid w:val="00F16041"/>
    <w:rsid w:val="00F17A7A"/>
    <w:rsid w:val="00F20245"/>
    <w:rsid w:val="00F216B1"/>
    <w:rsid w:val="00F23A2A"/>
    <w:rsid w:val="00F23E20"/>
    <w:rsid w:val="00F23F90"/>
    <w:rsid w:val="00F25611"/>
    <w:rsid w:val="00F30A87"/>
    <w:rsid w:val="00F31DA3"/>
    <w:rsid w:val="00F331FC"/>
    <w:rsid w:val="00F3371D"/>
    <w:rsid w:val="00F35CBE"/>
    <w:rsid w:val="00F374B9"/>
    <w:rsid w:val="00F406A9"/>
    <w:rsid w:val="00F40BF4"/>
    <w:rsid w:val="00F41942"/>
    <w:rsid w:val="00F4261F"/>
    <w:rsid w:val="00F43B0B"/>
    <w:rsid w:val="00F43BA6"/>
    <w:rsid w:val="00F508B0"/>
    <w:rsid w:val="00F51C02"/>
    <w:rsid w:val="00F5227C"/>
    <w:rsid w:val="00F54C78"/>
    <w:rsid w:val="00F555DD"/>
    <w:rsid w:val="00F55D28"/>
    <w:rsid w:val="00F5610C"/>
    <w:rsid w:val="00F566C7"/>
    <w:rsid w:val="00F57850"/>
    <w:rsid w:val="00F626E0"/>
    <w:rsid w:val="00F646A4"/>
    <w:rsid w:val="00F65C61"/>
    <w:rsid w:val="00F6667B"/>
    <w:rsid w:val="00F675A0"/>
    <w:rsid w:val="00F7027C"/>
    <w:rsid w:val="00F70333"/>
    <w:rsid w:val="00F72892"/>
    <w:rsid w:val="00F729B4"/>
    <w:rsid w:val="00F73106"/>
    <w:rsid w:val="00F73F33"/>
    <w:rsid w:val="00F7494E"/>
    <w:rsid w:val="00F74B06"/>
    <w:rsid w:val="00F75C80"/>
    <w:rsid w:val="00F80AFA"/>
    <w:rsid w:val="00F8155F"/>
    <w:rsid w:val="00F81BA9"/>
    <w:rsid w:val="00F82D92"/>
    <w:rsid w:val="00F85FA6"/>
    <w:rsid w:val="00F860A4"/>
    <w:rsid w:val="00F86357"/>
    <w:rsid w:val="00F90FBA"/>
    <w:rsid w:val="00F93C02"/>
    <w:rsid w:val="00F95C7C"/>
    <w:rsid w:val="00F96297"/>
    <w:rsid w:val="00FA106A"/>
    <w:rsid w:val="00FA13BE"/>
    <w:rsid w:val="00FA1A86"/>
    <w:rsid w:val="00FA1B4B"/>
    <w:rsid w:val="00FA3174"/>
    <w:rsid w:val="00FA384A"/>
    <w:rsid w:val="00FA4229"/>
    <w:rsid w:val="00FA433D"/>
    <w:rsid w:val="00FA4DCD"/>
    <w:rsid w:val="00FA65D1"/>
    <w:rsid w:val="00FA6845"/>
    <w:rsid w:val="00FA6CA0"/>
    <w:rsid w:val="00FA701F"/>
    <w:rsid w:val="00FB01B3"/>
    <w:rsid w:val="00FB5013"/>
    <w:rsid w:val="00FB507A"/>
    <w:rsid w:val="00FB6A28"/>
    <w:rsid w:val="00FB76CD"/>
    <w:rsid w:val="00FC662C"/>
    <w:rsid w:val="00FC6851"/>
    <w:rsid w:val="00FC7394"/>
    <w:rsid w:val="00FD2F99"/>
    <w:rsid w:val="00FD3B61"/>
    <w:rsid w:val="00FD5E0B"/>
    <w:rsid w:val="00FE15EB"/>
    <w:rsid w:val="00FE4B51"/>
    <w:rsid w:val="00FE4E3B"/>
    <w:rsid w:val="00FE5772"/>
    <w:rsid w:val="00FE752E"/>
    <w:rsid w:val="00FE7DFE"/>
    <w:rsid w:val="00FF06F1"/>
    <w:rsid w:val="00FF2C7A"/>
    <w:rsid w:val="00FF330B"/>
    <w:rsid w:val="00FF4869"/>
    <w:rsid w:val="00FF7510"/>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18ACD"/>
  <w15:docId w15:val="{46804143-F042-4640-B650-B2CC126C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5F"/>
  </w:style>
  <w:style w:type="paragraph" w:styleId="Heading1">
    <w:name w:val="heading 1"/>
    <w:basedOn w:val="Normal"/>
    <w:next w:val="Normal"/>
    <w:link w:val="Heading1Char"/>
    <w:uiPriority w:val="9"/>
    <w:qFormat/>
    <w:rsid w:val="007C1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4BEC"/>
    <w:pPr>
      <w:keepNext/>
      <w:keepLines/>
      <w:spacing w:before="200" w:after="0"/>
      <w:outlineLvl w:val="2"/>
    </w:pPr>
    <w:rPr>
      <w:rFonts w:eastAsiaTheme="majorEastAsia" w:cstheme="majorBidi"/>
      <w:b/>
      <w:bCs/>
      <w:i/>
      <w:color w:val="4F81BD" w:themeColor="accent1"/>
    </w:rPr>
  </w:style>
  <w:style w:type="paragraph" w:styleId="Heading4">
    <w:name w:val="heading 4"/>
    <w:basedOn w:val="Normal"/>
    <w:next w:val="Normal"/>
    <w:link w:val="Heading4Char"/>
    <w:uiPriority w:val="9"/>
    <w:unhideWhenUsed/>
    <w:qFormat/>
    <w:rsid w:val="00CF7317"/>
    <w:pPr>
      <w:keepNext/>
      <w:keepLines/>
      <w:spacing w:before="200" w:after="0"/>
      <w:outlineLvl w:val="3"/>
    </w:pPr>
    <w:rPr>
      <w:rFonts w:eastAsiaTheme="majorEastAsia" w:cstheme="majorBidi"/>
      <w:b/>
      <w:bCs/>
      <w:i/>
      <w:iCs/>
      <w:color w:val="4F81BD" w:themeColor="accent1"/>
      <w:sz w:val="24"/>
    </w:rPr>
  </w:style>
  <w:style w:type="paragraph" w:styleId="Heading5">
    <w:name w:val="heading 5"/>
    <w:basedOn w:val="Normal"/>
    <w:next w:val="Normal"/>
    <w:link w:val="Heading5Char"/>
    <w:uiPriority w:val="9"/>
    <w:unhideWhenUsed/>
    <w:qFormat/>
    <w:rsid w:val="007C16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C16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C16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C16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C16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91310"/>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Triangles">
    <w:name w:val="1Triangles"/>
    <w:rsid w:val="00E91310"/>
    <w:pPr>
      <w:widowControl w:val="0"/>
      <w:tabs>
        <w:tab w:val="left" w:pos="720"/>
      </w:tabs>
      <w:autoSpaceDE w:val="0"/>
      <w:autoSpaceDN w:val="0"/>
      <w:adjustRightInd w:val="0"/>
      <w:ind w:left="720" w:hanging="720"/>
      <w:jc w:val="both"/>
    </w:pPr>
    <w:rPr>
      <w:sz w:val="24"/>
      <w:szCs w:val="24"/>
    </w:rPr>
  </w:style>
  <w:style w:type="paragraph" w:customStyle="1" w:styleId="2Triangles">
    <w:name w:val="2Triangles"/>
    <w:rsid w:val="00E91310"/>
    <w:pPr>
      <w:widowControl w:val="0"/>
      <w:tabs>
        <w:tab w:val="left" w:pos="720"/>
        <w:tab w:val="left" w:pos="1440"/>
      </w:tabs>
      <w:autoSpaceDE w:val="0"/>
      <w:autoSpaceDN w:val="0"/>
      <w:adjustRightInd w:val="0"/>
      <w:ind w:left="1440" w:hanging="720"/>
      <w:jc w:val="both"/>
    </w:pPr>
    <w:rPr>
      <w:sz w:val="24"/>
      <w:szCs w:val="24"/>
    </w:rPr>
  </w:style>
  <w:style w:type="paragraph" w:customStyle="1" w:styleId="3Triangles">
    <w:name w:val="3Triangles"/>
    <w:rsid w:val="00E913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Triangles">
    <w:name w:val="4Triangles"/>
    <w:rsid w:val="00E913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Triangles">
    <w:name w:val="5Triangles"/>
    <w:rsid w:val="00E913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Triangles">
    <w:name w:val="6Triangles"/>
    <w:rsid w:val="00E913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Triangles">
    <w:name w:val="7Triangles"/>
    <w:rsid w:val="00E913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Triangles">
    <w:name w:val="8Triangles"/>
    <w:rsid w:val="00E913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a">
    <w:name w:val="_"/>
    <w:rsid w:val="00E91310"/>
    <w:pPr>
      <w:widowControl w:val="0"/>
      <w:autoSpaceDE w:val="0"/>
      <w:autoSpaceDN w:val="0"/>
      <w:adjustRightInd w:val="0"/>
      <w:ind w:left="-1080"/>
    </w:pPr>
    <w:rPr>
      <w:sz w:val="24"/>
      <w:szCs w:val="24"/>
    </w:rPr>
  </w:style>
  <w:style w:type="character" w:customStyle="1" w:styleId="DefaultPara">
    <w:name w:val="Default Para"/>
    <w:rsid w:val="00E91310"/>
  </w:style>
  <w:style w:type="character" w:customStyle="1" w:styleId="SYSHYPERTEXT">
    <w:name w:val="SYS_HYPERTEXT"/>
    <w:rsid w:val="00E91310"/>
    <w:rPr>
      <w:color w:val="0000FF"/>
    </w:rPr>
  </w:style>
  <w:style w:type="paragraph" w:styleId="Header">
    <w:name w:val="header"/>
    <w:basedOn w:val="Normal"/>
    <w:rsid w:val="00E91310"/>
    <w:pPr>
      <w:tabs>
        <w:tab w:val="center" w:pos="4320"/>
        <w:tab w:val="right" w:pos="8640"/>
      </w:tabs>
    </w:pPr>
  </w:style>
  <w:style w:type="character" w:styleId="PageNumber">
    <w:name w:val="page number"/>
    <w:basedOn w:val="DefaultParagraphFont"/>
    <w:rsid w:val="00E91310"/>
  </w:style>
  <w:style w:type="paragraph" w:styleId="BodyText">
    <w:name w:val="Body Text"/>
    <w:basedOn w:val="Normal"/>
    <w:link w:val="BodyTextChar"/>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FF"/>
    </w:rPr>
  </w:style>
  <w:style w:type="paragraph" w:styleId="Caption">
    <w:name w:val="caption"/>
    <w:basedOn w:val="Normal"/>
    <w:next w:val="Normal"/>
    <w:uiPriority w:val="35"/>
    <w:unhideWhenUsed/>
    <w:qFormat/>
    <w:rsid w:val="007C165F"/>
    <w:pPr>
      <w:spacing w:line="240" w:lineRule="auto"/>
    </w:pPr>
    <w:rPr>
      <w:b/>
      <w:bCs/>
      <w:color w:val="4F81BD" w:themeColor="accent1"/>
      <w:sz w:val="18"/>
      <w:szCs w:val="18"/>
    </w:rPr>
  </w:style>
  <w:style w:type="paragraph" w:styleId="BodyText2">
    <w:name w:val="Body Text 2"/>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3">
    <w:name w:val="Body Text 3"/>
    <w:basedOn w:val="Normal"/>
    <w:rsid w:val="00E91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styleId="Hyperlink">
    <w:name w:val="Hyperlink"/>
    <w:rsid w:val="00E91310"/>
    <w:rPr>
      <w:color w:val="0000FF"/>
      <w:u w:val="single"/>
    </w:rPr>
  </w:style>
  <w:style w:type="character" w:styleId="FollowedHyperlink">
    <w:name w:val="FollowedHyperlink"/>
    <w:rsid w:val="00E91310"/>
    <w:rPr>
      <w:color w:val="800080"/>
      <w:u w:val="single"/>
    </w:rPr>
  </w:style>
  <w:style w:type="paragraph" w:styleId="Footer">
    <w:name w:val="footer"/>
    <w:basedOn w:val="Normal"/>
    <w:link w:val="FooterChar"/>
    <w:uiPriority w:val="99"/>
    <w:rsid w:val="00E91310"/>
    <w:pPr>
      <w:tabs>
        <w:tab w:val="center" w:pos="4320"/>
        <w:tab w:val="right" w:pos="8640"/>
      </w:tabs>
    </w:pPr>
  </w:style>
  <w:style w:type="paragraph" w:customStyle="1" w:styleId="Default">
    <w:name w:val="Default"/>
    <w:rsid w:val="0080088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605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C89"/>
    <w:rPr>
      <w:rFonts w:ascii="Tahoma" w:hAnsi="Tahoma" w:cs="Tahoma"/>
      <w:sz w:val="16"/>
      <w:szCs w:val="16"/>
    </w:rPr>
  </w:style>
  <w:style w:type="paragraph" w:styleId="ListParagraph">
    <w:name w:val="List Paragraph"/>
    <w:basedOn w:val="Normal"/>
    <w:qFormat/>
    <w:rsid w:val="007C165F"/>
    <w:pPr>
      <w:ind w:left="720"/>
      <w:contextualSpacing/>
    </w:pPr>
  </w:style>
  <w:style w:type="paragraph" w:styleId="ListBullet">
    <w:name w:val="List Bullet"/>
    <w:basedOn w:val="Normal"/>
    <w:rsid w:val="00C4222C"/>
    <w:pPr>
      <w:numPr>
        <w:numId w:val="1"/>
      </w:numPr>
      <w:spacing w:after="120"/>
    </w:pPr>
  </w:style>
  <w:style w:type="character" w:customStyle="1" w:styleId="BodyTextChar">
    <w:name w:val="Body Text Char"/>
    <w:basedOn w:val="DefaultParagraphFont"/>
    <w:link w:val="BodyText"/>
    <w:rsid w:val="00CE313B"/>
    <w:rPr>
      <w:color w:val="FF00FF"/>
      <w:sz w:val="22"/>
      <w:szCs w:val="22"/>
    </w:rPr>
  </w:style>
  <w:style w:type="paragraph" w:customStyle="1" w:styleId="StyleListBulletAfter12pt">
    <w:name w:val="Style List Bullet + After:  12 pt"/>
    <w:basedOn w:val="ListBullet"/>
    <w:rsid w:val="00C4222C"/>
  </w:style>
  <w:style w:type="character" w:styleId="Strong">
    <w:name w:val="Strong"/>
    <w:basedOn w:val="DefaultParagraphFont"/>
    <w:uiPriority w:val="22"/>
    <w:qFormat/>
    <w:rsid w:val="007C165F"/>
    <w:rPr>
      <w:b/>
      <w:bCs/>
    </w:rPr>
  </w:style>
  <w:style w:type="character" w:styleId="Emphasis">
    <w:name w:val="Emphasis"/>
    <w:basedOn w:val="DefaultParagraphFont"/>
    <w:qFormat/>
    <w:rsid w:val="007C165F"/>
    <w:rPr>
      <w:i/>
      <w:iCs/>
    </w:rPr>
  </w:style>
  <w:style w:type="paragraph" w:styleId="Revision">
    <w:name w:val="Revision"/>
    <w:hidden/>
    <w:uiPriority w:val="99"/>
    <w:semiHidden/>
    <w:rsid w:val="00895418"/>
  </w:style>
  <w:style w:type="paragraph" w:styleId="NoSpacing">
    <w:name w:val="No Spacing"/>
    <w:uiPriority w:val="1"/>
    <w:qFormat/>
    <w:rsid w:val="007C165F"/>
    <w:pPr>
      <w:spacing w:after="0" w:line="240" w:lineRule="auto"/>
    </w:pPr>
  </w:style>
  <w:style w:type="character" w:customStyle="1" w:styleId="Heading1Char">
    <w:name w:val="Heading 1 Char"/>
    <w:basedOn w:val="DefaultParagraphFont"/>
    <w:link w:val="Heading1"/>
    <w:uiPriority w:val="9"/>
    <w:rsid w:val="007C16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4BEC"/>
    <w:rPr>
      <w:rFonts w:eastAsiaTheme="majorEastAsia" w:cstheme="majorBidi"/>
      <w:b/>
      <w:bCs/>
      <w:i/>
      <w:color w:val="4F81BD" w:themeColor="accent1"/>
    </w:rPr>
  </w:style>
  <w:style w:type="character" w:customStyle="1" w:styleId="Heading4Char">
    <w:name w:val="Heading 4 Char"/>
    <w:basedOn w:val="DefaultParagraphFont"/>
    <w:link w:val="Heading4"/>
    <w:uiPriority w:val="9"/>
    <w:rsid w:val="00CF7317"/>
    <w:rPr>
      <w:rFonts w:eastAsiaTheme="majorEastAsia" w:cstheme="majorBidi"/>
      <w:b/>
      <w:bCs/>
      <w:i/>
      <w:iCs/>
      <w:color w:val="4F81BD" w:themeColor="accent1"/>
      <w:sz w:val="24"/>
    </w:rPr>
  </w:style>
  <w:style w:type="character" w:customStyle="1" w:styleId="Heading5Char">
    <w:name w:val="Heading 5 Char"/>
    <w:basedOn w:val="DefaultParagraphFont"/>
    <w:link w:val="Heading5"/>
    <w:uiPriority w:val="9"/>
    <w:rsid w:val="007C165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C16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C16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C16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C165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C16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16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C16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165F"/>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C165F"/>
    <w:rPr>
      <w:i/>
      <w:iCs/>
      <w:color w:val="000000" w:themeColor="text1"/>
    </w:rPr>
  </w:style>
  <w:style w:type="character" w:customStyle="1" w:styleId="QuoteChar">
    <w:name w:val="Quote Char"/>
    <w:basedOn w:val="DefaultParagraphFont"/>
    <w:link w:val="Quote"/>
    <w:uiPriority w:val="29"/>
    <w:rsid w:val="007C165F"/>
    <w:rPr>
      <w:i/>
      <w:iCs/>
      <w:color w:val="000000" w:themeColor="text1"/>
    </w:rPr>
  </w:style>
  <w:style w:type="paragraph" w:styleId="IntenseQuote">
    <w:name w:val="Intense Quote"/>
    <w:basedOn w:val="Normal"/>
    <w:next w:val="Normal"/>
    <w:link w:val="IntenseQuoteChar"/>
    <w:uiPriority w:val="30"/>
    <w:qFormat/>
    <w:rsid w:val="007C16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165F"/>
    <w:rPr>
      <w:b/>
      <w:bCs/>
      <w:i/>
      <w:iCs/>
      <w:color w:val="4F81BD" w:themeColor="accent1"/>
    </w:rPr>
  </w:style>
  <w:style w:type="character" w:styleId="SubtleEmphasis">
    <w:name w:val="Subtle Emphasis"/>
    <w:basedOn w:val="DefaultParagraphFont"/>
    <w:uiPriority w:val="19"/>
    <w:qFormat/>
    <w:rsid w:val="007C165F"/>
    <w:rPr>
      <w:i/>
      <w:iCs/>
      <w:color w:val="808080" w:themeColor="text1" w:themeTint="7F"/>
    </w:rPr>
  </w:style>
  <w:style w:type="character" w:styleId="IntenseEmphasis">
    <w:name w:val="Intense Emphasis"/>
    <w:basedOn w:val="DefaultParagraphFont"/>
    <w:uiPriority w:val="21"/>
    <w:qFormat/>
    <w:rsid w:val="007C165F"/>
    <w:rPr>
      <w:b/>
      <w:bCs/>
      <w:i/>
      <w:iCs/>
      <w:color w:val="4F81BD" w:themeColor="accent1"/>
    </w:rPr>
  </w:style>
  <w:style w:type="character" w:styleId="SubtleReference">
    <w:name w:val="Subtle Reference"/>
    <w:basedOn w:val="DefaultParagraphFont"/>
    <w:uiPriority w:val="31"/>
    <w:qFormat/>
    <w:rsid w:val="007C165F"/>
    <w:rPr>
      <w:smallCaps/>
      <w:color w:val="C0504D" w:themeColor="accent2"/>
      <w:u w:val="single"/>
    </w:rPr>
  </w:style>
  <w:style w:type="character" w:styleId="IntenseReference">
    <w:name w:val="Intense Reference"/>
    <w:basedOn w:val="DefaultParagraphFont"/>
    <w:uiPriority w:val="32"/>
    <w:qFormat/>
    <w:rsid w:val="007C165F"/>
    <w:rPr>
      <w:b/>
      <w:bCs/>
      <w:smallCaps/>
      <w:color w:val="C0504D" w:themeColor="accent2"/>
      <w:spacing w:val="5"/>
      <w:u w:val="single"/>
    </w:rPr>
  </w:style>
  <w:style w:type="character" w:styleId="BookTitle">
    <w:name w:val="Book Title"/>
    <w:basedOn w:val="DefaultParagraphFont"/>
    <w:uiPriority w:val="33"/>
    <w:qFormat/>
    <w:rsid w:val="007C165F"/>
    <w:rPr>
      <w:b/>
      <w:bCs/>
      <w:smallCaps/>
      <w:spacing w:val="5"/>
    </w:rPr>
  </w:style>
  <w:style w:type="paragraph" w:styleId="TOCHeading">
    <w:name w:val="TOC Heading"/>
    <w:basedOn w:val="Heading1"/>
    <w:next w:val="Normal"/>
    <w:uiPriority w:val="39"/>
    <w:semiHidden/>
    <w:unhideWhenUsed/>
    <w:qFormat/>
    <w:rsid w:val="007C165F"/>
    <w:pPr>
      <w:outlineLvl w:val="9"/>
    </w:pPr>
  </w:style>
  <w:style w:type="character" w:customStyle="1" w:styleId="FooterChar">
    <w:name w:val="Footer Char"/>
    <w:basedOn w:val="DefaultParagraphFont"/>
    <w:link w:val="Footer"/>
    <w:uiPriority w:val="99"/>
    <w:rsid w:val="001B6B06"/>
  </w:style>
  <w:style w:type="character" w:styleId="CommentReference">
    <w:name w:val="annotation reference"/>
    <w:basedOn w:val="DefaultParagraphFont"/>
    <w:semiHidden/>
    <w:unhideWhenUsed/>
    <w:rsid w:val="00D63F04"/>
    <w:rPr>
      <w:sz w:val="16"/>
      <w:szCs w:val="16"/>
    </w:rPr>
  </w:style>
  <w:style w:type="paragraph" w:styleId="CommentText">
    <w:name w:val="annotation text"/>
    <w:basedOn w:val="Normal"/>
    <w:link w:val="CommentTextChar"/>
    <w:semiHidden/>
    <w:unhideWhenUsed/>
    <w:rsid w:val="00D63F04"/>
    <w:pPr>
      <w:spacing w:line="240" w:lineRule="auto"/>
    </w:pPr>
    <w:rPr>
      <w:sz w:val="20"/>
      <w:szCs w:val="20"/>
    </w:rPr>
  </w:style>
  <w:style w:type="character" w:customStyle="1" w:styleId="CommentTextChar">
    <w:name w:val="Comment Text Char"/>
    <w:basedOn w:val="DefaultParagraphFont"/>
    <w:link w:val="CommentText"/>
    <w:semiHidden/>
    <w:rsid w:val="00D63F04"/>
    <w:rPr>
      <w:sz w:val="20"/>
      <w:szCs w:val="20"/>
    </w:rPr>
  </w:style>
  <w:style w:type="paragraph" w:styleId="CommentSubject">
    <w:name w:val="annotation subject"/>
    <w:basedOn w:val="CommentText"/>
    <w:next w:val="CommentText"/>
    <w:link w:val="CommentSubjectChar"/>
    <w:semiHidden/>
    <w:unhideWhenUsed/>
    <w:rsid w:val="00D63F04"/>
    <w:rPr>
      <w:b/>
      <w:bCs/>
    </w:rPr>
  </w:style>
  <w:style w:type="character" w:customStyle="1" w:styleId="CommentSubjectChar">
    <w:name w:val="Comment Subject Char"/>
    <w:basedOn w:val="CommentTextChar"/>
    <w:link w:val="CommentSubject"/>
    <w:semiHidden/>
    <w:rsid w:val="00D63F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572">
      <w:bodyDiv w:val="1"/>
      <w:marLeft w:val="60"/>
      <w:marRight w:val="60"/>
      <w:marTop w:val="60"/>
      <w:marBottom w:val="15"/>
      <w:divBdr>
        <w:top w:val="none" w:sz="0" w:space="0" w:color="auto"/>
        <w:left w:val="none" w:sz="0" w:space="0" w:color="auto"/>
        <w:bottom w:val="none" w:sz="0" w:space="0" w:color="auto"/>
        <w:right w:val="none" w:sz="0" w:space="0" w:color="auto"/>
      </w:divBdr>
      <w:divsChild>
        <w:div w:id="130952323">
          <w:marLeft w:val="0"/>
          <w:marRight w:val="0"/>
          <w:marTop w:val="0"/>
          <w:marBottom w:val="0"/>
          <w:divBdr>
            <w:top w:val="none" w:sz="0" w:space="0" w:color="auto"/>
            <w:left w:val="none" w:sz="0" w:space="0" w:color="auto"/>
            <w:bottom w:val="none" w:sz="0" w:space="0" w:color="auto"/>
            <w:right w:val="none" w:sz="0" w:space="0" w:color="auto"/>
          </w:divBdr>
        </w:div>
        <w:div w:id="135029660">
          <w:marLeft w:val="0"/>
          <w:marRight w:val="0"/>
          <w:marTop w:val="0"/>
          <w:marBottom w:val="0"/>
          <w:divBdr>
            <w:top w:val="none" w:sz="0" w:space="0" w:color="auto"/>
            <w:left w:val="none" w:sz="0" w:space="0" w:color="auto"/>
            <w:bottom w:val="none" w:sz="0" w:space="0" w:color="auto"/>
            <w:right w:val="none" w:sz="0" w:space="0" w:color="auto"/>
          </w:divBdr>
        </w:div>
        <w:div w:id="140199586">
          <w:marLeft w:val="0"/>
          <w:marRight w:val="0"/>
          <w:marTop w:val="0"/>
          <w:marBottom w:val="0"/>
          <w:divBdr>
            <w:top w:val="none" w:sz="0" w:space="0" w:color="auto"/>
            <w:left w:val="none" w:sz="0" w:space="0" w:color="auto"/>
            <w:bottom w:val="none" w:sz="0" w:space="0" w:color="auto"/>
            <w:right w:val="none" w:sz="0" w:space="0" w:color="auto"/>
          </w:divBdr>
        </w:div>
        <w:div w:id="165025019">
          <w:marLeft w:val="0"/>
          <w:marRight w:val="0"/>
          <w:marTop w:val="0"/>
          <w:marBottom w:val="0"/>
          <w:divBdr>
            <w:top w:val="none" w:sz="0" w:space="0" w:color="auto"/>
            <w:left w:val="none" w:sz="0" w:space="0" w:color="auto"/>
            <w:bottom w:val="none" w:sz="0" w:space="0" w:color="auto"/>
            <w:right w:val="none" w:sz="0" w:space="0" w:color="auto"/>
          </w:divBdr>
        </w:div>
        <w:div w:id="233275361">
          <w:marLeft w:val="0"/>
          <w:marRight w:val="0"/>
          <w:marTop w:val="0"/>
          <w:marBottom w:val="0"/>
          <w:divBdr>
            <w:top w:val="none" w:sz="0" w:space="0" w:color="auto"/>
            <w:left w:val="none" w:sz="0" w:space="0" w:color="auto"/>
            <w:bottom w:val="none" w:sz="0" w:space="0" w:color="auto"/>
            <w:right w:val="none" w:sz="0" w:space="0" w:color="auto"/>
          </w:divBdr>
        </w:div>
        <w:div w:id="236519906">
          <w:marLeft w:val="0"/>
          <w:marRight w:val="0"/>
          <w:marTop w:val="0"/>
          <w:marBottom w:val="0"/>
          <w:divBdr>
            <w:top w:val="none" w:sz="0" w:space="0" w:color="auto"/>
            <w:left w:val="none" w:sz="0" w:space="0" w:color="auto"/>
            <w:bottom w:val="none" w:sz="0" w:space="0" w:color="auto"/>
            <w:right w:val="none" w:sz="0" w:space="0" w:color="auto"/>
          </w:divBdr>
        </w:div>
        <w:div w:id="274560804">
          <w:marLeft w:val="0"/>
          <w:marRight w:val="0"/>
          <w:marTop w:val="0"/>
          <w:marBottom w:val="0"/>
          <w:divBdr>
            <w:top w:val="none" w:sz="0" w:space="0" w:color="auto"/>
            <w:left w:val="none" w:sz="0" w:space="0" w:color="auto"/>
            <w:bottom w:val="none" w:sz="0" w:space="0" w:color="auto"/>
            <w:right w:val="none" w:sz="0" w:space="0" w:color="auto"/>
          </w:divBdr>
        </w:div>
        <w:div w:id="331493830">
          <w:marLeft w:val="0"/>
          <w:marRight w:val="0"/>
          <w:marTop w:val="0"/>
          <w:marBottom w:val="0"/>
          <w:divBdr>
            <w:top w:val="none" w:sz="0" w:space="0" w:color="auto"/>
            <w:left w:val="none" w:sz="0" w:space="0" w:color="auto"/>
            <w:bottom w:val="none" w:sz="0" w:space="0" w:color="auto"/>
            <w:right w:val="none" w:sz="0" w:space="0" w:color="auto"/>
          </w:divBdr>
        </w:div>
        <w:div w:id="444538856">
          <w:marLeft w:val="0"/>
          <w:marRight w:val="0"/>
          <w:marTop w:val="0"/>
          <w:marBottom w:val="0"/>
          <w:divBdr>
            <w:top w:val="none" w:sz="0" w:space="0" w:color="auto"/>
            <w:left w:val="none" w:sz="0" w:space="0" w:color="auto"/>
            <w:bottom w:val="none" w:sz="0" w:space="0" w:color="auto"/>
            <w:right w:val="none" w:sz="0" w:space="0" w:color="auto"/>
          </w:divBdr>
        </w:div>
        <w:div w:id="513375455">
          <w:marLeft w:val="0"/>
          <w:marRight w:val="0"/>
          <w:marTop w:val="0"/>
          <w:marBottom w:val="0"/>
          <w:divBdr>
            <w:top w:val="none" w:sz="0" w:space="0" w:color="auto"/>
            <w:left w:val="none" w:sz="0" w:space="0" w:color="auto"/>
            <w:bottom w:val="none" w:sz="0" w:space="0" w:color="auto"/>
            <w:right w:val="none" w:sz="0" w:space="0" w:color="auto"/>
          </w:divBdr>
        </w:div>
        <w:div w:id="514464967">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549847490">
          <w:marLeft w:val="0"/>
          <w:marRight w:val="0"/>
          <w:marTop w:val="0"/>
          <w:marBottom w:val="0"/>
          <w:divBdr>
            <w:top w:val="none" w:sz="0" w:space="0" w:color="auto"/>
            <w:left w:val="none" w:sz="0" w:space="0" w:color="auto"/>
            <w:bottom w:val="none" w:sz="0" w:space="0" w:color="auto"/>
            <w:right w:val="none" w:sz="0" w:space="0" w:color="auto"/>
          </w:divBdr>
        </w:div>
        <w:div w:id="571158826">
          <w:marLeft w:val="0"/>
          <w:marRight w:val="0"/>
          <w:marTop w:val="0"/>
          <w:marBottom w:val="0"/>
          <w:divBdr>
            <w:top w:val="none" w:sz="0" w:space="0" w:color="auto"/>
            <w:left w:val="none" w:sz="0" w:space="0" w:color="auto"/>
            <w:bottom w:val="none" w:sz="0" w:space="0" w:color="auto"/>
            <w:right w:val="none" w:sz="0" w:space="0" w:color="auto"/>
          </w:divBdr>
        </w:div>
        <w:div w:id="734858534">
          <w:marLeft w:val="0"/>
          <w:marRight w:val="0"/>
          <w:marTop w:val="0"/>
          <w:marBottom w:val="0"/>
          <w:divBdr>
            <w:top w:val="none" w:sz="0" w:space="0" w:color="auto"/>
            <w:left w:val="none" w:sz="0" w:space="0" w:color="auto"/>
            <w:bottom w:val="none" w:sz="0" w:space="0" w:color="auto"/>
            <w:right w:val="none" w:sz="0" w:space="0" w:color="auto"/>
          </w:divBdr>
        </w:div>
        <w:div w:id="852917297">
          <w:marLeft w:val="0"/>
          <w:marRight w:val="0"/>
          <w:marTop w:val="0"/>
          <w:marBottom w:val="0"/>
          <w:divBdr>
            <w:top w:val="none" w:sz="0" w:space="0" w:color="auto"/>
            <w:left w:val="none" w:sz="0" w:space="0" w:color="auto"/>
            <w:bottom w:val="none" w:sz="0" w:space="0" w:color="auto"/>
            <w:right w:val="none" w:sz="0" w:space="0" w:color="auto"/>
          </w:divBdr>
        </w:div>
        <w:div w:id="885220769">
          <w:marLeft w:val="0"/>
          <w:marRight w:val="0"/>
          <w:marTop w:val="0"/>
          <w:marBottom w:val="0"/>
          <w:divBdr>
            <w:top w:val="none" w:sz="0" w:space="0" w:color="auto"/>
            <w:left w:val="none" w:sz="0" w:space="0" w:color="auto"/>
            <w:bottom w:val="none" w:sz="0" w:space="0" w:color="auto"/>
            <w:right w:val="none" w:sz="0" w:space="0" w:color="auto"/>
          </w:divBdr>
        </w:div>
        <w:div w:id="921719138">
          <w:marLeft w:val="0"/>
          <w:marRight w:val="0"/>
          <w:marTop w:val="0"/>
          <w:marBottom w:val="0"/>
          <w:divBdr>
            <w:top w:val="none" w:sz="0" w:space="0" w:color="auto"/>
            <w:left w:val="none" w:sz="0" w:space="0" w:color="auto"/>
            <w:bottom w:val="none" w:sz="0" w:space="0" w:color="auto"/>
            <w:right w:val="none" w:sz="0" w:space="0" w:color="auto"/>
          </w:divBdr>
        </w:div>
        <w:div w:id="1124808185">
          <w:marLeft w:val="0"/>
          <w:marRight w:val="0"/>
          <w:marTop w:val="0"/>
          <w:marBottom w:val="0"/>
          <w:divBdr>
            <w:top w:val="none" w:sz="0" w:space="0" w:color="auto"/>
            <w:left w:val="none" w:sz="0" w:space="0" w:color="auto"/>
            <w:bottom w:val="none" w:sz="0" w:space="0" w:color="auto"/>
            <w:right w:val="none" w:sz="0" w:space="0" w:color="auto"/>
          </w:divBdr>
        </w:div>
        <w:div w:id="1298149345">
          <w:marLeft w:val="0"/>
          <w:marRight w:val="0"/>
          <w:marTop w:val="0"/>
          <w:marBottom w:val="0"/>
          <w:divBdr>
            <w:top w:val="none" w:sz="0" w:space="0" w:color="auto"/>
            <w:left w:val="none" w:sz="0" w:space="0" w:color="auto"/>
            <w:bottom w:val="none" w:sz="0" w:space="0" w:color="auto"/>
            <w:right w:val="none" w:sz="0" w:space="0" w:color="auto"/>
          </w:divBdr>
        </w:div>
        <w:div w:id="1319269194">
          <w:marLeft w:val="0"/>
          <w:marRight w:val="0"/>
          <w:marTop w:val="0"/>
          <w:marBottom w:val="0"/>
          <w:divBdr>
            <w:top w:val="none" w:sz="0" w:space="0" w:color="auto"/>
            <w:left w:val="none" w:sz="0" w:space="0" w:color="auto"/>
            <w:bottom w:val="none" w:sz="0" w:space="0" w:color="auto"/>
            <w:right w:val="none" w:sz="0" w:space="0" w:color="auto"/>
          </w:divBdr>
        </w:div>
        <w:div w:id="1368215720">
          <w:marLeft w:val="0"/>
          <w:marRight w:val="0"/>
          <w:marTop w:val="0"/>
          <w:marBottom w:val="0"/>
          <w:divBdr>
            <w:top w:val="none" w:sz="0" w:space="0" w:color="auto"/>
            <w:left w:val="none" w:sz="0" w:space="0" w:color="auto"/>
            <w:bottom w:val="none" w:sz="0" w:space="0" w:color="auto"/>
            <w:right w:val="none" w:sz="0" w:space="0" w:color="auto"/>
          </w:divBdr>
        </w:div>
        <w:div w:id="1411851049">
          <w:marLeft w:val="0"/>
          <w:marRight w:val="0"/>
          <w:marTop w:val="0"/>
          <w:marBottom w:val="0"/>
          <w:divBdr>
            <w:top w:val="none" w:sz="0" w:space="0" w:color="auto"/>
            <w:left w:val="none" w:sz="0" w:space="0" w:color="auto"/>
            <w:bottom w:val="none" w:sz="0" w:space="0" w:color="auto"/>
            <w:right w:val="none" w:sz="0" w:space="0" w:color="auto"/>
          </w:divBdr>
        </w:div>
        <w:div w:id="1519932120">
          <w:marLeft w:val="0"/>
          <w:marRight w:val="0"/>
          <w:marTop w:val="0"/>
          <w:marBottom w:val="0"/>
          <w:divBdr>
            <w:top w:val="none" w:sz="0" w:space="0" w:color="auto"/>
            <w:left w:val="none" w:sz="0" w:space="0" w:color="auto"/>
            <w:bottom w:val="none" w:sz="0" w:space="0" w:color="auto"/>
            <w:right w:val="none" w:sz="0" w:space="0" w:color="auto"/>
          </w:divBdr>
        </w:div>
        <w:div w:id="1557472255">
          <w:marLeft w:val="0"/>
          <w:marRight w:val="0"/>
          <w:marTop w:val="0"/>
          <w:marBottom w:val="0"/>
          <w:divBdr>
            <w:top w:val="none" w:sz="0" w:space="0" w:color="auto"/>
            <w:left w:val="none" w:sz="0" w:space="0" w:color="auto"/>
            <w:bottom w:val="none" w:sz="0" w:space="0" w:color="auto"/>
            <w:right w:val="none" w:sz="0" w:space="0" w:color="auto"/>
          </w:divBdr>
        </w:div>
        <w:div w:id="1582105048">
          <w:marLeft w:val="0"/>
          <w:marRight w:val="0"/>
          <w:marTop w:val="0"/>
          <w:marBottom w:val="0"/>
          <w:divBdr>
            <w:top w:val="none" w:sz="0" w:space="0" w:color="auto"/>
            <w:left w:val="none" w:sz="0" w:space="0" w:color="auto"/>
            <w:bottom w:val="none" w:sz="0" w:space="0" w:color="auto"/>
            <w:right w:val="none" w:sz="0" w:space="0" w:color="auto"/>
          </w:divBdr>
        </w:div>
        <w:div w:id="1710063345">
          <w:marLeft w:val="0"/>
          <w:marRight w:val="0"/>
          <w:marTop w:val="0"/>
          <w:marBottom w:val="0"/>
          <w:divBdr>
            <w:top w:val="none" w:sz="0" w:space="0" w:color="auto"/>
            <w:left w:val="none" w:sz="0" w:space="0" w:color="auto"/>
            <w:bottom w:val="none" w:sz="0" w:space="0" w:color="auto"/>
            <w:right w:val="none" w:sz="0" w:space="0" w:color="auto"/>
          </w:divBdr>
        </w:div>
        <w:div w:id="1752772614">
          <w:marLeft w:val="0"/>
          <w:marRight w:val="0"/>
          <w:marTop w:val="0"/>
          <w:marBottom w:val="0"/>
          <w:divBdr>
            <w:top w:val="none" w:sz="0" w:space="0" w:color="auto"/>
            <w:left w:val="none" w:sz="0" w:space="0" w:color="auto"/>
            <w:bottom w:val="none" w:sz="0" w:space="0" w:color="auto"/>
            <w:right w:val="none" w:sz="0" w:space="0" w:color="auto"/>
          </w:divBdr>
        </w:div>
        <w:div w:id="1813214408">
          <w:marLeft w:val="0"/>
          <w:marRight w:val="0"/>
          <w:marTop w:val="0"/>
          <w:marBottom w:val="0"/>
          <w:divBdr>
            <w:top w:val="none" w:sz="0" w:space="0" w:color="auto"/>
            <w:left w:val="none" w:sz="0" w:space="0" w:color="auto"/>
            <w:bottom w:val="none" w:sz="0" w:space="0" w:color="auto"/>
            <w:right w:val="none" w:sz="0" w:space="0" w:color="auto"/>
          </w:divBdr>
        </w:div>
        <w:div w:id="1819223066">
          <w:marLeft w:val="0"/>
          <w:marRight w:val="0"/>
          <w:marTop w:val="0"/>
          <w:marBottom w:val="0"/>
          <w:divBdr>
            <w:top w:val="none" w:sz="0" w:space="0" w:color="auto"/>
            <w:left w:val="none" w:sz="0" w:space="0" w:color="auto"/>
            <w:bottom w:val="none" w:sz="0" w:space="0" w:color="auto"/>
            <w:right w:val="none" w:sz="0" w:space="0" w:color="auto"/>
          </w:divBdr>
        </w:div>
        <w:div w:id="1850943744">
          <w:marLeft w:val="0"/>
          <w:marRight w:val="0"/>
          <w:marTop w:val="0"/>
          <w:marBottom w:val="0"/>
          <w:divBdr>
            <w:top w:val="none" w:sz="0" w:space="0" w:color="auto"/>
            <w:left w:val="none" w:sz="0" w:space="0" w:color="auto"/>
            <w:bottom w:val="none" w:sz="0" w:space="0" w:color="auto"/>
            <w:right w:val="none" w:sz="0" w:space="0" w:color="auto"/>
          </w:divBdr>
        </w:div>
        <w:div w:id="1886482137">
          <w:marLeft w:val="0"/>
          <w:marRight w:val="0"/>
          <w:marTop w:val="0"/>
          <w:marBottom w:val="0"/>
          <w:divBdr>
            <w:top w:val="none" w:sz="0" w:space="0" w:color="auto"/>
            <w:left w:val="none" w:sz="0" w:space="0" w:color="auto"/>
            <w:bottom w:val="none" w:sz="0" w:space="0" w:color="auto"/>
            <w:right w:val="none" w:sz="0" w:space="0" w:color="auto"/>
          </w:divBdr>
        </w:div>
        <w:div w:id="1978029152">
          <w:marLeft w:val="0"/>
          <w:marRight w:val="0"/>
          <w:marTop w:val="0"/>
          <w:marBottom w:val="0"/>
          <w:divBdr>
            <w:top w:val="none" w:sz="0" w:space="0" w:color="auto"/>
            <w:left w:val="none" w:sz="0" w:space="0" w:color="auto"/>
            <w:bottom w:val="none" w:sz="0" w:space="0" w:color="auto"/>
            <w:right w:val="none" w:sz="0" w:space="0" w:color="auto"/>
          </w:divBdr>
        </w:div>
        <w:div w:id="2045397593">
          <w:marLeft w:val="0"/>
          <w:marRight w:val="0"/>
          <w:marTop w:val="0"/>
          <w:marBottom w:val="0"/>
          <w:divBdr>
            <w:top w:val="none" w:sz="0" w:space="0" w:color="auto"/>
            <w:left w:val="none" w:sz="0" w:space="0" w:color="auto"/>
            <w:bottom w:val="none" w:sz="0" w:space="0" w:color="auto"/>
            <w:right w:val="none" w:sz="0" w:space="0" w:color="auto"/>
          </w:divBdr>
        </w:div>
      </w:divsChild>
    </w:div>
    <w:div w:id="148258125">
      <w:bodyDiv w:val="1"/>
      <w:marLeft w:val="0"/>
      <w:marRight w:val="0"/>
      <w:marTop w:val="0"/>
      <w:marBottom w:val="0"/>
      <w:divBdr>
        <w:top w:val="none" w:sz="0" w:space="0" w:color="auto"/>
        <w:left w:val="none" w:sz="0" w:space="0" w:color="auto"/>
        <w:bottom w:val="none" w:sz="0" w:space="0" w:color="auto"/>
        <w:right w:val="none" w:sz="0" w:space="0" w:color="auto"/>
      </w:divBdr>
    </w:div>
    <w:div w:id="507446586">
      <w:bodyDiv w:val="1"/>
      <w:marLeft w:val="0"/>
      <w:marRight w:val="0"/>
      <w:marTop w:val="0"/>
      <w:marBottom w:val="0"/>
      <w:divBdr>
        <w:top w:val="none" w:sz="0" w:space="0" w:color="auto"/>
        <w:left w:val="none" w:sz="0" w:space="0" w:color="auto"/>
        <w:bottom w:val="none" w:sz="0" w:space="0" w:color="auto"/>
        <w:right w:val="none" w:sz="0" w:space="0" w:color="auto"/>
      </w:divBdr>
    </w:div>
    <w:div w:id="556091595">
      <w:bodyDiv w:val="1"/>
      <w:marLeft w:val="0"/>
      <w:marRight w:val="0"/>
      <w:marTop w:val="0"/>
      <w:marBottom w:val="0"/>
      <w:divBdr>
        <w:top w:val="none" w:sz="0" w:space="0" w:color="auto"/>
        <w:left w:val="none" w:sz="0" w:space="0" w:color="auto"/>
        <w:bottom w:val="none" w:sz="0" w:space="0" w:color="auto"/>
        <w:right w:val="none" w:sz="0" w:space="0" w:color="auto"/>
      </w:divBdr>
    </w:div>
    <w:div w:id="569192947">
      <w:bodyDiv w:val="1"/>
      <w:marLeft w:val="0"/>
      <w:marRight w:val="0"/>
      <w:marTop w:val="0"/>
      <w:marBottom w:val="0"/>
      <w:divBdr>
        <w:top w:val="none" w:sz="0" w:space="0" w:color="auto"/>
        <w:left w:val="none" w:sz="0" w:space="0" w:color="auto"/>
        <w:bottom w:val="none" w:sz="0" w:space="0" w:color="auto"/>
        <w:right w:val="none" w:sz="0" w:space="0" w:color="auto"/>
      </w:divBdr>
    </w:div>
    <w:div w:id="617833075">
      <w:bodyDiv w:val="1"/>
      <w:marLeft w:val="0"/>
      <w:marRight w:val="0"/>
      <w:marTop w:val="0"/>
      <w:marBottom w:val="0"/>
      <w:divBdr>
        <w:top w:val="none" w:sz="0" w:space="0" w:color="auto"/>
        <w:left w:val="none" w:sz="0" w:space="0" w:color="auto"/>
        <w:bottom w:val="none" w:sz="0" w:space="0" w:color="auto"/>
        <w:right w:val="none" w:sz="0" w:space="0" w:color="auto"/>
      </w:divBdr>
    </w:div>
    <w:div w:id="799149858">
      <w:bodyDiv w:val="1"/>
      <w:marLeft w:val="0"/>
      <w:marRight w:val="0"/>
      <w:marTop w:val="0"/>
      <w:marBottom w:val="0"/>
      <w:divBdr>
        <w:top w:val="none" w:sz="0" w:space="0" w:color="auto"/>
        <w:left w:val="none" w:sz="0" w:space="0" w:color="auto"/>
        <w:bottom w:val="none" w:sz="0" w:space="0" w:color="auto"/>
        <w:right w:val="none" w:sz="0" w:space="0" w:color="auto"/>
      </w:divBdr>
    </w:div>
    <w:div w:id="846596447">
      <w:bodyDiv w:val="1"/>
      <w:marLeft w:val="0"/>
      <w:marRight w:val="0"/>
      <w:marTop w:val="0"/>
      <w:marBottom w:val="0"/>
      <w:divBdr>
        <w:top w:val="none" w:sz="0" w:space="0" w:color="auto"/>
        <w:left w:val="none" w:sz="0" w:space="0" w:color="auto"/>
        <w:bottom w:val="none" w:sz="0" w:space="0" w:color="auto"/>
        <w:right w:val="none" w:sz="0" w:space="0" w:color="auto"/>
      </w:divBdr>
    </w:div>
    <w:div w:id="1491678343">
      <w:bodyDiv w:val="1"/>
      <w:marLeft w:val="60"/>
      <w:marRight w:val="60"/>
      <w:marTop w:val="60"/>
      <w:marBottom w:val="15"/>
      <w:divBdr>
        <w:top w:val="none" w:sz="0" w:space="0" w:color="auto"/>
        <w:left w:val="none" w:sz="0" w:space="0" w:color="auto"/>
        <w:bottom w:val="none" w:sz="0" w:space="0" w:color="auto"/>
        <w:right w:val="none" w:sz="0" w:space="0" w:color="auto"/>
      </w:divBdr>
      <w:divsChild>
        <w:div w:id="6180454">
          <w:marLeft w:val="0"/>
          <w:marRight w:val="0"/>
          <w:marTop w:val="0"/>
          <w:marBottom w:val="0"/>
          <w:divBdr>
            <w:top w:val="none" w:sz="0" w:space="0" w:color="auto"/>
            <w:left w:val="none" w:sz="0" w:space="0" w:color="auto"/>
            <w:bottom w:val="none" w:sz="0" w:space="0" w:color="auto"/>
            <w:right w:val="none" w:sz="0" w:space="0" w:color="auto"/>
          </w:divBdr>
        </w:div>
        <w:div w:id="48652241">
          <w:marLeft w:val="0"/>
          <w:marRight w:val="0"/>
          <w:marTop w:val="0"/>
          <w:marBottom w:val="0"/>
          <w:divBdr>
            <w:top w:val="none" w:sz="0" w:space="0" w:color="auto"/>
            <w:left w:val="none" w:sz="0" w:space="0" w:color="auto"/>
            <w:bottom w:val="none" w:sz="0" w:space="0" w:color="auto"/>
            <w:right w:val="none" w:sz="0" w:space="0" w:color="auto"/>
          </w:divBdr>
        </w:div>
        <w:div w:id="75983683">
          <w:marLeft w:val="0"/>
          <w:marRight w:val="0"/>
          <w:marTop w:val="0"/>
          <w:marBottom w:val="0"/>
          <w:divBdr>
            <w:top w:val="none" w:sz="0" w:space="0" w:color="auto"/>
            <w:left w:val="none" w:sz="0" w:space="0" w:color="auto"/>
            <w:bottom w:val="none" w:sz="0" w:space="0" w:color="auto"/>
            <w:right w:val="none" w:sz="0" w:space="0" w:color="auto"/>
          </w:divBdr>
        </w:div>
        <w:div w:id="264308144">
          <w:marLeft w:val="0"/>
          <w:marRight w:val="0"/>
          <w:marTop w:val="0"/>
          <w:marBottom w:val="0"/>
          <w:divBdr>
            <w:top w:val="none" w:sz="0" w:space="0" w:color="auto"/>
            <w:left w:val="none" w:sz="0" w:space="0" w:color="auto"/>
            <w:bottom w:val="none" w:sz="0" w:space="0" w:color="auto"/>
            <w:right w:val="none" w:sz="0" w:space="0" w:color="auto"/>
          </w:divBdr>
        </w:div>
        <w:div w:id="320622269">
          <w:marLeft w:val="0"/>
          <w:marRight w:val="0"/>
          <w:marTop w:val="0"/>
          <w:marBottom w:val="0"/>
          <w:divBdr>
            <w:top w:val="none" w:sz="0" w:space="0" w:color="auto"/>
            <w:left w:val="none" w:sz="0" w:space="0" w:color="auto"/>
            <w:bottom w:val="none" w:sz="0" w:space="0" w:color="auto"/>
            <w:right w:val="none" w:sz="0" w:space="0" w:color="auto"/>
          </w:divBdr>
        </w:div>
        <w:div w:id="379676130">
          <w:marLeft w:val="0"/>
          <w:marRight w:val="0"/>
          <w:marTop w:val="0"/>
          <w:marBottom w:val="0"/>
          <w:divBdr>
            <w:top w:val="none" w:sz="0" w:space="0" w:color="auto"/>
            <w:left w:val="none" w:sz="0" w:space="0" w:color="auto"/>
            <w:bottom w:val="none" w:sz="0" w:space="0" w:color="auto"/>
            <w:right w:val="none" w:sz="0" w:space="0" w:color="auto"/>
          </w:divBdr>
        </w:div>
        <w:div w:id="433013661">
          <w:marLeft w:val="0"/>
          <w:marRight w:val="0"/>
          <w:marTop w:val="0"/>
          <w:marBottom w:val="0"/>
          <w:divBdr>
            <w:top w:val="none" w:sz="0" w:space="0" w:color="auto"/>
            <w:left w:val="none" w:sz="0" w:space="0" w:color="auto"/>
            <w:bottom w:val="none" w:sz="0" w:space="0" w:color="auto"/>
            <w:right w:val="none" w:sz="0" w:space="0" w:color="auto"/>
          </w:divBdr>
        </w:div>
        <w:div w:id="491798577">
          <w:marLeft w:val="0"/>
          <w:marRight w:val="0"/>
          <w:marTop w:val="0"/>
          <w:marBottom w:val="0"/>
          <w:divBdr>
            <w:top w:val="none" w:sz="0" w:space="0" w:color="auto"/>
            <w:left w:val="none" w:sz="0" w:space="0" w:color="auto"/>
            <w:bottom w:val="none" w:sz="0" w:space="0" w:color="auto"/>
            <w:right w:val="none" w:sz="0" w:space="0" w:color="auto"/>
          </w:divBdr>
        </w:div>
        <w:div w:id="533082959">
          <w:marLeft w:val="0"/>
          <w:marRight w:val="0"/>
          <w:marTop w:val="0"/>
          <w:marBottom w:val="0"/>
          <w:divBdr>
            <w:top w:val="none" w:sz="0" w:space="0" w:color="auto"/>
            <w:left w:val="none" w:sz="0" w:space="0" w:color="auto"/>
            <w:bottom w:val="none" w:sz="0" w:space="0" w:color="auto"/>
            <w:right w:val="none" w:sz="0" w:space="0" w:color="auto"/>
          </w:divBdr>
        </w:div>
        <w:div w:id="549615924">
          <w:marLeft w:val="0"/>
          <w:marRight w:val="0"/>
          <w:marTop w:val="0"/>
          <w:marBottom w:val="0"/>
          <w:divBdr>
            <w:top w:val="none" w:sz="0" w:space="0" w:color="auto"/>
            <w:left w:val="none" w:sz="0" w:space="0" w:color="auto"/>
            <w:bottom w:val="none" w:sz="0" w:space="0" w:color="auto"/>
            <w:right w:val="none" w:sz="0" w:space="0" w:color="auto"/>
          </w:divBdr>
        </w:div>
        <w:div w:id="693576273">
          <w:marLeft w:val="0"/>
          <w:marRight w:val="0"/>
          <w:marTop w:val="0"/>
          <w:marBottom w:val="0"/>
          <w:divBdr>
            <w:top w:val="none" w:sz="0" w:space="0" w:color="auto"/>
            <w:left w:val="none" w:sz="0" w:space="0" w:color="auto"/>
            <w:bottom w:val="none" w:sz="0" w:space="0" w:color="auto"/>
            <w:right w:val="none" w:sz="0" w:space="0" w:color="auto"/>
          </w:divBdr>
        </w:div>
        <w:div w:id="733507878">
          <w:marLeft w:val="0"/>
          <w:marRight w:val="0"/>
          <w:marTop w:val="0"/>
          <w:marBottom w:val="0"/>
          <w:divBdr>
            <w:top w:val="none" w:sz="0" w:space="0" w:color="auto"/>
            <w:left w:val="none" w:sz="0" w:space="0" w:color="auto"/>
            <w:bottom w:val="none" w:sz="0" w:space="0" w:color="auto"/>
            <w:right w:val="none" w:sz="0" w:space="0" w:color="auto"/>
          </w:divBdr>
        </w:div>
        <w:div w:id="738329561">
          <w:marLeft w:val="0"/>
          <w:marRight w:val="0"/>
          <w:marTop w:val="0"/>
          <w:marBottom w:val="0"/>
          <w:divBdr>
            <w:top w:val="none" w:sz="0" w:space="0" w:color="auto"/>
            <w:left w:val="none" w:sz="0" w:space="0" w:color="auto"/>
            <w:bottom w:val="none" w:sz="0" w:space="0" w:color="auto"/>
            <w:right w:val="none" w:sz="0" w:space="0" w:color="auto"/>
          </w:divBdr>
        </w:div>
        <w:div w:id="766539687">
          <w:marLeft w:val="0"/>
          <w:marRight w:val="0"/>
          <w:marTop w:val="0"/>
          <w:marBottom w:val="0"/>
          <w:divBdr>
            <w:top w:val="none" w:sz="0" w:space="0" w:color="auto"/>
            <w:left w:val="none" w:sz="0" w:space="0" w:color="auto"/>
            <w:bottom w:val="none" w:sz="0" w:space="0" w:color="auto"/>
            <w:right w:val="none" w:sz="0" w:space="0" w:color="auto"/>
          </w:divBdr>
        </w:div>
        <w:div w:id="814761948">
          <w:marLeft w:val="0"/>
          <w:marRight w:val="0"/>
          <w:marTop w:val="0"/>
          <w:marBottom w:val="0"/>
          <w:divBdr>
            <w:top w:val="none" w:sz="0" w:space="0" w:color="auto"/>
            <w:left w:val="none" w:sz="0" w:space="0" w:color="auto"/>
            <w:bottom w:val="none" w:sz="0" w:space="0" w:color="auto"/>
            <w:right w:val="none" w:sz="0" w:space="0" w:color="auto"/>
          </w:divBdr>
        </w:div>
        <w:div w:id="897323485">
          <w:marLeft w:val="0"/>
          <w:marRight w:val="0"/>
          <w:marTop w:val="0"/>
          <w:marBottom w:val="0"/>
          <w:divBdr>
            <w:top w:val="none" w:sz="0" w:space="0" w:color="auto"/>
            <w:left w:val="none" w:sz="0" w:space="0" w:color="auto"/>
            <w:bottom w:val="none" w:sz="0" w:space="0" w:color="auto"/>
            <w:right w:val="none" w:sz="0" w:space="0" w:color="auto"/>
          </w:divBdr>
        </w:div>
        <w:div w:id="956451479">
          <w:marLeft w:val="0"/>
          <w:marRight w:val="0"/>
          <w:marTop w:val="0"/>
          <w:marBottom w:val="0"/>
          <w:divBdr>
            <w:top w:val="none" w:sz="0" w:space="0" w:color="auto"/>
            <w:left w:val="none" w:sz="0" w:space="0" w:color="auto"/>
            <w:bottom w:val="none" w:sz="0" w:space="0" w:color="auto"/>
            <w:right w:val="none" w:sz="0" w:space="0" w:color="auto"/>
          </w:divBdr>
        </w:div>
        <w:div w:id="1027292865">
          <w:marLeft w:val="0"/>
          <w:marRight w:val="0"/>
          <w:marTop w:val="0"/>
          <w:marBottom w:val="0"/>
          <w:divBdr>
            <w:top w:val="none" w:sz="0" w:space="0" w:color="auto"/>
            <w:left w:val="none" w:sz="0" w:space="0" w:color="auto"/>
            <w:bottom w:val="none" w:sz="0" w:space="0" w:color="auto"/>
            <w:right w:val="none" w:sz="0" w:space="0" w:color="auto"/>
          </w:divBdr>
        </w:div>
        <w:div w:id="1049381007">
          <w:marLeft w:val="0"/>
          <w:marRight w:val="0"/>
          <w:marTop w:val="0"/>
          <w:marBottom w:val="0"/>
          <w:divBdr>
            <w:top w:val="none" w:sz="0" w:space="0" w:color="auto"/>
            <w:left w:val="none" w:sz="0" w:space="0" w:color="auto"/>
            <w:bottom w:val="none" w:sz="0" w:space="0" w:color="auto"/>
            <w:right w:val="none" w:sz="0" w:space="0" w:color="auto"/>
          </w:divBdr>
        </w:div>
        <w:div w:id="1226143700">
          <w:marLeft w:val="0"/>
          <w:marRight w:val="0"/>
          <w:marTop w:val="0"/>
          <w:marBottom w:val="0"/>
          <w:divBdr>
            <w:top w:val="none" w:sz="0" w:space="0" w:color="auto"/>
            <w:left w:val="none" w:sz="0" w:space="0" w:color="auto"/>
            <w:bottom w:val="none" w:sz="0" w:space="0" w:color="auto"/>
            <w:right w:val="none" w:sz="0" w:space="0" w:color="auto"/>
          </w:divBdr>
        </w:div>
        <w:div w:id="1273366763">
          <w:marLeft w:val="0"/>
          <w:marRight w:val="0"/>
          <w:marTop w:val="0"/>
          <w:marBottom w:val="0"/>
          <w:divBdr>
            <w:top w:val="none" w:sz="0" w:space="0" w:color="auto"/>
            <w:left w:val="none" w:sz="0" w:space="0" w:color="auto"/>
            <w:bottom w:val="none" w:sz="0" w:space="0" w:color="auto"/>
            <w:right w:val="none" w:sz="0" w:space="0" w:color="auto"/>
          </w:divBdr>
        </w:div>
        <w:div w:id="1293752070">
          <w:marLeft w:val="0"/>
          <w:marRight w:val="0"/>
          <w:marTop w:val="0"/>
          <w:marBottom w:val="0"/>
          <w:divBdr>
            <w:top w:val="none" w:sz="0" w:space="0" w:color="auto"/>
            <w:left w:val="none" w:sz="0" w:space="0" w:color="auto"/>
            <w:bottom w:val="none" w:sz="0" w:space="0" w:color="auto"/>
            <w:right w:val="none" w:sz="0" w:space="0" w:color="auto"/>
          </w:divBdr>
        </w:div>
        <w:div w:id="1295713079">
          <w:marLeft w:val="0"/>
          <w:marRight w:val="0"/>
          <w:marTop w:val="0"/>
          <w:marBottom w:val="0"/>
          <w:divBdr>
            <w:top w:val="none" w:sz="0" w:space="0" w:color="auto"/>
            <w:left w:val="none" w:sz="0" w:space="0" w:color="auto"/>
            <w:bottom w:val="none" w:sz="0" w:space="0" w:color="auto"/>
            <w:right w:val="none" w:sz="0" w:space="0" w:color="auto"/>
          </w:divBdr>
        </w:div>
        <w:div w:id="1302806349">
          <w:marLeft w:val="0"/>
          <w:marRight w:val="0"/>
          <w:marTop w:val="0"/>
          <w:marBottom w:val="0"/>
          <w:divBdr>
            <w:top w:val="none" w:sz="0" w:space="0" w:color="auto"/>
            <w:left w:val="none" w:sz="0" w:space="0" w:color="auto"/>
            <w:bottom w:val="none" w:sz="0" w:space="0" w:color="auto"/>
            <w:right w:val="none" w:sz="0" w:space="0" w:color="auto"/>
          </w:divBdr>
        </w:div>
        <w:div w:id="1509902587">
          <w:marLeft w:val="0"/>
          <w:marRight w:val="0"/>
          <w:marTop w:val="0"/>
          <w:marBottom w:val="0"/>
          <w:divBdr>
            <w:top w:val="none" w:sz="0" w:space="0" w:color="auto"/>
            <w:left w:val="none" w:sz="0" w:space="0" w:color="auto"/>
            <w:bottom w:val="none" w:sz="0" w:space="0" w:color="auto"/>
            <w:right w:val="none" w:sz="0" w:space="0" w:color="auto"/>
          </w:divBdr>
        </w:div>
        <w:div w:id="1553730171">
          <w:marLeft w:val="0"/>
          <w:marRight w:val="0"/>
          <w:marTop w:val="0"/>
          <w:marBottom w:val="0"/>
          <w:divBdr>
            <w:top w:val="none" w:sz="0" w:space="0" w:color="auto"/>
            <w:left w:val="none" w:sz="0" w:space="0" w:color="auto"/>
            <w:bottom w:val="none" w:sz="0" w:space="0" w:color="auto"/>
            <w:right w:val="none" w:sz="0" w:space="0" w:color="auto"/>
          </w:divBdr>
        </w:div>
        <w:div w:id="1627736823">
          <w:marLeft w:val="0"/>
          <w:marRight w:val="0"/>
          <w:marTop w:val="0"/>
          <w:marBottom w:val="0"/>
          <w:divBdr>
            <w:top w:val="none" w:sz="0" w:space="0" w:color="auto"/>
            <w:left w:val="none" w:sz="0" w:space="0" w:color="auto"/>
            <w:bottom w:val="none" w:sz="0" w:space="0" w:color="auto"/>
            <w:right w:val="none" w:sz="0" w:space="0" w:color="auto"/>
          </w:divBdr>
        </w:div>
        <w:div w:id="1653365614">
          <w:marLeft w:val="0"/>
          <w:marRight w:val="0"/>
          <w:marTop w:val="0"/>
          <w:marBottom w:val="0"/>
          <w:divBdr>
            <w:top w:val="none" w:sz="0" w:space="0" w:color="auto"/>
            <w:left w:val="none" w:sz="0" w:space="0" w:color="auto"/>
            <w:bottom w:val="none" w:sz="0" w:space="0" w:color="auto"/>
            <w:right w:val="none" w:sz="0" w:space="0" w:color="auto"/>
          </w:divBdr>
        </w:div>
        <w:div w:id="1741712463">
          <w:marLeft w:val="0"/>
          <w:marRight w:val="0"/>
          <w:marTop w:val="0"/>
          <w:marBottom w:val="0"/>
          <w:divBdr>
            <w:top w:val="none" w:sz="0" w:space="0" w:color="auto"/>
            <w:left w:val="none" w:sz="0" w:space="0" w:color="auto"/>
            <w:bottom w:val="none" w:sz="0" w:space="0" w:color="auto"/>
            <w:right w:val="none" w:sz="0" w:space="0" w:color="auto"/>
          </w:divBdr>
        </w:div>
        <w:div w:id="1887374909">
          <w:marLeft w:val="0"/>
          <w:marRight w:val="0"/>
          <w:marTop w:val="0"/>
          <w:marBottom w:val="0"/>
          <w:divBdr>
            <w:top w:val="none" w:sz="0" w:space="0" w:color="auto"/>
            <w:left w:val="none" w:sz="0" w:space="0" w:color="auto"/>
            <w:bottom w:val="none" w:sz="0" w:space="0" w:color="auto"/>
            <w:right w:val="none" w:sz="0" w:space="0" w:color="auto"/>
          </w:divBdr>
        </w:div>
        <w:div w:id="1951157452">
          <w:marLeft w:val="0"/>
          <w:marRight w:val="0"/>
          <w:marTop w:val="0"/>
          <w:marBottom w:val="0"/>
          <w:divBdr>
            <w:top w:val="none" w:sz="0" w:space="0" w:color="auto"/>
            <w:left w:val="none" w:sz="0" w:space="0" w:color="auto"/>
            <w:bottom w:val="none" w:sz="0" w:space="0" w:color="auto"/>
            <w:right w:val="none" w:sz="0" w:space="0" w:color="auto"/>
          </w:divBdr>
        </w:div>
        <w:div w:id="2075657967">
          <w:marLeft w:val="0"/>
          <w:marRight w:val="0"/>
          <w:marTop w:val="0"/>
          <w:marBottom w:val="0"/>
          <w:divBdr>
            <w:top w:val="none" w:sz="0" w:space="0" w:color="auto"/>
            <w:left w:val="none" w:sz="0" w:space="0" w:color="auto"/>
            <w:bottom w:val="none" w:sz="0" w:space="0" w:color="auto"/>
            <w:right w:val="none" w:sz="0" w:space="0" w:color="auto"/>
          </w:divBdr>
        </w:div>
        <w:div w:id="2090153335">
          <w:marLeft w:val="0"/>
          <w:marRight w:val="0"/>
          <w:marTop w:val="0"/>
          <w:marBottom w:val="0"/>
          <w:divBdr>
            <w:top w:val="none" w:sz="0" w:space="0" w:color="auto"/>
            <w:left w:val="none" w:sz="0" w:space="0" w:color="auto"/>
            <w:bottom w:val="none" w:sz="0" w:space="0" w:color="auto"/>
            <w:right w:val="none" w:sz="0" w:space="0" w:color="auto"/>
          </w:divBdr>
        </w:div>
        <w:div w:id="2134706714">
          <w:marLeft w:val="0"/>
          <w:marRight w:val="0"/>
          <w:marTop w:val="0"/>
          <w:marBottom w:val="0"/>
          <w:divBdr>
            <w:top w:val="none" w:sz="0" w:space="0" w:color="auto"/>
            <w:left w:val="none" w:sz="0" w:space="0" w:color="auto"/>
            <w:bottom w:val="none" w:sz="0" w:space="0" w:color="auto"/>
            <w:right w:val="none" w:sz="0" w:space="0" w:color="auto"/>
          </w:divBdr>
        </w:div>
      </w:divsChild>
    </w:div>
    <w:div w:id="1580869024">
      <w:bodyDiv w:val="1"/>
      <w:marLeft w:val="0"/>
      <w:marRight w:val="0"/>
      <w:marTop w:val="0"/>
      <w:marBottom w:val="0"/>
      <w:divBdr>
        <w:top w:val="none" w:sz="0" w:space="0" w:color="auto"/>
        <w:left w:val="none" w:sz="0" w:space="0" w:color="auto"/>
        <w:bottom w:val="none" w:sz="0" w:space="0" w:color="auto"/>
        <w:right w:val="none" w:sz="0" w:space="0" w:color="auto"/>
      </w:divBdr>
    </w:div>
    <w:div w:id="1581252783">
      <w:bodyDiv w:val="1"/>
      <w:marLeft w:val="0"/>
      <w:marRight w:val="0"/>
      <w:marTop w:val="0"/>
      <w:marBottom w:val="0"/>
      <w:divBdr>
        <w:top w:val="none" w:sz="0" w:space="0" w:color="auto"/>
        <w:left w:val="none" w:sz="0" w:space="0" w:color="auto"/>
        <w:bottom w:val="none" w:sz="0" w:space="0" w:color="auto"/>
        <w:right w:val="none" w:sz="0" w:space="0" w:color="auto"/>
      </w:divBdr>
    </w:div>
    <w:div w:id="1588879076">
      <w:bodyDiv w:val="1"/>
      <w:marLeft w:val="0"/>
      <w:marRight w:val="0"/>
      <w:marTop w:val="0"/>
      <w:marBottom w:val="0"/>
      <w:divBdr>
        <w:top w:val="none" w:sz="0" w:space="0" w:color="auto"/>
        <w:left w:val="none" w:sz="0" w:space="0" w:color="auto"/>
        <w:bottom w:val="none" w:sz="0" w:space="0" w:color="auto"/>
        <w:right w:val="none" w:sz="0" w:space="0" w:color="auto"/>
      </w:divBdr>
    </w:div>
    <w:div w:id="1724938557">
      <w:bodyDiv w:val="1"/>
      <w:marLeft w:val="0"/>
      <w:marRight w:val="0"/>
      <w:marTop w:val="0"/>
      <w:marBottom w:val="0"/>
      <w:divBdr>
        <w:top w:val="none" w:sz="0" w:space="0" w:color="auto"/>
        <w:left w:val="none" w:sz="0" w:space="0" w:color="auto"/>
        <w:bottom w:val="none" w:sz="0" w:space="0" w:color="auto"/>
        <w:right w:val="none" w:sz="0" w:space="0" w:color="auto"/>
      </w:divBdr>
    </w:div>
    <w:div w:id="1728409520">
      <w:bodyDiv w:val="1"/>
      <w:marLeft w:val="0"/>
      <w:marRight w:val="0"/>
      <w:marTop w:val="0"/>
      <w:marBottom w:val="0"/>
      <w:divBdr>
        <w:top w:val="none" w:sz="0" w:space="0" w:color="auto"/>
        <w:left w:val="none" w:sz="0" w:space="0" w:color="auto"/>
        <w:bottom w:val="none" w:sz="0" w:space="0" w:color="auto"/>
        <w:right w:val="none" w:sz="0" w:space="0" w:color="auto"/>
      </w:divBdr>
    </w:div>
    <w:div w:id="19814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mn.gov/deed/data/export-sta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0380268642890226"/>
          <c:y val="7.4480612603836885E-2"/>
          <c:w val="0.56206681698022598"/>
          <c:h val="0.83368846499821314"/>
        </c:manualLayout>
      </c:layout>
      <c:pieChart>
        <c:varyColors val="1"/>
        <c:ser>
          <c:idx val="0"/>
          <c:order val="0"/>
          <c:tx>
            <c:strRef>
              <c:f>Sheet1!$B$1</c:f>
              <c:strCache>
                <c:ptCount val="1"/>
                <c:pt idx="0">
                  <c:v> Exports, 2024-Q1 </c:v>
                </c:pt>
              </c:strCache>
            </c:strRef>
          </c:tx>
          <c:spPr>
            <a:ln>
              <a:solidFill>
                <a:schemeClr val="tx1">
                  <a:lumMod val="65000"/>
                  <a:lumOff val="35000"/>
                </a:schemeClr>
              </a:solidFill>
            </a:ln>
          </c:spPr>
          <c:dPt>
            <c:idx val="0"/>
            <c:bubble3D val="0"/>
            <c:spPr>
              <a:solidFill>
                <a:schemeClr val="accent6">
                  <a:shade val="42000"/>
                </a:schemeClr>
              </a:solidFill>
              <a:ln>
                <a:solidFill>
                  <a:schemeClr val="tx1">
                    <a:lumMod val="65000"/>
                    <a:lumOff val="35000"/>
                  </a:schemeClr>
                </a:solidFill>
              </a:ln>
              <a:effectLst/>
            </c:spPr>
            <c:extLst>
              <c:ext xmlns:c16="http://schemas.microsoft.com/office/drawing/2014/chart" uri="{C3380CC4-5D6E-409C-BE32-E72D297353CC}">
                <c16:uniqueId val="{00000001-B9C1-427F-A70D-31B58FB49008}"/>
              </c:ext>
            </c:extLst>
          </c:dPt>
          <c:dPt>
            <c:idx val="1"/>
            <c:bubble3D val="0"/>
            <c:spPr>
              <a:solidFill>
                <a:schemeClr val="accent6">
                  <a:shade val="55000"/>
                </a:schemeClr>
              </a:solidFill>
              <a:ln>
                <a:solidFill>
                  <a:schemeClr val="tx1">
                    <a:lumMod val="65000"/>
                    <a:lumOff val="35000"/>
                  </a:schemeClr>
                </a:solidFill>
              </a:ln>
              <a:effectLst/>
            </c:spPr>
            <c:extLst>
              <c:ext xmlns:c16="http://schemas.microsoft.com/office/drawing/2014/chart" uri="{C3380CC4-5D6E-409C-BE32-E72D297353CC}">
                <c16:uniqueId val="{00000003-B9C1-427F-A70D-31B58FB49008}"/>
              </c:ext>
            </c:extLst>
          </c:dPt>
          <c:dPt>
            <c:idx val="2"/>
            <c:bubble3D val="0"/>
            <c:spPr>
              <a:solidFill>
                <a:schemeClr val="accent6">
                  <a:shade val="68000"/>
                </a:schemeClr>
              </a:solidFill>
              <a:ln>
                <a:solidFill>
                  <a:schemeClr val="tx1">
                    <a:lumMod val="65000"/>
                    <a:lumOff val="35000"/>
                  </a:schemeClr>
                </a:solidFill>
              </a:ln>
              <a:effectLst/>
            </c:spPr>
            <c:extLst>
              <c:ext xmlns:c16="http://schemas.microsoft.com/office/drawing/2014/chart" uri="{C3380CC4-5D6E-409C-BE32-E72D297353CC}">
                <c16:uniqueId val="{00000005-B9C1-427F-A70D-31B58FB49008}"/>
              </c:ext>
            </c:extLst>
          </c:dPt>
          <c:dPt>
            <c:idx val="3"/>
            <c:bubble3D val="0"/>
            <c:spPr>
              <a:solidFill>
                <a:schemeClr val="accent6">
                  <a:shade val="80000"/>
                </a:schemeClr>
              </a:solidFill>
              <a:ln>
                <a:solidFill>
                  <a:schemeClr val="tx1">
                    <a:lumMod val="65000"/>
                    <a:lumOff val="35000"/>
                  </a:schemeClr>
                </a:solidFill>
              </a:ln>
              <a:effectLst/>
            </c:spPr>
            <c:extLst>
              <c:ext xmlns:c16="http://schemas.microsoft.com/office/drawing/2014/chart" uri="{C3380CC4-5D6E-409C-BE32-E72D297353CC}">
                <c16:uniqueId val="{00000007-B9C1-427F-A70D-31B58FB49008}"/>
              </c:ext>
            </c:extLst>
          </c:dPt>
          <c:dPt>
            <c:idx val="4"/>
            <c:bubble3D val="0"/>
            <c:spPr>
              <a:solidFill>
                <a:schemeClr val="accent6">
                  <a:shade val="93000"/>
                </a:schemeClr>
              </a:solidFill>
              <a:ln>
                <a:solidFill>
                  <a:schemeClr val="tx1">
                    <a:lumMod val="65000"/>
                    <a:lumOff val="35000"/>
                  </a:schemeClr>
                </a:solidFill>
              </a:ln>
              <a:effectLst/>
            </c:spPr>
            <c:extLst>
              <c:ext xmlns:c16="http://schemas.microsoft.com/office/drawing/2014/chart" uri="{C3380CC4-5D6E-409C-BE32-E72D297353CC}">
                <c16:uniqueId val="{00000009-B9C1-427F-A70D-31B58FB49008}"/>
              </c:ext>
            </c:extLst>
          </c:dPt>
          <c:dPt>
            <c:idx val="5"/>
            <c:bubble3D val="0"/>
            <c:spPr>
              <a:solidFill>
                <a:schemeClr val="accent6">
                  <a:tint val="94000"/>
                </a:schemeClr>
              </a:solidFill>
              <a:ln>
                <a:solidFill>
                  <a:schemeClr val="tx1">
                    <a:lumMod val="65000"/>
                    <a:lumOff val="35000"/>
                  </a:schemeClr>
                </a:solidFill>
              </a:ln>
              <a:effectLst/>
            </c:spPr>
            <c:extLst>
              <c:ext xmlns:c16="http://schemas.microsoft.com/office/drawing/2014/chart" uri="{C3380CC4-5D6E-409C-BE32-E72D297353CC}">
                <c16:uniqueId val="{0000000B-B9C1-427F-A70D-31B58FB49008}"/>
              </c:ext>
            </c:extLst>
          </c:dPt>
          <c:dPt>
            <c:idx val="6"/>
            <c:bubble3D val="0"/>
            <c:spPr>
              <a:solidFill>
                <a:schemeClr val="accent6">
                  <a:tint val="81000"/>
                </a:schemeClr>
              </a:solidFill>
              <a:ln>
                <a:solidFill>
                  <a:schemeClr val="tx1">
                    <a:lumMod val="65000"/>
                    <a:lumOff val="35000"/>
                  </a:schemeClr>
                </a:solidFill>
              </a:ln>
              <a:effectLst/>
            </c:spPr>
            <c:extLst>
              <c:ext xmlns:c16="http://schemas.microsoft.com/office/drawing/2014/chart" uri="{C3380CC4-5D6E-409C-BE32-E72D297353CC}">
                <c16:uniqueId val="{0000000D-B9C1-427F-A70D-31B58FB49008}"/>
              </c:ext>
            </c:extLst>
          </c:dPt>
          <c:dPt>
            <c:idx val="7"/>
            <c:bubble3D val="0"/>
            <c:spPr>
              <a:solidFill>
                <a:schemeClr val="accent6">
                  <a:tint val="69000"/>
                </a:schemeClr>
              </a:solidFill>
              <a:ln>
                <a:solidFill>
                  <a:schemeClr val="tx1">
                    <a:lumMod val="65000"/>
                    <a:lumOff val="35000"/>
                  </a:schemeClr>
                </a:solidFill>
              </a:ln>
              <a:effectLst/>
            </c:spPr>
            <c:extLst>
              <c:ext xmlns:c16="http://schemas.microsoft.com/office/drawing/2014/chart" uri="{C3380CC4-5D6E-409C-BE32-E72D297353CC}">
                <c16:uniqueId val="{0000000F-B9C1-427F-A70D-31B58FB49008}"/>
              </c:ext>
            </c:extLst>
          </c:dPt>
          <c:dPt>
            <c:idx val="8"/>
            <c:bubble3D val="0"/>
            <c:spPr>
              <a:solidFill>
                <a:schemeClr val="accent6">
                  <a:tint val="56000"/>
                </a:schemeClr>
              </a:solidFill>
              <a:ln>
                <a:solidFill>
                  <a:schemeClr val="tx1">
                    <a:lumMod val="65000"/>
                    <a:lumOff val="35000"/>
                  </a:schemeClr>
                </a:solidFill>
              </a:ln>
              <a:effectLst/>
            </c:spPr>
            <c:extLst>
              <c:ext xmlns:c16="http://schemas.microsoft.com/office/drawing/2014/chart" uri="{C3380CC4-5D6E-409C-BE32-E72D297353CC}">
                <c16:uniqueId val="{00000011-B9C1-427F-A70D-31B58FB49008}"/>
              </c:ext>
            </c:extLst>
          </c:dPt>
          <c:dPt>
            <c:idx val="9"/>
            <c:bubble3D val="0"/>
            <c:spPr>
              <a:solidFill>
                <a:schemeClr val="accent6">
                  <a:tint val="43000"/>
                </a:schemeClr>
              </a:solidFill>
              <a:ln>
                <a:solidFill>
                  <a:schemeClr val="tx1">
                    <a:lumMod val="65000"/>
                    <a:lumOff val="35000"/>
                  </a:schemeClr>
                </a:solidFill>
              </a:ln>
              <a:effectLst/>
            </c:spPr>
            <c:extLst>
              <c:ext xmlns:c16="http://schemas.microsoft.com/office/drawing/2014/chart" uri="{C3380CC4-5D6E-409C-BE32-E72D297353CC}">
                <c16:uniqueId val="{00000013-B9C1-427F-A70D-31B58FB49008}"/>
              </c:ext>
            </c:extLst>
          </c:dPt>
          <c:dLbls>
            <c:dLbl>
              <c:idx val="0"/>
              <c:layout>
                <c:manualLayout>
                  <c:x val="4.4029974194401402E-3"/>
                  <c:y val="4.1237113402061855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004367101171171"/>
                      <c:h val="0.11572313770057094"/>
                    </c:manualLayout>
                  </c15:layout>
                </c:ext>
                <c:ext xmlns:c16="http://schemas.microsoft.com/office/drawing/2014/chart" uri="{C3380CC4-5D6E-409C-BE32-E72D297353CC}">
                  <c16:uniqueId val="{00000001-B9C1-427F-A70D-31B58FB49008}"/>
                </c:ext>
              </c:extLst>
            </c:dLbl>
            <c:dLbl>
              <c:idx val="1"/>
              <c:layout>
                <c:manualLayout>
                  <c:x val="1.5769361944058854E-2"/>
                  <c:y val="-4.1100459912051739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328227353933702"/>
                      <c:h val="0.14568552642259924"/>
                    </c:manualLayout>
                  </c15:layout>
                </c:ext>
                <c:ext xmlns:c16="http://schemas.microsoft.com/office/drawing/2014/chart" uri="{C3380CC4-5D6E-409C-BE32-E72D297353CC}">
                  <c16:uniqueId val="{00000003-B9C1-427F-A70D-31B58FB49008}"/>
                </c:ext>
              </c:extLst>
            </c:dLbl>
            <c:dLbl>
              <c:idx val="2"/>
              <c:layout>
                <c:manualLayout>
                  <c:x val="-1.4557003903923774E-5"/>
                  <c:y val="-1.4972265064805044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617052669007212"/>
                      <c:h val="0.1161563959434648"/>
                    </c:manualLayout>
                  </c15:layout>
                </c:ext>
                <c:ext xmlns:c16="http://schemas.microsoft.com/office/drawing/2014/chart" uri="{C3380CC4-5D6E-409C-BE32-E72D297353CC}">
                  <c16:uniqueId val="{00000005-B9C1-427F-A70D-31B58FB49008}"/>
                </c:ext>
              </c:extLst>
            </c:dLbl>
            <c:dLbl>
              <c:idx val="3"/>
              <c:layout>
                <c:manualLayout>
                  <c:x val="1.0550749103186326E-2"/>
                  <c:y val="-9.1951745468436277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7931770714775866"/>
                      <c:h val="0.12666247704952374"/>
                    </c:manualLayout>
                  </c15:layout>
                </c:ext>
                <c:ext xmlns:c16="http://schemas.microsoft.com/office/drawing/2014/chart" uri="{C3380CC4-5D6E-409C-BE32-E72D297353CC}">
                  <c16:uniqueId val="{00000007-B9C1-427F-A70D-31B58FB49008}"/>
                </c:ext>
              </c:extLst>
            </c:dLbl>
            <c:dLbl>
              <c:idx val="4"/>
              <c:layout>
                <c:manualLayout>
                  <c:x val="-7.7029922468692396E-17"/>
                  <c:y val="-6.7697865086451828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a:noFill/>
                    <a:ln>
                      <a:noFill/>
                    </a:ln>
                  </c15:spPr>
                  <c15:layout>
                    <c:manualLayout>
                      <c:w val="0.37740686825911468"/>
                      <c:h val="0.11288253916714018"/>
                    </c:manualLayout>
                  </c15:layout>
                </c:ext>
                <c:ext xmlns:c16="http://schemas.microsoft.com/office/drawing/2014/chart" uri="{C3380CC4-5D6E-409C-BE32-E72D297353CC}">
                  <c16:uniqueId val="{00000009-B9C1-427F-A70D-31B58FB49008}"/>
                </c:ext>
              </c:extLst>
            </c:dLbl>
            <c:dLbl>
              <c:idx val="5"/>
              <c:layout>
                <c:manualLayout>
                  <c:x val="1.5399490504863363E-2"/>
                  <c:y val="-1.9352220147740525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7886277878485272"/>
                      <c:h val="8.3574975663253365E-2"/>
                    </c:manualLayout>
                  </c15:layout>
                </c:ext>
                <c:ext xmlns:c16="http://schemas.microsoft.com/office/drawing/2014/chart" uri="{C3380CC4-5D6E-409C-BE32-E72D297353CC}">
                  <c16:uniqueId val="{0000000B-B9C1-427F-A70D-31B58FB49008}"/>
                </c:ext>
              </c:extLst>
            </c:dLbl>
            <c:dLbl>
              <c:idx val="6"/>
              <c:layout>
                <c:manualLayout>
                  <c:x val="8.3537351948653472E-5"/>
                  <c:y val="-5.8329951024163216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manualLayout>
                      <c:w val="0.26563753060279227"/>
                      <c:h val="9.7946261871905166E-2"/>
                    </c:manualLayout>
                  </c15:layout>
                </c:ext>
                <c:ext xmlns:c16="http://schemas.microsoft.com/office/drawing/2014/chart" uri="{C3380CC4-5D6E-409C-BE32-E72D297353CC}">
                  <c16:uniqueId val="{0000000D-B9C1-427F-A70D-31B58FB49008}"/>
                </c:ext>
              </c:extLst>
            </c:dLbl>
            <c:dLbl>
              <c:idx val="7"/>
              <c:layout>
                <c:manualLayout>
                  <c:x val="-1.562429696287965E-2"/>
                  <c:y val="-3.8962307546608219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781512605042018"/>
                      <c:h val="0.10735990475417376"/>
                    </c:manualLayout>
                  </c15:layout>
                </c:ext>
                <c:ext xmlns:c16="http://schemas.microsoft.com/office/drawing/2014/chart" uri="{C3380CC4-5D6E-409C-BE32-E72D297353CC}">
                  <c16:uniqueId val="{0000000F-B9C1-427F-A70D-31B58FB49008}"/>
                </c:ext>
              </c:extLst>
            </c:dLbl>
            <c:dLbl>
              <c:idx val="8"/>
              <c:layout>
                <c:manualLayout>
                  <c:x val="-3.1512660182183114E-2"/>
                  <c:y val="-2.061863292208278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5815622311916891"/>
                      <c:h val="0.11042238276916415"/>
                    </c:manualLayout>
                  </c15:layout>
                </c:ext>
                <c:ext xmlns:c16="http://schemas.microsoft.com/office/drawing/2014/chart" uri="{C3380CC4-5D6E-409C-BE32-E72D297353CC}">
                  <c16:uniqueId val="{00000011-B9C1-427F-A70D-31B58FB49008}"/>
                </c:ext>
              </c:extLst>
            </c:dLbl>
            <c:dLbl>
              <c:idx val="9"/>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extLst>
                <c:ext xmlns:c15="http://schemas.microsoft.com/office/drawing/2012/chart" uri="{CE6537A1-D6FC-4f65-9D91-7224C49458BB}">
                  <c15:layout>
                    <c:manualLayout>
                      <c:w val="0.23554621848739493"/>
                      <c:h val="0.12274914089347079"/>
                    </c:manualLayout>
                  </c15:layout>
                </c:ext>
                <c:ext xmlns:c16="http://schemas.microsoft.com/office/drawing/2014/chart" uri="{C3380CC4-5D6E-409C-BE32-E72D297353CC}">
                  <c16:uniqueId val="{00000013-B9C1-427F-A70D-31B58FB4900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eparator> </c:separator>
            <c:showLeaderLines val="1"/>
            <c:leaderLines>
              <c:spPr>
                <a:ln w="9525" cap="flat" cmpd="sng" algn="ctr">
                  <a:solidFill>
                    <a:schemeClr val="tx1">
                      <a:lumMod val="50000"/>
                      <a:lumOff val="50000"/>
                    </a:schemeClr>
                  </a:solidFill>
                  <a:prstDash val="solid"/>
                  <a:round/>
                </a:ln>
                <a:effectLst/>
              </c:spPr>
            </c:leaderLines>
            <c:extLst>
              <c:ext xmlns:c15="http://schemas.microsoft.com/office/drawing/2012/chart" uri="{CE6537A1-D6FC-4f65-9D91-7224C49458BB}"/>
            </c:extLst>
          </c:dLbls>
          <c:cat>
            <c:strRef>
              <c:f>Sheet1!$A$2:$A$11</c:f>
              <c:strCache>
                <c:ptCount val="10"/>
                <c:pt idx="0">
                  <c:v>China</c:v>
                </c:pt>
                <c:pt idx="1">
                  <c:v>Ireland</c:v>
                </c:pt>
                <c:pt idx="2">
                  <c:v>Korea</c:v>
                </c:pt>
                <c:pt idx="3">
                  <c:v>Canada</c:v>
                </c:pt>
                <c:pt idx="4">
                  <c:v>Netherlands</c:v>
                </c:pt>
                <c:pt idx="5">
                  <c:v>Japan</c:v>
                </c:pt>
                <c:pt idx="6">
                  <c:v>Belgium</c:v>
                </c:pt>
                <c:pt idx="7">
                  <c:v>Taiwan</c:v>
                </c:pt>
                <c:pt idx="8">
                  <c:v>Mexico</c:v>
                </c:pt>
                <c:pt idx="9">
                  <c:v>Other</c:v>
                </c:pt>
              </c:strCache>
            </c:strRef>
          </c:cat>
          <c:val>
            <c:numRef>
              <c:f>Sheet1!$B$2:$B$11</c:f>
              <c:numCache>
                <c:formatCode>_(* #,##0_);_(* \(#,##0\);_(* "-"??_);_(@_)</c:formatCode>
                <c:ptCount val="10"/>
                <c:pt idx="0">
                  <c:v>154891408</c:v>
                </c:pt>
                <c:pt idx="1">
                  <c:v>138682042</c:v>
                </c:pt>
                <c:pt idx="2">
                  <c:v>83236425</c:v>
                </c:pt>
                <c:pt idx="3">
                  <c:v>74398760</c:v>
                </c:pt>
                <c:pt idx="4">
                  <c:v>74034738</c:v>
                </c:pt>
                <c:pt idx="5">
                  <c:v>73092322</c:v>
                </c:pt>
                <c:pt idx="6">
                  <c:v>65804501</c:v>
                </c:pt>
                <c:pt idx="7">
                  <c:v>65142075</c:v>
                </c:pt>
                <c:pt idx="8">
                  <c:v>62529132</c:v>
                </c:pt>
                <c:pt idx="9" formatCode="#,##0">
                  <c:v>390917639</c:v>
                </c:pt>
              </c:numCache>
            </c:numRef>
          </c:val>
          <c:extLst>
            <c:ext xmlns:c16="http://schemas.microsoft.com/office/drawing/2014/chart" uri="{C3380CC4-5D6E-409C-BE32-E72D297353CC}">
              <c16:uniqueId val="{00000014-B9C1-427F-A70D-31B58FB49008}"/>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3175"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6C44-9FF8-492D-ADB5-283AD1E5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720</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Minnesota Quarterly Export Statistics, 1st Quarter 2024</vt:lpstr>
    </vt:vector>
  </TitlesOfParts>
  <Company>MN DEED</Company>
  <LinksUpToDate>false</LinksUpToDate>
  <CharactersWithSpaces>4658</CharactersWithSpaces>
  <SharedDoc>false</SharedDoc>
  <HLinks>
    <vt:vector size="12" baseType="variant">
      <vt:variant>
        <vt:i4>6488181</vt:i4>
      </vt:variant>
      <vt:variant>
        <vt:i4>9</vt:i4>
      </vt:variant>
      <vt:variant>
        <vt:i4>0</vt:i4>
      </vt:variant>
      <vt:variant>
        <vt:i4>5</vt:i4>
      </vt:variant>
      <vt:variant>
        <vt:lpwstr>http://www.deed.state.mn.us/facts/manufacturing.htm</vt:lpwstr>
      </vt:variant>
      <vt:variant>
        <vt:lpwstr/>
      </vt:variant>
      <vt:variant>
        <vt:i4>3211383</vt:i4>
      </vt:variant>
      <vt:variant>
        <vt:i4>6</vt:i4>
      </vt:variant>
      <vt:variant>
        <vt:i4>0</vt:i4>
      </vt:variant>
      <vt:variant>
        <vt:i4>5</vt:i4>
      </vt:variant>
      <vt:variant>
        <vt:lpwstr>http://www.exportminnesota.com/itradestats.htm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Quarterly Export Statistics, 1st Quarter 2024</dc:title>
  <dc:subject>Minnesota Quarterly Export Statistics</dc:subject>
  <dc:creator>Economic Analysis Unit (T. Ho-Kim)</dc:creator>
  <dc:description>1st Quarter 2024_x000d_
(publ June 2024)</dc:description>
  <cp:lastModifiedBy>Ho-Kim, Thu-Mai (DEED)</cp:lastModifiedBy>
  <cp:revision>3</cp:revision>
  <cp:lastPrinted>2021-02-10T19:09:00Z</cp:lastPrinted>
  <dcterms:created xsi:type="dcterms:W3CDTF">2024-05-31T19:50:00Z</dcterms:created>
  <dcterms:modified xsi:type="dcterms:W3CDTF">2024-05-31T19:52:00Z</dcterms:modified>
</cp:coreProperties>
</file>