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4581" w14:textId="2B60224F" w:rsidR="001B6E5E" w:rsidRPr="009671E4" w:rsidRDefault="00D37530" w:rsidP="00D84668">
      <w:pPr>
        <w:tabs>
          <w:tab w:val="left" w:pos="360"/>
          <w:tab w:val="left" w:pos="6660"/>
        </w:tabs>
        <w:jc w:val="center"/>
      </w:pPr>
      <w:r w:rsidRPr="009671E4">
        <w:rPr>
          <w:noProof/>
        </w:rPr>
        <w:drawing>
          <wp:inline distT="0" distB="0" distL="0" distR="0" wp14:anchorId="2210FD5A" wp14:editId="3A06A79F">
            <wp:extent cx="6309360" cy="1105593"/>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309360" cy="1105593"/>
                    </a:xfrm>
                    <a:prstGeom prst="rect">
                      <a:avLst/>
                    </a:prstGeom>
                  </pic:spPr>
                </pic:pic>
              </a:graphicData>
            </a:graphic>
          </wp:inline>
        </w:drawing>
      </w:r>
    </w:p>
    <w:p w14:paraId="280C54B8" w14:textId="36D0300A" w:rsidR="00D84668" w:rsidRPr="009671E4" w:rsidRDefault="00D84668" w:rsidP="00D84668">
      <w:pPr>
        <w:pStyle w:val="NoSpacing"/>
        <w:jc w:val="center"/>
        <w:rPr>
          <w:rStyle w:val="Emphasis"/>
          <w:b/>
        </w:rPr>
      </w:pPr>
      <w:r w:rsidRPr="009671E4">
        <w:rPr>
          <w:rStyle w:val="Emphasis"/>
          <w:b/>
        </w:rPr>
        <w:t xml:space="preserve">Data on Minnesota Exports for </w:t>
      </w:r>
      <w:r w:rsidR="006042ED" w:rsidRPr="009671E4">
        <w:rPr>
          <w:rStyle w:val="Emphasis"/>
          <w:b/>
        </w:rPr>
        <w:t>Third</w:t>
      </w:r>
      <w:r w:rsidRPr="009671E4">
        <w:rPr>
          <w:rStyle w:val="Emphasis"/>
          <w:b/>
        </w:rPr>
        <w:t xml:space="preserve"> Quarter 202</w:t>
      </w:r>
      <w:r w:rsidR="001B6E5E" w:rsidRPr="009671E4">
        <w:rPr>
          <w:rStyle w:val="Emphasis"/>
          <w:b/>
        </w:rPr>
        <w:t>4</w:t>
      </w:r>
      <w:r w:rsidRPr="009671E4">
        <w:rPr>
          <w:rStyle w:val="Emphasis"/>
          <w:b/>
        </w:rPr>
        <w:t xml:space="preserve"> – Published </w:t>
      </w:r>
      <w:r w:rsidR="006042ED" w:rsidRPr="009671E4">
        <w:rPr>
          <w:rStyle w:val="Emphasis"/>
          <w:b/>
        </w:rPr>
        <w:t>Dec</w:t>
      </w:r>
      <w:r w:rsidR="00505E81" w:rsidRPr="009671E4">
        <w:rPr>
          <w:rStyle w:val="Emphasis"/>
          <w:b/>
        </w:rPr>
        <w:t>ember</w:t>
      </w:r>
      <w:r w:rsidR="00E25680" w:rsidRPr="009671E4">
        <w:rPr>
          <w:rStyle w:val="Emphasis"/>
          <w:b/>
        </w:rPr>
        <w:t xml:space="preserve"> </w:t>
      </w:r>
      <w:r w:rsidRPr="009671E4">
        <w:rPr>
          <w:rStyle w:val="Emphasis"/>
          <w:b/>
        </w:rPr>
        <w:t>202</w:t>
      </w:r>
      <w:r w:rsidR="00DC631F" w:rsidRPr="009671E4">
        <w:rPr>
          <w:rStyle w:val="Emphasis"/>
          <w:b/>
        </w:rPr>
        <w:t>4</w:t>
      </w:r>
      <w:r w:rsidR="006042ED" w:rsidRPr="009671E4">
        <w:rPr>
          <w:rStyle w:val="Emphasis"/>
          <w:b/>
        </w:rPr>
        <w:t xml:space="preserve"> </w:t>
      </w:r>
    </w:p>
    <w:p w14:paraId="7C1ADAF3" w14:textId="77777777" w:rsidR="00D84668" w:rsidRPr="009671E4" w:rsidRDefault="00D84668" w:rsidP="00D84668">
      <w:pPr>
        <w:pStyle w:val="NoSpacing"/>
        <w:jc w:val="center"/>
        <w:rPr>
          <w:rStyle w:val="Emphasis"/>
          <w:b/>
          <w:bCs/>
        </w:rPr>
      </w:pPr>
      <w:r w:rsidRPr="009671E4">
        <w:rPr>
          <w:rStyle w:val="Emphasis"/>
          <w:b/>
        </w:rPr>
        <w:t>For More Information</w:t>
      </w:r>
      <w:r w:rsidRPr="009671E4">
        <w:rPr>
          <w:rStyle w:val="Emphasis"/>
        </w:rPr>
        <w:t xml:space="preserve">: </w:t>
      </w:r>
      <w:r w:rsidRPr="009671E4">
        <w:rPr>
          <w:b/>
          <w:bCs/>
          <w:i/>
          <w:iCs/>
        </w:rPr>
        <w:t>Mary Haugen (mary.haugen@state.mn.us)</w:t>
      </w:r>
    </w:p>
    <w:p w14:paraId="18DCA261" w14:textId="391FDC5C" w:rsidR="00641D3B" w:rsidRPr="009671E4" w:rsidRDefault="00CC5F28" w:rsidP="00D84668">
      <w:pPr>
        <w:pStyle w:val="Heading1"/>
        <w:spacing w:before="120"/>
        <w:rPr>
          <w:rFonts w:asciiTheme="minorHAnsi" w:hAnsiTheme="minorHAnsi"/>
          <w:color w:val="auto"/>
          <w:sz w:val="36"/>
          <w:szCs w:val="28"/>
        </w:rPr>
        <w:sectPr w:rsidR="00641D3B" w:rsidRPr="009671E4" w:rsidSect="00FE15EB">
          <w:headerReference w:type="even" r:id="rId12"/>
          <w:headerReference w:type="default" r:id="rId13"/>
          <w:footerReference w:type="even" r:id="rId14"/>
          <w:footnotePr>
            <w:numRestart w:val="eachSect"/>
          </w:footnotePr>
          <w:endnotePr>
            <w:numFmt w:val="decimal"/>
          </w:endnotePr>
          <w:type w:val="continuous"/>
          <w:pgSz w:w="12240" w:h="15840" w:code="1"/>
          <w:pgMar w:top="864" w:right="1008" w:bottom="864" w:left="1008" w:header="720" w:footer="720" w:gutter="0"/>
          <w:cols w:space="720"/>
          <w:titlePg/>
          <w:docGrid w:linePitch="272"/>
        </w:sectPr>
      </w:pPr>
      <w:r w:rsidRPr="009671E4">
        <w:rPr>
          <w:rFonts w:asciiTheme="minorHAnsi" w:hAnsiTheme="minorHAnsi"/>
          <w:color w:val="auto"/>
          <w:sz w:val="36"/>
          <w:szCs w:val="28"/>
        </w:rPr>
        <w:t xml:space="preserve">Minnesota </w:t>
      </w:r>
      <w:r w:rsidR="00FA433D" w:rsidRPr="009671E4">
        <w:rPr>
          <w:rFonts w:asciiTheme="minorHAnsi" w:hAnsiTheme="minorHAnsi"/>
          <w:color w:val="auto"/>
          <w:sz w:val="36"/>
          <w:szCs w:val="28"/>
        </w:rPr>
        <w:t xml:space="preserve">Exports </w:t>
      </w:r>
      <w:r w:rsidR="006042ED" w:rsidRPr="009671E4">
        <w:rPr>
          <w:rFonts w:asciiTheme="minorHAnsi" w:hAnsiTheme="minorHAnsi"/>
          <w:color w:val="auto"/>
          <w:sz w:val="36"/>
          <w:szCs w:val="28"/>
        </w:rPr>
        <w:t>Jump 11%</w:t>
      </w:r>
      <w:r w:rsidR="00ED7F1C" w:rsidRPr="009671E4">
        <w:rPr>
          <w:rFonts w:asciiTheme="minorHAnsi" w:hAnsiTheme="minorHAnsi"/>
          <w:color w:val="auto"/>
          <w:sz w:val="36"/>
          <w:szCs w:val="28"/>
        </w:rPr>
        <w:t xml:space="preserve"> </w:t>
      </w:r>
      <w:r w:rsidR="000D5EC5" w:rsidRPr="009671E4">
        <w:rPr>
          <w:rFonts w:asciiTheme="minorHAnsi" w:hAnsiTheme="minorHAnsi"/>
          <w:color w:val="auto"/>
          <w:sz w:val="36"/>
          <w:szCs w:val="28"/>
        </w:rPr>
        <w:t>to $</w:t>
      </w:r>
      <w:r w:rsidR="006042ED" w:rsidRPr="009671E4">
        <w:rPr>
          <w:rFonts w:asciiTheme="minorHAnsi" w:hAnsiTheme="minorHAnsi"/>
          <w:color w:val="auto"/>
          <w:sz w:val="36"/>
          <w:szCs w:val="28"/>
        </w:rPr>
        <w:t>6.7</w:t>
      </w:r>
      <w:r w:rsidR="000D5EC5" w:rsidRPr="009671E4">
        <w:rPr>
          <w:rFonts w:asciiTheme="minorHAnsi" w:hAnsiTheme="minorHAnsi"/>
          <w:color w:val="auto"/>
          <w:sz w:val="36"/>
          <w:szCs w:val="28"/>
        </w:rPr>
        <w:t xml:space="preserve"> Billion</w:t>
      </w:r>
      <w:r w:rsidR="00ED7F1C" w:rsidRPr="009671E4">
        <w:rPr>
          <w:rFonts w:asciiTheme="minorHAnsi" w:hAnsiTheme="minorHAnsi"/>
          <w:color w:val="auto"/>
          <w:sz w:val="36"/>
          <w:szCs w:val="28"/>
        </w:rPr>
        <w:t xml:space="preserve"> </w:t>
      </w:r>
      <w:r w:rsidRPr="009671E4">
        <w:rPr>
          <w:rFonts w:asciiTheme="minorHAnsi" w:hAnsiTheme="minorHAnsi"/>
          <w:color w:val="auto"/>
          <w:sz w:val="36"/>
          <w:szCs w:val="28"/>
        </w:rPr>
        <w:t xml:space="preserve">in </w:t>
      </w:r>
      <w:r w:rsidR="006042ED" w:rsidRPr="009671E4">
        <w:rPr>
          <w:rFonts w:asciiTheme="minorHAnsi" w:hAnsiTheme="minorHAnsi"/>
          <w:color w:val="auto"/>
          <w:sz w:val="36"/>
          <w:szCs w:val="28"/>
        </w:rPr>
        <w:t>Third</w:t>
      </w:r>
      <w:r w:rsidRPr="009671E4">
        <w:rPr>
          <w:rFonts w:asciiTheme="minorHAnsi" w:hAnsiTheme="minorHAnsi"/>
          <w:color w:val="auto"/>
          <w:sz w:val="36"/>
          <w:szCs w:val="28"/>
        </w:rPr>
        <w:t xml:space="preserve"> Quarter</w:t>
      </w:r>
    </w:p>
    <w:p w14:paraId="2CEA33A8" w14:textId="48EDA6C8" w:rsidR="006042ED" w:rsidRPr="009671E4" w:rsidRDefault="007F1C4A" w:rsidP="001C114C">
      <w:pPr>
        <w:pStyle w:val="ListParagraph"/>
        <w:numPr>
          <w:ilvl w:val="0"/>
          <w:numId w:val="9"/>
        </w:numPr>
        <w:spacing w:before="60" w:line="271" w:lineRule="auto"/>
      </w:pPr>
      <w:r w:rsidRPr="009671E4">
        <w:t>Minnesota exports</w:t>
      </w:r>
      <w:r w:rsidR="00F20245" w:rsidRPr="009671E4">
        <w:t xml:space="preserve"> of goods</w:t>
      </w:r>
      <w:r w:rsidRPr="009671E4">
        <w:t xml:space="preserve"> (incl</w:t>
      </w:r>
      <w:r w:rsidR="004C6288" w:rsidRPr="009671E4">
        <w:t>uding</w:t>
      </w:r>
      <w:r w:rsidRPr="009671E4">
        <w:t xml:space="preserve"> agricultur</w:t>
      </w:r>
      <w:r w:rsidR="00E21972" w:rsidRPr="009671E4">
        <w:t>e</w:t>
      </w:r>
      <w:r w:rsidRPr="009671E4">
        <w:t>, mining and manufact</w:t>
      </w:r>
      <w:r w:rsidR="00A02A94" w:rsidRPr="009671E4">
        <w:t>ur</w:t>
      </w:r>
      <w:r w:rsidR="00E21972" w:rsidRPr="009671E4">
        <w:t>ing</w:t>
      </w:r>
      <w:r w:rsidR="00A02A94" w:rsidRPr="009671E4">
        <w:t xml:space="preserve">) </w:t>
      </w:r>
      <w:r w:rsidR="006042ED" w:rsidRPr="009671E4">
        <w:t xml:space="preserve">swelled </w:t>
      </w:r>
      <w:r w:rsidR="00666DED" w:rsidRPr="009671E4">
        <w:t>to</w:t>
      </w:r>
      <w:r w:rsidR="00F20245" w:rsidRPr="009671E4">
        <w:t xml:space="preserve"> </w:t>
      </w:r>
      <w:r w:rsidR="00E92FA6" w:rsidRPr="009671E4">
        <w:t>$</w:t>
      </w:r>
      <w:r w:rsidR="006042ED" w:rsidRPr="009671E4">
        <w:t>6</w:t>
      </w:r>
      <w:r w:rsidR="00666DED" w:rsidRPr="009671E4">
        <w:t>.</w:t>
      </w:r>
      <w:r w:rsidR="006042ED" w:rsidRPr="009671E4">
        <w:t>7</w:t>
      </w:r>
      <w:r w:rsidR="00C23DAA" w:rsidRPr="009671E4">
        <w:t xml:space="preserve"> billion</w:t>
      </w:r>
      <w:r w:rsidR="00DB304D" w:rsidRPr="009671E4">
        <w:t xml:space="preserve">, </w:t>
      </w:r>
      <w:r w:rsidR="001C114C" w:rsidRPr="009671E4">
        <w:t>jumping</w:t>
      </w:r>
      <w:r w:rsidR="004C6288" w:rsidRPr="009671E4">
        <w:t xml:space="preserve"> </w:t>
      </w:r>
      <w:r w:rsidR="006042ED" w:rsidRPr="009671E4">
        <w:t>nea</w:t>
      </w:r>
      <w:r w:rsidR="007E3EC6" w:rsidRPr="009671E4">
        <w:t xml:space="preserve">rly </w:t>
      </w:r>
      <w:r w:rsidR="00666DED" w:rsidRPr="009671E4">
        <w:t>1</w:t>
      </w:r>
      <w:r w:rsidR="007E3EC6" w:rsidRPr="009671E4">
        <w:t>1</w:t>
      </w:r>
      <w:r w:rsidR="007818E5" w:rsidRPr="009671E4">
        <w:t>%</w:t>
      </w:r>
      <w:r w:rsidR="00B5144B" w:rsidRPr="009671E4">
        <w:t xml:space="preserve"> (or</w:t>
      </w:r>
      <w:r w:rsidR="0087384F" w:rsidRPr="009671E4">
        <w:t xml:space="preserve"> </w:t>
      </w:r>
      <w:r w:rsidR="001B6E5E" w:rsidRPr="009671E4">
        <w:t>up</w:t>
      </w:r>
      <w:r w:rsidR="006042ED" w:rsidRPr="009671E4">
        <w:t xml:space="preserve"> </w:t>
      </w:r>
      <w:r w:rsidR="00B5144B" w:rsidRPr="009671E4">
        <w:t>$</w:t>
      </w:r>
      <w:r w:rsidR="006042ED" w:rsidRPr="009671E4">
        <w:t>64</w:t>
      </w:r>
      <w:r w:rsidR="00014412" w:rsidRPr="009671E4">
        <w:t>2</w:t>
      </w:r>
      <w:r w:rsidR="00C23DAA" w:rsidRPr="009671E4">
        <w:t xml:space="preserve"> </w:t>
      </w:r>
      <w:r w:rsidR="006042ED" w:rsidRPr="009671E4">
        <w:t>m</w:t>
      </w:r>
      <w:r w:rsidR="00666DED" w:rsidRPr="009671E4">
        <w:t>i</w:t>
      </w:r>
      <w:r w:rsidR="00C23DAA" w:rsidRPr="009671E4">
        <w:t>llion</w:t>
      </w:r>
      <w:r w:rsidRPr="009671E4">
        <w:t xml:space="preserve">) </w:t>
      </w:r>
      <w:r w:rsidR="006042ED" w:rsidRPr="009671E4">
        <w:t>between</w:t>
      </w:r>
      <w:r w:rsidR="00F81BA9" w:rsidRPr="009671E4">
        <w:t xml:space="preserve"> </w:t>
      </w:r>
      <w:r w:rsidRPr="009671E4">
        <w:t xml:space="preserve">the </w:t>
      </w:r>
      <w:r w:rsidR="006042ED" w:rsidRPr="009671E4">
        <w:t>third</w:t>
      </w:r>
      <w:r w:rsidR="00375ACF" w:rsidRPr="009671E4">
        <w:t xml:space="preserve"> quarter</w:t>
      </w:r>
      <w:r w:rsidR="006042ED" w:rsidRPr="009671E4">
        <w:t>s</w:t>
      </w:r>
      <w:r w:rsidR="00957BCF" w:rsidRPr="009671E4">
        <w:t xml:space="preserve"> of </w:t>
      </w:r>
      <w:r w:rsidR="001B6E5E" w:rsidRPr="009671E4">
        <w:t>2023</w:t>
      </w:r>
      <w:r w:rsidR="006042ED" w:rsidRPr="009671E4">
        <w:t xml:space="preserve"> and 2024</w:t>
      </w:r>
      <w:r w:rsidR="00E21972" w:rsidRPr="009671E4">
        <w:t>.</w:t>
      </w:r>
      <w:r w:rsidR="000D5EC5" w:rsidRPr="009671E4">
        <w:t xml:space="preserve"> </w:t>
      </w:r>
    </w:p>
    <w:p w14:paraId="55E6222A" w14:textId="56FBCBBD" w:rsidR="00E21972" w:rsidRPr="009671E4" w:rsidRDefault="001C114C" w:rsidP="001C114C">
      <w:pPr>
        <w:pStyle w:val="ListParagraph"/>
        <w:numPr>
          <w:ilvl w:val="0"/>
          <w:numId w:val="9"/>
        </w:numPr>
        <w:spacing w:before="60" w:line="271" w:lineRule="auto"/>
      </w:pPr>
      <w:r w:rsidRPr="009671E4">
        <w:t>M</w:t>
      </w:r>
      <w:r w:rsidR="00E21972" w:rsidRPr="009671E4">
        <w:t>ineral fuel and oil</w:t>
      </w:r>
      <w:r w:rsidRPr="009671E4">
        <w:t xml:space="preserve"> exports </w:t>
      </w:r>
      <w:r w:rsidR="006042ED" w:rsidRPr="009671E4">
        <w:t>spiked</w:t>
      </w:r>
      <w:r w:rsidRPr="009671E4">
        <w:t xml:space="preserve"> </w:t>
      </w:r>
      <w:r w:rsidR="006042ED" w:rsidRPr="009671E4">
        <w:t>369</w:t>
      </w:r>
      <w:r w:rsidR="000D5EC5" w:rsidRPr="009671E4">
        <w:t>%</w:t>
      </w:r>
      <w:r w:rsidR="00014412" w:rsidRPr="009671E4">
        <w:t>,</w:t>
      </w:r>
      <w:r w:rsidR="000D5EC5" w:rsidRPr="009671E4">
        <w:t xml:space="preserve"> to $</w:t>
      </w:r>
      <w:r w:rsidR="006042ED" w:rsidRPr="009671E4">
        <w:t>537</w:t>
      </w:r>
      <w:r w:rsidR="000D5EC5" w:rsidRPr="009671E4">
        <w:t xml:space="preserve"> million</w:t>
      </w:r>
      <w:r w:rsidRPr="009671E4">
        <w:t xml:space="preserve">, </w:t>
      </w:r>
      <w:r w:rsidR="006042ED" w:rsidRPr="009671E4">
        <w:t>driv</w:t>
      </w:r>
      <w:r w:rsidR="00C5519E" w:rsidRPr="009671E4">
        <w:t>ing</w:t>
      </w:r>
      <w:r w:rsidRPr="009671E4">
        <w:t xml:space="preserve"> th</w:t>
      </w:r>
      <w:r w:rsidR="006042ED" w:rsidRPr="009671E4">
        <w:t>e third quarter’s</w:t>
      </w:r>
      <w:r w:rsidRPr="009671E4">
        <w:t xml:space="preserve"> </w:t>
      </w:r>
      <w:r w:rsidR="00D83408" w:rsidRPr="009671E4">
        <w:t>increase</w:t>
      </w:r>
      <w:r w:rsidRPr="009671E4">
        <w:t>.</w:t>
      </w:r>
    </w:p>
    <w:p w14:paraId="3AA839B2" w14:textId="3126F492" w:rsidR="00375ACF" w:rsidRPr="009671E4" w:rsidRDefault="00C97041" w:rsidP="000F733F">
      <w:pPr>
        <w:pStyle w:val="ListParagraph"/>
        <w:numPr>
          <w:ilvl w:val="0"/>
          <w:numId w:val="9"/>
        </w:numPr>
        <w:spacing w:before="60" w:line="271" w:lineRule="auto"/>
      </w:pPr>
      <w:r w:rsidRPr="009671E4">
        <w:t>U.S. exports</w:t>
      </w:r>
      <w:r w:rsidR="00742415" w:rsidRPr="009671E4">
        <w:t xml:space="preserve"> of goods</w:t>
      </w:r>
      <w:r w:rsidR="000D5EC5" w:rsidRPr="009671E4">
        <w:t xml:space="preserve"> </w:t>
      </w:r>
      <w:r w:rsidR="00D83408" w:rsidRPr="009671E4">
        <w:t>grew</w:t>
      </w:r>
      <w:r w:rsidR="000D5EC5" w:rsidRPr="009671E4">
        <w:t xml:space="preserve"> </w:t>
      </w:r>
      <w:r w:rsidR="00D83408" w:rsidRPr="009671E4">
        <w:t xml:space="preserve">about </w:t>
      </w:r>
      <w:r w:rsidR="006042ED" w:rsidRPr="009671E4">
        <w:t>3</w:t>
      </w:r>
      <w:r w:rsidR="000D5EC5" w:rsidRPr="009671E4">
        <w:t xml:space="preserve">% </w:t>
      </w:r>
      <w:r w:rsidR="001B6E5E" w:rsidRPr="009671E4">
        <w:t>between</w:t>
      </w:r>
      <w:r w:rsidR="00521967" w:rsidRPr="009671E4">
        <w:t xml:space="preserve"> </w:t>
      </w:r>
      <w:r w:rsidR="007216E3" w:rsidRPr="009671E4">
        <w:t xml:space="preserve">the </w:t>
      </w:r>
      <w:r w:rsidR="006042ED" w:rsidRPr="009671E4">
        <w:t>third</w:t>
      </w:r>
      <w:r w:rsidR="00375ACF" w:rsidRPr="009671E4">
        <w:t xml:space="preserve"> quarter</w:t>
      </w:r>
      <w:r w:rsidR="001B6E5E" w:rsidRPr="009671E4">
        <w:t>s of 2023 and 2024</w:t>
      </w:r>
      <w:r w:rsidR="003D0885" w:rsidRPr="009671E4">
        <w:t>.</w:t>
      </w:r>
      <w:r w:rsidR="00806897" w:rsidRPr="009671E4">
        <w:t xml:space="preserve"> </w:t>
      </w:r>
      <w:r w:rsidR="007E3EC6" w:rsidRPr="009671E4">
        <w:t>M</w:t>
      </w:r>
      <w:r w:rsidR="000D5EC5" w:rsidRPr="009671E4">
        <w:t xml:space="preserve">ore </w:t>
      </w:r>
      <w:r w:rsidR="004B25EA" w:rsidRPr="009671E4">
        <w:t xml:space="preserve">states </w:t>
      </w:r>
      <w:r w:rsidR="00E21972" w:rsidRPr="009671E4">
        <w:t xml:space="preserve">had </w:t>
      </w:r>
      <w:r w:rsidR="007E3EC6" w:rsidRPr="009671E4">
        <w:t xml:space="preserve">stable or increased </w:t>
      </w:r>
      <w:r w:rsidR="000D5EC5" w:rsidRPr="009671E4">
        <w:t>export</w:t>
      </w:r>
      <w:r w:rsidR="003D0885" w:rsidRPr="009671E4">
        <w:t>s</w:t>
      </w:r>
      <w:r w:rsidR="00806897" w:rsidRPr="009671E4">
        <w:t xml:space="preserve"> (</w:t>
      </w:r>
      <w:r w:rsidR="000D5EC5" w:rsidRPr="009671E4">
        <w:t>3</w:t>
      </w:r>
      <w:r w:rsidR="007E3EC6" w:rsidRPr="009671E4">
        <w:t>3</w:t>
      </w:r>
      <w:r w:rsidR="00806897" w:rsidRPr="009671E4">
        <w:t xml:space="preserve">) </w:t>
      </w:r>
      <w:r w:rsidR="00E21972" w:rsidRPr="009671E4">
        <w:t>than</w:t>
      </w:r>
      <w:r w:rsidR="000D5EC5" w:rsidRPr="009671E4">
        <w:t xml:space="preserve"> </w:t>
      </w:r>
      <w:r w:rsidR="007E3EC6" w:rsidRPr="009671E4">
        <w:t>declin</w:t>
      </w:r>
      <w:r w:rsidR="00BF695F" w:rsidRPr="009671E4">
        <w:t>es</w:t>
      </w:r>
      <w:r w:rsidR="00806897" w:rsidRPr="009671E4">
        <w:t xml:space="preserve"> (</w:t>
      </w:r>
      <w:r w:rsidR="000D5EC5" w:rsidRPr="009671E4">
        <w:t>1</w:t>
      </w:r>
      <w:r w:rsidR="007E3EC6" w:rsidRPr="009671E4">
        <w:t>7</w:t>
      </w:r>
      <w:r w:rsidR="003D0885" w:rsidRPr="009671E4">
        <w:t>).</w:t>
      </w:r>
    </w:p>
    <w:p w14:paraId="21B05702" w14:textId="61BA662E" w:rsidR="00644080" w:rsidRPr="009671E4" w:rsidRDefault="007E3EC6" w:rsidP="000F733F">
      <w:pPr>
        <w:pStyle w:val="ListParagraph"/>
        <w:numPr>
          <w:ilvl w:val="0"/>
          <w:numId w:val="9"/>
        </w:numPr>
        <w:spacing w:before="60" w:line="271" w:lineRule="auto"/>
      </w:pPr>
      <w:r w:rsidRPr="009671E4">
        <w:t>Over the first nine months of 2024</w:t>
      </w:r>
      <w:r w:rsidR="00644080" w:rsidRPr="009671E4">
        <w:t>, Minnesota exports g</w:t>
      </w:r>
      <w:r w:rsidR="00403819" w:rsidRPr="009671E4">
        <w:t>rew</w:t>
      </w:r>
      <w:r w:rsidR="00D83408" w:rsidRPr="009671E4">
        <w:t xml:space="preserve"> nearly</w:t>
      </w:r>
      <w:r w:rsidR="00644080" w:rsidRPr="009671E4">
        <w:t xml:space="preserve"> </w:t>
      </w:r>
      <w:r w:rsidRPr="009671E4">
        <w:t>10</w:t>
      </w:r>
      <w:r w:rsidR="00644080" w:rsidRPr="009671E4">
        <w:t xml:space="preserve">%, </w:t>
      </w:r>
      <w:r w:rsidR="00D83408" w:rsidRPr="009671E4">
        <w:t>compared to</w:t>
      </w:r>
      <w:r w:rsidR="00644080" w:rsidRPr="009671E4">
        <w:t xml:space="preserve"> U.S. </w:t>
      </w:r>
      <w:r w:rsidR="00D83408" w:rsidRPr="009671E4">
        <w:t>growth of</w:t>
      </w:r>
      <w:r w:rsidR="00644080" w:rsidRPr="009671E4">
        <w:t xml:space="preserve"> </w:t>
      </w:r>
      <w:r w:rsidR="00D83408" w:rsidRPr="009671E4">
        <w:t xml:space="preserve">nearly </w:t>
      </w:r>
      <w:r w:rsidRPr="009671E4">
        <w:t>3</w:t>
      </w:r>
      <w:r w:rsidR="00644080" w:rsidRPr="009671E4">
        <w:t>%.</w:t>
      </w:r>
    </w:p>
    <w:p w14:paraId="03CA25DA" w14:textId="67CB49AE" w:rsidR="007F1C4A" w:rsidRDefault="007F1C4A" w:rsidP="00031A2C">
      <w:pPr>
        <w:pStyle w:val="Heading4"/>
        <w:spacing w:before="0" w:after="120"/>
        <w:rPr>
          <w:szCs w:val="24"/>
        </w:rPr>
      </w:pPr>
      <w:r w:rsidRPr="009671E4">
        <w:rPr>
          <w:szCs w:val="24"/>
        </w:rPr>
        <w:t xml:space="preserve">Figure </w:t>
      </w:r>
      <w:r w:rsidRPr="009671E4">
        <w:rPr>
          <w:szCs w:val="24"/>
        </w:rPr>
        <w:fldChar w:fldCharType="begin"/>
      </w:r>
      <w:r w:rsidRPr="009671E4">
        <w:rPr>
          <w:szCs w:val="24"/>
        </w:rPr>
        <w:instrText xml:space="preserve"> SEQ Figure \* ARABIC </w:instrText>
      </w:r>
      <w:r w:rsidRPr="009671E4">
        <w:rPr>
          <w:szCs w:val="24"/>
        </w:rPr>
        <w:fldChar w:fldCharType="separate"/>
      </w:r>
      <w:r w:rsidR="00C430F8" w:rsidRPr="009671E4">
        <w:rPr>
          <w:szCs w:val="24"/>
        </w:rPr>
        <w:t>1</w:t>
      </w:r>
      <w:r w:rsidRPr="009671E4">
        <w:rPr>
          <w:szCs w:val="24"/>
        </w:rPr>
        <w:fldChar w:fldCharType="end"/>
      </w:r>
      <w:r w:rsidR="00A52415" w:rsidRPr="009671E4">
        <w:rPr>
          <w:szCs w:val="24"/>
        </w:rPr>
        <w:t>.</w:t>
      </w:r>
      <w:r w:rsidR="00F72892" w:rsidRPr="009671E4">
        <w:rPr>
          <w:szCs w:val="24"/>
        </w:rPr>
        <w:t xml:space="preserve"> </w:t>
      </w:r>
      <w:r w:rsidR="00C3617C" w:rsidRPr="009671E4">
        <w:rPr>
          <w:szCs w:val="24"/>
        </w:rPr>
        <w:t xml:space="preserve">Exports from Over 30 </w:t>
      </w:r>
      <w:r w:rsidR="00644080" w:rsidRPr="009671E4">
        <w:rPr>
          <w:szCs w:val="24"/>
        </w:rPr>
        <w:t>S</w:t>
      </w:r>
      <w:r w:rsidR="00F72892" w:rsidRPr="009671E4">
        <w:rPr>
          <w:szCs w:val="24"/>
        </w:rPr>
        <w:t>tates</w:t>
      </w:r>
      <w:r w:rsidR="00644080" w:rsidRPr="009671E4">
        <w:rPr>
          <w:szCs w:val="24"/>
        </w:rPr>
        <w:t xml:space="preserve"> </w:t>
      </w:r>
      <w:r w:rsidR="00C3617C" w:rsidRPr="009671E4">
        <w:rPr>
          <w:szCs w:val="24"/>
        </w:rPr>
        <w:t xml:space="preserve">Grow </w:t>
      </w:r>
      <w:r w:rsidR="00644080" w:rsidRPr="009671E4">
        <w:rPr>
          <w:szCs w:val="24"/>
        </w:rPr>
        <w:t>in Q</w:t>
      </w:r>
      <w:r w:rsidR="00C3617C" w:rsidRPr="009671E4">
        <w:rPr>
          <w:szCs w:val="24"/>
        </w:rPr>
        <w:t>3</w:t>
      </w:r>
    </w:p>
    <w:p w14:paraId="707F3AD6" w14:textId="5609BE43" w:rsidR="009F4D89" w:rsidRPr="009F4D89" w:rsidRDefault="009F4D89" w:rsidP="009F4D89">
      <w:r w:rsidRPr="009671E4">
        <w:rPr>
          <w:noProof/>
        </w:rPr>
        <mc:AlternateContent>
          <mc:Choice Requires="wps">
            <w:drawing>
              <wp:anchor distT="0" distB="0" distL="114300" distR="114300" simplePos="0" relativeHeight="251660800" behindDoc="0" locked="0" layoutInCell="1" allowOverlap="1" wp14:anchorId="098AB7ED" wp14:editId="5449F60E">
                <wp:simplePos x="0" y="0"/>
                <wp:positionH relativeFrom="page">
                  <wp:posOffset>3953435</wp:posOffset>
                </wp:positionH>
                <wp:positionV relativeFrom="paragraph">
                  <wp:posOffset>1517351</wp:posOffset>
                </wp:positionV>
                <wp:extent cx="1319530" cy="250900"/>
                <wp:effectExtent l="0" t="0" r="0" b="0"/>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250900"/>
                        </a:xfrm>
                        <a:prstGeom prst="rect">
                          <a:avLst/>
                        </a:prstGeom>
                        <a:noFill/>
                        <a:ln w="9525">
                          <a:noFill/>
                          <a:miter lim="800000"/>
                          <a:headEnd/>
                          <a:tailEnd/>
                        </a:ln>
                      </wps:spPr>
                      <wps:txbx>
                        <w:txbxContent>
                          <w:p w14:paraId="3C4BE73A" w14:textId="42E6E448" w:rsidR="00CC5F28" w:rsidRPr="004873BD" w:rsidRDefault="00CC5F28" w:rsidP="000341DE">
                            <w:pPr>
                              <w:rPr>
                                <w:b/>
                                <w:bCs/>
                                <w:iCs/>
                                <w:sz w:val="18"/>
                              </w:rPr>
                            </w:pPr>
                            <w:r w:rsidRPr="004873BD">
                              <w:rPr>
                                <w:b/>
                                <w:bCs/>
                                <w:iCs/>
                                <w:sz w:val="18"/>
                              </w:rPr>
                              <w:t xml:space="preserve">Decline    </w:t>
                            </w:r>
                            <w:r w:rsidR="00BE4117" w:rsidRPr="004873BD">
                              <w:rPr>
                                <w:b/>
                                <w:bCs/>
                                <w:iCs/>
                                <w:sz w:val="18"/>
                              </w:rPr>
                              <w:t xml:space="preserve">  </w:t>
                            </w:r>
                            <w:r w:rsidRPr="004873BD">
                              <w:rPr>
                                <w:b/>
                                <w:bCs/>
                                <w:iCs/>
                                <w:sz w:val="18"/>
                              </w:rPr>
                              <w:t xml:space="preserve"> 0%   Growth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AB7ED" id="_x0000_t202" coordsize="21600,21600" o:spt="202" path="m,l,21600r21600,l21600,xe">
                <v:stroke joinstyle="miter"/>
                <v:path gradientshapeok="t" o:connecttype="rect"/>
              </v:shapetype>
              <v:shape id="Text Box 2" o:spid="_x0000_s1026" type="#_x0000_t202" alt="&quot;&quot;" style="position:absolute;margin-left:311.3pt;margin-top:119.5pt;width:103.9pt;height:19.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" filled="f" stroked="f">
                <v:textbox>
                  <w:txbxContent>
                    <w:p w14:paraId="3C4BE73A" w14:textId="42E6E448" w:rsidR="00CC5F28" w:rsidRPr="004873BD" w:rsidRDefault="00CC5F28" w:rsidP="000341DE">
                      <w:pPr>
                        <w:rPr>
                          <w:b/>
                          <w:bCs/>
                          <w:iCs/>
                          <w:sz w:val="18"/>
                        </w:rPr>
                      </w:pPr>
                      <w:r w:rsidRPr="004873BD">
                        <w:rPr>
                          <w:b/>
                          <w:bCs/>
                          <w:iCs/>
                          <w:sz w:val="18"/>
                        </w:rPr>
                        <w:t xml:space="preserve">Decline    </w:t>
                      </w:r>
                      <w:r w:rsidR="00BE4117" w:rsidRPr="004873BD">
                        <w:rPr>
                          <w:b/>
                          <w:bCs/>
                          <w:iCs/>
                          <w:sz w:val="18"/>
                        </w:rPr>
                        <w:t xml:space="preserve">  </w:t>
                      </w:r>
                      <w:r w:rsidRPr="004873BD">
                        <w:rPr>
                          <w:b/>
                          <w:bCs/>
                          <w:iCs/>
                          <w:sz w:val="18"/>
                        </w:rPr>
                        <w:t xml:space="preserve"> 0%   Growth</w:t>
                      </w:r>
                    </w:p>
                  </w:txbxContent>
                </v:textbox>
                <w10:wrap anchorx="page"/>
              </v:shape>
            </w:pict>
          </mc:Fallback>
        </mc:AlternateContent>
      </w:r>
      <w:r w:rsidRPr="009671E4">
        <w:rPr>
          <w:noProof/>
        </w:rPr>
        <mc:AlternateContent>
          <mc:Choice Requires="wps">
            <w:drawing>
              <wp:anchor distT="0" distB="0" distL="114300" distR="114300" simplePos="0" relativeHeight="251658752" behindDoc="0" locked="0" layoutInCell="1" allowOverlap="1" wp14:anchorId="24E76B40" wp14:editId="67174CCE">
                <wp:simplePos x="0" y="0"/>
                <wp:positionH relativeFrom="margin">
                  <wp:posOffset>5874347</wp:posOffset>
                </wp:positionH>
                <wp:positionV relativeFrom="paragraph">
                  <wp:posOffset>1202353</wp:posOffset>
                </wp:positionV>
                <wp:extent cx="863600" cy="473725"/>
                <wp:effectExtent l="0" t="0" r="0" b="254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473725"/>
                        </a:xfrm>
                        <a:prstGeom prst="rect">
                          <a:avLst/>
                        </a:prstGeom>
                        <a:noFill/>
                        <a:ln w="9525">
                          <a:noFill/>
                          <a:miter lim="800000"/>
                          <a:headEnd/>
                          <a:tailEnd/>
                        </a:ln>
                      </wps:spPr>
                      <wps:txbx>
                        <w:txbxContent>
                          <w:p w14:paraId="60A296D5" w14:textId="07CA2DB2" w:rsidR="007F1C4A" w:rsidRPr="00044ED9" w:rsidRDefault="007F1C4A" w:rsidP="007F1C4A">
                            <w:pPr>
                              <w:rPr>
                                <w:b/>
                                <w:i/>
                                <w:szCs w:val="24"/>
                              </w:rPr>
                            </w:pPr>
                            <w:r w:rsidRPr="00044ED9">
                              <w:rPr>
                                <w:b/>
                                <w:i/>
                                <w:szCs w:val="24"/>
                              </w:rPr>
                              <w:t>M</w:t>
                            </w:r>
                            <w:r w:rsidR="0065603B" w:rsidRPr="00044ED9">
                              <w:rPr>
                                <w:b/>
                                <w:i/>
                                <w:szCs w:val="24"/>
                              </w:rPr>
                              <w:t xml:space="preserve">N:  </w:t>
                            </w:r>
                            <w:r w:rsidR="00806897">
                              <w:rPr>
                                <w:b/>
                                <w:i/>
                                <w:szCs w:val="24"/>
                              </w:rPr>
                              <w:t>+</w:t>
                            </w:r>
                            <w:r w:rsidR="00644080">
                              <w:rPr>
                                <w:b/>
                                <w:i/>
                                <w:szCs w:val="24"/>
                              </w:rPr>
                              <w:t>1</w:t>
                            </w:r>
                            <w:r w:rsidR="00C3617C">
                              <w:rPr>
                                <w:b/>
                                <w:i/>
                                <w:szCs w:val="24"/>
                              </w:rPr>
                              <w:t>1</w:t>
                            </w:r>
                            <w:r w:rsidRPr="00044ED9">
                              <w:rPr>
                                <w:b/>
                                <w:i/>
                                <w:szCs w:val="24"/>
                              </w:rPr>
                              <w:t>%</w:t>
                            </w:r>
                          </w:p>
                          <w:p w14:paraId="588145EA" w14:textId="4293E2E6" w:rsidR="007F1C4A" w:rsidRPr="00044ED9" w:rsidRDefault="00293DCF" w:rsidP="007F1C4A">
                            <w:pPr>
                              <w:rPr>
                                <w:b/>
                                <w:i/>
                                <w:szCs w:val="24"/>
                              </w:rPr>
                            </w:pPr>
                            <w:r w:rsidRPr="00044ED9">
                              <w:rPr>
                                <w:b/>
                                <w:i/>
                                <w:szCs w:val="24"/>
                              </w:rPr>
                              <w:t xml:space="preserve">U.S.: </w:t>
                            </w:r>
                            <w:r w:rsidR="00806897">
                              <w:rPr>
                                <w:b/>
                                <w:i/>
                                <w:szCs w:val="24"/>
                              </w:rPr>
                              <w:t xml:space="preserve"> </w:t>
                            </w:r>
                            <w:r w:rsidR="00644080">
                              <w:rPr>
                                <w:b/>
                                <w:i/>
                                <w:szCs w:val="24"/>
                              </w:rPr>
                              <w:t>+</w:t>
                            </w:r>
                            <w:r w:rsidR="00C3617C">
                              <w:rPr>
                                <w:b/>
                                <w:i/>
                                <w:szCs w:val="24"/>
                              </w:rPr>
                              <w:t>3</w:t>
                            </w:r>
                            <w:r w:rsidR="007F1C4A" w:rsidRPr="00044ED9">
                              <w:rPr>
                                <w:b/>
                                <w:i/>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76B40" id="_x0000_s1027" type="#_x0000_t202" alt="&quot;&quot;" style="position:absolute;margin-left:462.55pt;margin-top:94.65pt;width:68pt;height:37.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" filled="f" stroked="f">
                <v:textbox>
                  <w:txbxContent>
                    <w:p w14:paraId="60A296D5" w14:textId="07CA2DB2" w:rsidR="007F1C4A" w:rsidRPr="00044ED9" w:rsidRDefault="007F1C4A" w:rsidP="007F1C4A">
                      <w:pPr>
                        <w:rPr>
                          <w:b/>
                          <w:i/>
                          <w:szCs w:val="24"/>
                        </w:rPr>
                      </w:pPr>
                      <w:r w:rsidRPr="00044ED9">
                        <w:rPr>
                          <w:b/>
                          <w:i/>
                          <w:szCs w:val="24"/>
                        </w:rPr>
                        <w:t>M</w:t>
                      </w:r>
                      <w:r w:rsidR="0065603B" w:rsidRPr="00044ED9">
                        <w:rPr>
                          <w:b/>
                          <w:i/>
                          <w:szCs w:val="24"/>
                        </w:rPr>
                        <w:t xml:space="preserve">N:  </w:t>
                      </w:r>
                      <w:r w:rsidR="00806897">
                        <w:rPr>
                          <w:b/>
                          <w:i/>
                          <w:szCs w:val="24"/>
                        </w:rPr>
                        <w:t>+</w:t>
                      </w:r>
                      <w:r w:rsidR="00644080">
                        <w:rPr>
                          <w:b/>
                          <w:i/>
                          <w:szCs w:val="24"/>
                        </w:rPr>
                        <w:t>1</w:t>
                      </w:r>
                      <w:r w:rsidR="00C3617C">
                        <w:rPr>
                          <w:b/>
                          <w:i/>
                          <w:szCs w:val="24"/>
                        </w:rPr>
                        <w:t>1</w:t>
                      </w:r>
                      <w:r w:rsidRPr="00044ED9">
                        <w:rPr>
                          <w:b/>
                          <w:i/>
                          <w:szCs w:val="24"/>
                        </w:rPr>
                        <w:t>%</w:t>
                      </w:r>
                    </w:p>
                    <w:p w14:paraId="588145EA" w14:textId="4293E2E6" w:rsidR="007F1C4A" w:rsidRPr="00044ED9" w:rsidRDefault="00293DCF" w:rsidP="007F1C4A">
                      <w:pPr>
                        <w:rPr>
                          <w:b/>
                          <w:i/>
                          <w:szCs w:val="24"/>
                        </w:rPr>
                      </w:pPr>
                      <w:r w:rsidRPr="00044ED9">
                        <w:rPr>
                          <w:b/>
                          <w:i/>
                          <w:szCs w:val="24"/>
                        </w:rPr>
                        <w:t xml:space="preserve">U.S.: </w:t>
                      </w:r>
                      <w:r w:rsidR="00806897">
                        <w:rPr>
                          <w:b/>
                          <w:i/>
                          <w:szCs w:val="24"/>
                        </w:rPr>
                        <w:t xml:space="preserve"> </w:t>
                      </w:r>
                      <w:r w:rsidR="00644080">
                        <w:rPr>
                          <w:b/>
                          <w:i/>
                          <w:szCs w:val="24"/>
                        </w:rPr>
                        <w:t>+</w:t>
                      </w:r>
                      <w:r w:rsidR="00C3617C">
                        <w:rPr>
                          <w:b/>
                          <w:i/>
                          <w:szCs w:val="24"/>
                        </w:rPr>
                        <w:t>3</w:t>
                      </w:r>
                      <w:r w:rsidR="007F1C4A" w:rsidRPr="00044ED9">
                        <w:rPr>
                          <w:b/>
                          <w:i/>
                          <w:szCs w:val="24"/>
                        </w:rPr>
                        <w:t>%</w:t>
                      </w:r>
                    </w:p>
                  </w:txbxContent>
                </v:textbox>
                <w10:wrap anchorx="margin"/>
              </v:shape>
            </w:pict>
          </mc:Fallback>
        </mc:AlternateContent>
      </w:r>
      <w:r>
        <w:rPr>
          <w:noProof/>
        </w:rPr>
        <w:drawing>
          <wp:inline distT="0" distB="0" distL="0" distR="0" wp14:anchorId="4531BE45" wp14:editId="2DD1B2D3">
            <wp:extent cx="3223963" cy="1766047"/>
            <wp:effectExtent l="0" t="0" r="0" b="5715"/>
            <wp:docPr id="1498547362" name="Picture 2" descr="US Map of trends between 2023-Q3 and 2024-Q3&#10;State Percent Change 2023-Q3 to 2024-Q3&#10;MN 11%&#10;US 3%&#10;State Percent change, 2023-Q3 to 2024-Q4&#10;AL -13%&#10;AK 11%&#10;AZ 18%&#10;AR -11%&#10;CA 8%&#10;CO 7%&#10;CT 0%&#10;DE 2%&#10;DC 102%&#10;FL 6%&#10;GA 14%&#10;HI 101%&#10;ID 7%&#10;IL 8%&#10;IN 2%&#10;IA -14%&#10;KS -1%&#10;KY 12%&#10;LA -11%&#10;ME 13%&#10;MD -9%&#10;MA 6%&#10;MI -8%&#10;MS 0%&#10;MO 11%&#10;MT 4%&#10;NE -3%&#10;NV 18%&#10;NH -11%&#10;NJ -4%&#10;NM 323%&#10;NY -13%&#10;NC 4%&#10;ND -39%&#10;OH 2%&#10;OK 28%&#10;OR 47%&#10;PA 0%&#10;RI -2%&#10;SC 0%&#10;SD -8%&#10;TN 2%&#10;UT -6%&#10;VT 1%&#10;VA 13%&#10;WA 7%&#10;WV 11%&#10;WI -1%&#10;W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47362" name="Picture 2" descr="US Map of trends between 2023-Q3 and 2024-Q3&#10;State Percent Change 2023-Q3 to 2024-Q3&#10;MN 11%&#10;US 3%&#10;State Percent change, 2023-Q3 to 2024-Q4&#10;AL -13%&#10;AK 11%&#10;AZ 18%&#10;AR -11%&#10;CA 8%&#10;CO 7%&#10;CT 0%&#10;DE 2%&#10;DC 102%&#10;FL 6%&#10;GA 14%&#10;HI 101%&#10;ID 7%&#10;IL 8%&#10;IN 2%&#10;IA -14%&#10;KS -1%&#10;KY 12%&#10;LA -11%&#10;ME 13%&#10;MD -9%&#10;MA 6%&#10;MI -8%&#10;MS 0%&#10;MO 11%&#10;MT 4%&#10;NE -3%&#10;NV 18%&#10;NH -11%&#10;NJ -4%&#10;NM 323%&#10;NY -13%&#10;NC 4%&#10;ND -39%&#10;OH 2%&#10;OK 28%&#10;OR 47%&#10;PA 0%&#10;RI -2%&#10;SC 0%&#10;SD -8%&#10;TN 2%&#10;UT -6%&#10;VT 1%&#10;VA 13%&#10;WA 7%&#10;WV 11%&#10;WI -1%&#10;WY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601" t="12284" r="289" b="9742"/>
                    <a:stretch/>
                  </pic:blipFill>
                  <pic:spPr bwMode="auto">
                    <a:xfrm>
                      <a:off x="0" y="0"/>
                      <a:ext cx="3231364" cy="1770101"/>
                    </a:xfrm>
                    <a:prstGeom prst="rect">
                      <a:avLst/>
                    </a:prstGeom>
                    <a:noFill/>
                    <a:ln>
                      <a:noFill/>
                    </a:ln>
                    <a:extLst>
                      <a:ext uri="{53640926-AAD7-44D8-BBD7-CCE9431645EC}">
                        <a14:shadowObscured xmlns:a14="http://schemas.microsoft.com/office/drawing/2010/main"/>
                      </a:ext>
                    </a:extLst>
                  </pic:spPr>
                </pic:pic>
              </a:graphicData>
            </a:graphic>
          </wp:inline>
        </w:drawing>
      </w:r>
    </w:p>
    <w:p w14:paraId="6B23B2F3" w14:textId="2C0BA6C6" w:rsidR="00BE4DAD" w:rsidRPr="009671E4" w:rsidRDefault="00A52415" w:rsidP="009F4D89">
      <w:pPr>
        <w:spacing w:line="271" w:lineRule="auto"/>
        <w:rPr>
          <w:rFonts w:ascii="Arial Narrow" w:hAnsi="Arial Narrow"/>
          <w:sz w:val="2"/>
          <w:szCs w:val="2"/>
        </w:rPr>
        <w:sectPr w:rsidR="00BE4DAD" w:rsidRPr="009671E4" w:rsidSect="00FE15EB">
          <w:footnotePr>
            <w:numRestart w:val="eachSect"/>
          </w:footnotePr>
          <w:endnotePr>
            <w:numFmt w:val="decimal"/>
          </w:endnotePr>
          <w:type w:val="continuous"/>
          <w:pgSz w:w="12240" w:h="15840" w:code="1"/>
          <w:pgMar w:top="864" w:right="1008" w:bottom="864" w:left="1008" w:header="720" w:footer="720" w:gutter="0"/>
          <w:cols w:num="2" w:space="450"/>
          <w:titlePg/>
          <w:docGrid w:linePitch="299"/>
        </w:sectPr>
      </w:pPr>
      <w:r w:rsidRPr="009671E4">
        <w:rPr>
          <w:rFonts w:ascii="Arial Narrow" w:hAnsi="Arial Narrow"/>
          <w:noProof/>
          <w:sz w:val="2"/>
          <w:szCs w:val="2"/>
        </w:rPr>
        <w:drawing>
          <wp:inline distT="0" distB="0" distL="0" distR="0" wp14:anchorId="5C21AFCD" wp14:editId="6F2E3F86">
            <wp:extent cx="1126069" cy="160867"/>
            <wp:effectExtent l="0" t="0" r="0" b="0"/>
            <wp:docPr id="7" name="Picture 7" descr="Map color legend. yellow for decline, green for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 color legend. yellow for decline, green for growth"/>
                    <pic:cNvPicPr>
                      <a:picLocks noChangeAspect="1" noChangeArrowheads="1"/>
                    </pic:cNvPicPr>
                  </pic:nvPicPr>
                  <pic:blipFill rotWithShape="1">
                    <a:blip r:embed="rId16">
                      <a:extLst>
                        <a:ext uri="{28A0092B-C50C-407E-A947-70E740481C1C}">
                          <a14:useLocalDpi xmlns:a14="http://schemas.microsoft.com/office/drawing/2010/main" val="0"/>
                        </a:ext>
                      </a:extLst>
                    </a:blip>
                    <a:srcRect t="41379" b="24138"/>
                    <a:stretch/>
                  </pic:blipFill>
                  <pic:spPr bwMode="auto">
                    <a:xfrm>
                      <a:off x="0" y="0"/>
                      <a:ext cx="1132027" cy="161718"/>
                    </a:xfrm>
                    <a:prstGeom prst="rect">
                      <a:avLst/>
                    </a:prstGeom>
                    <a:noFill/>
                    <a:ln>
                      <a:noFill/>
                    </a:ln>
                    <a:extLst>
                      <a:ext uri="{53640926-AAD7-44D8-BBD7-CCE9431645EC}">
                        <a14:shadowObscured xmlns:a14="http://schemas.microsoft.com/office/drawing/2010/main"/>
                      </a:ext>
                    </a:extLst>
                  </pic:spPr>
                </pic:pic>
              </a:graphicData>
            </a:graphic>
          </wp:inline>
        </w:drawing>
      </w:r>
    </w:p>
    <w:p w14:paraId="3B7C68EA" w14:textId="6E59DDDB" w:rsidR="004B25EA" w:rsidRPr="009671E4" w:rsidRDefault="00BF47F6" w:rsidP="000341DE">
      <w:pPr>
        <w:pStyle w:val="Heading2"/>
        <w:rPr>
          <w:rFonts w:cstheme="minorHAnsi"/>
          <w:i/>
          <w:iCs/>
          <w:color w:val="auto"/>
          <w:sz w:val="28"/>
          <w:szCs w:val="28"/>
        </w:rPr>
      </w:pPr>
      <w:r w:rsidRPr="009671E4">
        <w:rPr>
          <w:rFonts w:cstheme="minorHAnsi"/>
          <w:i/>
          <w:iCs/>
          <w:color w:val="auto"/>
          <w:sz w:val="28"/>
          <w:szCs w:val="28"/>
        </w:rPr>
        <w:t xml:space="preserve">Minnesota </w:t>
      </w:r>
      <w:r w:rsidR="004C5C9C" w:rsidRPr="009671E4">
        <w:rPr>
          <w:rFonts w:cstheme="minorHAnsi"/>
          <w:i/>
          <w:iCs/>
          <w:color w:val="auto"/>
          <w:sz w:val="28"/>
          <w:szCs w:val="28"/>
        </w:rPr>
        <w:t>Exports</w:t>
      </w:r>
      <w:r w:rsidRPr="009671E4">
        <w:rPr>
          <w:rFonts w:cstheme="minorHAnsi"/>
          <w:i/>
          <w:iCs/>
          <w:color w:val="auto"/>
          <w:sz w:val="28"/>
          <w:szCs w:val="28"/>
        </w:rPr>
        <w:t xml:space="preserve"> Strongly </w:t>
      </w:r>
      <w:r w:rsidR="00D76B16" w:rsidRPr="009671E4">
        <w:rPr>
          <w:rFonts w:cstheme="minorHAnsi"/>
          <w:i/>
          <w:iCs/>
          <w:color w:val="auto"/>
          <w:sz w:val="28"/>
          <w:szCs w:val="28"/>
        </w:rPr>
        <w:t xml:space="preserve">Perform </w:t>
      </w:r>
      <w:r w:rsidRPr="009671E4">
        <w:rPr>
          <w:rFonts w:cstheme="minorHAnsi"/>
          <w:i/>
          <w:iCs/>
          <w:color w:val="auto"/>
          <w:sz w:val="28"/>
          <w:szCs w:val="28"/>
        </w:rPr>
        <w:t>in</w:t>
      </w:r>
      <w:r w:rsidR="005B1272" w:rsidRPr="009671E4">
        <w:rPr>
          <w:rFonts w:cstheme="minorHAnsi"/>
          <w:i/>
          <w:iCs/>
          <w:color w:val="auto"/>
          <w:sz w:val="28"/>
          <w:szCs w:val="28"/>
        </w:rPr>
        <w:t xml:space="preserve"> North America, Asia and the Middle East</w:t>
      </w:r>
    </w:p>
    <w:p w14:paraId="1D57811F" w14:textId="4890F2AB" w:rsidR="00B73EB2" w:rsidRPr="009671E4" w:rsidRDefault="00C71379" w:rsidP="00C71379">
      <w:pPr>
        <w:pStyle w:val="ListParagraph"/>
        <w:numPr>
          <w:ilvl w:val="0"/>
          <w:numId w:val="21"/>
        </w:numPr>
        <w:spacing w:line="271" w:lineRule="auto"/>
        <w:rPr>
          <w:b/>
          <w:bCs/>
        </w:rPr>
      </w:pPr>
      <w:r w:rsidRPr="009671E4">
        <w:t>The state’s two largest markets</w:t>
      </w:r>
      <w:r w:rsidR="00D83408" w:rsidRPr="009671E4">
        <w:t xml:space="preserve">, </w:t>
      </w:r>
      <w:r w:rsidR="00B73EB2" w:rsidRPr="009671E4">
        <w:rPr>
          <w:b/>
          <w:bCs/>
        </w:rPr>
        <w:t>Canada</w:t>
      </w:r>
      <w:r w:rsidR="00B73EB2" w:rsidRPr="009671E4">
        <w:t xml:space="preserve"> (up 16%) and </w:t>
      </w:r>
      <w:r w:rsidR="00B73EB2" w:rsidRPr="009671E4">
        <w:rPr>
          <w:b/>
          <w:bCs/>
        </w:rPr>
        <w:t xml:space="preserve">Mexico </w:t>
      </w:r>
      <w:r w:rsidR="00B73EB2" w:rsidRPr="009671E4">
        <w:t>(up 30%)</w:t>
      </w:r>
      <w:r w:rsidR="00D83408" w:rsidRPr="009671E4">
        <w:t>, contributed significant gains</w:t>
      </w:r>
      <w:r w:rsidR="00B73EB2" w:rsidRPr="009671E4">
        <w:t>.</w:t>
      </w:r>
      <w:r w:rsidR="00B07150" w:rsidRPr="009671E4">
        <w:t xml:space="preserve"> </w:t>
      </w:r>
      <w:r w:rsidR="00B07150" w:rsidRPr="009671E4">
        <w:rPr>
          <w:b/>
          <w:bCs/>
        </w:rPr>
        <w:t>M</w:t>
      </w:r>
      <w:r w:rsidR="00B73EB2" w:rsidRPr="009671E4">
        <w:rPr>
          <w:b/>
          <w:bCs/>
        </w:rPr>
        <w:t>ineral fuel, oi</w:t>
      </w:r>
      <w:r w:rsidRPr="009671E4">
        <w:rPr>
          <w:b/>
          <w:bCs/>
        </w:rPr>
        <w:t>l</w:t>
      </w:r>
      <w:r w:rsidR="00B07150" w:rsidRPr="009671E4">
        <w:rPr>
          <w:b/>
          <w:bCs/>
        </w:rPr>
        <w:t xml:space="preserve"> </w:t>
      </w:r>
      <w:r w:rsidR="0075449A" w:rsidRPr="009671E4">
        <w:t>(</w:t>
      </w:r>
      <w:r w:rsidR="00B07150" w:rsidRPr="009671E4">
        <w:t>up $504 million</w:t>
      </w:r>
      <w:r w:rsidR="0075449A" w:rsidRPr="009671E4">
        <w:t xml:space="preserve"> to </w:t>
      </w:r>
      <w:r w:rsidR="0075449A" w:rsidRPr="009671E4">
        <w:rPr>
          <w:b/>
          <w:bCs/>
        </w:rPr>
        <w:t>Canada</w:t>
      </w:r>
      <w:r w:rsidR="00B07150" w:rsidRPr="009671E4">
        <w:t xml:space="preserve">) </w:t>
      </w:r>
      <w:r w:rsidR="00D83408" w:rsidRPr="009671E4">
        <w:t>strongly</w:t>
      </w:r>
      <w:r w:rsidR="005B1272" w:rsidRPr="009671E4">
        <w:t xml:space="preserve"> dr</w:t>
      </w:r>
      <w:r w:rsidR="00D83408" w:rsidRPr="009671E4">
        <w:t>ove</w:t>
      </w:r>
      <w:r w:rsidR="005B1272" w:rsidRPr="009671E4">
        <w:t xml:space="preserve"> of growth to </w:t>
      </w:r>
      <w:r w:rsidR="0075449A" w:rsidRPr="009671E4">
        <w:t>Canada</w:t>
      </w:r>
      <w:r w:rsidR="005B1272" w:rsidRPr="009671E4">
        <w:t xml:space="preserve">, </w:t>
      </w:r>
      <w:r w:rsidRPr="009671E4">
        <w:t xml:space="preserve">while </w:t>
      </w:r>
      <w:r w:rsidR="005B1272" w:rsidRPr="009671E4">
        <w:t xml:space="preserve">many </w:t>
      </w:r>
      <w:r w:rsidR="00B07150" w:rsidRPr="009671E4">
        <w:t>products</w:t>
      </w:r>
      <w:r w:rsidR="00B73EB2" w:rsidRPr="009671E4">
        <w:t xml:space="preserve"> (</w:t>
      </w:r>
      <w:r w:rsidR="005B1272" w:rsidRPr="009671E4">
        <w:t>such as</w:t>
      </w:r>
      <w:r w:rsidR="00B73EB2" w:rsidRPr="009671E4">
        <w:t xml:space="preserve"> </w:t>
      </w:r>
      <w:r w:rsidR="00B73EB2" w:rsidRPr="009671E4">
        <w:rPr>
          <w:b/>
          <w:bCs/>
        </w:rPr>
        <w:t>electrical equipment, machiner</w:t>
      </w:r>
      <w:r w:rsidRPr="009671E4">
        <w:rPr>
          <w:b/>
          <w:bCs/>
        </w:rPr>
        <w:t xml:space="preserve">y, </w:t>
      </w:r>
      <w:r w:rsidR="00B73EB2" w:rsidRPr="009671E4">
        <w:rPr>
          <w:b/>
          <w:bCs/>
        </w:rPr>
        <w:t>oil seeds</w:t>
      </w:r>
      <w:r w:rsidRPr="009671E4">
        <w:rPr>
          <w:b/>
          <w:bCs/>
        </w:rPr>
        <w:t>/</w:t>
      </w:r>
      <w:r w:rsidR="00B73EB2" w:rsidRPr="009671E4">
        <w:rPr>
          <w:b/>
          <w:bCs/>
        </w:rPr>
        <w:t>misc</w:t>
      </w:r>
      <w:r w:rsidRPr="009671E4">
        <w:rPr>
          <w:b/>
          <w:bCs/>
        </w:rPr>
        <w:t>.</w:t>
      </w:r>
      <w:r w:rsidR="00B73EB2" w:rsidRPr="009671E4">
        <w:rPr>
          <w:b/>
          <w:bCs/>
        </w:rPr>
        <w:t xml:space="preserve"> grain</w:t>
      </w:r>
      <w:r w:rsidRPr="009671E4">
        <w:rPr>
          <w:b/>
          <w:bCs/>
        </w:rPr>
        <w:t>,</w:t>
      </w:r>
      <w:r w:rsidRPr="009671E4">
        <w:t xml:space="preserve"> and</w:t>
      </w:r>
      <w:r w:rsidRPr="009671E4">
        <w:rPr>
          <w:b/>
          <w:bCs/>
        </w:rPr>
        <w:t xml:space="preserve"> optic/medical</w:t>
      </w:r>
      <w:r w:rsidR="00B73EB2" w:rsidRPr="009671E4">
        <w:t xml:space="preserve">) </w:t>
      </w:r>
      <w:r w:rsidRPr="009671E4">
        <w:t>supported gains</w:t>
      </w:r>
      <w:r w:rsidR="00B73EB2" w:rsidRPr="009671E4">
        <w:t xml:space="preserve"> to </w:t>
      </w:r>
      <w:r w:rsidR="00B73EB2" w:rsidRPr="009671E4">
        <w:rPr>
          <w:b/>
          <w:bCs/>
        </w:rPr>
        <w:t xml:space="preserve">Mexico. </w:t>
      </w:r>
    </w:p>
    <w:p w14:paraId="09102A02" w14:textId="3D2E8964" w:rsidR="00F5610C" w:rsidRPr="009671E4" w:rsidRDefault="00527152" w:rsidP="005C4B4F">
      <w:pPr>
        <w:pStyle w:val="ListParagraph"/>
        <w:numPr>
          <w:ilvl w:val="0"/>
          <w:numId w:val="21"/>
        </w:numPr>
        <w:spacing w:line="271" w:lineRule="auto"/>
      </w:pPr>
      <w:r w:rsidRPr="009671E4">
        <w:t>Exports to</w:t>
      </w:r>
      <w:r w:rsidR="007405DC" w:rsidRPr="009671E4">
        <w:t xml:space="preserve"> </w:t>
      </w:r>
      <w:r w:rsidR="007405DC" w:rsidRPr="009671E4">
        <w:rPr>
          <w:b/>
          <w:bCs/>
        </w:rPr>
        <w:t>Asia</w:t>
      </w:r>
      <w:r w:rsidR="007405DC" w:rsidRPr="009671E4">
        <w:t xml:space="preserve"> </w:t>
      </w:r>
      <w:r w:rsidR="00BF47F6" w:rsidRPr="009671E4">
        <w:t>grew</w:t>
      </w:r>
      <w:r w:rsidR="00C5519E" w:rsidRPr="009671E4">
        <w:t xml:space="preserve"> </w:t>
      </w:r>
      <w:r w:rsidR="00B07150" w:rsidRPr="009671E4">
        <w:t>18</w:t>
      </w:r>
      <w:r w:rsidR="007405DC" w:rsidRPr="009671E4">
        <w:t>%</w:t>
      </w:r>
      <w:r w:rsidR="00BF47F6" w:rsidRPr="009671E4">
        <w:t xml:space="preserve"> to $1.</w:t>
      </w:r>
      <w:r w:rsidR="00B07150" w:rsidRPr="009671E4">
        <w:t>8</w:t>
      </w:r>
      <w:r w:rsidR="00BF47F6" w:rsidRPr="009671E4">
        <w:t xml:space="preserve"> billion</w:t>
      </w:r>
      <w:r w:rsidR="00B07150" w:rsidRPr="009671E4">
        <w:t xml:space="preserve"> due to surging </w:t>
      </w:r>
      <w:r w:rsidR="005B1272" w:rsidRPr="009671E4">
        <w:t>demand for Minnesota goods</w:t>
      </w:r>
      <w:r w:rsidR="005C4B4F" w:rsidRPr="009671E4">
        <w:t xml:space="preserve"> –</w:t>
      </w:r>
      <w:r w:rsidR="00D83408" w:rsidRPr="009671E4">
        <w:t xml:space="preserve"> such as</w:t>
      </w:r>
      <w:r w:rsidR="005C4B4F" w:rsidRPr="009671E4">
        <w:t xml:space="preserve"> </w:t>
      </w:r>
      <w:r w:rsidR="005C4B4F" w:rsidRPr="009671E4">
        <w:rPr>
          <w:b/>
          <w:bCs/>
        </w:rPr>
        <w:t xml:space="preserve">optic/medical, machinery </w:t>
      </w:r>
      <w:r w:rsidR="005C4B4F" w:rsidRPr="009671E4">
        <w:t>and</w:t>
      </w:r>
      <w:r w:rsidR="005C4B4F" w:rsidRPr="009671E4">
        <w:rPr>
          <w:b/>
          <w:bCs/>
        </w:rPr>
        <w:t xml:space="preserve"> electrical </w:t>
      </w:r>
      <w:r w:rsidR="005C4B4F" w:rsidRPr="009671E4">
        <w:t>goods –</w:t>
      </w:r>
      <w:r w:rsidR="00B07150" w:rsidRPr="009671E4">
        <w:t xml:space="preserve"> </w:t>
      </w:r>
      <w:r w:rsidR="005C4B4F" w:rsidRPr="009671E4">
        <w:t>in</w:t>
      </w:r>
      <w:r w:rsidR="00B07150" w:rsidRPr="009671E4">
        <w:t xml:space="preserve"> </w:t>
      </w:r>
      <w:r w:rsidR="00B07150" w:rsidRPr="009671E4">
        <w:rPr>
          <w:b/>
          <w:bCs/>
        </w:rPr>
        <w:t>Japan</w:t>
      </w:r>
      <w:r w:rsidR="00BF47F6" w:rsidRPr="009671E4">
        <w:t xml:space="preserve"> (up </w:t>
      </w:r>
      <w:r w:rsidR="00B07150" w:rsidRPr="009671E4">
        <w:t>54</w:t>
      </w:r>
      <w:r w:rsidR="00BF47F6" w:rsidRPr="009671E4">
        <w:t xml:space="preserve">%), </w:t>
      </w:r>
      <w:r w:rsidR="00B06B04" w:rsidRPr="009671E4">
        <w:rPr>
          <w:b/>
          <w:bCs/>
        </w:rPr>
        <w:t>Thailand</w:t>
      </w:r>
      <w:r w:rsidR="004D7918" w:rsidRPr="009671E4">
        <w:t xml:space="preserve"> (up </w:t>
      </w:r>
      <w:r w:rsidR="00B07150" w:rsidRPr="009671E4">
        <w:t>80</w:t>
      </w:r>
      <w:r w:rsidR="004D7918" w:rsidRPr="009671E4">
        <w:t>%</w:t>
      </w:r>
      <w:r w:rsidR="00BF47F6" w:rsidRPr="009671E4">
        <w:t>)</w:t>
      </w:r>
      <w:r w:rsidR="005C4B4F" w:rsidRPr="009671E4">
        <w:t>,</w:t>
      </w:r>
      <w:r w:rsidR="002A1776" w:rsidRPr="009671E4">
        <w:rPr>
          <w:bCs/>
        </w:rPr>
        <w:t xml:space="preserve"> </w:t>
      </w:r>
      <w:r w:rsidR="00B07150" w:rsidRPr="009671E4">
        <w:rPr>
          <w:b/>
        </w:rPr>
        <w:t xml:space="preserve">Taiwan </w:t>
      </w:r>
      <w:r w:rsidR="00B07150" w:rsidRPr="009671E4">
        <w:rPr>
          <w:bCs/>
        </w:rPr>
        <w:t>(up 56%)</w:t>
      </w:r>
      <w:r w:rsidR="005B1272" w:rsidRPr="009671E4">
        <w:rPr>
          <w:bCs/>
        </w:rPr>
        <w:t xml:space="preserve"> and</w:t>
      </w:r>
      <w:r w:rsidR="00B07150" w:rsidRPr="009671E4">
        <w:rPr>
          <w:bCs/>
        </w:rPr>
        <w:t xml:space="preserve"> </w:t>
      </w:r>
      <w:r w:rsidR="004C5C9C" w:rsidRPr="009671E4">
        <w:rPr>
          <w:b/>
          <w:bCs/>
        </w:rPr>
        <w:t xml:space="preserve">Korea </w:t>
      </w:r>
      <w:r w:rsidR="004C5C9C" w:rsidRPr="009671E4">
        <w:t xml:space="preserve">(up </w:t>
      </w:r>
      <w:r w:rsidR="00B07150" w:rsidRPr="009671E4">
        <w:t>42</w:t>
      </w:r>
      <w:r w:rsidR="004C5C9C" w:rsidRPr="009671E4">
        <w:t>%)</w:t>
      </w:r>
      <w:r w:rsidR="005B1272" w:rsidRPr="009671E4">
        <w:t>.</w:t>
      </w:r>
    </w:p>
    <w:p w14:paraId="712FA7E4" w14:textId="3AFE8DE1" w:rsidR="005B1272" w:rsidRPr="009671E4" w:rsidRDefault="00E858A9" w:rsidP="000F733F">
      <w:pPr>
        <w:pStyle w:val="ListParagraph"/>
        <w:numPr>
          <w:ilvl w:val="0"/>
          <w:numId w:val="10"/>
        </w:numPr>
        <w:spacing w:before="120" w:after="120" w:line="271" w:lineRule="auto"/>
      </w:pPr>
      <w:bookmarkStart w:id="0" w:name="_Hlk71710426"/>
      <w:r w:rsidRPr="009671E4">
        <w:t xml:space="preserve">Exports to the </w:t>
      </w:r>
      <w:r w:rsidRPr="009671E4">
        <w:rPr>
          <w:b/>
          <w:bCs/>
        </w:rPr>
        <w:t>Middle East</w:t>
      </w:r>
      <w:r w:rsidRPr="009671E4">
        <w:t xml:space="preserve"> </w:t>
      </w:r>
      <w:r w:rsidR="00D83408" w:rsidRPr="009671E4">
        <w:t>leap</w:t>
      </w:r>
      <w:r w:rsidRPr="009671E4">
        <w:t xml:space="preserve">ed </w:t>
      </w:r>
      <w:r w:rsidR="005B1272" w:rsidRPr="009671E4">
        <w:t>27</w:t>
      </w:r>
      <w:r w:rsidRPr="009671E4">
        <w:t>% to $1</w:t>
      </w:r>
      <w:r w:rsidR="005B1272" w:rsidRPr="009671E4">
        <w:t>29</w:t>
      </w:r>
      <w:r w:rsidRPr="009671E4">
        <w:t xml:space="preserve"> million, </w:t>
      </w:r>
      <w:r w:rsidR="005C4B4F" w:rsidRPr="009671E4">
        <w:t xml:space="preserve">fueled by strong </w:t>
      </w:r>
      <w:r w:rsidR="00F24F70" w:rsidRPr="009671E4">
        <w:t>sales</w:t>
      </w:r>
      <w:r w:rsidR="005C4B4F" w:rsidRPr="009671E4">
        <w:t xml:space="preserve"> </w:t>
      </w:r>
      <w:r w:rsidR="00F24F70" w:rsidRPr="009671E4">
        <w:t>to</w:t>
      </w:r>
      <w:r w:rsidRPr="009671E4">
        <w:t xml:space="preserve"> </w:t>
      </w:r>
      <w:r w:rsidR="00C8413F" w:rsidRPr="009671E4">
        <w:t xml:space="preserve">the </w:t>
      </w:r>
      <w:r w:rsidRPr="009671E4">
        <w:rPr>
          <w:b/>
          <w:bCs/>
        </w:rPr>
        <w:t>UAE</w:t>
      </w:r>
      <w:r w:rsidRPr="009671E4">
        <w:t xml:space="preserve"> (</w:t>
      </w:r>
      <w:r w:rsidR="005B1272" w:rsidRPr="009671E4">
        <w:t>$55</w:t>
      </w:r>
      <w:r w:rsidRPr="009671E4">
        <w:t xml:space="preserve"> million</w:t>
      </w:r>
      <w:r w:rsidR="005B1272" w:rsidRPr="009671E4">
        <w:t>, up 77%</w:t>
      </w:r>
      <w:r w:rsidRPr="009671E4">
        <w:t>)</w:t>
      </w:r>
      <w:r w:rsidR="005B1272" w:rsidRPr="009671E4">
        <w:t xml:space="preserve"> </w:t>
      </w:r>
      <w:r w:rsidR="00F24F70" w:rsidRPr="009671E4">
        <w:t>of</w:t>
      </w:r>
      <w:r w:rsidR="005C4B4F" w:rsidRPr="009671E4">
        <w:t xml:space="preserve"> </w:t>
      </w:r>
      <w:r w:rsidR="005B1272" w:rsidRPr="009671E4">
        <w:rPr>
          <w:b/>
          <w:bCs/>
        </w:rPr>
        <w:t>machinery</w:t>
      </w:r>
      <w:r w:rsidR="005B1272" w:rsidRPr="009671E4">
        <w:t xml:space="preserve"> (up $8 million), </w:t>
      </w:r>
      <w:r w:rsidR="005B1272" w:rsidRPr="009671E4">
        <w:rPr>
          <w:b/>
          <w:bCs/>
        </w:rPr>
        <w:t>railway equipment</w:t>
      </w:r>
      <w:r w:rsidR="005B1272" w:rsidRPr="009671E4">
        <w:t xml:space="preserve"> (up $8 million) and </w:t>
      </w:r>
      <w:r w:rsidR="005B1272" w:rsidRPr="009671E4">
        <w:rPr>
          <w:b/>
          <w:bCs/>
        </w:rPr>
        <w:t>aircraft</w:t>
      </w:r>
      <w:r w:rsidR="005B1272" w:rsidRPr="009671E4">
        <w:t xml:space="preserve"> (up $7 million)</w:t>
      </w:r>
      <w:r w:rsidR="005C4B4F" w:rsidRPr="009671E4">
        <w:t xml:space="preserve"> products.</w:t>
      </w:r>
    </w:p>
    <w:p w14:paraId="03CF38FF" w14:textId="5EB9DEDD" w:rsidR="00C8413F" w:rsidRPr="009671E4" w:rsidRDefault="005C4B4F" w:rsidP="000F733F">
      <w:pPr>
        <w:pStyle w:val="ListParagraph"/>
        <w:numPr>
          <w:ilvl w:val="0"/>
          <w:numId w:val="10"/>
        </w:numPr>
        <w:spacing w:before="120" w:after="120" w:line="271" w:lineRule="auto"/>
      </w:pPr>
      <w:r w:rsidRPr="009671E4">
        <w:t xml:space="preserve">However, </w:t>
      </w:r>
      <w:r w:rsidR="00E858A9" w:rsidRPr="009671E4">
        <w:t xml:space="preserve">Minnesota </w:t>
      </w:r>
      <w:r w:rsidRPr="009671E4">
        <w:t>exports</w:t>
      </w:r>
      <w:r w:rsidR="00E858A9" w:rsidRPr="009671E4">
        <w:t xml:space="preserve"> s</w:t>
      </w:r>
      <w:r w:rsidR="005B1272" w:rsidRPr="009671E4">
        <w:t>lumpe</w:t>
      </w:r>
      <w:r w:rsidR="00E858A9" w:rsidRPr="009671E4">
        <w:t>d to</w:t>
      </w:r>
      <w:r w:rsidR="005B1272" w:rsidRPr="009671E4">
        <w:t xml:space="preserve"> the</w:t>
      </w:r>
      <w:r w:rsidR="00E858A9" w:rsidRPr="009671E4">
        <w:t xml:space="preserve"> </w:t>
      </w:r>
      <w:r w:rsidR="005B1272" w:rsidRPr="009671E4">
        <w:rPr>
          <w:b/>
          <w:bCs/>
        </w:rPr>
        <w:t xml:space="preserve">European Union </w:t>
      </w:r>
      <w:r w:rsidR="005B1272" w:rsidRPr="009671E4">
        <w:t>(down 10%), the</w:t>
      </w:r>
      <w:r w:rsidR="00E858A9" w:rsidRPr="009671E4">
        <w:t xml:space="preserve"> </w:t>
      </w:r>
      <w:r w:rsidR="00E858A9" w:rsidRPr="009671E4">
        <w:rPr>
          <w:b/>
          <w:bCs/>
        </w:rPr>
        <w:t>Caribbean, Central and South America</w:t>
      </w:r>
      <w:r w:rsidR="00E858A9" w:rsidRPr="009671E4">
        <w:t xml:space="preserve"> (</w:t>
      </w:r>
      <w:r w:rsidR="005B1272" w:rsidRPr="009671E4">
        <w:t>down</w:t>
      </w:r>
      <w:r w:rsidR="00E858A9" w:rsidRPr="009671E4">
        <w:t xml:space="preserve"> </w:t>
      </w:r>
      <w:r w:rsidR="005B1272" w:rsidRPr="009671E4">
        <w:t>14</w:t>
      </w:r>
      <w:r w:rsidR="00E858A9" w:rsidRPr="009671E4">
        <w:t>%),</w:t>
      </w:r>
      <w:r w:rsidR="00D83408" w:rsidRPr="009671E4">
        <w:t xml:space="preserve"> the</w:t>
      </w:r>
      <w:r w:rsidR="00E858A9" w:rsidRPr="009671E4">
        <w:t xml:space="preserve"> </w:t>
      </w:r>
      <w:r w:rsidR="00E858A9" w:rsidRPr="009671E4">
        <w:rPr>
          <w:b/>
          <w:bCs/>
        </w:rPr>
        <w:t xml:space="preserve">Australia-Pacific </w:t>
      </w:r>
      <w:r w:rsidR="00D83408" w:rsidRPr="009671E4">
        <w:t xml:space="preserve">region </w:t>
      </w:r>
      <w:r w:rsidR="00E858A9" w:rsidRPr="009671E4">
        <w:t>(</w:t>
      </w:r>
      <w:r w:rsidR="005B1272" w:rsidRPr="009671E4">
        <w:t xml:space="preserve">down </w:t>
      </w:r>
      <w:r w:rsidR="00E858A9" w:rsidRPr="009671E4">
        <w:t>1</w:t>
      </w:r>
      <w:r w:rsidR="005B1272" w:rsidRPr="009671E4">
        <w:t>0</w:t>
      </w:r>
      <w:r w:rsidR="00E858A9" w:rsidRPr="009671E4">
        <w:t xml:space="preserve">%) and </w:t>
      </w:r>
      <w:r w:rsidR="00E858A9" w:rsidRPr="009671E4">
        <w:rPr>
          <w:b/>
          <w:bCs/>
        </w:rPr>
        <w:t xml:space="preserve">Africa </w:t>
      </w:r>
      <w:r w:rsidR="00E858A9" w:rsidRPr="009671E4">
        <w:t>(</w:t>
      </w:r>
      <w:r w:rsidR="00D83408" w:rsidRPr="009671E4">
        <w:t>down</w:t>
      </w:r>
      <w:r w:rsidR="00E858A9" w:rsidRPr="009671E4">
        <w:t xml:space="preserve"> </w:t>
      </w:r>
      <w:r w:rsidR="005B1272" w:rsidRPr="009671E4">
        <w:t>9</w:t>
      </w:r>
      <w:r w:rsidR="00E858A9" w:rsidRPr="009671E4">
        <w:t>%)</w:t>
      </w:r>
      <w:r w:rsidRPr="009671E4">
        <w:t xml:space="preserve"> in the third quarter.</w:t>
      </w:r>
    </w:p>
    <w:bookmarkEnd w:id="0"/>
    <w:p w14:paraId="481CD972" w14:textId="51AAFCA3" w:rsidR="007C165F" w:rsidRPr="009671E4" w:rsidRDefault="007C165F" w:rsidP="00A930DA">
      <w:pPr>
        <w:pStyle w:val="Heading4"/>
        <w:spacing w:before="120" w:after="120"/>
      </w:pPr>
      <w:r w:rsidRPr="009671E4">
        <w:t xml:space="preserve">Figure </w:t>
      </w:r>
      <w:r w:rsidR="00E36364" w:rsidRPr="009671E4">
        <w:fldChar w:fldCharType="begin"/>
      </w:r>
      <w:r w:rsidR="00E36364" w:rsidRPr="009671E4">
        <w:instrText xml:space="preserve"> SEQ Figure \* ARABIC </w:instrText>
      </w:r>
      <w:r w:rsidR="00E36364" w:rsidRPr="009671E4">
        <w:fldChar w:fldCharType="separate"/>
      </w:r>
      <w:r w:rsidR="00C430F8" w:rsidRPr="009671E4">
        <w:t>2</w:t>
      </w:r>
      <w:r w:rsidR="00E36364" w:rsidRPr="009671E4">
        <w:fldChar w:fldCharType="end"/>
      </w:r>
      <w:r w:rsidR="00C84D0E" w:rsidRPr="009671E4">
        <w:t xml:space="preserve">. </w:t>
      </w:r>
      <w:r w:rsidR="00A44451" w:rsidRPr="009671E4">
        <w:t>Export Trends for</w:t>
      </w:r>
      <w:r w:rsidR="0038665A" w:rsidRPr="009671E4">
        <w:t xml:space="preserve"> Minnesota’s Top 10 Markets, </w:t>
      </w:r>
      <w:r w:rsidR="006042ED" w:rsidRPr="009671E4">
        <w:t>Third</w:t>
      </w:r>
      <w:r w:rsidR="00375ACF" w:rsidRPr="009671E4">
        <w:t xml:space="preserve"> </w:t>
      </w:r>
      <w:r w:rsidR="00725672" w:rsidRPr="009671E4">
        <w:t>Q</w:t>
      </w:r>
      <w:r w:rsidR="00375ACF" w:rsidRPr="009671E4">
        <w:t>uarter</w:t>
      </w:r>
      <w:r w:rsidR="00A52415" w:rsidRPr="009671E4">
        <w:t xml:space="preserve"> </w:t>
      </w:r>
      <w:r w:rsidR="001B6E5E" w:rsidRPr="009671E4">
        <w:t>2024</w:t>
      </w:r>
    </w:p>
    <w:p w14:paraId="11C01A8F" w14:textId="521FD56A" w:rsidR="004F5EFC" w:rsidRPr="009671E4" w:rsidRDefault="00C3617C" w:rsidP="00C3617C">
      <w:r w:rsidRPr="009671E4">
        <w:rPr>
          <w:noProof/>
        </w:rPr>
        <w:drawing>
          <wp:inline distT="0" distB="0" distL="0" distR="0" wp14:anchorId="7013AF4C" wp14:editId="1B1F7302">
            <wp:extent cx="6301740" cy="1992715"/>
            <wp:effectExtent l="0" t="0" r="3810" b="7620"/>
            <wp:docPr id="1868908077" name="Picture 2" descr="double bar chart showing top 10 markets for MN exports in 2024-Q3&#10;Country Exports (millions) Percent Change, 2023-Q3 to 2024-Q3&#10;WORLD  $6,697  11%&#10;Canada (1)   $1,859  16%&#10;Mexico (2)   $1,067  30%&#10;China (3)   $580  -4%&#10;Japan (4)   $329  54%&#10;Ireland (5)   $198  15%&#10;Korea (6)   $182  42%&#10;Taiwan (7)   $155  56%&#10;Belgium (8)   $154  -3%&#10;Netherlands (9)   $152  -3%&#10;Australia (10)   $147  -10%&#10;Other  $1,874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08077" name="Picture 2" descr="double bar chart showing top 10 markets for MN exports in 2024-Q3&#10;Country Exports (millions) Percent Change, 2023-Q3 to 2024-Q3&#10;WORLD  $6,697  11%&#10;Canada (1)   $1,859  16%&#10;Mexico (2)   $1,067  30%&#10;China (3)   $580  -4%&#10;Japan (4)   $329  54%&#10;Ireland (5)   $198  15%&#10;Korea (6)   $182  42%&#10;Taiwan (7)   $155  56%&#10;Belgium (8)   $154  -3%&#10;Netherlands (9)   $152  -3%&#10;Australia (10)   $147  -10%&#10;Other  $1,874  -3%&#10;"/>
                    <pic:cNvPicPr>
                      <a:picLocks noChangeAspect="1" noChangeArrowheads="1"/>
                    </pic:cNvPicPr>
                  </pic:nvPicPr>
                  <pic:blipFill rotWithShape="1">
                    <a:blip r:embed="rId17">
                      <a:extLst>
                        <a:ext uri="{28A0092B-C50C-407E-A947-70E740481C1C}">
                          <a14:useLocalDpi xmlns:a14="http://schemas.microsoft.com/office/drawing/2010/main" val="0"/>
                        </a:ext>
                      </a:extLst>
                    </a:blip>
                    <a:srcRect t="5274"/>
                    <a:stretch/>
                  </pic:blipFill>
                  <pic:spPr bwMode="auto">
                    <a:xfrm>
                      <a:off x="0" y="0"/>
                      <a:ext cx="6323568" cy="1999617"/>
                    </a:xfrm>
                    <a:prstGeom prst="rect">
                      <a:avLst/>
                    </a:prstGeom>
                    <a:noFill/>
                    <a:ln>
                      <a:noFill/>
                    </a:ln>
                    <a:extLst>
                      <a:ext uri="{53640926-AAD7-44D8-BBD7-CCE9431645EC}">
                        <a14:shadowObscured xmlns:a14="http://schemas.microsoft.com/office/drawing/2010/main"/>
                      </a:ext>
                    </a:extLst>
                  </pic:spPr>
                </pic:pic>
              </a:graphicData>
            </a:graphic>
          </wp:inline>
        </w:drawing>
      </w:r>
    </w:p>
    <w:p w14:paraId="52D9CF8F" w14:textId="2B380DD2" w:rsidR="00212FF3" w:rsidRPr="009671E4" w:rsidRDefault="00E0766F" w:rsidP="00D76B16">
      <w:pPr>
        <w:pStyle w:val="Heading2"/>
        <w:tabs>
          <w:tab w:val="left" w:pos="360"/>
        </w:tabs>
        <w:ind w:left="360" w:hanging="360"/>
        <w:rPr>
          <w:bCs w:val="0"/>
          <w:i/>
          <w:color w:val="auto"/>
          <w:sz w:val="28"/>
        </w:rPr>
      </w:pPr>
      <w:r w:rsidRPr="009671E4">
        <w:rPr>
          <w:bCs w:val="0"/>
          <w:i/>
          <w:color w:val="auto"/>
          <w:sz w:val="28"/>
        </w:rPr>
        <w:lastRenderedPageBreak/>
        <w:t xml:space="preserve">Exports of </w:t>
      </w:r>
      <w:r w:rsidR="00883B46" w:rsidRPr="009671E4">
        <w:rPr>
          <w:bCs w:val="0"/>
          <w:i/>
          <w:color w:val="auto"/>
          <w:sz w:val="28"/>
        </w:rPr>
        <w:t xml:space="preserve">Mineral Fuels, </w:t>
      </w:r>
      <w:r w:rsidR="00163A63" w:rsidRPr="009671E4">
        <w:rPr>
          <w:bCs w:val="0"/>
          <w:i/>
          <w:color w:val="auto"/>
          <w:sz w:val="28"/>
        </w:rPr>
        <w:t>Medical Products</w:t>
      </w:r>
      <w:r w:rsidR="007041A0" w:rsidRPr="009671E4">
        <w:rPr>
          <w:bCs w:val="0"/>
          <w:i/>
          <w:color w:val="auto"/>
          <w:sz w:val="28"/>
        </w:rPr>
        <w:t>, Plastics</w:t>
      </w:r>
      <w:r w:rsidR="00163A63" w:rsidRPr="009671E4">
        <w:rPr>
          <w:bCs w:val="0"/>
          <w:i/>
          <w:color w:val="auto"/>
          <w:sz w:val="28"/>
        </w:rPr>
        <w:t xml:space="preserve"> </w:t>
      </w:r>
      <w:r w:rsidR="00310D8B" w:rsidRPr="009671E4">
        <w:rPr>
          <w:bCs w:val="0"/>
          <w:i/>
          <w:color w:val="auto"/>
          <w:sz w:val="28"/>
        </w:rPr>
        <w:t xml:space="preserve">and </w:t>
      </w:r>
      <w:r w:rsidR="00A15690" w:rsidRPr="009671E4">
        <w:rPr>
          <w:bCs w:val="0"/>
          <w:i/>
          <w:color w:val="auto"/>
          <w:sz w:val="28"/>
        </w:rPr>
        <w:t>Aircraft Perform Strongly</w:t>
      </w:r>
    </w:p>
    <w:p w14:paraId="1FA7CF8F" w14:textId="77777777" w:rsidR="00911149" w:rsidRPr="009671E4" w:rsidRDefault="00911149" w:rsidP="00911149">
      <w:pPr>
        <w:pStyle w:val="NoSpacing"/>
        <w:numPr>
          <w:ilvl w:val="0"/>
          <w:numId w:val="20"/>
        </w:numPr>
        <w:spacing w:line="271" w:lineRule="auto"/>
        <w:ind w:right="-18"/>
        <w:sectPr w:rsidR="00911149" w:rsidRPr="009671E4" w:rsidSect="00FE15EB">
          <w:footerReference w:type="default" r:id="rId18"/>
          <w:footnotePr>
            <w:numRestart w:val="eachSect"/>
          </w:footnotePr>
          <w:endnotePr>
            <w:numFmt w:val="decimal"/>
          </w:endnotePr>
          <w:type w:val="continuous"/>
          <w:pgSz w:w="12240" w:h="15840" w:code="1"/>
          <w:pgMar w:top="864" w:right="1008" w:bottom="864" w:left="1008" w:header="720" w:footer="720" w:gutter="0"/>
          <w:cols w:space="720"/>
          <w:titlePg/>
          <w:docGrid w:linePitch="299"/>
        </w:sectPr>
      </w:pPr>
    </w:p>
    <w:p w14:paraId="743A1343" w14:textId="51765EC8" w:rsidR="00911149" w:rsidRPr="009671E4" w:rsidRDefault="0075449A" w:rsidP="00A15690">
      <w:pPr>
        <w:pStyle w:val="NoSpacing"/>
        <w:numPr>
          <w:ilvl w:val="0"/>
          <w:numId w:val="20"/>
        </w:numPr>
        <w:spacing w:after="60" w:line="269" w:lineRule="auto"/>
        <w:ind w:right="-14"/>
        <w:rPr>
          <w:rFonts w:asciiTheme="majorHAnsi" w:eastAsiaTheme="majorEastAsia" w:hAnsiTheme="majorHAnsi" w:cstheme="majorBidi"/>
          <w:i/>
          <w:iCs/>
          <w:sz w:val="24"/>
          <w:szCs w:val="24"/>
        </w:rPr>
      </w:pPr>
      <w:r w:rsidRPr="009671E4">
        <w:t>While</w:t>
      </w:r>
      <w:r w:rsidR="007041A0" w:rsidRPr="009671E4">
        <w:t xml:space="preserve"> </w:t>
      </w:r>
      <w:r w:rsidRPr="009671E4">
        <w:rPr>
          <w:b/>
          <w:bCs/>
        </w:rPr>
        <w:t>m</w:t>
      </w:r>
      <w:r w:rsidR="00700F4D" w:rsidRPr="009671E4">
        <w:rPr>
          <w:b/>
          <w:bCs/>
        </w:rPr>
        <w:t xml:space="preserve">ineral fuel, oil </w:t>
      </w:r>
      <w:r w:rsidR="00700F4D" w:rsidRPr="009671E4">
        <w:t xml:space="preserve">(up </w:t>
      </w:r>
      <w:r w:rsidRPr="009671E4">
        <w:t>$422 million</w:t>
      </w:r>
      <w:r w:rsidR="00700F4D" w:rsidRPr="009671E4">
        <w:t>)</w:t>
      </w:r>
      <w:r w:rsidRPr="009671E4">
        <w:t xml:space="preserve"> was </w:t>
      </w:r>
      <w:r w:rsidR="00E0766F" w:rsidRPr="009671E4">
        <w:t>a</w:t>
      </w:r>
      <w:r w:rsidRPr="009671E4">
        <w:t xml:space="preserve"> primary driver of export growth,</w:t>
      </w:r>
      <w:r w:rsidR="00700F4D" w:rsidRPr="009671E4">
        <w:t xml:space="preserve"> </w:t>
      </w:r>
      <w:r w:rsidR="00700F4D" w:rsidRPr="009671E4">
        <w:rPr>
          <w:b/>
          <w:bCs/>
        </w:rPr>
        <w:t>o</w:t>
      </w:r>
      <w:r w:rsidR="00BB4A7B" w:rsidRPr="009671E4">
        <w:rPr>
          <w:b/>
          <w:bCs/>
        </w:rPr>
        <w:t>ptic, medical</w:t>
      </w:r>
      <w:r w:rsidR="00BB4A7B" w:rsidRPr="009671E4">
        <w:t xml:space="preserve"> (up </w:t>
      </w:r>
      <w:r w:rsidRPr="009671E4">
        <w:t>10%</w:t>
      </w:r>
      <w:r w:rsidR="00BB4A7B" w:rsidRPr="009671E4">
        <w:t>)</w:t>
      </w:r>
      <w:r w:rsidR="007041A0" w:rsidRPr="009671E4">
        <w:t xml:space="preserve">, </w:t>
      </w:r>
      <w:r w:rsidR="007041A0" w:rsidRPr="009671E4">
        <w:rPr>
          <w:b/>
          <w:bCs/>
        </w:rPr>
        <w:t xml:space="preserve">plastics </w:t>
      </w:r>
      <w:r w:rsidR="007041A0" w:rsidRPr="009671E4">
        <w:t xml:space="preserve">(up </w:t>
      </w:r>
      <w:r w:rsidRPr="009671E4">
        <w:t>27%</w:t>
      </w:r>
      <w:r w:rsidR="007041A0" w:rsidRPr="009671E4">
        <w:t>)</w:t>
      </w:r>
      <w:r w:rsidRPr="009671E4">
        <w:t>,</w:t>
      </w:r>
      <w:r w:rsidR="008C3CC2" w:rsidRPr="009671E4">
        <w:t xml:space="preserve"> </w:t>
      </w:r>
      <w:r w:rsidRPr="009671E4">
        <w:rPr>
          <w:b/>
          <w:bCs/>
        </w:rPr>
        <w:t xml:space="preserve">aircraft, spacecraft </w:t>
      </w:r>
      <w:r w:rsidRPr="009671E4">
        <w:t xml:space="preserve">(up 33%) and </w:t>
      </w:r>
      <w:r w:rsidRPr="009671E4">
        <w:rPr>
          <w:b/>
          <w:bCs/>
        </w:rPr>
        <w:t xml:space="preserve">oil seeds, misc. grains </w:t>
      </w:r>
      <w:r w:rsidRPr="009671E4">
        <w:t xml:space="preserve">(up 47%) </w:t>
      </w:r>
      <w:r w:rsidR="00A15690" w:rsidRPr="009671E4">
        <w:t xml:space="preserve">exports </w:t>
      </w:r>
      <w:r w:rsidRPr="009671E4">
        <w:t xml:space="preserve">also </w:t>
      </w:r>
      <w:r w:rsidR="00A15690" w:rsidRPr="009671E4">
        <w:t>strengthened</w:t>
      </w:r>
      <w:r w:rsidR="00911149" w:rsidRPr="009671E4">
        <w:t>.</w:t>
      </w:r>
    </w:p>
    <w:p w14:paraId="0B14C700" w14:textId="77777777" w:rsidR="00911149" w:rsidRPr="009671E4" w:rsidRDefault="00911149" w:rsidP="00A15690">
      <w:pPr>
        <w:pStyle w:val="NoSpacing"/>
        <w:numPr>
          <w:ilvl w:val="0"/>
          <w:numId w:val="20"/>
        </w:numPr>
        <w:spacing w:line="269" w:lineRule="auto"/>
        <w:ind w:right="-14"/>
        <w:rPr>
          <w:bCs/>
        </w:rPr>
        <w:sectPr w:rsidR="00911149" w:rsidRPr="009671E4" w:rsidSect="00FE15EB">
          <w:footnotePr>
            <w:numRestart w:val="eachSect"/>
          </w:footnotePr>
          <w:endnotePr>
            <w:numFmt w:val="decimal"/>
          </w:endnotePr>
          <w:type w:val="continuous"/>
          <w:pgSz w:w="12240" w:h="15840" w:code="1"/>
          <w:pgMar w:top="864" w:right="1008" w:bottom="864" w:left="1008" w:header="720" w:footer="720" w:gutter="0"/>
          <w:cols w:space="720"/>
          <w:titlePg/>
          <w:docGrid w:linePitch="299"/>
        </w:sectPr>
      </w:pPr>
    </w:p>
    <w:p w14:paraId="1D8A1702" w14:textId="3151B0DD" w:rsidR="00A930DA" w:rsidRPr="009671E4" w:rsidRDefault="00911149" w:rsidP="00A930DA">
      <w:pPr>
        <w:pStyle w:val="NoSpacing"/>
        <w:numPr>
          <w:ilvl w:val="0"/>
          <w:numId w:val="20"/>
        </w:numPr>
        <w:spacing w:line="269" w:lineRule="auto"/>
        <w:ind w:right="-14"/>
      </w:pPr>
      <w:r w:rsidRPr="009671E4">
        <w:rPr>
          <w:bCs/>
        </w:rPr>
        <w:t>Sales of</w:t>
      </w:r>
      <w:r w:rsidRPr="009671E4">
        <w:rPr>
          <w:b/>
        </w:rPr>
        <w:t xml:space="preserve"> mineral fuel, oil</w:t>
      </w:r>
      <w:r w:rsidRPr="009671E4">
        <w:rPr>
          <w:bCs/>
        </w:rPr>
        <w:t xml:space="preserve"> rebounded to </w:t>
      </w:r>
      <w:r w:rsidRPr="009671E4">
        <w:rPr>
          <w:b/>
        </w:rPr>
        <w:t>Canada,</w:t>
      </w:r>
      <w:r w:rsidRPr="009671E4">
        <w:rPr>
          <w:bCs/>
        </w:rPr>
        <w:t xml:space="preserve"> the primary market ($520 million, up from $15 million in the third quarter of 2023). The main segment was </w:t>
      </w:r>
      <w:r w:rsidRPr="009671E4">
        <w:rPr>
          <w:b/>
        </w:rPr>
        <w:t>petroleum-based light oils</w:t>
      </w:r>
      <w:r w:rsidRPr="009671E4">
        <w:rPr>
          <w:bCs/>
        </w:rPr>
        <w:t>.</w:t>
      </w:r>
    </w:p>
    <w:p w14:paraId="200F6EA7" w14:textId="074CA777" w:rsidR="00911149" w:rsidRPr="009671E4" w:rsidRDefault="00960CDB" w:rsidP="00A930DA">
      <w:pPr>
        <w:pStyle w:val="NoSpacing"/>
        <w:numPr>
          <w:ilvl w:val="0"/>
          <w:numId w:val="20"/>
        </w:numPr>
        <w:spacing w:line="269" w:lineRule="auto"/>
        <w:ind w:right="-14"/>
      </w:pPr>
      <w:r w:rsidRPr="009671E4">
        <w:t>Global d</w:t>
      </w:r>
      <w:r w:rsidR="00F24F70" w:rsidRPr="009671E4">
        <w:t xml:space="preserve">emand </w:t>
      </w:r>
      <w:r w:rsidRPr="009671E4">
        <w:t>for</w:t>
      </w:r>
      <w:r w:rsidR="00911149" w:rsidRPr="009671E4">
        <w:rPr>
          <w:b/>
        </w:rPr>
        <w:t xml:space="preserve"> optic, medical </w:t>
      </w:r>
      <w:r w:rsidR="00F24F70" w:rsidRPr="009671E4">
        <w:t>goods</w:t>
      </w:r>
      <w:r w:rsidRPr="009671E4">
        <w:t>, such as</w:t>
      </w:r>
      <w:r w:rsidRPr="009671E4">
        <w:rPr>
          <w:b/>
        </w:rPr>
        <w:t xml:space="preserve"> measuring instruments </w:t>
      </w:r>
      <w:r w:rsidRPr="009671E4">
        <w:t xml:space="preserve">($152 million, up 72%) and </w:t>
      </w:r>
      <w:r w:rsidRPr="009671E4">
        <w:rPr>
          <w:b/>
          <w:bCs/>
        </w:rPr>
        <w:t xml:space="preserve">medical, surgical instruments </w:t>
      </w:r>
      <w:r w:rsidRPr="009671E4">
        <w:t>($455 million, up 9%) showed sustained strong growth, particularly</w:t>
      </w:r>
      <w:r w:rsidR="00F24F70" w:rsidRPr="009671E4">
        <w:t xml:space="preserve"> </w:t>
      </w:r>
      <w:r w:rsidR="00911149" w:rsidRPr="009671E4">
        <w:t>in</w:t>
      </w:r>
      <w:r w:rsidR="00911149" w:rsidRPr="009671E4">
        <w:rPr>
          <w:b/>
        </w:rPr>
        <w:t xml:space="preserve"> Asia </w:t>
      </w:r>
      <w:r w:rsidR="00911149" w:rsidRPr="009671E4">
        <w:t>(up 29% – led by</w:t>
      </w:r>
      <w:r w:rsidR="00911149" w:rsidRPr="009671E4">
        <w:rPr>
          <w:b/>
        </w:rPr>
        <w:t xml:space="preserve"> Taiwan, Korea, China </w:t>
      </w:r>
      <w:r w:rsidR="00911149" w:rsidRPr="009671E4">
        <w:rPr>
          <w:bCs/>
        </w:rPr>
        <w:t>and</w:t>
      </w:r>
      <w:r w:rsidR="00911149" w:rsidRPr="009671E4">
        <w:rPr>
          <w:b/>
        </w:rPr>
        <w:t xml:space="preserve"> Japan</w:t>
      </w:r>
      <w:r w:rsidR="00911149" w:rsidRPr="009671E4">
        <w:t>) and</w:t>
      </w:r>
      <w:r w:rsidR="00911149" w:rsidRPr="009671E4">
        <w:rPr>
          <w:b/>
        </w:rPr>
        <w:t xml:space="preserve"> Mexico </w:t>
      </w:r>
      <w:r w:rsidR="00911149" w:rsidRPr="009671E4">
        <w:t>($62 million,</w:t>
      </w:r>
      <w:r w:rsidR="00F24F70" w:rsidRPr="009671E4">
        <w:t xml:space="preserve"> </w:t>
      </w:r>
      <w:r w:rsidR="00911149" w:rsidRPr="009671E4">
        <w:t>up 96%)</w:t>
      </w:r>
      <w:r w:rsidRPr="009671E4">
        <w:t>.</w:t>
      </w:r>
    </w:p>
    <w:p w14:paraId="6854DE4E" w14:textId="14A7BBCC" w:rsidR="009A38D1" w:rsidRPr="009671E4" w:rsidRDefault="009A38D1" w:rsidP="00A258B6">
      <w:pPr>
        <w:pStyle w:val="NoSpacing"/>
        <w:spacing w:after="60" w:line="271" w:lineRule="auto"/>
        <w:ind w:right="-18"/>
        <w:rPr>
          <w:rStyle w:val="Heading4Char"/>
          <w:szCs w:val="24"/>
        </w:rPr>
      </w:pPr>
      <w:r w:rsidRPr="009671E4">
        <w:rPr>
          <w:rStyle w:val="Heading4Char"/>
          <w:szCs w:val="24"/>
        </w:rPr>
        <w:t xml:space="preserve">Figure </w:t>
      </w:r>
      <w:r w:rsidRPr="009671E4">
        <w:rPr>
          <w:rStyle w:val="Heading4Char"/>
          <w:szCs w:val="24"/>
        </w:rPr>
        <w:fldChar w:fldCharType="begin"/>
      </w:r>
      <w:r w:rsidRPr="009671E4">
        <w:rPr>
          <w:rStyle w:val="Heading4Char"/>
          <w:szCs w:val="24"/>
        </w:rPr>
        <w:instrText xml:space="preserve"> SEQ Figure \* ARABIC </w:instrText>
      </w:r>
      <w:r w:rsidRPr="009671E4">
        <w:rPr>
          <w:rStyle w:val="Heading4Char"/>
          <w:szCs w:val="24"/>
        </w:rPr>
        <w:fldChar w:fldCharType="separate"/>
      </w:r>
      <w:r w:rsidRPr="009671E4">
        <w:rPr>
          <w:rStyle w:val="Heading4Char"/>
          <w:szCs w:val="24"/>
        </w:rPr>
        <w:t>3</w:t>
      </w:r>
      <w:r w:rsidRPr="009671E4">
        <w:rPr>
          <w:rStyle w:val="Heading4Char"/>
          <w:szCs w:val="24"/>
        </w:rPr>
        <w:fldChar w:fldCharType="end"/>
      </w:r>
      <w:r w:rsidRPr="009671E4">
        <w:rPr>
          <w:rStyle w:val="Heading4Char"/>
          <w:szCs w:val="24"/>
        </w:rPr>
        <w:t xml:space="preserve">. </w:t>
      </w:r>
      <w:r w:rsidR="00D32665">
        <w:rPr>
          <w:rStyle w:val="Heading4Char"/>
          <w:szCs w:val="24"/>
        </w:rPr>
        <w:t>Exported Plastics</w:t>
      </w:r>
      <w:r w:rsidR="00DF665C" w:rsidRPr="009671E4">
        <w:rPr>
          <w:rStyle w:val="Heading4Char"/>
          <w:szCs w:val="24"/>
        </w:rPr>
        <w:t xml:space="preserve"> Product</w:t>
      </w:r>
      <w:r w:rsidR="00D32665">
        <w:rPr>
          <w:rStyle w:val="Heading4Char"/>
          <w:szCs w:val="24"/>
        </w:rPr>
        <w:t>s</w:t>
      </w:r>
      <w:r w:rsidR="00DF665C" w:rsidRPr="009671E4">
        <w:rPr>
          <w:rStyle w:val="Heading4Char"/>
          <w:szCs w:val="24"/>
        </w:rPr>
        <w:t xml:space="preserve"> Segments</w:t>
      </w:r>
    </w:p>
    <w:p w14:paraId="22D9649C" w14:textId="77777777" w:rsidR="00911149" w:rsidRPr="009671E4" w:rsidRDefault="009A38D1" w:rsidP="00D32665">
      <w:pPr>
        <w:tabs>
          <w:tab w:val="left" w:pos="3330"/>
        </w:tabs>
        <w:spacing w:after="80" w:line="271" w:lineRule="auto"/>
      </w:pPr>
      <w:r w:rsidRPr="009671E4">
        <w:rPr>
          <w:noProof/>
        </w:rPr>
        <w:drawing>
          <wp:inline distT="0" distB="0" distL="0" distR="0" wp14:anchorId="2534C441" wp14:editId="1D22A1C7">
            <wp:extent cx="3079750" cy="1888067"/>
            <wp:effectExtent l="0" t="0" r="6350" b="17145"/>
            <wp:docPr id="10" name="Chart 10" descr="pie chart&#10;Figure 3 Exported Plastics products Segments&#10;Tubes, pipes, hoses 21%&#10;Polyacetals, other primary forms 15%&#10;Misc plastics of polymers, resins 14%&#10;Self-adhesive plates, sheets, film 10%&#10;Misc plates, sheets, film 9%&#10;Not self-adhesive flat plastics 9%&#10;Other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72305AB" w14:textId="77777777" w:rsidR="00911149" w:rsidRPr="009671E4" w:rsidRDefault="00911149" w:rsidP="00911149">
      <w:pPr>
        <w:tabs>
          <w:tab w:val="left" w:pos="3330"/>
        </w:tabs>
        <w:spacing w:line="271" w:lineRule="auto"/>
        <w:sectPr w:rsidR="00911149" w:rsidRPr="009671E4" w:rsidSect="00911149">
          <w:footnotePr>
            <w:numRestart w:val="eachSect"/>
          </w:footnotePr>
          <w:endnotePr>
            <w:numFmt w:val="decimal"/>
          </w:endnotePr>
          <w:type w:val="continuous"/>
          <w:pgSz w:w="12240" w:h="15840" w:code="1"/>
          <w:pgMar w:top="864" w:right="1008" w:bottom="864" w:left="1008" w:header="720" w:footer="720" w:gutter="0"/>
          <w:cols w:num="2" w:space="720"/>
          <w:titlePg/>
          <w:docGrid w:linePitch="299"/>
        </w:sectPr>
      </w:pPr>
    </w:p>
    <w:p w14:paraId="5585482A" w14:textId="7088747F" w:rsidR="00814CA3" w:rsidRPr="009671E4" w:rsidRDefault="00AB67C0" w:rsidP="00A15690">
      <w:pPr>
        <w:pStyle w:val="ListParagraph"/>
        <w:numPr>
          <w:ilvl w:val="0"/>
          <w:numId w:val="23"/>
        </w:numPr>
        <w:tabs>
          <w:tab w:val="left" w:pos="3330"/>
        </w:tabs>
        <w:spacing w:line="269" w:lineRule="auto"/>
      </w:pPr>
      <w:r w:rsidRPr="009671E4">
        <w:t>Minnesota’s</w:t>
      </w:r>
      <w:r w:rsidR="00960CDB" w:rsidRPr="009671E4">
        <w:t xml:space="preserve"> producers of</w:t>
      </w:r>
      <w:r w:rsidRPr="009671E4">
        <w:t xml:space="preserve"> </w:t>
      </w:r>
      <w:r w:rsidR="00814CA3" w:rsidRPr="009671E4">
        <w:rPr>
          <w:b/>
          <w:bCs/>
        </w:rPr>
        <w:t>plasti</w:t>
      </w:r>
      <w:r w:rsidRPr="009671E4">
        <w:rPr>
          <w:b/>
          <w:bCs/>
        </w:rPr>
        <w:t>c</w:t>
      </w:r>
      <w:r w:rsidR="00960CDB" w:rsidRPr="009671E4">
        <w:rPr>
          <w:b/>
          <w:bCs/>
        </w:rPr>
        <w:t xml:space="preserve"> good</w:t>
      </w:r>
      <w:r w:rsidRPr="009671E4">
        <w:rPr>
          <w:b/>
          <w:bCs/>
        </w:rPr>
        <w:t>s</w:t>
      </w:r>
      <w:r w:rsidR="00814CA3" w:rsidRPr="009671E4">
        <w:t xml:space="preserve"> </w:t>
      </w:r>
      <w:r w:rsidRPr="009671E4">
        <w:t xml:space="preserve">boosted sales to </w:t>
      </w:r>
      <w:r w:rsidR="00814CA3" w:rsidRPr="009671E4">
        <w:rPr>
          <w:b/>
          <w:bCs/>
        </w:rPr>
        <w:t>Mexico</w:t>
      </w:r>
      <w:r w:rsidR="00814CA3" w:rsidRPr="009671E4">
        <w:t xml:space="preserve"> ($</w:t>
      </w:r>
      <w:r w:rsidR="00CC012F" w:rsidRPr="009671E4">
        <w:t>7</w:t>
      </w:r>
      <w:r w:rsidRPr="009671E4">
        <w:t>2</w:t>
      </w:r>
      <w:r w:rsidR="00814CA3" w:rsidRPr="009671E4">
        <w:t xml:space="preserve"> million, up </w:t>
      </w:r>
      <w:r w:rsidRPr="009671E4">
        <w:t>66</w:t>
      </w:r>
      <w:r w:rsidR="00814CA3" w:rsidRPr="009671E4">
        <w:t>%)</w:t>
      </w:r>
      <w:r w:rsidRPr="009671E4">
        <w:t xml:space="preserve"> and </w:t>
      </w:r>
      <w:r w:rsidRPr="009671E4">
        <w:rPr>
          <w:b/>
          <w:bCs/>
        </w:rPr>
        <w:t>China</w:t>
      </w:r>
      <w:r w:rsidRPr="009671E4">
        <w:t xml:space="preserve"> ($44 million, up 18%); a</w:t>
      </w:r>
      <w:r w:rsidR="00A930DA" w:rsidRPr="009671E4">
        <w:t xml:space="preserve">s well as to </w:t>
      </w:r>
      <w:r w:rsidR="00814CA3" w:rsidRPr="009671E4">
        <w:rPr>
          <w:b/>
          <w:bCs/>
        </w:rPr>
        <w:t>Costa Rica</w:t>
      </w:r>
      <w:r w:rsidR="00814CA3" w:rsidRPr="009671E4">
        <w:t xml:space="preserve"> ($1</w:t>
      </w:r>
      <w:r w:rsidRPr="009671E4">
        <w:t>5</w:t>
      </w:r>
      <w:r w:rsidR="00814CA3" w:rsidRPr="009671E4">
        <w:t xml:space="preserve"> million, up </w:t>
      </w:r>
      <w:r w:rsidR="00CC012F" w:rsidRPr="009671E4">
        <w:t>1</w:t>
      </w:r>
      <w:r w:rsidRPr="009671E4">
        <w:t>44</w:t>
      </w:r>
      <w:r w:rsidR="00814CA3" w:rsidRPr="009671E4">
        <w:t xml:space="preserve">%), </w:t>
      </w:r>
      <w:r w:rsidRPr="009671E4">
        <w:rPr>
          <w:b/>
          <w:bCs/>
        </w:rPr>
        <w:t>Japan</w:t>
      </w:r>
      <w:r w:rsidR="00814CA3" w:rsidRPr="009671E4">
        <w:rPr>
          <w:b/>
          <w:bCs/>
        </w:rPr>
        <w:t xml:space="preserve"> </w:t>
      </w:r>
      <w:r w:rsidR="00814CA3" w:rsidRPr="009671E4">
        <w:t>($11 million, up 1</w:t>
      </w:r>
      <w:r w:rsidRPr="009671E4">
        <w:t>38</w:t>
      </w:r>
      <w:r w:rsidR="00814CA3" w:rsidRPr="009671E4">
        <w:t xml:space="preserve">%) and </w:t>
      </w:r>
      <w:r w:rsidRPr="009671E4">
        <w:rPr>
          <w:b/>
          <w:bCs/>
        </w:rPr>
        <w:t>Korea</w:t>
      </w:r>
      <w:r w:rsidR="00814CA3" w:rsidRPr="009671E4">
        <w:rPr>
          <w:b/>
          <w:bCs/>
        </w:rPr>
        <w:t xml:space="preserve"> </w:t>
      </w:r>
      <w:r w:rsidR="00814CA3" w:rsidRPr="009671E4">
        <w:t>($1</w:t>
      </w:r>
      <w:r w:rsidRPr="009671E4">
        <w:t>2</w:t>
      </w:r>
      <w:r w:rsidR="00814CA3" w:rsidRPr="009671E4">
        <w:t xml:space="preserve"> million, up </w:t>
      </w:r>
      <w:r w:rsidRPr="009671E4">
        <w:t>77</w:t>
      </w:r>
      <w:r w:rsidR="00814CA3" w:rsidRPr="009671E4">
        <w:t>%).</w:t>
      </w:r>
      <w:r w:rsidR="00960CDB" w:rsidRPr="009671E4">
        <w:t xml:space="preserve"> High-growth segments were</w:t>
      </w:r>
      <w:r w:rsidR="00814CA3" w:rsidRPr="009671E4">
        <w:t xml:space="preserve"> </w:t>
      </w:r>
      <w:r w:rsidR="00960CDB" w:rsidRPr="009671E4">
        <w:rPr>
          <w:b/>
          <w:bCs/>
        </w:rPr>
        <w:t>t</w:t>
      </w:r>
      <w:r w:rsidR="00814CA3" w:rsidRPr="009671E4">
        <w:rPr>
          <w:b/>
          <w:bCs/>
        </w:rPr>
        <w:t>ubes, pipes</w:t>
      </w:r>
      <w:r w:rsidR="00814CA3" w:rsidRPr="009671E4">
        <w:t xml:space="preserve"> (</w:t>
      </w:r>
      <w:r w:rsidR="00E94EC3" w:rsidRPr="009671E4">
        <w:t xml:space="preserve">up </w:t>
      </w:r>
      <w:r w:rsidRPr="009671E4">
        <w:t>87</w:t>
      </w:r>
      <w:r w:rsidR="00E94EC3" w:rsidRPr="009671E4">
        <w:t>%</w:t>
      </w:r>
      <w:r w:rsidR="00814CA3" w:rsidRPr="009671E4">
        <w:t>)</w:t>
      </w:r>
      <w:r w:rsidR="00A601CF" w:rsidRPr="009671E4">
        <w:t xml:space="preserve"> and</w:t>
      </w:r>
      <w:r w:rsidR="00814CA3" w:rsidRPr="009671E4">
        <w:t xml:space="preserve"> </w:t>
      </w:r>
      <w:r w:rsidRPr="009671E4">
        <w:rPr>
          <w:b/>
          <w:bCs/>
        </w:rPr>
        <w:t>polyacetals, other primary forms</w:t>
      </w:r>
      <w:r w:rsidR="00814CA3" w:rsidRPr="009671E4">
        <w:t xml:space="preserve"> (up </w:t>
      </w:r>
      <w:r w:rsidR="00E94EC3" w:rsidRPr="009671E4">
        <w:t>44</w:t>
      </w:r>
      <w:r w:rsidR="00814CA3" w:rsidRPr="009671E4">
        <w:t>%)</w:t>
      </w:r>
      <w:r w:rsidR="00960CDB" w:rsidRPr="009671E4">
        <w:t>.</w:t>
      </w:r>
    </w:p>
    <w:p w14:paraId="5F1FA6EC" w14:textId="2A659E87" w:rsidR="00A86A28" w:rsidRPr="009671E4" w:rsidRDefault="00A601CF" w:rsidP="00A15690">
      <w:pPr>
        <w:pStyle w:val="NoSpacing"/>
        <w:numPr>
          <w:ilvl w:val="0"/>
          <w:numId w:val="20"/>
        </w:numPr>
        <w:spacing w:line="269" w:lineRule="auto"/>
        <w:ind w:right="-18"/>
      </w:pPr>
      <w:r w:rsidRPr="009671E4">
        <w:rPr>
          <w:b/>
        </w:rPr>
        <w:t xml:space="preserve">Aircraft, spacecraft </w:t>
      </w:r>
      <w:r w:rsidRPr="009671E4">
        <w:rPr>
          <w:bCs/>
        </w:rPr>
        <w:t>(u</w:t>
      </w:r>
      <w:r w:rsidR="0073511D" w:rsidRPr="009671E4">
        <w:rPr>
          <w:bCs/>
        </w:rPr>
        <w:t xml:space="preserve">p </w:t>
      </w:r>
      <w:r w:rsidRPr="009671E4">
        <w:rPr>
          <w:bCs/>
        </w:rPr>
        <w:t>33</w:t>
      </w:r>
      <w:r w:rsidR="0073511D" w:rsidRPr="009671E4">
        <w:rPr>
          <w:bCs/>
        </w:rPr>
        <w:t>%)</w:t>
      </w:r>
      <w:r w:rsidRPr="009671E4">
        <w:rPr>
          <w:bCs/>
        </w:rPr>
        <w:t xml:space="preserve"> exports – mainly aircraft and aircraft parts –</w:t>
      </w:r>
      <w:r w:rsidR="0073511D" w:rsidRPr="009671E4">
        <w:rPr>
          <w:bCs/>
        </w:rPr>
        <w:t xml:space="preserve"> </w:t>
      </w:r>
      <w:r w:rsidRPr="009671E4">
        <w:rPr>
          <w:bCs/>
        </w:rPr>
        <w:t xml:space="preserve">gained traction </w:t>
      </w:r>
      <w:r w:rsidR="00960CDB" w:rsidRPr="009671E4">
        <w:rPr>
          <w:bCs/>
        </w:rPr>
        <w:t>markets such as</w:t>
      </w:r>
      <w:r w:rsidRPr="009671E4">
        <w:rPr>
          <w:bCs/>
        </w:rPr>
        <w:t xml:space="preserve"> </w:t>
      </w:r>
      <w:r w:rsidRPr="009671E4">
        <w:rPr>
          <w:b/>
        </w:rPr>
        <w:t>Korea</w:t>
      </w:r>
      <w:r w:rsidR="00A86A28" w:rsidRPr="009671E4">
        <w:rPr>
          <w:bCs/>
        </w:rPr>
        <w:t xml:space="preserve"> (</w:t>
      </w:r>
      <w:r w:rsidR="0073511D" w:rsidRPr="009671E4">
        <w:rPr>
          <w:bCs/>
        </w:rPr>
        <w:t>$</w:t>
      </w:r>
      <w:r w:rsidRPr="009671E4">
        <w:rPr>
          <w:bCs/>
        </w:rPr>
        <w:t>16</w:t>
      </w:r>
      <w:r w:rsidR="0073511D" w:rsidRPr="009671E4">
        <w:rPr>
          <w:bCs/>
        </w:rPr>
        <w:t xml:space="preserve"> million, </w:t>
      </w:r>
      <w:r w:rsidR="00A86A28" w:rsidRPr="009671E4">
        <w:rPr>
          <w:bCs/>
        </w:rPr>
        <w:t xml:space="preserve">up </w:t>
      </w:r>
      <w:r w:rsidR="0073511D" w:rsidRPr="009671E4">
        <w:rPr>
          <w:bCs/>
        </w:rPr>
        <w:t>4</w:t>
      </w:r>
      <w:r w:rsidRPr="009671E4">
        <w:rPr>
          <w:bCs/>
        </w:rPr>
        <w:t>51</w:t>
      </w:r>
      <w:r w:rsidR="00A86A28" w:rsidRPr="009671E4">
        <w:rPr>
          <w:bCs/>
        </w:rPr>
        <w:t>%)</w:t>
      </w:r>
      <w:r w:rsidR="0073511D" w:rsidRPr="009671E4">
        <w:rPr>
          <w:bCs/>
        </w:rPr>
        <w:t>,</w:t>
      </w:r>
      <w:r w:rsidR="00A86A28" w:rsidRPr="009671E4">
        <w:rPr>
          <w:bCs/>
        </w:rPr>
        <w:t xml:space="preserve"> </w:t>
      </w:r>
      <w:r w:rsidRPr="009671E4">
        <w:rPr>
          <w:b/>
        </w:rPr>
        <w:t>Sweden</w:t>
      </w:r>
      <w:r w:rsidR="00A86A28" w:rsidRPr="009671E4">
        <w:rPr>
          <w:bCs/>
        </w:rPr>
        <w:t xml:space="preserve"> ($</w:t>
      </w:r>
      <w:r w:rsidRPr="009671E4">
        <w:rPr>
          <w:bCs/>
        </w:rPr>
        <w:t>13</w:t>
      </w:r>
      <w:r w:rsidR="00A86A28" w:rsidRPr="009671E4">
        <w:rPr>
          <w:bCs/>
        </w:rPr>
        <w:t xml:space="preserve"> million, up</w:t>
      </w:r>
      <w:r w:rsidRPr="009671E4">
        <w:rPr>
          <w:bCs/>
        </w:rPr>
        <w:t xml:space="preserve"> from $31,000</w:t>
      </w:r>
      <w:r w:rsidR="00A86A28" w:rsidRPr="009671E4">
        <w:rPr>
          <w:bCs/>
        </w:rPr>
        <w:t>)</w:t>
      </w:r>
      <w:r w:rsidRPr="009671E4">
        <w:rPr>
          <w:bCs/>
        </w:rPr>
        <w:t>,</w:t>
      </w:r>
      <w:r w:rsidR="00A86A28" w:rsidRPr="009671E4">
        <w:rPr>
          <w:bCs/>
        </w:rPr>
        <w:t xml:space="preserve"> </w:t>
      </w:r>
      <w:r w:rsidRPr="009671E4">
        <w:rPr>
          <w:b/>
          <w:bCs/>
        </w:rPr>
        <w:t xml:space="preserve">France </w:t>
      </w:r>
      <w:r w:rsidRPr="009671E4">
        <w:t>($11 million, up 811%)</w:t>
      </w:r>
      <w:r w:rsidR="00960CDB" w:rsidRPr="009671E4">
        <w:t>.</w:t>
      </w:r>
    </w:p>
    <w:p w14:paraId="023C9E5B" w14:textId="62A972E3" w:rsidR="00D76B16" w:rsidRPr="009671E4" w:rsidRDefault="00A15690" w:rsidP="00A15690">
      <w:pPr>
        <w:pStyle w:val="ListParagraph"/>
        <w:numPr>
          <w:ilvl w:val="0"/>
          <w:numId w:val="20"/>
        </w:numPr>
        <w:tabs>
          <w:tab w:val="left" w:pos="3330"/>
        </w:tabs>
        <w:spacing w:line="269" w:lineRule="auto"/>
        <w:ind w:right="54"/>
      </w:pPr>
      <w:r w:rsidRPr="009671E4">
        <w:t xml:space="preserve">Solid </w:t>
      </w:r>
      <w:r w:rsidR="00A601CF" w:rsidRPr="009671E4">
        <w:t>growth</w:t>
      </w:r>
      <w:r w:rsidR="00960CDB" w:rsidRPr="009671E4">
        <w:t xml:space="preserve"> trends</w:t>
      </w:r>
      <w:r w:rsidR="00A601CF" w:rsidRPr="009671E4">
        <w:t xml:space="preserve"> </w:t>
      </w:r>
      <w:r w:rsidRPr="009671E4">
        <w:t xml:space="preserve">in </w:t>
      </w:r>
      <w:r w:rsidRPr="009671E4">
        <w:rPr>
          <w:b/>
          <w:bCs/>
        </w:rPr>
        <w:t xml:space="preserve">machinery </w:t>
      </w:r>
      <w:r w:rsidRPr="009671E4">
        <w:t>exports to</w:t>
      </w:r>
      <w:r w:rsidRPr="009671E4">
        <w:rPr>
          <w:b/>
          <w:bCs/>
        </w:rPr>
        <w:t xml:space="preserve"> </w:t>
      </w:r>
      <w:r w:rsidR="00A601CF" w:rsidRPr="009671E4">
        <w:rPr>
          <w:b/>
          <w:bCs/>
        </w:rPr>
        <w:t>Japan</w:t>
      </w:r>
      <w:r w:rsidR="00A601CF" w:rsidRPr="009671E4">
        <w:t xml:space="preserve"> ($90 million, up 315%), </w:t>
      </w:r>
      <w:r w:rsidR="00A601CF" w:rsidRPr="009671E4">
        <w:rPr>
          <w:b/>
          <w:bCs/>
        </w:rPr>
        <w:t>Mexico</w:t>
      </w:r>
      <w:r w:rsidR="00A601CF" w:rsidRPr="009671E4">
        <w:t xml:space="preserve"> ($160 million, up 38%) and </w:t>
      </w:r>
      <w:r w:rsidR="00A601CF" w:rsidRPr="009671E4">
        <w:rPr>
          <w:b/>
          <w:bCs/>
        </w:rPr>
        <w:t>Ireland</w:t>
      </w:r>
      <w:r w:rsidR="00A601CF" w:rsidRPr="009671E4">
        <w:t xml:space="preserve"> ($20 million, up 267%) </w:t>
      </w:r>
      <w:r w:rsidRPr="009671E4">
        <w:t>w</w:t>
      </w:r>
      <w:r w:rsidR="00960CDB" w:rsidRPr="009671E4">
        <w:t>ere</w:t>
      </w:r>
      <w:r w:rsidR="00A601CF" w:rsidRPr="009671E4">
        <w:t xml:space="preserve"> offset by steep declines in</w:t>
      </w:r>
      <w:r w:rsidRPr="009671E4">
        <w:t xml:space="preserve"> sales to</w:t>
      </w:r>
      <w:r w:rsidR="00D76B16" w:rsidRPr="009671E4">
        <w:t xml:space="preserve"> </w:t>
      </w:r>
      <w:r w:rsidR="00A601CF" w:rsidRPr="009671E4">
        <w:rPr>
          <w:b/>
          <w:bCs/>
        </w:rPr>
        <w:t>Chile</w:t>
      </w:r>
      <w:r w:rsidR="00960CDB" w:rsidRPr="009671E4">
        <w:rPr>
          <w:b/>
          <w:bCs/>
        </w:rPr>
        <w:t>,</w:t>
      </w:r>
      <w:r w:rsidR="00A601CF" w:rsidRPr="009671E4">
        <w:t xml:space="preserve"> </w:t>
      </w:r>
      <w:r w:rsidR="00A601CF" w:rsidRPr="009671E4">
        <w:rPr>
          <w:b/>
          <w:bCs/>
        </w:rPr>
        <w:t>Canada</w:t>
      </w:r>
      <w:r w:rsidR="00960CDB" w:rsidRPr="009671E4">
        <w:t xml:space="preserve"> and </w:t>
      </w:r>
      <w:r w:rsidR="00960CDB" w:rsidRPr="009671E4">
        <w:rPr>
          <w:b/>
          <w:bCs/>
        </w:rPr>
        <w:t>Malaysia.</w:t>
      </w:r>
    </w:p>
    <w:p w14:paraId="3A1549A8" w14:textId="0DCC50A6" w:rsidR="00A15690" w:rsidRPr="009671E4" w:rsidRDefault="00A15690" w:rsidP="00A15690">
      <w:pPr>
        <w:pStyle w:val="ListParagraph"/>
        <w:numPr>
          <w:ilvl w:val="0"/>
          <w:numId w:val="20"/>
        </w:numPr>
        <w:tabs>
          <w:tab w:val="left" w:pos="3330"/>
        </w:tabs>
        <w:spacing w:line="269" w:lineRule="auto"/>
        <w:ind w:right="54"/>
      </w:pPr>
      <w:r w:rsidRPr="009671E4">
        <w:rPr>
          <w:b/>
          <w:bCs/>
        </w:rPr>
        <w:t xml:space="preserve">Mexico </w:t>
      </w:r>
      <w:r w:rsidRPr="009671E4">
        <w:t xml:space="preserve">($79 million, up 65%) and </w:t>
      </w:r>
      <w:r w:rsidRPr="009671E4">
        <w:rPr>
          <w:b/>
          <w:bCs/>
        </w:rPr>
        <w:t xml:space="preserve">Canada </w:t>
      </w:r>
      <w:r w:rsidRPr="009671E4">
        <w:t xml:space="preserve">($20 million, up 91%) generated growth in </w:t>
      </w:r>
      <w:r w:rsidRPr="009671E4">
        <w:rPr>
          <w:b/>
          <w:bCs/>
        </w:rPr>
        <w:t>oil seeds, misc. grains</w:t>
      </w:r>
      <w:r w:rsidRPr="009671E4">
        <w:t>.</w:t>
      </w:r>
    </w:p>
    <w:p w14:paraId="77C24C9E" w14:textId="16A5D49F" w:rsidR="00F1327E" w:rsidRPr="009671E4" w:rsidRDefault="00F24F70" w:rsidP="00A15690">
      <w:pPr>
        <w:pStyle w:val="ListParagraph"/>
        <w:numPr>
          <w:ilvl w:val="0"/>
          <w:numId w:val="20"/>
        </w:numPr>
        <w:tabs>
          <w:tab w:val="left" w:pos="3330"/>
        </w:tabs>
        <w:spacing w:line="269" w:lineRule="auto"/>
        <w:ind w:right="54"/>
      </w:pPr>
      <w:r w:rsidRPr="009671E4">
        <w:t>F</w:t>
      </w:r>
      <w:r w:rsidR="00A15690" w:rsidRPr="009671E4">
        <w:t>ood product</w:t>
      </w:r>
      <w:r w:rsidRPr="009671E4">
        <w:t xml:space="preserve"> categories with notable growth</w:t>
      </w:r>
      <w:r w:rsidR="00A15690" w:rsidRPr="009671E4">
        <w:t xml:space="preserve"> included </w:t>
      </w:r>
      <w:r w:rsidR="00A15690" w:rsidRPr="009671E4">
        <w:rPr>
          <w:b/>
          <w:bCs/>
        </w:rPr>
        <w:t>meat</w:t>
      </w:r>
      <w:r w:rsidR="00A15690" w:rsidRPr="009671E4">
        <w:t xml:space="preserve"> (up 27%; </w:t>
      </w:r>
      <w:r w:rsidR="007F7080" w:rsidRPr="009671E4">
        <w:t>led by</w:t>
      </w:r>
      <w:r w:rsidR="00A15690" w:rsidRPr="009671E4">
        <w:t xml:space="preserve"> </w:t>
      </w:r>
      <w:r w:rsidR="00A15690" w:rsidRPr="009671E4">
        <w:rPr>
          <w:b/>
          <w:bCs/>
        </w:rPr>
        <w:t xml:space="preserve">Mexico, the Philippines </w:t>
      </w:r>
      <w:r w:rsidR="00A15690" w:rsidRPr="009671E4">
        <w:t>and</w:t>
      </w:r>
      <w:r w:rsidR="00A15690" w:rsidRPr="009671E4">
        <w:rPr>
          <w:b/>
          <w:bCs/>
        </w:rPr>
        <w:t xml:space="preserve"> Colombia</w:t>
      </w:r>
      <w:r w:rsidR="00A15690" w:rsidRPr="009671E4">
        <w:t xml:space="preserve">), </w:t>
      </w:r>
      <w:r w:rsidR="00A15690" w:rsidRPr="009671E4">
        <w:rPr>
          <w:b/>
          <w:bCs/>
        </w:rPr>
        <w:t>sugars, confectionary</w:t>
      </w:r>
      <w:r w:rsidR="00A15690" w:rsidRPr="009671E4">
        <w:t xml:space="preserve"> (up 63%</w:t>
      </w:r>
      <w:r w:rsidR="00A930DA" w:rsidRPr="009671E4">
        <w:t xml:space="preserve">; led by </w:t>
      </w:r>
      <w:r w:rsidR="00A930DA" w:rsidRPr="009671E4">
        <w:rPr>
          <w:b/>
          <w:bCs/>
        </w:rPr>
        <w:t>Mexico</w:t>
      </w:r>
      <w:r w:rsidR="00A15690" w:rsidRPr="009671E4">
        <w:t xml:space="preserve">) and </w:t>
      </w:r>
      <w:r w:rsidR="00A15690" w:rsidRPr="009671E4">
        <w:rPr>
          <w:b/>
          <w:bCs/>
        </w:rPr>
        <w:t>beverages</w:t>
      </w:r>
      <w:r w:rsidR="00A15690" w:rsidRPr="009671E4">
        <w:t xml:space="preserve"> (up 30%</w:t>
      </w:r>
      <w:r w:rsidR="00A930DA" w:rsidRPr="009671E4">
        <w:t xml:space="preserve">; </w:t>
      </w:r>
      <w:r w:rsidRPr="009671E4">
        <w:t>led</w:t>
      </w:r>
      <w:r w:rsidR="00A930DA" w:rsidRPr="009671E4">
        <w:t xml:space="preserve"> to </w:t>
      </w:r>
      <w:r w:rsidR="00A930DA" w:rsidRPr="009671E4">
        <w:rPr>
          <w:b/>
          <w:bCs/>
        </w:rPr>
        <w:t>Canada</w:t>
      </w:r>
      <w:r w:rsidR="00A15690" w:rsidRPr="009671E4">
        <w:t>).</w:t>
      </w:r>
      <w:r w:rsidR="00F1327E" w:rsidRPr="009671E4">
        <w:rPr>
          <w:bCs/>
        </w:rPr>
        <w:t xml:space="preserve"> </w:t>
      </w:r>
    </w:p>
    <w:p w14:paraId="1B887E8C" w14:textId="2C9F26FC" w:rsidR="00A930DA" w:rsidRPr="009671E4" w:rsidRDefault="00A930DA" w:rsidP="00F90B3D">
      <w:pPr>
        <w:pStyle w:val="ListParagraph"/>
        <w:numPr>
          <w:ilvl w:val="0"/>
          <w:numId w:val="20"/>
        </w:numPr>
        <w:tabs>
          <w:tab w:val="left" w:pos="3330"/>
        </w:tabs>
        <w:spacing w:before="120" w:after="120" w:line="269" w:lineRule="auto"/>
        <w:ind w:right="54"/>
      </w:pPr>
      <w:r w:rsidRPr="009671E4">
        <w:t xml:space="preserve">Weak demand by </w:t>
      </w:r>
      <w:r w:rsidRPr="009671E4">
        <w:rPr>
          <w:b/>
          <w:bCs/>
        </w:rPr>
        <w:t xml:space="preserve">Canada </w:t>
      </w:r>
      <w:r w:rsidR="007F7080" w:rsidRPr="009671E4">
        <w:t xml:space="preserve">largely led exports </w:t>
      </w:r>
      <w:r w:rsidRPr="009671E4">
        <w:t xml:space="preserve">of </w:t>
      </w:r>
      <w:r w:rsidRPr="009671E4">
        <w:rPr>
          <w:b/>
          <w:bCs/>
        </w:rPr>
        <w:t>vehicles</w:t>
      </w:r>
      <w:r w:rsidRPr="009671E4">
        <w:t xml:space="preserve"> (down 16%), </w:t>
      </w:r>
      <w:r w:rsidRPr="009671E4">
        <w:rPr>
          <w:b/>
          <w:bCs/>
        </w:rPr>
        <w:t xml:space="preserve">cereals </w:t>
      </w:r>
      <w:r w:rsidRPr="009671E4">
        <w:t xml:space="preserve">(down 28%), </w:t>
      </w:r>
      <w:r w:rsidRPr="009671E4">
        <w:rPr>
          <w:b/>
          <w:bCs/>
        </w:rPr>
        <w:t>ores, slag and ash</w:t>
      </w:r>
      <w:r w:rsidRPr="009671E4">
        <w:t xml:space="preserve"> (down 15%) and </w:t>
      </w:r>
      <w:r w:rsidRPr="009671E4">
        <w:rPr>
          <w:b/>
          <w:bCs/>
        </w:rPr>
        <w:t>food by-products</w:t>
      </w:r>
      <w:r w:rsidRPr="009671E4">
        <w:t xml:space="preserve"> (down 12%) </w:t>
      </w:r>
      <w:r w:rsidR="007F7080" w:rsidRPr="009671E4">
        <w:t xml:space="preserve">to tumble </w:t>
      </w:r>
      <w:r w:rsidRPr="009671E4">
        <w:t>between the third quarters of 202</w:t>
      </w:r>
      <w:r w:rsidR="007F7080" w:rsidRPr="009671E4">
        <w:t>3</w:t>
      </w:r>
      <w:r w:rsidRPr="009671E4">
        <w:t xml:space="preserve"> and 202</w:t>
      </w:r>
      <w:r w:rsidR="007F7080" w:rsidRPr="009671E4">
        <w:t>4</w:t>
      </w:r>
      <w:r w:rsidRPr="009671E4">
        <w:t xml:space="preserve">. </w:t>
      </w:r>
    </w:p>
    <w:p w14:paraId="73FA3A2E" w14:textId="36F62224" w:rsidR="00596618" w:rsidRPr="009671E4" w:rsidRDefault="007F1C4A" w:rsidP="00F24F70">
      <w:pPr>
        <w:pStyle w:val="Heading4"/>
        <w:spacing w:before="120" w:after="120"/>
      </w:pPr>
      <w:r w:rsidRPr="009671E4">
        <w:t>Fi</w:t>
      </w:r>
      <w:r w:rsidR="00A44451" w:rsidRPr="009671E4">
        <w:t>gure 4. Export Trends for</w:t>
      </w:r>
      <w:r w:rsidRPr="009671E4">
        <w:t xml:space="preserve"> Minnesota’s Top 10 Products, </w:t>
      </w:r>
      <w:r w:rsidR="006042ED" w:rsidRPr="009671E4">
        <w:t>Third</w:t>
      </w:r>
      <w:r w:rsidR="00375ACF" w:rsidRPr="009671E4">
        <w:t xml:space="preserve"> </w:t>
      </w:r>
      <w:r w:rsidR="00F85FA6" w:rsidRPr="009671E4">
        <w:t>Q</w:t>
      </w:r>
      <w:r w:rsidR="00375ACF" w:rsidRPr="009671E4">
        <w:t>uarter</w:t>
      </w:r>
      <w:r w:rsidR="00A52415" w:rsidRPr="009671E4">
        <w:t xml:space="preserve"> </w:t>
      </w:r>
      <w:r w:rsidR="001B6E5E" w:rsidRPr="009671E4">
        <w:t>2024</w:t>
      </w:r>
    </w:p>
    <w:p w14:paraId="185A58F4" w14:textId="0CC7A299" w:rsidR="006330D9" w:rsidRPr="009671E4" w:rsidRDefault="00C3617C" w:rsidP="00DF665C">
      <w:pPr>
        <w:jc w:val="center"/>
      </w:pPr>
      <w:r w:rsidRPr="009671E4">
        <w:rPr>
          <w:noProof/>
        </w:rPr>
        <w:drawing>
          <wp:inline distT="0" distB="0" distL="0" distR="0" wp14:anchorId="1CA6AA7E" wp14:editId="747CD3E9">
            <wp:extent cx="6492240" cy="2051050"/>
            <wp:effectExtent l="0" t="0" r="3810" b="0"/>
            <wp:docPr id="698334698" name="Picture 1" descr="double bar chart showing top 10 products for MN exports, 2024-Q3&#10;Product Exports (millions) Percent Change, 2023-Q3 to 2024-Q3&#10;Total  $6,697  11%&#10;Optic, Medical  $1,120  10%&#10;Machinery  $1,022  4%&#10;Electrical Equipment  $912  4%&#10;Mineral Fuel, Oil  $537  0%&#10;Vehicles  $476  -16%&#10;Plastics  $326  27%&#10;Ores, Slag, Ash  $179  -15%&#10;Aircraft, Spacecraft  $169  33%&#10;Food By-Products  $163  -12%&#10;Cereals  $153  -28%&#10;Other  $1,640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34698" name="Picture 1" descr="double bar chart showing top 10 products for MN exports, 2024-Q3&#10;Product Exports (millions) Percent Change, 2023-Q3 to 2024-Q3&#10;Total  $6,697  11%&#10;Optic, Medical  $1,120  10%&#10;Machinery  $1,022  4%&#10;Electrical Equipment  $912  4%&#10;Mineral Fuel, Oil  $537  0%&#10;Vehicles  $476  -16%&#10;Plastics  $326  27%&#10;Ores, Slag, Ash  $179  -15%&#10;Aircraft, Spacecraft  $169  33%&#10;Food By-Products  $163  -12%&#10;Cereals  $153  -28%&#10;Other  $1,640  8%&#10;"/>
                    <pic:cNvPicPr>
                      <a:picLocks noChangeAspect="1" noChangeArrowheads="1"/>
                    </pic:cNvPicPr>
                  </pic:nvPicPr>
                  <pic:blipFill rotWithShape="1">
                    <a:blip r:embed="rId20">
                      <a:extLst>
                        <a:ext uri="{28A0092B-C50C-407E-A947-70E740481C1C}">
                          <a14:useLocalDpi xmlns:a14="http://schemas.microsoft.com/office/drawing/2010/main" val="0"/>
                        </a:ext>
                      </a:extLst>
                    </a:blip>
                    <a:srcRect l="235" t="5944" r="-235" b="-5944"/>
                    <a:stretch/>
                  </pic:blipFill>
                  <pic:spPr bwMode="auto">
                    <a:xfrm>
                      <a:off x="0" y="0"/>
                      <a:ext cx="6492240" cy="2051050"/>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0" w:rightFromText="180" w:vertAnchor="page" w:horzAnchor="margin" w:tblpY="1315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9E5A6"/>
        <w:tblLook w:val="04A0" w:firstRow="1" w:lastRow="0" w:firstColumn="1" w:lastColumn="0" w:noHBand="0" w:noVBand="1"/>
        <w:tblCaption w:val="Additional information"/>
        <w:tblDescription w:val="Minnesota Quarterly Export Statistics is the most current resource available for tracking the state’s export trends in manufactured and other goods, and is prepared for the Minnesota Trade Office (MTO) by the Department of Employment and Economic Development’s (DEED) Economic Analysis Unit (Thu-Mai Ho-Kim).  The quarterly and annual statistics reports primarily cover export data based on the Harmonized Tariff System (Schedule B), accessed from WISERTrade - State HS Database, based on data collected by the U.S. Census Bureau, Foreign Trade Division. Reports are available on DEED’s website at “Export and Trade Statistics” (http://mn.gov/deed/data/export-stats/). "/>
      </w:tblPr>
      <w:tblGrid>
        <w:gridCol w:w="10255"/>
      </w:tblGrid>
      <w:tr w:rsidR="009671E4" w:rsidRPr="009671E4" w14:paraId="23A6C19B" w14:textId="77777777" w:rsidTr="00DF665C">
        <w:trPr>
          <w:trHeight w:val="530"/>
        </w:trPr>
        <w:tc>
          <w:tcPr>
            <w:tcW w:w="10255" w:type="dxa"/>
            <w:shd w:val="clear" w:color="auto" w:fill="C9E5A6"/>
          </w:tcPr>
          <w:p w14:paraId="282EBA1D" w14:textId="77777777" w:rsidR="00DF665C" w:rsidRPr="009671E4" w:rsidRDefault="00DF665C" w:rsidP="00DF665C">
            <w:pPr>
              <w:spacing w:before="120" w:after="120"/>
              <w:rPr>
                <w:rFonts w:cs="Calibri"/>
                <w:sz w:val="20"/>
                <w:szCs w:val="20"/>
              </w:rPr>
            </w:pPr>
            <w:r w:rsidRPr="009671E4">
              <w:rPr>
                <w:rStyle w:val="Emphasis"/>
                <w:rFonts w:cstheme="minorHAnsi"/>
                <w:sz w:val="20"/>
                <w:szCs w:val="20"/>
              </w:rPr>
              <w:t>Minnesota Export Statistics</w:t>
            </w:r>
            <w:r w:rsidRPr="009671E4">
              <w:rPr>
                <w:rStyle w:val="Emphasis"/>
                <w:rFonts w:cstheme="minorHAnsi"/>
                <w:i w:val="0"/>
                <w:iCs w:val="0"/>
                <w:sz w:val="20"/>
                <w:szCs w:val="20"/>
              </w:rPr>
              <w:t xml:space="preserve"> </w:t>
            </w:r>
            <w:r w:rsidRPr="009671E4">
              <w:rPr>
                <w:rStyle w:val="Emphasis"/>
                <w:i w:val="0"/>
                <w:iCs w:val="0"/>
                <w:sz w:val="20"/>
                <w:szCs w:val="20"/>
              </w:rPr>
              <w:t>reports</w:t>
            </w:r>
            <w:r w:rsidRPr="009671E4">
              <w:rPr>
                <w:rStyle w:val="Emphasis"/>
                <w:sz w:val="20"/>
                <w:szCs w:val="20"/>
              </w:rPr>
              <w:t xml:space="preserve"> t</w:t>
            </w:r>
            <w:r w:rsidRPr="009671E4">
              <w:rPr>
                <w:rFonts w:cstheme="minorHAnsi"/>
                <w:sz w:val="20"/>
                <w:szCs w:val="20"/>
              </w:rPr>
              <w:t>rack the state’s trends in exports of goods and is prepared for the Minnesota Trade Office by DEED’s Economic Analysis Unit (Thu-Mai Ho-Kim). The quarterly and annual reports primarily cover export data based on the Harmonized Tariff System (Schedule B), collected by the Foreign Trade Division, Census Bureau, U.S. Dept of Commerce and accessed through USA Trade Online (Census Bureau) and Trade Data Monitor (TDM). Historical reports are available on DEED’s website at “Export and Trade Statistics” (</w:t>
            </w:r>
            <w:hyperlink r:id="rId21" w:history="1">
              <w:r w:rsidRPr="009671E4">
                <w:rPr>
                  <w:rStyle w:val="Hyperlink"/>
                  <w:rFonts w:cstheme="minorHAnsi"/>
                  <w:color w:val="auto"/>
                  <w:sz w:val="20"/>
                  <w:szCs w:val="20"/>
                </w:rPr>
                <w:t>http://mn.gov/deed/data/export-stats/</w:t>
              </w:r>
            </w:hyperlink>
            <w:r w:rsidRPr="009671E4">
              <w:rPr>
                <w:rFonts w:cstheme="minorHAnsi"/>
                <w:sz w:val="20"/>
                <w:szCs w:val="20"/>
              </w:rPr>
              <w:t xml:space="preserve">).  </w:t>
            </w:r>
          </w:p>
        </w:tc>
      </w:tr>
    </w:tbl>
    <w:p w14:paraId="67779A89" w14:textId="0109015F" w:rsidR="00FE15EB" w:rsidRPr="009671E4" w:rsidRDefault="00FE15EB" w:rsidP="00F331FC">
      <w:pPr>
        <w:rPr>
          <w:rFonts w:ascii="Times New Roman" w:eastAsia="Times New Roman" w:hAnsi="Times New Roman" w:cs="Times New Roman"/>
          <w:snapToGrid w:val="0"/>
          <w:w w:val="0"/>
          <w:sz w:val="0"/>
          <w:szCs w:val="0"/>
          <w:u w:color="000000"/>
          <w:bdr w:val="none" w:sz="0" w:space="0" w:color="000000"/>
          <w:shd w:val="clear" w:color="000000" w:fill="000000"/>
          <w:lang w:eastAsia="x-none" w:bidi="x-none"/>
        </w:rPr>
      </w:pPr>
    </w:p>
    <w:sectPr w:rsidR="00FE15EB" w:rsidRPr="009671E4" w:rsidSect="00FE15EB">
      <w:footnotePr>
        <w:numRestart w:val="eachSect"/>
      </w:footnotePr>
      <w:endnotePr>
        <w:numFmt w:val="decimal"/>
      </w:endnotePr>
      <w:type w:val="continuous"/>
      <w:pgSz w:w="12240" w:h="15840" w:code="1"/>
      <w:pgMar w:top="864" w:right="1008" w:bottom="864" w:left="100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EDE0" w14:textId="77777777" w:rsidR="007119FE" w:rsidRDefault="007119FE">
      <w:r>
        <w:separator/>
      </w:r>
    </w:p>
  </w:endnote>
  <w:endnote w:type="continuationSeparator" w:id="0">
    <w:p w14:paraId="7C9C92B5" w14:textId="77777777" w:rsidR="007119FE" w:rsidRDefault="0071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11F6" w14:textId="77777777" w:rsidR="00CC1B7D" w:rsidRDefault="00CC1B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82E195" w14:textId="77777777" w:rsidR="00CC1B7D" w:rsidRDefault="00CC1B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6150" w14:textId="22E678C6" w:rsidR="00A14E15" w:rsidRPr="00A14E15" w:rsidRDefault="00A14E15" w:rsidP="00A14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C0B9" w14:textId="77777777" w:rsidR="007119FE" w:rsidRDefault="007119FE">
      <w:r>
        <w:separator/>
      </w:r>
    </w:p>
  </w:footnote>
  <w:footnote w:type="continuationSeparator" w:id="0">
    <w:p w14:paraId="05AAE318" w14:textId="77777777" w:rsidR="007119FE" w:rsidRDefault="0071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B42A" w14:textId="77777777" w:rsidR="00CC1B7D" w:rsidRDefault="00CC1B7D" w:rsidP="00E014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147C6F" w14:textId="77777777" w:rsidR="00CC1B7D" w:rsidRDefault="00CC1B7D" w:rsidP="00E014F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BEFB" w14:textId="77777777" w:rsidR="00CC1B7D" w:rsidRDefault="00CC1B7D" w:rsidP="00E014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236">
      <w:rPr>
        <w:rStyle w:val="PageNumber"/>
        <w:noProof/>
      </w:rPr>
      <w:t>2</w:t>
    </w:r>
    <w:r>
      <w:rPr>
        <w:rStyle w:val="PageNumber"/>
      </w:rPr>
      <w:fldChar w:fldCharType="end"/>
    </w:r>
  </w:p>
  <w:p w14:paraId="4CE97ED2" w14:textId="77777777" w:rsidR="00CC1B7D" w:rsidRDefault="00CC1B7D" w:rsidP="00E014F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9482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AD7251"/>
    <w:multiLevelType w:val="hybridMultilevel"/>
    <w:tmpl w:val="A20C3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055FB0"/>
    <w:multiLevelType w:val="hybridMultilevel"/>
    <w:tmpl w:val="39F01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9B22E7"/>
    <w:multiLevelType w:val="hybridMultilevel"/>
    <w:tmpl w:val="DB8C1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621A5E"/>
    <w:multiLevelType w:val="hybridMultilevel"/>
    <w:tmpl w:val="787C9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6B6753"/>
    <w:multiLevelType w:val="hybridMultilevel"/>
    <w:tmpl w:val="E2C67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8E4940"/>
    <w:multiLevelType w:val="hybridMultilevel"/>
    <w:tmpl w:val="4AAE80EE"/>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36E93"/>
    <w:multiLevelType w:val="hybridMultilevel"/>
    <w:tmpl w:val="A672D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61121C"/>
    <w:multiLevelType w:val="hybridMultilevel"/>
    <w:tmpl w:val="CFAA2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9424AE"/>
    <w:multiLevelType w:val="hybridMultilevel"/>
    <w:tmpl w:val="C5087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731D63"/>
    <w:multiLevelType w:val="hybridMultilevel"/>
    <w:tmpl w:val="0FB4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81A19"/>
    <w:multiLevelType w:val="hybridMultilevel"/>
    <w:tmpl w:val="B832D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4926A3"/>
    <w:multiLevelType w:val="hybridMultilevel"/>
    <w:tmpl w:val="0A604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373CB2"/>
    <w:multiLevelType w:val="hybridMultilevel"/>
    <w:tmpl w:val="E0E41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1704E9"/>
    <w:multiLevelType w:val="hybridMultilevel"/>
    <w:tmpl w:val="187CA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550900"/>
    <w:multiLevelType w:val="hybridMultilevel"/>
    <w:tmpl w:val="D1D21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38056F"/>
    <w:multiLevelType w:val="hybridMultilevel"/>
    <w:tmpl w:val="88CEE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DA42E3"/>
    <w:multiLevelType w:val="hybridMultilevel"/>
    <w:tmpl w:val="8A0ED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8B18F3"/>
    <w:multiLevelType w:val="hybridMultilevel"/>
    <w:tmpl w:val="9CD05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9D255A"/>
    <w:multiLevelType w:val="hybridMultilevel"/>
    <w:tmpl w:val="2EE4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975A35"/>
    <w:multiLevelType w:val="hybridMultilevel"/>
    <w:tmpl w:val="E5021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F11FFB"/>
    <w:multiLevelType w:val="hybridMultilevel"/>
    <w:tmpl w:val="4CDAD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E717D2"/>
    <w:multiLevelType w:val="hybridMultilevel"/>
    <w:tmpl w:val="E334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115109">
    <w:abstractNumId w:val="0"/>
  </w:num>
  <w:num w:numId="2" w16cid:durableId="587809003">
    <w:abstractNumId w:val="17"/>
  </w:num>
  <w:num w:numId="3" w16cid:durableId="315185240">
    <w:abstractNumId w:val="16"/>
  </w:num>
  <w:num w:numId="4" w16cid:durableId="739328196">
    <w:abstractNumId w:val="4"/>
  </w:num>
  <w:num w:numId="5" w16cid:durableId="596596594">
    <w:abstractNumId w:val="1"/>
  </w:num>
  <w:num w:numId="6" w16cid:durableId="1351759869">
    <w:abstractNumId w:val="10"/>
  </w:num>
  <w:num w:numId="7" w16cid:durableId="1845899144">
    <w:abstractNumId w:val="22"/>
  </w:num>
  <w:num w:numId="8" w16cid:durableId="1255089048">
    <w:abstractNumId w:val="20"/>
  </w:num>
  <w:num w:numId="9" w16cid:durableId="812912516">
    <w:abstractNumId w:val="13"/>
  </w:num>
  <w:num w:numId="10" w16cid:durableId="434403191">
    <w:abstractNumId w:val="11"/>
  </w:num>
  <w:num w:numId="11" w16cid:durableId="199321401">
    <w:abstractNumId w:val="8"/>
  </w:num>
  <w:num w:numId="12" w16cid:durableId="1962147869">
    <w:abstractNumId w:val="2"/>
  </w:num>
  <w:num w:numId="13" w16cid:durableId="26877656">
    <w:abstractNumId w:val="21"/>
  </w:num>
  <w:num w:numId="14" w16cid:durableId="1700356944">
    <w:abstractNumId w:val="14"/>
  </w:num>
  <w:num w:numId="15" w16cid:durableId="1203322051">
    <w:abstractNumId w:val="6"/>
  </w:num>
  <w:num w:numId="16" w16cid:durableId="1798253661">
    <w:abstractNumId w:val="3"/>
  </w:num>
  <w:num w:numId="17" w16cid:durableId="136194312">
    <w:abstractNumId w:val="12"/>
  </w:num>
  <w:num w:numId="18" w16cid:durableId="449085045">
    <w:abstractNumId w:val="18"/>
  </w:num>
  <w:num w:numId="19" w16cid:durableId="696664036">
    <w:abstractNumId w:val="19"/>
  </w:num>
  <w:num w:numId="20" w16cid:durableId="432828150">
    <w:abstractNumId w:val="5"/>
  </w:num>
  <w:num w:numId="21" w16cid:durableId="1622178262">
    <w:abstractNumId w:val="15"/>
  </w:num>
  <w:num w:numId="22" w16cid:durableId="814876352">
    <w:abstractNumId w:val="7"/>
  </w:num>
  <w:num w:numId="23" w16cid:durableId="187164690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AB"/>
    <w:rsid w:val="000034DC"/>
    <w:rsid w:val="00003FDB"/>
    <w:rsid w:val="000041CC"/>
    <w:rsid w:val="0000470B"/>
    <w:rsid w:val="000067D4"/>
    <w:rsid w:val="000115BA"/>
    <w:rsid w:val="00013717"/>
    <w:rsid w:val="00014412"/>
    <w:rsid w:val="00015A9D"/>
    <w:rsid w:val="00017FE0"/>
    <w:rsid w:val="000218A0"/>
    <w:rsid w:val="00024BB5"/>
    <w:rsid w:val="00031A2C"/>
    <w:rsid w:val="000341DE"/>
    <w:rsid w:val="000350A7"/>
    <w:rsid w:val="00035328"/>
    <w:rsid w:val="00036238"/>
    <w:rsid w:val="00036760"/>
    <w:rsid w:val="00040083"/>
    <w:rsid w:val="00044ED9"/>
    <w:rsid w:val="00046117"/>
    <w:rsid w:val="00051435"/>
    <w:rsid w:val="00051FE0"/>
    <w:rsid w:val="00051FF7"/>
    <w:rsid w:val="00052D34"/>
    <w:rsid w:val="000541A0"/>
    <w:rsid w:val="00054A6E"/>
    <w:rsid w:val="00055AAF"/>
    <w:rsid w:val="0005790D"/>
    <w:rsid w:val="000603F2"/>
    <w:rsid w:val="00061093"/>
    <w:rsid w:val="0006144E"/>
    <w:rsid w:val="0006608A"/>
    <w:rsid w:val="000705F0"/>
    <w:rsid w:val="000716AC"/>
    <w:rsid w:val="00073109"/>
    <w:rsid w:val="000731F2"/>
    <w:rsid w:val="00073987"/>
    <w:rsid w:val="0007455F"/>
    <w:rsid w:val="00076952"/>
    <w:rsid w:val="00076DF3"/>
    <w:rsid w:val="00077989"/>
    <w:rsid w:val="0008038B"/>
    <w:rsid w:val="00083199"/>
    <w:rsid w:val="000859F2"/>
    <w:rsid w:val="00085EED"/>
    <w:rsid w:val="000878A3"/>
    <w:rsid w:val="00090B7B"/>
    <w:rsid w:val="000919F2"/>
    <w:rsid w:val="0009219A"/>
    <w:rsid w:val="000924DC"/>
    <w:rsid w:val="00092621"/>
    <w:rsid w:val="0009287F"/>
    <w:rsid w:val="000929D8"/>
    <w:rsid w:val="00092FFB"/>
    <w:rsid w:val="00096FFD"/>
    <w:rsid w:val="000A1297"/>
    <w:rsid w:val="000A1B8D"/>
    <w:rsid w:val="000A491B"/>
    <w:rsid w:val="000A4AB3"/>
    <w:rsid w:val="000A5664"/>
    <w:rsid w:val="000A7EF0"/>
    <w:rsid w:val="000B2DF3"/>
    <w:rsid w:val="000B518F"/>
    <w:rsid w:val="000B5C1E"/>
    <w:rsid w:val="000B6338"/>
    <w:rsid w:val="000C1CB0"/>
    <w:rsid w:val="000C2181"/>
    <w:rsid w:val="000C2375"/>
    <w:rsid w:val="000C3AE5"/>
    <w:rsid w:val="000C4ED2"/>
    <w:rsid w:val="000D02DD"/>
    <w:rsid w:val="000D1330"/>
    <w:rsid w:val="000D18A9"/>
    <w:rsid w:val="000D1941"/>
    <w:rsid w:val="000D2409"/>
    <w:rsid w:val="000D566F"/>
    <w:rsid w:val="000D5D94"/>
    <w:rsid w:val="000D5EC5"/>
    <w:rsid w:val="000D6FAF"/>
    <w:rsid w:val="000E0786"/>
    <w:rsid w:val="000E3376"/>
    <w:rsid w:val="000E532F"/>
    <w:rsid w:val="000E6BD9"/>
    <w:rsid w:val="000E6F54"/>
    <w:rsid w:val="000E7ED0"/>
    <w:rsid w:val="000F0519"/>
    <w:rsid w:val="000F1497"/>
    <w:rsid w:val="000F1844"/>
    <w:rsid w:val="000F1B22"/>
    <w:rsid w:val="000F3E1F"/>
    <w:rsid w:val="000F4C5E"/>
    <w:rsid w:val="000F54F2"/>
    <w:rsid w:val="000F5EB1"/>
    <w:rsid w:val="000F6660"/>
    <w:rsid w:val="000F6CDA"/>
    <w:rsid w:val="000F733F"/>
    <w:rsid w:val="00106910"/>
    <w:rsid w:val="00107686"/>
    <w:rsid w:val="001104C3"/>
    <w:rsid w:val="001127F8"/>
    <w:rsid w:val="00112A1D"/>
    <w:rsid w:val="00112A91"/>
    <w:rsid w:val="001214D7"/>
    <w:rsid w:val="0012471B"/>
    <w:rsid w:val="001250AB"/>
    <w:rsid w:val="001263E2"/>
    <w:rsid w:val="00132366"/>
    <w:rsid w:val="00132A66"/>
    <w:rsid w:val="00134A9C"/>
    <w:rsid w:val="00134ECC"/>
    <w:rsid w:val="00134F20"/>
    <w:rsid w:val="00135A0B"/>
    <w:rsid w:val="001360E3"/>
    <w:rsid w:val="00136664"/>
    <w:rsid w:val="001373C3"/>
    <w:rsid w:val="00137E8C"/>
    <w:rsid w:val="00140B5F"/>
    <w:rsid w:val="00142003"/>
    <w:rsid w:val="0014228E"/>
    <w:rsid w:val="001422BE"/>
    <w:rsid w:val="00145936"/>
    <w:rsid w:val="00147356"/>
    <w:rsid w:val="00147EEF"/>
    <w:rsid w:val="00150201"/>
    <w:rsid w:val="001619F1"/>
    <w:rsid w:val="001625A3"/>
    <w:rsid w:val="00162EF3"/>
    <w:rsid w:val="0016340E"/>
    <w:rsid w:val="00163A63"/>
    <w:rsid w:val="00164B97"/>
    <w:rsid w:val="00170A9E"/>
    <w:rsid w:val="00172BF4"/>
    <w:rsid w:val="00172FA7"/>
    <w:rsid w:val="00173478"/>
    <w:rsid w:val="00173D78"/>
    <w:rsid w:val="00176732"/>
    <w:rsid w:val="00176E55"/>
    <w:rsid w:val="0018069A"/>
    <w:rsid w:val="00182D30"/>
    <w:rsid w:val="0018375B"/>
    <w:rsid w:val="0018461A"/>
    <w:rsid w:val="001846AE"/>
    <w:rsid w:val="001873D8"/>
    <w:rsid w:val="00192539"/>
    <w:rsid w:val="001942D2"/>
    <w:rsid w:val="001944CA"/>
    <w:rsid w:val="001968E6"/>
    <w:rsid w:val="001978D1"/>
    <w:rsid w:val="001979B1"/>
    <w:rsid w:val="001A7229"/>
    <w:rsid w:val="001A7363"/>
    <w:rsid w:val="001A787E"/>
    <w:rsid w:val="001B0716"/>
    <w:rsid w:val="001B0835"/>
    <w:rsid w:val="001B0D71"/>
    <w:rsid w:val="001B1416"/>
    <w:rsid w:val="001B344A"/>
    <w:rsid w:val="001B3687"/>
    <w:rsid w:val="001B4406"/>
    <w:rsid w:val="001B5950"/>
    <w:rsid w:val="001B6B06"/>
    <w:rsid w:val="001B6E5E"/>
    <w:rsid w:val="001C1112"/>
    <w:rsid w:val="001C114C"/>
    <w:rsid w:val="001C13C5"/>
    <w:rsid w:val="001C1959"/>
    <w:rsid w:val="001C1A15"/>
    <w:rsid w:val="001C3A93"/>
    <w:rsid w:val="001C6967"/>
    <w:rsid w:val="001D0609"/>
    <w:rsid w:val="001D704D"/>
    <w:rsid w:val="001D767B"/>
    <w:rsid w:val="001E2122"/>
    <w:rsid w:val="001E36FD"/>
    <w:rsid w:val="001E4570"/>
    <w:rsid w:val="001E4F28"/>
    <w:rsid w:val="001E53CF"/>
    <w:rsid w:val="001E6B49"/>
    <w:rsid w:val="001E7619"/>
    <w:rsid w:val="001E79C1"/>
    <w:rsid w:val="001E7B61"/>
    <w:rsid w:val="001F56E0"/>
    <w:rsid w:val="001F591D"/>
    <w:rsid w:val="001F62FF"/>
    <w:rsid w:val="001F7EBF"/>
    <w:rsid w:val="002003FA"/>
    <w:rsid w:val="0020291D"/>
    <w:rsid w:val="00202963"/>
    <w:rsid w:val="00203298"/>
    <w:rsid w:val="002040F2"/>
    <w:rsid w:val="00205084"/>
    <w:rsid w:val="00205F9C"/>
    <w:rsid w:val="00211025"/>
    <w:rsid w:val="0021109C"/>
    <w:rsid w:val="0021231E"/>
    <w:rsid w:val="002127D7"/>
    <w:rsid w:val="00212FF3"/>
    <w:rsid w:val="002158EE"/>
    <w:rsid w:val="00215DA6"/>
    <w:rsid w:val="00216C2D"/>
    <w:rsid w:val="00217960"/>
    <w:rsid w:val="002224AE"/>
    <w:rsid w:val="0022389E"/>
    <w:rsid w:val="00223F46"/>
    <w:rsid w:val="00225B74"/>
    <w:rsid w:val="00226A71"/>
    <w:rsid w:val="00230CA2"/>
    <w:rsid w:val="00234444"/>
    <w:rsid w:val="00244370"/>
    <w:rsid w:val="00245025"/>
    <w:rsid w:val="0024609E"/>
    <w:rsid w:val="00250B75"/>
    <w:rsid w:val="002538D5"/>
    <w:rsid w:val="0025565E"/>
    <w:rsid w:val="002607E0"/>
    <w:rsid w:val="00262FF7"/>
    <w:rsid w:val="0026310F"/>
    <w:rsid w:val="00264CC3"/>
    <w:rsid w:val="00267778"/>
    <w:rsid w:val="002726A4"/>
    <w:rsid w:val="00272910"/>
    <w:rsid w:val="00275F40"/>
    <w:rsid w:val="0027681D"/>
    <w:rsid w:val="00277C67"/>
    <w:rsid w:val="00277E66"/>
    <w:rsid w:val="0028048A"/>
    <w:rsid w:val="00284EDE"/>
    <w:rsid w:val="00287234"/>
    <w:rsid w:val="002907B4"/>
    <w:rsid w:val="00293DCF"/>
    <w:rsid w:val="002969E6"/>
    <w:rsid w:val="00297DBE"/>
    <w:rsid w:val="002A0D6B"/>
    <w:rsid w:val="002A1776"/>
    <w:rsid w:val="002A27D6"/>
    <w:rsid w:val="002A2F54"/>
    <w:rsid w:val="002A3F50"/>
    <w:rsid w:val="002A4808"/>
    <w:rsid w:val="002A4B11"/>
    <w:rsid w:val="002A52FC"/>
    <w:rsid w:val="002B1415"/>
    <w:rsid w:val="002B329E"/>
    <w:rsid w:val="002B36A6"/>
    <w:rsid w:val="002B3ACE"/>
    <w:rsid w:val="002B6B53"/>
    <w:rsid w:val="002B6EBF"/>
    <w:rsid w:val="002C0C4E"/>
    <w:rsid w:val="002C164C"/>
    <w:rsid w:val="002C3BBC"/>
    <w:rsid w:val="002C52C4"/>
    <w:rsid w:val="002C6521"/>
    <w:rsid w:val="002D1E09"/>
    <w:rsid w:val="002D2A7E"/>
    <w:rsid w:val="002D2EF5"/>
    <w:rsid w:val="002D63BC"/>
    <w:rsid w:val="002D6A99"/>
    <w:rsid w:val="002D6F33"/>
    <w:rsid w:val="002E27C8"/>
    <w:rsid w:val="002E47BC"/>
    <w:rsid w:val="002E53C6"/>
    <w:rsid w:val="002E54F1"/>
    <w:rsid w:val="002E6B92"/>
    <w:rsid w:val="002F0687"/>
    <w:rsid w:val="002F1C0E"/>
    <w:rsid w:val="002F1E64"/>
    <w:rsid w:val="002F257A"/>
    <w:rsid w:val="002F285F"/>
    <w:rsid w:val="002F5224"/>
    <w:rsid w:val="002F71B1"/>
    <w:rsid w:val="002F7ABC"/>
    <w:rsid w:val="00301B16"/>
    <w:rsid w:val="003047CE"/>
    <w:rsid w:val="00304E7F"/>
    <w:rsid w:val="00310D8B"/>
    <w:rsid w:val="0031458A"/>
    <w:rsid w:val="00314865"/>
    <w:rsid w:val="00314EBD"/>
    <w:rsid w:val="00316840"/>
    <w:rsid w:val="00320905"/>
    <w:rsid w:val="00327817"/>
    <w:rsid w:val="003302FF"/>
    <w:rsid w:val="0033034E"/>
    <w:rsid w:val="00330852"/>
    <w:rsid w:val="00332036"/>
    <w:rsid w:val="00332B6B"/>
    <w:rsid w:val="00335273"/>
    <w:rsid w:val="00337018"/>
    <w:rsid w:val="00337315"/>
    <w:rsid w:val="00340E9C"/>
    <w:rsid w:val="003413C6"/>
    <w:rsid w:val="003415A0"/>
    <w:rsid w:val="00342DD3"/>
    <w:rsid w:val="00343C68"/>
    <w:rsid w:val="0034514F"/>
    <w:rsid w:val="0034596F"/>
    <w:rsid w:val="0034753B"/>
    <w:rsid w:val="00352999"/>
    <w:rsid w:val="003530DA"/>
    <w:rsid w:val="0035427F"/>
    <w:rsid w:val="0035592C"/>
    <w:rsid w:val="003575CE"/>
    <w:rsid w:val="00361002"/>
    <w:rsid w:val="003610A2"/>
    <w:rsid w:val="00365F97"/>
    <w:rsid w:val="00370F35"/>
    <w:rsid w:val="00371C8B"/>
    <w:rsid w:val="00372846"/>
    <w:rsid w:val="00373858"/>
    <w:rsid w:val="00373CD5"/>
    <w:rsid w:val="00374F2A"/>
    <w:rsid w:val="00375ACF"/>
    <w:rsid w:val="00375BF0"/>
    <w:rsid w:val="00375D7D"/>
    <w:rsid w:val="0037721A"/>
    <w:rsid w:val="0038071A"/>
    <w:rsid w:val="003823B0"/>
    <w:rsid w:val="003833B0"/>
    <w:rsid w:val="00383D01"/>
    <w:rsid w:val="00385E7F"/>
    <w:rsid w:val="003861FF"/>
    <w:rsid w:val="0038665A"/>
    <w:rsid w:val="00387777"/>
    <w:rsid w:val="00387942"/>
    <w:rsid w:val="00387E7F"/>
    <w:rsid w:val="00391815"/>
    <w:rsid w:val="00392609"/>
    <w:rsid w:val="0039324F"/>
    <w:rsid w:val="00396483"/>
    <w:rsid w:val="003975D0"/>
    <w:rsid w:val="003A0334"/>
    <w:rsid w:val="003A0CE5"/>
    <w:rsid w:val="003A3D11"/>
    <w:rsid w:val="003B0B33"/>
    <w:rsid w:val="003B2771"/>
    <w:rsid w:val="003B3484"/>
    <w:rsid w:val="003B62FF"/>
    <w:rsid w:val="003C188A"/>
    <w:rsid w:val="003C316B"/>
    <w:rsid w:val="003C3B88"/>
    <w:rsid w:val="003C3D13"/>
    <w:rsid w:val="003C43EB"/>
    <w:rsid w:val="003C53CE"/>
    <w:rsid w:val="003C57B0"/>
    <w:rsid w:val="003C7165"/>
    <w:rsid w:val="003D044E"/>
    <w:rsid w:val="003D0885"/>
    <w:rsid w:val="003D18F7"/>
    <w:rsid w:val="003D23DD"/>
    <w:rsid w:val="003D2CFC"/>
    <w:rsid w:val="003D49DF"/>
    <w:rsid w:val="003D4F5D"/>
    <w:rsid w:val="003D6202"/>
    <w:rsid w:val="003D744B"/>
    <w:rsid w:val="003D7C4C"/>
    <w:rsid w:val="003E01C9"/>
    <w:rsid w:val="003E21CA"/>
    <w:rsid w:val="003F27BF"/>
    <w:rsid w:val="003F41C6"/>
    <w:rsid w:val="003F44C1"/>
    <w:rsid w:val="003F6B30"/>
    <w:rsid w:val="0040062C"/>
    <w:rsid w:val="00402870"/>
    <w:rsid w:val="00402A86"/>
    <w:rsid w:val="00403819"/>
    <w:rsid w:val="00405F36"/>
    <w:rsid w:val="004061B1"/>
    <w:rsid w:val="00406747"/>
    <w:rsid w:val="00406E6D"/>
    <w:rsid w:val="00407310"/>
    <w:rsid w:val="00407A70"/>
    <w:rsid w:val="00410564"/>
    <w:rsid w:val="00410B76"/>
    <w:rsid w:val="00410BBC"/>
    <w:rsid w:val="00412776"/>
    <w:rsid w:val="00412C47"/>
    <w:rsid w:val="00420D04"/>
    <w:rsid w:val="0042279B"/>
    <w:rsid w:val="0042285F"/>
    <w:rsid w:val="00425184"/>
    <w:rsid w:val="00426066"/>
    <w:rsid w:val="00426D95"/>
    <w:rsid w:val="00426DC1"/>
    <w:rsid w:val="0043003B"/>
    <w:rsid w:val="004303E8"/>
    <w:rsid w:val="004304CD"/>
    <w:rsid w:val="00433DBF"/>
    <w:rsid w:val="004362B0"/>
    <w:rsid w:val="00437CB6"/>
    <w:rsid w:val="0044214A"/>
    <w:rsid w:val="004430A9"/>
    <w:rsid w:val="00445385"/>
    <w:rsid w:val="00445834"/>
    <w:rsid w:val="00447C35"/>
    <w:rsid w:val="004527A6"/>
    <w:rsid w:val="0045332A"/>
    <w:rsid w:val="0045432D"/>
    <w:rsid w:val="004550A2"/>
    <w:rsid w:val="00457309"/>
    <w:rsid w:val="00457D79"/>
    <w:rsid w:val="00464CC9"/>
    <w:rsid w:val="004663B8"/>
    <w:rsid w:val="0046665A"/>
    <w:rsid w:val="00466D65"/>
    <w:rsid w:val="0046703D"/>
    <w:rsid w:val="00467FA8"/>
    <w:rsid w:val="0047028E"/>
    <w:rsid w:val="0047084F"/>
    <w:rsid w:val="00470FED"/>
    <w:rsid w:val="004713E0"/>
    <w:rsid w:val="0047151D"/>
    <w:rsid w:val="004736AA"/>
    <w:rsid w:val="004738CD"/>
    <w:rsid w:val="00475201"/>
    <w:rsid w:val="00475D79"/>
    <w:rsid w:val="0047760E"/>
    <w:rsid w:val="00480418"/>
    <w:rsid w:val="0048185B"/>
    <w:rsid w:val="00481E39"/>
    <w:rsid w:val="00482FFB"/>
    <w:rsid w:val="00483853"/>
    <w:rsid w:val="00484906"/>
    <w:rsid w:val="004867A4"/>
    <w:rsid w:val="00486B23"/>
    <w:rsid w:val="004873BD"/>
    <w:rsid w:val="00487935"/>
    <w:rsid w:val="004900B8"/>
    <w:rsid w:val="004910BF"/>
    <w:rsid w:val="00491AC8"/>
    <w:rsid w:val="00493958"/>
    <w:rsid w:val="00493DF8"/>
    <w:rsid w:val="004944A7"/>
    <w:rsid w:val="004951BC"/>
    <w:rsid w:val="00495EF8"/>
    <w:rsid w:val="00497570"/>
    <w:rsid w:val="00497998"/>
    <w:rsid w:val="004A0D12"/>
    <w:rsid w:val="004A1069"/>
    <w:rsid w:val="004A2022"/>
    <w:rsid w:val="004A3CC9"/>
    <w:rsid w:val="004A4223"/>
    <w:rsid w:val="004A43B9"/>
    <w:rsid w:val="004A5841"/>
    <w:rsid w:val="004A5B9A"/>
    <w:rsid w:val="004A6B80"/>
    <w:rsid w:val="004A7FE8"/>
    <w:rsid w:val="004B0B28"/>
    <w:rsid w:val="004B25EA"/>
    <w:rsid w:val="004B4376"/>
    <w:rsid w:val="004B4BD6"/>
    <w:rsid w:val="004B74F8"/>
    <w:rsid w:val="004B7C0E"/>
    <w:rsid w:val="004C0132"/>
    <w:rsid w:val="004C31E6"/>
    <w:rsid w:val="004C4224"/>
    <w:rsid w:val="004C5C9C"/>
    <w:rsid w:val="004C6288"/>
    <w:rsid w:val="004D0671"/>
    <w:rsid w:val="004D19F5"/>
    <w:rsid w:val="004D1EAB"/>
    <w:rsid w:val="004D23CF"/>
    <w:rsid w:val="004D6223"/>
    <w:rsid w:val="004D7918"/>
    <w:rsid w:val="004E06B6"/>
    <w:rsid w:val="004E1A2B"/>
    <w:rsid w:val="004E1D93"/>
    <w:rsid w:val="004E7051"/>
    <w:rsid w:val="004E7967"/>
    <w:rsid w:val="004F046B"/>
    <w:rsid w:val="004F0B2F"/>
    <w:rsid w:val="004F19B8"/>
    <w:rsid w:val="004F2AFD"/>
    <w:rsid w:val="004F5A09"/>
    <w:rsid w:val="004F5CE6"/>
    <w:rsid w:val="004F5EFC"/>
    <w:rsid w:val="004F6D22"/>
    <w:rsid w:val="004F6DBE"/>
    <w:rsid w:val="004F714C"/>
    <w:rsid w:val="004F73D4"/>
    <w:rsid w:val="00500A5C"/>
    <w:rsid w:val="005026CC"/>
    <w:rsid w:val="00503AD1"/>
    <w:rsid w:val="005041F7"/>
    <w:rsid w:val="0050449A"/>
    <w:rsid w:val="00505E81"/>
    <w:rsid w:val="005078AA"/>
    <w:rsid w:val="005100D1"/>
    <w:rsid w:val="00513720"/>
    <w:rsid w:val="0051607A"/>
    <w:rsid w:val="005205F4"/>
    <w:rsid w:val="00521967"/>
    <w:rsid w:val="00524378"/>
    <w:rsid w:val="005269B7"/>
    <w:rsid w:val="005269D3"/>
    <w:rsid w:val="00527152"/>
    <w:rsid w:val="00530F70"/>
    <w:rsid w:val="005315EA"/>
    <w:rsid w:val="00532FD5"/>
    <w:rsid w:val="00533107"/>
    <w:rsid w:val="00534E9F"/>
    <w:rsid w:val="0053506A"/>
    <w:rsid w:val="0053512A"/>
    <w:rsid w:val="00535508"/>
    <w:rsid w:val="00535D23"/>
    <w:rsid w:val="00536B13"/>
    <w:rsid w:val="005370BB"/>
    <w:rsid w:val="00540B35"/>
    <w:rsid w:val="00541FFE"/>
    <w:rsid w:val="00544F1F"/>
    <w:rsid w:val="00545752"/>
    <w:rsid w:val="00545DDF"/>
    <w:rsid w:val="00545F38"/>
    <w:rsid w:val="0054634E"/>
    <w:rsid w:val="005514BE"/>
    <w:rsid w:val="005517D0"/>
    <w:rsid w:val="0055424F"/>
    <w:rsid w:val="00554428"/>
    <w:rsid w:val="00557377"/>
    <w:rsid w:val="00560495"/>
    <w:rsid w:val="00560599"/>
    <w:rsid w:val="00562F8A"/>
    <w:rsid w:val="00563721"/>
    <w:rsid w:val="00565776"/>
    <w:rsid w:val="00566508"/>
    <w:rsid w:val="00566C4E"/>
    <w:rsid w:val="00570ACF"/>
    <w:rsid w:val="005727A5"/>
    <w:rsid w:val="00573535"/>
    <w:rsid w:val="00573C2D"/>
    <w:rsid w:val="00575BB7"/>
    <w:rsid w:val="00575F88"/>
    <w:rsid w:val="0057794D"/>
    <w:rsid w:val="00581831"/>
    <w:rsid w:val="00582DC9"/>
    <w:rsid w:val="00585250"/>
    <w:rsid w:val="005859C8"/>
    <w:rsid w:val="00587796"/>
    <w:rsid w:val="005940DB"/>
    <w:rsid w:val="005953F2"/>
    <w:rsid w:val="00596618"/>
    <w:rsid w:val="00597ABF"/>
    <w:rsid w:val="005A2AAC"/>
    <w:rsid w:val="005A3C50"/>
    <w:rsid w:val="005A4293"/>
    <w:rsid w:val="005A61AB"/>
    <w:rsid w:val="005B0E04"/>
    <w:rsid w:val="005B1272"/>
    <w:rsid w:val="005B2781"/>
    <w:rsid w:val="005B6872"/>
    <w:rsid w:val="005B6B09"/>
    <w:rsid w:val="005B75E6"/>
    <w:rsid w:val="005C0164"/>
    <w:rsid w:val="005C4B4F"/>
    <w:rsid w:val="005C4DE0"/>
    <w:rsid w:val="005C5B41"/>
    <w:rsid w:val="005C61D6"/>
    <w:rsid w:val="005D315F"/>
    <w:rsid w:val="005E139A"/>
    <w:rsid w:val="005E2D06"/>
    <w:rsid w:val="005E41A6"/>
    <w:rsid w:val="005E4CC6"/>
    <w:rsid w:val="005E5D9F"/>
    <w:rsid w:val="005E6921"/>
    <w:rsid w:val="005F082A"/>
    <w:rsid w:val="005F1B29"/>
    <w:rsid w:val="005F3BCE"/>
    <w:rsid w:val="005F5087"/>
    <w:rsid w:val="005F69A9"/>
    <w:rsid w:val="00600502"/>
    <w:rsid w:val="006042ED"/>
    <w:rsid w:val="0060605E"/>
    <w:rsid w:val="006064E9"/>
    <w:rsid w:val="00606AB0"/>
    <w:rsid w:val="00607FAE"/>
    <w:rsid w:val="0061064A"/>
    <w:rsid w:val="006139EC"/>
    <w:rsid w:val="00613CC2"/>
    <w:rsid w:val="00615BC9"/>
    <w:rsid w:val="00615CB4"/>
    <w:rsid w:val="0061712B"/>
    <w:rsid w:val="006177AE"/>
    <w:rsid w:val="00620C18"/>
    <w:rsid w:val="00621065"/>
    <w:rsid w:val="00621A4A"/>
    <w:rsid w:val="0062213F"/>
    <w:rsid w:val="00624E22"/>
    <w:rsid w:val="006308E7"/>
    <w:rsid w:val="006330D9"/>
    <w:rsid w:val="006339F5"/>
    <w:rsid w:val="0063551B"/>
    <w:rsid w:val="00635F82"/>
    <w:rsid w:val="00636B6E"/>
    <w:rsid w:val="0063763A"/>
    <w:rsid w:val="00637894"/>
    <w:rsid w:val="00640620"/>
    <w:rsid w:val="00641D3B"/>
    <w:rsid w:val="00644080"/>
    <w:rsid w:val="00646942"/>
    <w:rsid w:val="00647786"/>
    <w:rsid w:val="006519AF"/>
    <w:rsid w:val="00652A9D"/>
    <w:rsid w:val="006549A6"/>
    <w:rsid w:val="0065603B"/>
    <w:rsid w:val="0066058B"/>
    <w:rsid w:val="006618F7"/>
    <w:rsid w:val="00662222"/>
    <w:rsid w:val="00662414"/>
    <w:rsid w:val="00663755"/>
    <w:rsid w:val="00664A69"/>
    <w:rsid w:val="00665959"/>
    <w:rsid w:val="00666745"/>
    <w:rsid w:val="00666DED"/>
    <w:rsid w:val="006674D7"/>
    <w:rsid w:val="0067275F"/>
    <w:rsid w:val="00674A82"/>
    <w:rsid w:val="00674D0B"/>
    <w:rsid w:val="006754B7"/>
    <w:rsid w:val="00675B7D"/>
    <w:rsid w:val="00676C69"/>
    <w:rsid w:val="00680F03"/>
    <w:rsid w:val="0068122B"/>
    <w:rsid w:val="00681236"/>
    <w:rsid w:val="006826BB"/>
    <w:rsid w:val="006829E5"/>
    <w:rsid w:val="006830C9"/>
    <w:rsid w:val="0068364A"/>
    <w:rsid w:val="0068525B"/>
    <w:rsid w:val="00685D4F"/>
    <w:rsid w:val="00685DD6"/>
    <w:rsid w:val="006871D2"/>
    <w:rsid w:val="00691D49"/>
    <w:rsid w:val="006922C8"/>
    <w:rsid w:val="00692D3B"/>
    <w:rsid w:val="00693229"/>
    <w:rsid w:val="006951FD"/>
    <w:rsid w:val="00695BB1"/>
    <w:rsid w:val="006964AF"/>
    <w:rsid w:val="006A17BE"/>
    <w:rsid w:val="006A3E64"/>
    <w:rsid w:val="006A4512"/>
    <w:rsid w:val="006A4D47"/>
    <w:rsid w:val="006A56E4"/>
    <w:rsid w:val="006B029D"/>
    <w:rsid w:val="006B2D41"/>
    <w:rsid w:val="006B6D8D"/>
    <w:rsid w:val="006C1643"/>
    <w:rsid w:val="006C287C"/>
    <w:rsid w:val="006C3C15"/>
    <w:rsid w:val="006C4479"/>
    <w:rsid w:val="006C7D4F"/>
    <w:rsid w:val="006D12B4"/>
    <w:rsid w:val="006D4F41"/>
    <w:rsid w:val="006D6A44"/>
    <w:rsid w:val="006D7A33"/>
    <w:rsid w:val="006E280A"/>
    <w:rsid w:val="006E4BEC"/>
    <w:rsid w:val="006E6792"/>
    <w:rsid w:val="006E75E2"/>
    <w:rsid w:val="006F01B5"/>
    <w:rsid w:val="006F06FC"/>
    <w:rsid w:val="006F0A9A"/>
    <w:rsid w:val="006F4AD5"/>
    <w:rsid w:val="006F4CA7"/>
    <w:rsid w:val="006F5527"/>
    <w:rsid w:val="006F6211"/>
    <w:rsid w:val="00700F4D"/>
    <w:rsid w:val="00701034"/>
    <w:rsid w:val="00703D62"/>
    <w:rsid w:val="007041A0"/>
    <w:rsid w:val="007046F7"/>
    <w:rsid w:val="00707559"/>
    <w:rsid w:val="007076DF"/>
    <w:rsid w:val="00710701"/>
    <w:rsid w:val="007119FE"/>
    <w:rsid w:val="00712602"/>
    <w:rsid w:val="007144F6"/>
    <w:rsid w:val="00716311"/>
    <w:rsid w:val="0071750E"/>
    <w:rsid w:val="007216E3"/>
    <w:rsid w:val="00723A6D"/>
    <w:rsid w:val="00725672"/>
    <w:rsid w:val="007269AB"/>
    <w:rsid w:val="00731691"/>
    <w:rsid w:val="00732F74"/>
    <w:rsid w:val="007332F9"/>
    <w:rsid w:val="00734ED0"/>
    <w:rsid w:val="0073511D"/>
    <w:rsid w:val="00736085"/>
    <w:rsid w:val="00736171"/>
    <w:rsid w:val="00736C8E"/>
    <w:rsid w:val="007405DC"/>
    <w:rsid w:val="00741394"/>
    <w:rsid w:val="007418D9"/>
    <w:rsid w:val="00742173"/>
    <w:rsid w:val="00742415"/>
    <w:rsid w:val="007426DA"/>
    <w:rsid w:val="00743593"/>
    <w:rsid w:val="00743C00"/>
    <w:rsid w:val="00743CDA"/>
    <w:rsid w:val="007441D4"/>
    <w:rsid w:val="00744252"/>
    <w:rsid w:val="00746FD8"/>
    <w:rsid w:val="00750FE0"/>
    <w:rsid w:val="00751E26"/>
    <w:rsid w:val="0075449A"/>
    <w:rsid w:val="007548E4"/>
    <w:rsid w:val="0075548A"/>
    <w:rsid w:val="00757335"/>
    <w:rsid w:val="00760360"/>
    <w:rsid w:val="007613E1"/>
    <w:rsid w:val="00761522"/>
    <w:rsid w:val="0076179E"/>
    <w:rsid w:val="00762462"/>
    <w:rsid w:val="00762E9C"/>
    <w:rsid w:val="00764F3A"/>
    <w:rsid w:val="00770689"/>
    <w:rsid w:val="00772951"/>
    <w:rsid w:val="007752C1"/>
    <w:rsid w:val="0077623A"/>
    <w:rsid w:val="007771AD"/>
    <w:rsid w:val="007818E5"/>
    <w:rsid w:val="0078397D"/>
    <w:rsid w:val="00784103"/>
    <w:rsid w:val="00784C0B"/>
    <w:rsid w:val="00784F13"/>
    <w:rsid w:val="00787A9E"/>
    <w:rsid w:val="007910B2"/>
    <w:rsid w:val="007964A2"/>
    <w:rsid w:val="007970F7"/>
    <w:rsid w:val="007A0496"/>
    <w:rsid w:val="007A2054"/>
    <w:rsid w:val="007A2D2F"/>
    <w:rsid w:val="007A6F27"/>
    <w:rsid w:val="007A7979"/>
    <w:rsid w:val="007A7D3B"/>
    <w:rsid w:val="007B0321"/>
    <w:rsid w:val="007B183D"/>
    <w:rsid w:val="007B1D69"/>
    <w:rsid w:val="007C165F"/>
    <w:rsid w:val="007C1DCB"/>
    <w:rsid w:val="007C29FD"/>
    <w:rsid w:val="007C542D"/>
    <w:rsid w:val="007D1343"/>
    <w:rsid w:val="007D2377"/>
    <w:rsid w:val="007D2D9B"/>
    <w:rsid w:val="007D3342"/>
    <w:rsid w:val="007D38E8"/>
    <w:rsid w:val="007D733B"/>
    <w:rsid w:val="007E22C2"/>
    <w:rsid w:val="007E2DB9"/>
    <w:rsid w:val="007E3EC6"/>
    <w:rsid w:val="007E3EFB"/>
    <w:rsid w:val="007E4D02"/>
    <w:rsid w:val="007E4D0D"/>
    <w:rsid w:val="007E5495"/>
    <w:rsid w:val="007E5EA9"/>
    <w:rsid w:val="007E6CE7"/>
    <w:rsid w:val="007F1C4A"/>
    <w:rsid w:val="007F3673"/>
    <w:rsid w:val="007F3B3E"/>
    <w:rsid w:val="007F507E"/>
    <w:rsid w:val="007F63B6"/>
    <w:rsid w:val="007F7080"/>
    <w:rsid w:val="007F79B4"/>
    <w:rsid w:val="00800885"/>
    <w:rsid w:val="00800E2F"/>
    <w:rsid w:val="00801427"/>
    <w:rsid w:val="0080162F"/>
    <w:rsid w:val="0080204A"/>
    <w:rsid w:val="008022A8"/>
    <w:rsid w:val="0080286D"/>
    <w:rsid w:val="00806897"/>
    <w:rsid w:val="00811627"/>
    <w:rsid w:val="008117B6"/>
    <w:rsid w:val="00813F99"/>
    <w:rsid w:val="00814CA3"/>
    <w:rsid w:val="00817E9E"/>
    <w:rsid w:val="00821BD6"/>
    <w:rsid w:val="00824824"/>
    <w:rsid w:val="008274F3"/>
    <w:rsid w:val="0082792B"/>
    <w:rsid w:val="008303A2"/>
    <w:rsid w:val="00831997"/>
    <w:rsid w:val="00831E3F"/>
    <w:rsid w:val="00831F99"/>
    <w:rsid w:val="00833913"/>
    <w:rsid w:val="00835A94"/>
    <w:rsid w:val="00836835"/>
    <w:rsid w:val="00836FB4"/>
    <w:rsid w:val="00837B67"/>
    <w:rsid w:val="00837BEB"/>
    <w:rsid w:val="0084055A"/>
    <w:rsid w:val="00842BCE"/>
    <w:rsid w:val="00846556"/>
    <w:rsid w:val="00851C18"/>
    <w:rsid w:val="0085254B"/>
    <w:rsid w:val="00852D9B"/>
    <w:rsid w:val="0085673F"/>
    <w:rsid w:val="00856B05"/>
    <w:rsid w:val="00861FE3"/>
    <w:rsid w:val="00863EF0"/>
    <w:rsid w:val="00864956"/>
    <w:rsid w:val="00864F1C"/>
    <w:rsid w:val="00872803"/>
    <w:rsid w:val="00872BA2"/>
    <w:rsid w:val="0087384F"/>
    <w:rsid w:val="0087775F"/>
    <w:rsid w:val="00877E32"/>
    <w:rsid w:val="0088063C"/>
    <w:rsid w:val="00880FC4"/>
    <w:rsid w:val="00881039"/>
    <w:rsid w:val="00883AAA"/>
    <w:rsid w:val="00883B46"/>
    <w:rsid w:val="00890980"/>
    <w:rsid w:val="00890CBC"/>
    <w:rsid w:val="00892EBC"/>
    <w:rsid w:val="00894E39"/>
    <w:rsid w:val="00895418"/>
    <w:rsid w:val="008957D9"/>
    <w:rsid w:val="0089788C"/>
    <w:rsid w:val="00897AF8"/>
    <w:rsid w:val="008A202D"/>
    <w:rsid w:val="008A4157"/>
    <w:rsid w:val="008A5FCC"/>
    <w:rsid w:val="008A7B4B"/>
    <w:rsid w:val="008B4846"/>
    <w:rsid w:val="008B5689"/>
    <w:rsid w:val="008B5DBC"/>
    <w:rsid w:val="008B749E"/>
    <w:rsid w:val="008C09B5"/>
    <w:rsid w:val="008C1171"/>
    <w:rsid w:val="008C17BA"/>
    <w:rsid w:val="008C1F20"/>
    <w:rsid w:val="008C2D17"/>
    <w:rsid w:val="008C3CC2"/>
    <w:rsid w:val="008C3E75"/>
    <w:rsid w:val="008C5F38"/>
    <w:rsid w:val="008C6B0E"/>
    <w:rsid w:val="008C6FC8"/>
    <w:rsid w:val="008C7870"/>
    <w:rsid w:val="008D3756"/>
    <w:rsid w:val="008D4971"/>
    <w:rsid w:val="008D77FD"/>
    <w:rsid w:val="008E16CE"/>
    <w:rsid w:val="008E1E77"/>
    <w:rsid w:val="008E350D"/>
    <w:rsid w:val="008E6A92"/>
    <w:rsid w:val="008F1D37"/>
    <w:rsid w:val="008F4BDD"/>
    <w:rsid w:val="008F7897"/>
    <w:rsid w:val="00900302"/>
    <w:rsid w:val="0090296E"/>
    <w:rsid w:val="00902E31"/>
    <w:rsid w:val="0090379A"/>
    <w:rsid w:val="00906C03"/>
    <w:rsid w:val="00911149"/>
    <w:rsid w:val="0091354B"/>
    <w:rsid w:val="00913E49"/>
    <w:rsid w:val="00913ED2"/>
    <w:rsid w:val="009147FF"/>
    <w:rsid w:val="00915805"/>
    <w:rsid w:val="00916358"/>
    <w:rsid w:val="009204BB"/>
    <w:rsid w:val="009225DE"/>
    <w:rsid w:val="00922AFC"/>
    <w:rsid w:val="009237A5"/>
    <w:rsid w:val="009301DE"/>
    <w:rsid w:val="00934718"/>
    <w:rsid w:val="009370E2"/>
    <w:rsid w:val="009379AA"/>
    <w:rsid w:val="00940535"/>
    <w:rsid w:val="009407A8"/>
    <w:rsid w:val="0094395B"/>
    <w:rsid w:val="00945F19"/>
    <w:rsid w:val="00950233"/>
    <w:rsid w:val="00950841"/>
    <w:rsid w:val="00952DBF"/>
    <w:rsid w:val="00953B35"/>
    <w:rsid w:val="00954414"/>
    <w:rsid w:val="00954A83"/>
    <w:rsid w:val="00956763"/>
    <w:rsid w:val="00957BCF"/>
    <w:rsid w:val="00960CDB"/>
    <w:rsid w:val="009625F6"/>
    <w:rsid w:val="009627F9"/>
    <w:rsid w:val="009658D6"/>
    <w:rsid w:val="009671E4"/>
    <w:rsid w:val="009676D8"/>
    <w:rsid w:val="00975F96"/>
    <w:rsid w:val="0098324A"/>
    <w:rsid w:val="00985FFB"/>
    <w:rsid w:val="00987CAC"/>
    <w:rsid w:val="00990CFC"/>
    <w:rsid w:val="00993516"/>
    <w:rsid w:val="00995DD7"/>
    <w:rsid w:val="00995E0E"/>
    <w:rsid w:val="00996052"/>
    <w:rsid w:val="009960C9"/>
    <w:rsid w:val="00996C55"/>
    <w:rsid w:val="00997DA9"/>
    <w:rsid w:val="009A2905"/>
    <w:rsid w:val="009A38CE"/>
    <w:rsid w:val="009A38D1"/>
    <w:rsid w:val="009A491C"/>
    <w:rsid w:val="009A5B58"/>
    <w:rsid w:val="009A5E1D"/>
    <w:rsid w:val="009A649B"/>
    <w:rsid w:val="009A6EB1"/>
    <w:rsid w:val="009A72B6"/>
    <w:rsid w:val="009B3E5B"/>
    <w:rsid w:val="009B4294"/>
    <w:rsid w:val="009B430C"/>
    <w:rsid w:val="009B5295"/>
    <w:rsid w:val="009B60BD"/>
    <w:rsid w:val="009B6D4C"/>
    <w:rsid w:val="009B70F4"/>
    <w:rsid w:val="009B7374"/>
    <w:rsid w:val="009C0727"/>
    <w:rsid w:val="009C1EF7"/>
    <w:rsid w:val="009C2556"/>
    <w:rsid w:val="009C6C52"/>
    <w:rsid w:val="009D0718"/>
    <w:rsid w:val="009D162F"/>
    <w:rsid w:val="009D1776"/>
    <w:rsid w:val="009D5976"/>
    <w:rsid w:val="009D5A80"/>
    <w:rsid w:val="009D79AE"/>
    <w:rsid w:val="009E0053"/>
    <w:rsid w:val="009E040A"/>
    <w:rsid w:val="009E2345"/>
    <w:rsid w:val="009E2D6E"/>
    <w:rsid w:val="009E312B"/>
    <w:rsid w:val="009E40AA"/>
    <w:rsid w:val="009E4E40"/>
    <w:rsid w:val="009E710F"/>
    <w:rsid w:val="009F206C"/>
    <w:rsid w:val="009F4D89"/>
    <w:rsid w:val="009F6A97"/>
    <w:rsid w:val="00A00283"/>
    <w:rsid w:val="00A008E4"/>
    <w:rsid w:val="00A00B50"/>
    <w:rsid w:val="00A00E20"/>
    <w:rsid w:val="00A0253A"/>
    <w:rsid w:val="00A02A94"/>
    <w:rsid w:val="00A03293"/>
    <w:rsid w:val="00A03ADC"/>
    <w:rsid w:val="00A1000D"/>
    <w:rsid w:val="00A10193"/>
    <w:rsid w:val="00A10AC7"/>
    <w:rsid w:val="00A10DF8"/>
    <w:rsid w:val="00A111CB"/>
    <w:rsid w:val="00A11201"/>
    <w:rsid w:val="00A126F1"/>
    <w:rsid w:val="00A12A9B"/>
    <w:rsid w:val="00A14055"/>
    <w:rsid w:val="00A14E15"/>
    <w:rsid w:val="00A15690"/>
    <w:rsid w:val="00A23BB2"/>
    <w:rsid w:val="00A24540"/>
    <w:rsid w:val="00A258B6"/>
    <w:rsid w:val="00A27388"/>
    <w:rsid w:val="00A300BF"/>
    <w:rsid w:val="00A30328"/>
    <w:rsid w:val="00A3255E"/>
    <w:rsid w:val="00A3267D"/>
    <w:rsid w:val="00A331C8"/>
    <w:rsid w:val="00A43E28"/>
    <w:rsid w:val="00A44451"/>
    <w:rsid w:val="00A46428"/>
    <w:rsid w:val="00A46BDC"/>
    <w:rsid w:val="00A500E9"/>
    <w:rsid w:val="00A5105C"/>
    <w:rsid w:val="00A513DF"/>
    <w:rsid w:val="00A52415"/>
    <w:rsid w:val="00A5321A"/>
    <w:rsid w:val="00A57B01"/>
    <w:rsid w:val="00A601CF"/>
    <w:rsid w:val="00A60B2E"/>
    <w:rsid w:val="00A61566"/>
    <w:rsid w:val="00A6188E"/>
    <w:rsid w:val="00A62E69"/>
    <w:rsid w:val="00A634F8"/>
    <w:rsid w:val="00A67499"/>
    <w:rsid w:val="00A716CD"/>
    <w:rsid w:val="00A744D1"/>
    <w:rsid w:val="00A745E3"/>
    <w:rsid w:val="00A76173"/>
    <w:rsid w:val="00A762E1"/>
    <w:rsid w:val="00A77AE4"/>
    <w:rsid w:val="00A806F4"/>
    <w:rsid w:val="00A81FA6"/>
    <w:rsid w:val="00A84E31"/>
    <w:rsid w:val="00A8697D"/>
    <w:rsid w:val="00A86A28"/>
    <w:rsid w:val="00A873DD"/>
    <w:rsid w:val="00A9059D"/>
    <w:rsid w:val="00A90983"/>
    <w:rsid w:val="00A925A8"/>
    <w:rsid w:val="00A930DA"/>
    <w:rsid w:val="00A943AF"/>
    <w:rsid w:val="00A96B58"/>
    <w:rsid w:val="00AA0175"/>
    <w:rsid w:val="00AA0A83"/>
    <w:rsid w:val="00AA25E4"/>
    <w:rsid w:val="00AA3112"/>
    <w:rsid w:val="00AA33FB"/>
    <w:rsid w:val="00AA4C9D"/>
    <w:rsid w:val="00AA525C"/>
    <w:rsid w:val="00AA6162"/>
    <w:rsid w:val="00AA733A"/>
    <w:rsid w:val="00AA78DC"/>
    <w:rsid w:val="00AA7F1A"/>
    <w:rsid w:val="00AB10AA"/>
    <w:rsid w:val="00AB25F9"/>
    <w:rsid w:val="00AB2F51"/>
    <w:rsid w:val="00AB2FDC"/>
    <w:rsid w:val="00AB4394"/>
    <w:rsid w:val="00AB54EE"/>
    <w:rsid w:val="00AB6229"/>
    <w:rsid w:val="00AB67C0"/>
    <w:rsid w:val="00AC1689"/>
    <w:rsid w:val="00AC1FDD"/>
    <w:rsid w:val="00AC4D72"/>
    <w:rsid w:val="00AC4F4B"/>
    <w:rsid w:val="00AC71A6"/>
    <w:rsid w:val="00AC7D35"/>
    <w:rsid w:val="00AD15B2"/>
    <w:rsid w:val="00AD24FE"/>
    <w:rsid w:val="00AD2536"/>
    <w:rsid w:val="00AD362B"/>
    <w:rsid w:val="00AD4B24"/>
    <w:rsid w:val="00AD6D51"/>
    <w:rsid w:val="00AE1B54"/>
    <w:rsid w:val="00AE2FF1"/>
    <w:rsid w:val="00AE36A3"/>
    <w:rsid w:val="00AE3C57"/>
    <w:rsid w:val="00AE515D"/>
    <w:rsid w:val="00AE64C1"/>
    <w:rsid w:val="00AE6B2A"/>
    <w:rsid w:val="00AF3041"/>
    <w:rsid w:val="00AF48CD"/>
    <w:rsid w:val="00AF5E69"/>
    <w:rsid w:val="00AF5FAD"/>
    <w:rsid w:val="00AF6022"/>
    <w:rsid w:val="00AF7EC8"/>
    <w:rsid w:val="00B015A7"/>
    <w:rsid w:val="00B01F89"/>
    <w:rsid w:val="00B038CC"/>
    <w:rsid w:val="00B051B8"/>
    <w:rsid w:val="00B053D9"/>
    <w:rsid w:val="00B06556"/>
    <w:rsid w:val="00B06B04"/>
    <w:rsid w:val="00B06B85"/>
    <w:rsid w:val="00B07150"/>
    <w:rsid w:val="00B11F31"/>
    <w:rsid w:val="00B12AB1"/>
    <w:rsid w:val="00B12C14"/>
    <w:rsid w:val="00B14090"/>
    <w:rsid w:val="00B15932"/>
    <w:rsid w:val="00B161CF"/>
    <w:rsid w:val="00B16C7B"/>
    <w:rsid w:val="00B16F92"/>
    <w:rsid w:val="00B21E7A"/>
    <w:rsid w:val="00B21EA3"/>
    <w:rsid w:val="00B2296E"/>
    <w:rsid w:val="00B328E5"/>
    <w:rsid w:val="00B3388D"/>
    <w:rsid w:val="00B34168"/>
    <w:rsid w:val="00B345D9"/>
    <w:rsid w:val="00B34DF8"/>
    <w:rsid w:val="00B37B14"/>
    <w:rsid w:val="00B43D0A"/>
    <w:rsid w:val="00B43EF1"/>
    <w:rsid w:val="00B44303"/>
    <w:rsid w:val="00B47091"/>
    <w:rsid w:val="00B47D07"/>
    <w:rsid w:val="00B5144B"/>
    <w:rsid w:val="00B5170B"/>
    <w:rsid w:val="00B52EE1"/>
    <w:rsid w:val="00B53992"/>
    <w:rsid w:val="00B53D6E"/>
    <w:rsid w:val="00B54EA4"/>
    <w:rsid w:val="00B64706"/>
    <w:rsid w:val="00B679D3"/>
    <w:rsid w:val="00B67FEA"/>
    <w:rsid w:val="00B708AD"/>
    <w:rsid w:val="00B710D2"/>
    <w:rsid w:val="00B7113C"/>
    <w:rsid w:val="00B712CC"/>
    <w:rsid w:val="00B723DF"/>
    <w:rsid w:val="00B72D64"/>
    <w:rsid w:val="00B731DE"/>
    <w:rsid w:val="00B734C3"/>
    <w:rsid w:val="00B73EB2"/>
    <w:rsid w:val="00B74252"/>
    <w:rsid w:val="00B7514D"/>
    <w:rsid w:val="00B7627A"/>
    <w:rsid w:val="00B7678B"/>
    <w:rsid w:val="00B77533"/>
    <w:rsid w:val="00B77999"/>
    <w:rsid w:val="00B77B05"/>
    <w:rsid w:val="00B81154"/>
    <w:rsid w:val="00B85149"/>
    <w:rsid w:val="00B85A12"/>
    <w:rsid w:val="00B86498"/>
    <w:rsid w:val="00B90481"/>
    <w:rsid w:val="00B9063F"/>
    <w:rsid w:val="00B92975"/>
    <w:rsid w:val="00B945D4"/>
    <w:rsid w:val="00B94BAD"/>
    <w:rsid w:val="00B97A58"/>
    <w:rsid w:val="00BA1325"/>
    <w:rsid w:val="00BA48FC"/>
    <w:rsid w:val="00BA5870"/>
    <w:rsid w:val="00BA679F"/>
    <w:rsid w:val="00BB0399"/>
    <w:rsid w:val="00BB0CBB"/>
    <w:rsid w:val="00BB0EFB"/>
    <w:rsid w:val="00BB3223"/>
    <w:rsid w:val="00BB4344"/>
    <w:rsid w:val="00BB4A7B"/>
    <w:rsid w:val="00BB5D61"/>
    <w:rsid w:val="00BC1307"/>
    <w:rsid w:val="00BC2B27"/>
    <w:rsid w:val="00BC3B27"/>
    <w:rsid w:val="00BC4C9B"/>
    <w:rsid w:val="00BC609B"/>
    <w:rsid w:val="00BC7910"/>
    <w:rsid w:val="00BC7BEA"/>
    <w:rsid w:val="00BD0BD5"/>
    <w:rsid w:val="00BD209D"/>
    <w:rsid w:val="00BD6641"/>
    <w:rsid w:val="00BE4117"/>
    <w:rsid w:val="00BE467F"/>
    <w:rsid w:val="00BE4DAD"/>
    <w:rsid w:val="00BE5E4B"/>
    <w:rsid w:val="00BE6C2B"/>
    <w:rsid w:val="00BE716C"/>
    <w:rsid w:val="00BE76C8"/>
    <w:rsid w:val="00BE7990"/>
    <w:rsid w:val="00BF1AB9"/>
    <w:rsid w:val="00BF29E1"/>
    <w:rsid w:val="00BF2F12"/>
    <w:rsid w:val="00BF30AB"/>
    <w:rsid w:val="00BF3A0E"/>
    <w:rsid w:val="00BF3A82"/>
    <w:rsid w:val="00BF47F6"/>
    <w:rsid w:val="00BF4C9A"/>
    <w:rsid w:val="00BF58CF"/>
    <w:rsid w:val="00BF695F"/>
    <w:rsid w:val="00C0339F"/>
    <w:rsid w:val="00C0411C"/>
    <w:rsid w:val="00C057FE"/>
    <w:rsid w:val="00C07331"/>
    <w:rsid w:val="00C10955"/>
    <w:rsid w:val="00C11B85"/>
    <w:rsid w:val="00C13C70"/>
    <w:rsid w:val="00C22BC5"/>
    <w:rsid w:val="00C22CD6"/>
    <w:rsid w:val="00C23063"/>
    <w:rsid w:val="00C23DAA"/>
    <w:rsid w:val="00C24103"/>
    <w:rsid w:val="00C25539"/>
    <w:rsid w:val="00C267D7"/>
    <w:rsid w:val="00C31877"/>
    <w:rsid w:val="00C31885"/>
    <w:rsid w:val="00C34436"/>
    <w:rsid w:val="00C347A8"/>
    <w:rsid w:val="00C3617C"/>
    <w:rsid w:val="00C4222C"/>
    <w:rsid w:val="00C42806"/>
    <w:rsid w:val="00C42BB6"/>
    <w:rsid w:val="00C430F8"/>
    <w:rsid w:val="00C43515"/>
    <w:rsid w:val="00C46BC0"/>
    <w:rsid w:val="00C53B91"/>
    <w:rsid w:val="00C53EBB"/>
    <w:rsid w:val="00C5519E"/>
    <w:rsid w:val="00C5610C"/>
    <w:rsid w:val="00C57088"/>
    <w:rsid w:val="00C60694"/>
    <w:rsid w:val="00C6189C"/>
    <w:rsid w:val="00C61B15"/>
    <w:rsid w:val="00C620D3"/>
    <w:rsid w:val="00C62687"/>
    <w:rsid w:val="00C64195"/>
    <w:rsid w:val="00C64773"/>
    <w:rsid w:val="00C71379"/>
    <w:rsid w:val="00C73712"/>
    <w:rsid w:val="00C73A21"/>
    <w:rsid w:val="00C76728"/>
    <w:rsid w:val="00C76F72"/>
    <w:rsid w:val="00C77A75"/>
    <w:rsid w:val="00C80771"/>
    <w:rsid w:val="00C836EC"/>
    <w:rsid w:val="00C8413F"/>
    <w:rsid w:val="00C84368"/>
    <w:rsid w:val="00C84427"/>
    <w:rsid w:val="00C844F7"/>
    <w:rsid w:val="00C84D0E"/>
    <w:rsid w:val="00C859C7"/>
    <w:rsid w:val="00C8680A"/>
    <w:rsid w:val="00C87B56"/>
    <w:rsid w:val="00C87D7F"/>
    <w:rsid w:val="00C91002"/>
    <w:rsid w:val="00C91424"/>
    <w:rsid w:val="00C915E2"/>
    <w:rsid w:val="00C93462"/>
    <w:rsid w:val="00C97041"/>
    <w:rsid w:val="00C97042"/>
    <w:rsid w:val="00C979F3"/>
    <w:rsid w:val="00CA06CE"/>
    <w:rsid w:val="00CA0EED"/>
    <w:rsid w:val="00CA0F8C"/>
    <w:rsid w:val="00CA2794"/>
    <w:rsid w:val="00CB1364"/>
    <w:rsid w:val="00CB3215"/>
    <w:rsid w:val="00CB38A0"/>
    <w:rsid w:val="00CB38AF"/>
    <w:rsid w:val="00CB630A"/>
    <w:rsid w:val="00CB65EF"/>
    <w:rsid w:val="00CB6DBB"/>
    <w:rsid w:val="00CB72F5"/>
    <w:rsid w:val="00CC012F"/>
    <w:rsid w:val="00CC03E3"/>
    <w:rsid w:val="00CC0D0A"/>
    <w:rsid w:val="00CC1B7D"/>
    <w:rsid w:val="00CC1EF1"/>
    <w:rsid w:val="00CC3D8E"/>
    <w:rsid w:val="00CC41DA"/>
    <w:rsid w:val="00CC5AB4"/>
    <w:rsid w:val="00CC5F28"/>
    <w:rsid w:val="00CC6C4E"/>
    <w:rsid w:val="00CC6EA3"/>
    <w:rsid w:val="00CD49EC"/>
    <w:rsid w:val="00CE08AA"/>
    <w:rsid w:val="00CE313B"/>
    <w:rsid w:val="00CE475C"/>
    <w:rsid w:val="00CE7AEB"/>
    <w:rsid w:val="00CE7E3D"/>
    <w:rsid w:val="00CF0DC4"/>
    <w:rsid w:val="00CF0ECB"/>
    <w:rsid w:val="00CF1D5A"/>
    <w:rsid w:val="00CF3C7B"/>
    <w:rsid w:val="00CF4E4D"/>
    <w:rsid w:val="00CF7317"/>
    <w:rsid w:val="00D0254C"/>
    <w:rsid w:val="00D02A61"/>
    <w:rsid w:val="00D02D91"/>
    <w:rsid w:val="00D038F3"/>
    <w:rsid w:val="00D0438E"/>
    <w:rsid w:val="00D06225"/>
    <w:rsid w:val="00D075C8"/>
    <w:rsid w:val="00D10279"/>
    <w:rsid w:val="00D113C0"/>
    <w:rsid w:val="00D11965"/>
    <w:rsid w:val="00D126B7"/>
    <w:rsid w:val="00D13636"/>
    <w:rsid w:val="00D14F5B"/>
    <w:rsid w:val="00D17713"/>
    <w:rsid w:val="00D17CB6"/>
    <w:rsid w:val="00D20356"/>
    <w:rsid w:val="00D20FFB"/>
    <w:rsid w:val="00D2478F"/>
    <w:rsid w:val="00D260F8"/>
    <w:rsid w:val="00D26D78"/>
    <w:rsid w:val="00D3203E"/>
    <w:rsid w:val="00D3214A"/>
    <w:rsid w:val="00D32665"/>
    <w:rsid w:val="00D32E6E"/>
    <w:rsid w:val="00D33037"/>
    <w:rsid w:val="00D3377E"/>
    <w:rsid w:val="00D350D0"/>
    <w:rsid w:val="00D37530"/>
    <w:rsid w:val="00D41699"/>
    <w:rsid w:val="00D445FA"/>
    <w:rsid w:val="00D4503A"/>
    <w:rsid w:val="00D4520B"/>
    <w:rsid w:val="00D4733E"/>
    <w:rsid w:val="00D4777B"/>
    <w:rsid w:val="00D54752"/>
    <w:rsid w:val="00D56B8F"/>
    <w:rsid w:val="00D5791A"/>
    <w:rsid w:val="00D60BDF"/>
    <w:rsid w:val="00D60DC5"/>
    <w:rsid w:val="00D6151B"/>
    <w:rsid w:val="00D61780"/>
    <w:rsid w:val="00D623EB"/>
    <w:rsid w:val="00D62905"/>
    <w:rsid w:val="00D637FE"/>
    <w:rsid w:val="00D63F04"/>
    <w:rsid w:val="00D65A6E"/>
    <w:rsid w:val="00D66D1C"/>
    <w:rsid w:val="00D72133"/>
    <w:rsid w:val="00D7221D"/>
    <w:rsid w:val="00D7237B"/>
    <w:rsid w:val="00D7363A"/>
    <w:rsid w:val="00D73FB7"/>
    <w:rsid w:val="00D73FB9"/>
    <w:rsid w:val="00D75FCF"/>
    <w:rsid w:val="00D76B16"/>
    <w:rsid w:val="00D76B66"/>
    <w:rsid w:val="00D773D0"/>
    <w:rsid w:val="00D77DC0"/>
    <w:rsid w:val="00D80073"/>
    <w:rsid w:val="00D80EB6"/>
    <w:rsid w:val="00D81A8E"/>
    <w:rsid w:val="00D8329D"/>
    <w:rsid w:val="00D83408"/>
    <w:rsid w:val="00D83715"/>
    <w:rsid w:val="00D84668"/>
    <w:rsid w:val="00D84A3A"/>
    <w:rsid w:val="00D863CC"/>
    <w:rsid w:val="00D87B9A"/>
    <w:rsid w:val="00D87BD3"/>
    <w:rsid w:val="00D90D24"/>
    <w:rsid w:val="00D90EBF"/>
    <w:rsid w:val="00D916A9"/>
    <w:rsid w:val="00D94144"/>
    <w:rsid w:val="00D956BD"/>
    <w:rsid w:val="00D9611D"/>
    <w:rsid w:val="00D97463"/>
    <w:rsid w:val="00D9773D"/>
    <w:rsid w:val="00D97C6C"/>
    <w:rsid w:val="00DA09EB"/>
    <w:rsid w:val="00DA2D2A"/>
    <w:rsid w:val="00DA4B88"/>
    <w:rsid w:val="00DA78B5"/>
    <w:rsid w:val="00DA7EEA"/>
    <w:rsid w:val="00DB304D"/>
    <w:rsid w:val="00DB3AAA"/>
    <w:rsid w:val="00DC04AB"/>
    <w:rsid w:val="00DC28FF"/>
    <w:rsid w:val="00DC2D48"/>
    <w:rsid w:val="00DC3253"/>
    <w:rsid w:val="00DC5381"/>
    <w:rsid w:val="00DC5FA6"/>
    <w:rsid w:val="00DC631F"/>
    <w:rsid w:val="00DC6760"/>
    <w:rsid w:val="00DD30F7"/>
    <w:rsid w:val="00DD388E"/>
    <w:rsid w:val="00DD4EBF"/>
    <w:rsid w:val="00DD60C4"/>
    <w:rsid w:val="00DD736C"/>
    <w:rsid w:val="00DE2EE4"/>
    <w:rsid w:val="00DE5657"/>
    <w:rsid w:val="00DF0316"/>
    <w:rsid w:val="00DF0E5F"/>
    <w:rsid w:val="00DF11D0"/>
    <w:rsid w:val="00DF13A6"/>
    <w:rsid w:val="00DF13E5"/>
    <w:rsid w:val="00DF1972"/>
    <w:rsid w:val="00DF519C"/>
    <w:rsid w:val="00DF57DB"/>
    <w:rsid w:val="00DF665C"/>
    <w:rsid w:val="00E00339"/>
    <w:rsid w:val="00E014FE"/>
    <w:rsid w:val="00E025F4"/>
    <w:rsid w:val="00E04238"/>
    <w:rsid w:val="00E05D27"/>
    <w:rsid w:val="00E0766F"/>
    <w:rsid w:val="00E076E5"/>
    <w:rsid w:val="00E077E1"/>
    <w:rsid w:val="00E10F45"/>
    <w:rsid w:val="00E12E0B"/>
    <w:rsid w:val="00E1539A"/>
    <w:rsid w:val="00E16ECF"/>
    <w:rsid w:val="00E20692"/>
    <w:rsid w:val="00E206EA"/>
    <w:rsid w:val="00E21972"/>
    <w:rsid w:val="00E224CF"/>
    <w:rsid w:val="00E230B4"/>
    <w:rsid w:val="00E24645"/>
    <w:rsid w:val="00E24CCA"/>
    <w:rsid w:val="00E254A0"/>
    <w:rsid w:val="00E25680"/>
    <w:rsid w:val="00E2702D"/>
    <w:rsid w:val="00E30182"/>
    <w:rsid w:val="00E3229A"/>
    <w:rsid w:val="00E33AF6"/>
    <w:rsid w:val="00E36364"/>
    <w:rsid w:val="00E3647C"/>
    <w:rsid w:val="00E36A70"/>
    <w:rsid w:val="00E41451"/>
    <w:rsid w:val="00E415B8"/>
    <w:rsid w:val="00E42787"/>
    <w:rsid w:val="00E427EE"/>
    <w:rsid w:val="00E45817"/>
    <w:rsid w:val="00E45BFB"/>
    <w:rsid w:val="00E46F93"/>
    <w:rsid w:val="00E50D6A"/>
    <w:rsid w:val="00E513D0"/>
    <w:rsid w:val="00E6068D"/>
    <w:rsid w:val="00E61C32"/>
    <w:rsid w:val="00E67B6F"/>
    <w:rsid w:val="00E704F7"/>
    <w:rsid w:val="00E7076F"/>
    <w:rsid w:val="00E70C45"/>
    <w:rsid w:val="00E73382"/>
    <w:rsid w:val="00E75ABE"/>
    <w:rsid w:val="00E7646B"/>
    <w:rsid w:val="00E76542"/>
    <w:rsid w:val="00E76FF1"/>
    <w:rsid w:val="00E77000"/>
    <w:rsid w:val="00E77777"/>
    <w:rsid w:val="00E81560"/>
    <w:rsid w:val="00E83789"/>
    <w:rsid w:val="00E83838"/>
    <w:rsid w:val="00E83A19"/>
    <w:rsid w:val="00E850BA"/>
    <w:rsid w:val="00E8562C"/>
    <w:rsid w:val="00E858A9"/>
    <w:rsid w:val="00E86556"/>
    <w:rsid w:val="00E876CB"/>
    <w:rsid w:val="00E900A3"/>
    <w:rsid w:val="00E9032F"/>
    <w:rsid w:val="00E91310"/>
    <w:rsid w:val="00E9144E"/>
    <w:rsid w:val="00E92FA6"/>
    <w:rsid w:val="00E9477E"/>
    <w:rsid w:val="00E94EC3"/>
    <w:rsid w:val="00E9694D"/>
    <w:rsid w:val="00EA1AF6"/>
    <w:rsid w:val="00EA2EEB"/>
    <w:rsid w:val="00EA50EC"/>
    <w:rsid w:val="00EA5D5D"/>
    <w:rsid w:val="00EA692F"/>
    <w:rsid w:val="00EB37A8"/>
    <w:rsid w:val="00EB40B0"/>
    <w:rsid w:val="00EB4443"/>
    <w:rsid w:val="00EB74BC"/>
    <w:rsid w:val="00EC16F8"/>
    <w:rsid w:val="00EC336E"/>
    <w:rsid w:val="00ED2C08"/>
    <w:rsid w:val="00ED3A64"/>
    <w:rsid w:val="00ED4194"/>
    <w:rsid w:val="00ED560D"/>
    <w:rsid w:val="00ED605B"/>
    <w:rsid w:val="00ED6260"/>
    <w:rsid w:val="00ED6B98"/>
    <w:rsid w:val="00ED6C94"/>
    <w:rsid w:val="00ED7F1C"/>
    <w:rsid w:val="00EE1040"/>
    <w:rsid w:val="00EE4797"/>
    <w:rsid w:val="00EE5B40"/>
    <w:rsid w:val="00EE5D08"/>
    <w:rsid w:val="00EE7685"/>
    <w:rsid w:val="00EF0BF1"/>
    <w:rsid w:val="00EF0EA0"/>
    <w:rsid w:val="00EF35D0"/>
    <w:rsid w:val="00EF3CF4"/>
    <w:rsid w:val="00EF4C89"/>
    <w:rsid w:val="00EF5F9F"/>
    <w:rsid w:val="00EF64BD"/>
    <w:rsid w:val="00F0242A"/>
    <w:rsid w:val="00F05050"/>
    <w:rsid w:val="00F053EF"/>
    <w:rsid w:val="00F10BC5"/>
    <w:rsid w:val="00F12FA6"/>
    <w:rsid w:val="00F1327E"/>
    <w:rsid w:val="00F141DF"/>
    <w:rsid w:val="00F15307"/>
    <w:rsid w:val="00F16041"/>
    <w:rsid w:val="00F17A7A"/>
    <w:rsid w:val="00F20245"/>
    <w:rsid w:val="00F216B1"/>
    <w:rsid w:val="00F23A2A"/>
    <w:rsid w:val="00F23E20"/>
    <w:rsid w:val="00F23F90"/>
    <w:rsid w:val="00F24F70"/>
    <w:rsid w:val="00F25611"/>
    <w:rsid w:val="00F30A87"/>
    <w:rsid w:val="00F31DA3"/>
    <w:rsid w:val="00F32F11"/>
    <w:rsid w:val="00F331FC"/>
    <w:rsid w:val="00F3371D"/>
    <w:rsid w:val="00F35CBE"/>
    <w:rsid w:val="00F374B9"/>
    <w:rsid w:val="00F406A9"/>
    <w:rsid w:val="00F40BF4"/>
    <w:rsid w:val="00F41942"/>
    <w:rsid w:val="00F4261F"/>
    <w:rsid w:val="00F43B0B"/>
    <w:rsid w:val="00F43BA6"/>
    <w:rsid w:val="00F508B0"/>
    <w:rsid w:val="00F51C02"/>
    <w:rsid w:val="00F5227C"/>
    <w:rsid w:val="00F54C78"/>
    <w:rsid w:val="00F555DD"/>
    <w:rsid w:val="00F55D28"/>
    <w:rsid w:val="00F5610C"/>
    <w:rsid w:val="00F566C7"/>
    <w:rsid w:val="00F57850"/>
    <w:rsid w:val="00F626E0"/>
    <w:rsid w:val="00F64195"/>
    <w:rsid w:val="00F646A4"/>
    <w:rsid w:val="00F65C61"/>
    <w:rsid w:val="00F6667B"/>
    <w:rsid w:val="00F675A0"/>
    <w:rsid w:val="00F7027C"/>
    <w:rsid w:val="00F70333"/>
    <w:rsid w:val="00F72892"/>
    <w:rsid w:val="00F729B4"/>
    <w:rsid w:val="00F73106"/>
    <w:rsid w:val="00F73F33"/>
    <w:rsid w:val="00F7494E"/>
    <w:rsid w:val="00F74B06"/>
    <w:rsid w:val="00F75C80"/>
    <w:rsid w:val="00F80AFA"/>
    <w:rsid w:val="00F8155F"/>
    <w:rsid w:val="00F81BA9"/>
    <w:rsid w:val="00F82D92"/>
    <w:rsid w:val="00F85FA6"/>
    <w:rsid w:val="00F860A4"/>
    <w:rsid w:val="00F86357"/>
    <w:rsid w:val="00F90FBA"/>
    <w:rsid w:val="00F93C02"/>
    <w:rsid w:val="00F95C7C"/>
    <w:rsid w:val="00F96297"/>
    <w:rsid w:val="00FA106A"/>
    <w:rsid w:val="00FA13BE"/>
    <w:rsid w:val="00FA1A86"/>
    <w:rsid w:val="00FA1B4B"/>
    <w:rsid w:val="00FA3174"/>
    <w:rsid w:val="00FA384A"/>
    <w:rsid w:val="00FA4229"/>
    <w:rsid w:val="00FA433D"/>
    <w:rsid w:val="00FA4DCD"/>
    <w:rsid w:val="00FA65D1"/>
    <w:rsid w:val="00FA6845"/>
    <w:rsid w:val="00FA6CA0"/>
    <w:rsid w:val="00FA701F"/>
    <w:rsid w:val="00FB01B3"/>
    <w:rsid w:val="00FB5013"/>
    <w:rsid w:val="00FB507A"/>
    <w:rsid w:val="00FB6A28"/>
    <w:rsid w:val="00FB76CD"/>
    <w:rsid w:val="00FC662C"/>
    <w:rsid w:val="00FC6851"/>
    <w:rsid w:val="00FC7394"/>
    <w:rsid w:val="00FD2F99"/>
    <w:rsid w:val="00FD3B61"/>
    <w:rsid w:val="00FD5E0B"/>
    <w:rsid w:val="00FE15EB"/>
    <w:rsid w:val="00FE4B51"/>
    <w:rsid w:val="00FE4E3B"/>
    <w:rsid w:val="00FE5772"/>
    <w:rsid w:val="00FE752E"/>
    <w:rsid w:val="00FE7DFE"/>
    <w:rsid w:val="00FF06F1"/>
    <w:rsid w:val="00FF2C7A"/>
    <w:rsid w:val="00FF330B"/>
    <w:rsid w:val="00FF4869"/>
    <w:rsid w:val="00FF7510"/>
    <w:rsid w:val="00FF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18ACD"/>
  <w15:docId w15:val="{46804143-F042-4640-B650-B2CC126C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8A9"/>
    <w:pPr>
      <w:spacing w:after="0" w:line="240" w:lineRule="auto"/>
    </w:pPr>
    <w:rPr>
      <w:rFonts w:ascii="Calibri" w:hAnsi="Calibri"/>
    </w:rPr>
  </w:style>
  <w:style w:type="paragraph" w:styleId="Heading1">
    <w:name w:val="heading 1"/>
    <w:next w:val="BodyText"/>
    <w:link w:val="Heading1Char"/>
    <w:uiPriority w:val="1"/>
    <w:qFormat/>
    <w:rsid w:val="00E858A9"/>
    <w:pPr>
      <w:keepNext/>
      <w:keepLines/>
      <w:tabs>
        <w:tab w:val="left" w:pos="3345"/>
      </w:tabs>
      <w:spacing w:before="240" w:after="120" w:line="268" w:lineRule="auto"/>
      <w:outlineLvl w:val="0"/>
    </w:pPr>
    <w:rPr>
      <w:rFonts w:ascii="Calibri" w:eastAsiaTheme="majorEastAsia" w:hAnsi="Calibri" w:cstheme="majorBidi"/>
      <w:b/>
      <w:color w:val="003865"/>
      <w:sz w:val="40"/>
      <w:szCs w:val="40"/>
    </w:rPr>
  </w:style>
  <w:style w:type="paragraph" w:styleId="Heading2">
    <w:name w:val="heading 2"/>
    <w:next w:val="BodyText"/>
    <w:link w:val="Heading2Char"/>
    <w:uiPriority w:val="1"/>
    <w:unhideWhenUsed/>
    <w:qFormat/>
    <w:rsid w:val="000341DE"/>
    <w:pPr>
      <w:keepNext/>
      <w:keepLines/>
      <w:pBdr>
        <w:bottom w:val="single" w:sz="4" w:space="1" w:color="auto"/>
      </w:pBdr>
      <w:tabs>
        <w:tab w:val="left" w:pos="2400"/>
      </w:tabs>
      <w:spacing w:before="240" w:after="120" w:line="269" w:lineRule="auto"/>
      <w:outlineLvl w:val="1"/>
    </w:pPr>
    <w:rPr>
      <w:rFonts w:eastAsiaTheme="majorEastAsia" w:cstheme="majorBidi"/>
      <w:b/>
      <w:bCs/>
      <w:color w:val="003865"/>
      <w:sz w:val="32"/>
      <w:szCs w:val="32"/>
    </w:rPr>
  </w:style>
  <w:style w:type="paragraph" w:styleId="Heading3">
    <w:name w:val="heading 3"/>
    <w:next w:val="BodyText"/>
    <w:link w:val="Heading3Char"/>
    <w:uiPriority w:val="1"/>
    <w:unhideWhenUsed/>
    <w:qFormat/>
    <w:rsid w:val="00E858A9"/>
    <w:pPr>
      <w:keepNext/>
      <w:tabs>
        <w:tab w:val="left" w:pos="735"/>
      </w:tabs>
      <w:spacing w:before="240" w:after="120" w:line="268" w:lineRule="auto"/>
      <w:outlineLvl w:val="2"/>
    </w:pPr>
    <w:rPr>
      <w:rFonts w:eastAsiaTheme="majorEastAsia" w:cs="Arial"/>
      <w:b/>
      <w:color w:val="003865"/>
      <w:sz w:val="24"/>
      <w:szCs w:val="24"/>
    </w:rPr>
  </w:style>
  <w:style w:type="paragraph" w:styleId="Heading4">
    <w:name w:val="heading 4"/>
    <w:basedOn w:val="Normal"/>
    <w:next w:val="Normal"/>
    <w:link w:val="Heading4Char"/>
    <w:uiPriority w:val="9"/>
    <w:unhideWhenUsed/>
    <w:qFormat/>
    <w:rsid w:val="00F64195"/>
    <w:pPr>
      <w:keepNext/>
      <w:keepLines/>
      <w:spacing w:before="40"/>
      <w:outlineLvl w:val="3"/>
    </w:pPr>
    <w:rPr>
      <w:rFonts w:asciiTheme="majorHAnsi" w:eastAsiaTheme="majorEastAsia" w:hAnsiTheme="majorHAnsi" w:cstheme="majorBidi"/>
      <w:i/>
      <w:iCs/>
      <w:sz w:val="24"/>
    </w:rPr>
  </w:style>
  <w:style w:type="paragraph" w:styleId="Heading5">
    <w:name w:val="heading 5"/>
    <w:basedOn w:val="Normal"/>
    <w:next w:val="Normal"/>
    <w:link w:val="Heading5Char"/>
    <w:uiPriority w:val="9"/>
    <w:semiHidden/>
    <w:unhideWhenUsed/>
    <w:qFormat/>
    <w:rsid w:val="007C165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C165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165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165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16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rsid w:val="00E91310"/>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rsid w:val="00E91310"/>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rsid w:val="00E913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rsid w:val="00E913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rsid w:val="00E9131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rsid w:val="00E9131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rsid w:val="00E9131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rsid w:val="00E9131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Triangles">
    <w:name w:val="1Triangles"/>
    <w:rsid w:val="00E91310"/>
    <w:pPr>
      <w:widowControl w:val="0"/>
      <w:tabs>
        <w:tab w:val="left" w:pos="720"/>
      </w:tabs>
      <w:autoSpaceDE w:val="0"/>
      <w:autoSpaceDN w:val="0"/>
      <w:adjustRightInd w:val="0"/>
      <w:ind w:left="720" w:hanging="720"/>
      <w:jc w:val="both"/>
    </w:pPr>
    <w:rPr>
      <w:sz w:val="24"/>
      <w:szCs w:val="24"/>
    </w:rPr>
  </w:style>
  <w:style w:type="paragraph" w:customStyle="1" w:styleId="2Triangles">
    <w:name w:val="2Triangles"/>
    <w:rsid w:val="00E91310"/>
    <w:pPr>
      <w:widowControl w:val="0"/>
      <w:tabs>
        <w:tab w:val="left" w:pos="720"/>
        <w:tab w:val="left" w:pos="1440"/>
      </w:tabs>
      <w:autoSpaceDE w:val="0"/>
      <w:autoSpaceDN w:val="0"/>
      <w:adjustRightInd w:val="0"/>
      <w:ind w:left="1440" w:hanging="720"/>
      <w:jc w:val="both"/>
    </w:pPr>
    <w:rPr>
      <w:sz w:val="24"/>
      <w:szCs w:val="24"/>
    </w:rPr>
  </w:style>
  <w:style w:type="paragraph" w:customStyle="1" w:styleId="3Triangles">
    <w:name w:val="3Triangles"/>
    <w:rsid w:val="00E913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Triangles">
    <w:name w:val="4Triangles"/>
    <w:rsid w:val="00E913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Triangles">
    <w:name w:val="5Triangles"/>
    <w:rsid w:val="00E9131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Triangles">
    <w:name w:val="6Triangles"/>
    <w:rsid w:val="00E9131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Triangles">
    <w:name w:val="7Triangles"/>
    <w:rsid w:val="00E9131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Triangles">
    <w:name w:val="8Triangles"/>
    <w:rsid w:val="00E9131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a">
    <w:name w:val="_"/>
    <w:rsid w:val="00E91310"/>
    <w:pPr>
      <w:widowControl w:val="0"/>
      <w:autoSpaceDE w:val="0"/>
      <w:autoSpaceDN w:val="0"/>
      <w:adjustRightInd w:val="0"/>
      <w:ind w:left="-1080"/>
    </w:pPr>
    <w:rPr>
      <w:sz w:val="24"/>
      <w:szCs w:val="24"/>
    </w:rPr>
  </w:style>
  <w:style w:type="character" w:customStyle="1" w:styleId="DefaultPara">
    <w:name w:val="Default Para"/>
    <w:rsid w:val="00E91310"/>
  </w:style>
  <w:style w:type="character" w:customStyle="1" w:styleId="SYSHYPERTEXT">
    <w:name w:val="SYS_HYPERTEXT"/>
    <w:rsid w:val="00E91310"/>
    <w:rPr>
      <w:color w:val="0000FF"/>
    </w:rPr>
  </w:style>
  <w:style w:type="paragraph" w:styleId="Header">
    <w:name w:val="header"/>
    <w:basedOn w:val="Normal"/>
    <w:rsid w:val="00E91310"/>
    <w:pPr>
      <w:tabs>
        <w:tab w:val="center" w:pos="4320"/>
        <w:tab w:val="right" w:pos="8640"/>
      </w:tabs>
    </w:pPr>
  </w:style>
  <w:style w:type="character" w:styleId="PageNumber">
    <w:name w:val="page number"/>
    <w:basedOn w:val="DefaultParagraphFont"/>
    <w:rsid w:val="00E91310"/>
  </w:style>
  <w:style w:type="paragraph" w:styleId="BodyText">
    <w:name w:val="Body Text"/>
    <w:link w:val="BodyTextChar"/>
    <w:unhideWhenUsed/>
    <w:qFormat/>
    <w:rsid w:val="00E858A9"/>
    <w:pPr>
      <w:spacing w:before="200" w:after="200" w:line="268" w:lineRule="auto"/>
    </w:pPr>
  </w:style>
  <w:style w:type="paragraph" w:styleId="Caption">
    <w:name w:val="caption"/>
    <w:basedOn w:val="Normal"/>
    <w:next w:val="Normal"/>
    <w:uiPriority w:val="35"/>
    <w:semiHidden/>
    <w:unhideWhenUsed/>
    <w:qFormat/>
    <w:rsid w:val="007C165F"/>
    <w:pPr>
      <w:spacing w:after="200"/>
    </w:pPr>
    <w:rPr>
      <w:i/>
      <w:iCs/>
      <w:color w:val="1F497D" w:themeColor="text2"/>
      <w:sz w:val="18"/>
      <w:szCs w:val="18"/>
    </w:rPr>
  </w:style>
  <w:style w:type="paragraph" w:styleId="BodyText2">
    <w:name w:val="Body Text 2"/>
    <w:basedOn w:val="Normal"/>
    <w:rsid w:val="00E91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styleId="BodyText3">
    <w:name w:val="Body Text 3"/>
    <w:basedOn w:val="Normal"/>
    <w:rsid w:val="00E91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styleId="Hyperlink">
    <w:name w:val="Hyperlink"/>
    <w:rsid w:val="00E91310"/>
    <w:rPr>
      <w:color w:val="0000FF"/>
      <w:u w:val="single"/>
    </w:rPr>
  </w:style>
  <w:style w:type="character" w:styleId="FollowedHyperlink">
    <w:name w:val="FollowedHyperlink"/>
    <w:rsid w:val="00E91310"/>
    <w:rPr>
      <w:color w:val="800080"/>
      <w:u w:val="single"/>
    </w:rPr>
  </w:style>
  <w:style w:type="paragraph" w:styleId="Footer">
    <w:name w:val="footer"/>
    <w:basedOn w:val="Normal"/>
    <w:link w:val="FooterChar"/>
    <w:uiPriority w:val="99"/>
    <w:rsid w:val="00E91310"/>
    <w:pPr>
      <w:tabs>
        <w:tab w:val="center" w:pos="4320"/>
        <w:tab w:val="right" w:pos="8640"/>
      </w:tabs>
    </w:pPr>
  </w:style>
  <w:style w:type="paragraph" w:customStyle="1" w:styleId="Default">
    <w:name w:val="Default"/>
    <w:rsid w:val="00800885"/>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605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F4C89"/>
    <w:rPr>
      <w:rFonts w:ascii="Tahoma" w:hAnsi="Tahoma" w:cs="Tahoma"/>
      <w:sz w:val="16"/>
      <w:szCs w:val="16"/>
    </w:rPr>
  </w:style>
  <w:style w:type="paragraph" w:styleId="ListParagraph">
    <w:name w:val="List Paragraph"/>
    <w:basedOn w:val="Normal"/>
    <w:uiPriority w:val="34"/>
    <w:qFormat/>
    <w:rsid w:val="007C165F"/>
    <w:pPr>
      <w:ind w:left="720"/>
      <w:contextualSpacing/>
    </w:pPr>
  </w:style>
  <w:style w:type="paragraph" w:styleId="ListBullet">
    <w:name w:val="List Bullet"/>
    <w:basedOn w:val="Normal"/>
    <w:rsid w:val="00C4222C"/>
    <w:pPr>
      <w:numPr>
        <w:numId w:val="1"/>
      </w:numPr>
      <w:spacing w:after="120"/>
    </w:pPr>
  </w:style>
  <w:style w:type="character" w:customStyle="1" w:styleId="BodyTextChar">
    <w:name w:val="Body Text Char"/>
    <w:basedOn w:val="DefaultParagraphFont"/>
    <w:link w:val="BodyText"/>
    <w:rsid w:val="00E858A9"/>
  </w:style>
  <w:style w:type="paragraph" w:customStyle="1" w:styleId="StyleListBulletAfter12pt">
    <w:name w:val="Style List Bullet + After:  12 pt"/>
    <w:basedOn w:val="ListBullet"/>
    <w:rsid w:val="00C4222C"/>
  </w:style>
  <w:style w:type="character" w:styleId="Strong">
    <w:name w:val="Strong"/>
    <w:basedOn w:val="DefaultParagraphFont"/>
    <w:uiPriority w:val="22"/>
    <w:qFormat/>
    <w:rsid w:val="007C165F"/>
    <w:rPr>
      <w:b/>
      <w:bCs/>
    </w:rPr>
  </w:style>
  <w:style w:type="character" w:styleId="Emphasis">
    <w:name w:val="Emphasis"/>
    <w:basedOn w:val="DefaultParagraphFont"/>
    <w:uiPriority w:val="20"/>
    <w:qFormat/>
    <w:rsid w:val="007C165F"/>
    <w:rPr>
      <w:i/>
      <w:iCs/>
    </w:rPr>
  </w:style>
  <w:style w:type="paragraph" w:styleId="Revision">
    <w:name w:val="Revision"/>
    <w:hidden/>
    <w:uiPriority w:val="99"/>
    <w:semiHidden/>
    <w:rsid w:val="00895418"/>
  </w:style>
  <w:style w:type="paragraph" w:styleId="NoSpacing">
    <w:name w:val="No Spacing"/>
    <w:uiPriority w:val="1"/>
    <w:qFormat/>
    <w:rsid w:val="007C165F"/>
    <w:pPr>
      <w:spacing w:after="0" w:line="240" w:lineRule="auto"/>
    </w:pPr>
    <w:rPr>
      <w:rFonts w:ascii="Calibri" w:hAnsi="Calibri"/>
    </w:rPr>
  </w:style>
  <w:style w:type="character" w:customStyle="1" w:styleId="Heading1Char">
    <w:name w:val="Heading 1 Char"/>
    <w:basedOn w:val="DefaultParagraphFont"/>
    <w:link w:val="Heading1"/>
    <w:uiPriority w:val="1"/>
    <w:rsid w:val="00E858A9"/>
    <w:rPr>
      <w:rFonts w:ascii="Calibri" w:eastAsiaTheme="majorEastAsia" w:hAnsi="Calibri" w:cstheme="majorBidi"/>
      <w:b/>
      <w:color w:val="003865"/>
      <w:sz w:val="40"/>
      <w:szCs w:val="40"/>
    </w:rPr>
  </w:style>
  <w:style w:type="character" w:customStyle="1" w:styleId="Heading2Char">
    <w:name w:val="Heading 2 Char"/>
    <w:basedOn w:val="DefaultParagraphFont"/>
    <w:link w:val="Heading2"/>
    <w:uiPriority w:val="1"/>
    <w:rsid w:val="000341DE"/>
    <w:rPr>
      <w:rFonts w:eastAsiaTheme="majorEastAsia" w:cstheme="majorBidi"/>
      <w:b/>
      <w:bCs/>
      <w:color w:val="003865"/>
      <w:sz w:val="32"/>
      <w:szCs w:val="32"/>
    </w:rPr>
  </w:style>
  <w:style w:type="character" w:customStyle="1" w:styleId="Heading3Char">
    <w:name w:val="Heading 3 Char"/>
    <w:basedOn w:val="DefaultParagraphFont"/>
    <w:link w:val="Heading3"/>
    <w:uiPriority w:val="1"/>
    <w:rsid w:val="00E858A9"/>
    <w:rPr>
      <w:rFonts w:eastAsiaTheme="majorEastAsia" w:cs="Arial"/>
      <w:b/>
      <w:color w:val="003865"/>
      <w:sz w:val="24"/>
      <w:szCs w:val="24"/>
    </w:rPr>
  </w:style>
  <w:style w:type="character" w:customStyle="1" w:styleId="Heading4Char">
    <w:name w:val="Heading 4 Char"/>
    <w:basedOn w:val="DefaultParagraphFont"/>
    <w:link w:val="Heading4"/>
    <w:uiPriority w:val="9"/>
    <w:rsid w:val="00F64195"/>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7C165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C165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C165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16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165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7C16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6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65F"/>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7C165F"/>
    <w:rPr>
      <w:rFonts w:eastAsiaTheme="minorEastAsia"/>
      <w:color w:val="5A5A5A" w:themeColor="text1" w:themeTint="A5"/>
      <w:spacing w:val="15"/>
    </w:rPr>
  </w:style>
  <w:style w:type="paragraph" w:styleId="Quote">
    <w:name w:val="Quote"/>
    <w:basedOn w:val="Normal"/>
    <w:next w:val="Normal"/>
    <w:link w:val="QuoteChar"/>
    <w:uiPriority w:val="29"/>
    <w:qFormat/>
    <w:rsid w:val="007C16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165F"/>
    <w:rPr>
      <w:rFonts w:ascii="Calibri" w:hAnsi="Calibri"/>
      <w:i/>
      <w:iCs/>
      <w:color w:val="404040" w:themeColor="text1" w:themeTint="BF"/>
    </w:rPr>
  </w:style>
  <w:style w:type="paragraph" w:styleId="IntenseQuote">
    <w:name w:val="Intense Quote"/>
    <w:basedOn w:val="Normal"/>
    <w:next w:val="Normal"/>
    <w:link w:val="IntenseQuoteChar"/>
    <w:uiPriority w:val="30"/>
    <w:qFormat/>
    <w:rsid w:val="007C16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C165F"/>
    <w:rPr>
      <w:rFonts w:ascii="Calibri" w:hAnsi="Calibri"/>
      <w:i/>
      <w:iCs/>
      <w:color w:val="4F81BD" w:themeColor="accent1"/>
    </w:rPr>
  </w:style>
  <w:style w:type="character" w:styleId="SubtleEmphasis">
    <w:name w:val="Subtle Emphasis"/>
    <w:basedOn w:val="DefaultParagraphFont"/>
    <w:uiPriority w:val="19"/>
    <w:qFormat/>
    <w:rsid w:val="007C165F"/>
    <w:rPr>
      <w:i/>
      <w:iCs/>
      <w:color w:val="404040" w:themeColor="text1" w:themeTint="BF"/>
    </w:rPr>
  </w:style>
  <w:style w:type="character" w:styleId="IntenseEmphasis">
    <w:name w:val="Intense Emphasis"/>
    <w:basedOn w:val="DefaultParagraphFont"/>
    <w:uiPriority w:val="21"/>
    <w:qFormat/>
    <w:rsid w:val="007C165F"/>
    <w:rPr>
      <w:i/>
      <w:iCs/>
      <w:color w:val="4F81BD" w:themeColor="accent1"/>
    </w:rPr>
  </w:style>
  <w:style w:type="character" w:styleId="SubtleReference">
    <w:name w:val="Subtle Reference"/>
    <w:basedOn w:val="DefaultParagraphFont"/>
    <w:uiPriority w:val="31"/>
    <w:qFormat/>
    <w:rsid w:val="007C165F"/>
    <w:rPr>
      <w:smallCaps/>
      <w:color w:val="5A5A5A" w:themeColor="text1" w:themeTint="A5"/>
    </w:rPr>
  </w:style>
  <w:style w:type="character" w:styleId="IntenseReference">
    <w:name w:val="Intense Reference"/>
    <w:basedOn w:val="DefaultParagraphFont"/>
    <w:uiPriority w:val="32"/>
    <w:qFormat/>
    <w:rsid w:val="007C165F"/>
    <w:rPr>
      <w:b/>
      <w:bCs/>
      <w:smallCaps/>
      <w:color w:val="4F81BD" w:themeColor="accent1"/>
      <w:spacing w:val="5"/>
    </w:rPr>
  </w:style>
  <w:style w:type="character" w:styleId="BookTitle">
    <w:name w:val="Book Title"/>
    <w:basedOn w:val="DefaultParagraphFont"/>
    <w:uiPriority w:val="33"/>
    <w:qFormat/>
    <w:rsid w:val="007C165F"/>
    <w:rPr>
      <w:b/>
      <w:bCs/>
      <w:i/>
      <w:iCs/>
      <w:spacing w:val="5"/>
    </w:rPr>
  </w:style>
  <w:style w:type="paragraph" w:styleId="TOCHeading">
    <w:name w:val="TOC Heading"/>
    <w:basedOn w:val="Heading1"/>
    <w:next w:val="Normal"/>
    <w:uiPriority w:val="39"/>
    <w:semiHidden/>
    <w:unhideWhenUsed/>
    <w:qFormat/>
    <w:rsid w:val="007C165F"/>
    <w:pPr>
      <w:tabs>
        <w:tab w:val="clear" w:pos="3345"/>
      </w:tabs>
      <w:spacing w:after="0" w:line="240" w:lineRule="auto"/>
      <w:outlineLvl w:val="9"/>
    </w:pPr>
    <w:rPr>
      <w:rFonts w:asciiTheme="majorHAnsi" w:hAnsiTheme="majorHAnsi"/>
      <w:b w:val="0"/>
      <w:color w:val="365F91" w:themeColor="accent1" w:themeShade="BF"/>
      <w:sz w:val="32"/>
      <w:szCs w:val="32"/>
    </w:rPr>
  </w:style>
  <w:style w:type="character" w:customStyle="1" w:styleId="FooterChar">
    <w:name w:val="Footer Char"/>
    <w:basedOn w:val="DefaultParagraphFont"/>
    <w:link w:val="Footer"/>
    <w:uiPriority w:val="99"/>
    <w:rsid w:val="001B6B06"/>
  </w:style>
  <w:style w:type="character" w:styleId="CommentReference">
    <w:name w:val="annotation reference"/>
    <w:basedOn w:val="DefaultParagraphFont"/>
    <w:semiHidden/>
    <w:unhideWhenUsed/>
    <w:rsid w:val="00D63F04"/>
    <w:rPr>
      <w:sz w:val="16"/>
      <w:szCs w:val="16"/>
    </w:rPr>
  </w:style>
  <w:style w:type="paragraph" w:styleId="CommentText">
    <w:name w:val="annotation text"/>
    <w:basedOn w:val="Normal"/>
    <w:link w:val="CommentTextChar"/>
    <w:semiHidden/>
    <w:unhideWhenUsed/>
    <w:rsid w:val="00D63F04"/>
    <w:rPr>
      <w:sz w:val="20"/>
      <w:szCs w:val="20"/>
    </w:rPr>
  </w:style>
  <w:style w:type="character" w:customStyle="1" w:styleId="CommentTextChar">
    <w:name w:val="Comment Text Char"/>
    <w:basedOn w:val="DefaultParagraphFont"/>
    <w:link w:val="CommentText"/>
    <w:semiHidden/>
    <w:rsid w:val="00D63F04"/>
    <w:rPr>
      <w:sz w:val="20"/>
      <w:szCs w:val="20"/>
    </w:rPr>
  </w:style>
  <w:style w:type="paragraph" w:styleId="CommentSubject">
    <w:name w:val="annotation subject"/>
    <w:basedOn w:val="CommentText"/>
    <w:next w:val="CommentText"/>
    <w:link w:val="CommentSubjectChar"/>
    <w:semiHidden/>
    <w:unhideWhenUsed/>
    <w:rsid w:val="00D63F04"/>
    <w:rPr>
      <w:b/>
      <w:bCs/>
    </w:rPr>
  </w:style>
  <w:style w:type="character" w:customStyle="1" w:styleId="CommentSubjectChar">
    <w:name w:val="Comment Subject Char"/>
    <w:basedOn w:val="CommentTextChar"/>
    <w:link w:val="CommentSubject"/>
    <w:semiHidden/>
    <w:rsid w:val="00D63F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572">
      <w:bodyDiv w:val="1"/>
      <w:marLeft w:val="60"/>
      <w:marRight w:val="60"/>
      <w:marTop w:val="60"/>
      <w:marBottom w:val="15"/>
      <w:divBdr>
        <w:top w:val="none" w:sz="0" w:space="0" w:color="auto"/>
        <w:left w:val="none" w:sz="0" w:space="0" w:color="auto"/>
        <w:bottom w:val="none" w:sz="0" w:space="0" w:color="auto"/>
        <w:right w:val="none" w:sz="0" w:space="0" w:color="auto"/>
      </w:divBdr>
      <w:divsChild>
        <w:div w:id="130952323">
          <w:marLeft w:val="0"/>
          <w:marRight w:val="0"/>
          <w:marTop w:val="0"/>
          <w:marBottom w:val="0"/>
          <w:divBdr>
            <w:top w:val="none" w:sz="0" w:space="0" w:color="auto"/>
            <w:left w:val="none" w:sz="0" w:space="0" w:color="auto"/>
            <w:bottom w:val="none" w:sz="0" w:space="0" w:color="auto"/>
            <w:right w:val="none" w:sz="0" w:space="0" w:color="auto"/>
          </w:divBdr>
        </w:div>
        <w:div w:id="135029660">
          <w:marLeft w:val="0"/>
          <w:marRight w:val="0"/>
          <w:marTop w:val="0"/>
          <w:marBottom w:val="0"/>
          <w:divBdr>
            <w:top w:val="none" w:sz="0" w:space="0" w:color="auto"/>
            <w:left w:val="none" w:sz="0" w:space="0" w:color="auto"/>
            <w:bottom w:val="none" w:sz="0" w:space="0" w:color="auto"/>
            <w:right w:val="none" w:sz="0" w:space="0" w:color="auto"/>
          </w:divBdr>
        </w:div>
        <w:div w:id="140199586">
          <w:marLeft w:val="0"/>
          <w:marRight w:val="0"/>
          <w:marTop w:val="0"/>
          <w:marBottom w:val="0"/>
          <w:divBdr>
            <w:top w:val="none" w:sz="0" w:space="0" w:color="auto"/>
            <w:left w:val="none" w:sz="0" w:space="0" w:color="auto"/>
            <w:bottom w:val="none" w:sz="0" w:space="0" w:color="auto"/>
            <w:right w:val="none" w:sz="0" w:space="0" w:color="auto"/>
          </w:divBdr>
        </w:div>
        <w:div w:id="165025019">
          <w:marLeft w:val="0"/>
          <w:marRight w:val="0"/>
          <w:marTop w:val="0"/>
          <w:marBottom w:val="0"/>
          <w:divBdr>
            <w:top w:val="none" w:sz="0" w:space="0" w:color="auto"/>
            <w:left w:val="none" w:sz="0" w:space="0" w:color="auto"/>
            <w:bottom w:val="none" w:sz="0" w:space="0" w:color="auto"/>
            <w:right w:val="none" w:sz="0" w:space="0" w:color="auto"/>
          </w:divBdr>
        </w:div>
        <w:div w:id="233275361">
          <w:marLeft w:val="0"/>
          <w:marRight w:val="0"/>
          <w:marTop w:val="0"/>
          <w:marBottom w:val="0"/>
          <w:divBdr>
            <w:top w:val="none" w:sz="0" w:space="0" w:color="auto"/>
            <w:left w:val="none" w:sz="0" w:space="0" w:color="auto"/>
            <w:bottom w:val="none" w:sz="0" w:space="0" w:color="auto"/>
            <w:right w:val="none" w:sz="0" w:space="0" w:color="auto"/>
          </w:divBdr>
        </w:div>
        <w:div w:id="236519906">
          <w:marLeft w:val="0"/>
          <w:marRight w:val="0"/>
          <w:marTop w:val="0"/>
          <w:marBottom w:val="0"/>
          <w:divBdr>
            <w:top w:val="none" w:sz="0" w:space="0" w:color="auto"/>
            <w:left w:val="none" w:sz="0" w:space="0" w:color="auto"/>
            <w:bottom w:val="none" w:sz="0" w:space="0" w:color="auto"/>
            <w:right w:val="none" w:sz="0" w:space="0" w:color="auto"/>
          </w:divBdr>
        </w:div>
        <w:div w:id="274560804">
          <w:marLeft w:val="0"/>
          <w:marRight w:val="0"/>
          <w:marTop w:val="0"/>
          <w:marBottom w:val="0"/>
          <w:divBdr>
            <w:top w:val="none" w:sz="0" w:space="0" w:color="auto"/>
            <w:left w:val="none" w:sz="0" w:space="0" w:color="auto"/>
            <w:bottom w:val="none" w:sz="0" w:space="0" w:color="auto"/>
            <w:right w:val="none" w:sz="0" w:space="0" w:color="auto"/>
          </w:divBdr>
        </w:div>
        <w:div w:id="331493830">
          <w:marLeft w:val="0"/>
          <w:marRight w:val="0"/>
          <w:marTop w:val="0"/>
          <w:marBottom w:val="0"/>
          <w:divBdr>
            <w:top w:val="none" w:sz="0" w:space="0" w:color="auto"/>
            <w:left w:val="none" w:sz="0" w:space="0" w:color="auto"/>
            <w:bottom w:val="none" w:sz="0" w:space="0" w:color="auto"/>
            <w:right w:val="none" w:sz="0" w:space="0" w:color="auto"/>
          </w:divBdr>
        </w:div>
        <w:div w:id="444538856">
          <w:marLeft w:val="0"/>
          <w:marRight w:val="0"/>
          <w:marTop w:val="0"/>
          <w:marBottom w:val="0"/>
          <w:divBdr>
            <w:top w:val="none" w:sz="0" w:space="0" w:color="auto"/>
            <w:left w:val="none" w:sz="0" w:space="0" w:color="auto"/>
            <w:bottom w:val="none" w:sz="0" w:space="0" w:color="auto"/>
            <w:right w:val="none" w:sz="0" w:space="0" w:color="auto"/>
          </w:divBdr>
        </w:div>
        <w:div w:id="513375455">
          <w:marLeft w:val="0"/>
          <w:marRight w:val="0"/>
          <w:marTop w:val="0"/>
          <w:marBottom w:val="0"/>
          <w:divBdr>
            <w:top w:val="none" w:sz="0" w:space="0" w:color="auto"/>
            <w:left w:val="none" w:sz="0" w:space="0" w:color="auto"/>
            <w:bottom w:val="none" w:sz="0" w:space="0" w:color="auto"/>
            <w:right w:val="none" w:sz="0" w:space="0" w:color="auto"/>
          </w:divBdr>
        </w:div>
        <w:div w:id="514464967">
          <w:marLeft w:val="0"/>
          <w:marRight w:val="0"/>
          <w:marTop w:val="0"/>
          <w:marBottom w:val="0"/>
          <w:divBdr>
            <w:top w:val="none" w:sz="0" w:space="0" w:color="auto"/>
            <w:left w:val="none" w:sz="0" w:space="0" w:color="auto"/>
            <w:bottom w:val="none" w:sz="0" w:space="0" w:color="auto"/>
            <w:right w:val="none" w:sz="0" w:space="0" w:color="auto"/>
          </w:divBdr>
        </w:div>
        <w:div w:id="522091692">
          <w:marLeft w:val="0"/>
          <w:marRight w:val="0"/>
          <w:marTop w:val="0"/>
          <w:marBottom w:val="0"/>
          <w:divBdr>
            <w:top w:val="none" w:sz="0" w:space="0" w:color="auto"/>
            <w:left w:val="none" w:sz="0" w:space="0" w:color="auto"/>
            <w:bottom w:val="none" w:sz="0" w:space="0" w:color="auto"/>
            <w:right w:val="none" w:sz="0" w:space="0" w:color="auto"/>
          </w:divBdr>
        </w:div>
        <w:div w:id="549847490">
          <w:marLeft w:val="0"/>
          <w:marRight w:val="0"/>
          <w:marTop w:val="0"/>
          <w:marBottom w:val="0"/>
          <w:divBdr>
            <w:top w:val="none" w:sz="0" w:space="0" w:color="auto"/>
            <w:left w:val="none" w:sz="0" w:space="0" w:color="auto"/>
            <w:bottom w:val="none" w:sz="0" w:space="0" w:color="auto"/>
            <w:right w:val="none" w:sz="0" w:space="0" w:color="auto"/>
          </w:divBdr>
        </w:div>
        <w:div w:id="571158826">
          <w:marLeft w:val="0"/>
          <w:marRight w:val="0"/>
          <w:marTop w:val="0"/>
          <w:marBottom w:val="0"/>
          <w:divBdr>
            <w:top w:val="none" w:sz="0" w:space="0" w:color="auto"/>
            <w:left w:val="none" w:sz="0" w:space="0" w:color="auto"/>
            <w:bottom w:val="none" w:sz="0" w:space="0" w:color="auto"/>
            <w:right w:val="none" w:sz="0" w:space="0" w:color="auto"/>
          </w:divBdr>
        </w:div>
        <w:div w:id="734858534">
          <w:marLeft w:val="0"/>
          <w:marRight w:val="0"/>
          <w:marTop w:val="0"/>
          <w:marBottom w:val="0"/>
          <w:divBdr>
            <w:top w:val="none" w:sz="0" w:space="0" w:color="auto"/>
            <w:left w:val="none" w:sz="0" w:space="0" w:color="auto"/>
            <w:bottom w:val="none" w:sz="0" w:space="0" w:color="auto"/>
            <w:right w:val="none" w:sz="0" w:space="0" w:color="auto"/>
          </w:divBdr>
        </w:div>
        <w:div w:id="852917297">
          <w:marLeft w:val="0"/>
          <w:marRight w:val="0"/>
          <w:marTop w:val="0"/>
          <w:marBottom w:val="0"/>
          <w:divBdr>
            <w:top w:val="none" w:sz="0" w:space="0" w:color="auto"/>
            <w:left w:val="none" w:sz="0" w:space="0" w:color="auto"/>
            <w:bottom w:val="none" w:sz="0" w:space="0" w:color="auto"/>
            <w:right w:val="none" w:sz="0" w:space="0" w:color="auto"/>
          </w:divBdr>
        </w:div>
        <w:div w:id="885220769">
          <w:marLeft w:val="0"/>
          <w:marRight w:val="0"/>
          <w:marTop w:val="0"/>
          <w:marBottom w:val="0"/>
          <w:divBdr>
            <w:top w:val="none" w:sz="0" w:space="0" w:color="auto"/>
            <w:left w:val="none" w:sz="0" w:space="0" w:color="auto"/>
            <w:bottom w:val="none" w:sz="0" w:space="0" w:color="auto"/>
            <w:right w:val="none" w:sz="0" w:space="0" w:color="auto"/>
          </w:divBdr>
        </w:div>
        <w:div w:id="921719138">
          <w:marLeft w:val="0"/>
          <w:marRight w:val="0"/>
          <w:marTop w:val="0"/>
          <w:marBottom w:val="0"/>
          <w:divBdr>
            <w:top w:val="none" w:sz="0" w:space="0" w:color="auto"/>
            <w:left w:val="none" w:sz="0" w:space="0" w:color="auto"/>
            <w:bottom w:val="none" w:sz="0" w:space="0" w:color="auto"/>
            <w:right w:val="none" w:sz="0" w:space="0" w:color="auto"/>
          </w:divBdr>
        </w:div>
        <w:div w:id="1124808185">
          <w:marLeft w:val="0"/>
          <w:marRight w:val="0"/>
          <w:marTop w:val="0"/>
          <w:marBottom w:val="0"/>
          <w:divBdr>
            <w:top w:val="none" w:sz="0" w:space="0" w:color="auto"/>
            <w:left w:val="none" w:sz="0" w:space="0" w:color="auto"/>
            <w:bottom w:val="none" w:sz="0" w:space="0" w:color="auto"/>
            <w:right w:val="none" w:sz="0" w:space="0" w:color="auto"/>
          </w:divBdr>
        </w:div>
        <w:div w:id="1298149345">
          <w:marLeft w:val="0"/>
          <w:marRight w:val="0"/>
          <w:marTop w:val="0"/>
          <w:marBottom w:val="0"/>
          <w:divBdr>
            <w:top w:val="none" w:sz="0" w:space="0" w:color="auto"/>
            <w:left w:val="none" w:sz="0" w:space="0" w:color="auto"/>
            <w:bottom w:val="none" w:sz="0" w:space="0" w:color="auto"/>
            <w:right w:val="none" w:sz="0" w:space="0" w:color="auto"/>
          </w:divBdr>
        </w:div>
        <w:div w:id="1319269194">
          <w:marLeft w:val="0"/>
          <w:marRight w:val="0"/>
          <w:marTop w:val="0"/>
          <w:marBottom w:val="0"/>
          <w:divBdr>
            <w:top w:val="none" w:sz="0" w:space="0" w:color="auto"/>
            <w:left w:val="none" w:sz="0" w:space="0" w:color="auto"/>
            <w:bottom w:val="none" w:sz="0" w:space="0" w:color="auto"/>
            <w:right w:val="none" w:sz="0" w:space="0" w:color="auto"/>
          </w:divBdr>
        </w:div>
        <w:div w:id="1368215720">
          <w:marLeft w:val="0"/>
          <w:marRight w:val="0"/>
          <w:marTop w:val="0"/>
          <w:marBottom w:val="0"/>
          <w:divBdr>
            <w:top w:val="none" w:sz="0" w:space="0" w:color="auto"/>
            <w:left w:val="none" w:sz="0" w:space="0" w:color="auto"/>
            <w:bottom w:val="none" w:sz="0" w:space="0" w:color="auto"/>
            <w:right w:val="none" w:sz="0" w:space="0" w:color="auto"/>
          </w:divBdr>
        </w:div>
        <w:div w:id="1411851049">
          <w:marLeft w:val="0"/>
          <w:marRight w:val="0"/>
          <w:marTop w:val="0"/>
          <w:marBottom w:val="0"/>
          <w:divBdr>
            <w:top w:val="none" w:sz="0" w:space="0" w:color="auto"/>
            <w:left w:val="none" w:sz="0" w:space="0" w:color="auto"/>
            <w:bottom w:val="none" w:sz="0" w:space="0" w:color="auto"/>
            <w:right w:val="none" w:sz="0" w:space="0" w:color="auto"/>
          </w:divBdr>
        </w:div>
        <w:div w:id="1519932120">
          <w:marLeft w:val="0"/>
          <w:marRight w:val="0"/>
          <w:marTop w:val="0"/>
          <w:marBottom w:val="0"/>
          <w:divBdr>
            <w:top w:val="none" w:sz="0" w:space="0" w:color="auto"/>
            <w:left w:val="none" w:sz="0" w:space="0" w:color="auto"/>
            <w:bottom w:val="none" w:sz="0" w:space="0" w:color="auto"/>
            <w:right w:val="none" w:sz="0" w:space="0" w:color="auto"/>
          </w:divBdr>
        </w:div>
        <w:div w:id="1557472255">
          <w:marLeft w:val="0"/>
          <w:marRight w:val="0"/>
          <w:marTop w:val="0"/>
          <w:marBottom w:val="0"/>
          <w:divBdr>
            <w:top w:val="none" w:sz="0" w:space="0" w:color="auto"/>
            <w:left w:val="none" w:sz="0" w:space="0" w:color="auto"/>
            <w:bottom w:val="none" w:sz="0" w:space="0" w:color="auto"/>
            <w:right w:val="none" w:sz="0" w:space="0" w:color="auto"/>
          </w:divBdr>
        </w:div>
        <w:div w:id="1582105048">
          <w:marLeft w:val="0"/>
          <w:marRight w:val="0"/>
          <w:marTop w:val="0"/>
          <w:marBottom w:val="0"/>
          <w:divBdr>
            <w:top w:val="none" w:sz="0" w:space="0" w:color="auto"/>
            <w:left w:val="none" w:sz="0" w:space="0" w:color="auto"/>
            <w:bottom w:val="none" w:sz="0" w:space="0" w:color="auto"/>
            <w:right w:val="none" w:sz="0" w:space="0" w:color="auto"/>
          </w:divBdr>
        </w:div>
        <w:div w:id="1710063345">
          <w:marLeft w:val="0"/>
          <w:marRight w:val="0"/>
          <w:marTop w:val="0"/>
          <w:marBottom w:val="0"/>
          <w:divBdr>
            <w:top w:val="none" w:sz="0" w:space="0" w:color="auto"/>
            <w:left w:val="none" w:sz="0" w:space="0" w:color="auto"/>
            <w:bottom w:val="none" w:sz="0" w:space="0" w:color="auto"/>
            <w:right w:val="none" w:sz="0" w:space="0" w:color="auto"/>
          </w:divBdr>
        </w:div>
        <w:div w:id="1752772614">
          <w:marLeft w:val="0"/>
          <w:marRight w:val="0"/>
          <w:marTop w:val="0"/>
          <w:marBottom w:val="0"/>
          <w:divBdr>
            <w:top w:val="none" w:sz="0" w:space="0" w:color="auto"/>
            <w:left w:val="none" w:sz="0" w:space="0" w:color="auto"/>
            <w:bottom w:val="none" w:sz="0" w:space="0" w:color="auto"/>
            <w:right w:val="none" w:sz="0" w:space="0" w:color="auto"/>
          </w:divBdr>
        </w:div>
        <w:div w:id="1813214408">
          <w:marLeft w:val="0"/>
          <w:marRight w:val="0"/>
          <w:marTop w:val="0"/>
          <w:marBottom w:val="0"/>
          <w:divBdr>
            <w:top w:val="none" w:sz="0" w:space="0" w:color="auto"/>
            <w:left w:val="none" w:sz="0" w:space="0" w:color="auto"/>
            <w:bottom w:val="none" w:sz="0" w:space="0" w:color="auto"/>
            <w:right w:val="none" w:sz="0" w:space="0" w:color="auto"/>
          </w:divBdr>
        </w:div>
        <w:div w:id="1819223066">
          <w:marLeft w:val="0"/>
          <w:marRight w:val="0"/>
          <w:marTop w:val="0"/>
          <w:marBottom w:val="0"/>
          <w:divBdr>
            <w:top w:val="none" w:sz="0" w:space="0" w:color="auto"/>
            <w:left w:val="none" w:sz="0" w:space="0" w:color="auto"/>
            <w:bottom w:val="none" w:sz="0" w:space="0" w:color="auto"/>
            <w:right w:val="none" w:sz="0" w:space="0" w:color="auto"/>
          </w:divBdr>
        </w:div>
        <w:div w:id="1850943744">
          <w:marLeft w:val="0"/>
          <w:marRight w:val="0"/>
          <w:marTop w:val="0"/>
          <w:marBottom w:val="0"/>
          <w:divBdr>
            <w:top w:val="none" w:sz="0" w:space="0" w:color="auto"/>
            <w:left w:val="none" w:sz="0" w:space="0" w:color="auto"/>
            <w:bottom w:val="none" w:sz="0" w:space="0" w:color="auto"/>
            <w:right w:val="none" w:sz="0" w:space="0" w:color="auto"/>
          </w:divBdr>
        </w:div>
        <w:div w:id="1886482137">
          <w:marLeft w:val="0"/>
          <w:marRight w:val="0"/>
          <w:marTop w:val="0"/>
          <w:marBottom w:val="0"/>
          <w:divBdr>
            <w:top w:val="none" w:sz="0" w:space="0" w:color="auto"/>
            <w:left w:val="none" w:sz="0" w:space="0" w:color="auto"/>
            <w:bottom w:val="none" w:sz="0" w:space="0" w:color="auto"/>
            <w:right w:val="none" w:sz="0" w:space="0" w:color="auto"/>
          </w:divBdr>
        </w:div>
        <w:div w:id="1978029152">
          <w:marLeft w:val="0"/>
          <w:marRight w:val="0"/>
          <w:marTop w:val="0"/>
          <w:marBottom w:val="0"/>
          <w:divBdr>
            <w:top w:val="none" w:sz="0" w:space="0" w:color="auto"/>
            <w:left w:val="none" w:sz="0" w:space="0" w:color="auto"/>
            <w:bottom w:val="none" w:sz="0" w:space="0" w:color="auto"/>
            <w:right w:val="none" w:sz="0" w:space="0" w:color="auto"/>
          </w:divBdr>
        </w:div>
        <w:div w:id="2045397593">
          <w:marLeft w:val="0"/>
          <w:marRight w:val="0"/>
          <w:marTop w:val="0"/>
          <w:marBottom w:val="0"/>
          <w:divBdr>
            <w:top w:val="none" w:sz="0" w:space="0" w:color="auto"/>
            <w:left w:val="none" w:sz="0" w:space="0" w:color="auto"/>
            <w:bottom w:val="none" w:sz="0" w:space="0" w:color="auto"/>
            <w:right w:val="none" w:sz="0" w:space="0" w:color="auto"/>
          </w:divBdr>
        </w:div>
      </w:divsChild>
    </w:div>
    <w:div w:id="148258125">
      <w:bodyDiv w:val="1"/>
      <w:marLeft w:val="0"/>
      <w:marRight w:val="0"/>
      <w:marTop w:val="0"/>
      <w:marBottom w:val="0"/>
      <w:divBdr>
        <w:top w:val="none" w:sz="0" w:space="0" w:color="auto"/>
        <w:left w:val="none" w:sz="0" w:space="0" w:color="auto"/>
        <w:bottom w:val="none" w:sz="0" w:space="0" w:color="auto"/>
        <w:right w:val="none" w:sz="0" w:space="0" w:color="auto"/>
      </w:divBdr>
    </w:div>
    <w:div w:id="507446586">
      <w:bodyDiv w:val="1"/>
      <w:marLeft w:val="0"/>
      <w:marRight w:val="0"/>
      <w:marTop w:val="0"/>
      <w:marBottom w:val="0"/>
      <w:divBdr>
        <w:top w:val="none" w:sz="0" w:space="0" w:color="auto"/>
        <w:left w:val="none" w:sz="0" w:space="0" w:color="auto"/>
        <w:bottom w:val="none" w:sz="0" w:space="0" w:color="auto"/>
        <w:right w:val="none" w:sz="0" w:space="0" w:color="auto"/>
      </w:divBdr>
    </w:div>
    <w:div w:id="556091595">
      <w:bodyDiv w:val="1"/>
      <w:marLeft w:val="0"/>
      <w:marRight w:val="0"/>
      <w:marTop w:val="0"/>
      <w:marBottom w:val="0"/>
      <w:divBdr>
        <w:top w:val="none" w:sz="0" w:space="0" w:color="auto"/>
        <w:left w:val="none" w:sz="0" w:space="0" w:color="auto"/>
        <w:bottom w:val="none" w:sz="0" w:space="0" w:color="auto"/>
        <w:right w:val="none" w:sz="0" w:space="0" w:color="auto"/>
      </w:divBdr>
    </w:div>
    <w:div w:id="569192947">
      <w:bodyDiv w:val="1"/>
      <w:marLeft w:val="0"/>
      <w:marRight w:val="0"/>
      <w:marTop w:val="0"/>
      <w:marBottom w:val="0"/>
      <w:divBdr>
        <w:top w:val="none" w:sz="0" w:space="0" w:color="auto"/>
        <w:left w:val="none" w:sz="0" w:space="0" w:color="auto"/>
        <w:bottom w:val="none" w:sz="0" w:space="0" w:color="auto"/>
        <w:right w:val="none" w:sz="0" w:space="0" w:color="auto"/>
      </w:divBdr>
    </w:div>
    <w:div w:id="617833075">
      <w:bodyDiv w:val="1"/>
      <w:marLeft w:val="0"/>
      <w:marRight w:val="0"/>
      <w:marTop w:val="0"/>
      <w:marBottom w:val="0"/>
      <w:divBdr>
        <w:top w:val="none" w:sz="0" w:space="0" w:color="auto"/>
        <w:left w:val="none" w:sz="0" w:space="0" w:color="auto"/>
        <w:bottom w:val="none" w:sz="0" w:space="0" w:color="auto"/>
        <w:right w:val="none" w:sz="0" w:space="0" w:color="auto"/>
      </w:divBdr>
    </w:div>
    <w:div w:id="799149858">
      <w:bodyDiv w:val="1"/>
      <w:marLeft w:val="0"/>
      <w:marRight w:val="0"/>
      <w:marTop w:val="0"/>
      <w:marBottom w:val="0"/>
      <w:divBdr>
        <w:top w:val="none" w:sz="0" w:space="0" w:color="auto"/>
        <w:left w:val="none" w:sz="0" w:space="0" w:color="auto"/>
        <w:bottom w:val="none" w:sz="0" w:space="0" w:color="auto"/>
        <w:right w:val="none" w:sz="0" w:space="0" w:color="auto"/>
      </w:divBdr>
    </w:div>
    <w:div w:id="846596447">
      <w:bodyDiv w:val="1"/>
      <w:marLeft w:val="0"/>
      <w:marRight w:val="0"/>
      <w:marTop w:val="0"/>
      <w:marBottom w:val="0"/>
      <w:divBdr>
        <w:top w:val="none" w:sz="0" w:space="0" w:color="auto"/>
        <w:left w:val="none" w:sz="0" w:space="0" w:color="auto"/>
        <w:bottom w:val="none" w:sz="0" w:space="0" w:color="auto"/>
        <w:right w:val="none" w:sz="0" w:space="0" w:color="auto"/>
      </w:divBdr>
    </w:div>
    <w:div w:id="1491678343">
      <w:bodyDiv w:val="1"/>
      <w:marLeft w:val="60"/>
      <w:marRight w:val="60"/>
      <w:marTop w:val="60"/>
      <w:marBottom w:val="15"/>
      <w:divBdr>
        <w:top w:val="none" w:sz="0" w:space="0" w:color="auto"/>
        <w:left w:val="none" w:sz="0" w:space="0" w:color="auto"/>
        <w:bottom w:val="none" w:sz="0" w:space="0" w:color="auto"/>
        <w:right w:val="none" w:sz="0" w:space="0" w:color="auto"/>
      </w:divBdr>
      <w:divsChild>
        <w:div w:id="6180454">
          <w:marLeft w:val="0"/>
          <w:marRight w:val="0"/>
          <w:marTop w:val="0"/>
          <w:marBottom w:val="0"/>
          <w:divBdr>
            <w:top w:val="none" w:sz="0" w:space="0" w:color="auto"/>
            <w:left w:val="none" w:sz="0" w:space="0" w:color="auto"/>
            <w:bottom w:val="none" w:sz="0" w:space="0" w:color="auto"/>
            <w:right w:val="none" w:sz="0" w:space="0" w:color="auto"/>
          </w:divBdr>
        </w:div>
        <w:div w:id="48652241">
          <w:marLeft w:val="0"/>
          <w:marRight w:val="0"/>
          <w:marTop w:val="0"/>
          <w:marBottom w:val="0"/>
          <w:divBdr>
            <w:top w:val="none" w:sz="0" w:space="0" w:color="auto"/>
            <w:left w:val="none" w:sz="0" w:space="0" w:color="auto"/>
            <w:bottom w:val="none" w:sz="0" w:space="0" w:color="auto"/>
            <w:right w:val="none" w:sz="0" w:space="0" w:color="auto"/>
          </w:divBdr>
        </w:div>
        <w:div w:id="75983683">
          <w:marLeft w:val="0"/>
          <w:marRight w:val="0"/>
          <w:marTop w:val="0"/>
          <w:marBottom w:val="0"/>
          <w:divBdr>
            <w:top w:val="none" w:sz="0" w:space="0" w:color="auto"/>
            <w:left w:val="none" w:sz="0" w:space="0" w:color="auto"/>
            <w:bottom w:val="none" w:sz="0" w:space="0" w:color="auto"/>
            <w:right w:val="none" w:sz="0" w:space="0" w:color="auto"/>
          </w:divBdr>
        </w:div>
        <w:div w:id="264308144">
          <w:marLeft w:val="0"/>
          <w:marRight w:val="0"/>
          <w:marTop w:val="0"/>
          <w:marBottom w:val="0"/>
          <w:divBdr>
            <w:top w:val="none" w:sz="0" w:space="0" w:color="auto"/>
            <w:left w:val="none" w:sz="0" w:space="0" w:color="auto"/>
            <w:bottom w:val="none" w:sz="0" w:space="0" w:color="auto"/>
            <w:right w:val="none" w:sz="0" w:space="0" w:color="auto"/>
          </w:divBdr>
        </w:div>
        <w:div w:id="320622269">
          <w:marLeft w:val="0"/>
          <w:marRight w:val="0"/>
          <w:marTop w:val="0"/>
          <w:marBottom w:val="0"/>
          <w:divBdr>
            <w:top w:val="none" w:sz="0" w:space="0" w:color="auto"/>
            <w:left w:val="none" w:sz="0" w:space="0" w:color="auto"/>
            <w:bottom w:val="none" w:sz="0" w:space="0" w:color="auto"/>
            <w:right w:val="none" w:sz="0" w:space="0" w:color="auto"/>
          </w:divBdr>
        </w:div>
        <w:div w:id="379676130">
          <w:marLeft w:val="0"/>
          <w:marRight w:val="0"/>
          <w:marTop w:val="0"/>
          <w:marBottom w:val="0"/>
          <w:divBdr>
            <w:top w:val="none" w:sz="0" w:space="0" w:color="auto"/>
            <w:left w:val="none" w:sz="0" w:space="0" w:color="auto"/>
            <w:bottom w:val="none" w:sz="0" w:space="0" w:color="auto"/>
            <w:right w:val="none" w:sz="0" w:space="0" w:color="auto"/>
          </w:divBdr>
        </w:div>
        <w:div w:id="433013661">
          <w:marLeft w:val="0"/>
          <w:marRight w:val="0"/>
          <w:marTop w:val="0"/>
          <w:marBottom w:val="0"/>
          <w:divBdr>
            <w:top w:val="none" w:sz="0" w:space="0" w:color="auto"/>
            <w:left w:val="none" w:sz="0" w:space="0" w:color="auto"/>
            <w:bottom w:val="none" w:sz="0" w:space="0" w:color="auto"/>
            <w:right w:val="none" w:sz="0" w:space="0" w:color="auto"/>
          </w:divBdr>
        </w:div>
        <w:div w:id="491798577">
          <w:marLeft w:val="0"/>
          <w:marRight w:val="0"/>
          <w:marTop w:val="0"/>
          <w:marBottom w:val="0"/>
          <w:divBdr>
            <w:top w:val="none" w:sz="0" w:space="0" w:color="auto"/>
            <w:left w:val="none" w:sz="0" w:space="0" w:color="auto"/>
            <w:bottom w:val="none" w:sz="0" w:space="0" w:color="auto"/>
            <w:right w:val="none" w:sz="0" w:space="0" w:color="auto"/>
          </w:divBdr>
        </w:div>
        <w:div w:id="533082959">
          <w:marLeft w:val="0"/>
          <w:marRight w:val="0"/>
          <w:marTop w:val="0"/>
          <w:marBottom w:val="0"/>
          <w:divBdr>
            <w:top w:val="none" w:sz="0" w:space="0" w:color="auto"/>
            <w:left w:val="none" w:sz="0" w:space="0" w:color="auto"/>
            <w:bottom w:val="none" w:sz="0" w:space="0" w:color="auto"/>
            <w:right w:val="none" w:sz="0" w:space="0" w:color="auto"/>
          </w:divBdr>
        </w:div>
        <w:div w:id="549615924">
          <w:marLeft w:val="0"/>
          <w:marRight w:val="0"/>
          <w:marTop w:val="0"/>
          <w:marBottom w:val="0"/>
          <w:divBdr>
            <w:top w:val="none" w:sz="0" w:space="0" w:color="auto"/>
            <w:left w:val="none" w:sz="0" w:space="0" w:color="auto"/>
            <w:bottom w:val="none" w:sz="0" w:space="0" w:color="auto"/>
            <w:right w:val="none" w:sz="0" w:space="0" w:color="auto"/>
          </w:divBdr>
        </w:div>
        <w:div w:id="693576273">
          <w:marLeft w:val="0"/>
          <w:marRight w:val="0"/>
          <w:marTop w:val="0"/>
          <w:marBottom w:val="0"/>
          <w:divBdr>
            <w:top w:val="none" w:sz="0" w:space="0" w:color="auto"/>
            <w:left w:val="none" w:sz="0" w:space="0" w:color="auto"/>
            <w:bottom w:val="none" w:sz="0" w:space="0" w:color="auto"/>
            <w:right w:val="none" w:sz="0" w:space="0" w:color="auto"/>
          </w:divBdr>
        </w:div>
        <w:div w:id="733507878">
          <w:marLeft w:val="0"/>
          <w:marRight w:val="0"/>
          <w:marTop w:val="0"/>
          <w:marBottom w:val="0"/>
          <w:divBdr>
            <w:top w:val="none" w:sz="0" w:space="0" w:color="auto"/>
            <w:left w:val="none" w:sz="0" w:space="0" w:color="auto"/>
            <w:bottom w:val="none" w:sz="0" w:space="0" w:color="auto"/>
            <w:right w:val="none" w:sz="0" w:space="0" w:color="auto"/>
          </w:divBdr>
        </w:div>
        <w:div w:id="738329561">
          <w:marLeft w:val="0"/>
          <w:marRight w:val="0"/>
          <w:marTop w:val="0"/>
          <w:marBottom w:val="0"/>
          <w:divBdr>
            <w:top w:val="none" w:sz="0" w:space="0" w:color="auto"/>
            <w:left w:val="none" w:sz="0" w:space="0" w:color="auto"/>
            <w:bottom w:val="none" w:sz="0" w:space="0" w:color="auto"/>
            <w:right w:val="none" w:sz="0" w:space="0" w:color="auto"/>
          </w:divBdr>
        </w:div>
        <w:div w:id="766539687">
          <w:marLeft w:val="0"/>
          <w:marRight w:val="0"/>
          <w:marTop w:val="0"/>
          <w:marBottom w:val="0"/>
          <w:divBdr>
            <w:top w:val="none" w:sz="0" w:space="0" w:color="auto"/>
            <w:left w:val="none" w:sz="0" w:space="0" w:color="auto"/>
            <w:bottom w:val="none" w:sz="0" w:space="0" w:color="auto"/>
            <w:right w:val="none" w:sz="0" w:space="0" w:color="auto"/>
          </w:divBdr>
        </w:div>
        <w:div w:id="814761948">
          <w:marLeft w:val="0"/>
          <w:marRight w:val="0"/>
          <w:marTop w:val="0"/>
          <w:marBottom w:val="0"/>
          <w:divBdr>
            <w:top w:val="none" w:sz="0" w:space="0" w:color="auto"/>
            <w:left w:val="none" w:sz="0" w:space="0" w:color="auto"/>
            <w:bottom w:val="none" w:sz="0" w:space="0" w:color="auto"/>
            <w:right w:val="none" w:sz="0" w:space="0" w:color="auto"/>
          </w:divBdr>
        </w:div>
        <w:div w:id="897323485">
          <w:marLeft w:val="0"/>
          <w:marRight w:val="0"/>
          <w:marTop w:val="0"/>
          <w:marBottom w:val="0"/>
          <w:divBdr>
            <w:top w:val="none" w:sz="0" w:space="0" w:color="auto"/>
            <w:left w:val="none" w:sz="0" w:space="0" w:color="auto"/>
            <w:bottom w:val="none" w:sz="0" w:space="0" w:color="auto"/>
            <w:right w:val="none" w:sz="0" w:space="0" w:color="auto"/>
          </w:divBdr>
        </w:div>
        <w:div w:id="956451479">
          <w:marLeft w:val="0"/>
          <w:marRight w:val="0"/>
          <w:marTop w:val="0"/>
          <w:marBottom w:val="0"/>
          <w:divBdr>
            <w:top w:val="none" w:sz="0" w:space="0" w:color="auto"/>
            <w:left w:val="none" w:sz="0" w:space="0" w:color="auto"/>
            <w:bottom w:val="none" w:sz="0" w:space="0" w:color="auto"/>
            <w:right w:val="none" w:sz="0" w:space="0" w:color="auto"/>
          </w:divBdr>
        </w:div>
        <w:div w:id="1027292865">
          <w:marLeft w:val="0"/>
          <w:marRight w:val="0"/>
          <w:marTop w:val="0"/>
          <w:marBottom w:val="0"/>
          <w:divBdr>
            <w:top w:val="none" w:sz="0" w:space="0" w:color="auto"/>
            <w:left w:val="none" w:sz="0" w:space="0" w:color="auto"/>
            <w:bottom w:val="none" w:sz="0" w:space="0" w:color="auto"/>
            <w:right w:val="none" w:sz="0" w:space="0" w:color="auto"/>
          </w:divBdr>
        </w:div>
        <w:div w:id="1049381007">
          <w:marLeft w:val="0"/>
          <w:marRight w:val="0"/>
          <w:marTop w:val="0"/>
          <w:marBottom w:val="0"/>
          <w:divBdr>
            <w:top w:val="none" w:sz="0" w:space="0" w:color="auto"/>
            <w:left w:val="none" w:sz="0" w:space="0" w:color="auto"/>
            <w:bottom w:val="none" w:sz="0" w:space="0" w:color="auto"/>
            <w:right w:val="none" w:sz="0" w:space="0" w:color="auto"/>
          </w:divBdr>
        </w:div>
        <w:div w:id="1226143700">
          <w:marLeft w:val="0"/>
          <w:marRight w:val="0"/>
          <w:marTop w:val="0"/>
          <w:marBottom w:val="0"/>
          <w:divBdr>
            <w:top w:val="none" w:sz="0" w:space="0" w:color="auto"/>
            <w:left w:val="none" w:sz="0" w:space="0" w:color="auto"/>
            <w:bottom w:val="none" w:sz="0" w:space="0" w:color="auto"/>
            <w:right w:val="none" w:sz="0" w:space="0" w:color="auto"/>
          </w:divBdr>
        </w:div>
        <w:div w:id="1273366763">
          <w:marLeft w:val="0"/>
          <w:marRight w:val="0"/>
          <w:marTop w:val="0"/>
          <w:marBottom w:val="0"/>
          <w:divBdr>
            <w:top w:val="none" w:sz="0" w:space="0" w:color="auto"/>
            <w:left w:val="none" w:sz="0" w:space="0" w:color="auto"/>
            <w:bottom w:val="none" w:sz="0" w:space="0" w:color="auto"/>
            <w:right w:val="none" w:sz="0" w:space="0" w:color="auto"/>
          </w:divBdr>
        </w:div>
        <w:div w:id="1293752070">
          <w:marLeft w:val="0"/>
          <w:marRight w:val="0"/>
          <w:marTop w:val="0"/>
          <w:marBottom w:val="0"/>
          <w:divBdr>
            <w:top w:val="none" w:sz="0" w:space="0" w:color="auto"/>
            <w:left w:val="none" w:sz="0" w:space="0" w:color="auto"/>
            <w:bottom w:val="none" w:sz="0" w:space="0" w:color="auto"/>
            <w:right w:val="none" w:sz="0" w:space="0" w:color="auto"/>
          </w:divBdr>
        </w:div>
        <w:div w:id="1295713079">
          <w:marLeft w:val="0"/>
          <w:marRight w:val="0"/>
          <w:marTop w:val="0"/>
          <w:marBottom w:val="0"/>
          <w:divBdr>
            <w:top w:val="none" w:sz="0" w:space="0" w:color="auto"/>
            <w:left w:val="none" w:sz="0" w:space="0" w:color="auto"/>
            <w:bottom w:val="none" w:sz="0" w:space="0" w:color="auto"/>
            <w:right w:val="none" w:sz="0" w:space="0" w:color="auto"/>
          </w:divBdr>
        </w:div>
        <w:div w:id="1302806349">
          <w:marLeft w:val="0"/>
          <w:marRight w:val="0"/>
          <w:marTop w:val="0"/>
          <w:marBottom w:val="0"/>
          <w:divBdr>
            <w:top w:val="none" w:sz="0" w:space="0" w:color="auto"/>
            <w:left w:val="none" w:sz="0" w:space="0" w:color="auto"/>
            <w:bottom w:val="none" w:sz="0" w:space="0" w:color="auto"/>
            <w:right w:val="none" w:sz="0" w:space="0" w:color="auto"/>
          </w:divBdr>
        </w:div>
        <w:div w:id="1509902587">
          <w:marLeft w:val="0"/>
          <w:marRight w:val="0"/>
          <w:marTop w:val="0"/>
          <w:marBottom w:val="0"/>
          <w:divBdr>
            <w:top w:val="none" w:sz="0" w:space="0" w:color="auto"/>
            <w:left w:val="none" w:sz="0" w:space="0" w:color="auto"/>
            <w:bottom w:val="none" w:sz="0" w:space="0" w:color="auto"/>
            <w:right w:val="none" w:sz="0" w:space="0" w:color="auto"/>
          </w:divBdr>
        </w:div>
        <w:div w:id="1553730171">
          <w:marLeft w:val="0"/>
          <w:marRight w:val="0"/>
          <w:marTop w:val="0"/>
          <w:marBottom w:val="0"/>
          <w:divBdr>
            <w:top w:val="none" w:sz="0" w:space="0" w:color="auto"/>
            <w:left w:val="none" w:sz="0" w:space="0" w:color="auto"/>
            <w:bottom w:val="none" w:sz="0" w:space="0" w:color="auto"/>
            <w:right w:val="none" w:sz="0" w:space="0" w:color="auto"/>
          </w:divBdr>
        </w:div>
        <w:div w:id="1627736823">
          <w:marLeft w:val="0"/>
          <w:marRight w:val="0"/>
          <w:marTop w:val="0"/>
          <w:marBottom w:val="0"/>
          <w:divBdr>
            <w:top w:val="none" w:sz="0" w:space="0" w:color="auto"/>
            <w:left w:val="none" w:sz="0" w:space="0" w:color="auto"/>
            <w:bottom w:val="none" w:sz="0" w:space="0" w:color="auto"/>
            <w:right w:val="none" w:sz="0" w:space="0" w:color="auto"/>
          </w:divBdr>
        </w:div>
        <w:div w:id="1653365614">
          <w:marLeft w:val="0"/>
          <w:marRight w:val="0"/>
          <w:marTop w:val="0"/>
          <w:marBottom w:val="0"/>
          <w:divBdr>
            <w:top w:val="none" w:sz="0" w:space="0" w:color="auto"/>
            <w:left w:val="none" w:sz="0" w:space="0" w:color="auto"/>
            <w:bottom w:val="none" w:sz="0" w:space="0" w:color="auto"/>
            <w:right w:val="none" w:sz="0" w:space="0" w:color="auto"/>
          </w:divBdr>
        </w:div>
        <w:div w:id="1741712463">
          <w:marLeft w:val="0"/>
          <w:marRight w:val="0"/>
          <w:marTop w:val="0"/>
          <w:marBottom w:val="0"/>
          <w:divBdr>
            <w:top w:val="none" w:sz="0" w:space="0" w:color="auto"/>
            <w:left w:val="none" w:sz="0" w:space="0" w:color="auto"/>
            <w:bottom w:val="none" w:sz="0" w:space="0" w:color="auto"/>
            <w:right w:val="none" w:sz="0" w:space="0" w:color="auto"/>
          </w:divBdr>
        </w:div>
        <w:div w:id="1887374909">
          <w:marLeft w:val="0"/>
          <w:marRight w:val="0"/>
          <w:marTop w:val="0"/>
          <w:marBottom w:val="0"/>
          <w:divBdr>
            <w:top w:val="none" w:sz="0" w:space="0" w:color="auto"/>
            <w:left w:val="none" w:sz="0" w:space="0" w:color="auto"/>
            <w:bottom w:val="none" w:sz="0" w:space="0" w:color="auto"/>
            <w:right w:val="none" w:sz="0" w:space="0" w:color="auto"/>
          </w:divBdr>
        </w:div>
        <w:div w:id="1951157452">
          <w:marLeft w:val="0"/>
          <w:marRight w:val="0"/>
          <w:marTop w:val="0"/>
          <w:marBottom w:val="0"/>
          <w:divBdr>
            <w:top w:val="none" w:sz="0" w:space="0" w:color="auto"/>
            <w:left w:val="none" w:sz="0" w:space="0" w:color="auto"/>
            <w:bottom w:val="none" w:sz="0" w:space="0" w:color="auto"/>
            <w:right w:val="none" w:sz="0" w:space="0" w:color="auto"/>
          </w:divBdr>
        </w:div>
        <w:div w:id="2075657967">
          <w:marLeft w:val="0"/>
          <w:marRight w:val="0"/>
          <w:marTop w:val="0"/>
          <w:marBottom w:val="0"/>
          <w:divBdr>
            <w:top w:val="none" w:sz="0" w:space="0" w:color="auto"/>
            <w:left w:val="none" w:sz="0" w:space="0" w:color="auto"/>
            <w:bottom w:val="none" w:sz="0" w:space="0" w:color="auto"/>
            <w:right w:val="none" w:sz="0" w:space="0" w:color="auto"/>
          </w:divBdr>
        </w:div>
        <w:div w:id="2090153335">
          <w:marLeft w:val="0"/>
          <w:marRight w:val="0"/>
          <w:marTop w:val="0"/>
          <w:marBottom w:val="0"/>
          <w:divBdr>
            <w:top w:val="none" w:sz="0" w:space="0" w:color="auto"/>
            <w:left w:val="none" w:sz="0" w:space="0" w:color="auto"/>
            <w:bottom w:val="none" w:sz="0" w:space="0" w:color="auto"/>
            <w:right w:val="none" w:sz="0" w:space="0" w:color="auto"/>
          </w:divBdr>
        </w:div>
        <w:div w:id="2134706714">
          <w:marLeft w:val="0"/>
          <w:marRight w:val="0"/>
          <w:marTop w:val="0"/>
          <w:marBottom w:val="0"/>
          <w:divBdr>
            <w:top w:val="none" w:sz="0" w:space="0" w:color="auto"/>
            <w:left w:val="none" w:sz="0" w:space="0" w:color="auto"/>
            <w:bottom w:val="none" w:sz="0" w:space="0" w:color="auto"/>
            <w:right w:val="none" w:sz="0" w:space="0" w:color="auto"/>
          </w:divBdr>
        </w:div>
      </w:divsChild>
    </w:div>
    <w:div w:id="1580869024">
      <w:bodyDiv w:val="1"/>
      <w:marLeft w:val="0"/>
      <w:marRight w:val="0"/>
      <w:marTop w:val="0"/>
      <w:marBottom w:val="0"/>
      <w:divBdr>
        <w:top w:val="none" w:sz="0" w:space="0" w:color="auto"/>
        <w:left w:val="none" w:sz="0" w:space="0" w:color="auto"/>
        <w:bottom w:val="none" w:sz="0" w:space="0" w:color="auto"/>
        <w:right w:val="none" w:sz="0" w:space="0" w:color="auto"/>
      </w:divBdr>
    </w:div>
    <w:div w:id="1581252783">
      <w:bodyDiv w:val="1"/>
      <w:marLeft w:val="0"/>
      <w:marRight w:val="0"/>
      <w:marTop w:val="0"/>
      <w:marBottom w:val="0"/>
      <w:divBdr>
        <w:top w:val="none" w:sz="0" w:space="0" w:color="auto"/>
        <w:left w:val="none" w:sz="0" w:space="0" w:color="auto"/>
        <w:bottom w:val="none" w:sz="0" w:space="0" w:color="auto"/>
        <w:right w:val="none" w:sz="0" w:space="0" w:color="auto"/>
      </w:divBdr>
    </w:div>
    <w:div w:id="1588879076">
      <w:bodyDiv w:val="1"/>
      <w:marLeft w:val="0"/>
      <w:marRight w:val="0"/>
      <w:marTop w:val="0"/>
      <w:marBottom w:val="0"/>
      <w:divBdr>
        <w:top w:val="none" w:sz="0" w:space="0" w:color="auto"/>
        <w:left w:val="none" w:sz="0" w:space="0" w:color="auto"/>
        <w:bottom w:val="none" w:sz="0" w:space="0" w:color="auto"/>
        <w:right w:val="none" w:sz="0" w:space="0" w:color="auto"/>
      </w:divBdr>
    </w:div>
    <w:div w:id="1724938557">
      <w:bodyDiv w:val="1"/>
      <w:marLeft w:val="0"/>
      <w:marRight w:val="0"/>
      <w:marTop w:val="0"/>
      <w:marBottom w:val="0"/>
      <w:divBdr>
        <w:top w:val="none" w:sz="0" w:space="0" w:color="auto"/>
        <w:left w:val="none" w:sz="0" w:space="0" w:color="auto"/>
        <w:bottom w:val="none" w:sz="0" w:space="0" w:color="auto"/>
        <w:right w:val="none" w:sz="0" w:space="0" w:color="auto"/>
      </w:divBdr>
    </w:div>
    <w:div w:id="1728409520">
      <w:bodyDiv w:val="1"/>
      <w:marLeft w:val="0"/>
      <w:marRight w:val="0"/>
      <w:marTop w:val="0"/>
      <w:marBottom w:val="0"/>
      <w:divBdr>
        <w:top w:val="none" w:sz="0" w:space="0" w:color="auto"/>
        <w:left w:val="none" w:sz="0" w:space="0" w:color="auto"/>
        <w:bottom w:val="none" w:sz="0" w:space="0" w:color="auto"/>
        <w:right w:val="none" w:sz="0" w:space="0" w:color="auto"/>
      </w:divBdr>
    </w:div>
    <w:div w:id="19814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mn.gov/deed/data/export-sta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445247179154157"/>
          <c:y val="8.2453366386719323E-2"/>
          <c:w val="0.49286409051809699"/>
          <c:h val="0.80619693156912087"/>
        </c:manualLayout>
      </c:layout>
      <c:pieChart>
        <c:varyColors val="1"/>
        <c:ser>
          <c:idx val="0"/>
          <c:order val="0"/>
          <c:tx>
            <c:strRef>
              <c:f>Sheet1!$B$1</c:f>
              <c:strCache>
                <c:ptCount val="1"/>
                <c:pt idx="0">
                  <c:v> Exports, 2024-Q3 </c:v>
                </c:pt>
              </c:strCache>
            </c:strRef>
          </c:tx>
          <c:spPr>
            <a:ln w="6350">
              <a:solidFill>
                <a:schemeClr val="tx1">
                  <a:lumMod val="65000"/>
                  <a:lumOff val="35000"/>
                </a:schemeClr>
              </a:solidFill>
            </a:ln>
          </c:spPr>
          <c:dPt>
            <c:idx val="0"/>
            <c:bubble3D val="0"/>
            <c:spPr>
              <a:solidFill>
                <a:srgbClr val="003865"/>
              </a:solidFill>
              <a:ln w="6350">
                <a:solidFill>
                  <a:schemeClr val="tx1">
                    <a:lumMod val="65000"/>
                    <a:lumOff val="35000"/>
                  </a:schemeClr>
                </a:solidFill>
              </a:ln>
              <a:effectLst/>
            </c:spPr>
            <c:extLst>
              <c:ext xmlns:c16="http://schemas.microsoft.com/office/drawing/2014/chart" uri="{C3380CC4-5D6E-409C-BE32-E72D297353CC}">
                <c16:uniqueId val="{00000001-B9C1-427F-A70D-31B58FB49008}"/>
              </c:ext>
            </c:extLst>
          </c:dPt>
          <c:dPt>
            <c:idx val="1"/>
            <c:bubble3D val="0"/>
            <c:spPr>
              <a:solidFill>
                <a:srgbClr val="78BE21"/>
              </a:solidFill>
              <a:ln w="6350">
                <a:solidFill>
                  <a:schemeClr val="tx1">
                    <a:lumMod val="65000"/>
                    <a:lumOff val="35000"/>
                  </a:schemeClr>
                </a:solidFill>
              </a:ln>
              <a:effectLst/>
            </c:spPr>
            <c:extLst>
              <c:ext xmlns:c16="http://schemas.microsoft.com/office/drawing/2014/chart" uri="{C3380CC4-5D6E-409C-BE32-E72D297353CC}">
                <c16:uniqueId val="{00000003-B9C1-427F-A70D-31B58FB49008}"/>
              </c:ext>
            </c:extLst>
          </c:dPt>
          <c:dPt>
            <c:idx val="2"/>
            <c:bubble3D val="0"/>
            <c:spPr>
              <a:solidFill>
                <a:srgbClr val="008EAA"/>
              </a:solidFill>
              <a:ln w="6350">
                <a:solidFill>
                  <a:schemeClr val="tx1">
                    <a:lumMod val="65000"/>
                    <a:lumOff val="35000"/>
                  </a:schemeClr>
                </a:solidFill>
              </a:ln>
              <a:effectLst/>
            </c:spPr>
            <c:extLst>
              <c:ext xmlns:c16="http://schemas.microsoft.com/office/drawing/2014/chart" uri="{C3380CC4-5D6E-409C-BE32-E72D297353CC}">
                <c16:uniqueId val="{00000005-B9C1-427F-A70D-31B58FB49008}"/>
              </c:ext>
            </c:extLst>
          </c:dPt>
          <c:dPt>
            <c:idx val="3"/>
            <c:bubble3D val="0"/>
            <c:spPr>
              <a:solidFill>
                <a:srgbClr val="FFD36A"/>
              </a:solidFill>
              <a:ln w="6350">
                <a:solidFill>
                  <a:schemeClr val="tx1">
                    <a:lumMod val="65000"/>
                    <a:lumOff val="35000"/>
                  </a:schemeClr>
                </a:solidFill>
              </a:ln>
              <a:effectLst/>
            </c:spPr>
            <c:extLst>
              <c:ext xmlns:c16="http://schemas.microsoft.com/office/drawing/2014/chart" uri="{C3380CC4-5D6E-409C-BE32-E72D297353CC}">
                <c16:uniqueId val="{00000007-B9C1-427F-A70D-31B58FB49008}"/>
              </c:ext>
            </c:extLst>
          </c:dPt>
          <c:dPt>
            <c:idx val="4"/>
            <c:bubble3D val="0"/>
            <c:spPr>
              <a:solidFill>
                <a:srgbClr val="BEA9BF"/>
              </a:solidFill>
              <a:ln w="6350">
                <a:solidFill>
                  <a:schemeClr val="tx1">
                    <a:lumMod val="65000"/>
                    <a:lumOff val="35000"/>
                  </a:schemeClr>
                </a:solidFill>
              </a:ln>
              <a:effectLst/>
            </c:spPr>
            <c:extLst>
              <c:ext xmlns:c16="http://schemas.microsoft.com/office/drawing/2014/chart" uri="{C3380CC4-5D6E-409C-BE32-E72D297353CC}">
                <c16:uniqueId val="{00000009-B9C1-427F-A70D-31B58FB49008}"/>
              </c:ext>
            </c:extLst>
          </c:dPt>
          <c:dPt>
            <c:idx val="5"/>
            <c:bubble3D val="0"/>
            <c:spPr>
              <a:solidFill>
                <a:srgbClr val="C9E5A6"/>
              </a:solidFill>
              <a:ln w="6350">
                <a:solidFill>
                  <a:schemeClr val="tx1">
                    <a:lumMod val="65000"/>
                    <a:lumOff val="35000"/>
                  </a:schemeClr>
                </a:solidFill>
              </a:ln>
              <a:effectLst/>
            </c:spPr>
            <c:extLst>
              <c:ext xmlns:c16="http://schemas.microsoft.com/office/drawing/2014/chart" uri="{C3380CC4-5D6E-409C-BE32-E72D297353CC}">
                <c16:uniqueId val="{0000000B-B9C1-427F-A70D-31B58FB49008}"/>
              </c:ext>
            </c:extLst>
          </c:dPt>
          <c:dPt>
            <c:idx val="6"/>
            <c:bubble3D val="0"/>
            <c:spPr>
              <a:solidFill>
                <a:srgbClr val="7CA2BC"/>
              </a:solidFill>
              <a:ln w="6350">
                <a:solidFill>
                  <a:schemeClr val="tx1">
                    <a:lumMod val="65000"/>
                    <a:lumOff val="35000"/>
                  </a:schemeClr>
                </a:solidFill>
              </a:ln>
              <a:effectLst/>
            </c:spPr>
            <c:extLst>
              <c:ext xmlns:c16="http://schemas.microsoft.com/office/drawing/2014/chart" uri="{C3380CC4-5D6E-409C-BE32-E72D297353CC}">
                <c16:uniqueId val="{0000000D-B9C1-427F-A70D-31B58FB49008}"/>
              </c:ext>
            </c:extLst>
          </c:dPt>
          <c:dPt>
            <c:idx val="7"/>
            <c:bubble3D val="0"/>
            <c:spPr>
              <a:solidFill>
                <a:schemeClr val="bg1">
                  <a:lumMod val="85000"/>
                </a:schemeClr>
              </a:solidFill>
              <a:ln w="6350">
                <a:solidFill>
                  <a:schemeClr val="tx1">
                    <a:lumMod val="65000"/>
                    <a:lumOff val="35000"/>
                  </a:schemeClr>
                </a:solidFill>
              </a:ln>
              <a:effectLst/>
            </c:spPr>
            <c:extLst>
              <c:ext xmlns:c16="http://schemas.microsoft.com/office/drawing/2014/chart" uri="{C3380CC4-5D6E-409C-BE32-E72D297353CC}">
                <c16:uniqueId val="{0000000F-B9C1-427F-A70D-31B58FB49008}"/>
              </c:ext>
            </c:extLst>
          </c:dPt>
          <c:dPt>
            <c:idx val="8"/>
            <c:bubble3D val="0"/>
            <c:spPr>
              <a:solidFill>
                <a:schemeClr val="accent5">
                  <a:lumMod val="80000"/>
                  <a:lumOff val="20000"/>
                </a:schemeClr>
              </a:solidFill>
              <a:ln w="6350">
                <a:solidFill>
                  <a:schemeClr val="tx1">
                    <a:lumMod val="65000"/>
                    <a:lumOff val="35000"/>
                  </a:schemeClr>
                </a:solidFill>
              </a:ln>
              <a:effectLst/>
            </c:spPr>
            <c:extLst>
              <c:ext xmlns:c16="http://schemas.microsoft.com/office/drawing/2014/chart" uri="{C3380CC4-5D6E-409C-BE32-E72D297353CC}">
                <c16:uniqueId val="{00000011-B9C1-427F-A70D-31B58FB49008}"/>
              </c:ext>
            </c:extLst>
          </c:dPt>
          <c:dPt>
            <c:idx val="9"/>
            <c:bubble3D val="0"/>
            <c:spPr>
              <a:solidFill>
                <a:schemeClr val="accent1">
                  <a:lumMod val="80000"/>
                </a:schemeClr>
              </a:solidFill>
              <a:ln w="6350">
                <a:solidFill>
                  <a:schemeClr val="tx1">
                    <a:lumMod val="65000"/>
                    <a:lumOff val="35000"/>
                  </a:schemeClr>
                </a:solidFill>
              </a:ln>
              <a:effectLst/>
            </c:spPr>
            <c:extLst>
              <c:ext xmlns:c16="http://schemas.microsoft.com/office/drawing/2014/chart" uri="{C3380CC4-5D6E-409C-BE32-E72D297353CC}">
                <c16:uniqueId val="{00000013-B9C1-427F-A70D-31B58FB49008}"/>
              </c:ext>
            </c:extLst>
          </c:dPt>
          <c:dLbls>
            <c:dLbl>
              <c:idx val="0"/>
              <c:layout>
                <c:manualLayout>
                  <c:x val="-5.8421625131910133E-2"/>
                  <c:y val="-3.481747121170109E-8"/>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3208929296209105"/>
                      <c:h val="0.19765659968588686"/>
                    </c:manualLayout>
                  </c15:layout>
                </c:ext>
                <c:ext xmlns:c16="http://schemas.microsoft.com/office/drawing/2014/chart" uri="{C3380CC4-5D6E-409C-BE32-E72D297353CC}">
                  <c16:uniqueId val="{00000001-B9C1-427F-A70D-31B58FB49008}"/>
                </c:ext>
              </c:extLst>
            </c:dLbl>
            <c:dLbl>
              <c:idx val="1"/>
              <c:layout>
                <c:manualLayout>
                  <c:x val="-6.2472603295722054E-4"/>
                  <c:y val="-0.19159919591282165"/>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674502800551991"/>
                      <c:h val="0.29807056156325556"/>
                    </c:manualLayout>
                  </c15:layout>
                </c:ext>
                <c:ext xmlns:c16="http://schemas.microsoft.com/office/drawing/2014/chart" uri="{C3380CC4-5D6E-409C-BE32-E72D297353CC}">
                  <c16:uniqueId val="{00000003-B9C1-427F-A70D-31B58FB49008}"/>
                </c:ext>
              </c:extLst>
            </c:dLbl>
            <c:dLbl>
              <c:idx val="2"/>
              <c:layout>
                <c:manualLayout>
                  <c:x val="-1.5796736748113428E-3"/>
                  <c:y val="-3.88350800246841E-3"/>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9194122899586004"/>
                      <c:h val="0.23299511879884841"/>
                    </c:manualLayout>
                  </c15:layout>
                </c:ext>
                <c:ext xmlns:c16="http://schemas.microsoft.com/office/drawing/2014/chart" uri="{C3380CC4-5D6E-409C-BE32-E72D297353CC}">
                  <c16:uniqueId val="{00000005-B9C1-427F-A70D-31B58FB49008}"/>
                </c:ext>
              </c:extLst>
            </c:dLbl>
            <c:dLbl>
              <c:idx val="3"/>
              <c:layout>
                <c:manualLayout>
                  <c:x val="-1.2171117785534541E-2"/>
                  <c:y val="0"/>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9034629434207324"/>
                      <c:h val="0.20459357312929224"/>
                    </c:manualLayout>
                  </c15:layout>
                </c:ext>
                <c:ext xmlns:c16="http://schemas.microsoft.com/office/drawing/2014/chart" uri="{C3380CC4-5D6E-409C-BE32-E72D297353CC}">
                  <c16:uniqueId val="{00000007-B9C1-427F-A70D-31B58FB49008}"/>
                </c:ext>
              </c:extLst>
            </c:dLbl>
            <c:dLbl>
              <c:idx val="4"/>
              <c:layout>
                <c:manualLayout>
                  <c:x val="1.6235084016559785E-7"/>
                  <c:y val="-0.15632503555622651"/>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107995778878153"/>
                      <c:h val="0.2487812888172026"/>
                    </c:manualLayout>
                  </c15:layout>
                </c:ext>
                <c:ext xmlns:c16="http://schemas.microsoft.com/office/drawing/2014/chart" uri="{C3380CC4-5D6E-409C-BE32-E72D297353CC}">
                  <c16:uniqueId val="{00000009-B9C1-427F-A70D-31B58FB49008}"/>
                </c:ext>
              </c:extLst>
            </c:dLbl>
            <c:dLbl>
              <c:idx val="5"/>
              <c:layout>
                <c:manualLayout>
                  <c:x val="-1.4433152041561826E-2"/>
                  <c:y val="-0.10763538513286246"/>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4999691533403681"/>
                      <c:h val="0.33629860344147194"/>
                    </c:manualLayout>
                  </c15:layout>
                </c:ext>
                <c:ext xmlns:c16="http://schemas.microsoft.com/office/drawing/2014/chart" uri="{C3380CC4-5D6E-409C-BE32-E72D297353CC}">
                  <c16:uniqueId val="{0000000B-B9C1-427F-A70D-31B58FB49008}"/>
                </c:ext>
              </c:extLst>
            </c:dLbl>
            <c:dLbl>
              <c:idx val="6"/>
              <c:layout>
                <c:manualLayout>
                  <c:x val="8.2474226804123713E-3"/>
                  <c:y val="5.2191508352071531E-3"/>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408952025326731"/>
                      <c:h val="0.12272075980411631"/>
                    </c:manualLayout>
                  </c15:layout>
                </c:ext>
                <c:ext xmlns:c16="http://schemas.microsoft.com/office/drawing/2014/chart" uri="{C3380CC4-5D6E-409C-BE32-E72D297353CC}">
                  <c16:uniqueId val="{0000000D-B9C1-427F-A70D-31B58FB49008}"/>
                </c:ext>
              </c:extLst>
            </c:dLbl>
            <c:dLbl>
              <c:idx val="7"/>
              <c:layout>
                <c:manualLayout>
                  <c:x val="-1.562429696287965E-2"/>
                  <c:y val="-3.8962307546608219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781512605042018"/>
                      <c:h val="0.10735990475417376"/>
                    </c:manualLayout>
                  </c15:layout>
                </c:ext>
                <c:ext xmlns:c16="http://schemas.microsoft.com/office/drawing/2014/chart" uri="{C3380CC4-5D6E-409C-BE32-E72D297353CC}">
                  <c16:uniqueId val="{0000000F-B9C1-427F-A70D-31B58FB49008}"/>
                </c:ext>
              </c:extLst>
            </c:dLbl>
            <c:dLbl>
              <c:idx val="8"/>
              <c:layout>
                <c:manualLayout>
                  <c:x val="-3.1512660182183114E-2"/>
                  <c:y val="-2.061863292208278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815622311916891"/>
                      <c:h val="0.11042238276916415"/>
                    </c:manualLayout>
                  </c15:layout>
                </c:ext>
                <c:ext xmlns:c16="http://schemas.microsoft.com/office/drawing/2014/chart" uri="{C3380CC4-5D6E-409C-BE32-E72D297353CC}">
                  <c16:uniqueId val="{00000011-B9C1-427F-A70D-31B58FB49008}"/>
                </c:ext>
              </c:extLst>
            </c:dLbl>
            <c:dLbl>
              <c:idx val="9"/>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eparator> </c:separator>
              <c:extLst>
                <c:ext xmlns:c15="http://schemas.microsoft.com/office/drawing/2012/chart" uri="{CE6537A1-D6FC-4f65-9D91-7224C49458BB}">
                  <c15:layout>
                    <c:manualLayout>
                      <c:w val="0.23554621848739493"/>
                      <c:h val="0.12274914089347079"/>
                    </c:manualLayout>
                  </c15:layout>
                </c:ext>
                <c:ext xmlns:c16="http://schemas.microsoft.com/office/drawing/2014/chart" uri="{C3380CC4-5D6E-409C-BE32-E72D297353CC}">
                  <c16:uniqueId val="{00000013-B9C1-427F-A70D-31B58FB4900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eparator> </c:separator>
            <c:showLeaderLines val="1"/>
            <c:leaderLines>
              <c:spPr>
                <a:ln w="9525" cap="flat" cmpd="sng" algn="ctr">
                  <a:solidFill>
                    <a:schemeClr val="tx1">
                      <a:lumMod val="50000"/>
                      <a:lumOff val="50000"/>
                    </a:schemeClr>
                  </a:solidFill>
                  <a:prstDash val="solid"/>
                  <a:round/>
                </a:ln>
                <a:effectLst/>
              </c:spPr>
            </c:leaderLines>
            <c:extLst>
              <c:ext xmlns:c15="http://schemas.microsoft.com/office/drawing/2012/chart" uri="{CE6537A1-D6FC-4f65-9D91-7224C49458BB}"/>
            </c:extLst>
          </c:dLbls>
          <c:cat>
            <c:strRef>
              <c:f>Sheet1!$A$2:$A$8</c:f>
              <c:strCache>
                <c:ptCount val="7"/>
                <c:pt idx="0">
                  <c:v>Tubes, pipes, hoses</c:v>
                </c:pt>
                <c:pt idx="1">
                  <c:v>Polyacetals, other primary forms</c:v>
                </c:pt>
                <c:pt idx="2">
                  <c:v>Misc plastics of polymers, resins</c:v>
                </c:pt>
                <c:pt idx="3">
                  <c:v>Self-adhesive plates, sheets, film</c:v>
                </c:pt>
                <c:pt idx="4">
                  <c:v>Misc plates, sheets, film</c:v>
                </c:pt>
                <c:pt idx="5">
                  <c:v>Not self-adhesive flat plastics</c:v>
                </c:pt>
                <c:pt idx="6">
                  <c:v>Other</c:v>
                </c:pt>
              </c:strCache>
            </c:strRef>
          </c:cat>
          <c:val>
            <c:numRef>
              <c:f>Sheet1!$B$2:$B$8</c:f>
              <c:numCache>
                <c:formatCode>_(* #,##0_);_(* \(#,##0\);_(* "-"??_);_(@_)</c:formatCode>
                <c:ptCount val="7"/>
                <c:pt idx="0">
                  <c:v>67773941</c:v>
                </c:pt>
                <c:pt idx="1">
                  <c:v>49610507</c:v>
                </c:pt>
                <c:pt idx="2">
                  <c:v>46231008</c:v>
                </c:pt>
                <c:pt idx="3">
                  <c:v>34122413</c:v>
                </c:pt>
                <c:pt idx="4">
                  <c:v>28314432</c:v>
                </c:pt>
                <c:pt idx="5">
                  <c:v>27857407</c:v>
                </c:pt>
                <c:pt idx="6">
                  <c:v>72208489</c:v>
                </c:pt>
              </c:numCache>
            </c:numRef>
          </c:val>
          <c:extLst>
            <c:ext xmlns:c16="http://schemas.microsoft.com/office/drawing/2014/chart" uri="{C3380CC4-5D6E-409C-BE32-E72D297353CC}">
              <c16:uniqueId val="{00000014-B9C1-427F-A70D-31B58FB4900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3175" cap="flat" cmpd="sng" algn="ctr">
      <a:solidFill>
        <a:schemeClr val="bg1">
          <a:lumMod val="75000"/>
        </a:schemeClr>
      </a:solid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3">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B6C44-9FF8-492D-ADB5-283AD1E5C7D9}">
  <ds:schemaRefs>
    <ds:schemaRef ds:uri="http://schemas.openxmlformats.org/officeDocument/2006/bibliography"/>
  </ds:schemaRefs>
</ds:datastoreItem>
</file>

<file path=customXml/itemProps2.xml><?xml version="1.0" encoding="utf-8"?>
<ds:datastoreItem xmlns:ds="http://schemas.openxmlformats.org/officeDocument/2006/customXml" ds:itemID="{91164FB8-E9C0-4C07-B2AB-CC546FFD282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5BBA544-7B9F-424E-A6A7-853AE1D4433F}">
  <ds:schemaRefs>
    <ds:schemaRef ds:uri="http://schemas.microsoft.com/sharepoint/v3/contenttype/forms"/>
  </ds:schemaRefs>
</ds:datastoreItem>
</file>

<file path=customXml/itemProps4.xml><?xml version="1.0" encoding="utf-8"?>
<ds:datastoreItem xmlns:ds="http://schemas.openxmlformats.org/officeDocument/2006/customXml" ds:itemID="{BA48E44C-E643-4486-8D6F-955A49B58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Minnesota Quarterly Export Statistics, 3rd Quarter 2024</vt:lpstr>
    </vt:vector>
  </TitlesOfParts>
  <Company>MN DEED</Company>
  <LinksUpToDate>false</LinksUpToDate>
  <CharactersWithSpaces>4753</CharactersWithSpaces>
  <SharedDoc>false</SharedDoc>
  <HLinks>
    <vt:vector size="12" baseType="variant">
      <vt:variant>
        <vt:i4>6488181</vt:i4>
      </vt:variant>
      <vt:variant>
        <vt:i4>9</vt:i4>
      </vt:variant>
      <vt:variant>
        <vt:i4>0</vt:i4>
      </vt:variant>
      <vt:variant>
        <vt:i4>5</vt:i4>
      </vt:variant>
      <vt:variant>
        <vt:lpwstr>http://www.deed.state.mn.us/facts/manufacturing.htm</vt:lpwstr>
      </vt:variant>
      <vt:variant>
        <vt:lpwstr/>
      </vt:variant>
      <vt:variant>
        <vt:i4>3211383</vt:i4>
      </vt:variant>
      <vt:variant>
        <vt:i4>6</vt:i4>
      </vt:variant>
      <vt:variant>
        <vt:i4>0</vt:i4>
      </vt:variant>
      <vt:variant>
        <vt:i4>5</vt:i4>
      </vt:variant>
      <vt:variant>
        <vt:lpwstr>http://www.exportminnesota.com/itradestats.htm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Quarterly Export Statistics, 3rd Quarter 2024</dc:title>
  <dc:subject>Minnesota Quarterly Export Statistics</dc:subject>
  <dc:creator>Economic Analysis Unit (T. Ho-Kim)</dc:creator>
  <dc:description>3rd Quarter 2024_x000d_
(publ Dec 2024)</dc:description>
  <cp:lastModifiedBy>Caldwell, Samantha (She/Her/Hers) (DEED)</cp:lastModifiedBy>
  <cp:revision>2</cp:revision>
  <cp:lastPrinted>2021-02-10T19:09:00Z</cp:lastPrinted>
  <dcterms:created xsi:type="dcterms:W3CDTF">2024-12-23T18:32:00Z</dcterms:created>
  <dcterms:modified xsi:type="dcterms:W3CDTF">2024-12-23T18:32:00Z</dcterms:modified>
</cp:coreProperties>
</file>