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21" w:rsidRPr="00E02EAD" w:rsidRDefault="00567C56" w:rsidP="00B920C7">
      <w:pPr>
        <w:pStyle w:val="BTitle"/>
        <w:spacing w:before="360"/>
        <w:contextualSpacing w:val="0"/>
        <w:rPr>
          <w:rFonts w:asciiTheme="minorHAnsi" w:hAnsiTheme="minorHAnsi"/>
        </w:rPr>
      </w:pPr>
      <w:r w:rsidRPr="00E02EAD">
        <w:rPr>
          <w:rFonts w:asciiTheme="minorHAnsi" w:hAnsiTheme="minorHAnsi"/>
        </w:rPr>
        <w:t>G</w:t>
      </w:r>
      <w:r w:rsidR="0085072B" w:rsidRPr="00E02EAD">
        <w:rPr>
          <w:rFonts w:asciiTheme="minorHAnsi" w:hAnsiTheme="minorHAnsi"/>
        </w:rPr>
        <w:t>WDB Quarterly</w:t>
      </w:r>
      <w:r w:rsidR="00C87FDF" w:rsidRPr="00E02EAD">
        <w:rPr>
          <w:rFonts w:asciiTheme="minorHAnsi" w:hAnsiTheme="minorHAnsi"/>
        </w:rPr>
        <w:t xml:space="preserve"> </w:t>
      </w:r>
      <w:r w:rsidR="006B4121" w:rsidRPr="00E02EAD">
        <w:rPr>
          <w:rFonts w:asciiTheme="minorHAnsi" w:hAnsiTheme="minorHAnsi"/>
        </w:rPr>
        <w:t>Meeting</w:t>
      </w:r>
    </w:p>
    <w:p w:rsidR="006B4121" w:rsidRPr="00E02EAD" w:rsidRDefault="00BD7D58" w:rsidP="006B4121">
      <w:pPr>
        <w:pStyle w:val="NoteHeading"/>
        <w:rPr>
          <w:rFonts w:asciiTheme="minorHAnsi" w:hAnsiTheme="minorHAnsi"/>
        </w:rPr>
      </w:pPr>
      <w:r w:rsidRPr="00E02EAD">
        <w:rPr>
          <w:rFonts w:asciiTheme="minorHAnsi" w:hAnsiTheme="minorHAnsi"/>
        </w:rPr>
        <w:t>March 4, 2020</w:t>
      </w:r>
    </w:p>
    <w:p w:rsidR="006B4121" w:rsidRPr="00E02EAD" w:rsidRDefault="002E2E8C" w:rsidP="00CC1867">
      <w:pPr>
        <w:pStyle w:val="NoteHeading"/>
        <w:rPr>
          <w:rFonts w:asciiTheme="minorHAnsi" w:hAnsiTheme="minorHAnsi"/>
        </w:rPr>
      </w:pPr>
      <w:r w:rsidRPr="00E02EAD">
        <w:rPr>
          <w:rFonts w:asciiTheme="minorHAnsi" w:hAnsiTheme="minorHAnsi"/>
        </w:rPr>
        <w:t>1</w:t>
      </w:r>
      <w:r w:rsidR="00C87FDF" w:rsidRPr="00E02EAD">
        <w:rPr>
          <w:rFonts w:asciiTheme="minorHAnsi" w:hAnsiTheme="minorHAnsi"/>
        </w:rPr>
        <w:t>0</w:t>
      </w:r>
      <w:r w:rsidR="006B4121" w:rsidRPr="00E02EAD">
        <w:rPr>
          <w:rFonts w:asciiTheme="minorHAnsi" w:hAnsiTheme="minorHAnsi"/>
        </w:rPr>
        <w:t>:</w:t>
      </w:r>
      <w:r w:rsidR="000E70C7" w:rsidRPr="00E02EAD">
        <w:rPr>
          <w:rFonts w:asciiTheme="minorHAnsi" w:hAnsiTheme="minorHAnsi"/>
        </w:rPr>
        <w:t>0</w:t>
      </w:r>
      <w:r w:rsidR="0031546B" w:rsidRPr="00E02EAD">
        <w:rPr>
          <w:rFonts w:asciiTheme="minorHAnsi" w:hAnsiTheme="minorHAnsi"/>
        </w:rPr>
        <w:t xml:space="preserve">0 </w:t>
      </w:r>
      <w:r w:rsidR="00C87FDF" w:rsidRPr="00E02EAD">
        <w:rPr>
          <w:rFonts w:asciiTheme="minorHAnsi" w:hAnsiTheme="minorHAnsi"/>
        </w:rPr>
        <w:t xml:space="preserve">a.m. </w:t>
      </w:r>
      <w:r w:rsidR="0031546B" w:rsidRPr="00E02EAD">
        <w:rPr>
          <w:rFonts w:asciiTheme="minorHAnsi" w:hAnsiTheme="minorHAnsi"/>
        </w:rPr>
        <w:t xml:space="preserve">to </w:t>
      </w:r>
      <w:r w:rsidR="00C87FDF" w:rsidRPr="00E02EAD">
        <w:rPr>
          <w:rFonts w:asciiTheme="minorHAnsi" w:hAnsiTheme="minorHAnsi"/>
        </w:rPr>
        <w:t>2</w:t>
      </w:r>
      <w:r w:rsidR="0031546B" w:rsidRPr="00E02EAD">
        <w:rPr>
          <w:rFonts w:asciiTheme="minorHAnsi" w:hAnsiTheme="minorHAnsi"/>
        </w:rPr>
        <w:t>:</w:t>
      </w:r>
      <w:r w:rsidRPr="00E02EAD">
        <w:rPr>
          <w:rFonts w:asciiTheme="minorHAnsi" w:hAnsiTheme="minorHAnsi"/>
        </w:rPr>
        <w:t>0</w:t>
      </w:r>
      <w:r w:rsidR="006B4121" w:rsidRPr="00E02EAD">
        <w:rPr>
          <w:rFonts w:asciiTheme="minorHAnsi" w:hAnsiTheme="minorHAnsi"/>
        </w:rPr>
        <w:t>0 p.m.</w:t>
      </w:r>
    </w:p>
    <w:p w:rsidR="00BD7D58" w:rsidRPr="00E02EAD" w:rsidRDefault="00BD7D58" w:rsidP="00BD7D58">
      <w:pPr>
        <w:pStyle w:val="NoteHeading"/>
        <w:rPr>
          <w:rFonts w:asciiTheme="minorHAnsi" w:hAnsiTheme="minorHAnsi"/>
        </w:rPr>
      </w:pPr>
      <w:r w:rsidRPr="00E02EAD">
        <w:rPr>
          <w:rFonts w:asciiTheme="minorHAnsi" w:hAnsiTheme="minorHAnsi"/>
        </w:rPr>
        <w:t>Minnesota Valley Country Club</w:t>
      </w:r>
    </w:p>
    <w:p w:rsidR="00BD7D58" w:rsidRPr="00E02EAD" w:rsidRDefault="00BD7D58" w:rsidP="00BD7D58">
      <w:pPr>
        <w:pStyle w:val="NoteHeading"/>
        <w:rPr>
          <w:rFonts w:asciiTheme="minorHAnsi" w:hAnsiTheme="minorHAnsi"/>
        </w:rPr>
      </w:pPr>
      <w:r w:rsidRPr="00E02EAD">
        <w:rPr>
          <w:rFonts w:asciiTheme="minorHAnsi" w:hAnsiTheme="minorHAnsi"/>
        </w:rPr>
        <w:t>6300 Auto Club Road</w:t>
      </w:r>
    </w:p>
    <w:p w:rsidR="00BD7D58" w:rsidRPr="00E02EAD" w:rsidRDefault="00BD7D58" w:rsidP="00BD7D58">
      <w:pPr>
        <w:pStyle w:val="NoteHeading"/>
        <w:rPr>
          <w:rFonts w:asciiTheme="minorHAnsi" w:hAnsiTheme="minorHAnsi"/>
        </w:rPr>
      </w:pPr>
      <w:r w:rsidRPr="00E02EAD">
        <w:rPr>
          <w:rFonts w:asciiTheme="minorHAnsi" w:hAnsiTheme="minorHAnsi"/>
        </w:rPr>
        <w:t>Bloomington, Minnesota 55438</w:t>
      </w:r>
    </w:p>
    <w:p w:rsidR="00D00D2E" w:rsidRPr="00E02EAD" w:rsidRDefault="007F6B0C" w:rsidP="00BD7D58">
      <w:pPr>
        <w:pStyle w:val="NoteHeading"/>
        <w:rPr>
          <w:rFonts w:asciiTheme="minorHAnsi" w:hAnsiTheme="minorHAnsi"/>
        </w:rPr>
      </w:pPr>
      <w:r w:rsidRPr="00E02EAD">
        <w:rPr>
          <w:rFonts w:asciiTheme="minorHAnsi" w:hAnsiTheme="minorHAnsi"/>
        </w:rPr>
        <w:t xml:space="preserve"> </w:t>
      </w:r>
    </w:p>
    <w:p w:rsidR="00D00D2E" w:rsidRPr="00E02EAD" w:rsidRDefault="00BD7D58" w:rsidP="00E961E4">
      <w:pPr>
        <w:pStyle w:val="NoteHeading"/>
        <w:spacing w:line="276" w:lineRule="auto"/>
        <w:ind w:left="360"/>
        <w:jc w:val="left"/>
        <w:rPr>
          <w:rFonts w:asciiTheme="minorHAnsi" w:hAnsiTheme="minorHAnsi"/>
          <w:i/>
        </w:rPr>
      </w:pPr>
      <w:r w:rsidRPr="00E02EAD">
        <w:rPr>
          <w:rFonts w:asciiTheme="minorHAnsi" w:hAnsiTheme="minorHAnsi"/>
          <w:b/>
          <w:i/>
        </w:rPr>
        <w:t xml:space="preserve">2016-2020 </w:t>
      </w:r>
      <w:r w:rsidR="007D0C22" w:rsidRPr="00E02EAD">
        <w:rPr>
          <w:rFonts w:asciiTheme="minorHAnsi" w:hAnsiTheme="minorHAnsi"/>
          <w:b/>
          <w:i/>
        </w:rPr>
        <w:t xml:space="preserve">State Plan </w:t>
      </w:r>
      <w:r w:rsidR="00D00D2E" w:rsidRPr="00E02EAD">
        <w:rPr>
          <w:rFonts w:asciiTheme="minorHAnsi" w:hAnsiTheme="minorHAnsi"/>
          <w:b/>
          <w:i/>
        </w:rPr>
        <w:t xml:space="preserve">Vision: </w:t>
      </w:r>
      <w:r w:rsidR="00D00D2E" w:rsidRPr="00E02EAD">
        <w:rPr>
          <w:rFonts w:asciiTheme="minorHAnsi" w:hAnsiTheme="minorHAnsi"/>
          <w:i/>
        </w:rPr>
        <w:t>To have a healthy economy where all Minnesotans have – or are on a path to – meaningful employment and a family sustaining wage, and where all employers are able to fill jobs in demand.</w:t>
      </w:r>
    </w:p>
    <w:p w:rsidR="00D00D2E" w:rsidRPr="00E02EAD" w:rsidRDefault="00D00D2E" w:rsidP="00E961E4">
      <w:pPr>
        <w:spacing w:line="276" w:lineRule="auto"/>
        <w:ind w:left="360"/>
        <w:rPr>
          <w:rFonts w:asciiTheme="minorHAnsi" w:hAnsiTheme="minorHAnsi"/>
          <w:b/>
          <w:i/>
        </w:rPr>
      </w:pPr>
    </w:p>
    <w:p w:rsidR="00D00D2E" w:rsidRPr="00E02EAD" w:rsidRDefault="00BD7D58" w:rsidP="00E961E4">
      <w:pPr>
        <w:spacing w:line="276" w:lineRule="auto"/>
        <w:ind w:left="360"/>
        <w:rPr>
          <w:rFonts w:asciiTheme="minorHAnsi" w:hAnsiTheme="minorHAnsi"/>
          <w:b/>
          <w:i/>
        </w:rPr>
      </w:pPr>
      <w:r w:rsidRPr="00E02EAD">
        <w:rPr>
          <w:rFonts w:asciiTheme="minorHAnsi" w:hAnsiTheme="minorHAnsi"/>
          <w:b/>
          <w:i/>
        </w:rPr>
        <w:t xml:space="preserve">2016-2020 </w:t>
      </w:r>
      <w:r w:rsidR="007D0C22" w:rsidRPr="00E02EAD">
        <w:rPr>
          <w:rFonts w:asciiTheme="minorHAnsi" w:hAnsiTheme="minorHAnsi"/>
          <w:b/>
          <w:i/>
        </w:rPr>
        <w:t>State Plan</w:t>
      </w:r>
      <w:r w:rsidR="00D00D2E" w:rsidRPr="00E02EAD">
        <w:rPr>
          <w:rFonts w:asciiTheme="minorHAnsi" w:hAnsiTheme="minorHAnsi"/>
          <w:b/>
          <w:i/>
        </w:rPr>
        <w:t xml:space="preserve"> Goals: </w:t>
      </w:r>
    </w:p>
    <w:p w:rsidR="00D00D2E" w:rsidRPr="00E02EAD" w:rsidRDefault="00D00D2E" w:rsidP="00E961E4">
      <w:pPr>
        <w:pStyle w:val="ListParagraph"/>
        <w:numPr>
          <w:ilvl w:val="0"/>
          <w:numId w:val="15"/>
        </w:numPr>
        <w:spacing w:line="276" w:lineRule="auto"/>
        <w:ind w:left="720"/>
        <w:rPr>
          <w:rFonts w:asciiTheme="minorHAnsi" w:hAnsiTheme="minorHAnsi"/>
          <w:i/>
        </w:rPr>
      </w:pPr>
      <w:r w:rsidRPr="00E02EAD">
        <w:rPr>
          <w:rFonts w:asciiTheme="minorHAnsi" w:hAnsiTheme="minorHAnsi"/>
          <w:i/>
        </w:rPr>
        <w:t>To reduce educational, skills training, and employment disparities based on race, disability, disconnected youth or gender to provide greater opportunity for all Minnesotans.</w:t>
      </w:r>
    </w:p>
    <w:p w:rsidR="00F550FE" w:rsidRPr="00E02EAD" w:rsidRDefault="00F550FE" w:rsidP="00E961E4">
      <w:pPr>
        <w:tabs>
          <w:tab w:val="left" w:pos="1785"/>
        </w:tabs>
        <w:spacing w:line="276" w:lineRule="auto"/>
        <w:ind w:left="360"/>
        <w:rPr>
          <w:rFonts w:asciiTheme="minorHAnsi" w:hAnsiTheme="minorHAnsi"/>
          <w:i/>
          <w:sz w:val="8"/>
          <w:szCs w:val="8"/>
        </w:rPr>
      </w:pPr>
      <w:r w:rsidRPr="00E02EAD">
        <w:rPr>
          <w:rFonts w:asciiTheme="minorHAnsi" w:hAnsiTheme="minorHAnsi"/>
          <w:i/>
          <w:sz w:val="8"/>
          <w:szCs w:val="8"/>
        </w:rPr>
        <w:tab/>
      </w:r>
    </w:p>
    <w:p w:rsidR="00D00D2E" w:rsidRPr="00E02EAD" w:rsidRDefault="00D00D2E" w:rsidP="00E961E4">
      <w:pPr>
        <w:pStyle w:val="ListParagraph"/>
        <w:numPr>
          <w:ilvl w:val="0"/>
          <w:numId w:val="15"/>
        </w:numPr>
        <w:spacing w:line="276" w:lineRule="auto"/>
        <w:ind w:left="720"/>
        <w:rPr>
          <w:rFonts w:asciiTheme="minorHAnsi" w:hAnsiTheme="minorHAnsi"/>
        </w:rPr>
      </w:pPr>
      <w:r w:rsidRPr="00E02EAD">
        <w:rPr>
          <w:rFonts w:asciiTheme="minorHAnsi" w:hAnsiTheme="minorHAnsi"/>
          <w:i/>
        </w:rPr>
        <w:t>To build employer-led industry sector partnerships that expand the talent pipeline to be inclusive of gender, race, and disability to meet industry demand for a skilled workforce.</w:t>
      </w:r>
    </w:p>
    <w:p w:rsidR="00F550FE" w:rsidRPr="00E02EAD" w:rsidRDefault="00F550FE" w:rsidP="00F550FE">
      <w:pPr>
        <w:rPr>
          <w:rFonts w:asciiTheme="minorHAnsi" w:hAnsiTheme="minorHAnsi"/>
        </w:rPr>
      </w:pPr>
    </w:p>
    <w:p w:rsidR="005D7A5D" w:rsidRPr="00E02EAD" w:rsidRDefault="006B4121" w:rsidP="00F550FE">
      <w:pPr>
        <w:pStyle w:val="Heading1"/>
        <w:spacing w:before="240" w:after="240"/>
        <w:jc w:val="center"/>
        <w:rPr>
          <w:rFonts w:asciiTheme="minorHAnsi" w:hAnsiTheme="minorHAnsi"/>
          <w:sz w:val="28"/>
          <w:szCs w:val="28"/>
        </w:rPr>
      </w:pPr>
      <w:r w:rsidRPr="00E02EAD">
        <w:rPr>
          <w:rFonts w:asciiTheme="minorHAnsi" w:hAnsiTheme="minorHAnsi"/>
          <w:sz w:val="28"/>
          <w:szCs w:val="28"/>
        </w:rPr>
        <w:t>Agenda</w:t>
      </w:r>
    </w:p>
    <w:tbl>
      <w:tblPr>
        <w:tblStyle w:val="TableGrid"/>
        <w:tblW w:w="118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45"/>
        <w:gridCol w:w="6300"/>
        <w:gridCol w:w="4230"/>
      </w:tblGrid>
      <w:tr w:rsidR="00581CBF" w:rsidRPr="00E02EAD" w:rsidTr="00631D4E">
        <w:trPr>
          <w:trHeight w:val="288"/>
          <w:tblHeader/>
        </w:trPr>
        <w:tc>
          <w:tcPr>
            <w:tcW w:w="1345" w:type="dxa"/>
            <w:noWrap/>
            <w:hideMark/>
          </w:tcPr>
          <w:p w:rsidR="00581CBF" w:rsidRPr="00E02EAD" w:rsidRDefault="00E961E4">
            <w:pPr>
              <w:rPr>
                <w:rStyle w:val="Strong"/>
                <w:rFonts w:asciiTheme="minorHAnsi" w:hAnsiTheme="minorHAnsi"/>
              </w:rPr>
            </w:pPr>
            <w:r w:rsidRPr="00E02EAD">
              <w:rPr>
                <w:rStyle w:val="Strong"/>
                <w:rFonts w:asciiTheme="minorHAnsi" w:hAnsiTheme="minorHAnsi"/>
              </w:rPr>
              <w:t>Time</w:t>
            </w:r>
          </w:p>
        </w:tc>
        <w:tc>
          <w:tcPr>
            <w:tcW w:w="6300" w:type="dxa"/>
            <w:noWrap/>
            <w:hideMark/>
          </w:tcPr>
          <w:p w:rsidR="00581CBF" w:rsidRPr="00E02EAD" w:rsidRDefault="00E961E4" w:rsidP="00E961E4">
            <w:pPr>
              <w:rPr>
                <w:rStyle w:val="Strong"/>
                <w:rFonts w:asciiTheme="minorHAnsi" w:hAnsiTheme="minorHAnsi"/>
              </w:rPr>
            </w:pPr>
            <w:r w:rsidRPr="00E02EAD">
              <w:rPr>
                <w:rStyle w:val="Strong"/>
                <w:rFonts w:asciiTheme="minorHAnsi" w:hAnsiTheme="minorHAnsi"/>
              </w:rPr>
              <w:t>Item</w:t>
            </w:r>
          </w:p>
        </w:tc>
        <w:tc>
          <w:tcPr>
            <w:tcW w:w="4230" w:type="dxa"/>
            <w:noWrap/>
          </w:tcPr>
          <w:p w:rsidR="00581CBF" w:rsidRPr="00E02EAD" w:rsidRDefault="00581CBF">
            <w:pPr>
              <w:rPr>
                <w:rStyle w:val="Strong"/>
                <w:rFonts w:asciiTheme="minorHAnsi" w:hAnsiTheme="minorHAnsi"/>
              </w:rPr>
            </w:pPr>
          </w:p>
        </w:tc>
      </w:tr>
      <w:tr w:rsidR="00581CBF" w:rsidRPr="00E02EAD" w:rsidTr="007637F2">
        <w:trPr>
          <w:trHeight w:val="1889"/>
        </w:trPr>
        <w:tc>
          <w:tcPr>
            <w:tcW w:w="1345" w:type="dxa"/>
            <w:noWrap/>
            <w:hideMark/>
          </w:tcPr>
          <w:p w:rsidR="00F550FE" w:rsidRPr="00E02EAD" w:rsidRDefault="00F550FE" w:rsidP="00C87FDF">
            <w:pPr>
              <w:rPr>
                <w:rFonts w:asciiTheme="minorHAnsi" w:hAnsiTheme="minorHAnsi"/>
              </w:rPr>
            </w:pPr>
          </w:p>
          <w:p w:rsidR="00581CBF" w:rsidRPr="00E02EAD" w:rsidRDefault="002E2E8C" w:rsidP="00C87FDF">
            <w:pPr>
              <w:rPr>
                <w:rFonts w:asciiTheme="minorHAnsi" w:hAnsiTheme="minorHAnsi"/>
              </w:rPr>
            </w:pPr>
            <w:r w:rsidRPr="00E02EAD">
              <w:rPr>
                <w:rFonts w:asciiTheme="minorHAnsi" w:hAnsiTheme="minorHAnsi"/>
              </w:rPr>
              <w:t>1</w:t>
            </w:r>
            <w:r w:rsidR="00C87FDF" w:rsidRPr="00E02EAD">
              <w:rPr>
                <w:rFonts w:asciiTheme="minorHAnsi" w:hAnsiTheme="minorHAnsi"/>
              </w:rPr>
              <w:t>0</w:t>
            </w:r>
            <w:r w:rsidR="00581CBF" w:rsidRPr="00E02EAD">
              <w:rPr>
                <w:rFonts w:asciiTheme="minorHAnsi" w:hAnsiTheme="minorHAnsi"/>
              </w:rPr>
              <w:t>:</w:t>
            </w:r>
            <w:r w:rsidR="000E70C7" w:rsidRPr="00E02EAD">
              <w:rPr>
                <w:rFonts w:asciiTheme="minorHAnsi" w:hAnsiTheme="minorHAnsi"/>
              </w:rPr>
              <w:t>0</w:t>
            </w:r>
            <w:r w:rsidRPr="00E02EAD">
              <w:rPr>
                <w:rFonts w:asciiTheme="minorHAnsi" w:hAnsiTheme="minorHAnsi"/>
              </w:rPr>
              <w:t xml:space="preserve">0 </w:t>
            </w:r>
            <w:r w:rsidR="00C87FDF" w:rsidRPr="00E02EAD">
              <w:rPr>
                <w:rFonts w:asciiTheme="minorHAnsi" w:hAnsiTheme="minorHAnsi"/>
              </w:rPr>
              <w:t>a</w:t>
            </w:r>
            <w:r w:rsidR="00581CBF" w:rsidRPr="00E02EAD">
              <w:rPr>
                <w:rFonts w:asciiTheme="minorHAnsi" w:hAnsiTheme="minorHAnsi"/>
              </w:rPr>
              <w:t>.m.</w:t>
            </w:r>
          </w:p>
        </w:tc>
        <w:tc>
          <w:tcPr>
            <w:tcW w:w="6300" w:type="dxa"/>
            <w:noWrap/>
            <w:hideMark/>
          </w:tcPr>
          <w:p w:rsidR="00F550FE" w:rsidRPr="00E02EAD" w:rsidRDefault="00F550FE">
            <w:pPr>
              <w:rPr>
                <w:rFonts w:asciiTheme="minorHAnsi" w:hAnsiTheme="minorHAnsi"/>
                <w:b/>
              </w:rPr>
            </w:pPr>
          </w:p>
          <w:p w:rsidR="007820F5" w:rsidRPr="00E02EAD" w:rsidRDefault="007820F5">
            <w:pPr>
              <w:rPr>
                <w:rFonts w:asciiTheme="minorHAnsi" w:hAnsiTheme="minorHAnsi"/>
                <w:b/>
              </w:rPr>
            </w:pPr>
            <w:r w:rsidRPr="00E02EAD">
              <w:rPr>
                <w:rFonts w:asciiTheme="minorHAnsi" w:hAnsiTheme="minorHAnsi"/>
                <w:b/>
              </w:rPr>
              <w:t xml:space="preserve">Welcome </w:t>
            </w:r>
            <w:r w:rsidR="00326FBE" w:rsidRPr="00E02EAD">
              <w:rPr>
                <w:rFonts w:asciiTheme="minorHAnsi" w:hAnsiTheme="minorHAnsi"/>
                <w:b/>
              </w:rPr>
              <w:t>and Board Business</w:t>
            </w:r>
          </w:p>
          <w:p w:rsidR="00D16E2E" w:rsidRPr="00E02EAD" w:rsidRDefault="002E2E8C">
            <w:pPr>
              <w:rPr>
                <w:rFonts w:asciiTheme="minorHAnsi" w:hAnsiTheme="minorHAnsi"/>
              </w:rPr>
            </w:pPr>
            <w:r w:rsidRPr="00E02EAD">
              <w:rPr>
                <w:rFonts w:asciiTheme="minorHAnsi" w:hAnsiTheme="minorHAnsi"/>
              </w:rPr>
              <w:t>Introductions</w:t>
            </w:r>
            <w:r w:rsidR="00B43DBC" w:rsidRPr="00E02EAD">
              <w:rPr>
                <w:rFonts w:asciiTheme="minorHAnsi" w:hAnsiTheme="minorHAnsi"/>
              </w:rPr>
              <w:t xml:space="preserve"> of GWDB members and guests</w:t>
            </w:r>
          </w:p>
          <w:p w:rsidR="00BD7D58" w:rsidRPr="00E02EAD" w:rsidRDefault="00E961E4" w:rsidP="00E961E4">
            <w:pPr>
              <w:ind w:left="360"/>
              <w:rPr>
                <w:rFonts w:asciiTheme="minorHAnsi" w:hAnsiTheme="minorHAnsi"/>
              </w:rPr>
            </w:pPr>
            <w:r w:rsidRPr="00E02EAD">
              <w:rPr>
                <w:rFonts w:asciiTheme="minorHAnsi" w:hAnsiTheme="minorHAnsi"/>
              </w:rPr>
              <w:t>-Name</w:t>
            </w:r>
          </w:p>
          <w:p w:rsidR="00BD7D58" w:rsidRPr="00E02EAD" w:rsidRDefault="00E961E4" w:rsidP="00E961E4">
            <w:pPr>
              <w:ind w:left="360"/>
              <w:rPr>
                <w:rFonts w:asciiTheme="minorHAnsi" w:hAnsiTheme="minorHAnsi"/>
              </w:rPr>
            </w:pPr>
            <w:r w:rsidRPr="00E02EAD">
              <w:rPr>
                <w:rFonts w:asciiTheme="minorHAnsi" w:hAnsiTheme="minorHAnsi"/>
              </w:rPr>
              <w:t>-</w:t>
            </w:r>
            <w:r w:rsidR="00BD7D58" w:rsidRPr="00E02EAD">
              <w:rPr>
                <w:rFonts w:asciiTheme="minorHAnsi" w:hAnsiTheme="minorHAnsi"/>
              </w:rPr>
              <w:t>Voting Member, Non-Vo</w:t>
            </w:r>
            <w:r w:rsidRPr="00E02EAD">
              <w:rPr>
                <w:rFonts w:asciiTheme="minorHAnsi" w:hAnsiTheme="minorHAnsi"/>
              </w:rPr>
              <w:t>ting Member, Designee, or Guest</w:t>
            </w:r>
          </w:p>
          <w:p w:rsidR="00BD7D58" w:rsidRPr="00E02EAD" w:rsidRDefault="00E961E4" w:rsidP="00E961E4">
            <w:pPr>
              <w:ind w:left="360"/>
              <w:rPr>
                <w:rFonts w:asciiTheme="minorHAnsi" w:hAnsiTheme="minorHAnsi"/>
              </w:rPr>
            </w:pPr>
            <w:r w:rsidRPr="00E02EAD">
              <w:rPr>
                <w:rFonts w:asciiTheme="minorHAnsi" w:hAnsiTheme="minorHAnsi"/>
              </w:rPr>
              <w:t>-Business or Organization</w:t>
            </w:r>
          </w:p>
          <w:p w:rsidR="00D17ECC" w:rsidRPr="00E02EAD" w:rsidRDefault="00D17ECC" w:rsidP="00D17ECC">
            <w:pPr>
              <w:ind w:firstLine="720"/>
              <w:rPr>
                <w:rFonts w:asciiTheme="minorHAnsi" w:hAnsiTheme="minorHAnsi"/>
                <w:sz w:val="8"/>
                <w:szCs w:val="8"/>
              </w:rPr>
            </w:pPr>
          </w:p>
          <w:p w:rsidR="00BD7D58" w:rsidRPr="00E02EAD" w:rsidRDefault="004B5462">
            <w:pPr>
              <w:rPr>
                <w:rFonts w:asciiTheme="minorHAnsi" w:hAnsiTheme="minorHAnsi"/>
              </w:rPr>
            </w:pPr>
            <w:r w:rsidRPr="00E02EAD">
              <w:rPr>
                <w:rFonts w:asciiTheme="minorHAnsi" w:hAnsiTheme="minorHAnsi"/>
              </w:rPr>
              <w:t>Chair</w:t>
            </w:r>
            <w:r w:rsidR="00AD2624" w:rsidRPr="00E02EAD">
              <w:rPr>
                <w:rFonts w:asciiTheme="minorHAnsi" w:hAnsiTheme="minorHAnsi"/>
              </w:rPr>
              <w:t xml:space="preserve"> Report</w:t>
            </w:r>
          </w:p>
          <w:p w:rsidR="00D17ECC" w:rsidRPr="00E02EAD" w:rsidRDefault="00D17ECC" w:rsidP="00D17ECC">
            <w:pPr>
              <w:ind w:firstLine="720"/>
              <w:rPr>
                <w:rFonts w:asciiTheme="minorHAnsi" w:hAnsiTheme="minorHAnsi"/>
                <w:b/>
                <w:sz w:val="8"/>
                <w:szCs w:val="8"/>
              </w:rPr>
            </w:pPr>
          </w:p>
          <w:p w:rsidR="00AF55AA" w:rsidRPr="00E02EAD" w:rsidRDefault="00AF55AA">
            <w:pPr>
              <w:rPr>
                <w:rFonts w:asciiTheme="minorHAnsi" w:hAnsiTheme="minorHAnsi"/>
                <w:b/>
                <w:i/>
              </w:rPr>
            </w:pPr>
            <w:r w:rsidRPr="00E02EAD">
              <w:rPr>
                <w:rFonts w:asciiTheme="minorHAnsi" w:hAnsiTheme="minorHAnsi"/>
                <w:b/>
                <w:i/>
              </w:rPr>
              <w:t xml:space="preserve">Action Item: </w:t>
            </w:r>
            <w:r w:rsidRPr="00E02EAD">
              <w:rPr>
                <w:rFonts w:asciiTheme="minorHAnsi" w:hAnsiTheme="minorHAnsi"/>
                <w:i/>
              </w:rPr>
              <w:t>Approval of Chair Report</w:t>
            </w:r>
          </w:p>
          <w:p w:rsidR="009E732D" w:rsidRPr="00E02EAD" w:rsidRDefault="00AF55AA">
            <w:pPr>
              <w:rPr>
                <w:rFonts w:asciiTheme="minorHAnsi" w:hAnsiTheme="minorHAnsi"/>
                <w:i/>
              </w:rPr>
            </w:pPr>
            <w:r w:rsidRPr="00E02EAD">
              <w:rPr>
                <w:rFonts w:asciiTheme="minorHAnsi" w:hAnsiTheme="minorHAnsi"/>
                <w:b/>
                <w:i/>
              </w:rPr>
              <w:t>Action Item</w:t>
            </w:r>
            <w:r w:rsidRPr="00E02EAD">
              <w:rPr>
                <w:rFonts w:asciiTheme="minorHAnsi" w:hAnsiTheme="minorHAnsi"/>
                <w:i/>
              </w:rPr>
              <w:t xml:space="preserve">: Approval of Minutes from </w:t>
            </w:r>
            <w:r w:rsidR="00BD7D58" w:rsidRPr="00E02EAD">
              <w:rPr>
                <w:rFonts w:asciiTheme="minorHAnsi" w:hAnsiTheme="minorHAnsi"/>
                <w:i/>
              </w:rPr>
              <w:t>December 11</w:t>
            </w:r>
            <w:r w:rsidRPr="00E02EAD">
              <w:rPr>
                <w:rFonts w:asciiTheme="minorHAnsi" w:hAnsiTheme="minorHAnsi"/>
                <w:i/>
              </w:rPr>
              <w:t xml:space="preserve"> Meeting</w:t>
            </w:r>
          </w:p>
          <w:p w:rsidR="00BD7D58" w:rsidRPr="00E02EAD" w:rsidRDefault="00BD7D58">
            <w:pPr>
              <w:rPr>
                <w:rFonts w:asciiTheme="minorHAnsi" w:hAnsiTheme="minorHAnsi"/>
                <w:b/>
              </w:rPr>
            </w:pPr>
          </w:p>
          <w:p w:rsidR="000052CA" w:rsidRPr="00E02EAD" w:rsidRDefault="000052CA" w:rsidP="00BD7D58">
            <w:pPr>
              <w:rPr>
                <w:rFonts w:asciiTheme="minorHAnsi" w:hAnsiTheme="minorHAnsi"/>
              </w:rPr>
            </w:pPr>
          </w:p>
        </w:tc>
        <w:tc>
          <w:tcPr>
            <w:tcW w:w="4230" w:type="dxa"/>
            <w:noWrap/>
          </w:tcPr>
          <w:p w:rsidR="00F550FE" w:rsidRPr="00E02EAD" w:rsidRDefault="00F550FE" w:rsidP="00FF308C">
            <w:pPr>
              <w:rPr>
                <w:rFonts w:asciiTheme="minorHAnsi" w:hAnsiTheme="minorHAnsi"/>
                <w:b/>
              </w:rPr>
            </w:pPr>
          </w:p>
          <w:p w:rsidR="007820F5" w:rsidRPr="00E02EAD" w:rsidRDefault="006763E3" w:rsidP="00FF308C">
            <w:pPr>
              <w:rPr>
                <w:rFonts w:asciiTheme="minorHAnsi" w:hAnsiTheme="minorHAnsi"/>
                <w:b/>
              </w:rPr>
            </w:pPr>
            <w:r w:rsidRPr="00E02EAD">
              <w:rPr>
                <w:rFonts w:asciiTheme="minorHAnsi" w:hAnsiTheme="minorHAnsi"/>
                <w:b/>
              </w:rPr>
              <w:t xml:space="preserve">GWDB </w:t>
            </w:r>
            <w:r w:rsidR="00AF55AA" w:rsidRPr="00E02EAD">
              <w:rPr>
                <w:rFonts w:asciiTheme="minorHAnsi" w:hAnsiTheme="minorHAnsi"/>
                <w:b/>
              </w:rPr>
              <w:t>Chair Laura Beeth</w:t>
            </w:r>
          </w:p>
        </w:tc>
      </w:tr>
      <w:tr w:rsidR="00581CBF" w:rsidRPr="00E02EAD" w:rsidTr="00F550FE">
        <w:trPr>
          <w:trHeight w:val="504"/>
        </w:trPr>
        <w:tc>
          <w:tcPr>
            <w:tcW w:w="1345" w:type="dxa"/>
            <w:noWrap/>
          </w:tcPr>
          <w:p w:rsidR="00581CBF" w:rsidRPr="00E02EAD" w:rsidRDefault="00D17ECC" w:rsidP="007820F5">
            <w:pPr>
              <w:rPr>
                <w:rFonts w:asciiTheme="minorHAnsi" w:hAnsiTheme="minorHAnsi"/>
              </w:rPr>
            </w:pPr>
            <w:r w:rsidRPr="00E02EAD">
              <w:rPr>
                <w:rFonts w:asciiTheme="minorHAnsi" w:hAnsiTheme="minorHAnsi"/>
              </w:rPr>
              <w:t>10:25</w:t>
            </w:r>
            <w:r w:rsidR="007637F2" w:rsidRPr="00E02EAD">
              <w:rPr>
                <w:rFonts w:asciiTheme="minorHAnsi" w:hAnsiTheme="minorHAnsi"/>
              </w:rPr>
              <w:t xml:space="preserve"> a.m. </w:t>
            </w:r>
          </w:p>
        </w:tc>
        <w:tc>
          <w:tcPr>
            <w:tcW w:w="6300" w:type="dxa"/>
            <w:noWrap/>
          </w:tcPr>
          <w:p w:rsidR="00F550FE" w:rsidRPr="00E02EAD" w:rsidRDefault="00F550FE" w:rsidP="00F550FE">
            <w:pPr>
              <w:rPr>
                <w:rFonts w:asciiTheme="minorHAnsi" w:hAnsiTheme="minorHAnsi"/>
                <w:b/>
              </w:rPr>
            </w:pPr>
            <w:r w:rsidRPr="00E02EAD">
              <w:rPr>
                <w:rFonts w:asciiTheme="minorHAnsi" w:hAnsiTheme="minorHAnsi"/>
                <w:b/>
              </w:rPr>
              <w:t>Discussion</w:t>
            </w:r>
          </w:p>
          <w:p w:rsidR="00FA0E05" w:rsidRPr="00E02EAD" w:rsidRDefault="00F550FE" w:rsidP="008C324D">
            <w:pPr>
              <w:rPr>
                <w:rFonts w:asciiTheme="minorHAnsi" w:hAnsiTheme="minorHAnsi"/>
              </w:rPr>
            </w:pPr>
            <w:r w:rsidRPr="00E02EAD">
              <w:rPr>
                <w:rFonts w:asciiTheme="minorHAnsi" w:hAnsiTheme="minorHAnsi"/>
              </w:rPr>
              <w:t xml:space="preserve">Small group discussions </w:t>
            </w:r>
            <w:r w:rsidR="008C324D">
              <w:rPr>
                <w:rFonts w:asciiTheme="minorHAnsi" w:hAnsiTheme="minorHAnsi"/>
              </w:rPr>
              <w:t>on the topics of connecting work and efforts of workforce development with economic development, better supporting businesses through the work of the state, and sharing best practices related to retaining employees. After small group discussions, the group will do a report-out. Responses shared here or in writing will be used in drafting a memo for the Governor’s Office around these topics.</w:t>
            </w:r>
          </w:p>
        </w:tc>
        <w:tc>
          <w:tcPr>
            <w:tcW w:w="4230" w:type="dxa"/>
            <w:noWrap/>
          </w:tcPr>
          <w:p w:rsidR="00F550FE" w:rsidRPr="00E02EAD" w:rsidRDefault="00F550FE" w:rsidP="0085072B">
            <w:pPr>
              <w:rPr>
                <w:rFonts w:asciiTheme="minorHAnsi" w:hAnsiTheme="minorHAnsi"/>
                <w:b/>
              </w:rPr>
            </w:pPr>
            <w:r w:rsidRPr="00E02EAD">
              <w:rPr>
                <w:rFonts w:asciiTheme="minorHAnsi" w:hAnsiTheme="minorHAnsi"/>
                <w:b/>
              </w:rPr>
              <w:t xml:space="preserve">Deputy Commissioner </w:t>
            </w:r>
          </w:p>
          <w:p w:rsidR="00A12C60" w:rsidRPr="00E02EAD" w:rsidRDefault="00F550FE" w:rsidP="0085072B">
            <w:pPr>
              <w:rPr>
                <w:rFonts w:asciiTheme="minorHAnsi" w:hAnsiTheme="minorHAnsi"/>
              </w:rPr>
            </w:pPr>
            <w:r w:rsidRPr="00E02EAD">
              <w:rPr>
                <w:rFonts w:asciiTheme="minorHAnsi" w:hAnsiTheme="minorHAnsi"/>
                <w:b/>
              </w:rPr>
              <w:t>Kevin McKinnon, DEED</w:t>
            </w:r>
          </w:p>
        </w:tc>
      </w:tr>
      <w:tr w:rsidR="00EE64EA" w:rsidRPr="00E02EAD" w:rsidTr="00AF55FA">
        <w:trPr>
          <w:trHeight w:val="683"/>
        </w:trPr>
        <w:tc>
          <w:tcPr>
            <w:tcW w:w="1345" w:type="dxa"/>
            <w:noWrap/>
          </w:tcPr>
          <w:p w:rsidR="00F550FE" w:rsidRPr="00E02EAD" w:rsidRDefault="00F550FE" w:rsidP="00EE64EA">
            <w:pPr>
              <w:rPr>
                <w:rFonts w:asciiTheme="minorHAnsi" w:hAnsiTheme="minorHAnsi"/>
              </w:rPr>
            </w:pPr>
          </w:p>
          <w:p w:rsidR="00F550FE" w:rsidRPr="00E02EAD" w:rsidRDefault="00F550FE" w:rsidP="00EE64EA">
            <w:pPr>
              <w:rPr>
                <w:rFonts w:asciiTheme="minorHAnsi" w:hAnsiTheme="minorHAnsi"/>
              </w:rPr>
            </w:pPr>
          </w:p>
          <w:p w:rsidR="00EE64EA" w:rsidRPr="00E02EAD" w:rsidRDefault="00EE64EA" w:rsidP="00EE64EA">
            <w:pPr>
              <w:rPr>
                <w:rFonts w:asciiTheme="minorHAnsi" w:hAnsiTheme="minorHAnsi"/>
              </w:rPr>
            </w:pPr>
            <w:r w:rsidRPr="00E02EAD">
              <w:rPr>
                <w:rFonts w:asciiTheme="minorHAnsi" w:hAnsiTheme="minorHAnsi"/>
              </w:rPr>
              <w:lastRenderedPageBreak/>
              <w:t>11:</w:t>
            </w:r>
            <w:r w:rsidR="00F550FE" w:rsidRPr="00E02EAD">
              <w:rPr>
                <w:rFonts w:asciiTheme="minorHAnsi" w:hAnsiTheme="minorHAnsi"/>
              </w:rPr>
              <w:t>10</w:t>
            </w:r>
            <w:r w:rsidRPr="00E02EAD">
              <w:rPr>
                <w:rFonts w:asciiTheme="minorHAnsi" w:hAnsiTheme="minorHAnsi"/>
              </w:rPr>
              <w:t xml:space="preserve"> a.m.</w:t>
            </w:r>
          </w:p>
          <w:p w:rsidR="00A6097F" w:rsidRPr="00E02EAD" w:rsidRDefault="00A6097F" w:rsidP="00EE64EA">
            <w:pPr>
              <w:rPr>
                <w:rFonts w:asciiTheme="minorHAnsi" w:hAnsiTheme="minorHAnsi"/>
              </w:rPr>
            </w:pPr>
          </w:p>
          <w:p w:rsidR="00A6097F" w:rsidRPr="00E02EAD" w:rsidRDefault="00A6097F" w:rsidP="00EE64EA">
            <w:pPr>
              <w:rPr>
                <w:rFonts w:asciiTheme="minorHAnsi" w:hAnsiTheme="minorHAnsi"/>
              </w:rPr>
            </w:pPr>
          </w:p>
          <w:p w:rsidR="00A7655D" w:rsidRPr="00E02EAD" w:rsidRDefault="00A7655D" w:rsidP="00EE64EA">
            <w:pPr>
              <w:rPr>
                <w:rFonts w:asciiTheme="minorHAnsi" w:hAnsiTheme="minorHAnsi"/>
              </w:rPr>
            </w:pPr>
          </w:p>
          <w:p w:rsidR="002A5D2C" w:rsidRPr="00E02EAD" w:rsidRDefault="002A5D2C" w:rsidP="00EE64EA">
            <w:pPr>
              <w:rPr>
                <w:rFonts w:asciiTheme="minorHAnsi" w:hAnsiTheme="minorHAnsi"/>
              </w:rPr>
            </w:pPr>
            <w:r w:rsidRPr="00E02EAD">
              <w:rPr>
                <w:rFonts w:asciiTheme="minorHAnsi" w:hAnsiTheme="minorHAnsi"/>
              </w:rPr>
              <w:t>11:55 a.m.</w:t>
            </w:r>
          </w:p>
          <w:p w:rsidR="00A7655D" w:rsidRPr="00E02EAD" w:rsidRDefault="00A7655D" w:rsidP="00EE64EA">
            <w:pPr>
              <w:rPr>
                <w:rFonts w:asciiTheme="minorHAnsi" w:hAnsiTheme="minorHAnsi"/>
              </w:rPr>
            </w:pPr>
          </w:p>
          <w:p w:rsidR="00A6097F" w:rsidRPr="00E02EAD" w:rsidRDefault="002A5D2C" w:rsidP="00EE64EA">
            <w:pPr>
              <w:rPr>
                <w:rFonts w:asciiTheme="minorHAnsi" w:hAnsiTheme="minorHAnsi"/>
              </w:rPr>
            </w:pPr>
            <w:r w:rsidRPr="00E02EAD">
              <w:rPr>
                <w:rFonts w:asciiTheme="minorHAnsi" w:hAnsiTheme="minorHAnsi"/>
              </w:rPr>
              <w:t>12:40 p.m.</w:t>
            </w:r>
          </w:p>
        </w:tc>
        <w:tc>
          <w:tcPr>
            <w:tcW w:w="6300" w:type="dxa"/>
            <w:noWrap/>
          </w:tcPr>
          <w:p w:rsidR="00F550FE" w:rsidRPr="00E02EAD" w:rsidRDefault="00F550FE" w:rsidP="00F550FE">
            <w:pPr>
              <w:rPr>
                <w:rFonts w:asciiTheme="minorHAnsi" w:hAnsiTheme="minorHAnsi"/>
                <w:b/>
              </w:rPr>
            </w:pPr>
          </w:p>
          <w:p w:rsidR="00F550FE" w:rsidRPr="00E02EAD" w:rsidRDefault="00F550FE" w:rsidP="00F550FE">
            <w:pPr>
              <w:rPr>
                <w:rFonts w:asciiTheme="minorHAnsi" w:hAnsiTheme="minorHAnsi"/>
                <w:b/>
              </w:rPr>
            </w:pPr>
          </w:p>
          <w:p w:rsidR="00F550FE" w:rsidRPr="00E02EAD" w:rsidRDefault="00F550FE" w:rsidP="00F550FE">
            <w:pPr>
              <w:rPr>
                <w:rFonts w:asciiTheme="minorHAnsi" w:hAnsiTheme="minorHAnsi"/>
              </w:rPr>
            </w:pPr>
            <w:r w:rsidRPr="00E02EAD">
              <w:rPr>
                <w:rFonts w:asciiTheme="minorHAnsi" w:hAnsiTheme="minorHAnsi"/>
                <w:b/>
              </w:rPr>
              <w:lastRenderedPageBreak/>
              <w:t>Hiring Difficulties in Manufacturing</w:t>
            </w:r>
          </w:p>
          <w:p w:rsidR="00F550FE" w:rsidRPr="00E02EAD" w:rsidRDefault="00F550FE" w:rsidP="00F550FE">
            <w:pPr>
              <w:rPr>
                <w:rFonts w:asciiTheme="minorHAnsi" w:hAnsiTheme="minorHAnsi"/>
              </w:rPr>
            </w:pPr>
            <w:r w:rsidRPr="00E02EAD">
              <w:rPr>
                <w:rFonts w:asciiTheme="minorHAnsi" w:hAnsiTheme="minorHAnsi"/>
              </w:rPr>
              <w:t>Presentation on the results of a survey of manufacturing businesses in Minnesota and key take-</w:t>
            </w:r>
            <w:proofErr w:type="spellStart"/>
            <w:r w:rsidRPr="00E02EAD">
              <w:rPr>
                <w:rFonts w:asciiTheme="minorHAnsi" w:hAnsiTheme="minorHAnsi"/>
              </w:rPr>
              <w:t>aways</w:t>
            </w:r>
            <w:proofErr w:type="spellEnd"/>
            <w:r w:rsidRPr="00E02EAD">
              <w:rPr>
                <w:rFonts w:asciiTheme="minorHAnsi" w:hAnsiTheme="minorHAnsi"/>
              </w:rPr>
              <w:t xml:space="preserve"> related to hiring and retention. </w:t>
            </w:r>
          </w:p>
          <w:p w:rsidR="00F550FE" w:rsidRPr="00E02EAD" w:rsidRDefault="00F550FE" w:rsidP="00F550FE">
            <w:pPr>
              <w:rPr>
                <w:rFonts w:asciiTheme="minorHAnsi" w:hAnsiTheme="minorHAnsi"/>
                <w:b/>
              </w:rPr>
            </w:pPr>
          </w:p>
          <w:p w:rsidR="00F550FE" w:rsidRPr="00E02EAD" w:rsidRDefault="002A5D2C" w:rsidP="00F550FE">
            <w:pPr>
              <w:rPr>
                <w:rFonts w:asciiTheme="minorHAnsi" w:hAnsiTheme="minorHAnsi"/>
                <w:b/>
              </w:rPr>
            </w:pPr>
            <w:r w:rsidRPr="00E02EAD">
              <w:rPr>
                <w:rFonts w:asciiTheme="minorHAnsi" w:hAnsiTheme="minorHAnsi"/>
                <w:b/>
              </w:rPr>
              <w:t>LUNCH</w:t>
            </w:r>
          </w:p>
          <w:p w:rsidR="002A5D2C" w:rsidRPr="00E02EAD" w:rsidRDefault="002A5D2C" w:rsidP="00F550FE">
            <w:pPr>
              <w:rPr>
                <w:rFonts w:asciiTheme="minorHAnsi" w:hAnsiTheme="minorHAnsi"/>
                <w:b/>
              </w:rPr>
            </w:pPr>
          </w:p>
          <w:p w:rsidR="00F550FE" w:rsidRPr="00E02EAD" w:rsidRDefault="00F550FE" w:rsidP="00F550FE">
            <w:pPr>
              <w:rPr>
                <w:rFonts w:asciiTheme="minorHAnsi" w:hAnsiTheme="minorHAnsi"/>
              </w:rPr>
            </w:pPr>
            <w:r w:rsidRPr="00E02EAD">
              <w:rPr>
                <w:rFonts w:asciiTheme="minorHAnsi" w:hAnsiTheme="minorHAnsi"/>
                <w:b/>
              </w:rPr>
              <w:t>GWDB Committees and Task Forces</w:t>
            </w:r>
          </w:p>
          <w:p w:rsidR="00FA0E05" w:rsidRPr="00E02EAD" w:rsidRDefault="00F550FE" w:rsidP="008C324D">
            <w:pPr>
              <w:ind w:hanging="18"/>
              <w:rPr>
                <w:rFonts w:asciiTheme="minorHAnsi" w:hAnsiTheme="minorHAnsi"/>
              </w:rPr>
            </w:pPr>
            <w:r w:rsidRPr="00E02EAD">
              <w:rPr>
                <w:rFonts w:asciiTheme="minorHAnsi" w:hAnsiTheme="minorHAnsi"/>
              </w:rPr>
              <w:t xml:space="preserve">Presentation on the </w:t>
            </w:r>
            <w:bookmarkStart w:id="0" w:name="_GoBack"/>
            <w:bookmarkEnd w:id="0"/>
            <w:r w:rsidRPr="00E02EAD">
              <w:rPr>
                <w:rFonts w:asciiTheme="minorHAnsi" w:hAnsiTheme="minorHAnsi"/>
              </w:rPr>
              <w:t>task force structure that has been approved by the Chair and Operations Committee, upcoming task force topics, gathering input on potential task force items, and soliciting membership for committees and task forces.</w:t>
            </w:r>
          </w:p>
        </w:tc>
        <w:tc>
          <w:tcPr>
            <w:tcW w:w="4230" w:type="dxa"/>
            <w:noWrap/>
          </w:tcPr>
          <w:p w:rsidR="00F550FE" w:rsidRPr="00E02EAD" w:rsidRDefault="00F550FE" w:rsidP="0063655D">
            <w:pPr>
              <w:rPr>
                <w:rFonts w:asciiTheme="minorHAnsi" w:hAnsiTheme="minorHAnsi"/>
                <w:b/>
              </w:rPr>
            </w:pPr>
          </w:p>
          <w:p w:rsidR="00F550FE" w:rsidRPr="00E02EAD" w:rsidRDefault="00F550FE" w:rsidP="0063655D">
            <w:pPr>
              <w:rPr>
                <w:rFonts w:asciiTheme="minorHAnsi" w:hAnsiTheme="minorHAnsi"/>
                <w:b/>
              </w:rPr>
            </w:pPr>
          </w:p>
          <w:p w:rsidR="002A5D2C" w:rsidRPr="00E02EAD" w:rsidRDefault="002A5D2C" w:rsidP="0063655D">
            <w:pPr>
              <w:rPr>
                <w:rFonts w:asciiTheme="minorHAnsi" w:hAnsiTheme="minorHAnsi"/>
                <w:b/>
              </w:rPr>
            </w:pPr>
            <w:r w:rsidRPr="00E02EAD">
              <w:rPr>
                <w:rFonts w:asciiTheme="minorHAnsi" w:hAnsiTheme="minorHAnsi"/>
                <w:b/>
              </w:rPr>
              <w:lastRenderedPageBreak/>
              <w:t xml:space="preserve">Alessia Leibert, DEED </w:t>
            </w:r>
          </w:p>
          <w:p w:rsidR="002A5D2C" w:rsidRPr="00E02EAD" w:rsidRDefault="002A5D2C" w:rsidP="0063655D">
            <w:pPr>
              <w:rPr>
                <w:rFonts w:asciiTheme="minorHAnsi" w:hAnsiTheme="minorHAnsi"/>
                <w:b/>
              </w:rPr>
            </w:pPr>
          </w:p>
          <w:p w:rsidR="002A5D2C" w:rsidRPr="00E02EAD" w:rsidRDefault="002A5D2C" w:rsidP="0063655D">
            <w:pPr>
              <w:rPr>
                <w:rFonts w:asciiTheme="minorHAnsi" w:hAnsiTheme="minorHAnsi"/>
                <w:b/>
              </w:rPr>
            </w:pPr>
          </w:p>
          <w:p w:rsidR="002A5D2C" w:rsidRPr="00E02EAD" w:rsidRDefault="002A5D2C" w:rsidP="0063655D">
            <w:pPr>
              <w:rPr>
                <w:rFonts w:asciiTheme="minorHAnsi" w:hAnsiTheme="minorHAnsi"/>
                <w:b/>
              </w:rPr>
            </w:pPr>
          </w:p>
          <w:p w:rsidR="002A5D2C" w:rsidRPr="00E02EAD" w:rsidRDefault="002A5D2C" w:rsidP="0063655D">
            <w:pPr>
              <w:rPr>
                <w:rFonts w:asciiTheme="minorHAnsi" w:hAnsiTheme="minorHAnsi"/>
                <w:b/>
              </w:rPr>
            </w:pPr>
          </w:p>
          <w:p w:rsidR="002A5D2C" w:rsidRPr="00E02EAD" w:rsidRDefault="002A5D2C" w:rsidP="0063655D">
            <w:pPr>
              <w:rPr>
                <w:rFonts w:asciiTheme="minorHAnsi" w:hAnsiTheme="minorHAnsi"/>
                <w:b/>
              </w:rPr>
            </w:pPr>
          </w:p>
          <w:p w:rsidR="00FA0E05" w:rsidRPr="00E02EAD" w:rsidRDefault="00AF55FA" w:rsidP="0063655D">
            <w:pPr>
              <w:rPr>
                <w:rFonts w:asciiTheme="minorHAnsi" w:hAnsiTheme="minorHAnsi"/>
                <w:b/>
              </w:rPr>
            </w:pPr>
            <w:r w:rsidRPr="00E02EAD">
              <w:rPr>
                <w:rFonts w:asciiTheme="minorHAnsi" w:hAnsiTheme="minorHAnsi"/>
                <w:b/>
              </w:rPr>
              <w:t>Ben Baglio, GWDB Director</w:t>
            </w:r>
          </w:p>
          <w:p w:rsidR="00A7655D" w:rsidRPr="00E02EAD" w:rsidRDefault="00A7655D" w:rsidP="0063655D">
            <w:pPr>
              <w:rPr>
                <w:rFonts w:asciiTheme="minorHAnsi" w:hAnsiTheme="minorHAnsi"/>
              </w:rPr>
            </w:pPr>
          </w:p>
          <w:p w:rsidR="00A6097F" w:rsidRPr="00E02EAD" w:rsidRDefault="00A6097F" w:rsidP="0063655D">
            <w:pPr>
              <w:rPr>
                <w:rFonts w:asciiTheme="minorHAnsi" w:hAnsiTheme="minorHAnsi"/>
              </w:rPr>
            </w:pPr>
          </w:p>
          <w:p w:rsidR="00A7655D" w:rsidRPr="00E02EAD" w:rsidRDefault="00A7655D" w:rsidP="0063655D">
            <w:pPr>
              <w:rPr>
                <w:rFonts w:asciiTheme="minorHAnsi" w:hAnsiTheme="minorHAnsi"/>
              </w:rPr>
            </w:pPr>
          </w:p>
          <w:p w:rsidR="00A7655D" w:rsidRPr="00E02EAD" w:rsidRDefault="00A7655D" w:rsidP="0063655D">
            <w:pPr>
              <w:rPr>
                <w:rFonts w:asciiTheme="minorHAnsi" w:hAnsiTheme="minorHAnsi"/>
              </w:rPr>
            </w:pPr>
          </w:p>
          <w:p w:rsidR="00A6097F" w:rsidRPr="00E02EAD" w:rsidRDefault="00A6097F" w:rsidP="0063655D">
            <w:pPr>
              <w:rPr>
                <w:rFonts w:asciiTheme="minorHAnsi" w:hAnsiTheme="minorHAnsi"/>
              </w:rPr>
            </w:pPr>
          </w:p>
        </w:tc>
      </w:tr>
      <w:tr w:rsidR="00EE64EA" w:rsidRPr="00E02EAD" w:rsidTr="000052CA">
        <w:trPr>
          <w:trHeight w:val="845"/>
        </w:trPr>
        <w:tc>
          <w:tcPr>
            <w:tcW w:w="1345" w:type="dxa"/>
            <w:noWrap/>
            <w:hideMark/>
          </w:tcPr>
          <w:p w:rsidR="00EE64EA" w:rsidRPr="00E02EAD" w:rsidRDefault="003E36E8" w:rsidP="00EE64EA">
            <w:pPr>
              <w:rPr>
                <w:rFonts w:asciiTheme="minorHAnsi" w:hAnsiTheme="minorHAnsi"/>
              </w:rPr>
            </w:pPr>
            <w:r w:rsidRPr="00E02EAD">
              <w:rPr>
                <w:rFonts w:asciiTheme="minorHAnsi" w:hAnsiTheme="minorHAnsi"/>
              </w:rPr>
              <w:lastRenderedPageBreak/>
              <w:t>1:0</w:t>
            </w:r>
            <w:r w:rsidR="002A5D2C" w:rsidRPr="00E02EAD">
              <w:rPr>
                <w:rFonts w:asciiTheme="minorHAnsi" w:hAnsiTheme="minorHAnsi"/>
              </w:rPr>
              <w:t>0</w:t>
            </w:r>
            <w:r w:rsidR="00EE64EA" w:rsidRPr="00E02EAD">
              <w:rPr>
                <w:rFonts w:asciiTheme="minorHAnsi" w:hAnsiTheme="minorHAnsi"/>
              </w:rPr>
              <w:t xml:space="preserve"> p.m.</w:t>
            </w:r>
          </w:p>
        </w:tc>
        <w:tc>
          <w:tcPr>
            <w:tcW w:w="6300" w:type="dxa"/>
            <w:noWrap/>
            <w:hideMark/>
          </w:tcPr>
          <w:p w:rsidR="00EE64EA" w:rsidRPr="00E02EAD" w:rsidRDefault="006763E3" w:rsidP="00C14DB3">
            <w:pPr>
              <w:rPr>
                <w:rFonts w:asciiTheme="minorHAnsi" w:hAnsiTheme="minorHAnsi"/>
                <w:b/>
              </w:rPr>
            </w:pPr>
            <w:r w:rsidRPr="00E02EAD">
              <w:rPr>
                <w:rFonts w:asciiTheme="minorHAnsi" w:hAnsiTheme="minorHAnsi"/>
                <w:b/>
              </w:rPr>
              <w:t>One Minnesota 2020-2023 WIOA State Plan</w:t>
            </w:r>
          </w:p>
          <w:p w:rsidR="00C14DB3" w:rsidRPr="00E02EAD" w:rsidRDefault="006763E3" w:rsidP="00C14DB3">
            <w:pPr>
              <w:rPr>
                <w:rFonts w:asciiTheme="minorHAnsi" w:hAnsiTheme="minorHAnsi"/>
              </w:rPr>
            </w:pPr>
            <w:r w:rsidRPr="00E02EAD">
              <w:rPr>
                <w:rFonts w:asciiTheme="minorHAnsi" w:hAnsiTheme="minorHAnsi"/>
              </w:rPr>
              <w:t xml:space="preserve">The first draft of the four-year Minnesota WIOA State Plan for federal program years 2020-2023 was posted for public comment on January 17, and a supplemental document with revisions was posted alongside the draft plan on February 21. </w:t>
            </w:r>
            <w:r w:rsidR="003E36E8" w:rsidRPr="00E02EAD">
              <w:rPr>
                <w:rFonts w:asciiTheme="minorHAnsi" w:hAnsiTheme="minorHAnsi"/>
              </w:rPr>
              <w:t>GWDB and DEED staff will review th</w:t>
            </w:r>
            <w:r w:rsidR="002A5D2C" w:rsidRPr="00E02EAD">
              <w:rPr>
                <w:rFonts w:asciiTheme="minorHAnsi" w:hAnsiTheme="minorHAnsi"/>
              </w:rPr>
              <w:t xml:space="preserve">e plan’s development process to this point and </w:t>
            </w:r>
            <w:r w:rsidR="003E36E8" w:rsidRPr="00E02EAD">
              <w:rPr>
                <w:rFonts w:asciiTheme="minorHAnsi" w:hAnsiTheme="minorHAnsi"/>
              </w:rPr>
              <w:t xml:space="preserve">highlight key strategic elements that GWDB members </w:t>
            </w:r>
            <w:r w:rsidR="00164F57" w:rsidRPr="00E02EAD">
              <w:rPr>
                <w:rFonts w:asciiTheme="minorHAnsi" w:hAnsiTheme="minorHAnsi"/>
              </w:rPr>
              <w:t>are asked to weigh in on</w:t>
            </w:r>
            <w:r w:rsidR="003E36E8" w:rsidRPr="00E02EAD">
              <w:rPr>
                <w:rFonts w:asciiTheme="minorHAnsi" w:hAnsiTheme="minorHAnsi"/>
              </w:rPr>
              <w:t>.</w:t>
            </w:r>
            <w:r w:rsidR="002A5D2C" w:rsidRPr="00E02EAD">
              <w:rPr>
                <w:rFonts w:asciiTheme="minorHAnsi" w:hAnsiTheme="minorHAnsi"/>
              </w:rPr>
              <w:t xml:space="preserve"> </w:t>
            </w:r>
            <w:r w:rsidR="00164F57" w:rsidRPr="00E02EAD">
              <w:rPr>
                <w:rFonts w:asciiTheme="minorHAnsi" w:hAnsiTheme="minorHAnsi"/>
              </w:rPr>
              <w:t>GWDB voting members and non-voting members are encouraged to s</w:t>
            </w:r>
            <w:r w:rsidR="002A5D2C" w:rsidRPr="00E02EAD">
              <w:rPr>
                <w:rFonts w:asciiTheme="minorHAnsi" w:hAnsiTheme="minorHAnsi"/>
              </w:rPr>
              <w:t>hare their thoughts on the draft State Plan, while guests will also be permitted to share their input if time allows.</w:t>
            </w:r>
          </w:p>
          <w:p w:rsidR="00164F57" w:rsidRPr="00E02EAD" w:rsidRDefault="00164F57" w:rsidP="00C14DB3">
            <w:pPr>
              <w:rPr>
                <w:rFonts w:asciiTheme="minorHAnsi" w:hAnsiTheme="minorHAnsi"/>
              </w:rPr>
            </w:pPr>
          </w:p>
          <w:p w:rsidR="00164F57" w:rsidRPr="00E02EAD" w:rsidRDefault="00164F57" w:rsidP="00C14DB3">
            <w:pPr>
              <w:rPr>
                <w:rFonts w:asciiTheme="minorHAnsi" w:hAnsiTheme="minorHAnsi"/>
                <w:i/>
              </w:rPr>
            </w:pPr>
            <w:r w:rsidRPr="00E02EAD">
              <w:rPr>
                <w:rFonts w:asciiTheme="minorHAnsi" w:hAnsiTheme="minorHAnsi"/>
                <w:b/>
                <w:i/>
              </w:rPr>
              <w:t>Action Item:</w:t>
            </w:r>
            <w:r w:rsidRPr="00E02EAD">
              <w:rPr>
                <w:rFonts w:asciiTheme="minorHAnsi" w:hAnsiTheme="minorHAnsi"/>
                <w:i/>
              </w:rPr>
              <w:t xml:space="preserve"> GWDB Operations Committee Recommendation</w:t>
            </w:r>
            <w:r w:rsidR="00E02EAD" w:rsidRPr="00E02EAD">
              <w:rPr>
                <w:rFonts w:asciiTheme="minorHAnsi" w:hAnsiTheme="minorHAnsi"/>
                <w:i/>
              </w:rPr>
              <w:t xml:space="preserve"> on the approval and submission of Minnesota’s WIOA State Plan.</w:t>
            </w:r>
          </w:p>
          <w:p w:rsidR="00A6097F" w:rsidRPr="00E02EAD" w:rsidRDefault="00A6097F" w:rsidP="00E02EAD">
            <w:pPr>
              <w:rPr>
                <w:rFonts w:asciiTheme="minorHAnsi" w:hAnsiTheme="minorHAnsi"/>
                <w:b/>
              </w:rPr>
            </w:pPr>
          </w:p>
        </w:tc>
        <w:tc>
          <w:tcPr>
            <w:tcW w:w="4230" w:type="dxa"/>
            <w:noWrap/>
          </w:tcPr>
          <w:p w:rsidR="00C14DB3" w:rsidRPr="00E02EAD" w:rsidRDefault="006763E3" w:rsidP="00EE64EA">
            <w:pPr>
              <w:rPr>
                <w:rFonts w:asciiTheme="minorHAnsi" w:hAnsiTheme="minorHAnsi"/>
                <w:b/>
              </w:rPr>
            </w:pPr>
            <w:r w:rsidRPr="00E02EAD">
              <w:rPr>
                <w:rFonts w:asciiTheme="minorHAnsi" w:hAnsiTheme="minorHAnsi"/>
                <w:b/>
              </w:rPr>
              <w:t>Ben Baglio, GWDB Director</w:t>
            </w:r>
          </w:p>
          <w:p w:rsidR="006763E3" w:rsidRPr="00E02EAD" w:rsidRDefault="006763E3" w:rsidP="00EE64EA">
            <w:pPr>
              <w:rPr>
                <w:rFonts w:asciiTheme="minorHAnsi" w:hAnsiTheme="minorHAnsi"/>
                <w:b/>
              </w:rPr>
            </w:pPr>
            <w:r w:rsidRPr="00E02EAD">
              <w:rPr>
                <w:rFonts w:asciiTheme="minorHAnsi" w:hAnsiTheme="minorHAnsi"/>
                <w:b/>
              </w:rPr>
              <w:t>Lorrie Janatopoulos, DEED</w:t>
            </w:r>
          </w:p>
          <w:p w:rsidR="00C14DB3" w:rsidRPr="00E02EAD" w:rsidRDefault="00C14DB3" w:rsidP="00EE64EA">
            <w:pPr>
              <w:rPr>
                <w:rFonts w:asciiTheme="minorHAnsi" w:hAnsiTheme="minorHAnsi"/>
              </w:rPr>
            </w:pPr>
          </w:p>
        </w:tc>
      </w:tr>
      <w:tr w:rsidR="00EE64EA" w:rsidRPr="00E02EAD" w:rsidTr="000052CA">
        <w:trPr>
          <w:trHeight w:val="809"/>
        </w:trPr>
        <w:tc>
          <w:tcPr>
            <w:tcW w:w="1345" w:type="dxa"/>
            <w:noWrap/>
            <w:hideMark/>
          </w:tcPr>
          <w:p w:rsidR="00EE64EA" w:rsidRPr="00E02EAD" w:rsidRDefault="00EE64EA" w:rsidP="000E5CC9">
            <w:pPr>
              <w:rPr>
                <w:rFonts w:asciiTheme="minorHAnsi" w:hAnsiTheme="minorHAnsi"/>
              </w:rPr>
            </w:pPr>
            <w:r w:rsidRPr="00E02EAD">
              <w:rPr>
                <w:rFonts w:asciiTheme="minorHAnsi" w:hAnsiTheme="minorHAnsi"/>
              </w:rPr>
              <w:t>2:00 p.m.</w:t>
            </w:r>
            <w:r w:rsidR="000E5CC9" w:rsidRPr="00E02EAD">
              <w:rPr>
                <w:rFonts w:asciiTheme="minorHAnsi" w:hAnsiTheme="minorHAnsi"/>
              </w:rPr>
              <w:t xml:space="preserve">                                          </w:t>
            </w:r>
          </w:p>
        </w:tc>
        <w:tc>
          <w:tcPr>
            <w:tcW w:w="6300" w:type="dxa"/>
            <w:noWrap/>
          </w:tcPr>
          <w:p w:rsidR="000E5CC9" w:rsidRPr="00E02EAD" w:rsidRDefault="00C14DB3" w:rsidP="00C14DB3">
            <w:pPr>
              <w:rPr>
                <w:rFonts w:asciiTheme="minorHAnsi" w:hAnsiTheme="minorHAnsi"/>
                <w:b/>
              </w:rPr>
            </w:pPr>
            <w:r w:rsidRPr="00E02EAD">
              <w:rPr>
                <w:rFonts w:asciiTheme="minorHAnsi" w:hAnsiTheme="minorHAnsi"/>
                <w:b/>
              </w:rPr>
              <w:t>A</w:t>
            </w:r>
            <w:r w:rsidR="000E5CC9" w:rsidRPr="00E02EAD">
              <w:rPr>
                <w:rFonts w:asciiTheme="minorHAnsi" w:hAnsiTheme="minorHAnsi"/>
                <w:b/>
              </w:rPr>
              <w:t>djourn</w:t>
            </w:r>
          </w:p>
        </w:tc>
        <w:tc>
          <w:tcPr>
            <w:tcW w:w="4230" w:type="dxa"/>
            <w:noWrap/>
          </w:tcPr>
          <w:p w:rsidR="00CB7FE9" w:rsidRPr="00E02EAD" w:rsidRDefault="00CB7FE9" w:rsidP="00164F57">
            <w:pPr>
              <w:rPr>
                <w:rFonts w:asciiTheme="minorHAnsi" w:hAnsiTheme="minorHAnsi"/>
              </w:rPr>
            </w:pPr>
          </w:p>
        </w:tc>
      </w:tr>
    </w:tbl>
    <w:p w:rsidR="000052CA" w:rsidRPr="00E02EAD" w:rsidRDefault="000052CA" w:rsidP="000052CA">
      <w:pPr>
        <w:pStyle w:val="NoteHeading"/>
        <w:jc w:val="left"/>
        <w:rPr>
          <w:rFonts w:asciiTheme="minorHAnsi" w:hAnsiTheme="minorHAnsi"/>
        </w:rPr>
      </w:pPr>
    </w:p>
    <w:p w:rsidR="00E961E4" w:rsidRPr="00E02EAD" w:rsidRDefault="00390B56" w:rsidP="00E961E4">
      <w:pPr>
        <w:jc w:val="center"/>
        <w:rPr>
          <w:rFonts w:asciiTheme="minorHAnsi" w:hAnsiTheme="minorHAnsi"/>
          <w:i/>
        </w:rPr>
      </w:pPr>
      <w:r w:rsidRPr="00E02EAD">
        <w:rPr>
          <w:rFonts w:asciiTheme="minorHAnsi" w:hAnsiTheme="minorHAnsi"/>
          <w:i/>
        </w:rPr>
        <w:t>The next quarterly meeting of the Governor’s Workforce Development Board</w:t>
      </w:r>
      <w:r w:rsidR="00E961E4" w:rsidRPr="00E02EAD">
        <w:rPr>
          <w:rFonts w:asciiTheme="minorHAnsi" w:hAnsiTheme="minorHAnsi"/>
          <w:i/>
        </w:rPr>
        <w:t xml:space="preserve"> (GWDB)</w:t>
      </w:r>
      <w:r w:rsidRPr="00E02EAD">
        <w:rPr>
          <w:rFonts w:asciiTheme="minorHAnsi" w:hAnsiTheme="minorHAnsi"/>
          <w:i/>
        </w:rPr>
        <w:t xml:space="preserve"> will be from</w:t>
      </w:r>
    </w:p>
    <w:p w:rsidR="00390B56" w:rsidRPr="00E02EAD" w:rsidRDefault="00390B56" w:rsidP="00E961E4">
      <w:pPr>
        <w:jc w:val="center"/>
        <w:rPr>
          <w:rFonts w:asciiTheme="minorHAnsi" w:hAnsiTheme="minorHAnsi"/>
          <w:i/>
        </w:rPr>
      </w:pPr>
      <w:r w:rsidRPr="00E02EAD">
        <w:rPr>
          <w:rFonts w:asciiTheme="minorHAnsi" w:hAnsiTheme="minorHAnsi"/>
          <w:i/>
        </w:rPr>
        <w:t xml:space="preserve">10:00 a.m. to 2:00 p.m. on Wednesday, </w:t>
      </w:r>
      <w:r w:rsidR="00164F57" w:rsidRPr="00E02EAD">
        <w:rPr>
          <w:rFonts w:asciiTheme="minorHAnsi" w:hAnsiTheme="minorHAnsi"/>
          <w:i/>
        </w:rPr>
        <w:t>June 3, 2020</w:t>
      </w:r>
      <w:r w:rsidRPr="00E02EAD">
        <w:rPr>
          <w:rFonts w:asciiTheme="minorHAnsi" w:hAnsiTheme="minorHAnsi"/>
          <w:i/>
        </w:rPr>
        <w:t>. Location is to be determined.</w:t>
      </w:r>
    </w:p>
    <w:sectPr w:rsidR="00390B56" w:rsidRPr="00E02EAD" w:rsidSect="00DF6E32">
      <w:headerReference w:type="default" r:id="rId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24" w:rsidRDefault="00043C24" w:rsidP="005D7A5D">
      <w:r>
        <w:separator/>
      </w:r>
    </w:p>
  </w:endnote>
  <w:endnote w:type="continuationSeparator" w:id="0">
    <w:p w:rsidR="00043C24" w:rsidRDefault="00043C24"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24" w:rsidRDefault="00043C24" w:rsidP="005D7A5D">
      <w:r>
        <w:separator/>
      </w:r>
    </w:p>
  </w:footnote>
  <w:footnote w:type="continuationSeparator" w:id="0">
    <w:p w:rsidR="00043C24" w:rsidRDefault="00043C24"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A5D" w:rsidRDefault="00216395" w:rsidP="0085072B">
    <w:pPr>
      <w:pStyle w:val="Header"/>
      <w:jc w:val="center"/>
    </w:pPr>
    <w:r>
      <w:rPr>
        <w:noProof/>
      </w:rPr>
      <w:object w:dxaOrig="663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99.75pt" o:ole="">
          <v:imagedata r:id="rId1" o:title=""/>
        </v:shape>
        <o:OLEObject Type="Embed" ProgID="AcroExch.Document.DC" ShapeID="_x0000_i1025" DrawAspect="Content" ObjectID="_164465010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A6A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84CD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5A93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46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9"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475D"/>
    <w:multiLevelType w:val="hybridMultilevel"/>
    <w:tmpl w:val="E2B6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52E"/>
    <w:multiLevelType w:val="hybridMultilevel"/>
    <w:tmpl w:val="9A74CE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E45E15"/>
    <w:multiLevelType w:val="hybridMultilevel"/>
    <w:tmpl w:val="2DEE4A62"/>
    <w:lvl w:ilvl="0" w:tplc="28E2D39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54919"/>
    <w:multiLevelType w:val="hybridMultilevel"/>
    <w:tmpl w:val="101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056AA"/>
    <w:multiLevelType w:val="hybridMultilevel"/>
    <w:tmpl w:val="220E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E326B"/>
    <w:multiLevelType w:val="hybridMultilevel"/>
    <w:tmpl w:val="CFEA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36BFF"/>
    <w:multiLevelType w:val="hybridMultilevel"/>
    <w:tmpl w:val="E4D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E18E8"/>
    <w:multiLevelType w:val="hybridMultilevel"/>
    <w:tmpl w:val="640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C25F6"/>
    <w:multiLevelType w:val="hybridMultilevel"/>
    <w:tmpl w:val="2D60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6784"/>
    <w:multiLevelType w:val="hybridMultilevel"/>
    <w:tmpl w:val="087E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968AA"/>
    <w:multiLevelType w:val="hybridMultilevel"/>
    <w:tmpl w:val="30629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50481B"/>
    <w:multiLevelType w:val="hybridMultilevel"/>
    <w:tmpl w:val="FFB8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5"/>
  </w:num>
  <w:num w:numId="14">
    <w:abstractNumId w:val="12"/>
  </w:num>
  <w:num w:numId="15">
    <w:abstractNumId w:val="11"/>
  </w:num>
  <w:num w:numId="16">
    <w:abstractNumId w:val="13"/>
  </w:num>
  <w:num w:numId="17">
    <w:abstractNumId w:val="14"/>
  </w:num>
  <w:num w:numId="18">
    <w:abstractNumId w:val="19"/>
  </w:num>
  <w:num w:numId="19">
    <w:abstractNumId w:val="21"/>
  </w:num>
  <w:num w:numId="20">
    <w:abstractNumId w:val="17"/>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52CA"/>
    <w:rsid w:val="00043C24"/>
    <w:rsid w:val="000570F2"/>
    <w:rsid w:val="00081B02"/>
    <w:rsid w:val="000C6712"/>
    <w:rsid w:val="000D2395"/>
    <w:rsid w:val="000E5CC9"/>
    <w:rsid w:val="000E70C7"/>
    <w:rsid w:val="00164F57"/>
    <w:rsid w:val="00196CA4"/>
    <w:rsid w:val="001A1472"/>
    <w:rsid w:val="001B2B71"/>
    <w:rsid w:val="001C51C7"/>
    <w:rsid w:val="001E6214"/>
    <w:rsid w:val="00215C88"/>
    <w:rsid w:val="00216395"/>
    <w:rsid w:val="00232D31"/>
    <w:rsid w:val="00253EFF"/>
    <w:rsid w:val="00290EA2"/>
    <w:rsid w:val="002A5D2C"/>
    <w:rsid w:val="002B66A0"/>
    <w:rsid w:val="002D3ED0"/>
    <w:rsid w:val="002D73F2"/>
    <w:rsid w:val="002E2E8C"/>
    <w:rsid w:val="002E4AB2"/>
    <w:rsid w:val="002F5AA7"/>
    <w:rsid w:val="00301F55"/>
    <w:rsid w:val="00314A83"/>
    <w:rsid w:val="0031546B"/>
    <w:rsid w:val="00326FBE"/>
    <w:rsid w:val="00340C3F"/>
    <w:rsid w:val="00347E06"/>
    <w:rsid w:val="00390B56"/>
    <w:rsid w:val="003A4572"/>
    <w:rsid w:val="003E36E8"/>
    <w:rsid w:val="0048219E"/>
    <w:rsid w:val="004B5462"/>
    <w:rsid w:val="004C3164"/>
    <w:rsid w:val="004D5383"/>
    <w:rsid w:val="005619AE"/>
    <w:rsid w:val="00567C56"/>
    <w:rsid w:val="0057077D"/>
    <w:rsid w:val="00581CBF"/>
    <w:rsid w:val="005D0875"/>
    <w:rsid w:val="005D5E4C"/>
    <w:rsid w:val="005D7A5D"/>
    <w:rsid w:val="00607406"/>
    <w:rsid w:val="00631D4E"/>
    <w:rsid w:val="0063655D"/>
    <w:rsid w:val="00644A98"/>
    <w:rsid w:val="00660088"/>
    <w:rsid w:val="006763E3"/>
    <w:rsid w:val="006B4121"/>
    <w:rsid w:val="006F7659"/>
    <w:rsid w:val="00701D3D"/>
    <w:rsid w:val="00753BB1"/>
    <w:rsid w:val="007637F2"/>
    <w:rsid w:val="007820F5"/>
    <w:rsid w:val="007D0C22"/>
    <w:rsid w:val="007F6B0C"/>
    <w:rsid w:val="0085072B"/>
    <w:rsid w:val="00887BB6"/>
    <w:rsid w:val="008B0B83"/>
    <w:rsid w:val="008B5F49"/>
    <w:rsid w:val="008B63DB"/>
    <w:rsid w:val="008C324D"/>
    <w:rsid w:val="00902AB7"/>
    <w:rsid w:val="00914259"/>
    <w:rsid w:val="009779A1"/>
    <w:rsid w:val="00991E59"/>
    <w:rsid w:val="009C115C"/>
    <w:rsid w:val="009C5C56"/>
    <w:rsid w:val="009E732D"/>
    <w:rsid w:val="00A12C60"/>
    <w:rsid w:val="00A32EE7"/>
    <w:rsid w:val="00A6097F"/>
    <w:rsid w:val="00A64A8D"/>
    <w:rsid w:val="00A711ED"/>
    <w:rsid w:val="00A7655D"/>
    <w:rsid w:val="00A87B3E"/>
    <w:rsid w:val="00AA456D"/>
    <w:rsid w:val="00AD2624"/>
    <w:rsid w:val="00AE73AA"/>
    <w:rsid w:val="00AF286B"/>
    <w:rsid w:val="00AF55AA"/>
    <w:rsid w:val="00AF55FA"/>
    <w:rsid w:val="00B15FC1"/>
    <w:rsid w:val="00B41863"/>
    <w:rsid w:val="00B43DBC"/>
    <w:rsid w:val="00B74C0A"/>
    <w:rsid w:val="00B7703A"/>
    <w:rsid w:val="00B920C7"/>
    <w:rsid w:val="00BA7429"/>
    <w:rsid w:val="00BB7CAA"/>
    <w:rsid w:val="00BD7D58"/>
    <w:rsid w:val="00C11F94"/>
    <w:rsid w:val="00C14DB3"/>
    <w:rsid w:val="00C3675E"/>
    <w:rsid w:val="00C4450A"/>
    <w:rsid w:val="00C74726"/>
    <w:rsid w:val="00C84091"/>
    <w:rsid w:val="00C87FDF"/>
    <w:rsid w:val="00C96B8C"/>
    <w:rsid w:val="00CA0794"/>
    <w:rsid w:val="00CB7FE9"/>
    <w:rsid w:val="00CC1867"/>
    <w:rsid w:val="00D00D2E"/>
    <w:rsid w:val="00D16E2E"/>
    <w:rsid w:val="00D17ECC"/>
    <w:rsid w:val="00D26520"/>
    <w:rsid w:val="00D66782"/>
    <w:rsid w:val="00DF6E32"/>
    <w:rsid w:val="00E02EAD"/>
    <w:rsid w:val="00E373CA"/>
    <w:rsid w:val="00E42EA1"/>
    <w:rsid w:val="00E6221B"/>
    <w:rsid w:val="00E71500"/>
    <w:rsid w:val="00E961E4"/>
    <w:rsid w:val="00EA1751"/>
    <w:rsid w:val="00EB3C45"/>
    <w:rsid w:val="00ED26F7"/>
    <w:rsid w:val="00ED76F4"/>
    <w:rsid w:val="00EE64EA"/>
    <w:rsid w:val="00EF5D07"/>
    <w:rsid w:val="00EF71BB"/>
    <w:rsid w:val="00F21D3B"/>
    <w:rsid w:val="00F22802"/>
    <w:rsid w:val="00F550FE"/>
    <w:rsid w:val="00F71899"/>
    <w:rsid w:val="00F82137"/>
    <w:rsid w:val="00F82D56"/>
    <w:rsid w:val="00FA0E05"/>
    <w:rsid w:val="00FC272E"/>
    <w:rsid w:val="00FD6E25"/>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21"/>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10"/>
      </w:numPr>
      <w:contextualSpacing/>
    </w:pPr>
  </w:style>
  <w:style w:type="paragraph" w:styleId="ListNumber4">
    <w:name w:val="List Number 4"/>
    <w:basedOn w:val="Normal"/>
    <w:uiPriority w:val="99"/>
    <w:unhideWhenUsed/>
    <w:rsid w:val="009C5C56"/>
    <w:pPr>
      <w:numPr>
        <w:numId w:val="9"/>
      </w:numPr>
      <w:contextualSpacing/>
    </w:pPr>
  </w:style>
  <w:style w:type="paragraph" w:styleId="ListNumber">
    <w:name w:val="List Number"/>
    <w:basedOn w:val="Normal"/>
    <w:uiPriority w:val="99"/>
    <w:unhideWhenUsed/>
    <w:rsid w:val="009C5C56"/>
    <w:pPr>
      <w:numPr>
        <w:numId w:val="6"/>
      </w:numPr>
      <w:spacing w:after="120"/>
    </w:pPr>
  </w:style>
  <w:style w:type="table" w:styleId="TableGrid">
    <w:name w:val="Table Grid"/>
    <w:basedOn w:val="TableNormal"/>
    <w:uiPriority w:val="39"/>
    <w:rsid w:val="006B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B4121"/>
    <w:rPr>
      <w:i/>
      <w:iCs/>
    </w:rPr>
  </w:style>
  <w:style w:type="paragraph" w:styleId="NoteHeading">
    <w:name w:val="Note Heading"/>
    <w:basedOn w:val="Normal"/>
    <w:next w:val="Normal"/>
    <w:link w:val="NoteHeadingChar"/>
    <w:uiPriority w:val="99"/>
    <w:unhideWhenUsed/>
    <w:rsid w:val="006B4121"/>
    <w:pPr>
      <w:jc w:val="center"/>
    </w:pPr>
  </w:style>
  <w:style w:type="character" w:customStyle="1" w:styleId="NoteHeadingChar">
    <w:name w:val="Note Heading Char"/>
    <w:basedOn w:val="DefaultParagraphFont"/>
    <w:link w:val="NoteHeading"/>
    <w:uiPriority w:val="99"/>
    <w:rsid w:val="006B4121"/>
    <w:rPr>
      <w:rFonts w:ascii="Cambria" w:hAnsi="Cambria"/>
    </w:rPr>
  </w:style>
  <w:style w:type="character" w:styleId="Strong">
    <w:name w:val="Strong"/>
    <w:basedOn w:val="DefaultParagraphFont"/>
    <w:uiPriority w:val="22"/>
    <w:qFormat/>
    <w:rsid w:val="00290EA2"/>
    <w:rPr>
      <w:b/>
      <w:bCs/>
    </w:rPr>
  </w:style>
  <w:style w:type="paragraph" w:styleId="BalloonText">
    <w:name w:val="Balloon Text"/>
    <w:basedOn w:val="Normal"/>
    <w:link w:val="BalloonTextChar"/>
    <w:uiPriority w:val="99"/>
    <w:semiHidden/>
    <w:unhideWhenUsed/>
    <w:rsid w:val="0029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414">
      <w:bodyDiv w:val="1"/>
      <w:marLeft w:val="0"/>
      <w:marRight w:val="0"/>
      <w:marTop w:val="0"/>
      <w:marBottom w:val="0"/>
      <w:divBdr>
        <w:top w:val="none" w:sz="0" w:space="0" w:color="auto"/>
        <w:left w:val="none" w:sz="0" w:space="0" w:color="auto"/>
        <w:bottom w:val="none" w:sz="0" w:space="0" w:color="auto"/>
        <w:right w:val="none" w:sz="0" w:space="0" w:color="auto"/>
      </w:divBdr>
    </w:div>
    <w:div w:id="77218300">
      <w:bodyDiv w:val="1"/>
      <w:marLeft w:val="0"/>
      <w:marRight w:val="0"/>
      <w:marTop w:val="0"/>
      <w:marBottom w:val="0"/>
      <w:divBdr>
        <w:top w:val="none" w:sz="0" w:space="0" w:color="auto"/>
        <w:left w:val="none" w:sz="0" w:space="0" w:color="auto"/>
        <w:bottom w:val="none" w:sz="0" w:space="0" w:color="auto"/>
        <w:right w:val="none" w:sz="0" w:space="0" w:color="auto"/>
      </w:divBdr>
    </w:div>
    <w:div w:id="958803634">
      <w:bodyDiv w:val="1"/>
      <w:marLeft w:val="0"/>
      <w:marRight w:val="0"/>
      <w:marTop w:val="0"/>
      <w:marBottom w:val="0"/>
      <w:divBdr>
        <w:top w:val="none" w:sz="0" w:space="0" w:color="auto"/>
        <w:left w:val="none" w:sz="0" w:space="0" w:color="auto"/>
        <w:bottom w:val="none" w:sz="0" w:space="0" w:color="auto"/>
        <w:right w:val="none" w:sz="0" w:space="0" w:color="auto"/>
      </w:divBdr>
    </w:div>
    <w:div w:id="1509439117">
      <w:bodyDiv w:val="1"/>
      <w:marLeft w:val="0"/>
      <w:marRight w:val="0"/>
      <w:marTop w:val="0"/>
      <w:marBottom w:val="0"/>
      <w:divBdr>
        <w:top w:val="none" w:sz="0" w:space="0" w:color="auto"/>
        <w:left w:val="none" w:sz="0" w:space="0" w:color="auto"/>
        <w:bottom w:val="none" w:sz="0" w:space="0" w:color="auto"/>
        <w:right w:val="none" w:sz="0" w:space="0" w:color="auto"/>
      </w:divBdr>
    </w:div>
    <w:div w:id="15635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157A9-884B-40EB-8167-B754F093D95C}"/>
</file>

<file path=customXml/itemProps2.xml><?xml version="1.0" encoding="utf-8"?>
<ds:datastoreItem xmlns:ds="http://schemas.openxmlformats.org/officeDocument/2006/customXml" ds:itemID="{AB887C37-C3D3-4DCE-886B-35DD735AAC75}"/>
</file>

<file path=customXml/itemProps3.xml><?xml version="1.0" encoding="utf-8"?>
<ds:datastoreItem xmlns:ds="http://schemas.openxmlformats.org/officeDocument/2006/customXml" ds:itemID="{F37BDD8A-CCB7-4972-86B2-890EF2D3EBEB}"/>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Full Board Joint Meeting Agenda</vt:lpstr>
    </vt:vector>
  </TitlesOfParts>
  <Company>DEED</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Board Joint Meeting Agenda</dc:title>
  <dc:subject>Full Board Joint Meeting Agenda</dc:subject>
  <dc:creator>Jennifer Anderson</dc:creator>
  <cp:keywords/>
  <dc:description/>
  <cp:lastModifiedBy>Ben Baglio</cp:lastModifiedBy>
  <cp:revision>6</cp:revision>
  <cp:lastPrinted>2019-07-29T15:32:00Z</cp:lastPrinted>
  <dcterms:created xsi:type="dcterms:W3CDTF">2020-02-20T22:08:00Z</dcterms:created>
  <dcterms:modified xsi:type="dcterms:W3CDTF">2020-03-02T16:29:00Z</dcterms:modified>
</cp:coreProperties>
</file>