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inorHAnsi" w:eastAsiaTheme="majorEastAsia" w:hAnsiTheme="minorHAnsi" w:cstheme="majorBidi"/>
          <w:b/>
          <w:color w:val="003865" w:themeColor="accent1"/>
          <w:sz w:val="32"/>
          <w:szCs w:val="32"/>
        </w:rPr>
        <w:id w:val="10729564"/>
        <w:docPartObj>
          <w:docPartGallery w:val="Cover Pages"/>
          <w:docPartUnique/>
        </w:docPartObj>
      </w:sdtPr>
      <w:sdtEndPr>
        <w:rPr>
          <w:szCs w:val="20"/>
        </w:rPr>
      </w:sdtEndPr>
      <w:sdtContent>
        <w:p w14:paraId="1A8A79B4" w14:textId="77777777" w:rsidR="00FD7649" w:rsidRDefault="00FD7649" w:rsidP="00FD7649">
          <w:pPr>
            <w:pStyle w:val="BodyText"/>
            <w:spacing w:before="10"/>
            <w:rPr>
              <w:rFonts w:ascii="Times New Roman"/>
              <w:sz w:val="21"/>
            </w:rPr>
          </w:pPr>
        </w:p>
        <w:p w14:paraId="4D6BAE9B" w14:textId="77777777" w:rsidR="00FD7649" w:rsidRDefault="00FD7649" w:rsidP="00FD7649">
          <w:pPr>
            <w:pStyle w:val="BodyText"/>
            <w:ind w:left="3690"/>
            <w:rPr>
              <w:rFonts w:ascii="Times New Roman"/>
              <w:sz w:val="20"/>
            </w:rPr>
          </w:pPr>
          <w:r>
            <w:rPr>
              <w:rFonts w:ascii="Times New Roman"/>
              <w:noProof/>
              <w:sz w:val="20"/>
            </w:rPr>
            <w:drawing>
              <wp:inline distT="0" distB="0" distL="0" distR="0" wp14:anchorId="5CE74726" wp14:editId="2FA16C60">
                <wp:extent cx="4092555" cy="414909"/>
                <wp:effectExtent l="0" t="0" r="0" b="0"/>
                <wp:docPr id="3" name="image1.jpeg" descr="Minnesota Department of Employment and Economic Develop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1" cstate="print"/>
                        <a:stretch>
                          <a:fillRect/>
                        </a:stretch>
                      </pic:blipFill>
                      <pic:spPr>
                        <a:xfrm>
                          <a:off x="0" y="0"/>
                          <a:ext cx="4092555" cy="414909"/>
                        </a:xfrm>
                        <a:prstGeom prst="rect">
                          <a:avLst/>
                        </a:prstGeom>
                      </pic:spPr>
                    </pic:pic>
                  </a:graphicData>
                </a:graphic>
              </wp:inline>
            </w:drawing>
          </w:r>
        </w:p>
        <w:p w14:paraId="0BB20571" w14:textId="579590FB" w:rsidR="00FD7649" w:rsidRPr="00271E79" w:rsidRDefault="00FD7649" w:rsidP="00D07C7E">
          <w:pPr>
            <w:pStyle w:val="Title"/>
            <w:spacing w:before="3240"/>
            <w:rPr>
              <w:color w:val="003864"/>
            </w:rPr>
          </w:pPr>
          <w:bookmarkStart w:id="0" w:name="Youthprise:_East_African_Youth_Economic_"/>
          <w:bookmarkEnd w:id="0"/>
          <w:r>
            <w:rPr>
              <w:color w:val="003864"/>
            </w:rPr>
            <w:t xml:space="preserve">SFY 2021 </w:t>
          </w:r>
          <w:r w:rsidR="00F3444F">
            <w:rPr>
              <w:color w:val="003864"/>
            </w:rPr>
            <w:t>Big Brothers Big Sisters</w:t>
          </w:r>
          <w:r w:rsidR="008F4AD2">
            <w:rPr>
              <w:color w:val="003864"/>
            </w:rPr>
            <w:t xml:space="preserve"> Direct Appropriation</w:t>
          </w:r>
        </w:p>
        <w:p w14:paraId="478784D6" w14:textId="21EE6D6D" w:rsidR="00FD7649" w:rsidRPr="00124671" w:rsidRDefault="008F4AD2" w:rsidP="00FD7649">
          <w:pPr>
            <w:jc w:val="right"/>
            <w:rPr>
              <w:color w:val="003865" w:themeColor="text1"/>
              <w:sz w:val="32"/>
              <w:szCs w:val="32"/>
            </w:rPr>
          </w:pPr>
          <w:bookmarkStart w:id="1" w:name="_Toc60249760"/>
          <w:r>
            <w:rPr>
              <w:color w:val="003865" w:themeColor="text1"/>
              <w:sz w:val="32"/>
              <w:szCs w:val="32"/>
            </w:rPr>
            <w:t>Final</w:t>
          </w:r>
          <w:r w:rsidR="00FD7649" w:rsidRPr="00124671">
            <w:rPr>
              <w:color w:val="003865" w:themeColor="text1"/>
              <w:sz w:val="32"/>
              <w:szCs w:val="32"/>
            </w:rPr>
            <w:t xml:space="preserve"> Report</w:t>
          </w:r>
          <w:bookmarkEnd w:id="1"/>
        </w:p>
        <w:p w14:paraId="34FFD5D7" w14:textId="5FA5BD39" w:rsidR="00FD7649" w:rsidRPr="00124671" w:rsidRDefault="00F3444F" w:rsidP="00FD7649">
          <w:pPr>
            <w:jc w:val="right"/>
            <w:rPr>
              <w:color w:val="003865" w:themeColor="text1"/>
              <w:sz w:val="32"/>
              <w:szCs w:val="32"/>
            </w:rPr>
          </w:pPr>
          <w:r>
            <w:rPr>
              <w:color w:val="003865" w:themeColor="text1"/>
              <w:sz w:val="32"/>
              <w:szCs w:val="32"/>
            </w:rPr>
            <w:t>1/</w:t>
          </w:r>
          <w:r w:rsidR="00EC554B">
            <w:rPr>
              <w:color w:val="003865" w:themeColor="text1"/>
              <w:sz w:val="32"/>
              <w:szCs w:val="32"/>
            </w:rPr>
            <w:t>31</w:t>
          </w:r>
          <w:r>
            <w:rPr>
              <w:color w:val="003865" w:themeColor="text1"/>
              <w:sz w:val="32"/>
              <w:szCs w:val="32"/>
            </w:rPr>
            <w:t>/2022</w:t>
          </w:r>
        </w:p>
        <w:p w14:paraId="60ED1F37" w14:textId="77777777" w:rsidR="00FD7649" w:rsidRDefault="00FD7649">
          <w:pPr>
            <w:spacing w:before="120" w:after="0"/>
          </w:pPr>
          <w:r>
            <w:br w:type="page"/>
          </w:r>
        </w:p>
        <w:p w14:paraId="0103E4C5" w14:textId="415E7CF8" w:rsidR="004738ED" w:rsidRDefault="004738ED" w:rsidP="008A0FE8">
          <w:pPr>
            <w:spacing w:after="0"/>
          </w:pPr>
          <w:r>
            <w:lastRenderedPageBreak/>
            <w:t>Minnesota Department of Employment and Economic Development</w:t>
          </w:r>
          <w:r w:rsidR="00F6052E" w:rsidRPr="0042247B">
            <w:br/>
          </w:r>
          <w:r>
            <w:t>Employment</w:t>
          </w:r>
          <w:r w:rsidR="008A0FE8">
            <w:t xml:space="preserve"> and Training Programs Division</w:t>
          </w:r>
        </w:p>
        <w:p w14:paraId="0D6C0AF3" w14:textId="77777777" w:rsidR="008A0FE8" w:rsidRDefault="008A0FE8" w:rsidP="00F6052E">
          <w:r>
            <w:t>332 Minnesota Street, Suite E200</w:t>
          </w:r>
          <w:r w:rsidRPr="0042247B">
            <w:t xml:space="preserve"> </w:t>
          </w:r>
          <w:r w:rsidRPr="0042247B">
            <w:br/>
            <w:t xml:space="preserve">St. Paul, MN </w:t>
          </w:r>
          <w:r>
            <w:t>55101</w:t>
          </w:r>
        </w:p>
        <w:p w14:paraId="04ECB44B" w14:textId="1B3D8CD7" w:rsidR="009B6381" w:rsidRDefault="000B1794" w:rsidP="008236B9">
          <w:pPr>
            <w:spacing w:line="240" w:lineRule="auto"/>
          </w:pPr>
          <w:r>
            <w:t>Kay Tracy</w:t>
          </w:r>
        </w:p>
        <w:p w14:paraId="6CEB8B49" w14:textId="26A4AA38" w:rsidR="009B6381" w:rsidRDefault="00595173" w:rsidP="00891812">
          <w:pPr>
            <w:spacing w:line="240" w:lineRule="auto"/>
          </w:pPr>
          <w:hyperlink r:id="rId12" w:history="1">
            <w:r w:rsidR="00661031" w:rsidRPr="006531F1">
              <w:rPr>
                <w:rStyle w:val="Hyperlink"/>
              </w:rPr>
              <w:t>Kay.Tracy@state.mn.us</w:t>
            </w:r>
          </w:hyperlink>
        </w:p>
        <w:p w14:paraId="234B5191" w14:textId="77777777" w:rsidR="00F6052E" w:rsidRPr="004738ED" w:rsidRDefault="00F6052E" w:rsidP="00F6052E">
          <w:pPr>
            <w:rPr>
              <w:rStyle w:val="Hyperlink"/>
              <w:color w:val="auto"/>
              <w:u w:val="none"/>
            </w:rPr>
          </w:pPr>
          <w:r w:rsidRPr="0013434B">
            <w:rPr>
              <w:rStyle w:val="Hyperlink"/>
            </w:rPr>
            <w:fldChar w:fldCharType="begin"/>
          </w:r>
          <w:r w:rsidR="00003C92">
            <w:rPr>
              <w:rStyle w:val="Hyperlink"/>
            </w:rPr>
            <w:instrText>HYPERLINK "https://mn.gov/deed/" \o "DEED website"</w:instrText>
          </w:r>
          <w:r w:rsidRPr="0013434B">
            <w:rPr>
              <w:rStyle w:val="Hyperlink"/>
            </w:rPr>
            <w:fldChar w:fldCharType="separate"/>
          </w:r>
          <w:r>
            <w:rPr>
              <w:rStyle w:val="Hyperlink"/>
            </w:rPr>
            <w:t>mn.gov/</w:t>
          </w:r>
          <w:r w:rsidR="00003C92">
            <w:rPr>
              <w:rStyle w:val="Hyperlink"/>
            </w:rPr>
            <w:t>deed</w:t>
          </w:r>
        </w:p>
        <w:p w14:paraId="1B84E20C" w14:textId="33EC56DA" w:rsidR="00F6052E" w:rsidRPr="0042247B" w:rsidRDefault="00F6052E" w:rsidP="00F6052E">
          <w:r w:rsidRPr="0013434B">
            <w:rPr>
              <w:rStyle w:val="Hyperlink"/>
            </w:rPr>
            <w:fldChar w:fldCharType="end"/>
          </w:r>
          <w:r w:rsidRPr="0042247B">
            <w:t>As requested by Minnesota Statute 3.197: This report cost approximately $</w:t>
          </w:r>
          <w:r w:rsidR="008F4AD2">
            <w:t>149</w:t>
          </w:r>
          <w:r w:rsidRPr="0042247B">
            <w:t xml:space="preserve"> to prepare, including staff time, </w:t>
          </w:r>
          <w:proofErr w:type="gramStart"/>
          <w:r w:rsidRPr="0042247B">
            <w:t>printing</w:t>
          </w:r>
          <w:proofErr w:type="gramEnd"/>
          <w:r w:rsidRPr="0042247B">
            <w:t xml:space="preserve"> and mailing expenses.</w:t>
          </w:r>
        </w:p>
        <w:p w14:paraId="53E0ACF1" w14:textId="77777777" w:rsidR="00F6052E" w:rsidRDefault="00F6052E" w:rsidP="00F6052E">
          <w:pPr>
            <w:rPr>
              <w:rStyle w:val="Emphasis"/>
            </w:rPr>
          </w:pPr>
          <w:r w:rsidRPr="00BE1756">
            <w:rPr>
              <w:rStyle w:val="Emphasis"/>
            </w:rPr>
            <w:t xml:space="preserve">Upon request, this material will be made available in an alternative format such as large print, </w:t>
          </w:r>
          <w:proofErr w:type="gramStart"/>
          <w:r w:rsidRPr="00BE1756">
            <w:rPr>
              <w:rStyle w:val="Emphasis"/>
            </w:rPr>
            <w:t>Braille</w:t>
          </w:r>
          <w:proofErr w:type="gramEnd"/>
          <w:r w:rsidRPr="00BE1756">
            <w:rPr>
              <w:rStyle w:val="Emphasis"/>
            </w:rPr>
            <w:t xml:space="preserve"> or audio recording. Printed on recycled paper.</w:t>
          </w:r>
        </w:p>
        <w:p w14:paraId="6D57776F" w14:textId="77777777" w:rsidR="00074A30" w:rsidRDefault="00074A30">
          <w:pPr>
            <w:spacing w:before="120" w:after="0"/>
            <w:rPr>
              <w:rStyle w:val="Emphasis"/>
            </w:rPr>
            <w:sectPr w:rsidR="00074A30" w:rsidSect="00CF7D85">
              <w:footerReference w:type="default" r:id="rId13"/>
              <w:pgSz w:w="12240" w:h="15840" w:code="1"/>
              <w:pgMar w:top="1728" w:right="1080" w:bottom="1440" w:left="1080" w:header="0" w:footer="504" w:gutter="0"/>
              <w:cols w:space="720"/>
              <w:vAlign w:val="center"/>
              <w:titlePg/>
              <w:docGrid w:linePitch="326"/>
            </w:sectPr>
          </w:pPr>
        </w:p>
        <w:bookmarkStart w:id="2" w:name="_Toc93905753" w:displacedByCustomXml="next"/>
        <w:bookmarkStart w:id="3" w:name="_Toc86674303" w:displacedByCustomXml="next"/>
        <w:bookmarkStart w:id="4" w:name="_Toc534793188" w:displacedByCustomXml="next"/>
        <w:bookmarkStart w:id="5" w:name="_Toc92897047" w:displacedByCustomXml="next"/>
        <w:bookmarkStart w:id="6" w:name="_Toc93045289" w:displacedByCustomXml="next"/>
        <w:bookmarkStart w:id="7" w:name="_Toc461105257" w:displacedByCustomXml="next"/>
        <w:sdt>
          <w:sdtPr>
            <w:rPr>
              <w:rFonts w:ascii="Calibri" w:eastAsia="Times New Roman" w:hAnsi="Calibri" w:cs="Times New Roman"/>
              <w:b w:val="0"/>
              <w:bCs/>
              <w:i/>
              <w:color w:val="auto"/>
              <w:sz w:val="22"/>
              <w:szCs w:val="22"/>
            </w:rPr>
            <w:id w:val="-1936895440"/>
            <w:docPartObj>
              <w:docPartGallery w:val="Table of Contents"/>
              <w:docPartUnique/>
            </w:docPartObj>
          </w:sdtPr>
          <w:sdtEndPr>
            <w:rPr>
              <w:bCs w:val="0"/>
              <w:noProof/>
            </w:rPr>
          </w:sdtEndPr>
          <w:sdtContent>
            <w:p w14:paraId="1A56DC4D" w14:textId="77777777" w:rsidR="00D67F10" w:rsidRDefault="00014777" w:rsidP="00014777">
              <w:pPr>
                <w:pStyle w:val="Heading2"/>
                <w:rPr>
                  <w:noProof/>
                </w:rPr>
              </w:pPr>
              <w:r>
                <w:t>Contents</w:t>
              </w:r>
              <w:bookmarkEnd w:id="6"/>
              <w:bookmarkEnd w:id="5"/>
              <w:bookmarkEnd w:id="4"/>
              <w:bookmarkEnd w:id="3"/>
              <w:bookmarkEnd w:id="2"/>
              <w:r>
                <w:rPr>
                  <w:rFonts w:asciiTheme="majorHAnsi" w:hAnsiTheme="majorHAnsi"/>
                  <w:color w:val="00294B" w:themeColor="accent1" w:themeShade="BF"/>
                  <w:sz w:val="28"/>
                  <w:szCs w:val="28"/>
                </w:rPr>
                <w:fldChar w:fldCharType="begin"/>
              </w:r>
              <w:r>
                <w:instrText xml:space="preserve"> TOC \o "1-3" \h \z \u </w:instrText>
              </w:r>
              <w:r>
                <w:rPr>
                  <w:rFonts w:asciiTheme="majorHAnsi" w:hAnsiTheme="majorHAnsi"/>
                  <w:color w:val="00294B" w:themeColor="accent1" w:themeShade="BF"/>
                  <w:sz w:val="28"/>
                  <w:szCs w:val="28"/>
                </w:rPr>
                <w:fldChar w:fldCharType="separate"/>
              </w:r>
            </w:p>
            <w:p w14:paraId="007BDCBA" w14:textId="2415E889" w:rsidR="00D67F10" w:rsidRDefault="00D67F10">
              <w:pPr>
                <w:pStyle w:val="TOC2"/>
                <w:tabs>
                  <w:tab w:val="right" w:leader="dot" w:pos="10070"/>
                </w:tabs>
                <w:rPr>
                  <w:rFonts w:asciiTheme="minorHAnsi" w:eastAsiaTheme="minorEastAsia" w:hAnsiTheme="minorHAnsi" w:cstheme="minorBidi"/>
                  <w:noProof/>
                  <w:lang w:bidi="ar-SA"/>
                </w:rPr>
              </w:pPr>
              <w:hyperlink w:anchor="_Toc93905754" w:history="1">
                <w:r w:rsidRPr="00C83663">
                  <w:rPr>
                    <w:rStyle w:val="Hyperlink"/>
                    <w:noProof/>
                  </w:rPr>
                  <w:t>Introduction</w:t>
                </w:r>
                <w:r>
                  <w:rPr>
                    <w:noProof/>
                    <w:webHidden/>
                  </w:rPr>
                  <w:tab/>
                </w:r>
                <w:r>
                  <w:rPr>
                    <w:noProof/>
                    <w:webHidden/>
                  </w:rPr>
                  <w:fldChar w:fldCharType="begin"/>
                </w:r>
                <w:r>
                  <w:rPr>
                    <w:noProof/>
                    <w:webHidden/>
                  </w:rPr>
                  <w:instrText xml:space="preserve"> PAGEREF _Toc93905754 \h </w:instrText>
                </w:r>
                <w:r>
                  <w:rPr>
                    <w:noProof/>
                    <w:webHidden/>
                  </w:rPr>
                </w:r>
                <w:r>
                  <w:rPr>
                    <w:noProof/>
                    <w:webHidden/>
                  </w:rPr>
                  <w:fldChar w:fldCharType="separate"/>
                </w:r>
                <w:r>
                  <w:rPr>
                    <w:noProof/>
                    <w:webHidden/>
                  </w:rPr>
                  <w:t>4</w:t>
                </w:r>
                <w:r>
                  <w:rPr>
                    <w:noProof/>
                    <w:webHidden/>
                  </w:rPr>
                  <w:fldChar w:fldCharType="end"/>
                </w:r>
              </w:hyperlink>
            </w:p>
            <w:p w14:paraId="2ACF7CCD" w14:textId="329FDAD9" w:rsidR="00D67F10" w:rsidRDefault="00D67F10">
              <w:pPr>
                <w:pStyle w:val="TOC2"/>
                <w:tabs>
                  <w:tab w:val="right" w:leader="dot" w:pos="10070"/>
                </w:tabs>
                <w:rPr>
                  <w:rFonts w:asciiTheme="minorHAnsi" w:eastAsiaTheme="minorEastAsia" w:hAnsiTheme="minorHAnsi" w:cstheme="minorBidi"/>
                  <w:noProof/>
                  <w:lang w:bidi="ar-SA"/>
                </w:rPr>
              </w:pPr>
              <w:hyperlink w:anchor="_Toc93905755" w:history="1">
                <w:r w:rsidRPr="00C83663">
                  <w:rPr>
                    <w:rStyle w:val="Hyperlink"/>
                    <w:noProof/>
                  </w:rPr>
                  <w:t>Summary of Goals and Objectives Presented in the Work Plan</w:t>
                </w:r>
                <w:r>
                  <w:rPr>
                    <w:noProof/>
                    <w:webHidden/>
                  </w:rPr>
                  <w:tab/>
                </w:r>
                <w:r>
                  <w:rPr>
                    <w:noProof/>
                    <w:webHidden/>
                  </w:rPr>
                  <w:fldChar w:fldCharType="begin"/>
                </w:r>
                <w:r>
                  <w:rPr>
                    <w:noProof/>
                    <w:webHidden/>
                  </w:rPr>
                  <w:instrText xml:space="preserve"> PAGEREF _Toc93905755 \h </w:instrText>
                </w:r>
                <w:r>
                  <w:rPr>
                    <w:noProof/>
                    <w:webHidden/>
                  </w:rPr>
                </w:r>
                <w:r>
                  <w:rPr>
                    <w:noProof/>
                    <w:webHidden/>
                  </w:rPr>
                  <w:fldChar w:fldCharType="separate"/>
                </w:r>
                <w:r>
                  <w:rPr>
                    <w:noProof/>
                    <w:webHidden/>
                  </w:rPr>
                  <w:t>4</w:t>
                </w:r>
                <w:r>
                  <w:rPr>
                    <w:noProof/>
                    <w:webHidden/>
                  </w:rPr>
                  <w:fldChar w:fldCharType="end"/>
                </w:r>
              </w:hyperlink>
            </w:p>
            <w:p w14:paraId="74F384E9" w14:textId="284731B0" w:rsidR="00D67F10" w:rsidRDefault="00D67F10">
              <w:pPr>
                <w:pStyle w:val="TOC2"/>
                <w:tabs>
                  <w:tab w:val="right" w:leader="dot" w:pos="10070"/>
                </w:tabs>
                <w:rPr>
                  <w:rFonts w:asciiTheme="minorHAnsi" w:eastAsiaTheme="minorEastAsia" w:hAnsiTheme="minorHAnsi" w:cstheme="minorBidi"/>
                  <w:noProof/>
                  <w:lang w:bidi="ar-SA"/>
                </w:rPr>
              </w:pPr>
              <w:hyperlink w:anchor="_Toc93905756" w:history="1">
                <w:r w:rsidRPr="00C83663">
                  <w:rPr>
                    <w:rStyle w:val="Hyperlink"/>
                    <w:noProof/>
                  </w:rPr>
                  <w:t>Program Activities</w:t>
                </w:r>
                <w:r>
                  <w:rPr>
                    <w:noProof/>
                    <w:webHidden/>
                  </w:rPr>
                  <w:tab/>
                </w:r>
                <w:r>
                  <w:rPr>
                    <w:noProof/>
                    <w:webHidden/>
                  </w:rPr>
                  <w:fldChar w:fldCharType="begin"/>
                </w:r>
                <w:r>
                  <w:rPr>
                    <w:noProof/>
                    <w:webHidden/>
                  </w:rPr>
                  <w:instrText xml:space="preserve"> PAGEREF _Toc93905756 \h </w:instrText>
                </w:r>
                <w:r>
                  <w:rPr>
                    <w:noProof/>
                    <w:webHidden/>
                  </w:rPr>
                </w:r>
                <w:r>
                  <w:rPr>
                    <w:noProof/>
                    <w:webHidden/>
                  </w:rPr>
                  <w:fldChar w:fldCharType="separate"/>
                </w:r>
                <w:r>
                  <w:rPr>
                    <w:noProof/>
                    <w:webHidden/>
                  </w:rPr>
                  <w:t>5</w:t>
                </w:r>
                <w:r>
                  <w:rPr>
                    <w:noProof/>
                    <w:webHidden/>
                  </w:rPr>
                  <w:fldChar w:fldCharType="end"/>
                </w:r>
              </w:hyperlink>
            </w:p>
            <w:p w14:paraId="3D3ECC14" w14:textId="472F9AE4" w:rsidR="00D67F10" w:rsidRDefault="00D67F10">
              <w:pPr>
                <w:pStyle w:val="TOC2"/>
                <w:tabs>
                  <w:tab w:val="right" w:leader="dot" w:pos="10070"/>
                </w:tabs>
                <w:rPr>
                  <w:rFonts w:asciiTheme="minorHAnsi" w:eastAsiaTheme="minorEastAsia" w:hAnsiTheme="minorHAnsi" w:cstheme="minorBidi"/>
                  <w:noProof/>
                  <w:lang w:bidi="ar-SA"/>
                </w:rPr>
              </w:pPr>
              <w:hyperlink w:anchor="_Toc93905757" w:history="1">
                <w:r w:rsidRPr="00C83663">
                  <w:rPr>
                    <w:rStyle w:val="Hyperlink"/>
                    <w:noProof/>
                  </w:rPr>
                  <w:t>Effect of COVID-19 on Big Brothers Big Sisters Activities</w:t>
                </w:r>
                <w:r>
                  <w:rPr>
                    <w:noProof/>
                    <w:webHidden/>
                  </w:rPr>
                  <w:tab/>
                </w:r>
                <w:r>
                  <w:rPr>
                    <w:noProof/>
                    <w:webHidden/>
                  </w:rPr>
                  <w:fldChar w:fldCharType="begin"/>
                </w:r>
                <w:r>
                  <w:rPr>
                    <w:noProof/>
                    <w:webHidden/>
                  </w:rPr>
                  <w:instrText xml:space="preserve"> PAGEREF _Toc93905757 \h </w:instrText>
                </w:r>
                <w:r>
                  <w:rPr>
                    <w:noProof/>
                    <w:webHidden/>
                  </w:rPr>
                </w:r>
                <w:r>
                  <w:rPr>
                    <w:noProof/>
                    <w:webHidden/>
                  </w:rPr>
                  <w:fldChar w:fldCharType="separate"/>
                </w:r>
                <w:r>
                  <w:rPr>
                    <w:noProof/>
                    <w:webHidden/>
                  </w:rPr>
                  <w:t>6</w:t>
                </w:r>
                <w:r>
                  <w:rPr>
                    <w:noProof/>
                    <w:webHidden/>
                  </w:rPr>
                  <w:fldChar w:fldCharType="end"/>
                </w:r>
              </w:hyperlink>
            </w:p>
            <w:p w14:paraId="2D27ED04" w14:textId="297E37C3" w:rsidR="00D67F10" w:rsidRDefault="00D67F10">
              <w:pPr>
                <w:pStyle w:val="TOC2"/>
                <w:tabs>
                  <w:tab w:val="right" w:leader="dot" w:pos="10070"/>
                </w:tabs>
                <w:rPr>
                  <w:rFonts w:asciiTheme="minorHAnsi" w:eastAsiaTheme="minorEastAsia" w:hAnsiTheme="minorHAnsi" w:cstheme="minorBidi"/>
                  <w:noProof/>
                  <w:lang w:bidi="ar-SA"/>
                </w:rPr>
              </w:pPr>
              <w:hyperlink w:anchor="_Toc93905758" w:history="1">
                <w:r w:rsidRPr="00C83663">
                  <w:rPr>
                    <w:rStyle w:val="Hyperlink"/>
                    <w:noProof/>
                  </w:rPr>
                  <w:t>Participant Data</w:t>
                </w:r>
                <w:r>
                  <w:rPr>
                    <w:noProof/>
                    <w:webHidden/>
                  </w:rPr>
                  <w:tab/>
                </w:r>
                <w:r>
                  <w:rPr>
                    <w:noProof/>
                    <w:webHidden/>
                  </w:rPr>
                  <w:fldChar w:fldCharType="begin"/>
                </w:r>
                <w:r>
                  <w:rPr>
                    <w:noProof/>
                    <w:webHidden/>
                  </w:rPr>
                  <w:instrText xml:space="preserve"> PAGEREF _Toc93905758 \h </w:instrText>
                </w:r>
                <w:r>
                  <w:rPr>
                    <w:noProof/>
                    <w:webHidden/>
                  </w:rPr>
                </w:r>
                <w:r>
                  <w:rPr>
                    <w:noProof/>
                    <w:webHidden/>
                  </w:rPr>
                  <w:fldChar w:fldCharType="separate"/>
                </w:r>
                <w:r>
                  <w:rPr>
                    <w:noProof/>
                    <w:webHidden/>
                  </w:rPr>
                  <w:t>6</w:t>
                </w:r>
                <w:r>
                  <w:rPr>
                    <w:noProof/>
                    <w:webHidden/>
                  </w:rPr>
                  <w:fldChar w:fldCharType="end"/>
                </w:r>
              </w:hyperlink>
            </w:p>
            <w:p w14:paraId="6FBC6C72" w14:textId="7676E571" w:rsidR="00D67F10" w:rsidRDefault="00D67F10">
              <w:pPr>
                <w:pStyle w:val="TOC3"/>
                <w:tabs>
                  <w:tab w:val="right" w:leader="dot" w:pos="10070"/>
                </w:tabs>
                <w:rPr>
                  <w:rFonts w:asciiTheme="minorHAnsi" w:eastAsiaTheme="minorEastAsia" w:hAnsiTheme="minorHAnsi" w:cstheme="minorBidi"/>
                  <w:noProof/>
                  <w:lang w:bidi="ar-SA"/>
                </w:rPr>
              </w:pPr>
              <w:hyperlink w:anchor="_Toc93905759" w:history="1">
                <w:r w:rsidRPr="00C83663">
                  <w:rPr>
                    <w:rStyle w:val="Hyperlink"/>
                    <w:noProof/>
                  </w:rPr>
                  <w:t>Demographic Data</w:t>
                </w:r>
                <w:r>
                  <w:rPr>
                    <w:noProof/>
                    <w:webHidden/>
                  </w:rPr>
                  <w:tab/>
                </w:r>
                <w:r>
                  <w:rPr>
                    <w:noProof/>
                    <w:webHidden/>
                  </w:rPr>
                  <w:fldChar w:fldCharType="begin"/>
                </w:r>
                <w:r>
                  <w:rPr>
                    <w:noProof/>
                    <w:webHidden/>
                  </w:rPr>
                  <w:instrText xml:space="preserve"> PAGEREF _Toc93905759 \h </w:instrText>
                </w:r>
                <w:r>
                  <w:rPr>
                    <w:noProof/>
                    <w:webHidden/>
                  </w:rPr>
                </w:r>
                <w:r>
                  <w:rPr>
                    <w:noProof/>
                    <w:webHidden/>
                  </w:rPr>
                  <w:fldChar w:fldCharType="separate"/>
                </w:r>
                <w:r>
                  <w:rPr>
                    <w:noProof/>
                    <w:webHidden/>
                  </w:rPr>
                  <w:t>7</w:t>
                </w:r>
                <w:r>
                  <w:rPr>
                    <w:noProof/>
                    <w:webHidden/>
                  </w:rPr>
                  <w:fldChar w:fldCharType="end"/>
                </w:r>
              </w:hyperlink>
            </w:p>
            <w:p w14:paraId="2A9941E2" w14:textId="663776F6" w:rsidR="00D67F10" w:rsidRDefault="00D67F10">
              <w:pPr>
                <w:pStyle w:val="TOC3"/>
                <w:tabs>
                  <w:tab w:val="right" w:leader="dot" w:pos="10070"/>
                </w:tabs>
                <w:rPr>
                  <w:rFonts w:asciiTheme="minorHAnsi" w:eastAsiaTheme="minorEastAsia" w:hAnsiTheme="minorHAnsi" w:cstheme="minorBidi"/>
                  <w:noProof/>
                  <w:lang w:bidi="ar-SA"/>
                </w:rPr>
              </w:pPr>
              <w:hyperlink w:anchor="_Toc93905760" w:history="1">
                <w:r w:rsidRPr="00C83663">
                  <w:rPr>
                    <w:rStyle w:val="Hyperlink"/>
                    <w:noProof/>
                  </w:rPr>
                  <w:t>Program Services, Activities, and Other Related Assistance</w:t>
                </w:r>
                <w:r>
                  <w:rPr>
                    <w:noProof/>
                    <w:webHidden/>
                  </w:rPr>
                  <w:tab/>
                </w:r>
                <w:r>
                  <w:rPr>
                    <w:noProof/>
                    <w:webHidden/>
                  </w:rPr>
                  <w:fldChar w:fldCharType="begin"/>
                </w:r>
                <w:r>
                  <w:rPr>
                    <w:noProof/>
                    <w:webHidden/>
                  </w:rPr>
                  <w:instrText xml:space="preserve"> PAGEREF _Toc93905760 \h </w:instrText>
                </w:r>
                <w:r>
                  <w:rPr>
                    <w:noProof/>
                    <w:webHidden/>
                  </w:rPr>
                </w:r>
                <w:r>
                  <w:rPr>
                    <w:noProof/>
                    <w:webHidden/>
                  </w:rPr>
                  <w:fldChar w:fldCharType="separate"/>
                </w:r>
                <w:r>
                  <w:rPr>
                    <w:noProof/>
                    <w:webHidden/>
                  </w:rPr>
                  <w:t>7</w:t>
                </w:r>
                <w:r>
                  <w:rPr>
                    <w:noProof/>
                    <w:webHidden/>
                  </w:rPr>
                  <w:fldChar w:fldCharType="end"/>
                </w:r>
              </w:hyperlink>
            </w:p>
            <w:p w14:paraId="5481474D" w14:textId="02B8D86A" w:rsidR="00D67F10" w:rsidRDefault="00D67F10">
              <w:pPr>
                <w:pStyle w:val="TOC3"/>
                <w:tabs>
                  <w:tab w:val="right" w:leader="dot" w:pos="10070"/>
                </w:tabs>
                <w:rPr>
                  <w:rFonts w:asciiTheme="minorHAnsi" w:eastAsiaTheme="minorEastAsia" w:hAnsiTheme="minorHAnsi" w:cstheme="minorBidi"/>
                  <w:noProof/>
                  <w:lang w:bidi="ar-SA"/>
                </w:rPr>
              </w:pPr>
              <w:hyperlink w:anchor="_Toc93905761" w:history="1">
                <w:r w:rsidRPr="00C83663">
                  <w:rPr>
                    <w:rStyle w:val="Hyperlink"/>
                    <w:noProof/>
                  </w:rPr>
                  <w:t>Customer Satisfaction</w:t>
                </w:r>
                <w:r>
                  <w:rPr>
                    <w:noProof/>
                    <w:webHidden/>
                  </w:rPr>
                  <w:tab/>
                </w:r>
                <w:r>
                  <w:rPr>
                    <w:noProof/>
                    <w:webHidden/>
                  </w:rPr>
                  <w:fldChar w:fldCharType="begin"/>
                </w:r>
                <w:r>
                  <w:rPr>
                    <w:noProof/>
                    <w:webHidden/>
                  </w:rPr>
                  <w:instrText xml:space="preserve"> PAGEREF _Toc93905761 \h </w:instrText>
                </w:r>
                <w:r>
                  <w:rPr>
                    <w:noProof/>
                    <w:webHidden/>
                  </w:rPr>
                </w:r>
                <w:r>
                  <w:rPr>
                    <w:noProof/>
                    <w:webHidden/>
                  </w:rPr>
                  <w:fldChar w:fldCharType="separate"/>
                </w:r>
                <w:r>
                  <w:rPr>
                    <w:noProof/>
                    <w:webHidden/>
                  </w:rPr>
                  <w:t>8</w:t>
                </w:r>
                <w:r>
                  <w:rPr>
                    <w:noProof/>
                    <w:webHidden/>
                  </w:rPr>
                  <w:fldChar w:fldCharType="end"/>
                </w:r>
              </w:hyperlink>
            </w:p>
            <w:p w14:paraId="7E994AC2" w14:textId="69CAC24F" w:rsidR="00D67F10" w:rsidRDefault="00D67F10">
              <w:pPr>
                <w:pStyle w:val="TOC2"/>
                <w:tabs>
                  <w:tab w:val="right" w:leader="dot" w:pos="10070"/>
                </w:tabs>
                <w:rPr>
                  <w:rFonts w:asciiTheme="minorHAnsi" w:eastAsiaTheme="minorEastAsia" w:hAnsiTheme="minorHAnsi" w:cstheme="minorBidi"/>
                  <w:noProof/>
                  <w:lang w:bidi="ar-SA"/>
                </w:rPr>
              </w:pPr>
              <w:hyperlink w:anchor="_Toc93905762" w:history="1">
                <w:r w:rsidRPr="00C83663">
                  <w:rPr>
                    <w:rStyle w:val="Hyperlink"/>
                    <w:noProof/>
                  </w:rPr>
                  <w:t>Expenditure Data</w:t>
                </w:r>
                <w:r>
                  <w:rPr>
                    <w:noProof/>
                    <w:webHidden/>
                  </w:rPr>
                  <w:tab/>
                </w:r>
                <w:r>
                  <w:rPr>
                    <w:noProof/>
                    <w:webHidden/>
                  </w:rPr>
                  <w:fldChar w:fldCharType="begin"/>
                </w:r>
                <w:r>
                  <w:rPr>
                    <w:noProof/>
                    <w:webHidden/>
                  </w:rPr>
                  <w:instrText xml:space="preserve"> PAGEREF _Toc93905762 \h </w:instrText>
                </w:r>
                <w:r>
                  <w:rPr>
                    <w:noProof/>
                    <w:webHidden/>
                  </w:rPr>
                </w:r>
                <w:r>
                  <w:rPr>
                    <w:noProof/>
                    <w:webHidden/>
                  </w:rPr>
                  <w:fldChar w:fldCharType="separate"/>
                </w:r>
                <w:r>
                  <w:rPr>
                    <w:noProof/>
                    <w:webHidden/>
                  </w:rPr>
                  <w:t>8</w:t>
                </w:r>
                <w:r>
                  <w:rPr>
                    <w:noProof/>
                    <w:webHidden/>
                  </w:rPr>
                  <w:fldChar w:fldCharType="end"/>
                </w:r>
              </w:hyperlink>
            </w:p>
            <w:p w14:paraId="59D5E2FF" w14:textId="7DCFA8C6" w:rsidR="00D67F10" w:rsidRDefault="00D67F10">
              <w:pPr>
                <w:pStyle w:val="TOC2"/>
                <w:tabs>
                  <w:tab w:val="right" w:leader="dot" w:pos="10070"/>
                </w:tabs>
                <w:rPr>
                  <w:rFonts w:asciiTheme="minorHAnsi" w:eastAsiaTheme="minorEastAsia" w:hAnsiTheme="minorHAnsi" w:cstheme="minorBidi"/>
                  <w:noProof/>
                  <w:lang w:bidi="ar-SA"/>
                </w:rPr>
              </w:pPr>
              <w:hyperlink w:anchor="_Toc93905763" w:history="1">
                <w:r w:rsidRPr="00C83663">
                  <w:rPr>
                    <w:rStyle w:val="Hyperlink"/>
                    <w:noProof/>
                  </w:rPr>
                  <w:t>Program Successes</w:t>
                </w:r>
                <w:r>
                  <w:rPr>
                    <w:noProof/>
                    <w:webHidden/>
                  </w:rPr>
                  <w:tab/>
                </w:r>
                <w:r>
                  <w:rPr>
                    <w:noProof/>
                    <w:webHidden/>
                  </w:rPr>
                  <w:fldChar w:fldCharType="begin"/>
                </w:r>
                <w:r>
                  <w:rPr>
                    <w:noProof/>
                    <w:webHidden/>
                  </w:rPr>
                  <w:instrText xml:space="preserve"> PAGEREF _Toc93905763 \h </w:instrText>
                </w:r>
                <w:r>
                  <w:rPr>
                    <w:noProof/>
                    <w:webHidden/>
                  </w:rPr>
                </w:r>
                <w:r>
                  <w:rPr>
                    <w:noProof/>
                    <w:webHidden/>
                  </w:rPr>
                  <w:fldChar w:fldCharType="separate"/>
                </w:r>
                <w:r>
                  <w:rPr>
                    <w:noProof/>
                    <w:webHidden/>
                  </w:rPr>
                  <w:t>8</w:t>
                </w:r>
                <w:r>
                  <w:rPr>
                    <w:noProof/>
                    <w:webHidden/>
                  </w:rPr>
                  <w:fldChar w:fldCharType="end"/>
                </w:r>
              </w:hyperlink>
            </w:p>
            <w:p w14:paraId="7D72277A" w14:textId="54FF87F9" w:rsidR="00D67F10" w:rsidRDefault="00D67F10">
              <w:pPr>
                <w:pStyle w:val="TOC2"/>
                <w:tabs>
                  <w:tab w:val="right" w:leader="dot" w:pos="10070"/>
                </w:tabs>
                <w:rPr>
                  <w:rFonts w:asciiTheme="minorHAnsi" w:eastAsiaTheme="minorEastAsia" w:hAnsiTheme="minorHAnsi" w:cstheme="minorBidi"/>
                  <w:noProof/>
                  <w:lang w:bidi="ar-SA"/>
                </w:rPr>
              </w:pPr>
              <w:hyperlink w:anchor="_Toc93905764" w:history="1">
                <w:r w:rsidRPr="00C83663">
                  <w:rPr>
                    <w:rStyle w:val="Hyperlink"/>
                    <w:noProof/>
                  </w:rPr>
                  <w:t>Future Allocation</w:t>
                </w:r>
                <w:r>
                  <w:rPr>
                    <w:noProof/>
                    <w:webHidden/>
                  </w:rPr>
                  <w:tab/>
                </w:r>
                <w:r>
                  <w:rPr>
                    <w:noProof/>
                    <w:webHidden/>
                  </w:rPr>
                  <w:fldChar w:fldCharType="begin"/>
                </w:r>
                <w:r>
                  <w:rPr>
                    <w:noProof/>
                    <w:webHidden/>
                  </w:rPr>
                  <w:instrText xml:space="preserve"> PAGEREF _Toc93905764 \h </w:instrText>
                </w:r>
                <w:r>
                  <w:rPr>
                    <w:noProof/>
                    <w:webHidden/>
                  </w:rPr>
                </w:r>
                <w:r>
                  <w:rPr>
                    <w:noProof/>
                    <w:webHidden/>
                  </w:rPr>
                  <w:fldChar w:fldCharType="separate"/>
                </w:r>
                <w:r>
                  <w:rPr>
                    <w:noProof/>
                    <w:webHidden/>
                  </w:rPr>
                  <w:t>9</w:t>
                </w:r>
                <w:r>
                  <w:rPr>
                    <w:noProof/>
                    <w:webHidden/>
                  </w:rPr>
                  <w:fldChar w:fldCharType="end"/>
                </w:r>
              </w:hyperlink>
            </w:p>
            <w:p w14:paraId="52FE39A4" w14:textId="77777777" w:rsidR="00014777" w:rsidRPr="003F61EE" w:rsidRDefault="00014777" w:rsidP="00014777">
              <w:pPr>
                <w:tabs>
                  <w:tab w:val="right" w:leader="dot" w:pos="10070"/>
                </w:tabs>
                <w:rPr>
                  <w:rFonts w:eastAsiaTheme="minorEastAsia" w:cstheme="minorBidi"/>
                  <w:noProof/>
                  <w:lang w:bidi="ar-SA"/>
                </w:rPr>
              </w:pPr>
              <w:r>
                <w:rPr>
                  <w:b/>
                  <w:bCs/>
                  <w:noProof/>
                </w:rPr>
                <w:fldChar w:fldCharType="end"/>
              </w:r>
            </w:p>
          </w:sdtContent>
        </w:sdt>
        <w:p w14:paraId="7DF61D65" w14:textId="77777777" w:rsidR="00014777" w:rsidRDefault="00014777" w:rsidP="006B0D98">
          <w:pPr>
            <w:rPr>
              <w:rFonts w:eastAsiaTheme="majorEastAsia"/>
            </w:rPr>
          </w:pPr>
          <w:r>
            <w:br w:type="page"/>
          </w:r>
        </w:p>
        <w:p w14:paraId="65D29D35" w14:textId="51AD00DC" w:rsidR="00E41BD2" w:rsidRPr="00BA23A4" w:rsidRDefault="008D1B20" w:rsidP="000261E8">
          <w:pPr>
            <w:pStyle w:val="Heading2"/>
          </w:pPr>
          <w:bookmarkStart w:id="8" w:name="_Toc93905754"/>
          <w:bookmarkEnd w:id="7"/>
          <w:r>
            <w:lastRenderedPageBreak/>
            <w:t>Introduction</w:t>
          </w:r>
        </w:p>
      </w:sdtContent>
    </w:sdt>
    <w:bookmarkEnd w:id="8" w:displacedByCustomXml="prev"/>
    <w:p w14:paraId="3E180CC8" w14:textId="7B5E90BA" w:rsidR="008D1B20" w:rsidRDefault="008D1B20" w:rsidP="008D1B20">
      <w:bookmarkStart w:id="9" w:name="_Toc502833079"/>
      <w:r>
        <w:t>The Minnesota State Legislature appropriated $</w:t>
      </w:r>
      <w:r w:rsidR="006A7152">
        <w:t>237,500</w:t>
      </w:r>
      <w:r>
        <w:t xml:space="preserve"> ($</w:t>
      </w:r>
      <w:r w:rsidR="006A7152">
        <w:t>25</w:t>
      </w:r>
      <w:r>
        <w:t>0,000 minus $</w:t>
      </w:r>
      <w:r w:rsidR="006A7152">
        <w:t xml:space="preserve">12,500 </w:t>
      </w:r>
      <w:r>
        <w:t xml:space="preserve">for DEED administration) in </w:t>
      </w:r>
      <w:hyperlink r:id="rId14" w:history="1">
        <w:r w:rsidRPr="00E35399">
          <w:rPr>
            <w:rStyle w:val="Hyperlink"/>
          </w:rPr>
          <w:t xml:space="preserve">2019 Minnesota </w:t>
        </w:r>
        <w:r w:rsidR="00E35399" w:rsidRPr="00E35399">
          <w:rPr>
            <w:rStyle w:val="Hyperlink"/>
          </w:rPr>
          <w:t>1</w:t>
        </w:r>
        <w:r w:rsidR="00E35399" w:rsidRPr="00E35399">
          <w:rPr>
            <w:rStyle w:val="Hyperlink"/>
            <w:vertAlign w:val="superscript"/>
          </w:rPr>
          <w:t>st</w:t>
        </w:r>
        <w:r w:rsidR="00E35399" w:rsidRPr="00E35399">
          <w:rPr>
            <w:rStyle w:val="Hyperlink"/>
          </w:rPr>
          <w:t xml:space="preserve"> Special </w:t>
        </w:r>
        <w:r w:rsidRPr="00E35399">
          <w:rPr>
            <w:rStyle w:val="Hyperlink"/>
          </w:rPr>
          <w:t>Session Laws, Chapter 7, House File 2, Section 2, Subdivision 3 (</w:t>
        </w:r>
        <w:r w:rsidR="009531C0">
          <w:rPr>
            <w:rStyle w:val="Hyperlink"/>
          </w:rPr>
          <w:t>g</w:t>
        </w:r>
        <w:r w:rsidR="00234E02">
          <w:rPr>
            <w:rStyle w:val="Hyperlink"/>
          </w:rPr>
          <w:t>g</w:t>
        </w:r>
        <w:r w:rsidRPr="00E35399">
          <w:rPr>
            <w:rStyle w:val="Hyperlink"/>
          </w:rPr>
          <w:t>)</w:t>
        </w:r>
      </w:hyperlink>
      <w:r>
        <w:rPr>
          <w:rStyle w:val="Hyperlink"/>
        </w:rPr>
        <w:t xml:space="preserve"> </w:t>
      </w:r>
      <w:r>
        <w:t xml:space="preserve">for SFY 21 to </w:t>
      </w:r>
      <w:r w:rsidR="00392DF3">
        <w:t>Big Brothers Big Sisters of the Greater Twin Cities</w:t>
      </w:r>
      <w:r w:rsidR="00234E02">
        <w:t xml:space="preserve"> to provide</w:t>
      </w:r>
      <w:r w:rsidR="00032411">
        <w:t xml:space="preserve"> work readiness, employment exploration, and skills development for youth ages 12 to 21</w:t>
      </w:r>
      <w:r w:rsidR="00736BAB">
        <w:t xml:space="preserve"> in the Twin Cities, central Minnesota and southern Minnesota. </w:t>
      </w:r>
    </w:p>
    <w:p w14:paraId="6A9CE1B6" w14:textId="0B66DE8D" w:rsidR="00B00823" w:rsidRPr="005B76BE" w:rsidRDefault="00E35399" w:rsidP="006B57A9">
      <w:pPr>
        <w:pStyle w:val="Heading2"/>
      </w:pPr>
      <w:bookmarkStart w:id="10" w:name="_Toc93905755"/>
      <w:r>
        <w:t>Summary of Goals and Objectives Presented in the Work Plan</w:t>
      </w:r>
      <w:bookmarkEnd w:id="10"/>
    </w:p>
    <w:p w14:paraId="0A99B5E8" w14:textId="77777777" w:rsidR="00677FED" w:rsidRPr="00677FED" w:rsidRDefault="002B2C94" w:rsidP="00E23CED">
      <w:r w:rsidRPr="00677FED">
        <w:t xml:space="preserve">Teen Program: College &amp; Career Readiness is part of </w:t>
      </w:r>
      <w:r w:rsidR="003848D6" w:rsidRPr="00677FED">
        <w:t>Big Brothers Big Sisters (</w:t>
      </w:r>
      <w:r w:rsidRPr="00677FED">
        <w:t>BBBS</w:t>
      </w:r>
      <w:r w:rsidR="00592588" w:rsidRPr="00677FED">
        <w:t>)</w:t>
      </w:r>
      <w:r w:rsidRPr="00677FED">
        <w:t>, the nation’s largest mentoring program, which matches youth facing adversity with mentors when they are between the ages of 8 and 12 and continues to support them until young adulthood. In addition to receiving tremendous benefits from forming positive relationships with their mentors, mentees are also able to participate in numerous enrichment activities hosted by BBBS. As part of this, BBBS helps youth (both mentees and youth mentors) plan for their education and career futures, including by offering a Career &amp; College Readiness structure that provides guidance and opportunities.</w:t>
      </w:r>
    </w:p>
    <w:p w14:paraId="671E5129" w14:textId="064120C2" w:rsidR="002B2C94" w:rsidRPr="00677FED" w:rsidRDefault="00616281" w:rsidP="00E23CED">
      <w:r>
        <w:t>T</w:t>
      </w:r>
      <w:r w:rsidR="002B2C94" w:rsidRPr="00677FED">
        <w:t xml:space="preserve">he BBBS agencies will undertake the following activities </w:t>
      </w:r>
      <w:proofErr w:type="gramStart"/>
      <w:r w:rsidR="002B2C94" w:rsidRPr="00677FED">
        <w:t>in order to</w:t>
      </w:r>
      <w:proofErr w:type="gramEnd"/>
      <w:r w:rsidR="002B2C94" w:rsidRPr="00677FED">
        <w:t xml:space="preserve"> prepare youth between the ages of 12 and 21 for the future workforce.</w:t>
      </w:r>
    </w:p>
    <w:p w14:paraId="111C8EA7" w14:textId="3EE5858C" w:rsidR="002B2C94" w:rsidRPr="00F21857" w:rsidRDefault="002B2C94" w:rsidP="00E23CED">
      <w:pPr>
        <w:rPr>
          <w:b/>
          <w:bCs/>
        </w:rPr>
      </w:pPr>
      <w:r w:rsidRPr="00F21857">
        <w:rPr>
          <w:b/>
          <w:bCs/>
          <w:i/>
          <w:iCs/>
        </w:rPr>
        <w:t>Goal 1: Implement Career &amp; College Readiness Programming: Offer a comprehensive Career &amp; College Readiness program for youth 12-21 that includes both individual counseling and group activities focusing on interest identification and development, career exploration, work-based learning and skill building opportunities, and culminating in actualizing post-secondary plans.</w:t>
      </w:r>
    </w:p>
    <w:p w14:paraId="7CC434C2" w14:textId="42495C19" w:rsidR="002B2C94" w:rsidRPr="00677FED" w:rsidRDefault="002B2C94" w:rsidP="00E23CED">
      <w:r w:rsidRPr="00677FED">
        <w:t xml:space="preserve">In the Twin Cities, this </w:t>
      </w:r>
      <w:r w:rsidR="0007601A">
        <w:t>includes</w:t>
      </w:r>
      <w:r w:rsidRPr="00677FED">
        <w:t xml:space="preserve"> theme-based programming for youth in grades 7-10; assessments for interest identification and alignment; short-term goal planning based on CCR; college and career exploration and readiness events; soft-skills building for future employment; parent support and engagement; and mentor training and support. BBBS Twin Cities also added Graduation Coaches programming which consists of 1:1 mentoring with 9th grade High School students during the school day focused on CCR concepts to bring access to youth at two partner high schools in Minneapolis. Through this approach, BBBS instill</w:t>
      </w:r>
      <w:r w:rsidR="003C33D8">
        <w:t>s</w:t>
      </w:r>
      <w:r w:rsidRPr="00677FED">
        <w:t xml:space="preserve"> employability skills to help youth avoid risky behavior that might negatively impact future employability</w:t>
      </w:r>
      <w:r w:rsidR="001C2340">
        <w:t xml:space="preserve"> and </w:t>
      </w:r>
      <w:r w:rsidRPr="00677FED">
        <w:t>prepare</w:t>
      </w:r>
      <w:r w:rsidR="001C2340">
        <w:t>s</w:t>
      </w:r>
      <w:r w:rsidRPr="00677FED">
        <w:t xml:space="preserve"> youth to communicate with co-workers, solve problems, work as a team, make responsible decisions, and create a positive career pathway.</w:t>
      </w:r>
    </w:p>
    <w:p w14:paraId="0E28F123" w14:textId="0B925E3D" w:rsidR="002B2C94" w:rsidRPr="00677FED" w:rsidRDefault="002B2C94" w:rsidP="00E23CED">
      <w:r w:rsidRPr="00677FED">
        <w:t xml:space="preserve">In addition, BBBS Twin Cities </w:t>
      </w:r>
      <w:r w:rsidR="00DB5A49">
        <w:t xml:space="preserve">supports </w:t>
      </w:r>
      <w:r w:rsidRPr="00677FED">
        <w:t>active teen matches in the 11th and 12th grades and high school graduates with a dedicated staff person who support</w:t>
      </w:r>
      <w:r w:rsidR="003C33D8">
        <w:t>s</w:t>
      </w:r>
      <w:r w:rsidRPr="00677FED">
        <w:t xml:space="preserve"> high school graduation and planning for post-secondary success. This include</w:t>
      </w:r>
      <w:r w:rsidR="003C33D8">
        <w:t>s</w:t>
      </w:r>
      <w:r w:rsidRPr="00677FED">
        <w:t xml:space="preserve"> coaching and support for mentors and parents/guardians.</w:t>
      </w:r>
    </w:p>
    <w:p w14:paraId="686F6FC6" w14:textId="77777777" w:rsidR="00BF4C46" w:rsidRPr="00BF4C46" w:rsidRDefault="002B2C94" w:rsidP="00E23CED">
      <w:r w:rsidRPr="00BF4C46">
        <w:t>BBBS Central and Southern Minnesota also offer a comprehensive college and career readiness program for youth ages 12-21 that includes both individual and group activities, and connections to program and career opportunities offered through the community. They also provide support for college persistence and retention.</w:t>
      </w:r>
    </w:p>
    <w:p w14:paraId="1417947C" w14:textId="77777777" w:rsidR="00575BB7" w:rsidRPr="00F21857" w:rsidRDefault="002B2C94" w:rsidP="00F21857">
      <w:pPr>
        <w:spacing w:before="720"/>
        <w:rPr>
          <w:b/>
          <w:bCs/>
          <w:i/>
          <w:iCs/>
        </w:rPr>
      </w:pPr>
      <w:r w:rsidRPr="00F21857">
        <w:rPr>
          <w:b/>
          <w:bCs/>
          <w:i/>
          <w:iCs/>
        </w:rPr>
        <w:lastRenderedPageBreak/>
        <w:t>Goal 2: Community Engagement and Participant Recruitment and Retention.</w:t>
      </w:r>
    </w:p>
    <w:p w14:paraId="3FE92F06" w14:textId="45E1BDDE" w:rsidR="00592588" w:rsidRPr="00677FED" w:rsidRDefault="002B2C94" w:rsidP="00E23CED">
      <w:r w:rsidRPr="00F21857">
        <w:t xml:space="preserve">All Minnesota BBBS agencies work on community engagement and participant recruitment/retention. They focus on creating and implementing a strong College and Career Readiness promotional and recognition plan designed to increase engagement of the community, youth, matches and families and recognize youth success throughout Minnesota. To support staff in </w:t>
      </w:r>
      <w:proofErr w:type="gramStart"/>
      <w:r w:rsidRPr="00F21857">
        <w:t>all of</w:t>
      </w:r>
      <w:proofErr w:type="gramEnd"/>
      <w:r w:rsidRPr="00F21857">
        <w:t xml:space="preserve"> the agencies to provide high quality services to Minnesota youth, continued professional development </w:t>
      </w:r>
      <w:r w:rsidR="00CF1410" w:rsidRPr="00F21857">
        <w:t>is</w:t>
      </w:r>
      <w:r w:rsidRPr="00F21857">
        <w:t xml:space="preserve"> offered and encouraged.</w:t>
      </w:r>
    </w:p>
    <w:p w14:paraId="33300F08" w14:textId="6A19F834" w:rsidR="005E3812" w:rsidRDefault="00924F39" w:rsidP="00E35399">
      <w:pPr>
        <w:pStyle w:val="Heading2"/>
      </w:pPr>
      <w:bookmarkStart w:id="11" w:name="_Toc93905756"/>
      <w:r w:rsidRPr="00924F39">
        <w:t>Program Activities</w:t>
      </w:r>
      <w:bookmarkEnd w:id="11"/>
    </w:p>
    <w:p w14:paraId="0153DCCE" w14:textId="556B6A1F" w:rsidR="00477150" w:rsidRDefault="00207D92" w:rsidP="00477150">
      <w:pPr>
        <w:rPr>
          <w:color w:val="000000"/>
        </w:rPr>
      </w:pPr>
      <w:r>
        <w:rPr>
          <w:color w:val="000000"/>
        </w:rPr>
        <w:t xml:space="preserve">Described below </w:t>
      </w:r>
      <w:r w:rsidR="006B2603">
        <w:rPr>
          <w:color w:val="000000"/>
        </w:rPr>
        <w:t xml:space="preserve">are highlights </w:t>
      </w:r>
      <w:r>
        <w:rPr>
          <w:color w:val="000000"/>
        </w:rPr>
        <w:t>of activities delivered during the period July 1, 20</w:t>
      </w:r>
      <w:r>
        <w:t>20</w:t>
      </w:r>
      <w:r>
        <w:rPr>
          <w:color w:val="000000"/>
        </w:rPr>
        <w:t xml:space="preserve"> through </w:t>
      </w:r>
      <w:r>
        <w:t xml:space="preserve">October </w:t>
      </w:r>
      <w:r>
        <w:rPr>
          <w:color w:val="000000"/>
        </w:rPr>
        <w:t>3</w:t>
      </w:r>
      <w:r>
        <w:t>1</w:t>
      </w:r>
      <w:r>
        <w:rPr>
          <w:color w:val="000000"/>
        </w:rPr>
        <w:t>, 202</w:t>
      </w:r>
      <w:r>
        <w:t>1</w:t>
      </w:r>
      <w:r>
        <w:rPr>
          <w:color w:val="000000"/>
        </w:rPr>
        <w:t>.</w:t>
      </w:r>
    </w:p>
    <w:p w14:paraId="2E33ABD0" w14:textId="70348075" w:rsidR="00161605" w:rsidRDefault="005C3206" w:rsidP="005C3206">
      <w:pPr>
        <w:pStyle w:val="ListParagraph"/>
        <w:numPr>
          <w:ilvl w:val="0"/>
          <w:numId w:val="10"/>
        </w:numPr>
      </w:pPr>
      <w:r w:rsidRPr="00CC1325">
        <w:rPr>
          <w:b/>
          <w:bCs/>
        </w:rPr>
        <w:t>Bigs on Campus</w:t>
      </w:r>
      <w:r>
        <w:t xml:space="preserve"> </w:t>
      </w:r>
      <w:r w:rsidR="00AF0062">
        <w:t>–</w:t>
      </w:r>
      <w:r>
        <w:t xml:space="preserve"> </w:t>
      </w:r>
      <w:r w:rsidR="00AF0062">
        <w:t>initiative pairing</w:t>
      </w:r>
      <w:r w:rsidR="00AA5014">
        <w:t xml:space="preserve"> junior and senior high students with </w:t>
      </w:r>
      <w:r w:rsidR="00B12AE7">
        <w:t>an adult mentor who is a St. Cloud State University alumnus, staff member, or comm</w:t>
      </w:r>
      <w:r w:rsidR="000E6F3D">
        <w:t>unity professional. Matches spend time exploring campus, touring academic departments, participating in college activities and events</w:t>
      </w:r>
      <w:r w:rsidR="007533F0">
        <w:t>, and talking about future goals, career options, and college life</w:t>
      </w:r>
      <w:r w:rsidR="000E6F3D">
        <w:t>.</w:t>
      </w:r>
      <w:r w:rsidR="00463A63">
        <w:t xml:space="preserve"> Most activities during the past year were moved online.</w:t>
      </w:r>
      <w:r w:rsidR="000248C6">
        <w:t xml:space="preserve"> (Central Minnesota)</w:t>
      </w:r>
    </w:p>
    <w:p w14:paraId="57E1F074" w14:textId="0EA58C30" w:rsidR="00982151" w:rsidRDefault="00982151" w:rsidP="005C3206">
      <w:pPr>
        <w:pStyle w:val="ListParagraph"/>
        <w:numPr>
          <w:ilvl w:val="0"/>
          <w:numId w:val="10"/>
        </w:numPr>
      </w:pPr>
      <w:r w:rsidRPr="00CC1325">
        <w:rPr>
          <w:b/>
          <w:bCs/>
        </w:rPr>
        <w:t>Scholarship</w:t>
      </w:r>
      <w:r w:rsidR="00462E2A">
        <w:rPr>
          <w:b/>
          <w:bCs/>
        </w:rPr>
        <w:t xml:space="preserve"> Opportunities</w:t>
      </w:r>
      <w:r w:rsidR="00372207">
        <w:rPr>
          <w:b/>
          <w:bCs/>
        </w:rPr>
        <w:t xml:space="preserve"> </w:t>
      </w:r>
      <w:r w:rsidR="00462E2A">
        <w:t>–</w:t>
      </w:r>
      <w:r w:rsidR="00372207">
        <w:t xml:space="preserve"> </w:t>
      </w:r>
      <w:r w:rsidR="00462E2A">
        <w:t xml:space="preserve">Federated Challenge </w:t>
      </w:r>
      <w:r w:rsidR="003976C4">
        <w:t xml:space="preserve">scholarship </w:t>
      </w:r>
      <w:r w:rsidR="00997231">
        <w:t xml:space="preserve">competition </w:t>
      </w:r>
      <w:r w:rsidR="003A22CC">
        <w:t xml:space="preserve">sponsored by Federated Insurance </w:t>
      </w:r>
      <w:r w:rsidR="00DD41C2">
        <w:t xml:space="preserve">and administered by BBBS </w:t>
      </w:r>
      <w:r w:rsidR="003A22CC">
        <w:t xml:space="preserve">open to </w:t>
      </w:r>
      <w:r w:rsidR="00997231">
        <w:t>Littles/Alumni who have been matched for 18 months or longer</w:t>
      </w:r>
      <w:r w:rsidR="003A22CC">
        <w:t xml:space="preserve"> and are planning to attend a two-year or less post-secondary Minnesota </w:t>
      </w:r>
      <w:r w:rsidR="00CC1325">
        <w:t xml:space="preserve">institution. </w:t>
      </w:r>
      <w:r w:rsidR="00280F2E">
        <w:t>This year</w:t>
      </w:r>
      <w:r w:rsidR="00F1481F">
        <w:t xml:space="preserve"> 38</w:t>
      </w:r>
      <w:r w:rsidR="00280F2E">
        <w:t xml:space="preserve"> applicants </w:t>
      </w:r>
      <w:r w:rsidR="001F0380">
        <w:t xml:space="preserve">received </w:t>
      </w:r>
      <w:r w:rsidR="00CE47B6">
        <w:t xml:space="preserve">Federated </w:t>
      </w:r>
      <w:r w:rsidR="001F0380">
        <w:t>scholarships.</w:t>
      </w:r>
      <w:r w:rsidR="00503884">
        <w:t xml:space="preserve"> In addition, the Stand Tall Scholarship</w:t>
      </w:r>
      <w:r w:rsidR="00152533">
        <w:t xml:space="preserve"> was available for BBBS youth and volunteers for four-year schools in </w:t>
      </w:r>
      <w:r w:rsidR="00595CEA">
        <w:t xml:space="preserve">or out-of-state. This was a pilot program this year </w:t>
      </w:r>
      <w:r w:rsidR="00CE47B6">
        <w:t>made possible through the generosity of a donor.</w:t>
      </w:r>
    </w:p>
    <w:p w14:paraId="39162B2C" w14:textId="346D5E84" w:rsidR="007B0A5A" w:rsidRDefault="007B0A5A" w:rsidP="005C3206">
      <w:pPr>
        <w:pStyle w:val="ListParagraph"/>
        <w:numPr>
          <w:ilvl w:val="0"/>
          <w:numId w:val="10"/>
        </w:numPr>
      </w:pPr>
      <w:r>
        <w:rPr>
          <w:b/>
          <w:bCs/>
        </w:rPr>
        <w:t>Post</w:t>
      </w:r>
      <w:r w:rsidRPr="003D27FF">
        <w:rPr>
          <w:b/>
          <w:bCs/>
        </w:rPr>
        <w:t>-Secondary Success Coordinator</w:t>
      </w:r>
      <w:r>
        <w:t xml:space="preserve"> </w:t>
      </w:r>
      <w:r w:rsidR="00372207">
        <w:t xml:space="preserve">– meeting with BBBS alumni who are college students to assist with </w:t>
      </w:r>
      <w:r w:rsidR="00CC7B5E">
        <w:t>financial aid applications and other college-related topics.</w:t>
      </w:r>
      <w:r w:rsidR="000248C6">
        <w:t xml:space="preserve"> (Twin Cities)</w:t>
      </w:r>
    </w:p>
    <w:p w14:paraId="53A8A9DC" w14:textId="281667E3" w:rsidR="006D6C90" w:rsidRDefault="006D6C90" w:rsidP="005C3206">
      <w:pPr>
        <w:pStyle w:val="ListParagraph"/>
        <w:numPr>
          <w:ilvl w:val="0"/>
          <w:numId w:val="10"/>
        </w:numPr>
      </w:pPr>
      <w:r>
        <w:rPr>
          <w:b/>
          <w:bCs/>
        </w:rPr>
        <w:t xml:space="preserve">AVID Virtual Academy </w:t>
      </w:r>
      <w:r w:rsidR="00DB6AF8">
        <w:t>–</w:t>
      </w:r>
      <w:r>
        <w:t xml:space="preserve"> </w:t>
      </w:r>
      <w:r w:rsidR="00DB6AF8">
        <w:t xml:space="preserve">virtual mentorship program </w:t>
      </w:r>
      <w:r w:rsidR="00E66441">
        <w:t xml:space="preserve">pairing students in </w:t>
      </w:r>
      <w:r w:rsidR="009F2526">
        <w:t>AVID college and career class with m</w:t>
      </w:r>
      <w:r w:rsidR="008439B5">
        <w:t xml:space="preserve">entors to do activities focusing on topics such as </w:t>
      </w:r>
      <w:r w:rsidR="001E38A4">
        <w:t xml:space="preserve">relationship building, organization, time management, education and career paths, soft skills, email etiquette, growth mindset, etc. </w:t>
      </w:r>
      <w:r w:rsidR="002240E5">
        <w:t xml:space="preserve">Information about the program is at: </w:t>
      </w:r>
      <w:hyperlink r:id="rId15" w:history="1">
        <w:r w:rsidR="005E0F74" w:rsidRPr="00EA3F1D">
          <w:rPr>
            <w:rStyle w:val="Hyperlink"/>
          </w:rPr>
          <w:t>http://www.bbbsofsouthernmn.org/virtualacademy/avid</w:t>
        </w:r>
      </w:hyperlink>
      <w:r w:rsidR="005E0F74">
        <w:t xml:space="preserve">  (Southern Minnesota)</w:t>
      </w:r>
    </w:p>
    <w:p w14:paraId="7E9C451B" w14:textId="1B71106A" w:rsidR="000D77AB" w:rsidRDefault="000D77AB" w:rsidP="005C3206">
      <w:pPr>
        <w:pStyle w:val="ListParagraph"/>
        <w:numPr>
          <w:ilvl w:val="0"/>
          <w:numId w:val="10"/>
        </w:numPr>
      </w:pPr>
      <w:r>
        <w:rPr>
          <w:b/>
          <w:bCs/>
        </w:rPr>
        <w:t>Virtual Coll</w:t>
      </w:r>
      <w:r w:rsidR="004059BA">
        <w:rPr>
          <w:b/>
          <w:bCs/>
        </w:rPr>
        <w:t xml:space="preserve">ege Tours </w:t>
      </w:r>
      <w:r w:rsidR="004059BA">
        <w:t>– group sessions with virtual campus and dormitory tours</w:t>
      </w:r>
      <w:r w:rsidR="006D10A1">
        <w:t xml:space="preserve">, and information about the programs available </w:t>
      </w:r>
      <w:r w:rsidR="007B35D9">
        <w:t>on campus</w:t>
      </w:r>
      <w:r w:rsidR="005125E2">
        <w:t>.</w:t>
      </w:r>
    </w:p>
    <w:p w14:paraId="0A0D4855" w14:textId="5DC24BCF" w:rsidR="005125E2" w:rsidRDefault="005125E2" w:rsidP="005C3206">
      <w:pPr>
        <w:pStyle w:val="ListParagraph"/>
        <w:numPr>
          <w:ilvl w:val="0"/>
          <w:numId w:val="10"/>
        </w:numPr>
      </w:pPr>
      <w:r>
        <w:rPr>
          <w:b/>
          <w:bCs/>
        </w:rPr>
        <w:t>Graduation Coaches</w:t>
      </w:r>
      <w:r w:rsidR="00A6578E">
        <w:rPr>
          <w:b/>
          <w:bCs/>
        </w:rPr>
        <w:t xml:space="preserve"> </w:t>
      </w:r>
      <w:r w:rsidR="00885A85">
        <w:t>–</w:t>
      </w:r>
      <w:r w:rsidR="00A6578E">
        <w:t xml:space="preserve"> </w:t>
      </w:r>
      <w:r w:rsidR="00885A85">
        <w:t>31 students at Patrick Henry High School in Minneapolis</w:t>
      </w:r>
      <w:r w:rsidR="00200926">
        <w:t xml:space="preserve"> </w:t>
      </w:r>
      <w:r w:rsidR="00545190">
        <w:t>wer</w:t>
      </w:r>
      <w:r w:rsidR="00200926">
        <w:t>e matched with 15 mentors</w:t>
      </w:r>
      <w:r w:rsidR="00545190">
        <w:t xml:space="preserve"> who focus on supporting the students</w:t>
      </w:r>
      <w:r w:rsidR="00F13B25">
        <w:t xml:space="preserve"> who are not on track to graduate on time</w:t>
      </w:r>
      <w:r w:rsidR="009910BB">
        <w:t xml:space="preserve"> with the goal of high school graduation and plan</w:t>
      </w:r>
      <w:r w:rsidR="00F51EDA">
        <w:t>ning for post-secondary success. (Twin Cities)</w:t>
      </w:r>
    </w:p>
    <w:p w14:paraId="01E31BA5" w14:textId="601A443A" w:rsidR="00C67E73" w:rsidRPr="00477150" w:rsidRDefault="00C67E73" w:rsidP="005C3206">
      <w:pPr>
        <w:pStyle w:val="ListParagraph"/>
        <w:numPr>
          <w:ilvl w:val="0"/>
          <w:numId w:val="10"/>
        </w:numPr>
      </w:pPr>
      <w:r>
        <w:rPr>
          <w:b/>
          <w:bCs/>
        </w:rPr>
        <w:t>Junior Achievement Finance Park</w:t>
      </w:r>
      <w:r w:rsidR="00650A4E">
        <w:rPr>
          <w:b/>
          <w:bCs/>
        </w:rPr>
        <w:t xml:space="preserve"> </w:t>
      </w:r>
      <w:r w:rsidR="00650A4E">
        <w:t xml:space="preserve">– 10 matches participated in the Finance Park virtual program, where they explored careers, developed personal money management </w:t>
      </w:r>
      <w:proofErr w:type="gramStart"/>
      <w:r w:rsidR="00650A4E">
        <w:t>skills</w:t>
      </w:r>
      <w:proofErr w:type="gramEnd"/>
      <w:r w:rsidR="00650A4E">
        <w:t xml:space="preserve"> and prepared for financial decisions and challenges</w:t>
      </w:r>
      <w:r w:rsidR="004462DE">
        <w:t xml:space="preserve"> in their adult lives. (Southern Minnesota)</w:t>
      </w:r>
    </w:p>
    <w:p w14:paraId="1DE7D534" w14:textId="6A0A64A3" w:rsidR="005E3812" w:rsidRPr="009C2760" w:rsidRDefault="003746ED" w:rsidP="003746ED">
      <w:pPr>
        <w:pStyle w:val="Heading2"/>
        <w:rPr>
          <w:lang w:bidi="ar-SA"/>
        </w:rPr>
      </w:pPr>
      <w:bookmarkStart w:id="12" w:name="_Toc93905757"/>
      <w:r w:rsidRPr="009C2760">
        <w:rPr>
          <w:lang w:bidi="ar-SA"/>
        </w:rPr>
        <w:lastRenderedPageBreak/>
        <w:t xml:space="preserve">Effect of COVID-19 on </w:t>
      </w:r>
      <w:r w:rsidR="00E20A5E" w:rsidRPr="009C2760">
        <w:rPr>
          <w:lang w:bidi="ar-SA"/>
        </w:rPr>
        <w:t>Big Brothers Big Sisters</w:t>
      </w:r>
      <w:r w:rsidRPr="009C2760">
        <w:rPr>
          <w:lang w:bidi="ar-SA"/>
        </w:rPr>
        <w:t xml:space="preserve"> Activities</w:t>
      </w:r>
      <w:bookmarkEnd w:id="12"/>
    </w:p>
    <w:p w14:paraId="28C0505B" w14:textId="0DB57474" w:rsidR="00194E5B" w:rsidRDefault="00194E5B" w:rsidP="002110D8">
      <w:pPr>
        <w:pStyle w:val="Heading4"/>
        <w:rPr>
          <w:lang w:bidi="ar-SA"/>
        </w:rPr>
      </w:pPr>
      <w:r>
        <w:rPr>
          <w:lang w:bidi="ar-SA"/>
        </w:rPr>
        <w:t>Central Minnesota</w:t>
      </w:r>
    </w:p>
    <w:p w14:paraId="05414B87" w14:textId="2401346D" w:rsidR="00194E5B" w:rsidRPr="00194E5B" w:rsidRDefault="00194E5B" w:rsidP="00194E5B">
      <w:pPr>
        <w:rPr>
          <w:lang w:bidi="ar-SA"/>
        </w:rPr>
      </w:pPr>
      <w:r>
        <w:rPr>
          <w:lang w:bidi="ar-SA"/>
        </w:rPr>
        <w:t>The number of participants was</w:t>
      </w:r>
      <w:r w:rsidR="00C635F8">
        <w:rPr>
          <w:lang w:bidi="ar-SA"/>
        </w:rPr>
        <w:t xml:space="preserve"> down </w:t>
      </w:r>
      <w:proofErr w:type="gramStart"/>
      <w:r w:rsidR="00C635F8">
        <w:rPr>
          <w:lang w:bidi="ar-SA"/>
        </w:rPr>
        <w:t>as a result of</w:t>
      </w:r>
      <w:proofErr w:type="gramEnd"/>
      <w:r w:rsidR="00C635F8">
        <w:rPr>
          <w:lang w:bidi="ar-SA"/>
        </w:rPr>
        <w:t xml:space="preserve"> schools not being open </w:t>
      </w:r>
      <w:r w:rsidR="00250DF2">
        <w:rPr>
          <w:lang w:bidi="ar-SA"/>
        </w:rPr>
        <w:t>for</w:t>
      </w:r>
      <w:r w:rsidR="00C635F8">
        <w:rPr>
          <w:lang w:bidi="ar-SA"/>
        </w:rPr>
        <w:t xml:space="preserve"> in person </w:t>
      </w:r>
      <w:r w:rsidR="0083723D">
        <w:rPr>
          <w:lang w:bidi="ar-SA"/>
        </w:rPr>
        <w:t>meetings and activities.</w:t>
      </w:r>
    </w:p>
    <w:p w14:paraId="0A084E90" w14:textId="51CAB0A0" w:rsidR="0088383A" w:rsidRDefault="0088383A" w:rsidP="002110D8">
      <w:pPr>
        <w:pStyle w:val="Heading4"/>
        <w:rPr>
          <w:lang w:bidi="ar-SA"/>
        </w:rPr>
      </w:pPr>
      <w:r>
        <w:rPr>
          <w:lang w:bidi="ar-SA"/>
        </w:rPr>
        <w:t>Southern Minnesota</w:t>
      </w:r>
    </w:p>
    <w:p w14:paraId="16FDD46C" w14:textId="3781382E" w:rsidR="0083723D" w:rsidRPr="0083723D" w:rsidRDefault="003F7F8B" w:rsidP="0083723D">
      <w:pPr>
        <w:rPr>
          <w:lang w:bidi="ar-SA"/>
        </w:rPr>
      </w:pPr>
      <w:r>
        <w:rPr>
          <w:lang w:bidi="ar-SA"/>
        </w:rPr>
        <w:t>O</w:t>
      </w:r>
      <w:r w:rsidR="0083723D" w:rsidRPr="0083723D">
        <w:rPr>
          <w:lang w:bidi="ar-SA"/>
        </w:rPr>
        <w:t xml:space="preserve">bstacles with technology and internet reliability </w:t>
      </w:r>
      <w:r w:rsidR="00193B6C">
        <w:rPr>
          <w:lang w:bidi="ar-SA"/>
        </w:rPr>
        <w:t xml:space="preserve">impacted </w:t>
      </w:r>
      <w:r w:rsidR="0083723D" w:rsidRPr="0083723D">
        <w:rPr>
          <w:lang w:bidi="ar-SA"/>
        </w:rPr>
        <w:t xml:space="preserve">some students </w:t>
      </w:r>
      <w:r w:rsidR="00E50B38">
        <w:rPr>
          <w:lang w:bidi="ar-SA"/>
        </w:rPr>
        <w:t xml:space="preserve">meeting virtually </w:t>
      </w:r>
      <w:r w:rsidR="0083723D" w:rsidRPr="0083723D">
        <w:rPr>
          <w:lang w:bidi="ar-SA"/>
        </w:rPr>
        <w:t>at school</w:t>
      </w:r>
      <w:r w:rsidR="00E50B38">
        <w:rPr>
          <w:lang w:bidi="ar-SA"/>
        </w:rPr>
        <w:t xml:space="preserve"> with their mentors</w:t>
      </w:r>
      <w:r w:rsidR="0083723D" w:rsidRPr="0083723D">
        <w:rPr>
          <w:lang w:bidi="ar-SA"/>
        </w:rPr>
        <w:t xml:space="preserve">. When students in </w:t>
      </w:r>
      <w:r w:rsidR="00193B6C">
        <w:rPr>
          <w:lang w:bidi="ar-SA"/>
        </w:rPr>
        <w:t xml:space="preserve">a class </w:t>
      </w:r>
      <w:r w:rsidR="0083723D" w:rsidRPr="0083723D">
        <w:rPr>
          <w:lang w:bidi="ar-SA"/>
        </w:rPr>
        <w:t xml:space="preserve">were all meeting with their mentors at the same time virtually, the internet at some schools lacked the bandwidth to support so many video calls at one time. </w:t>
      </w:r>
      <w:r w:rsidR="009C2760">
        <w:rPr>
          <w:lang w:bidi="ar-SA"/>
        </w:rPr>
        <w:t>BBBS staff</w:t>
      </w:r>
      <w:r w:rsidR="0083723D" w:rsidRPr="0083723D">
        <w:rPr>
          <w:lang w:bidi="ar-SA"/>
        </w:rPr>
        <w:t xml:space="preserve"> came up with creative solutions such as spreading students out throughout different areas of school and working with the IT department to improve bandwidth. </w:t>
      </w:r>
    </w:p>
    <w:p w14:paraId="67E6CEAD" w14:textId="109D9DC0" w:rsidR="0083723D" w:rsidRPr="0083723D" w:rsidRDefault="0083723D" w:rsidP="0083723D">
      <w:pPr>
        <w:rPr>
          <w:lang w:bidi="ar-SA"/>
        </w:rPr>
      </w:pPr>
      <w:r w:rsidRPr="0083723D">
        <w:rPr>
          <w:lang w:bidi="ar-SA"/>
        </w:rPr>
        <w:t xml:space="preserve">Many </w:t>
      </w:r>
      <w:proofErr w:type="gramStart"/>
      <w:r w:rsidRPr="0083723D">
        <w:rPr>
          <w:lang w:bidi="ar-SA"/>
        </w:rPr>
        <w:t>youth</w:t>
      </w:r>
      <w:proofErr w:type="gramEnd"/>
      <w:r w:rsidRPr="0083723D">
        <w:rPr>
          <w:lang w:bidi="ar-SA"/>
        </w:rPr>
        <w:t xml:space="preserve"> struggle with technology access, housing instability, food insecurity, and transportation issues. </w:t>
      </w:r>
      <w:r w:rsidR="0021150B">
        <w:rPr>
          <w:lang w:bidi="ar-SA"/>
        </w:rPr>
        <w:t>BBBS</w:t>
      </w:r>
      <w:r w:rsidRPr="0083723D">
        <w:rPr>
          <w:lang w:bidi="ar-SA"/>
        </w:rPr>
        <w:t xml:space="preserve"> staff is providing individual support to matches to overcome these challenges and provide resources. Summer is especially hard for food insecurity since students are not in school to receive school meals. </w:t>
      </w:r>
      <w:r w:rsidR="00A849A3">
        <w:rPr>
          <w:lang w:bidi="ar-SA"/>
        </w:rPr>
        <w:t xml:space="preserve">BBBS </w:t>
      </w:r>
      <w:r w:rsidRPr="0083723D">
        <w:rPr>
          <w:lang w:bidi="ar-SA"/>
        </w:rPr>
        <w:t>staff provides information to matches about summer meal programs to help mitigate this difficulty for Littles.</w:t>
      </w:r>
    </w:p>
    <w:p w14:paraId="4AB7CF77" w14:textId="4739A8AA" w:rsidR="00857C78" w:rsidRDefault="00857C78" w:rsidP="002110D8">
      <w:pPr>
        <w:pStyle w:val="Heading4"/>
        <w:rPr>
          <w:lang w:bidi="ar-SA"/>
        </w:rPr>
      </w:pPr>
      <w:r>
        <w:rPr>
          <w:lang w:bidi="ar-SA"/>
        </w:rPr>
        <w:t>Twin Cities</w:t>
      </w:r>
    </w:p>
    <w:p w14:paraId="19B2EC99" w14:textId="65B153E3" w:rsidR="00A7219D" w:rsidRPr="00A7219D" w:rsidRDefault="00A7219D" w:rsidP="0010174B">
      <w:pPr>
        <w:rPr>
          <w:lang w:bidi="ar-SA"/>
        </w:rPr>
      </w:pPr>
      <w:r w:rsidRPr="00A7219D">
        <w:rPr>
          <w:lang w:bidi="ar-SA"/>
        </w:rPr>
        <w:t xml:space="preserve">Programming </w:t>
      </w:r>
      <w:r w:rsidR="00460899">
        <w:rPr>
          <w:lang w:bidi="ar-SA"/>
        </w:rPr>
        <w:t xml:space="preserve">has been </w:t>
      </w:r>
      <w:r w:rsidRPr="00A7219D">
        <w:rPr>
          <w:lang w:bidi="ar-SA"/>
        </w:rPr>
        <w:t>impacted by COVID19</w:t>
      </w:r>
      <w:r w:rsidR="00460899">
        <w:rPr>
          <w:lang w:bidi="ar-SA"/>
        </w:rPr>
        <w:t xml:space="preserve"> in multiple ways</w:t>
      </w:r>
      <w:r w:rsidRPr="00A7219D">
        <w:rPr>
          <w:lang w:bidi="ar-SA"/>
        </w:rPr>
        <w:t xml:space="preserve">. Matches are struggling with everyday life needs such as housing, food, </w:t>
      </w:r>
      <w:proofErr w:type="gramStart"/>
      <w:r w:rsidRPr="00A7219D">
        <w:rPr>
          <w:lang w:bidi="ar-SA"/>
        </w:rPr>
        <w:t>transportation</w:t>
      </w:r>
      <w:proofErr w:type="gramEnd"/>
      <w:r w:rsidRPr="00A7219D">
        <w:rPr>
          <w:lang w:bidi="ar-SA"/>
        </w:rPr>
        <w:t xml:space="preserve"> and other essentials. These challenges have made maintaining a mentoring relationship much harder. BBBSTC Coordinators work with all parties to meet them where the matches are to be supportive of struggles mentors and families are going through.</w:t>
      </w:r>
    </w:p>
    <w:p w14:paraId="002B66E1" w14:textId="289E07B8" w:rsidR="00A7219D" w:rsidRPr="00A7219D" w:rsidRDefault="0075362D" w:rsidP="0010174B">
      <w:pPr>
        <w:rPr>
          <w:lang w:bidi="ar-SA"/>
        </w:rPr>
      </w:pPr>
      <w:r>
        <w:rPr>
          <w:lang w:bidi="ar-SA"/>
        </w:rPr>
        <w:t xml:space="preserve">Although </w:t>
      </w:r>
      <w:r w:rsidR="00A7219D" w:rsidRPr="00A7219D">
        <w:rPr>
          <w:lang w:bidi="ar-SA"/>
        </w:rPr>
        <w:t>matches want in-person programming</w:t>
      </w:r>
      <w:r>
        <w:rPr>
          <w:lang w:bidi="ar-SA"/>
        </w:rPr>
        <w:t xml:space="preserve">, they are also hesitant to participate due to the risks of </w:t>
      </w:r>
      <w:r w:rsidR="00A7219D" w:rsidRPr="00A7219D">
        <w:rPr>
          <w:lang w:bidi="ar-SA"/>
        </w:rPr>
        <w:t xml:space="preserve">COVID-19. One such example is </w:t>
      </w:r>
      <w:r w:rsidR="005F6544">
        <w:rPr>
          <w:lang w:bidi="ar-SA"/>
        </w:rPr>
        <w:t>the</w:t>
      </w:r>
      <w:r w:rsidR="00A7219D" w:rsidRPr="00A7219D">
        <w:rPr>
          <w:lang w:bidi="ar-SA"/>
        </w:rPr>
        <w:t xml:space="preserve"> Match Celebration</w:t>
      </w:r>
      <w:r w:rsidR="007E1FE4">
        <w:rPr>
          <w:lang w:bidi="ar-SA"/>
        </w:rPr>
        <w:t>, n</w:t>
      </w:r>
      <w:r w:rsidR="00A7219D" w:rsidRPr="00A7219D">
        <w:rPr>
          <w:lang w:bidi="ar-SA"/>
        </w:rPr>
        <w:t>ormally held in early spring</w:t>
      </w:r>
      <w:r w:rsidR="007E1FE4">
        <w:rPr>
          <w:lang w:bidi="ar-SA"/>
        </w:rPr>
        <w:t xml:space="preserve">. </w:t>
      </w:r>
      <w:r w:rsidR="00A7219D" w:rsidRPr="00A7219D">
        <w:rPr>
          <w:lang w:bidi="ar-SA"/>
        </w:rPr>
        <w:t xml:space="preserve">A survey was administered to high school senior matches to gather input on the structure of the celebration this year. With more than half of the matches saying they would prefer an in-person gathering one was scheduled in July, however, the event had to be rescheduled for August due to low registration. </w:t>
      </w:r>
    </w:p>
    <w:p w14:paraId="662BF1C2" w14:textId="46F3757E" w:rsidR="00A7219D" w:rsidRDefault="00A7219D" w:rsidP="0010174B">
      <w:pPr>
        <w:rPr>
          <w:b/>
          <w:lang w:bidi="ar-SA"/>
        </w:rPr>
      </w:pPr>
      <w:r w:rsidRPr="00C7578A">
        <w:rPr>
          <w:lang w:bidi="ar-SA"/>
        </w:rPr>
        <w:t xml:space="preserve">For the Graduation Coaches program, </w:t>
      </w:r>
      <w:r w:rsidR="00D72A12">
        <w:rPr>
          <w:lang w:bidi="ar-SA"/>
        </w:rPr>
        <w:t xml:space="preserve">one of the </w:t>
      </w:r>
      <w:r w:rsidR="00CD2A64" w:rsidRPr="00C7578A">
        <w:rPr>
          <w:lang w:bidi="ar-SA"/>
        </w:rPr>
        <w:t>school</w:t>
      </w:r>
      <w:r w:rsidR="0006386B" w:rsidRPr="00C7578A">
        <w:rPr>
          <w:lang w:bidi="ar-SA"/>
        </w:rPr>
        <w:t xml:space="preserve"> partners</w:t>
      </w:r>
      <w:r w:rsidR="00CD2A64" w:rsidRPr="00C7578A">
        <w:rPr>
          <w:lang w:bidi="ar-SA"/>
        </w:rPr>
        <w:t xml:space="preserve"> ha</w:t>
      </w:r>
      <w:r w:rsidR="00D72A12">
        <w:rPr>
          <w:lang w:bidi="ar-SA"/>
        </w:rPr>
        <w:t>s</w:t>
      </w:r>
      <w:r w:rsidR="00CD2A64" w:rsidRPr="00C7578A">
        <w:rPr>
          <w:lang w:bidi="ar-SA"/>
        </w:rPr>
        <w:t xml:space="preserve"> </w:t>
      </w:r>
      <w:r w:rsidR="009979B7" w:rsidRPr="00C7578A">
        <w:rPr>
          <w:lang w:bidi="ar-SA"/>
        </w:rPr>
        <w:t xml:space="preserve">not engaged with BBBS this year due to </w:t>
      </w:r>
      <w:r w:rsidR="00621729" w:rsidRPr="00C7578A">
        <w:rPr>
          <w:lang w:bidi="ar-SA"/>
        </w:rPr>
        <w:t xml:space="preserve">challenges </w:t>
      </w:r>
      <w:r w:rsidR="0006386B" w:rsidRPr="00C7578A">
        <w:rPr>
          <w:lang w:bidi="ar-SA"/>
        </w:rPr>
        <w:t>in the school and communit</w:t>
      </w:r>
      <w:r w:rsidR="00D72A12">
        <w:rPr>
          <w:lang w:bidi="ar-SA"/>
        </w:rPr>
        <w:t>y</w:t>
      </w:r>
      <w:r w:rsidR="0006386B" w:rsidRPr="00C7578A">
        <w:rPr>
          <w:lang w:bidi="ar-SA"/>
        </w:rPr>
        <w:t xml:space="preserve"> during the pandemic which made</w:t>
      </w:r>
      <w:r w:rsidR="00757539" w:rsidRPr="00C7578A">
        <w:rPr>
          <w:lang w:bidi="ar-SA"/>
        </w:rPr>
        <w:t xml:space="preserve"> participating in the program </w:t>
      </w:r>
      <w:r w:rsidR="00C379F9" w:rsidRPr="00C7578A">
        <w:rPr>
          <w:lang w:bidi="ar-SA"/>
        </w:rPr>
        <w:t>a lower priority</w:t>
      </w:r>
      <w:r w:rsidR="00C7578A" w:rsidRPr="00C7578A">
        <w:rPr>
          <w:lang w:bidi="ar-SA"/>
        </w:rPr>
        <w:t>.</w:t>
      </w:r>
      <w:r w:rsidRPr="00A7219D">
        <w:rPr>
          <w:lang w:bidi="ar-SA"/>
        </w:rPr>
        <w:t xml:space="preserve"> </w:t>
      </w:r>
    </w:p>
    <w:p w14:paraId="0A8B8917" w14:textId="49B9562E" w:rsidR="00F558B6" w:rsidRPr="00732C73" w:rsidRDefault="00C03DE0" w:rsidP="00A7219D">
      <w:pPr>
        <w:pStyle w:val="Heading2"/>
      </w:pPr>
      <w:bookmarkStart w:id="13" w:name="_Toc93905758"/>
      <w:r w:rsidRPr="00732C73">
        <w:t>Participant Data</w:t>
      </w:r>
      <w:bookmarkEnd w:id="13"/>
    </w:p>
    <w:p w14:paraId="08169410" w14:textId="644E0913" w:rsidR="00386133" w:rsidRPr="004A2050" w:rsidRDefault="00627356" w:rsidP="009E364B">
      <w:pPr>
        <w:rPr>
          <w:rFonts w:cstheme="minorHAnsi"/>
        </w:rPr>
      </w:pPr>
      <w:r w:rsidRPr="004A2050">
        <w:rPr>
          <w:rFonts w:cstheme="minorHAnsi"/>
        </w:rPr>
        <w:t xml:space="preserve">The grant period for SFY 2021 funds ran from </w:t>
      </w:r>
      <w:r w:rsidR="005864FB" w:rsidRPr="004A2050">
        <w:rPr>
          <w:rFonts w:cstheme="minorHAnsi"/>
        </w:rPr>
        <w:t>July</w:t>
      </w:r>
      <w:r w:rsidRPr="004A2050">
        <w:rPr>
          <w:rFonts w:cstheme="minorHAnsi"/>
        </w:rPr>
        <w:t xml:space="preserve"> 1, 2020 through </w:t>
      </w:r>
      <w:r w:rsidR="00A35A9C" w:rsidRPr="004A2050">
        <w:rPr>
          <w:rFonts w:cstheme="minorHAnsi"/>
        </w:rPr>
        <w:t>October</w:t>
      </w:r>
      <w:r w:rsidR="005864FB" w:rsidRPr="004A2050">
        <w:rPr>
          <w:rFonts w:cstheme="minorHAnsi"/>
        </w:rPr>
        <w:t xml:space="preserve"> 31</w:t>
      </w:r>
      <w:r w:rsidRPr="004A2050">
        <w:rPr>
          <w:rFonts w:cstheme="minorHAnsi"/>
        </w:rPr>
        <w:t>, 2021. The participant data for this period is below</w:t>
      </w:r>
      <w:r w:rsidR="004A2050" w:rsidRPr="004A2050">
        <w:rPr>
          <w:rFonts w:cstheme="minorHAnsi"/>
        </w:rPr>
        <w:t>.</w:t>
      </w:r>
      <w:r w:rsidRPr="004A2050">
        <w:rPr>
          <w:rFonts w:cstheme="minorHAnsi"/>
        </w:rPr>
        <w:t xml:space="preserve"> </w:t>
      </w:r>
    </w:p>
    <w:p w14:paraId="48BA94B4" w14:textId="43C693A8" w:rsidR="003473BE" w:rsidRPr="003473BE" w:rsidRDefault="003473BE" w:rsidP="00077612">
      <w:pPr>
        <w:pStyle w:val="Heading3"/>
        <w:spacing w:before="840"/>
      </w:pPr>
      <w:bookmarkStart w:id="14" w:name="_Toc93905759"/>
      <w:r w:rsidRPr="003473BE">
        <w:lastRenderedPageBreak/>
        <w:t>Demographic Data</w:t>
      </w:r>
      <w:bookmarkEnd w:id="14"/>
    </w:p>
    <w:tbl>
      <w:tblPr>
        <w:tblStyle w:val="TableGrid1"/>
        <w:tblW w:w="10255" w:type="dxa"/>
        <w:tblLook w:val="04A0" w:firstRow="1" w:lastRow="0" w:firstColumn="1" w:lastColumn="0" w:noHBand="0" w:noVBand="1"/>
        <w:tblCaption w:val="Demographic Characteristic of Participants"/>
        <w:tblDescription w:val="Demographic characteristic and number served"/>
      </w:tblPr>
      <w:tblGrid>
        <w:gridCol w:w="7915"/>
        <w:gridCol w:w="2340"/>
      </w:tblGrid>
      <w:tr w:rsidR="000B501C" w:rsidRPr="000B501C" w14:paraId="5264BC7C" w14:textId="77777777" w:rsidTr="001A435E">
        <w:trPr>
          <w:cnfStyle w:val="100000000000" w:firstRow="1" w:lastRow="0" w:firstColumn="0" w:lastColumn="0" w:oddVBand="0" w:evenVBand="0" w:oddHBand="0" w:evenHBand="0" w:firstRowFirstColumn="0" w:firstRowLastColumn="0" w:lastRowFirstColumn="0" w:lastRowLastColumn="0"/>
        </w:trPr>
        <w:tc>
          <w:tcPr>
            <w:tcW w:w="7915" w:type="dxa"/>
          </w:tcPr>
          <w:p w14:paraId="76D390B4" w14:textId="1269F85D" w:rsidR="000B501C" w:rsidRPr="000B501C" w:rsidRDefault="00EE4ABA" w:rsidP="000B501C">
            <w:pPr>
              <w:spacing w:before="120" w:after="0"/>
              <w:rPr>
                <w:rFonts w:eastAsia="Calibri" w:cs="Calibri"/>
                <w:bCs/>
                <w:sz w:val="24"/>
                <w:szCs w:val="24"/>
              </w:rPr>
            </w:pPr>
            <w:r>
              <w:rPr>
                <w:rFonts w:eastAsia="Calibri" w:cs="Calibri"/>
                <w:bCs/>
                <w:sz w:val="24"/>
                <w:szCs w:val="24"/>
              </w:rPr>
              <w:t>DEMOGRAPHIC CHARACTERISTIC</w:t>
            </w:r>
          </w:p>
        </w:tc>
        <w:tc>
          <w:tcPr>
            <w:tcW w:w="2340" w:type="dxa"/>
          </w:tcPr>
          <w:p w14:paraId="2D6337E9" w14:textId="655394B6" w:rsidR="000B501C" w:rsidRPr="000B501C" w:rsidRDefault="00EE4ABA" w:rsidP="000B501C">
            <w:pPr>
              <w:spacing w:before="120" w:after="0"/>
              <w:jc w:val="right"/>
              <w:rPr>
                <w:rFonts w:eastAsia="Calibri" w:cs="Calibri"/>
                <w:bCs/>
                <w:sz w:val="24"/>
                <w:szCs w:val="24"/>
              </w:rPr>
            </w:pPr>
            <w:r>
              <w:rPr>
                <w:rFonts w:eastAsia="Calibri" w:cs="Calibri"/>
                <w:bCs/>
                <w:sz w:val="24"/>
                <w:szCs w:val="24"/>
              </w:rPr>
              <w:t>NUMBER</w:t>
            </w:r>
            <w:r w:rsidR="00EB5C25">
              <w:rPr>
                <w:rFonts w:eastAsia="Calibri" w:cs="Calibri"/>
                <w:bCs/>
                <w:sz w:val="24"/>
                <w:szCs w:val="24"/>
              </w:rPr>
              <w:t xml:space="preserve"> SERVED</w:t>
            </w:r>
          </w:p>
        </w:tc>
      </w:tr>
      <w:tr w:rsidR="00EE4ABA" w:rsidRPr="000B501C" w14:paraId="3CDCDC97" w14:textId="77777777" w:rsidTr="001A435E">
        <w:trPr>
          <w:cnfStyle w:val="000000100000" w:firstRow="0" w:lastRow="0" w:firstColumn="0" w:lastColumn="0" w:oddVBand="0" w:evenVBand="0" w:oddHBand="1" w:evenHBand="0" w:firstRowFirstColumn="0" w:firstRowLastColumn="0" w:lastRowFirstColumn="0" w:lastRowLastColumn="0"/>
        </w:trPr>
        <w:tc>
          <w:tcPr>
            <w:tcW w:w="7915" w:type="dxa"/>
          </w:tcPr>
          <w:p w14:paraId="377FD1CA" w14:textId="11FD6D26" w:rsidR="00EE4ABA" w:rsidRDefault="00EE4ABA" w:rsidP="000B501C">
            <w:pPr>
              <w:spacing w:before="120" w:after="0"/>
              <w:rPr>
                <w:rFonts w:eastAsia="Calibri" w:cs="Calibri"/>
              </w:rPr>
            </w:pPr>
            <w:r>
              <w:rPr>
                <w:rFonts w:eastAsia="Calibri" w:cs="Calibri"/>
              </w:rPr>
              <w:t>Total Served</w:t>
            </w:r>
          </w:p>
        </w:tc>
        <w:tc>
          <w:tcPr>
            <w:tcW w:w="2340" w:type="dxa"/>
          </w:tcPr>
          <w:p w14:paraId="3D9FF73E" w14:textId="1B349A30" w:rsidR="00EE4ABA" w:rsidRDefault="00EE4ABA" w:rsidP="000B501C">
            <w:pPr>
              <w:spacing w:before="120" w:after="0"/>
              <w:jc w:val="right"/>
              <w:rPr>
                <w:rFonts w:eastAsia="Calibri" w:cs="Calibri"/>
              </w:rPr>
            </w:pPr>
            <w:r>
              <w:rPr>
                <w:rFonts w:eastAsia="Calibri" w:cs="Calibri"/>
              </w:rPr>
              <w:t>2,155</w:t>
            </w:r>
          </w:p>
        </w:tc>
      </w:tr>
      <w:tr w:rsidR="000B501C" w:rsidRPr="000B501C" w14:paraId="470550FC" w14:textId="77777777" w:rsidTr="001A435E">
        <w:trPr>
          <w:cnfStyle w:val="000000010000" w:firstRow="0" w:lastRow="0" w:firstColumn="0" w:lastColumn="0" w:oddVBand="0" w:evenVBand="0" w:oddHBand="0" w:evenHBand="1" w:firstRowFirstColumn="0" w:firstRowLastColumn="0" w:lastRowFirstColumn="0" w:lastRowLastColumn="0"/>
        </w:trPr>
        <w:tc>
          <w:tcPr>
            <w:tcW w:w="7915" w:type="dxa"/>
          </w:tcPr>
          <w:p w14:paraId="7D9FCEE3" w14:textId="358084A5" w:rsidR="000B501C" w:rsidRPr="000B501C" w:rsidRDefault="008662A4" w:rsidP="000B501C">
            <w:pPr>
              <w:spacing w:before="120" w:after="0"/>
              <w:rPr>
                <w:rFonts w:eastAsia="Calibri" w:cs="Calibri"/>
              </w:rPr>
            </w:pPr>
            <w:r>
              <w:rPr>
                <w:rFonts w:eastAsia="Calibri" w:cs="Calibri"/>
              </w:rPr>
              <w:t>M</w:t>
            </w:r>
            <w:r w:rsidR="000B501C" w:rsidRPr="000B501C">
              <w:rPr>
                <w:rFonts w:eastAsia="Calibri" w:cs="Calibri"/>
              </w:rPr>
              <w:t>ale</w:t>
            </w:r>
          </w:p>
        </w:tc>
        <w:tc>
          <w:tcPr>
            <w:tcW w:w="2340" w:type="dxa"/>
          </w:tcPr>
          <w:p w14:paraId="76D0E59B" w14:textId="772F7CE0" w:rsidR="000B501C" w:rsidRPr="000B501C" w:rsidRDefault="00970D2D" w:rsidP="000B501C">
            <w:pPr>
              <w:spacing w:before="120" w:after="0"/>
              <w:jc w:val="right"/>
              <w:rPr>
                <w:rFonts w:eastAsia="Calibri" w:cs="Calibri"/>
              </w:rPr>
            </w:pPr>
            <w:r>
              <w:rPr>
                <w:rFonts w:eastAsia="Calibri" w:cs="Calibri"/>
              </w:rPr>
              <w:t>906</w:t>
            </w:r>
          </w:p>
        </w:tc>
      </w:tr>
      <w:tr w:rsidR="000B501C" w:rsidRPr="000B501C" w14:paraId="14FF2F46" w14:textId="77777777" w:rsidTr="001A435E">
        <w:trPr>
          <w:cnfStyle w:val="000000100000" w:firstRow="0" w:lastRow="0" w:firstColumn="0" w:lastColumn="0" w:oddVBand="0" w:evenVBand="0" w:oddHBand="1" w:evenHBand="0" w:firstRowFirstColumn="0" w:firstRowLastColumn="0" w:lastRowFirstColumn="0" w:lastRowLastColumn="0"/>
        </w:trPr>
        <w:tc>
          <w:tcPr>
            <w:tcW w:w="7915" w:type="dxa"/>
          </w:tcPr>
          <w:p w14:paraId="3200C01F" w14:textId="77777777" w:rsidR="000B501C" w:rsidRPr="000B501C" w:rsidRDefault="000B501C" w:rsidP="000B501C">
            <w:pPr>
              <w:spacing w:before="120" w:after="0"/>
              <w:rPr>
                <w:rFonts w:eastAsia="Calibri" w:cs="Calibri"/>
              </w:rPr>
            </w:pPr>
            <w:r w:rsidRPr="000B501C">
              <w:rPr>
                <w:rFonts w:eastAsia="Calibri" w:cs="Calibri"/>
              </w:rPr>
              <w:t>Female</w:t>
            </w:r>
          </w:p>
        </w:tc>
        <w:tc>
          <w:tcPr>
            <w:tcW w:w="2340" w:type="dxa"/>
          </w:tcPr>
          <w:p w14:paraId="61D7204E" w14:textId="76961D9E" w:rsidR="000B501C" w:rsidRPr="000B501C" w:rsidRDefault="00970D2D" w:rsidP="000B501C">
            <w:pPr>
              <w:spacing w:before="120" w:after="0"/>
              <w:jc w:val="right"/>
              <w:rPr>
                <w:rFonts w:eastAsia="Calibri" w:cs="Calibri"/>
              </w:rPr>
            </w:pPr>
            <w:r>
              <w:rPr>
                <w:rFonts w:eastAsia="Calibri" w:cs="Calibri"/>
              </w:rPr>
              <w:t>1,238</w:t>
            </w:r>
          </w:p>
        </w:tc>
      </w:tr>
      <w:tr w:rsidR="000B501C" w:rsidRPr="000B501C" w14:paraId="57788444" w14:textId="77777777" w:rsidTr="001A435E">
        <w:trPr>
          <w:cnfStyle w:val="000000010000" w:firstRow="0" w:lastRow="0" w:firstColumn="0" w:lastColumn="0" w:oddVBand="0" w:evenVBand="0" w:oddHBand="0" w:evenHBand="1" w:firstRowFirstColumn="0" w:firstRowLastColumn="0" w:lastRowFirstColumn="0" w:lastRowLastColumn="0"/>
        </w:trPr>
        <w:tc>
          <w:tcPr>
            <w:tcW w:w="7915" w:type="dxa"/>
          </w:tcPr>
          <w:p w14:paraId="1CC5493A" w14:textId="36123F48" w:rsidR="000B501C" w:rsidRPr="000B501C" w:rsidRDefault="00970D2D" w:rsidP="000B501C">
            <w:pPr>
              <w:spacing w:before="120" w:after="0"/>
              <w:rPr>
                <w:rFonts w:eastAsia="Calibri" w:cs="Calibri"/>
              </w:rPr>
            </w:pPr>
            <w:r>
              <w:rPr>
                <w:rFonts w:eastAsia="Calibri" w:cs="Calibri"/>
              </w:rPr>
              <w:t>Trans/Other</w:t>
            </w:r>
          </w:p>
        </w:tc>
        <w:tc>
          <w:tcPr>
            <w:tcW w:w="2340" w:type="dxa"/>
          </w:tcPr>
          <w:p w14:paraId="579703C5" w14:textId="19C5A4D3" w:rsidR="000B501C" w:rsidRPr="000B501C" w:rsidRDefault="00CB214D" w:rsidP="000B501C">
            <w:pPr>
              <w:spacing w:before="120" w:after="0"/>
              <w:jc w:val="right"/>
              <w:rPr>
                <w:rFonts w:eastAsia="Calibri" w:cs="Calibri"/>
              </w:rPr>
            </w:pPr>
            <w:r>
              <w:rPr>
                <w:rFonts w:eastAsia="Calibri" w:cs="Calibri"/>
              </w:rPr>
              <w:t>11</w:t>
            </w:r>
          </w:p>
        </w:tc>
      </w:tr>
      <w:tr w:rsidR="000B501C" w:rsidRPr="000B501C" w14:paraId="01E6C126" w14:textId="77777777" w:rsidTr="001A435E">
        <w:trPr>
          <w:cnfStyle w:val="000000100000" w:firstRow="0" w:lastRow="0" w:firstColumn="0" w:lastColumn="0" w:oddVBand="0" w:evenVBand="0" w:oddHBand="1" w:evenHBand="0" w:firstRowFirstColumn="0" w:firstRowLastColumn="0" w:lastRowFirstColumn="0" w:lastRowLastColumn="0"/>
        </w:trPr>
        <w:tc>
          <w:tcPr>
            <w:tcW w:w="7915" w:type="dxa"/>
          </w:tcPr>
          <w:p w14:paraId="45770D87" w14:textId="58EC383F" w:rsidR="000B501C" w:rsidRPr="000B501C" w:rsidRDefault="000B501C" w:rsidP="000B501C">
            <w:pPr>
              <w:spacing w:before="120" w:after="0"/>
              <w:rPr>
                <w:rFonts w:eastAsia="Calibri" w:cs="Calibri"/>
              </w:rPr>
            </w:pPr>
            <w:r w:rsidRPr="000B501C">
              <w:rPr>
                <w:rFonts w:eastAsia="Calibri" w:cs="Calibri"/>
              </w:rPr>
              <w:t xml:space="preserve">Age </w:t>
            </w:r>
            <w:r w:rsidR="008662A4">
              <w:rPr>
                <w:rFonts w:eastAsia="Calibri" w:cs="Calibri"/>
              </w:rPr>
              <w:t>12-13</w:t>
            </w:r>
          </w:p>
        </w:tc>
        <w:tc>
          <w:tcPr>
            <w:tcW w:w="2340" w:type="dxa"/>
          </w:tcPr>
          <w:p w14:paraId="034ED24F" w14:textId="32A97059" w:rsidR="000B501C" w:rsidRPr="000B501C" w:rsidRDefault="008662A4" w:rsidP="000B501C">
            <w:pPr>
              <w:spacing w:before="120" w:after="0"/>
              <w:jc w:val="right"/>
              <w:rPr>
                <w:rFonts w:eastAsia="Calibri" w:cs="Calibri"/>
              </w:rPr>
            </w:pPr>
            <w:r>
              <w:rPr>
                <w:rFonts w:eastAsia="Calibri" w:cs="Calibri"/>
              </w:rPr>
              <w:t>661</w:t>
            </w:r>
          </w:p>
        </w:tc>
      </w:tr>
      <w:tr w:rsidR="000B501C" w:rsidRPr="000B501C" w14:paraId="70443F49" w14:textId="77777777" w:rsidTr="001A435E">
        <w:trPr>
          <w:cnfStyle w:val="000000010000" w:firstRow="0" w:lastRow="0" w:firstColumn="0" w:lastColumn="0" w:oddVBand="0" w:evenVBand="0" w:oddHBand="0" w:evenHBand="1" w:firstRowFirstColumn="0" w:firstRowLastColumn="0" w:lastRowFirstColumn="0" w:lastRowLastColumn="0"/>
        </w:trPr>
        <w:tc>
          <w:tcPr>
            <w:tcW w:w="7915" w:type="dxa"/>
          </w:tcPr>
          <w:p w14:paraId="0C8C74E0" w14:textId="4A95CD81" w:rsidR="000B501C" w:rsidRPr="000B501C" w:rsidRDefault="000B501C" w:rsidP="000B501C">
            <w:pPr>
              <w:spacing w:before="120" w:after="0"/>
              <w:rPr>
                <w:rFonts w:eastAsia="Calibri" w:cs="Calibri"/>
              </w:rPr>
            </w:pPr>
            <w:r w:rsidRPr="000B501C">
              <w:rPr>
                <w:rFonts w:eastAsia="Calibri" w:cs="Calibri"/>
              </w:rPr>
              <w:t xml:space="preserve">Age </w:t>
            </w:r>
            <w:r w:rsidR="008662A4">
              <w:rPr>
                <w:rFonts w:eastAsia="Calibri" w:cs="Calibri"/>
              </w:rPr>
              <w:t>14-15</w:t>
            </w:r>
          </w:p>
        </w:tc>
        <w:tc>
          <w:tcPr>
            <w:tcW w:w="2340" w:type="dxa"/>
          </w:tcPr>
          <w:p w14:paraId="036C63FB" w14:textId="65C333FF" w:rsidR="000B501C" w:rsidRPr="000B501C" w:rsidRDefault="008662A4" w:rsidP="000B501C">
            <w:pPr>
              <w:spacing w:before="120" w:after="0"/>
              <w:jc w:val="right"/>
              <w:rPr>
                <w:rFonts w:eastAsia="Calibri" w:cs="Calibri"/>
              </w:rPr>
            </w:pPr>
            <w:r>
              <w:rPr>
                <w:rFonts w:eastAsia="Calibri" w:cs="Calibri"/>
              </w:rPr>
              <w:t>613</w:t>
            </w:r>
          </w:p>
        </w:tc>
      </w:tr>
      <w:tr w:rsidR="000B501C" w:rsidRPr="000B501C" w14:paraId="0B3EAF05" w14:textId="77777777" w:rsidTr="001A435E">
        <w:trPr>
          <w:cnfStyle w:val="000000100000" w:firstRow="0" w:lastRow="0" w:firstColumn="0" w:lastColumn="0" w:oddVBand="0" w:evenVBand="0" w:oddHBand="1" w:evenHBand="0" w:firstRowFirstColumn="0" w:firstRowLastColumn="0" w:lastRowFirstColumn="0" w:lastRowLastColumn="0"/>
        </w:trPr>
        <w:tc>
          <w:tcPr>
            <w:tcW w:w="7915" w:type="dxa"/>
          </w:tcPr>
          <w:p w14:paraId="053CB686" w14:textId="1B8A9485" w:rsidR="000B501C" w:rsidRPr="000B501C" w:rsidRDefault="000B501C" w:rsidP="000B501C">
            <w:pPr>
              <w:spacing w:before="120" w:after="0"/>
              <w:rPr>
                <w:rFonts w:eastAsia="Calibri" w:cs="Calibri"/>
              </w:rPr>
            </w:pPr>
            <w:r w:rsidRPr="000B501C">
              <w:rPr>
                <w:rFonts w:eastAsia="Calibri" w:cs="Calibri"/>
              </w:rPr>
              <w:t xml:space="preserve">Age </w:t>
            </w:r>
            <w:r w:rsidR="008662A4">
              <w:rPr>
                <w:rFonts w:eastAsia="Calibri" w:cs="Calibri"/>
              </w:rPr>
              <w:t>16-17</w:t>
            </w:r>
          </w:p>
        </w:tc>
        <w:tc>
          <w:tcPr>
            <w:tcW w:w="2340" w:type="dxa"/>
          </w:tcPr>
          <w:p w14:paraId="0532DC6B" w14:textId="33D07C0B" w:rsidR="000B501C" w:rsidRPr="000B501C" w:rsidRDefault="008662A4" w:rsidP="000B501C">
            <w:pPr>
              <w:spacing w:before="120" w:after="0"/>
              <w:jc w:val="right"/>
              <w:rPr>
                <w:rFonts w:eastAsia="Calibri" w:cs="Calibri"/>
              </w:rPr>
            </w:pPr>
            <w:r>
              <w:rPr>
                <w:rFonts w:eastAsia="Calibri" w:cs="Calibri"/>
              </w:rPr>
              <w:t>532</w:t>
            </w:r>
          </w:p>
        </w:tc>
      </w:tr>
      <w:tr w:rsidR="002207CF" w:rsidRPr="000B501C" w14:paraId="02EF10D7" w14:textId="77777777" w:rsidTr="001A435E">
        <w:trPr>
          <w:cnfStyle w:val="000000010000" w:firstRow="0" w:lastRow="0" w:firstColumn="0" w:lastColumn="0" w:oddVBand="0" w:evenVBand="0" w:oddHBand="0" w:evenHBand="1" w:firstRowFirstColumn="0" w:firstRowLastColumn="0" w:lastRowFirstColumn="0" w:lastRowLastColumn="0"/>
        </w:trPr>
        <w:tc>
          <w:tcPr>
            <w:tcW w:w="7915" w:type="dxa"/>
          </w:tcPr>
          <w:p w14:paraId="7955FE3E" w14:textId="4EDE9533" w:rsidR="002207CF" w:rsidRPr="000B501C" w:rsidRDefault="002207CF" w:rsidP="000B501C">
            <w:pPr>
              <w:spacing w:before="120" w:after="0"/>
              <w:rPr>
                <w:rFonts w:eastAsia="Calibri" w:cs="Calibri"/>
              </w:rPr>
            </w:pPr>
            <w:r>
              <w:rPr>
                <w:rFonts w:eastAsia="Calibri" w:cs="Calibri"/>
              </w:rPr>
              <w:t>Age 18</w:t>
            </w:r>
          </w:p>
        </w:tc>
        <w:tc>
          <w:tcPr>
            <w:tcW w:w="2340" w:type="dxa"/>
          </w:tcPr>
          <w:p w14:paraId="730787BB" w14:textId="4768873F" w:rsidR="002207CF" w:rsidRPr="000B501C" w:rsidRDefault="00C30493" w:rsidP="000B501C">
            <w:pPr>
              <w:spacing w:before="120" w:after="0"/>
              <w:jc w:val="right"/>
              <w:rPr>
                <w:rFonts w:eastAsia="Calibri" w:cs="Calibri"/>
              </w:rPr>
            </w:pPr>
            <w:r>
              <w:rPr>
                <w:rFonts w:eastAsia="Calibri" w:cs="Calibri"/>
              </w:rPr>
              <w:t>261</w:t>
            </w:r>
          </w:p>
        </w:tc>
      </w:tr>
      <w:tr w:rsidR="00C30493" w:rsidRPr="000B501C" w14:paraId="0115228A" w14:textId="77777777" w:rsidTr="001A435E">
        <w:trPr>
          <w:cnfStyle w:val="000000100000" w:firstRow="0" w:lastRow="0" w:firstColumn="0" w:lastColumn="0" w:oddVBand="0" w:evenVBand="0" w:oddHBand="1" w:evenHBand="0" w:firstRowFirstColumn="0" w:firstRowLastColumn="0" w:lastRowFirstColumn="0" w:lastRowLastColumn="0"/>
        </w:trPr>
        <w:tc>
          <w:tcPr>
            <w:tcW w:w="7915" w:type="dxa"/>
          </w:tcPr>
          <w:p w14:paraId="53196A5C" w14:textId="2B3B4C05" w:rsidR="00C30493" w:rsidRPr="000B501C" w:rsidRDefault="00C30493" w:rsidP="000B501C">
            <w:pPr>
              <w:spacing w:before="120" w:after="0"/>
              <w:rPr>
                <w:rFonts w:eastAsia="Calibri" w:cs="Calibri"/>
              </w:rPr>
            </w:pPr>
            <w:r>
              <w:rPr>
                <w:rFonts w:eastAsia="Calibri" w:cs="Calibri"/>
              </w:rPr>
              <w:t>Age 19-21</w:t>
            </w:r>
          </w:p>
        </w:tc>
        <w:tc>
          <w:tcPr>
            <w:tcW w:w="2340" w:type="dxa"/>
          </w:tcPr>
          <w:p w14:paraId="11122B55" w14:textId="0B6CD39D" w:rsidR="00C30493" w:rsidRPr="000B501C" w:rsidRDefault="00FD4170" w:rsidP="000B501C">
            <w:pPr>
              <w:spacing w:before="120" w:after="0"/>
              <w:jc w:val="right"/>
              <w:rPr>
                <w:rFonts w:eastAsia="Calibri" w:cs="Calibri"/>
              </w:rPr>
            </w:pPr>
            <w:r>
              <w:rPr>
                <w:rFonts w:eastAsia="Calibri" w:cs="Calibri"/>
              </w:rPr>
              <w:t>88</w:t>
            </w:r>
          </w:p>
        </w:tc>
      </w:tr>
      <w:tr w:rsidR="000B501C" w:rsidRPr="000B501C" w14:paraId="14CEEF8A" w14:textId="77777777" w:rsidTr="001A435E">
        <w:trPr>
          <w:cnfStyle w:val="000000010000" w:firstRow="0" w:lastRow="0" w:firstColumn="0" w:lastColumn="0" w:oddVBand="0" w:evenVBand="0" w:oddHBand="0" w:evenHBand="1" w:firstRowFirstColumn="0" w:firstRowLastColumn="0" w:lastRowFirstColumn="0" w:lastRowLastColumn="0"/>
        </w:trPr>
        <w:tc>
          <w:tcPr>
            <w:tcW w:w="7915" w:type="dxa"/>
          </w:tcPr>
          <w:p w14:paraId="7ECD047E" w14:textId="77777777" w:rsidR="000B501C" w:rsidRPr="000B501C" w:rsidRDefault="000B501C" w:rsidP="000B501C">
            <w:pPr>
              <w:spacing w:before="120" w:after="0"/>
              <w:rPr>
                <w:rFonts w:eastAsia="Calibri" w:cs="Calibri"/>
              </w:rPr>
            </w:pPr>
            <w:r w:rsidRPr="000B501C">
              <w:rPr>
                <w:rFonts w:eastAsia="Calibri" w:cs="Calibri"/>
              </w:rPr>
              <w:t>Hispanic/Latino</w:t>
            </w:r>
          </w:p>
        </w:tc>
        <w:tc>
          <w:tcPr>
            <w:tcW w:w="2340" w:type="dxa"/>
          </w:tcPr>
          <w:p w14:paraId="1A324006" w14:textId="274A1D30" w:rsidR="000B501C" w:rsidRPr="000B501C" w:rsidRDefault="00FD4170" w:rsidP="000B501C">
            <w:pPr>
              <w:spacing w:before="120" w:after="0"/>
              <w:jc w:val="right"/>
              <w:rPr>
                <w:rFonts w:eastAsia="Calibri" w:cs="Calibri"/>
              </w:rPr>
            </w:pPr>
            <w:r>
              <w:rPr>
                <w:rFonts w:eastAsia="Calibri" w:cs="Calibri"/>
              </w:rPr>
              <w:t>178</w:t>
            </w:r>
          </w:p>
        </w:tc>
      </w:tr>
      <w:tr w:rsidR="000B501C" w:rsidRPr="000B501C" w14:paraId="60C63716" w14:textId="77777777" w:rsidTr="001A435E">
        <w:trPr>
          <w:cnfStyle w:val="000000100000" w:firstRow="0" w:lastRow="0" w:firstColumn="0" w:lastColumn="0" w:oddVBand="0" w:evenVBand="0" w:oddHBand="1" w:evenHBand="0" w:firstRowFirstColumn="0" w:firstRowLastColumn="0" w:lastRowFirstColumn="0" w:lastRowLastColumn="0"/>
        </w:trPr>
        <w:tc>
          <w:tcPr>
            <w:tcW w:w="7915" w:type="dxa"/>
          </w:tcPr>
          <w:p w14:paraId="61C82DF0" w14:textId="1CF78C59" w:rsidR="000B501C" w:rsidRPr="000B501C" w:rsidRDefault="000B501C" w:rsidP="000B501C">
            <w:pPr>
              <w:spacing w:before="120" w:after="0"/>
              <w:rPr>
                <w:rFonts w:eastAsia="Calibri" w:cs="Calibri"/>
              </w:rPr>
            </w:pPr>
            <w:r w:rsidRPr="000B501C">
              <w:rPr>
                <w:rFonts w:eastAsia="Calibri" w:cs="Calibri"/>
              </w:rPr>
              <w:t>American Indian/Alaska Native</w:t>
            </w:r>
          </w:p>
        </w:tc>
        <w:tc>
          <w:tcPr>
            <w:tcW w:w="2340" w:type="dxa"/>
          </w:tcPr>
          <w:p w14:paraId="579741DA" w14:textId="2E45DEBF" w:rsidR="000B501C" w:rsidRPr="000B501C" w:rsidRDefault="00FD4170" w:rsidP="000B501C">
            <w:pPr>
              <w:spacing w:before="120" w:after="0"/>
              <w:jc w:val="right"/>
              <w:rPr>
                <w:rFonts w:eastAsia="Calibri" w:cs="Calibri"/>
              </w:rPr>
            </w:pPr>
            <w:r>
              <w:rPr>
                <w:rFonts w:eastAsia="Calibri" w:cs="Calibri"/>
              </w:rPr>
              <w:t>23</w:t>
            </w:r>
          </w:p>
        </w:tc>
      </w:tr>
      <w:tr w:rsidR="000B501C" w:rsidRPr="000B501C" w14:paraId="1CD1F6C1" w14:textId="77777777" w:rsidTr="001A435E">
        <w:trPr>
          <w:cnfStyle w:val="000000010000" w:firstRow="0" w:lastRow="0" w:firstColumn="0" w:lastColumn="0" w:oddVBand="0" w:evenVBand="0" w:oddHBand="0" w:evenHBand="1" w:firstRowFirstColumn="0" w:firstRowLastColumn="0" w:lastRowFirstColumn="0" w:lastRowLastColumn="0"/>
        </w:trPr>
        <w:tc>
          <w:tcPr>
            <w:tcW w:w="7915" w:type="dxa"/>
          </w:tcPr>
          <w:p w14:paraId="2F3C409A" w14:textId="75906CAA" w:rsidR="000B501C" w:rsidRPr="000B501C" w:rsidRDefault="000B501C" w:rsidP="000B501C">
            <w:pPr>
              <w:spacing w:before="120" w:after="0"/>
              <w:rPr>
                <w:rFonts w:eastAsia="Calibri" w:cs="Calibri"/>
              </w:rPr>
            </w:pPr>
            <w:r w:rsidRPr="000B501C">
              <w:rPr>
                <w:rFonts w:eastAsia="Calibri" w:cs="Calibri"/>
              </w:rPr>
              <w:t>Asian/Pacific Islander</w:t>
            </w:r>
          </w:p>
        </w:tc>
        <w:tc>
          <w:tcPr>
            <w:tcW w:w="2340" w:type="dxa"/>
          </w:tcPr>
          <w:p w14:paraId="35872638" w14:textId="2CB18EFC" w:rsidR="000B501C" w:rsidRPr="000B501C" w:rsidRDefault="00AB0697" w:rsidP="000B501C">
            <w:pPr>
              <w:spacing w:before="120" w:after="0"/>
              <w:jc w:val="right"/>
              <w:rPr>
                <w:rFonts w:eastAsia="Calibri" w:cs="Calibri"/>
              </w:rPr>
            </w:pPr>
            <w:r>
              <w:rPr>
                <w:rFonts w:eastAsia="Calibri" w:cs="Calibri"/>
              </w:rPr>
              <w:t>33</w:t>
            </w:r>
          </w:p>
        </w:tc>
      </w:tr>
      <w:tr w:rsidR="000B501C" w:rsidRPr="000B501C" w14:paraId="0F479688" w14:textId="77777777" w:rsidTr="001A435E">
        <w:trPr>
          <w:cnfStyle w:val="000000100000" w:firstRow="0" w:lastRow="0" w:firstColumn="0" w:lastColumn="0" w:oddVBand="0" w:evenVBand="0" w:oddHBand="1" w:evenHBand="0" w:firstRowFirstColumn="0" w:firstRowLastColumn="0" w:lastRowFirstColumn="0" w:lastRowLastColumn="0"/>
        </w:trPr>
        <w:tc>
          <w:tcPr>
            <w:tcW w:w="7915" w:type="dxa"/>
          </w:tcPr>
          <w:p w14:paraId="3DF41DBC" w14:textId="77777777" w:rsidR="000B501C" w:rsidRPr="000B501C" w:rsidRDefault="000B501C" w:rsidP="000B501C">
            <w:pPr>
              <w:spacing w:before="120" w:after="0"/>
              <w:rPr>
                <w:rFonts w:eastAsia="Calibri" w:cs="Calibri"/>
              </w:rPr>
            </w:pPr>
            <w:r w:rsidRPr="000B501C">
              <w:rPr>
                <w:rFonts w:eastAsia="Calibri" w:cs="Calibri"/>
              </w:rPr>
              <w:t>Black/African American</w:t>
            </w:r>
          </w:p>
        </w:tc>
        <w:tc>
          <w:tcPr>
            <w:tcW w:w="2340" w:type="dxa"/>
          </w:tcPr>
          <w:p w14:paraId="5925840C" w14:textId="00F77E95" w:rsidR="000B501C" w:rsidRPr="000B501C" w:rsidRDefault="00AB0697" w:rsidP="000B501C">
            <w:pPr>
              <w:spacing w:before="120" w:after="0"/>
              <w:jc w:val="right"/>
              <w:rPr>
                <w:rFonts w:eastAsia="Calibri" w:cs="Calibri"/>
              </w:rPr>
            </w:pPr>
            <w:r>
              <w:rPr>
                <w:rFonts w:eastAsia="Calibri" w:cs="Calibri"/>
              </w:rPr>
              <w:t>557</w:t>
            </w:r>
          </w:p>
        </w:tc>
      </w:tr>
      <w:tr w:rsidR="000B501C" w:rsidRPr="000B501C" w14:paraId="6D78BCA9" w14:textId="77777777" w:rsidTr="001A435E">
        <w:trPr>
          <w:cnfStyle w:val="000000010000" w:firstRow="0" w:lastRow="0" w:firstColumn="0" w:lastColumn="0" w:oddVBand="0" w:evenVBand="0" w:oddHBand="0" w:evenHBand="1" w:firstRowFirstColumn="0" w:firstRowLastColumn="0" w:lastRowFirstColumn="0" w:lastRowLastColumn="0"/>
        </w:trPr>
        <w:tc>
          <w:tcPr>
            <w:tcW w:w="7915" w:type="dxa"/>
          </w:tcPr>
          <w:p w14:paraId="48668E89" w14:textId="77777777" w:rsidR="000B501C" w:rsidRPr="000B501C" w:rsidRDefault="000B501C" w:rsidP="000B501C">
            <w:pPr>
              <w:spacing w:before="120" w:after="0"/>
              <w:rPr>
                <w:rFonts w:eastAsia="Calibri" w:cs="Calibri"/>
              </w:rPr>
            </w:pPr>
            <w:r w:rsidRPr="000B501C">
              <w:rPr>
                <w:rFonts w:eastAsia="Calibri" w:cs="Calibri"/>
              </w:rPr>
              <w:t>White</w:t>
            </w:r>
          </w:p>
        </w:tc>
        <w:tc>
          <w:tcPr>
            <w:tcW w:w="2340" w:type="dxa"/>
          </w:tcPr>
          <w:p w14:paraId="21770147" w14:textId="39D7FE11" w:rsidR="000B501C" w:rsidRPr="000B501C" w:rsidRDefault="00AB0697" w:rsidP="000B501C">
            <w:pPr>
              <w:spacing w:before="120" w:after="0"/>
              <w:jc w:val="right"/>
              <w:rPr>
                <w:rFonts w:eastAsia="Calibri" w:cs="Calibri"/>
              </w:rPr>
            </w:pPr>
            <w:r>
              <w:rPr>
                <w:rFonts w:eastAsia="Calibri" w:cs="Calibri"/>
              </w:rPr>
              <w:t>1,001</w:t>
            </w:r>
          </w:p>
        </w:tc>
      </w:tr>
      <w:tr w:rsidR="000B501C" w:rsidRPr="000B501C" w14:paraId="08A67F67" w14:textId="77777777" w:rsidTr="001A435E">
        <w:trPr>
          <w:cnfStyle w:val="000000100000" w:firstRow="0" w:lastRow="0" w:firstColumn="0" w:lastColumn="0" w:oddVBand="0" w:evenVBand="0" w:oddHBand="1" w:evenHBand="0" w:firstRowFirstColumn="0" w:firstRowLastColumn="0" w:lastRowFirstColumn="0" w:lastRowLastColumn="0"/>
        </w:trPr>
        <w:tc>
          <w:tcPr>
            <w:tcW w:w="7915" w:type="dxa"/>
          </w:tcPr>
          <w:p w14:paraId="4BEA7E41" w14:textId="77777777" w:rsidR="000B501C" w:rsidRPr="000B501C" w:rsidRDefault="000B501C" w:rsidP="000B501C">
            <w:pPr>
              <w:spacing w:before="120" w:after="0"/>
              <w:rPr>
                <w:rFonts w:eastAsia="Calibri" w:cs="Calibri"/>
              </w:rPr>
            </w:pPr>
            <w:r w:rsidRPr="000B501C">
              <w:rPr>
                <w:rFonts w:eastAsia="Calibri" w:cs="Calibri"/>
              </w:rPr>
              <w:t>Multi-racial</w:t>
            </w:r>
          </w:p>
        </w:tc>
        <w:tc>
          <w:tcPr>
            <w:tcW w:w="2340" w:type="dxa"/>
          </w:tcPr>
          <w:p w14:paraId="7DFA5BF3" w14:textId="58B1E8CA" w:rsidR="000B501C" w:rsidRPr="000B501C" w:rsidRDefault="00AB0697" w:rsidP="000B501C">
            <w:pPr>
              <w:spacing w:before="120" w:after="0"/>
              <w:jc w:val="right"/>
              <w:rPr>
                <w:rFonts w:eastAsia="Calibri" w:cs="Calibri"/>
              </w:rPr>
            </w:pPr>
            <w:r>
              <w:rPr>
                <w:rFonts w:eastAsia="Calibri" w:cs="Calibri"/>
              </w:rPr>
              <w:t>318</w:t>
            </w:r>
          </w:p>
        </w:tc>
      </w:tr>
      <w:tr w:rsidR="000B501C" w:rsidRPr="000B501C" w14:paraId="55D046F4" w14:textId="77777777" w:rsidTr="001A435E">
        <w:trPr>
          <w:cnfStyle w:val="000000010000" w:firstRow="0" w:lastRow="0" w:firstColumn="0" w:lastColumn="0" w:oddVBand="0" w:evenVBand="0" w:oddHBand="0" w:evenHBand="1" w:firstRowFirstColumn="0" w:firstRowLastColumn="0" w:lastRowFirstColumn="0" w:lastRowLastColumn="0"/>
        </w:trPr>
        <w:tc>
          <w:tcPr>
            <w:tcW w:w="7915" w:type="dxa"/>
          </w:tcPr>
          <w:p w14:paraId="76724B49" w14:textId="77BA1542" w:rsidR="000B501C" w:rsidRPr="000B501C" w:rsidRDefault="00B51177" w:rsidP="000B501C">
            <w:pPr>
              <w:spacing w:before="120" w:after="0"/>
              <w:rPr>
                <w:rFonts w:eastAsia="Calibri" w:cs="Calibri"/>
              </w:rPr>
            </w:pPr>
            <w:r>
              <w:rPr>
                <w:rFonts w:eastAsia="Calibri" w:cs="Calibri"/>
              </w:rPr>
              <w:t>Other/Unreported Race</w:t>
            </w:r>
          </w:p>
        </w:tc>
        <w:tc>
          <w:tcPr>
            <w:tcW w:w="2340" w:type="dxa"/>
          </w:tcPr>
          <w:p w14:paraId="19BF2A8E" w14:textId="2FED306B" w:rsidR="000B501C" w:rsidRPr="000B501C" w:rsidRDefault="00B51177" w:rsidP="000B501C">
            <w:pPr>
              <w:spacing w:before="120" w:after="0"/>
              <w:jc w:val="right"/>
              <w:rPr>
                <w:rFonts w:eastAsia="Calibri" w:cs="Calibri"/>
              </w:rPr>
            </w:pPr>
            <w:r>
              <w:rPr>
                <w:rFonts w:eastAsia="Calibri" w:cs="Calibri"/>
              </w:rPr>
              <w:t>45</w:t>
            </w:r>
          </w:p>
        </w:tc>
      </w:tr>
      <w:tr w:rsidR="000B501C" w:rsidRPr="000B501C" w14:paraId="7A7C47AD" w14:textId="77777777" w:rsidTr="001A435E">
        <w:trPr>
          <w:cnfStyle w:val="000000100000" w:firstRow="0" w:lastRow="0" w:firstColumn="0" w:lastColumn="0" w:oddVBand="0" w:evenVBand="0" w:oddHBand="1" w:evenHBand="0" w:firstRowFirstColumn="0" w:firstRowLastColumn="0" w:lastRowFirstColumn="0" w:lastRowLastColumn="0"/>
        </w:trPr>
        <w:tc>
          <w:tcPr>
            <w:tcW w:w="7915" w:type="dxa"/>
          </w:tcPr>
          <w:p w14:paraId="323ECF6A" w14:textId="477FEEF8" w:rsidR="000B501C" w:rsidRPr="000B501C" w:rsidRDefault="00B51177" w:rsidP="000B501C">
            <w:pPr>
              <w:spacing w:before="120" w:after="0"/>
              <w:rPr>
                <w:rFonts w:eastAsia="Calibri" w:cs="Calibri"/>
              </w:rPr>
            </w:pPr>
            <w:r>
              <w:rPr>
                <w:rFonts w:eastAsia="Calibri" w:cs="Calibri"/>
              </w:rPr>
              <w:t>8</w:t>
            </w:r>
            <w:r w:rsidRPr="00B51177">
              <w:rPr>
                <w:rFonts w:eastAsia="Calibri" w:cs="Calibri"/>
                <w:vertAlign w:val="superscript"/>
              </w:rPr>
              <w:t>th</w:t>
            </w:r>
            <w:r>
              <w:rPr>
                <w:rFonts w:eastAsia="Calibri" w:cs="Calibri"/>
              </w:rPr>
              <w:t xml:space="preserve"> grade </w:t>
            </w:r>
            <w:r w:rsidR="00BF4A77">
              <w:rPr>
                <w:rFonts w:eastAsia="Calibri" w:cs="Calibri"/>
              </w:rPr>
              <w:t xml:space="preserve">student </w:t>
            </w:r>
            <w:r>
              <w:rPr>
                <w:rFonts w:eastAsia="Calibri" w:cs="Calibri"/>
              </w:rPr>
              <w:t>or younger</w:t>
            </w:r>
          </w:p>
        </w:tc>
        <w:tc>
          <w:tcPr>
            <w:tcW w:w="2340" w:type="dxa"/>
          </w:tcPr>
          <w:p w14:paraId="2EA7E801" w14:textId="221004B2" w:rsidR="000B501C" w:rsidRPr="000B501C" w:rsidRDefault="00721B8A" w:rsidP="000B501C">
            <w:pPr>
              <w:spacing w:before="120" w:after="0"/>
              <w:jc w:val="right"/>
              <w:rPr>
                <w:rFonts w:eastAsia="Calibri" w:cs="Calibri"/>
              </w:rPr>
            </w:pPr>
            <w:r>
              <w:rPr>
                <w:rFonts w:eastAsia="Calibri" w:cs="Calibri"/>
              </w:rPr>
              <w:t>749</w:t>
            </w:r>
          </w:p>
        </w:tc>
      </w:tr>
      <w:tr w:rsidR="000B501C" w:rsidRPr="000B501C" w14:paraId="2ECBF312" w14:textId="77777777" w:rsidTr="001A435E">
        <w:trPr>
          <w:cnfStyle w:val="000000010000" w:firstRow="0" w:lastRow="0" w:firstColumn="0" w:lastColumn="0" w:oddVBand="0" w:evenVBand="0" w:oddHBand="0" w:evenHBand="1" w:firstRowFirstColumn="0" w:firstRowLastColumn="0" w:lastRowFirstColumn="0" w:lastRowLastColumn="0"/>
          <w:trHeight w:val="344"/>
        </w:trPr>
        <w:tc>
          <w:tcPr>
            <w:tcW w:w="7915" w:type="dxa"/>
          </w:tcPr>
          <w:p w14:paraId="0CD6A579" w14:textId="6C496F01" w:rsidR="000B501C" w:rsidRPr="000B501C" w:rsidRDefault="00721B8A" w:rsidP="000B501C">
            <w:pPr>
              <w:spacing w:before="120" w:after="0"/>
              <w:rPr>
                <w:rFonts w:eastAsia="Calibri" w:cs="Calibri"/>
              </w:rPr>
            </w:pPr>
            <w:r>
              <w:rPr>
                <w:rFonts w:eastAsia="Calibri" w:cs="Calibri"/>
              </w:rPr>
              <w:t>9</w:t>
            </w:r>
            <w:r w:rsidRPr="00721B8A">
              <w:rPr>
                <w:rFonts w:eastAsia="Calibri" w:cs="Calibri"/>
                <w:vertAlign w:val="superscript"/>
              </w:rPr>
              <w:t>th</w:t>
            </w:r>
            <w:r>
              <w:rPr>
                <w:rFonts w:eastAsia="Calibri" w:cs="Calibri"/>
              </w:rPr>
              <w:t>-12</w:t>
            </w:r>
            <w:r w:rsidRPr="00721B8A">
              <w:rPr>
                <w:rFonts w:eastAsia="Calibri" w:cs="Calibri"/>
                <w:vertAlign w:val="superscript"/>
              </w:rPr>
              <w:t>th</w:t>
            </w:r>
            <w:r>
              <w:rPr>
                <w:rFonts w:eastAsia="Calibri" w:cs="Calibri"/>
              </w:rPr>
              <w:t xml:space="preserve"> grade</w:t>
            </w:r>
            <w:r w:rsidR="00BF4A77">
              <w:rPr>
                <w:rFonts w:eastAsia="Calibri" w:cs="Calibri"/>
              </w:rPr>
              <w:t xml:space="preserve"> student</w:t>
            </w:r>
          </w:p>
        </w:tc>
        <w:tc>
          <w:tcPr>
            <w:tcW w:w="2340" w:type="dxa"/>
          </w:tcPr>
          <w:p w14:paraId="2196BC8B" w14:textId="180A9D03" w:rsidR="000B501C" w:rsidRPr="000B501C" w:rsidRDefault="00721B8A" w:rsidP="000B501C">
            <w:pPr>
              <w:spacing w:before="120" w:after="0"/>
              <w:jc w:val="right"/>
              <w:rPr>
                <w:rFonts w:eastAsia="Calibri" w:cs="Calibri"/>
              </w:rPr>
            </w:pPr>
            <w:r>
              <w:rPr>
                <w:rFonts w:eastAsia="Calibri" w:cs="Calibri"/>
              </w:rPr>
              <w:t>1,248</w:t>
            </w:r>
          </w:p>
        </w:tc>
      </w:tr>
      <w:tr w:rsidR="000B501C" w:rsidRPr="000B501C" w14:paraId="38B3EB9D" w14:textId="77777777" w:rsidTr="001A435E">
        <w:trPr>
          <w:cnfStyle w:val="000000100000" w:firstRow="0" w:lastRow="0" w:firstColumn="0" w:lastColumn="0" w:oddVBand="0" w:evenVBand="0" w:oddHBand="1" w:evenHBand="0" w:firstRowFirstColumn="0" w:firstRowLastColumn="0" w:lastRowFirstColumn="0" w:lastRowLastColumn="0"/>
        </w:trPr>
        <w:tc>
          <w:tcPr>
            <w:tcW w:w="7915" w:type="dxa"/>
          </w:tcPr>
          <w:p w14:paraId="6138B375" w14:textId="4C6864B7" w:rsidR="000B501C" w:rsidRPr="000B501C" w:rsidRDefault="00721B8A" w:rsidP="000B501C">
            <w:pPr>
              <w:spacing w:before="120" w:after="0"/>
              <w:rPr>
                <w:rFonts w:eastAsia="Calibri" w:cs="Calibri"/>
              </w:rPr>
            </w:pPr>
            <w:r>
              <w:rPr>
                <w:rFonts w:eastAsia="Calibri" w:cs="Calibri"/>
              </w:rPr>
              <w:t>High school graduate or equivalent</w:t>
            </w:r>
          </w:p>
        </w:tc>
        <w:tc>
          <w:tcPr>
            <w:tcW w:w="2340" w:type="dxa"/>
          </w:tcPr>
          <w:p w14:paraId="57497900" w14:textId="4F9A69E9" w:rsidR="000B501C" w:rsidRPr="000B501C" w:rsidRDefault="00721B8A" w:rsidP="000B501C">
            <w:pPr>
              <w:spacing w:before="120" w:after="0"/>
              <w:jc w:val="right"/>
              <w:rPr>
                <w:rFonts w:eastAsia="Calibri" w:cs="Calibri"/>
              </w:rPr>
            </w:pPr>
            <w:r>
              <w:rPr>
                <w:rFonts w:eastAsia="Calibri" w:cs="Calibri"/>
              </w:rPr>
              <w:t>59</w:t>
            </w:r>
          </w:p>
        </w:tc>
      </w:tr>
      <w:tr w:rsidR="000B501C" w:rsidRPr="000B501C" w14:paraId="6CF58BA9" w14:textId="77777777" w:rsidTr="001A435E">
        <w:trPr>
          <w:cnfStyle w:val="000000010000" w:firstRow="0" w:lastRow="0" w:firstColumn="0" w:lastColumn="0" w:oddVBand="0" w:evenVBand="0" w:oddHBand="0" w:evenHBand="1" w:firstRowFirstColumn="0" w:firstRowLastColumn="0" w:lastRowFirstColumn="0" w:lastRowLastColumn="0"/>
        </w:trPr>
        <w:tc>
          <w:tcPr>
            <w:tcW w:w="7915" w:type="dxa"/>
          </w:tcPr>
          <w:p w14:paraId="6962AE1D" w14:textId="1986210E" w:rsidR="000B501C" w:rsidRPr="000B501C" w:rsidRDefault="00BF4A77" w:rsidP="000B501C">
            <w:pPr>
              <w:spacing w:before="120" w:after="0"/>
              <w:rPr>
                <w:rFonts w:eastAsia="Calibri" w:cs="Calibri"/>
              </w:rPr>
            </w:pPr>
            <w:r>
              <w:rPr>
                <w:rFonts w:eastAsia="Calibri" w:cs="Calibri"/>
              </w:rPr>
              <w:t>Post-secondary education student</w:t>
            </w:r>
          </w:p>
        </w:tc>
        <w:tc>
          <w:tcPr>
            <w:tcW w:w="2340" w:type="dxa"/>
          </w:tcPr>
          <w:p w14:paraId="09BE84B3" w14:textId="576B6961" w:rsidR="000B501C" w:rsidRPr="000B501C" w:rsidRDefault="00BF4A77" w:rsidP="000B501C">
            <w:pPr>
              <w:spacing w:before="120" w:after="0"/>
              <w:jc w:val="right"/>
              <w:rPr>
                <w:rFonts w:eastAsia="Calibri" w:cs="Calibri"/>
              </w:rPr>
            </w:pPr>
            <w:r>
              <w:rPr>
                <w:rFonts w:eastAsia="Calibri" w:cs="Calibri"/>
              </w:rPr>
              <w:t>99</w:t>
            </w:r>
          </w:p>
        </w:tc>
      </w:tr>
      <w:tr w:rsidR="000B501C" w:rsidRPr="000B501C" w14:paraId="3647066D" w14:textId="77777777" w:rsidTr="001A435E">
        <w:trPr>
          <w:cnfStyle w:val="000000100000" w:firstRow="0" w:lastRow="0" w:firstColumn="0" w:lastColumn="0" w:oddVBand="0" w:evenVBand="0" w:oddHBand="1" w:evenHBand="0" w:firstRowFirstColumn="0" w:firstRowLastColumn="0" w:lastRowFirstColumn="0" w:lastRowLastColumn="0"/>
        </w:trPr>
        <w:tc>
          <w:tcPr>
            <w:tcW w:w="7915" w:type="dxa"/>
          </w:tcPr>
          <w:p w14:paraId="22FBBAEC" w14:textId="0560BDC6" w:rsidR="000B501C" w:rsidRPr="000B501C" w:rsidRDefault="009132D3" w:rsidP="000B501C">
            <w:pPr>
              <w:spacing w:before="120" w:after="0"/>
              <w:rPr>
                <w:rFonts w:eastAsia="Calibri" w:cs="Calibri"/>
              </w:rPr>
            </w:pPr>
            <w:r>
              <w:rPr>
                <w:rFonts w:eastAsia="Calibri" w:cs="Calibri"/>
              </w:rPr>
              <w:t>Family qualified for free or reduced-price school lunch</w:t>
            </w:r>
          </w:p>
        </w:tc>
        <w:tc>
          <w:tcPr>
            <w:tcW w:w="2340" w:type="dxa"/>
          </w:tcPr>
          <w:p w14:paraId="2E3EB232" w14:textId="25A5F9C0" w:rsidR="000B501C" w:rsidRPr="000B501C" w:rsidRDefault="009132D3" w:rsidP="000B501C">
            <w:pPr>
              <w:spacing w:before="120" w:after="0"/>
              <w:jc w:val="right"/>
              <w:rPr>
                <w:rFonts w:eastAsia="Calibri" w:cs="Calibri"/>
              </w:rPr>
            </w:pPr>
            <w:r>
              <w:rPr>
                <w:rFonts w:eastAsia="Calibri" w:cs="Calibri"/>
              </w:rPr>
              <w:t>1,255</w:t>
            </w:r>
          </w:p>
        </w:tc>
      </w:tr>
    </w:tbl>
    <w:p w14:paraId="4BB890D6" w14:textId="167EBCDF" w:rsidR="005A33E1" w:rsidRPr="003A602D" w:rsidRDefault="005A33E1" w:rsidP="005A33E1">
      <w:pPr>
        <w:pStyle w:val="Heading3"/>
      </w:pPr>
      <w:bookmarkStart w:id="15" w:name="_Toc93905760"/>
      <w:r w:rsidRPr="003A602D">
        <w:t>Program Services, Activities, and Other Related Assistance</w:t>
      </w:r>
      <w:bookmarkEnd w:id="15"/>
    </w:p>
    <w:tbl>
      <w:tblPr>
        <w:tblStyle w:val="TableGrid1"/>
        <w:tblW w:w="10255" w:type="dxa"/>
        <w:tblLook w:val="04A0" w:firstRow="1" w:lastRow="0" w:firstColumn="1" w:lastColumn="0" w:noHBand="0" w:noVBand="1"/>
        <w:tblCaption w:val="Program Services and Activities"/>
        <w:tblDescription w:val="Program Service provided and number of participants"/>
      </w:tblPr>
      <w:tblGrid>
        <w:gridCol w:w="7195"/>
        <w:gridCol w:w="3060"/>
      </w:tblGrid>
      <w:tr w:rsidR="00680B70" w:rsidRPr="00680B70" w14:paraId="5B8935EA" w14:textId="77777777" w:rsidTr="003A602D">
        <w:trPr>
          <w:cnfStyle w:val="100000000000" w:firstRow="1" w:lastRow="0" w:firstColumn="0" w:lastColumn="0" w:oddVBand="0" w:evenVBand="0" w:oddHBand="0" w:evenHBand="0" w:firstRowFirstColumn="0" w:firstRowLastColumn="0" w:lastRowFirstColumn="0" w:lastRowLastColumn="0"/>
        </w:trPr>
        <w:tc>
          <w:tcPr>
            <w:tcW w:w="7195" w:type="dxa"/>
          </w:tcPr>
          <w:p w14:paraId="6B3DB1A5" w14:textId="40286A92" w:rsidR="00680B70" w:rsidRPr="00680B70" w:rsidRDefault="00B85090" w:rsidP="00680B70">
            <w:pPr>
              <w:spacing w:before="120" w:after="0"/>
              <w:rPr>
                <w:rFonts w:eastAsia="Calibri" w:cs="Calibri"/>
                <w:sz w:val="24"/>
                <w:szCs w:val="24"/>
              </w:rPr>
            </w:pPr>
            <w:r w:rsidRPr="003A602D">
              <w:rPr>
                <w:rFonts w:eastAsia="Calibri" w:cs="Calibri"/>
                <w:sz w:val="24"/>
                <w:szCs w:val="24"/>
              </w:rPr>
              <w:t>SERVICE PROVIDED</w:t>
            </w:r>
          </w:p>
        </w:tc>
        <w:tc>
          <w:tcPr>
            <w:tcW w:w="3060" w:type="dxa"/>
          </w:tcPr>
          <w:p w14:paraId="38D4ECB2" w14:textId="4FF247CF" w:rsidR="00680B70" w:rsidRPr="00680B70" w:rsidRDefault="00B85090" w:rsidP="00680B70">
            <w:pPr>
              <w:spacing w:before="120" w:after="0"/>
              <w:jc w:val="right"/>
              <w:rPr>
                <w:rFonts w:eastAsia="Calibri" w:cs="Calibri"/>
                <w:sz w:val="24"/>
                <w:szCs w:val="24"/>
              </w:rPr>
            </w:pPr>
            <w:r w:rsidRPr="003A602D">
              <w:rPr>
                <w:rFonts w:eastAsia="Calibri" w:cs="Calibri"/>
                <w:sz w:val="24"/>
                <w:szCs w:val="24"/>
              </w:rPr>
              <w:t>NUMBER</w:t>
            </w:r>
            <w:r w:rsidR="006D0FF8" w:rsidRPr="003A602D">
              <w:rPr>
                <w:rFonts w:eastAsia="Calibri" w:cs="Calibri"/>
                <w:sz w:val="24"/>
                <w:szCs w:val="24"/>
              </w:rPr>
              <w:t xml:space="preserve"> </w:t>
            </w:r>
            <w:r w:rsidR="00EB5C25">
              <w:rPr>
                <w:rFonts w:eastAsia="Calibri" w:cs="Calibri"/>
                <w:sz w:val="24"/>
                <w:szCs w:val="24"/>
              </w:rPr>
              <w:t>SERVED</w:t>
            </w:r>
          </w:p>
        </w:tc>
      </w:tr>
      <w:tr w:rsidR="00680B70" w:rsidRPr="00680B70" w14:paraId="0E0EAE0F" w14:textId="77777777" w:rsidTr="003A602D">
        <w:trPr>
          <w:cnfStyle w:val="000000100000" w:firstRow="0" w:lastRow="0" w:firstColumn="0" w:lastColumn="0" w:oddVBand="0" w:evenVBand="0" w:oddHBand="1" w:evenHBand="0" w:firstRowFirstColumn="0" w:firstRowLastColumn="0" w:lastRowFirstColumn="0" w:lastRowLastColumn="0"/>
        </w:trPr>
        <w:tc>
          <w:tcPr>
            <w:tcW w:w="7195" w:type="dxa"/>
          </w:tcPr>
          <w:p w14:paraId="39E63643" w14:textId="6DCA6A87" w:rsidR="00680B70" w:rsidRPr="00680B70" w:rsidRDefault="006D0FF8" w:rsidP="00680B70">
            <w:pPr>
              <w:spacing w:before="120" w:after="0"/>
              <w:rPr>
                <w:rFonts w:eastAsia="Calibri" w:cs="Calibri"/>
              </w:rPr>
            </w:pPr>
            <w:r>
              <w:rPr>
                <w:rFonts w:eastAsia="Calibri" w:cs="Calibri"/>
              </w:rPr>
              <w:t xml:space="preserve">Education or </w:t>
            </w:r>
            <w:r w:rsidR="00680B70" w:rsidRPr="00680B70">
              <w:rPr>
                <w:rFonts w:eastAsia="Calibri" w:cs="Calibri"/>
              </w:rPr>
              <w:t>Job Training</w:t>
            </w:r>
            <w:r>
              <w:rPr>
                <w:rFonts w:eastAsia="Calibri" w:cs="Calibri"/>
              </w:rPr>
              <w:t xml:space="preserve"> Activities</w:t>
            </w:r>
          </w:p>
        </w:tc>
        <w:tc>
          <w:tcPr>
            <w:tcW w:w="3060" w:type="dxa"/>
          </w:tcPr>
          <w:p w14:paraId="4FBC8387" w14:textId="5CB35368" w:rsidR="00680B70" w:rsidRPr="00680B70" w:rsidRDefault="00046D82" w:rsidP="00680B70">
            <w:pPr>
              <w:spacing w:before="120" w:after="0"/>
              <w:jc w:val="right"/>
              <w:rPr>
                <w:rFonts w:eastAsia="Calibri" w:cs="Calibri"/>
              </w:rPr>
            </w:pPr>
            <w:r>
              <w:rPr>
                <w:rFonts w:eastAsia="Calibri" w:cs="Calibri"/>
              </w:rPr>
              <w:t>481</w:t>
            </w:r>
          </w:p>
        </w:tc>
      </w:tr>
      <w:tr w:rsidR="00680B70" w:rsidRPr="00680B70" w14:paraId="35AA3CE5" w14:textId="77777777" w:rsidTr="003A602D">
        <w:trPr>
          <w:cnfStyle w:val="000000010000" w:firstRow="0" w:lastRow="0" w:firstColumn="0" w:lastColumn="0" w:oddVBand="0" w:evenVBand="0" w:oddHBand="0" w:evenHBand="1" w:firstRowFirstColumn="0" w:firstRowLastColumn="0" w:lastRowFirstColumn="0" w:lastRowLastColumn="0"/>
        </w:trPr>
        <w:tc>
          <w:tcPr>
            <w:tcW w:w="7195" w:type="dxa"/>
          </w:tcPr>
          <w:p w14:paraId="64382B05" w14:textId="0F9309CA" w:rsidR="00680B70" w:rsidRPr="00680B70" w:rsidRDefault="00680B70" w:rsidP="00680B70">
            <w:pPr>
              <w:spacing w:before="120" w:after="0"/>
              <w:rPr>
                <w:rFonts w:eastAsia="Calibri" w:cs="Calibri"/>
              </w:rPr>
            </w:pPr>
            <w:r w:rsidRPr="00680B70">
              <w:rPr>
                <w:rFonts w:eastAsia="Calibri" w:cs="Calibri"/>
              </w:rPr>
              <w:t xml:space="preserve">Work </w:t>
            </w:r>
            <w:r w:rsidR="00046D82">
              <w:rPr>
                <w:rFonts w:eastAsia="Calibri" w:cs="Calibri"/>
              </w:rPr>
              <w:t>Experience Activities</w:t>
            </w:r>
          </w:p>
        </w:tc>
        <w:tc>
          <w:tcPr>
            <w:tcW w:w="3060" w:type="dxa"/>
          </w:tcPr>
          <w:p w14:paraId="59D75A26" w14:textId="5B26A1C8" w:rsidR="00680B70" w:rsidRPr="00680B70" w:rsidRDefault="00046D82" w:rsidP="00680B70">
            <w:pPr>
              <w:spacing w:before="120" w:after="0"/>
              <w:jc w:val="right"/>
              <w:rPr>
                <w:rFonts w:eastAsia="Calibri" w:cs="Calibri"/>
              </w:rPr>
            </w:pPr>
            <w:r>
              <w:rPr>
                <w:rFonts w:eastAsia="Calibri" w:cs="Calibri"/>
              </w:rPr>
              <w:t>5</w:t>
            </w:r>
          </w:p>
        </w:tc>
      </w:tr>
      <w:tr w:rsidR="00680B70" w:rsidRPr="00680B70" w14:paraId="4CAD35CB" w14:textId="77777777" w:rsidTr="003A602D">
        <w:trPr>
          <w:cnfStyle w:val="000000100000" w:firstRow="0" w:lastRow="0" w:firstColumn="0" w:lastColumn="0" w:oddVBand="0" w:evenVBand="0" w:oddHBand="1" w:evenHBand="0" w:firstRowFirstColumn="0" w:firstRowLastColumn="0" w:lastRowFirstColumn="0" w:lastRowLastColumn="0"/>
        </w:trPr>
        <w:tc>
          <w:tcPr>
            <w:tcW w:w="7195" w:type="dxa"/>
          </w:tcPr>
          <w:p w14:paraId="5EEEF5E8" w14:textId="4E2BE612" w:rsidR="00680B70" w:rsidRPr="00680B70" w:rsidRDefault="00046D82" w:rsidP="00680B70">
            <w:pPr>
              <w:spacing w:before="120" w:after="0"/>
              <w:rPr>
                <w:rFonts w:eastAsia="Calibri" w:cs="Calibri"/>
              </w:rPr>
            </w:pPr>
            <w:r>
              <w:rPr>
                <w:rFonts w:eastAsia="Calibri" w:cs="Calibri"/>
              </w:rPr>
              <w:t>Community Involvement and Leadership Development Activities</w:t>
            </w:r>
          </w:p>
        </w:tc>
        <w:tc>
          <w:tcPr>
            <w:tcW w:w="3060" w:type="dxa"/>
          </w:tcPr>
          <w:p w14:paraId="105CA185" w14:textId="4CA067E8" w:rsidR="00680B70" w:rsidRPr="00680B70" w:rsidRDefault="00046D82" w:rsidP="00680B70">
            <w:pPr>
              <w:spacing w:before="120" w:after="0"/>
              <w:jc w:val="right"/>
              <w:rPr>
                <w:rFonts w:eastAsia="Calibri" w:cs="Calibri"/>
              </w:rPr>
            </w:pPr>
            <w:r>
              <w:rPr>
                <w:rFonts w:eastAsia="Calibri" w:cs="Calibri"/>
              </w:rPr>
              <w:t>2,155</w:t>
            </w:r>
          </w:p>
        </w:tc>
      </w:tr>
      <w:tr w:rsidR="00680B70" w:rsidRPr="00680B70" w14:paraId="6F729BD0" w14:textId="77777777" w:rsidTr="003A602D">
        <w:trPr>
          <w:cnfStyle w:val="000000010000" w:firstRow="0" w:lastRow="0" w:firstColumn="0" w:lastColumn="0" w:oddVBand="0" w:evenVBand="0" w:oddHBand="0" w:evenHBand="1" w:firstRowFirstColumn="0" w:firstRowLastColumn="0" w:lastRowFirstColumn="0" w:lastRowLastColumn="0"/>
        </w:trPr>
        <w:tc>
          <w:tcPr>
            <w:tcW w:w="7195" w:type="dxa"/>
          </w:tcPr>
          <w:p w14:paraId="2BF59BB7" w14:textId="22401574" w:rsidR="00680B70" w:rsidRPr="00680B70" w:rsidRDefault="00046D82" w:rsidP="00680B70">
            <w:pPr>
              <w:spacing w:before="120" w:after="0"/>
              <w:rPr>
                <w:rFonts w:eastAsia="Calibri" w:cs="Calibri"/>
              </w:rPr>
            </w:pPr>
            <w:r>
              <w:rPr>
                <w:rFonts w:eastAsia="Calibri" w:cs="Calibri"/>
              </w:rPr>
              <w:t xml:space="preserve">Post-Secondary </w:t>
            </w:r>
            <w:r w:rsidR="00557CCB">
              <w:rPr>
                <w:rFonts w:eastAsia="Calibri" w:cs="Calibri"/>
              </w:rPr>
              <w:t>Exploration, Career Guidance and Planning Activities</w:t>
            </w:r>
          </w:p>
        </w:tc>
        <w:tc>
          <w:tcPr>
            <w:tcW w:w="3060" w:type="dxa"/>
          </w:tcPr>
          <w:p w14:paraId="086395B3" w14:textId="2E0FA6CC" w:rsidR="00680B70" w:rsidRPr="00680B70" w:rsidRDefault="00557CCB" w:rsidP="00680B70">
            <w:pPr>
              <w:spacing w:before="120" w:after="0"/>
              <w:jc w:val="right"/>
              <w:rPr>
                <w:rFonts w:eastAsia="Calibri" w:cs="Calibri"/>
              </w:rPr>
            </w:pPr>
            <w:r>
              <w:rPr>
                <w:rFonts w:eastAsia="Calibri" w:cs="Calibri"/>
              </w:rPr>
              <w:t>2,155</w:t>
            </w:r>
          </w:p>
        </w:tc>
      </w:tr>
      <w:tr w:rsidR="00680B70" w:rsidRPr="00680B70" w14:paraId="2F1F293B" w14:textId="77777777" w:rsidTr="003A602D">
        <w:trPr>
          <w:cnfStyle w:val="000000100000" w:firstRow="0" w:lastRow="0" w:firstColumn="0" w:lastColumn="0" w:oddVBand="0" w:evenVBand="0" w:oddHBand="1" w:evenHBand="0" w:firstRowFirstColumn="0" w:firstRowLastColumn="0" w:lastRowFirstColumn="0" w:lastRowLastColumn="0"/>
        </w:trPr>
        <w:tc>
          <w:tcPr>
            <w:tcW w:w="7195" w:type="dxa"/>
          </w:tcPr>
          <w:p w14:paraId="1AD065B6" w14:textId="6405CE18" w:rsidR="00680B70" w:rsidRPr="00680B70" w:rsidRDefault="00557CCB" w:rsidP="00680B70">
            <w:pPr>
              <w:spacing w:before="120" w:after="0"/>
              <w:rPr>
                <w:rFonts w:eastAsia="Calibri" w:cs="Calibri"/>
              </w:rPr>
            </w:pPr>
            <w:r>
              <w:rPr>
                <w:rFonts w:eastAsia="Calibri" w:cs="Calibri"/>
              </w:rPr>
              <w:t>Mentoring Activities</w:t>
            </w:r>
          </w:p>
        </w:tc>
        <w:tc>
          <w:tcPr>
            <w:tcW w:w="3060" w:type="dxa"/>
          </w:tcPr>
          <w:p w14:paraId="47DAC75E" w14:textId="45C6BC4B" w:rsidR="00680B70" w:rsidRPr="00680B70" w:rsidRDefault="00557CCB" w:rsidP="00680B70">
            <w:pPr>
              <w:spacing w:before="120" w:after="0"/>
              <w:jc w:val="right"/>
              <w:rPr>
                <w:rFonts w:eastAsia="Calibri" w:cs="Calibri"/>
              </w:rPr>
            </w:pPr>
            <w:r>
              <w:rPr>
                <w:rFonts w:eastAsia="Calibri" w:cs="Calibri"/>
              </w:rPr>
              <w:t>2,155</w:t>
            </w:r>
          </w:p>
        </w:tc>
      </w:tr>
    </w:tbl>
    <w:p w14:paraId="499AD598" w14:textId="04A407BE" w:rsidR="00627356" w:rsidRPr="00FD097A" w:rsidRDefault="00772D56" w:rsidP="005A33E1">
      <w:pPr>
        <w:pStyle w:val="Heading3"/>
      </w:pPr>
      <w:bookmarkStart w:id="16" w:name="_Toc93905761"/>
      <w:r w:rsidRPr="00FD097A">
        <w:lastRenderedPageBreak/>
        <w:t>Customer Satisfaction</w:t>
      </w:r>
      <w:bookmarkEnd w:id="16"/>
    </w:p>
    <w:tbl>
      <w:tblPr>
        <w:tblStyle w:val="TableGrid1"/>
        <w:tblW w:w="10255" w:type="dxa"/>
        <w:tblLook w:val="04A0" w:firstRow="1" w:lastRow="0" w:firstColumn="1" w:lastColumn="0" w:noHBand="0" w:noVBand="1"/>
        <w:tblCaption w:val="Customer Satisfaction"/>
        <w:tblDescription w:val="Customer rating and number of participants giving that rating."/>
      </w:tblPr>
      <w:tblGrid>
        <w:gridCol w:w="7195"/>
        <w:gridCol w:w="3060"/>
      </w:tblGrid>
      <w:tr w:rsidR="009049B6" w:rsidRPr="00680B70" w14:paraId="4C705FB3" w14:textId="77777777" w:rsidTr="008D1B2C">
        <w:trPr>
          <w:cnfStyle w:val="100000000000" w:firstRow="1" w:lastRow="0" w:firstColumn="0" w:lastColumn="0" w:oddVBand="0" w:evenVBand="0" w:oddHBand="0" w:evenHBand="0" w:firstRowFirstColumn="0" w:firstRowLastColumn="0" w:lastRowFirstColumn="0" w:lastRowLastColumn="0"/>
        </w:trPr>
        <w:tc>
          <w:tcPr>
            <w:tcW w:w="7195" w:type="dxa"/>
          </w:tcPr>
          <w:p w14:paraId="0D6071DD" w14:textId="7EA68FA8" w:rsidR="009049B6" w:rsidRPr="00680B70" w:rsidRDefault="00E970AB" w:rsidP="008D1B2C">
            <w:pPr>
              <w:spacing w:before="120" w:after="0"/>
              <w:rPr>
                <w:rFonts w:eastAsia="Calibri" w:cs="Calibri"/>
                <w:sz w:val="24"/>
                <w:szCs w:val="24"/>
              </w:rPr>
            </w:pPr>
            <w:r>
              <w:rPr>
                <w:rFonts w:eastAsia="Calibri" w:cs="Calibri"/>
                <w:sz w:val="24"/>
                <w:szCs w:val="24"/>
              </w:rPr>
              <w:t>CUSTOMER RATING</w:t>
            </w:r>
          </w:p>
        </w:tc>
        <w:tc>
          <w:tcPr>
            <w:tcW w:w="3060" w:type="dxa"/>
          </w:tcPr>
          <w:p w14:paraId="47FCE880" w14:textId="77777777" w:rsidR="009049B6" w:rsidRPr="00680B70" w:rsidRDefault="009049B6" w:rsidP="008D1B2C">
            <w:pPr>
              <w:spacing w:before="120" w:after="0"/>
              <w:jc w:val="right"/>
              <w:rPr>
                <w:rFonts w:eastAsia="Calibri" w:cs="Calibri"/>
                <w:sz w:val="24"/>
                <w:szCs w:val="24"/>
              </w:rPr>
            </w:pPr>
            <w:r w:rsidRPr="003A602D">
              <w:rPr>
                <w:rFonts w:eastAsia="Calibri" w:cs="Calibri"/>
                <w:sz w:val="24"/>
                <w:szCs w:val="24"/>
              </w:rPr>
              <w:t xml:space="preserve">NUMBER </w:t>
            </w:r>
            <w:r>
              <w:rPr>
                <w:rFonts w:eastAsia="Calibri" w:cs="Calibri"/>
                <w:sz w:val="24"/>
                <w:szCs w:val="24"/>
              </w:rPr>
              <w:t>SERVED</w:t>
            </w:r>
          </w:p>
        </w:tc>
      </w:tr>
      <w:tr w:rsidR="009049B6" w:rsidRPr="00680B70" w14:paraId="02F3FEDF" w14:textId="77777777" w:rsidTr="008D1B2C">
        <w:trPr>
          <w:cnfStyle w:val="000000100000" w:firstRow="0" w:lastRow="0" w:firstColumn="0" w:lastColumn="0" w:oddVBand="0" w:evenVBand="0" w:oddHBand="1" w:evenHBand="0" w:firstRowFirstColumn="0" w:firstRowLastColumn="0" w:lastRowFirstColumn="0" w:lastRowLastColumn="0"/>
        </w:trPr>
        <w:tc>
          <w:tcPr>
            <w:tcW w:w="7195" w:type="dxa"/>
          </w:tcPr>
          <w:p w14:paraId="0E1430C5" w14:textId="0AF85DEC" w:rsidR="009049B6" w:rsidRPr="00680B70" w:rsidRDefault="00E970AB" w:rsidP="008D1B2C">
            <w:pPr>
              <w:spacing w:before="120" w:after="0"/>
              <w:rPr>
                <w:rFonts w:eastAsia="Calibri" w:cs="Calibri"/>
              </w:rPr>
            </w:pPr>
            <w:r>
              <w:rPr>
                <w:rFonts w:eastAsia="Calibri" w:cs="Calibri"/>
              </w:rPr>
              <w:t>Program Experience “Excellent”</w:t>
            </w:r>
          </w:p>
        </w:tc>
        <w:tc>
          <w:tcPr>
            <w:tcW w:w="3060" w:type="dxa"/>
          </w:tcPr>
          <w:p w14:paraId="379FA7C5" w14:textId="25C93E6C" w:rsidR="009049B6" w:rsidRPr="00680B70" w:rsidRDefault="00FD097A" w:rsidP="008D1B2C">
            <w:pPr>
              <w:spacing w:before="120" w:after="0"/>
              <w:jc w:val="right"/>
              <w:rPr>
                <w:rFonts w:eastAsia="Calibri" w:cs="Calibri"/>
              </w:rPr>
            </w:pPr>
            <w:r>
              <w:rPr>
                <w:rFonts w:eastAsia="Calibri" w:cs="Calibri"/>
              </w:rPr>
              <w:t>182</w:t>
            </w:r>
          </w:p>
        </w:tc>
      </w:tr>
      <w:tr w:rsidR="009049B6" w:rsidRPr="00680B70" w14:paraId="04E2876A" w14:textId="77777777" w:rsidTr="008D1B2C">
        <w:trPr>
          <w:cnfStyle w:val="000000010000" w:firstRow="0" w:lastRow="0" w:firstColumn="0" w:lastColumn="0" w:oddVBand="0" w:evenVBand="0" w:oddHBand="0" w:evenHBand="1" w:firstRowFirstColumn="0" w:firstRowLastColumn="0" w:lastRowFirstColumn="0" w:lastRowLastColumn="0"/>
        </w:trPr>
        <w:tc>
          <w:tcPr>
            <w:tcW w:w="7195" w:type="dxa"/>
          </w:tcPr>
          <w:p w14:paraId="65855D5E" w14:textId="3CB2229C" w:rsidR="009049B6" w:rsidRPr="00680B70" w:rsidRDefault="00E970AB" w:rsidP="008D1B2C">
            <w:pPr>
              <w:spacing w:before="120" w:after="0"/>
              <w:rPr>
                <w:rFonts w:eastAsia="Calibri" w:cs="Calibri"/>
              </w:rPr>
            </w:pPr>
            <w:r>
              <w:rPr>
                <w:rFonts w:eastAsia="Calibri" w:cs="Calibri"/>
              </w:rPr>
              <w:t>Program Experience “Very Good”</w:t>
            </w:r>
          </w:p>
        </w:tc>
        <w:tc>
          <w:tcPr>
            <w:tcW w:w="3060" w:type="dxa"/>
          </w:tcPr>
          <w:p w14:paraId="485BCD5F" w14:textId="7033598C" w:rsidR="009049B6" w:rsidRPr="00680B70" w:rsidRDefault="00FD097A" w:rsidP="008D1B2C">
            <w:pPr>
              <w:spacing w:before="120" w:after="0"/>
              <w:jc w:val="right"/>
              <w:rPr>
                <w:rFonts w:eastAsia="Calibri" w:cs="Calibri"/>
              </w:rPr>
            </w:pPr>
            <w:r>
              <w:rPr>
                <w:rFonts w:eastAsia="Calibri" w:cs="Calibri"/>
              </w:rPr>
              <w:t>134</w:t>
            </w:r>
          </w:p>
        </w:tc>
      </w:tr>
      <w:tr w:rsidR="009049B6" w:rsidRPr="00680B70" w14:paraId="702D22DD" w14:textId="77777777" w:rsidTr="008D1B2C">
        <w:trPr>
          <w:cnfStyle w:val="000000100000" w:firstRow="0" w:lastRow="0" w:firstColumn="0" w:lastColumn="0" w:oddVBand="0" w:evenVBand="0" w:oddHBand="1" w:evenHBand="0" w:firstRowFirstColumn="0" w:firstRowLastColumn="0" w:lastRowFirstColumn="0" w:lastRowLastColumn="0"/>
        </w:trPr>
        <w:tc>
          <w:tcPr>
            <w:tcW w:w="7195" w:type="dxa"/>
          </w:tcPr>
          <w:p w14:paraId="01718F14" w14:textId="367B45EA" w:rsidR="009049B6" w:rsidRPr="00680B70" w:rsidRDefault="00E970AB" w:rsidP="008D1B2C">
            <w:pPr>
              <w:spacing w:before="120" w:after="0"/>
              <w:rPr>
                <w:rFonts w:eastAsia="Calibri" w:cs="Calibri"/>
              </w:rPr>
            </w:pPr>
            <w:r>
              <w:rPr>
                <w:rFonts w:eastAsia="Calibri" w:cs="Calibri"/>
              </w:rPr>
              <w:t>Program Experience “Average”</w:t>
            </w:r>
          </w:p>
        </w:tc>
        <w:tc>
          <w:tcPr>
            <w:tcW w:w="3060" w:type="dxa"/>
          </w:tcPr>
          <w:p w14:paraId="7C8AB420" w14:textId="7BBE7441" w:rsidR="009049B6" w:rsidRPr="00680B70" w:rsidRDefault="00FD097A" w:rsidP="008D1B2C">
            <w:pPr>
              <w:spacing w:before="120" w:after="0"/>
              <w:jc w:val="right"/>
              <w:rPr>
                <w:rFonts w:eastAsia="Calibri" w:cs="Calibri"/>
              </w:rPr>
            </w:pPr>
            <w:r>
              <w:rPr>
                <w:rFonts w:eastAsia="Calibri" w:cs="Calibri"/>
              </w:rPr>
              <w:t>46</w:t>
            </w:r>
          </w:p>
        </w:tc>
      </w:tr>
      <w:tr w:rsidR="009049B6" w:rsidRPr="00680B70" w14:paraId="4BF52AB2" w14:textId="77777777" w:rsidTr="008D1B2C">
        <w:trPr>
          <w:cnfStyle w:val="000000010000" w:firstRow="0" w:lastRow="0" w:firstColumn="0" w:lastColumn="0" w:oddVBand="0" w:evenVBand="0" w:oddHBand="0" w:evenHBand="1" w:firstRowFirstColumn="0" w:firstRowLastColumn="0" w:lastRowFirstColumn="0" w:lastRowLastColumn="0"/>
        </w:trPr>
        <w:tc>
          <w:tcPr>
            <w:tcW w:w="7195" w:type="dxa"/>
          </w:tcPr>
          <w:p w14:paraId="0E9F6B9A" w14:textId="3F6B8AFA" w:rsidR="009049B6" w:rsidRPr="00680B70" w:rsidRDefault="00E970AB" w:rsidP="008D1B2C">
            <w:pPr>
              <w:spacing w:before="120" w:after="0"/>
              <w:rPr>
                <w:rFonts w:eastAsia="Calibri" w:cs="Calibri"/>
              </w:rPr>
            </w:pPr>
            <w:r>
              <w:rPr>
                <w:rFonts w:eastAsia="Calibri" w:cs="Calibri"/>
              </w:rPr>
              <w:t>Program Experience “Below Average”</w:t>
            </w:r>
          </w:p>
        </w:tc>
        <w:tc>
          <w:tcPr>
            <w:tcW w:w="3060" w:type="dxa"/>
          </w:tcPr>
          <w:p w14:paraId="14EFBB67" w14:textId="3B4F85F0" w:rsidR="009049B6" w:rsidRPr="00680B70" w:rsidRDefault="00FD097A" w:rsidP="008D1B2C">
            <w:pPr>
              <w:spacing w:before="120" w:after="0"/>
              <w:jc w:val="right"/>
              <w:rPr>
                <w:rFonts w:eastAsia="Calibri" w:cs="Calibri"/>
              </w:rPr>
            </w:pPr>
            <w:r>
              <w:rPr>
                <w:rFonts w:eastAsia="Calibri" w:cs="Calibri"/>
              </w:rPr>
              <w:t>0</w:t>
            </w:r>
          </w:p>
        </w:tc>
      </w:tr>
      <w:tr w:rsidR="009049B6" w:rsidRPr="00680B70" w14:paraId="075C3031" w14:textId="77777777" w:rsidTr="008D1B2C">
        <w:trPr>
          <w:cnfStyle w:val="000000100000" w:firstRow="0" w:lastRow="0" w:firstColumn="0" w:lastColumn="0" w:oddVBand="0" w:evenVBand="0" w:oddHBand="1" w:evenHBand="0" w:firstRowFirstColumn="0" w:firstRowLastColumn="0" w:lastRowFirstColumn="0" w:lastRowLastColumn="0"/>
        </w:trPr>
        <w:tc>
          <w:tcPr>
            <w:tcW w:w="7195" w:type="dxa"/>
          </w:tcPr>
          <w:p w14:paraId="1773C50F" w14:textId="630BEEE0" w:rsidR="009049B6" w:rsidRPr="00680B70" w:rsidRDefault="00E970AB" w:rsidP="008D1B2C">
            <w:pPr>
              <w:spacing w:before="120" w:after="0"/>
              <w:rPr>
                <w:rFonts w:eastAsia="Calibri" w:cs="Calibri"/>
              </w:rPr>
            </w:pPr>
            <w:r>
              <w:rPr>
                <w:rFonts w:eastAsia="Calibri" w:cs="Calibri"/>
              </w:rPr>
              <w:t>Program Experience “Poor”</w:t>
            </w:r>
          </w:p>
        </w:tc>
        <w:tc>
          <w:tcPr>
            <w:tcW w:w="3060" w:type="dxa"/>
          </w:tcPr>
          <w:p w14:paraId="4F5B947C" w14:textId="51F773F7" w:rsidR="009049B6" w:rsidRPr="00680B70" w:rsidRDefault="00FD097A" w:rsidP="008D1B2C">
            <w:pPr>
              <w:spacing w:before="120" w:after="0"/>
              <w:jc w:val="right"/>
              <w:rPr>
                <w:rFonts w:eastAsia="Calibri" w:cs="Calibri"/>
              </w:rPr>
            </w:pPr>
            <w:r>
              <w:rPr>
                <w:rFonts w:eastAsia="Calibri" w:cs="Calibri"/>
              </w:rPr>
              <w:t>0</w:t>
            </w:r>
          </w:p>
        </w:tc>
      </w:tr>
      <w:tr w:rsidR="00383637" w:rsidRPr="00680B70" w14:paraId="7631B32A" w14:textId="77777777" w:rsidTr="008D1B2C">
        <w:trPr>
          <w:cnfStyle w:val="000000010000" w:firstRow="0" w:lastRow="0" w:firstColumn="0" w:lastColumn="0" w:oddVBand="0" w:evenVBand="0" w:oddHBand="0" w:evenHBand="1" w:firstRowFirstColumn="0" w:firstRowLastColumn="0" w:lastRowFirstColumn="0" w:lastRowLastColumn="0"/>
        </w:trPr>
        <w:tc>
          <w:tcPr>
            <w:tcW w:w="7195" w:type="dxa"/>
          </w:tcPr>
          <w:p w14:paraId="440E8015" w14:textId="4C543020" w:rsidR="00383637" w:rsidRDefault="00383637" w:rsidP="008D1B2C">
            <w:pPr>
              <w:spacing w:before="120" w:after="0"/>
              <w:rPr>
                <w:rFonts w:eastAsia="Calibri" w:cs="Calibri"/>
              </w:rPr>
            </w:pPr>
            <w:r>
              <w:rPr>
                <w:rFonts w:eastAsia="Calibri" w:cs="Calibri"/>
              </w:rPr>
              <w:t>Number of Participants Completing Customer Satisfaction Survey</w:t>
            </w:r>
          </w:p>
        </w:tc>
        <w:tc>
          <w:tcPr>
            <w:tcW w:w="3060" w:type="dxa"/>
          </w:tcPr>
          <w:p w14:paraId="7B549053" w14:textId="78D8D171" w:rsidR="00383637" w:rsidRDefault="00383637" w:rsidP="008D1B2C">
            <w:pPr>
              <w:spacing w:before="120" w:after="0"/>
              <w:jc w:val="right"/>
              <w:rPr>
                <w:rFonts w:eastAsia="Calibri" w:cs="Calibri"/>
              </w:rPr>
            </w:pPr>
            <w:r>
              <w:rPr>
                <w:rFonts w:eastAsia="Calibri" w:cs="Calibri"/>
              </w:rPr>
              <w:t>362</w:t>
            </w:r>
          </w:p>
        </w:tc>
      </w:tr>
    </w:tbl>
    <w:p w14:paraId="4CF99B53" w14:textId="00C3313E" w:rsidR="00B00823" w:rsidRPr="00456E50" w:rsidRDefault="00B00823" w:rsidP="00772D56">
      <w:pPr>
        <w:pStyle w:val="Heading2"/>
        <w:spacing w:before="240"/>
      </w:pPr>
      <w:bookmarkStart w:id="17" w:name="_Toc527380403"/>
      <w:bookmarkStart w:id="18" w:name="_Toc93905762"/>
      <w:r w:rsidRPr="00456E50">
        <w:t>Expenditure</w:t>
      </w:r>
      <w:bookmarkEnd w:id="17"/>
      <w:r w:rsidR="00821F4A" w:rsidRPr="00456E50">
        <w:t xml:space="preserve"> Data</w:t>
      </w:r>
      <w:bookmarkEnd w:id="18"/>
    </w:p>
    <w:p w14:paraId="1EC8A7FB" w14:textId="18EE9015" w:rsidR="00821F4A" w:rsidRPr="00456E50" w:rsidRDefault="00F17299" w:rsidP="00821F4A">
      <w:r w:rsidRPr="00456E50">
        <w:t>E</w:t>
      </w:r>
      <w:r w:rsidR="007329D5" w:rsidRPr="00456E50">
        <w:t xml:space="preserve">xpenditures </w:t>
      </w:r>
      <w:r w:rsidR="00D728BA" w:rsidRPr="00456E50">
        <w:t xml:space="preserve">from </w:t>
      </w:r>
      <w:r w:rsidRPr="00456E50">
        <w:t>July 1, 2020</w:t>
      </w:r>
      <w:r w:rsidR="00C56C60" w:rsidRPr="00456E50">
        <w:t xml:space="preserve"> through</w:t>
      </w:r>
      <w:r w:rsidRPr="00456E50">
        <w:t xml:space="preserve"> December 31, 2021 were as follows</w:t>
      </w:r>
      <w:r w:rsidR="007329D5" w:rsidRPr="00456E50">
        <w:t>:</w:t>
      </w:r>
    </w:p>
    <w:tbl>
      <w:tblPr>
        <w:tblStyle w:val="TableGrid1"/>
        <w:tblW w:w="10165" w:type="dxa"/>
        <w:tblLook w:val="04A0" w:firstRow="1" w:lastRow="0" w:firstColumn="1" w:lastColumn="0" w:noHBand="0" w:noVBand="1"/>
        <w:tblCaption w:val="State Fiscal Year 2021 Expenditures"/>
        <w:tblDescription w:val="Shows expenditures for State Fiscal Year 2021 for each budget category."/>
      </w:tblPr>
      <w:tblGrid>
        <w:gridCol w:w="6475"/>
        <w:gridCol w:w="3690"/>
      </w:tblGrid>
      <w:tr w:rsidR="00C56C60" w:rsidRPr="00CB07BE" w14:paraId="140FA9DE" w14:textId="77777777" w:rsidTr="00F25C92">
        <w:trPr>
          <w:cnfStyle w:val="100000000000" w:firstRow="1" w:lastRow="0" w:firstColumn="0" w:lastColumn="0" w:oddVBand="0" w:evenVBand="0" w:oddHBand="0" w:evenHBand="0" w:firstRowFirstColumn="0" w:firstRowLastColumn="0" w:lastRowFirstColumn="0" w:lastRowLastColumn="0"/>
        </w:trPr>
        <w:tc>
          <w:tcPr>
            <w:tcW w:w="6475" w:type="dxa"/>
          </w:tcPr>
          <w:p w14:paraId="12E10015" w14:textId="77777777" w:rsidR="00C56C60" w:rsidRPr="00456E50" w:rsidRDefault="00C56C60" w:rsidP="00C575A7">
            <w:pPr>
              <w:spacing w:before="120" w:after="0"/>
            </w:pPr>
            <w:r w:rsidRPr="00456E50">
              <w:t>Budget Category</w:t>
            </w:r>
          </w:p>
        </w:tc>
        <w:tc>
          <w:tcPr>
            <w:tcW w:w="3690" w:type="dxa"/>
          </w:tcPr>
          <w:p w14:paraId="3C97511D" w14:textId="77777777" w:rsidR="00C56C60" w:rsidRPr="00456E50" w:rsidRDefault="00C56C60" w:rsidP="00C575A7">
            <w:pPr>
              <w:spacing w:before="120" w:after="0"/>
            </w:pPr>
            <w:r w:rsidRPr="00456E50">
              <w:t>Expenditures</w:t>
            </w:r>
          </w:p>
        </w:tc>
      </w:tr>
      <w:tr w:rsidR="00C56C60" w:rsidRPr="00CB07BE" w14:paraId="062AD3BC" w14:textId="77777777" w:rsidTr="00F25C92">
        <w:trPr>
          <w:cnfStyle w:val="000000100000" w:firstRow="0" w:lastRow="0" w:firstColumn="0" w:lastColumn="0" w:oddVBand="0" w:evenVBand="0" w:oddHBand="1" w:evenHBand="0" w:firstRowFirstColumn="0" w:firstRowLastColumn="0" w:lastRowFirstColumn="0" w:lastRowLastColumn="0"/>
        </w:trPr>
        <w:tc>
          <w:tcPr>
            <w:tcW w:w="6475" w:type="dxa"/>
          </w:tcPr>
          <w:p w14:paraId="37F46571" w14:textId="15200906" w:rsidR="00C56C60" w:rsidRPr="00456E50" w:rsidRDefault="00C56C60" w:rsidP="004030F5">
            <w:pPr>
              <w:spacing w:before="120" w:after="0"/>
            </w:pPr>
            <w:r w:rsidRPr="00456E50">
              <w:t>Administration (up to 10% allowed)</w:t>
            </w:r>
          </w:p>
        </w:tc>
        <w:tc>
          <w:tcPr>
            <w:tcW w:w="3690" w:type="dxa"/>
          </w:tcPr>
          <w:p w14:paraId="18DA34DD" w14:textId="587A4283" w:rsidR="00C56C60" w:rsidRPr="00456E50" w:rsidRDefault="00C56C60" w:rsidP="004030F5">
            <w:pPr>
              <w:spacing w:before="120" w:after="0"/>
              <w:jc w:val="right"/>
            </w:pPr>
            <w:r w:rsidRPr="00456E50">
              <w:t>$</w:t>
            </w:r>
            <w:r w:rsidR="00893DDD" w:rsidRPr="00456E50">
              <w:t>16,335.00</w:t>
            </w:r>
          </w:p>
        </w:tc>
      </w:tr>
      <w:tr w:rsidR="00C56C60" w:rsidRPr="00CB07BE" w14:paraId="3A81FB65" w14:textId="77777777" w:rsidTr="00F25C92">
        <w:trPr>
          <w:cnfStyle w:val="000000010000" w:firstRow="0" w:lastRow="0" w:firstColumn="0" w:lastColumn="0" w:oddVBand="0" w:evenVBand="0" w:oddHBand="0" w:evenHBand="1" w:firstRowFirstColumn="0" w:firstRowLastColumn="0" w:lastRowFirstColumn="0" w:lastRowLastColumn="0"/>
        </w:trPr>
        <w:tc>
          <w:tcPr>
            <w:tcW w:w="6475" w:type="dxa"/>
          </w:tcPr>
          <w:p w14:paraId="1DB3F930" w14:textId="5C13AE70" w:rsidR="00C56C60" w:rsidRPr="00456E50" w:rsidRDefault="00C56C60" w:rsidP="004030F5">
            <w:pPr>
              <w:spacing w:before="120" w:after="0"/>
            </w:pPr>
            <w:r w:rsidRPr="00456E50">
              <w:t>Participant Wages and Fringe Benefits</w:t>
            </w:r>
          </w:p>
        </w:tc>
        <w:tc>
          <w:tcPr>
            <w:tcW w:w="3690" w:type="dxa"/>
          </w:tcPr>
          <w:p w14:paraId="5CCCDE88" w14:textId="5C531C8D" w:rsidR="00C56C60" w:rsidRPr="00456E50" w:rsidRDefault="00C56C60" w:rsidP="004030F5">
            <w:pPr>
              <w:spacing w:before="120" w:after="0"/>
              <w:jc w:val="right"/>
            </w:pPr>
            <w:r w:rsidRPr="00456E50">
              <w:t>$</w:t>
            </w:r>
            <w:r w:rsidR="00893DDD" w:rsidRPr="00456E50">
              <w:t>0.00</w:t>
            </w:r>
          </w:p>
        </w:tc>
      </w:tr>
      <w:tr w:rsidR="00C56C60" w:rsidRPr="00CB07BE" w14:paraId="5EA327E9" w14:textId="77777777" w:rsidTr="00F25C92">
        <w:trPr>
          <w:cnfStyle w:val="000000100000" w:firstRow="0" w:lastRow="0" w:firstColumn="0" w:lastColumn="0" w:oddVBand="0" w:evenVBand="0" w:oddHBand="1" w:evenHBand="0" w:firstRowFirstColumn="0" w:firstRowLastColumn="0" w:lastRowFirstColumn="0" w:lastRowLastColumn="0"/>
        </w:trPr>
        <w:tc>
          <w:tcPr>
            <w:tcW w:w="6475" w:type="dxa"/>
          </w:tcPr>
          <w:p w14:paraId="2796326D" w14:textId="75F3001B" w:rsidR="00C56C60" w:rsidRPr="00456E50" w:rsidRDefault="00C56C60" w:rsidP="004030F5">
            <w:pPr>
              <w:spacing w:before="120" w:after="0"/>
            </w:pPr>
            <w:r w:rsidRPr="00456E50">
              <w:t>Direct Staff Services</w:t>
            </w:r>
          </w:p>
        </w:tc>
        <w:tc>
          <w:tcPr>
            <w:tcW w:w="3690" w:type="dxa"/>
          </w:tcPr>
          <w:p w14:paraId="0CA63099" w14:textId="35CE1CBA" w:rsidR="00C56C60" w:rsidRPr="00456E50" w:rsidRDefault="00C56C60" w:rsidP="004030F5">
            <w:pPr>
              <w:spacing w:before="120" w:after="0"/>
              <w:jc w:val="right"/>
            </w:pPr>
            <w:r w:rsidRPr="00456E50">
              <w:t>$</w:t>
            </w:r>
            <w:r w:rsidR="00893DDD" w:rsidRPr="00456E50">
              <w:t>219,747.15</w:t>
            </w:r>
          </w:p>
        </w:tc>
      </w:tr>
      <w:tr w:rsidR="00C56C60" w:rsidRPr="00CB07BE" w14:paraId="7652DC8F" w14:textId="77777777" w:rsidTr="00F25C92">
        <w:trPr>
          <w:cnfStyle w:val="000000010000" w:firstRow="0" w:lastRow="0" w:firstColumn="0" w:lastColumn="0" w:oddVBand="0" w:evenVBand="0" w:oddHBand="0" w:evenHBand="1" w:firstRowFirstColumn="0" w:firstRowLastColumn="0" w:lastRowFirstColumn="0" w:lastRowLastColumn="0"/>
        </w:trPr>
        <w:tc>
          <w:tcPr>
            <w:tcW w:w="6475" w:type="dxa"/>
          </w:tcPr>
          <w:p w14:paraId="343EF6AD" w14:textId="6607D863" w:rsidR="00C56C60" w:rsidRPr="00456E50" w:rsidRDefault="00C56C60" w:rsidP="004030F5">
            <w:pPr>
              <w:spacing w:before="120" w:after="0"/>
            </w:pPr>
            <w:r w:rsidRPr="00456E50">
              <w:t>Support Services</w:t>
            </w:r>
          </w:p>
        </w:tc>
        <w:tc>
          <w:tcPr>
            <w:tcW w:w="3690" w:type="dxa"/>
          </w:tcPr>
          <w:p w14:paraId="45F8D6BD" w14:textId="37E5F125" w:rsidR="00C56C60" w:rsidRPr="00456E50" w:rsidRDefault="00C56C60" w:rsidP="004030F5">
            <w:pPr>
              <w:spacing w:before="120" w:after="0"/>
              <w:jc w:val="right"/>
            </w:pPr>
            <w:r w:rsidRPr="00456E50">
              <w:t>$</w:t>
            </w:r>
            <w:r w:rsidR="00893DDD" w:rsidRPr="00456E50">
              <w:t>1,417.85</w:t>
            </w:r>
          </w:p>
        </w:tc>
      </w:tr>
      <w:tr w:rsidR="00C56C60" w:rsidRPr="00CB07BE" w14:paraId="210D48AE" w14:textId="77777777" w:rsidTr="00F25C92">
        <w:trPr>
          <w:cnfStyle w:val="000000100000" w:firstRow="0" w:lastRow="0" w:firstColumn="0" w:lastColumn="0" w:oddVBand="0" w:evenVBand="0" w:oddHBand="1" w:evenHBand="0" w:firstRowFirstColumn="0" w:firstRowLastColumn="0" w:lastRowFirstColumn="0" w:lastRowLastColumn="0"/>
        </w:trPr>
        <w:tc>
          <w:tcPr>
            <w:tcW w:w="6475" w:type="dxa"/>
          </w:tcPr>
          <w:p w14:paraId="150870E9" w14:textId="77777777" w:rsidR="00C56C60" w:rsidRPr="00456E50" w:rsidRDefault="00C56C60" w:rsidP="004030F5">
            <w:pPr>
              <w:spacing w:before="120" w:after="0"/>
            </w:pPr>
            <w:r w:rsidRPr="00456E50">
              <w:t>Total</w:t>
            </w:r>
          </w:p>
        </w:tc>
        <w:tc>
          <w:tcPr>
            <w:tcW w:w="3690" w:type="dxa"/>
          </w:tcPr>
          <w:p w14:paraId="5BB74635" w14:textId="035F6ED7" w:rsidR="00C56C60" w:rsidRPr="00456E50" w:rsidRDefault="00C56C60" w:rsidP="004030F5">
            <w:pPr>
              <w:spacing w:before="120" w:after="0"/>
              <w:jc w:val="right"/>
            </w:pPr>
            <w:r w:rsidRPr="00456E50">
              <w:t>$</w:t>
            </w:r>
            <w:r w:rsidR="00893DDD" w:rsidRPr="00456E50">
              <w:t>237,500.00</w:t>
            </w:r>
          </w:p>
        </w:tc>
      </w:tr>
    </w:tbl>
    <w:p w14:paraId="0EB85EDD" w14:textId="4AFF0F2C" w:rsidR="00B46EED" w:rsidRDefault="00B46EED" w:rsidP="00386133">
      <w:pPr>
        <w:pStyle w:val="Heading2"/>
      </w:pPr>
      <w:bookmarkStart w:id="19" w:name="_Toc93905763"/>
      <w:r>
        <w:t>Program Successes</w:t>
      </w:r>
      <w:bookmarkEnd w:id="19"/>
    </w:p>
    <w:p w14:paraId="21F42A67" w14:textId="540AA28F" w:rsidR="005B04D2" w:rsidRDefault="005B04D2" w:rsidP="005B04D2">
      <w:pPr>
        <w:pStyle w:val="Heading4"/>
        <w:rPr>
          <w:lang w:bidi="ar-SA"/>
        </w:rPr>
      </w:pPr>
      <w:r>
        <w:rPr>
          <w:lang w:bidi="ar-SA"/>
        </w:rPr>
        <w:t>Southern Minnesota</w:t>
      </w:r>
      <w:r w:rsidR="00F56B75">
        <w:rPr>
          <w:lang w:bidi="ar-SA"/>
        </w:rPr>
        <w:t xml:space="preserve"> Story 1</w:t>
      </w:r>
    </w:p>
    <w:p w14:paraId="35F5EABE" w14:textId="5B44DA15" w:rsidR="00EC3C58" w:rsidRDefault="00EC3C58" w:rsidP="0093349E">
      <w:pPr>
        <w:rPr>
          <w:lang w:bidi="ar-SA"/>
        </w:rPr>
      </w:pPr>
      <w:r w:rsidRPr="00EC3C58">
        <w:rPr>
          <w:lang w:bidi="ar-SA"/>
        </w:rPr>
        <w:t>Big Sister and Little Sister were matched in 2018 through the Little Sister’s REACH</w:t>
      </w:r>
      <w:r w:rsidR="001113AA">
        <w:rPr>
          <w:lang w:bidi="ar-SA"/>
        </w:rPr>
        <w:t xml:space="preserve"> class, a </w:t>
      </w:r>
      <w:r w:rsidRPr="00EC3C58">
        <w:rPr>
          <w:lang w:bidi="ar-SA"/>
        </w:rPr>
        <w:t>class designed for students with high academic potential who also face additional obstacles in life. In August of 2021, Little Sister missed her freshman year orientation due to family transportation issues. She missed picking up her class schedule and student ID card and was going to have to go to the first day of school without this information. Big Sister and their Match Support Specialist (MSS) worked together to coordinate a time to bring Little Sister to the high school to tour the school, locate school resources, and gather the materials she needed. Throughout the hour, Big Sister, Little Sister, and MSS were able to have great conversations about the struggles Little Sister was facing at home and concerns she had about the start of the school year. They were also able to connect Little Sister with the high school’s Career Pathways Navigator as a resource and familiar face to rely on at her new school. Little Sister said she felt more confident about starting school and was very happy to see her Big Sister in-person again after a year and a half of virtual meetings.</w:t>
      </w:r>
    </w:p>
    <w:p w14:paraId="56BEB09A" w14:textId="77777777" w:rsidR="00327B3A" w:rsidRDefault="00327B3A" w:rsidP="00327B3A">
      <w:pPr>
        <w:pStyle w:val="Heading4"/>
      </w:pPr>
      <w:r>
        <w:lastRenderedPageBreak/>
        <w:t>Southern Minnesota Story 2</w:t>
      </w:r>
    </w:p>
    <w:p w14:paraId="7B6F3848" w14:textId="058D65AF" w:rsidR="0022170F" w:rsidRDefault="0022170F" w:rsidP="0093349E">
      <w:r>
        <w:t xml:space="preserve">Little Sister is fifteen and she and her Big Sister place a large focus on the future and take part in many college &amp; career readiness activities. Big Sister does an awesome job planning activities that line up with Little Sister’s interests such as a vet activity </w:t>
      </w:r>
      <w:proofErr w:type="gramStart"/>
      <w:r>
        <w:t>and also</w:t>
      </w:r>
      <w:proofErr w:type="gramEnd"/>
      <w:r>
        <w:t xml:space="preserve"> a flying activity where Little Sister developed an interest in auto body work on planes. The match also takes part in BBBS events focused on college and career and continue to reach out for resources to help Little Sister choose her goals and build a path to success in life.</w:t>
      </w:r>
    </w:p>
    <w:p w14:paraId="1C82A10D" w14:textId="3090CD57" w:rsidR="00FC7A1D" w:rsidRPr="008C26B1" w:rsidRDefault="007B7FB2" w:rsidP="008C26B1">
      <w:pPr>
        <w:pStyle w:val="Heading4"/>
      </w:pPr>
      <w:r w:rsidRPr="008C26B1">
        <w:t>Twin Cities Story</w:t>
      </w:r>
      <w:r w:rsidR="00EE49B6">
        <w:t xml:space="preserve"> 1</w:t>
      </w:r>
    </w:p>
    <w:p w14:paraId="4993E1B3" w14:textId="3E22473D" w:rsidR="007B7FB2" w:rsidRDefault="00673480" w:rsidP="0093349E">
      <w:pPr>
        <w:rPr>
          <w:color w:val="212121"/>
        </w:rPr>
      </w:pPr>
      <w:r>
        <w:rPr>
          <w:color w:val="212121"/>
        </w:rPr>
        <w:t>A</w:t>
      </w:r>
      <w:r w:rsidR="007B7FB2" w:rsidRPr="007B7FB2">
        <w:rPr>
          <w:color w:val="212121"/>
        </w:rPr>
        <w:t xml:space="preserve"> Little expressed interest in cosmetology to </w:t>
      </w:r>
      <w:r w:rsidR="00D14B97">
        <w:rPr>
          <w:color w:val="212121"/>
        </w:rPr>
        <w:t>the Match Engagement Coordinator (</w:t>
      </w:r>
      <w:r w:rsidR="007B7FB2" w:rsidRPr="007B7FB2">
        <w:rPr>
          <w:color w:val="212121"/>
        </w:rPr>
        <w:t>MEC</w:t>
      </w:r>
      <w:r w:rsidR="00D14B97">
        <w:rPr>
          <w:color w:val="212121"/>
        </w:rPr>
        <w:t>)</w:t>
      </w:r>
      <w:r w:rsidR="007B7FB2" w:rsidRPr="007B7FB2">
        <w:rPr>
          <w:color w:val="212121"/>
        </w:rPr>
        <w:t xml:space="preserve"> and Big Sister [BS]. The match talked about it on their own but wanted to explore the field more. </w:t>
      </w:r>
      <w:r w:rsidR="00501137">
        <w:rPr>
          <w:color w:val="212121"/>
        </w:rPr>
        <w:t xml:space="preserve">Staff </w:t>
      </w:r>
      <w:r w:rsidR="00FF7D31">
        <w:rPr>
          <w:color w:val="212121"/>
        </w:rPr>
        <w:t xml:space="preserve">reached out to another BS </w:t>
      </w:r>
      <w:r w:rsidR="0022661B">
        <w:rPr>
          <w:color w:val="212121"/>
        </w:rPr>
        <w:t>who is a cosmetologist and owns a hair salon</w:t>
      </w:r>
      <w:r w:rsidR="004B18C8">
        <w:rPr>
          <w:color w:val="212121"/>
        </w:rPr>
        <w:t xml:space="preserve"> and was willing to talk about her experiences </w:t>
      </w:r>
      <w:r w:rsidR="005F1902">
        <w:rPr>
          <w:color w:val="212121"/>
        </w:rPr>
        <w:t>in the field</w:t>
      </w:r>
      <w:r w:rsidR="0022661B">
        <w:rPr>
          <w:color w:val="212121"/>
        </w:rPr>
        <w:t>. The M</w:t>
      </w:r>
      <w:r w:rsidR="007B7FB2" w:rsidRPr="007B7FB2">
        <w:rPr>
          <w:color w:val="212121"/>
        </w:rPr>
        <w:t xml:space="preserve">EC connected the </w:t>
      </w:r>
      <w:proofErr w:type="gramStart"/>
      <w:r w:rsidR="007B7FB2" w:rsidRPr="007B7FB2">
        <w:rPr>
          <w:color w:val="212121"/>
        </w:rPr>
        <w:t>Bigs</w:t>
      </w:r>
      <w:proofErr w:type="gramEnd"/>
      <w:r w:rsidR="007B7FB2" w:rsidRPr="007B7FB2">
        <w:rPr>
          <w:color w:val="212121"/>
        </w:rPr>
        <w:t xml:space="preserve"> and the match is planning on meeting up with the </w:t>
      </w:r>
      <w:r w:rsidR="00B77994">
        <w:rPr>
          <w:color w:val="212121"/>
        </w:rPr>
        <w:t>BS</w:t>
      </w:r>
      <w:r w:rsidR="007B7FB2" w:rsidRPr="007B7FB2">
        <w:rPr>
          <w:color w:val="212121"/>
        </w:rPr>
        <w:t xml:space="preserve"> working in cosmetology to talk more about the field and to see her salon. They are SUPER excited!</w:t>
      </w:r>
    </w:p>
    <w:p w14:paraId="6B22E09B" w14:textId="6520F57D" w:rsidR="00A60C8F" w:rsidRDefault="00A60C8F" w:rsidP="00A60C8F">
      <w:pPr>
        <w:pStyle w:val="Heading4"/>
        <w:rPr>
          <w:lang w:bidi="ar-SA"/>
        </w:rPr>
      </w:pPr>
      <w:r>
        <w:rPr>
          <w:lang w:bidi="ar-SA"/>
        </w:rPr>
        <w:t>Twin Cities Story 2</w:t>
      </w:r>
    </w:p>
    <w:p w14:paraId="4413D7AF" w14:textId="71DC659B" w:rsidR="00EE49B6" w:rsidRPr="007B7FB2" w:rsidRDefault="00A60C8F" w:rsidP="00A60C8F">
      <w:pPr>
        <w:rPr>
          <w:lang w:bidi="ar-SA"/>
        </w:rPr>
      </w:pPr>
      <w:r w:rsidRPr="00A60C8F">
        <w:rPr>
          <w:lang w:bidi="ar-SA"/>
        </w:rPr>
        <w:t>BBBS staff</w:t>
      </w:r>
      <w:r w:rsidR="00BB55F2">
        <w:rPr>
          <w:lang w:bidi="ar-SA"/>
        </w:rPr>
        <w:t xml:space="preserve"> member</w:t>
      </w:r>
      <w:r w:rsidRPr="00A60C8F">
        <w:rPr>
          <w:lang w:bidi="ar-SA"/>
        </w:rPr>
        <w:t xml:space="preserve"> Eric introduced a Little (14 years old) and Big to each other and welcomed them to the BBBS program. </w:t>
      </w:r>
      <w:r w:rsidR="0044543A">
        <w:rPr>
          <w:lang w:bidi="ar-SA"/>
        </w:rPr>
        <w:t xml:space="preserve">Information from the Enrollment and Matching Team </w:t>
      </w:r>
      <w:r w:rsidRPr="00A60C8F">
        <w:rPr>
          <w:lang w:bidi="ar-SA"/>
        </w:rPr>
        <w:t>note</w:t>
      </w:r>
      <w:r w:rsidR="0044543A">
        <w:rPr>
          <w:lang w:bidi="ar-SA"/>
        </w:rPr>
        <w:t>d</w:t>
      </w:r>
      <w:r w:rsidR="007407EB">
        <w:rPr>
          <w:lang w:bidi="ar-SA"/>
        </w:rPr>
        <w:t xml:space="preserve"> </w:t>
      </w:r>
      <w:r w:rsidRPr="00A60C8F">
        <w:rPr>
          <w:lang w:bidi="ar-SA"/>
        </w:rPr>
        <w:t xml:space="preserve">that the Little expressed an interest in being a firefighter and brought this up during the introduction. Having a professional connection to a firefighter, Eric asked the Big if he could immediately help with connecting his new Little to this firefighter for an informational interview. Over the next couple of weeks, Big and Little worked together to schedule and execute the informational interview and, based on the new information they received from the firefighter, started the application process for a firefighter explorer program at a local fire department. Regardless of whether the Little is accepted into the program, Eric can confirm that the Little has made a lasting impression on the firefighter he interviewed with and the representative from the department that hosts the explorer program. The Little’s network is </w:t>
      </w:r>
      <w:proofErr w:type="gramStart"/>
      <w:r w:rsidRPr="00A60C8F">
        <w:rPr>
          <w:lang w:bidi="ar-SA"/>
        </w:rPr>
        <w:t>growing</w:t>
      </w:r>
      <w:proofErr w:type="gramEnd"/>
      <w:r w:rsidRPr="00A60C8F">
        <w:rPr>
          <w:lang w:bidi="ar-SA"/>
        </w:rPr>
        <w:t xml:space="preserve"> and his local fire department can now provide him with additional mentoring as he pursues his dream.</w:t>
      </w:r>
    </w:p>
    <w:p w14:paraId="6C5AA277" w14:textId="4328C91E" w:rsidR="009C4D5A" w:rsidRPr="00CE550A" w:rsidRDefault="00627356" w:rsidP="00386133">
      <w:pPr>
        <w:pStyle w:val="Heading2"/>
      </w:pPr>
      <w:bookmarkStart w:id="20" w:name="_Toc93905764"/>
      <w:r w:rsidRPr="00CE550A">
        <w:t>Future Allocation</w:t>
      </w:r>
      <w:bookmarkEnd w:id="20"/>
    </w:p>
    <w:p w14:paraId="6C179847" w14:textId="7F961843" w:rsidR="00783EF7" w:rsidRPr="0085775B" w:rsidRDefault="00837648" w:rsidP="00CE550A">
      <w:pPr>
        <w:pStyle w:val="NoSpacing"/>
        <w:spacing w:line="276" w:lineRule="auto"/>
        <w:rPr>
          <w:rFonts w:cstheme="minorHAnsi"/>
          <w:i/>
        </w:rPr>
      </w:pPr>
      <w:r w:rsidRPr="00CE550A">
        <w:rPr>
          <w:rFonts w:cstheme="minorHAnsi"/>
        </w:rPr>
        <w:t xml:space="preserve">The Big Brothers Big Sisters </w:t>
      </w:r>
      <w:r w:rsidR="00627356" w:rsidRPr="00CE550A">
        <w:rPr>
          <w:rFonts w:cstheme="minorHAnsi"/>
        </w:rPr>
        <w:t xml:space="preserve">SFY 2022 </w:t>
      </w:r>
      <w:r w:rsidR="001A2FA9" w:rsidRPr="00CE550A">
        <w:rPr>
          <w:rFonts w:cstheme="minorHAnsi"/>
        </w:rPr>
        <w:t>allocation</w:t>
      </w:r>
      <w:r w:rsidR="00627356" w:rsidRPr="00CE550A">
        <w:rPr>
          <w:rFonts w:cstheme="minorHAnsi"/>
        </w:rPr>
        <w:t xml:space="preserve"> is $</w:t>
      </w:r>
      <w:r w:rsidR="001A2FA9" w:rsidRPr="00CE550A">
        <w:rPr>
          <w:rFonts w:cstheme="minorHAnsi"/>
        </w:rPr>
        <w:t>237,500</w:t>
      </w:r>
      <w:r w:rsidR="00627356" w:rsidRPr="00CE550A">
        <w:rPr>
          <w:rFonts w:cstheme="minorHAnsi"/>
        </w:rPr>
        <w:t xml:space="preserve"> </w:t>
      </w:r>
      <w:r w:rsidR="001A2FA9" w:rsidRPr="00CE550A">
        <w:rPr>
          <w:rFonts w:cstheme="minorHAnsi"/>
        </w:rPr>
        <w:t xml:space="preserve">for the period July </w:t>
      </w:r>
      <w:r w:rsidR="00CE550A" w:rsidRPr="00CE550A">
        <w:rPr>
          <w:rFonts w:cstheme="minorHAnsi"/>
        </w:rPr>
        <w:t xml:space="preserve">16, 2021 through June 30, 2022. </w:t>
      </w:r>
      <w:bookmarkEnd w:id="9"/>
    </w:p>
    <w:sectPr w:rsidR="00783EF7" w:rsidRPr="0085775B" w:rsidSect="00A94111">
      <w:headerReference w:type="first" r:id="rId16"/>
      <w:pgSz w:w="12240" w:h="15840" w:code="1"/>
      <w:pgMar w:top="1080" w:right="1080" w:bottom="1440" w:left="1080" w:header="0" w:footer="50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4E1B0D" w14:textId="77777777" w:rsidR="000570A5" w:rsidRDefault="000570A5" w:rsidP="00D247F6">
      <w:r>
        <w:separator/>
      </w:r>
    </w:p>
  </w:endnote>
  <w:endnote w:type="continuationSeparator" w:id="0">
    <w:p w14:paraId="4751B1E1" w14:textId="77777777" w:rsidR="000570A5" w:rsidRDefault="000570A5" w:rsidP="00D247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dobe Caslon Pro">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21748" w14:textId="6E4D51C4" w:rsidR="00627356" w:rsidRPr="00324E7E" w:rsidRDefault="00627356" w:rsidP="00324E7E">
    <w:pPr>
      <w:pStyle w:val="Footer"/>
      <w:jc w:val="right"/>
    </w:pPr>
    <w:r>
      <w:t xml:space="preserve">SFY 2021 </w:t>
    </w:r>
    <w:r w:rsidR="006F03BA">
      <w:t>Big Brothers Big Sisters</w:t>
    </w:r>
    <w:r>
      <w:t xml:space="preserve"> Direct Appropriation Final Report</w:t>
    </w:r>
    <w:r w:rsidRPr="00AF5107">
      <w:tab/>
    </w:r>
    <w:r w:rsidRPr="00AF5107">
      <w:fldChar w:fldCharType="begin"/>
    </w:r>
    <w:r w:rsidRPr="00AF5107">
      <w:instrText xml:space="preserve"> PAGE   \* MERGEFORMAT </w:instrText>
    </w:r>
    <w:r w:rsidRPr="00AF5107">
      <w:fldChar w:fldCharType="separate"/>
    </w:r>
    <w:r>
      <w:rPr>
        <w:noProof/>
      </w:rPr>
      <w:t>9</w:t>
    </w:r>
    <w:r w:rsidRPr="00AF5107">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7071DE" w14:textId="77777777" w:rsidR="000570A5" w:rsidRDefault="000570A5" w:rsidP="00D247F6">
      <w:r>
        <w:separator/>
      </w:r>
    </w:p>
  </w:footnote>
  <w:footnote w:type="continuationSeparator" w:id="0">
    <w:p w14:paraId="64B398F1" w14:textId="77777777" w:rsidR="000570A5" w:rsidRDefault="000570A5" w:rsidP="00D247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E1630" w14:textId="77777777" w:rsidR="00627356" w:rsidRPr="005666F2" w:rsidRDefault="00627356" w:rsidP="00D247F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9AE0E85E"/>
    <w:lvl w:ilvl="0">
      <w:start w:val="1"/>
      <w:numFmt w:val="decimal"/>
      <w:pStyle w:val="ListNumber"/>
      <w:lvlText w:val="%1."/>
      <w:lvlJc w:val="left"/>
      <w:pPr>
        <w:tabs>
          <w:tab w:val="num" w:pos="360"/>
        </w:tabs>
        <w:ind w:left="360" w:hanging="360"/>
      </w:pPr>
    </w:lvl>
  </w:abstractNum>
  <w:abstractNum w:abstractNumId="1" w15:restartNumberingAfterBreak="0">
    <w:nsid w:val="1C077BD3"/>
    <w:multiLevelType w:val="hybridMultilevel"/>
    <w:tmpl w:val="49DAA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8E4940"/>
    <w:multiLevelType w:val="hybridMultilevel"/>
    <w:tmpl w:val="5178B91C"/>
    <w:lvl w:ilvl="0" w:tplc="14C2CC9E">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1E299E"/>
    <w:multiLevelType w:val="multilevel"/>
    <w:tmpl w:val="7AC679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27913CD"/>
    <w:multiLevelType w:val="hybridMultilevel"/>
    <w:tmpl w:val="C14AC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993CA0"/>
    <w:multiLevelType w:val="multilevel"/>
    <w:tmpl w:val="2E840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0AA7330"/>
    <w:multiLevelType w:val="multilevel"/>
    <w:tmpl w:val="747086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8437529"/>
    <w:multiLevelType w:val="multilevel"/>
    <w:tmpl w:val="E258F0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99F2796"/>
    <w:multiLevelType w:val="hybridMultilevel"/>
    <w:tmpl w:val="B4908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3F754D3"/>
    <w:multiLevelType w:val="hybridMultilevel"/>
    <w:tmpl w:val="B66E2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8"/>
  </w:num>
  <w:num w:numId="5">
    <w:abstractNumId w:val="9"/>
  </w:num>
  <w:num w:numId="6">
    <w:abstractNumId w:val="7"/>
  </w:num>
  <w:num w:numId="7">
    <w:abstractNumId w:val="6"/>
  </w:num>
  <w:num w:numId="8">
    <w:abstractNumId w:val="5"/>
  </w:num>
  <w:num w:numId="9">
    <w:abstractNumId w:val="3"/>
  </w:num>
  <w:num w:numId="10">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554C"/>
    <w:rsid w:val="00000C6B"/>
    <w:rsid w:val="00002DEC"/>
    <w:rsid w:val="00003C92"/>
    <w:rsid w:val="000065AC"/>
    <w:rsid w:val="00006A0A"/>
    <w:rsid w:val="00014777"/>
    <w:rsid w:val="000158A7"/>
    <w:rsid w:val="00022428"/>
    <w:rsid w:val="000233BF"/>
    <w:rsid w:val="000248C6"/>
    <w:rsid w:val="000261E8"/>
    <w:rsid w:val="00030952"/>
    <w:rsid w:val="000321E2"/>
    <w:rsid w:val="000323A6"/>
    <w:rsid w:val="00032411"/>
    <w:rsid w:val="0004279D"/>
    <w:rsid w:val="00044B7A"/>
    <w:rsid w:val="00046D82"/>
    <w:rsid w:val="00056914"/>
    <w:rsid w:val="000570A5"/>
    <w:rsid w:val="0006386B"/>
    <w:rsid w:val="00064B90"/>
    <w:rsid w:val="0007374A"/>
    <w:rsid w:val="00074A30"/>
    <w:rsid w:val="0007512E"/>
    <w:rsid w:val="0007601A"/>
    <w:rsid w:val="00077612"/>
    <w:rsid w:val="00080404"/>
    <w:rsid w:val="00084742"/>
    <w:rsid w:val="000A029D"/>
    <w:rsid w:val="000A7998"/>
    <w:rsid w:val="000B1794"/>
    <w:rsid w:val="000B2E68"/>
    <w:rsid w:val="000B501C"/>
    <w:rsid w:val="000C3708"/>
    <w:rsid w:val="000C3761"/>
    <w:rsid w:val="000C689A"/>
    <w:rsid w:val="000C7373"/>
    <w:rsid w:val="000D77AB"/>
    <w:rsid w:val="000E13CF"/>
    <w:rsid w:val="000E313B"/>
    <w:rsid w:val="000E3E9D"/>
    <w:rsid w:val="000E6F3D"/>
    <w:rsid w:val="000F396C"/>
    <w:rsid w:val="000F4BB1"/>
    <w:rsid w:val="000F73F9"/>
    <w:rsid w:val="00100675"/>
    <w:rsid w:val="0010174B"/>
    <w:rsid w:val="001113AA"/>
    <w:rsid w:val="00123864"/>
    <w:rsid w:val="00135082"/>
    <w:rsid w:val="00135DC7"/>
    <w:rsid w:val="001375C6"/>
    <w:rsid w:val="00147ED1"/>
    <w:rsid w:val="001500D6"/>
    <w:rsid w:val="00152533"/>
    <w:rsid w:val="00157C41"/>
    <w:rsid w:val="001608AA"/>
    <w:rsid w:val="00161605"/>
    <w:rsid w:val="001661D9"/>
    <w:rsid w:val="001708EC"/>
    <w:rsid w:val="00190BAD"/>
    <w:rsid w:val="00190FAC"/>
    <w:rsid w:val="001925A8"/>
    <w:rsid w:val="00193B6C"/>
    <w:rsid w:val="00194A6B"/>
    <w:rsid w:val="00194E5B"/>
    <w:rsid w:val="001961CB"/>
    <w:rsid w:val="0019673D"/>
    <w:rsid w:val="001A2FA9"/>
    <w:rsid w:val="001A435E"/>
    <w:rsid w:val="001A46BB"/>
    <w:rsid w:val="001A51D7"/>
    <w:rsid w:val="001B1CBA"/>
    <w:rsid w:val="001B20E6"/>
    <w:rsid w:val="001C1A02"/>
    <w:rsid w:val="001C2340"/>
    <w:rsid w:val="001C4B91"/>
    <w:rsid w:val="001C55E0"/>
    <w:rsid w:val="001C77D7"/>
    <w:rsid w:val="001D701B"/>
    <w:rsid w:val="001E160D"/>
    <w:rsid w:val="001E25C9"/>
    <w:rsid w:val="001E38A4"/>
    <w:rsid w:val="001E5ECF"/>
    <w:rsid w:val="001F0380"/>
    <w:rsid w:val="001F278F"/>
    <w:rsid w:val="001F2B7E"/>
    <w:rsid w:val="001F3987"/>
    <w:rsid w:val="00200926"/>
    <w:rsid w:val="00207D92"/>
    <w:rsid w:val="002110D8"/>
    <w:rsid w:val="0021150B"/>
    <w:rsid w:val="00211CA3"/>
    <w:rsid w:val="002207CF"/>
    <w:rsid w:val="00220E0F"/>
    <w:rsid w:val="0022170F"/>
    <w:rsid w:val="00222A49"/>
    <w:rsid w:val="002240E5"/>
    <w:rsid w:val="0022552E"/>
    <w:rsid w:val="0022661B"/>
    <w:rsid w:val="00227D62"/>
    <w:rsid w:val="00232000"/>
    <w:rsid w:val="00234E02"/>
    <w:rsid w:val="002473F1"/>
    <w:rsid w:val="00250DF2"/>
    <w:rsid w:val="00261247"/>
    <w:rsid w:val="00264652"/>
    <w:rsid w:val="00274294"/>
    <w:rsid w:val="00277822"/>
    <w:rsid w:val="00280F2E"/>
    <w:rsid w:val="00282084"/>
    <w:rsid w:val="00291052"/>
    <w:rsid w:val="00291C97"/>
    <w:rsid w:val="002B0531"/>
    <w:rsid w:val="002B2C94"/>
    <w:rsid w:val="002B5E79"/>
    <w:rsid w:val="002C0859"/>
    <w:rsid w:val="002C4B6E"/>
    <w:rsid w:val="002C5A29"/>
    <w:rsid w:val="002E5BEE"/>
    <w:rsid w:val="002F1947"/>
    <w:rsid w:val="002F6AF0"/>
    <w:rsid w:val="002F7C29"/>
    <w:rsid w:val="00306D94"/>
    <w:rsid w:val="003118CD"/>
    <w:rsid w:val="003125DF"/>
    <w:rsid w:val="0031287C"/>
    <w:rsid w:val="00324E7E"/>
    <w:rsid w:val="00327B3A"/>
    <w:rsid w:val="00333CA1"/>
    <w:rsid w:val="00335736"/>
    <w:rsid w:val="0034554C"/>
    <w:rsid w:val="0034728D"/>
    <w:rsid w:val="003473BE"/>
    <w:rsid w:val="00347E65"/>
    <w:rsid w:val="003563D2"/>
    <w:rsid w:val="00367082"/>
    <w:rsid w:val="00367E1E"/>
    <w:rsid w:val="00367F66"/>
    <w:rsid w:val="0037024D"/>
    <w:rsid w:val="00370E1F"/>
    <w:rsid w:val="00371A56"/>
    <w:rsid w:val="00372207"/>
    <w:rsid w:val="003724A5"/>
    <w:rsid w:val="003746ED"/>
    <w:rsid w:val="00376FA5"/>
    <w:rsid w:val="00383637"/>
    <w:rsid w:val="003848D6"/>
    <w:rsid w:val="00386133"/>
    <w:rsid w:val="00387693"/>
    <w:rsid w:val="00392B94"/>
    <w:rsid w:val="00392DF3"/>
    <w:rsid w:val="00393D9B"/>
    <w:rsid w:val="003976C4"/>
    <w:rsid w:val="003A1479"/>
    <w:rsid w:val="003A1813"/>
    <w:rsid w:val="003A22CC"/>
    <w:rsid w:val="003A602D"/>
    <w:rsid w:val="003B41D9"/>
    <w:rsid w:val="003B61E6"/>
    <w:rsid w:val="003B7D82"/>
    <w:rsid w:val="003C33D8"/>
    <w:rsid w:val="003C4644"/>
    <w:rsid w:val="003C5BE3"/>
    <w:rsid w:val="003C6315"/>
    <w:rsid w:val="003C7F0C"/>
    <w:rsid w:val="003D0D25"/>
    <w:rsid w:val="003D19A8"/>
    <w:rsid w:val="003D27FF"/>
    <w:rsid w:val="003D7F48"/>
    <w:rsid w:val="003E2C5D"/>
    <w:rsid w:val="003E3975"/>
    <w:rsid w:val="003F3C79"/>
    <w:rsid w:val="003F61EE"/>
    <w:rsid w:val="003F6564"/>
    <w:rsid w:val="003F7F8B"/>
    <w:rsid w:val="004030F5"/>
    <w:rsid w:val="004059BA"/>
    <w:rsid w:val="00413A7C"/>
    <w:rsid w:val="004141DD"/>
    <w:rsid w:val="00415961"/>
    <w:rsid w:val="00430019"/>
    <w:rsid w:val="00435BC4"/>
    <w:rsid w:val="0044543A"/>
    <w:rsid w:val="004462DE"/>
    <w:rsid w:val="00447199"/>
    <w:rsid w:val="00456E50"/>
    <w:rsid w:val="00460899"/>
    <w:rsid w:val="00461804"/>
    <w:rsid w:val="00462E2A"/>
    <w:rsid w:val="00463A63"/>
    <w:rsid w:val="00463AD5"/>
    <w:rsid w:val="00466810"/>
    <w:rsid w:val="004738ED"/>
    <w:rsid w:val="00477150"/>
    <w:rsid w:val="004816B5"/>
    <w:rsid w:val="00483DD2"/>
    <w:rsid w:val="00490BD7"/>
    <w:rsid w:val="00494E6F"/>
    <w:rsid w:val="004A1B4D"/>
    <w:rsid w:val="004A2050"/>
    <w:rsid w:val="004A58DD"/>
    <w:rsid w:val="004A6119"/>
    <w:rsid w:val="004B1151"/>
    <w:rsid w:val="004B18C8"/>
    <w:rsid w:val="004B47DC"/>
    <w:rsid w:val="004B6A94"/>
    <w:rsid w:val="004C04F1"/>
    <w:rsid w:val="004C14DC"/>
    <w:rsid w:val="004C68B0"/>
    <w:rsid w:val="004D39CC"/>
    <w:rsid w:val="004D4CC0"/>
    <w:rsid w:val="004D5320"/>
    <w:rsid w:val="004E161A"/>
    <w:rsid w:val="004E2555"/>
    <w:rsid w:val="004E75B3"/>
    <w:rsid w:val="004F04BA"/>
    <w:rsid w:val="004F0EFF"/>
    <w:rsid w:val="004F33A6"/>
    <w:rsid w:val="0050093F"/>
    <w:rsid w:val="00501137"/>
    <w:rsid w:val="00503884"/>
    <w:rsid w:val="005125E2"/>
    <w:rsid w:val="00514788"/>
    <w:rsid w:val="00515997"/>
    <w:rsid w:val="00522745"/>
    <w:rsid w:val="0052628A"/>
    <w:rsid w:val="005325DD"/>
    <w:rsid w:val="0054371B"/>
    <w:rsid w:val="00545190"/>
    <w:rsid w:val="00545F4A"/>
    <w:rsid w:val="00555B93"/>
    <w:rsid w:val="00557C3E"/>
    <w:rsid w:val="00557CCB"/>
    <w:rsid w:val="0056615E"/>
    <w:rsid w:val="005666F2"/>
    <w:rsid w:val="005667C7"/>
    <w:rsid w:val="00573828"/>
    <w:rsid w:val="00575BB7"/>
    <w:rsid w:val="00575EFD"/>
    <w:rsid w:val="00581446"/>
    <w:rsid w:val="005864FB"/>
    <w:rsid w:val="00592588"/>
    <w:rsid w:val="00595173"/>
    <w:rsid w:val="00595CEA"/>
    <w:rsid w:val="0059673E"/>
    <w:rsid w:val="005A33E1"/>
    <w:rsid w:val="005A5A73"/>
    <w:rsid w:val="005A7EDB"/>
    <w:rsid w:val="005B04D2"/>
    <w:rsid w:val="005B2DDF"/>
    <w:rsid w:val="005B4AE7"/>
    <w:rsid w:val="005B53B0"/>
    <w:rsid w:val="005B7467"/>
    <w:rsid w:val="005B76BE"/>
    <w:rsid w:val="005C3206"/>
    <w:rsid w:val="005C43DE"/>
    <w:rsid w:val="005C5FC6"/>
    <w:rsid w:val="005C672C"/>
    <w:rsid w:val="005D4207"/>
    <w:rsid w:val="005D45B3"/>
    <w:rsid w:val="005E0F74"/>
    <w:rsid w:val="005E3812"/>
    <w:rsid w:val="005E5C61"/>
    <w:rsid w:val="005F1902"/>
    <w:rsid w:val="005F6005"/>
    <w:rsid w:val="005F6544"/>
    <w:rsid w:val="005F7F12"/>
    <w:rsid w:val="006064AB"/>
    <w:rsid w:val="00616281"/>
    <w:rsid w:val="00621729"/>
    <w:rsid w:val="006229CF"/>
    <w:rsid w:val="00622BB5"/>
    <w:rsid w:val="00624CFF"/>
    <w:rsid w:val="0062734A"/>
    <w:rsid w:val="00627356"/>
    <w:rsid w:val="00636DF4"/>
    <w:rsid w:val="00650A4E"/>
    <w:rsid w:val="00655345"/>
    <w:rsid w:val="00656A52"/>
    <w:rsid w:val="00661031"/>
    <w:rsid w:val="00663BDA"/>
    <w:rsid w:val="00672536"/>
    <w:rsid w:val="0067292D"/>
    <w:rsid w:val="00673480"/>
    <w:rsid w:val="0067521A"/>
    <w:rsid w:val="00676FEB"/>
    <w:rsid w:val="00677FED"/>
    <w:rsid w:val="00680B70"/>
    <w:rsid w:val="00681EDC"/>
    <w:rsid w:val="006855C3"/>
    <w:rsid w:val="0068649F"/>
    <w:rsid w:val="00687189"/>
    <w:rsid w:val="00692B9D"/>
    <w:rsid w:val="00697CCC"/>
    <w:rsid w:val="006A315B"/>
    <w:rsid w:val="006A7152"/>
    <w:rsid w:val="006B07E9"/>
    <w:rsid w:val="006B0D98"/>
    <w:rsid w:val="006B13B7"/>
    <w:rsid w:val="006B2603"/>
    <w:rsid w:val="006B2942"/>
    <w:rsid w:val="006B3994"/>
    <w:rsid w:val="006B57A9"/>
    <w:rsid w:val="006C0E45"/>
    <w:rsid w:val="006C1525"/>
    <w:rsid w:val="006C2EF8"/>
    <w:rsid w:val="006D0FF8"/>
    <w:rsid w:val="006D10A1"/>
    <w:rsid w:val="006D4829"/>
    <w:rsid w:val="006D6C90"/>
    <w:rsid w:val="006F03BA"/>
    <w:rsid w:val="006F3B38"/>
    <w:rsid w:val="00706705"/>
    <w:rsid w:val="007124DA"/>
    <w:rsid w:val="007137A4"/>
    <w:rsid w:val="0071469D"/>
    <w:rsid w:val="00721B8A"/>
    <w:rsid w:val="007225DF"/>
    <w:rsid w:val="0072594A"/>
    <w:rsid w:val="007329D5"/>
    <w:rsid w:val="00732C73"/>
    <w:rsid w:val="00736BAB"/>
    <w:rsid w:val="007371AC"/>
    <w:rsid w:val="007407EB"/>
    <w:rsid w:val="00740BAD"/>
    <w:rsid w:val="007436D3"/>
    <w:rsid w:val="00745873"/>
    <w:rsid w:val="0074778B"/>
    <w:rsid w:val="007533F0"/>
    <w:rsid w:val="0075362D"/>
    <w:rsid w:val="00757539"/>
    <w:rsid w:val="007655C9"/>
    <w:rsid w:val="007658D0"/>
    <w:rsid w:val="0077225E"/>
    <w:rsid w:val="00772D56"/>
    <w:rsid w:val="00781701"/>
    <w:rsid w:val="00783EF7"/>
    <w:rsid w:val="0078742B"/>
    <w:rsid w:val="00793F48"/>
    <w:rsid w:val="007A588E"/>
    <w:rsid w:val="007A6548"/>
    <w:rsid w:val="007B038E"/>
    <w:rsid w:val="007B0A5A"/>
    <w:rsid w:val="007B35B2"/>
    <w:rsid w:val="007B35D9"/>
    <w:rsid w:val="007B7FB2"/>
    <w:rsid w:val="007C6802"/>
    <w:rsid w:val="007D1FFF"/>
    <w:rsid w:val="007D42A0"/>
    <w:rsid w:val="007D5941"/>
    <w:rsid w:val="007E0CAA"/>
    <w:rsid w:val="007E1FE4"/>
    <w:rsid w:val="007E28D8"/>
    <w:rsid w:val="007E685C"/>
    <w:rsid w:val="007F1B76"/>
    <w:rsid w:val="007F6108"/>
    <w:rsid w:val="007F7087"/>
    <w:rsid w:val="007F7097"/>
    <w:rsid w:val="008067A6"/>
    <w:rsid w:val="00814C62"/>
    <w:rsid w:val="0082080C"/>
    <w:rsid w:val="00821F4A"/>
    <w:rsid w:val="008227FF"/>
    <w:rsid w:val="008236B9"/>
    <w:rsid w:val="008248B9"/>
    <w:rsid w:val="008251B3"/>
    <w:rsid w:val="00836F1E"/>
    <w:rsid w:val="0083723D"/>
    <w:rsid w:val="00837648"/>
    <w:rsid w:val="00842058"/>
    <w:rsid w:val="008439B5"/>
    <w:rsid w:val="00844F1D"/>
    <w:rsid w:val="0084749F"/>
    <w:rsid w:val="008504FB"/>
    <w:rsid w:val="008533D4"/>
    <w:rsid w:val="00854799"/>
    <w:rsid w:val="008551C2"/>
    <w:rsid w:val="0085634C"/>
    <w:rsid w:val="0085775B"/>
    <w:rsid w:val="00857C78"/>
    <w:rsid w:val="00863044"/>
    <w:rsid w:val="008639BC"/>
    <w:rsid w:val="00864202"/>
    <w:rsid w:val="008662A4"/>
    <w:rsid w:val="0086732E"/>
    <w:rsid w:val="00876428"/>
    <w:rsid w:val="008767E5"/>
    <w:rsid w:val="00877840"/>
    <w:rsid w:val="0088383A"/>
    <w:rsid w:val="00885A85"/>
    <w:rsid w:val="00890420"/>
    <w:rsid w:val="00891812"/>
    <w:rsid w:val="00893DDD"/>
    <w:rsid w:val="008A08ED"/>
    <w:rsid w:val="008A0FE8"/>
    <w:rsid w:val="008A2897"/>
    <w:rsid w:val="008A5B41"/>
    <w:rsid w:val="008B2BFB"/>
    <w:rsid w:val="008B3C23"/>
    <w:rsid w:val="008B5443"/>
    <w:rsid w:val="008B6697"/>
    <w:rsid w:val="008C26B1"/>
    <w:rsid w:val="008C4378"/>
    <w:rsid w:val="008C7EEB"/>
    <w:rsid w:val="008D0DEF"/>
    <w:rsid w:val="008D1B20"/>
    <w:rsid w:val="008D2256"/>
    <w:rsid w:val="008D2779"/>
    <w:rsid w:val="008D5E3D"/>
    <w:rsid w:val="008E753C"/>
    <w:rsid w:val="008F4AD2"/>
    <w:rsid w:val="009049B6"/>
    <w:rsid w:val="0090737A"/>
    <w:rsid w:val="009132D3"/>
    <w:rsid w:val="009238D9"/>
    <w:rsid w:val="00924F39"/>
    <w:rsid w:val="00930899"/>
    <w:rsid w:val="0093349E"/>
    <w:rsid w:val="009440E4"/>
    <w:rsid w:val="009531C0"/>
    <w:rsid w:val="0096108C"/>
    <w:rsid w:val="00963BA0"/>
    <w:rsid w:val="00967764"/>
    <w:rsid w:val="00970D2D"/>
    <w:rsid w:val="00973A3E"/>
    <w:rsid w:val="00980BA8"/>
    <w:rsid w:val="009810EE"/>
    <w:rsid w:val="00982151"/>
    <w:rsid w:val="00984CC9"/>
    <w:rsid w:val="009910BB"/>
    <w:rsid w:val="0099233F"/>
    <w:rsid w:val="00997231"/>
    <w:rsid w:val="009979B7"/>
    <w:rsid w:val="009A1CCE"/>
    <w:rsid w:val="009A360D"/>
    <w:rsid w:val="009A4FC1"/>
    <w:rsid w:val="009A66AE"/>
    <w:rsid w:val="009B21A6"/>
    <w:rsid w:val="009B4090"/>
    <w:rsid w:val="009B54A0"/>
    <w:rsid w:val="009B6381"/>
    <w:rsid w:val="009C2760"/>
    <w:rsid w:val="009C2E73"/>
    <w:rsid w:val="009C4D5A"/>
    <w:rsid w:val="009C6405"/>
    <w:rsid w:val="009D26C3"/>
    <w:rsid w:val="009D6D2A"/>
    <w:rsid w:val="009E364B"/>
    <w:rsid w:val="009F2526"/>
    <w:rsid w:val="009F2E94"/>
    <w:rsid w:val="00A06A05"/>
    <w:rsid w:val="00A202DC"/>
    <w:rsid w:val="00A21C0E"/>
    <w:rsid w:val="00A25DD4"/>
    <w:rsid w:val="00A30799"/>
    <w:rsid w:val="00A30F03"/>
    <w:rsid w:val="00A31517"/>
    <w:rsid w:val="00A35A9C"/>
    <w:rsid w:val="00A4454F"/>
    <w:rsid w:val="00A50984"/>
    <w:rsid w:val="00A57FE8"/>
    <w:rsid w:val="00A604DC"/>
    <w:rsid w:val="00A60C8F"/>
    <w:rsid w:val="00A64ECE"/>
    <w:rsid w:val="00A6578E"/>
    <w:rsid w:val="00A66185"/>
    <w:rsid w:val="00A71CAD"/>
    <w:rsid w:val="00A7219D"/>
    <w:rsid w:val="00A731A2"/>
    <w:rsid w:val="00A827C1"/>
    <w:rsid w:val="00A82A78"/>
    <w:rsid w:val="00A849A3"/>
    <w:rsid w:val="00A92444"/>
    <w:rsid w:val="00A93F40"/>
    <w:rsid w:val="00A94111"/>
    <w:rsid w:val="00A9503B"/>
    <w:rsid w:val="00A95BDA"/>
    <w:rsid w:val="00A96F93"/>
    <w:rsid w:val="00AA5014"/>
    <w:rsid w:val="00AA5BD5"/>
    <w:rsid w:val="00AA79D7"/>
    <w:rsid w:val="00AB0697"/>
    <w:rsid w:val="00AB151E"/>
    <w:rsid w:val="00AC65A3"/>
    <w:rsid w:val="00AD5967"/>
    <w:rsid w:val="00AD5A4F"/>
    <w:rsid w:val="00AE0894"/>
    <w:rsid w:val="00AE39A9"/>
    <w:rsid w:val="00AE5772"/>
    <w:rsid w:val="00AF0062"/>
    <w:rsid w:val="00AF22AD"/>
    <w:rsid w:val="00AF5107"/>
    <w:rsid w:val="00B00823"/>
    <w:rsid w:val="00B0591D"/>
    <w:rsid w:val="00B06264"/>
    <w:rsid w:val="00B06660"/>
    <w:rsid w:val="00B07C8F"/>
    <w:rsid w:val="00B12AE7"/>
    <w:rsid w:val="00B275D4"/>
    <w:rsid w:val="00B31F41"/>
    <w:rsid w:val="00B46D2F"/>
    <w:rsid w:val="00B46EED"/>
    <w:rsid w:val="00B51177"/>
    <w:rsid w:val="00B51934"/>
    <w:rsid w:val="00B545E5"/>
    <w:rsid w:val="00B56842"/>
    <w:rsid w:val="00B63C51"/>
    <w:rsid w:val="00B75051"/>
    <w:rsid w:val="00B77994"/>
    <w:rsid w:val="00B81640"/>
    <w:rsid w:val="00B845C8"/>
    <w:rsid w:val="00B85090"/>
    <w:rsid w:val="00B859DE"/>
    <w:rsid w:val="00B87AF7"/>
    <w:rsid w:val="00BA00AC"/>
    <w:rsid w:val="00BA23A4"/>
    <w:rsid w:val="00BB55F2"/>
    <w:rsid w:val="00BD0E59"/>
    <w:rsid w:val="00BD3B0C"/>
    <w:rsid w:val="00BD7D59"/>
    <w:rsid w:val="00BE5884"/>
    <w:rsid w:val="00BE5B1F"/>
    <w:rsid w:val="00BE7ADA"/>
    <w:rsid w:val="00BF4A77"/>
    <w:rsid w:val="00BF4C46"/>
    <w:rsid w:val="00C03DE0"/>
    <w:rsid w:val="00C07600"/>
    <w:rsid w:val="00C12D2F"/>
    <w:rsid w:val="00C13A9B"/>
    <w:rsid w:val="00C277A8"/>
    <w:rsid w:val="00C30493"/>
    <w:rsid w:val="00C309AE"/>
    <w:rsid w:val="00C319D8"/>
    <w:rsid w:val="00C3485E"/>
    <w:rsid w:val="00C356DB"/>
    <w:rsid w:val="00C365CE"/>
    <w:rsid w:val="00C379F9"/>
    <w:rsid w:val="00C37C24"/>
    <w:rsid w:val="00C417EB"/>
    <w:rsid w:val="00C528AE"/>
    <w:rsid w:val="00C56C60"/>
    <w:rsid w:val="00C575A7"/>
    <w:rsid w:val="00C61688"/>
    <w:rsid w:val="00C62A85"/>
    <w:rsid w:val="00C635F8"/>
    <w:rsid w:val="00C67E73"/>
    <w:rsid w:val="00C7578A"/>
    <w:rsid w:val="00C76A9B"/>
    <w:rsid w:val="00C9046E"/>
    <w:rsid w:val="00C9077F"/>
    <w:rsid w:val="00CB07BE"/>
    <w:rsid w:val="00CB214D"/>
    <w:rsid w:val="00CC1325"/>
    <w:rsid w:val="00CC7B5E"/>
    <w:rsid w:val="00CD21FE"/>
    <w:rsid w:val="00CD2693"/>
    <w:rsid w:val="00CD2A64"/>
    <w:rsid w:val="00CD7D83"/>
    <w:rsid w:val="00CE45B0"/>
    <w:rsid w:val="00CE47B6"/>
    <w:rsid w:val="00CE550A"/>
    <w:rsid w:val="00CF1410"/>
    <w:rsid w:val="00CF486A"/>
    <w:rsid w:val="00CF625F"/>
    <w:rsid w:val="00CF7D85"/>
    <w:rsid w:val="00D0014D"/>
    <w:rsid w:val="00D00E7E"/>
    <w:rsid w:val="00D04163"/>
    <w:rsid w:val="00D07C7E"/>
    <w:rsid w:val="00D140A9"/>
    <w:rsid w:val="00D14B97"/>
    <w:rsid w:val="00D16595"/>
    <w:rsid w:val="00D21E8B"/>
    <w:rsid w:val="00D22819"/>
    <w:rsid w:val="00D22C71"/>
    <w:rsid w:val="00D247F6"/>
    <w:rsid w:val="00D313E0"/>
    <w:rsid w:val="00D37C9C"/>
    <w:rsid w:val="00D47D0A"/>
    <w:rsid w:val="00D511F0"/>
    <w:rsid w:val="00D541E9"/>
    <w:rsid w:val="00D54633"/>
    <w:rsid w:val="00D54EE5"/>
    <w:rsid w:val="00D62BDA"/>
    <w:rsid w:val="00D63F82"/>
    <w:rsid w:val="00D640FC"/>
    <w:rsid w:val="00D67F10"/>
    <w:rsid w:val="00D70F7D"/>
    <w:rsid w:val="00D728BA"/>
    <w:rsid w:val="00D72A12"/>
    <w:rsid w:val="00D80D0A"/>
    <w:rsid w:val="00D817C7"/>
    <w:rsid w:val="00D92929"/>
    <w:rsid w:val="00D93C2E"/>
    <w:rsid w:val="00D970A5"/>
    <w:rsid w:val="00DA212A"/>
    <w:rsid w:val="00DB0BE6"/>
    <w:rsid w:val="00DB4967"/>
    <w:rsid w:val="00DB5A49"/>
    <w:rsid w:val="00DB64DA"/>
    <w:rsid w:val="00DB6AF8"/>
    <w:rsid w:val="00DD41C2"/>
    <w:rsid w:val="00DE36C7"/>
    <w:rsid w:val="00DE50CB"/>
    <w:rsid w:val="00DE69CC"/>
    <w:rsid w:val="00DF6662"/>
    <w:rsid w:val="00E042BC"/>
    <w:rsid w:val="00E05639"/>
    <w:rsid w:val="00E12C13"/>
    <w:rsid w:val="00E206AE"/>
    <w:rsid w:val="00E20A5E"/>
    <w:rsid w:val="00E23397"/>
    <w:rsid w:val="00E23CED"/>
    <w:rsid w:val="00E32CD7"/>
    <w:rsid w:val="00E35399"/>
    <w:rsid w:val="00E36CE4"/>
    <w:rsid w:val="00E41BD2"/>
    <w:rsid w:val="00E42917"/>
    <w:rsid w:val="00E44EE1"/>
    <w:rsid w:val="00E50B38"/>
    <w:rsid w:val="00E5241D"/>
    <w:rsid w:val="00E53C97"/>
    <w:rsid w:val="00E5680C"/>
    <w:rsid w:val="00E61A16"/>
    <w:rsid w:val="00E66441"/>
    <w:rsid w:val="00E67E51"/>
    <w:rsid w:val="00E708CE"/>
    <w:rsid w:val="00E70A9D"/>
    <w:rsid w:val="00E76267"/>
    <w:rsid w:val="00E77976"/>
    <w:rsid w:val="00E970AB"/>
    <w:rsid w:val="00EA535B"/>
    <w:rsid w:val="00EB251D"/>
    <w:rsid w:val="00EB2B13"/>
    <w:rsid w:val="00EB5C25"/>
    <w:rsid w:val="00EB724D"/>
    <w:rsid w:val="00EC24AF"/>
    <w:rsid w:val="00EC3793"/>
    <w:rsid w:val="00EC3C58"/>
    <w:rsid w:val="00EC554B"/>
    <w:rsid w:val="00EC579D"/>
    <w:rsid w:val="00ED5BDC"/>
    <w:rsid w:val="00ED7DAC"/>
    <w:rsid w:val="00EE49B6"/>
    <w:rsid w:val="00EE4ABA"/>
    <w:rsid w:val="00EF7D8D"/>
    <w:rsid w:val="00F067A6"/>
    <w:rsid w:val="00F12015"/>
    <w:rsid w:val="00F13B25"/>
    <w:rsid w:val="00F1481F"/>
    <w:rsid w:val="00F15A14"/>
    <w:rsid w:val="00F164F6"/>
    <w:rsid w:val="00F16B6D"/>
    <w:rsid w:val="00F171A4"/>
    <w:rsid w:val="00F17299"/>
    <w:rsid w:val="00F20B25"/>
    <w:rsid w:val="00F21857"/>
    <w:rsid w:val="00F251BC"/>
    <w:rsid w:val="00F25669"/>
    <w:rsid w:val="00F25C92"/>
    <w:rsid w:val="00F27484"/>
    <w:rsid w:val="00F3444F"/>
    <w:rsid w:val="00F368B8"/>
    <w:rsid w:val="00F4059B"/>
    <w:rsid w:val="00F4763F"/>
    <w:rsid w:val="00F51EDA"/>
    <w:rsid w:val="00F558B6"/>
    <w:rsid w:val="00F56B75"/>
    <w:rsid w:val="00F6052E"/>
    <w:rsid w:val="00F622A1"/>
    <w:rsid w:val="00F70C03"/>
    <w:rsid w:val="00F84802"/>
    <w:rsid w:val="00F9084A"/>
    <w:rsid w:val="00F93629"/>
    <w:rsid w:val="00FB6E40"/>
    <w:rsid w:val="00FC307F"/>
    <w:rsid w:val="00FC7A1D"/>
    <w:rsid w:val="00FD097A"/>
    <w:rsid w:val="00FD1CCB"/>
    <w:rsid w:val="00FD4170"/>
    <w:rsid w:val="00FD7649"/>
    <w:rsid w:val="00FD7A7E"/>
    <w:rsid w:val="00FD7E66"/>
    <w:rsid w:val="00FF25F0"/>
    <w:rsid w:val="00FF7D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B3003C1"/>
  <w15:docId w15:val="{517DBA7B-C563-4321-8A89-55E0E4354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en-US" w:eastAsia="en-US" w:bidi="en-US"/>
      </w:rPr>
    </w:rPrDefault>
    <w:pPrDefault>
      <w:pPr>
        <w:spacing w:before="120" w:line="271" w:lineRule="auto"/>
      </w:pPr>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uiPriority="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9" w:unhideWhenUsed="1"/>
    <w:lsdException w:name="index 2" w:semiHidden="1" w:uiPriority="9" w:unhideWhenUsed="1"/>
    <w:lsdException w:name="index 3" w:semiHidden="1" w:uiPriority="9" w:unhideWhenUsed="1"/>
    <w:lsdException w:name="index 4" w:semiHidden="1" w:uiPriority="9" w:unhideWhenUsed="1"/>
    <w:lsdException w:name="index 5" w:semiHidden="1" w:uiPriority="9" w:unhideWhenUsed="1"/>
    <w:lsdException w:name="index 6" w:semiHidden="1" w:uiPriority="9" w:unhideWhenUsed="1"/>
    <w:lsdException w:name="index 7" w:semiHidden="1" w:uiPriority="9" w:unhideWhenUsed="1"/>
    <w:lsdException w:name="index 8" w:semiHidden="1" w:uiPriority="9" w:unhideWhenUsed="1"/>
    <w:lsdException w:name="index 9" w:semiHidden="1" w:uiPriority="9"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iPriority="9" w:unhideWhenUsed="1"/>
    <w:lsdException w:name="caption"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qFormat="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 w:qFormat="1"/>
    <w:lsdException w:name="Subtle Reference" w:uiPriority="33"/>
    <w:lsdException w:name="Intense Reference" w:uiPriority="34"/>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87693"/>
    <w:pPr>
      <w:spacing w:before="200" w:after="200"/>
    </w:pPr>
  </w:style>
  <w:style w:type="paragraph" w:styleId="Heading1">
    <w:name w:val="heading 1"/>
    <w:next w:val="Normal"/>
    <w:link w:val="Heading1Char"/>
    <w:uiPriority w:val="1"/>
    <w:qFormat/>
    <w:rsid w:val="007124DA"/>
    <w:pPr>
      <w:keepNext/>
      <w:keepLines/>
      <w:tabs>
        <w:tab w:val="left" w:pos="3345"/>
      </w:tabs>
      <w:spacing w:before="240" w:after="120"/>
      <w:jc w:val="right"/>
      <w:outlineLvl w:val="0"/>
    </w:pPr>
    <w:rPr>
      <w:b/>
      <w:color w:val="003865"/>
      <w:sz w:val="48"/>
      <w:szCs w:val="48"/>
    </w:rPr>
  </w:style>
  <w:style w:type="paragraph" w:styleId="Heading2">
    <w:name w:val="heading 2"/>
    <w:next w:val="Normal"/>
    <w:link w:val="Heading2Char"/>
    <w:uiPriority w:val="1"/>
    <w:qFormat/>
    <w:rsid w:val="00324E7E"/>
    <w:pPr>
      <w:keepNext/>
      <w:keepLines/>
      <w:spacing w:before="360" w:after="240"/>
      <w:outlineLvl w:val="1"/>
    </w:pPr>
    <w:rPr>
      <w:rFonts w:asciiTheme="minorHAnsi" w:eastAsiaTheme="majorEastAsia" w:hAnsiTheme="minorHAnsi" w:cstheme="majorBidi"/>
      <w:b/>
      <w:color w:val="003865" w:themeColor="accent1"/>
      <w:sz w:val="32"/>
      <w:szCs w:val="32"/>
    </w:rPr>
  </w:style>
  <w:style w:type="paragraph" w:styleId="Heading3">
    <w:name w:val="heading 3"/>
    <w:next w:val="Normal"/>
    <w:link w:val="Heading3Char"/>
    <w:uiPriority w:val="1"/>
    <w:qFormat/>
    <w:rsid w:val="00624CFF"/>
    <w:pPr>
      <w:keepNext/>
      <w:spacing w:before="240" w:after="120"/>
      <w:outlineLvl w:val="2"/>
    </w:pPr>
    <w:rPr>
      <w:rFonts w:asciiTheme="minorHAnsi" w:eastAsiaTheme="majorEastAsia" w:hAnsiTheme="minorHAnsi" w:cs="Arial"/>
      <w:b/>
      <w:color w:val="003865" w:themeColor="accent1"/>
      <w:sz w:val="26"/>
      <w:szCs w:val="24"/>
    </w:rPr>
  </w:style>
  <w:style w:type="paragraph" w:styleId="Heading4">
    <w:name w:val="heading 4"/>
    <w:next w:val="Normal"/>
    <w:link w:val="Heading4Char"/>
    <w:uiPriority w:val="1"/>
    <w:qFormat/>
    <w:rsid w:val="00324E7E"/>
    <w:pPr>
      <w:keepNext/>
      <w:spacing w:before="240" w:after="120"/>
      <w:outlineLvl w:val="3"/>
    </w:pPr>
    <w:rPr>
      <w:rFonts w:eastAsiaTheme="majorEastAsia" w:cstheme="majorBidi"/>
      <w:i/>
      <w:sz w:val="24"/>
      <w:szCs w:val="24"/>
    </w:rPr>
  </w:style>
  <w:style w:type="paragraph" w:styleId="Heading5">
    <w:name w:val="heading 5"/>
    <w:basedOn w:val="Normal"/>
    <w:next w:val="Normal"/>
    <w:link w:val="Heading5Char"/>
    <w:uiPriority w:val="1"/>
    <w:unhideWhenUsed/>
    <w:rsid w:val="00DB0BE6"/>
    <w:pPr>
      <w:keepNext/>
      <w:keepLines/>
      <w:spacing w:before="240" w:after="120"/>
      <w:outlineLvl w:val="4"/>
    </w:pPr>
    <w:rPr>
      <w:rFonts w:asciiTheme="majorHAnsi" w:eastAsiaTheme="majorEastAsia" w:hAnsiTheme="majorHAnsi" w:cstheme="majorBidi"/>
      <w:b/>
      <w:color w:val="000000" w:themeColor="text2"/>
    </w:rPr>
  </w:style>
  <w:style w:type="paragraph" w:styleId="Heading6">
    <w:name w:val="heading 6"/>
    <w:basedOn w:val="Normal"/>
    <w:next w:val="Normal"/>
    <w:link w:val="Heading6Char"/>
    <w:uiPriority w:val="1"/>
    <w:unhideWhenUsed/>
    <w:rsid w:val="00DB0BE6"/>
    <w:pPr>
      <w:keepNext/>
      <w:keepLines/>
      <w:spacing w:before="240" w:after="120"/>
      <w:outlineLvl w:val="5"/>
    </w:pPr>
    <w:rPr>
      <w:rFonts w:asciiTheme="majorHAnsi" w:eastAsiaTheme="majorEastAsia" w:hAnsiTheme="majorHAnsi" w:cstheme="majorBidi"/>
      <w:i/>
      <w:iCs/>
      <w:color w:val="000000" w:themeColor="text2"/>
    </w:rPr>
  </w:style>
  <w:style w:type="paragraph" w:styleId="Heading7">
    <w:name w:val="heading 7"/>
    <w:basedOn w:val="Normal"/>
    <w:next w:val="Normal"/>
    <w:link w:val="Heading7Char"/>
    <w:uiPriority w:val="1"/>
    <w:semiHidden/>
    <w:unhideWhenUsed/>
    <w:qFormat/>
    <w:rsid w:val="001E5ECF"/>
    <w:pPr>
      <w:keepNext/>
      <w:keepLines/>
      <w:outlineLvl w:val="6"/>
    </w:pPr>
    <w:rPr>
      <w:rFonts w:asciiTheme="majorHAnsi" w:eastAsiaTheme="majorEastAsia" w:hAnsiTheme="majorHAnsi" w:cstheme="majorBidi"/>
      <w:i/>
      <w:iCs/>
      <w:color w:val="0070CB" w:themeColor="text1" w:themeTint="BF"/>
    </w:rPr>
  </w:style>
  <w:style w:type="paragraph" w:styleId="Heading8">
    <w:name w:val="heading 8"/>
    <w:basedOn w:val="Normal"/>
    <w:next w:val="Normal"/>
    <w:link w:val="Heading8Char"/>
    <w:uiPriority w:val="1"/>
    <w:semiHidden/>
    <w:unhideWhenUsed/>
    <w:qFormat/>
    <w:rsid w:val="001E5ECF"/>
    <w:pPr>
      <w:keepNext/>
      <w:keepLines/>
      <w:outlineLvl w:val="7"/>
    </w:pPr>
    <w:rPr>
      <w:rFonts w:asciiTheme="majorHAnsi" w:eastAsiaTheme="majorEastAsia" w:hAnsiTheme="majorHAnsi" w:cstheme="majorBidi"/>
      <w:color w:val="0070CB" w:themeColor="text1" w:themeTint="BF"/>
    </w:rPr>
  </w:style>
  <w:style w:type="paragraph" w:styleId="Heading9">
    <w:name w:val="heading 9"/>
    <w:basedOn w:val="Normal"/>
    <w:next w:val="Normal"/>
    <w:link w:val="Heading9Char"/>
    <w:uiPriority w:val="1"/>
    <w:semiHidden/>
    <w:unhideWhenUsed/>
    <w:qFormat/>
    <w:rsid w:val="001E5ECF"/>
    <w:pPr>
      <w:keepNext/>
      <w:keepLines/>
      <w:outlineLvl w:val="8"/>
    </w:pPr>
    <w:rPr>
      <w:rFonts w:asciiTheme="majorHAnsi" w:eastAsiaTheme="majorEastAsia" w:hAnsiTheme="majorHAnsi" w:cstheme="majorBidi"/>
      <w:i/>
      <w:iCs/>
      <w:color w:val="0070CB"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124DA"/>
    <w:rPr>
      <w:b/>
      <w:color w:val="003865"/>
      <w:sz w:val="48"/>
      <w:szCs w:val="48"/>
    </w:rPr>
  </w:style>
  <w:style w:type="character" w:customStyle="1" w:styleId="Heading2Char">
    <w:name w:val="Heading 2 Char"/>
    <w:basedOn w:val="DefaultParagraphFont"/>
    <w:link w:val="Heading2"/>
    <w:uiPriority w:val="1"/>
    <w:rsid w:val="00324E7E"/>
    <w:rPr>
      <w:rFonts w:asciiTheme="minorHAnsi" w:eastAsiaTheme="majorEastAsia" w:hAnsiTheme="minorHAnsi" w:cstheme="majorBidi"/>
      <w:b/>
      <w:color w:val="003865" w:themeColor="accent1"/>
      <w:sz w:val="32"/>
      <w:szCs w:val="32"/>
    </w:rPr>
  </w:style>
  <w:style w:type="character" w:customStyle="1" w:styleId="Heading3Char">
    <w:name w:val="Heading 3 Char"/>
    <w:basedOn w:val="DefaultParagraphFont"/>
    <w:link w:val="Heading3"/>
    <w:uiPriority w:val="1"/>
    <w:rsid w:val="00624CFF"/>
    <w:rPr>
      <w:rFonts w:asciiTheme="minorHAnsi" w:eastAsiaTheme="majorEastAsia" w:hAnsiTheme="minorHAnsi" w:cs="Arial"/>
      <w:b/>
      <w:color w:val="003865" w:themeColor="accent1"/>
      <w:sz w:val="26"/>
      <w:szCs w:val="24"/>
    </w:rPr>
  </w:style>
  <w:style w:type="character" w:customStyle="1" w:styleId="Heading4Char">
    <w:name w:val="Heading 4 Char"/>
    <w:basedOn w:val="DefaultParagraphFont"/>
    <w:link w:val="Heading4"/>
    <w:uiPriority w:val="1"/>
    <w:rsid w:val="00324E7E"/>
    <w:rPr>
      <w:rFonts w:eastAsiaTheme="majorEastAsia" w:cstheme="majorBidi"/>
      <w:i/>
      <w:sz w:val="24"/>
      <w:szCs w:val="24"/>
    </w:rPr>
  </w:style>
  <w:style w:type="character" w:customStyle="1" w:styleId="Heading5Char">
    <w:name w:val="Heading 5 Char"/>
    <w:basedOn w:val="DefaultParagraphFont"/>
    <w:link w:val="Heading5"/>
    <w:uiPriority w:val="1"/>
    <w:rsid w:val="00DB0BE6"/>
    <w:rPr>
      <w:rFonts w:asciiTheme="majorHAnsi" w:eastAsiaTheme="majorEastAsia" w:hAnsiTheme="majorHAnsi" w:cstheme="majorBidi"/>
      <w:b/>
      <w:color w:val="000000" w:themeColor="text2"/>
    </w:rPr>
  </w:style>
  <w:style w:type="character" w:customStyle="1" w:styleId="Heading6Char">
    <w:name w:val="Heading 6 Char"/>
    <w:basedOn w:val="DefaultParagraphFont"/>
    <w:link w:val="Heading6"/>
    <w:uiPriority w:val="1"/>
    <w:rsid w:val="00DB0BE6"/>
    <w:rPr>
      <w:rFonts w:asciiTheme="majorHAnsi" w:eastAsiaTheme="majorEastAsia" w:hAnsiTheme="majorHAnsi" w:cstheme="majorBidi"/>
      <w:i/>
      <w:iCs/>
      <w:color w:val="000000" w:themeColor="text2"/>
    </w:rPr>
  </w:style>
  <w:style w:type="character" w:customStyle="1" w:styleId="Heading7Char">
    <w:name w:val="Heading 7 Char"/>
    <w:basedOn w:val="DefaultParagraphFont"/>
    <w:link w:val="Heading7"/>
    <w:uiPriority w:val="1"/>
    <w:semiHidden/>
    <w:rsid w:val="008D5E3D"/>
    <w:rPr>
      <w:rFonts w:asciiTheme="majorHAnsi" w:eastAsiaTheme="majorEastAsia" w:hAnsiTheme="majorHAnsi" w:cstheme="majorBidi"/>
      <w:i/>
      <w:iCs/>
      <w:color w:val="0070CB" w:themeColor="text1" w:themeTint="BF"/>
    </w:rPr>
  </w:style>
  <w:style w:type="character" w:customStyle="1" w:styleId="Heading8Char">
    <w:name w:val="Heading 8 Char"/>
    <w:basedOn w:val="DefaultParagraphFont"/>
    <w:link w:val="Heading8"/>
    <w:uiPriority w:val="1"/>
    <w:semiHidden/>
    <w:rsid w:val="008D5E3D"/>
    <w:rPr>
      <w:rFonts w:asciiTheme="majorHAnsi" w:eastAsiaTheme="majorEastAsia" w:hAnsiTheme="majorHAnsi" w:cstheme="majorBidi"/>
      <w:color w:val="0070CB" w:themeColor="text1" w:themeTint="BF"/>
    </w:rPr>
  </w:style>
  <w:style w:type="character" w:customStyle="1" w:styleId="Heading9Char">
    <w:name w:val="Heading 9 Char"/>
    <w:basedOn w:val="DefaultParagraphFont"/>
    <w:link w:val="Heading9"/>
    <w:uiPriority w:val="1"/>
    <w:semiHidden/>
    <w:rsid w:val="008D5E3D"/>
    <w:rPr>
      <w:rFonts w:asciiTheme="majorHAnsi" w:eastAsiaTheme="majorEastAsia" w:hAnsiTheme="majorHAnsi" w:cstheme="majorBidi"/>
      <w:i/>
      <w:iCs/>
      <w:color w:val="0070CB" w:themeColor="text1" w:themeTint="BF"/>
    </w:rPr>
  </w:style>
  <w:style w:type="paragraph" w:customStyle="1" w:styleId="NoParagraphStyle">
    <w:name w:val="[No Paragraph Style]"/>
    <w:semiHidden/>
    <w:rsid w:val="001E5ECF"/>
    <w:pPr>
      <w:autoSpaceDE w:val="0"/>
      <w:autoSpaceDN w:val="0"/>
      <w:adjustRightInd w:val="0"/>
      <w:spacing w:line="288" w:lineRule="auto"/>
      <w:textAlignment w:val="center"/>
    </w:pPr>
    <w:rPr>
      <w:rFonts w:ascii="Century Gothic" w:hAnsi="Century Gothic"/>
      <w:color w:val="000000"/>
      <w:sz w:val="24"/>
      <w:szCs w:val="24"/>
      <w:lang w:bidi="ar-SA"/>
    </w:rPr>
  </w:style>
  <w:style w:type="paragraph" w:customStyle="1" w:styleId="BasicParagraph">
    <w:name w:val="[Basic Paragraph]"/>
    <w:basedOn w:val="NoParagraphStyle"/>
    <w:uiPriority w:val="99"/>
    <w:semiHidden/>
    <w:rsid w:val="001E5ECF"/>
    <w:pPr>
      <w:spacing w:line="250" w:lineRule="atLeast"/>
    </w:pPr>
    <w:rPr>
      <w:rFonts w:ascii="Adobe Caslon Pro" w:hAnsi="Adobe Caslon Pro" w:cs="Adobe Caslon Pro"/>
      <w:sz w:val="22"/>
      <w:szCs w:val="22"/>
    </w:rPr>
  </w:style>
  <w:style w:type="character" w:styleId="Emphasis">
    <w:name w:val="Emphasis"/>
    <w:uiPriority w:val="2"/>
    <w:qFormat/>
    <w:rsid w:val="00324E7E"/>
    <w:rPr>
      <w:i/>
    </w:rPr>
  </w:style>
  <w:style w:type="character" w:styleId="FootnoteReference">
    <w:name w:val="footnote reference"/>
    <w:basedOn w:val="DefaultParagraphFont"/>
    <w:uiPriority w:val="99"/>
    <w:semiHidden/>
    <w:rsid w:val="001E5ECF"/>
    <w:rPr>
      <w:vertAlign w:val="superscript"/>
    </w:rPr>
  </w:style>
  <w:style w:type="paragraph" w:styleId="FootnoteText">
    <w:name w:val="footnote text"/>
    <w:basedOn w:val="Normal"/>
    <w:link w:val="FootnoteTextChar"/>
    <w:uiPriority w:val="99"/>
    <w:semiHidden/>
    <w:rsid w:val="001E5ECF"/>
    <w:pPr>
      <w:spacing w:before="0" w:line="240" w:lineRule="auto"/>
    </w:pPr>
  </w:style>
  <w:style w:type="character" w:customStyle="1" w:styleId="FootnoteTextChar">
    <w:name w:val="Footnote Text Char"/>
    <w:basedOn w:val="DefaultParagraphFont"/>
    <w:link w:val="FootnoteText"/>
    <w:uiPriority w:val="99"/>
    <w:semiHidden/>
    <w:rsid w:val="006C0E45"/>
    <w:rPr>
      <w:rFonts w:ascii="Arial" w:hAnsi="Arial"/>
      <w:sz w:val="20"/>
    </w:rPr>
  </w:style>
  <w:style w:type="character" w:styleId="Hyperlink">
    <w:name w:val="Hyperlink"/>
    <w:basedOn w:val="DefaultParagraphFont"/>
    <w:uiPriority w:val="99"/>
    <w:rsid w:val="001E5ECF"/>
    <w:rPr>
      <w:color w:val="0563C1" w:themeColor="hyperlink"/>
      <w:u w:val="single"/>
    </w:rPr>
  </w:style>
  <w:style w:type="character" w:styleId="IntenseEmphasis">
    <w:name w:val="Intense Emphasis"/>
    <w:basedOn w:val="DefaultParagraphFont"/>
    <w:uiPriority w:val="2"/>
    <w:qFormat/>
    <w:rsid w:val="00324E7E"/>
    <w:rPr>
      <w:b/>
      <w:i/>
      <w:iCs/>
      <w:color w:val="auto"/>
    </w:rPr>
  </w:style>
  <w:style w:type="paragraph" w:styleId="IntenseQuote">
    <w:name w:val="Intense Quote"/>
    <w:basedOn w:val="Normal"/>
    <w:next w:val="Normal"/>
    <w:link w:val="IntenseQuoteChar"/>
    <w:uiPriority w:val="30"/>
    <w:qFormat/>
    <w:rsid w:val="0034728D"/>
    <w:pPr>
      <w:spacing w:before="360" w:after="360"/>
      <w:ind w:left="864" w:right="864"/>
      <w:jc w:val="center"/>
    </w:pPr>
    <w:rPr>
      <w:rFonts w:asciiTheme="minorHAnsi" w:hAnsiTheme="minorHAnsi"/>
      <w:i/>
      <w:iCs/>
      <w:color w:val="003865" w:themeColor="accent1"/>
      <w:sz w:val="26"/>
      <w:lang w:bidi="ar-SA"/>
    </w:rPr>
  </w:style>
  <w:style w:type="character" w:customStyle="1" w:styleId="IntenseQuoteChar">
    <w:name w:val="Intense Quote Char"/>
    <w:basedOn w:val="DefaultParagraphFont"/>
    <w:link w:val="IntenseQuote"/>
    <w:uiPriority w:val="30"/>
    <w:rsid w:val="0034728D"/>
    <w:rPr>
      <w:rFonts w:asciiTheme="minorHAnsi" w:hAnsiTheme="minorHAnsi"/>
      <w:i/>
      <w:iCs/>
      <w:color w:val="003865" w:themeColor="accent1"/>
      <w:sz w:val="26"/>
      <w:lang w:bidi="ar-SA"/>
    </w:rPr>
  </w:style>
  <w:style w:type="paragraph" w:styleId="ListNumber">
    <w:name w:val="List Number"/>
    <w:basedOn w:val="Normal"/>
    <w:semiHidden/>
    <w:rsid w:val="00D247F6"/>
    <w:pPr>
      <w:numPr>
        <w:numId w:val="1"/>
      </w:numPr>
    </w:pPr>
  </w:style>
  <w:style w:type="paragraph" w:styleId="Quote">
    <w:name w:val="Quote"/>
    <w:basedOn w:val="Normal"/>
    <w:next w:val="Normal"/>
    <w:link w:val="QuoteChar"/>
    <w:uiPriority w:val="29"/>
    <w:qFormat/>
    <w:rsid w:val="00324E7E"/>
    <w:pPr>
      <w:spacing w:after="160"/>
      <w:ind w:left="864" w:right="864"/>
      <w:jc w:val="center"/>
    </w:pPr>
    <w:rPr>
      <w:rFonts w:asciiTheme="minorHAnsi" w:hAnsiTheme="minorHAnsi"/>
      <w:i/>
      <w:iCs/>
      <w:lang w:bidi="ar-SA"/>
    </w:rPr>
  </w:style>
  <w:style w:type="character" w:customStyle="1" w:styleId="QuoteChar">
    <w:name w:val="Quote Char"/>
    <w:basedOn w:val="DefaultParagraphFont"/>
    <w:link w:val="Quote"/>
    <w:uiPriority w:val="29"/>
    <w:rsid w:val="00324E7E"/>
    <w:rPr>
      <w:rFonts w:asciiTheme="minorHAnsi" w:hAnsiTheme="minorHAnsi"/>
      <w:i/>
      <w:iCs/>
      <w:lang w:bidi="ar-SA"/>
    </w:rPr>
  </w:style>
  <w:style w:type="character" w:styleId="Strong">
    <w:name w:val="Strong"/>
    <w:uiPriority w:val="22"/>
    <w:qFormat/>
    <w:rsid w:val="001E5ECF"/>
    <w:rPr>
      <w:b/>
      <w:bCs/>
    </w:rPr>
  </w:style>
  <w:style w:type="paragraph" w:customStyle="1" w:styleId="TitleTitleandSubtitles">
    <w:name w:val="Title (Title and Subtitles)"/>
    <w:basedOn w:val="Normal"/>
    <w:uiPriority w:val="99"/>
    <w:semiHidden/>
    <w:rsid w:val="001E5ECF"/>
    <w:pPr>
      <w:autoSpaceDE w:val="0"/>
      <w:autoSpaceDN w:val="0"/>
      <w:adjustRightInd w:val="0"/>
      <w:spacing w:before="60" w:line="560" w:lineRule="atLeast"/>
      <w:textAlignment w:val="center"/>
    </w:pPr>
    <w:rPr>
      <w:rFonts w:ascii="Century Gothic" w:hAnsi="Century Gothic" w:cs="Century Gothic"/>
      <w:caps/>
      <w:color w:val="12457A"/>
      <w:spacing w:val="10"/>
      <w:w w:val="90"/>
      <w:sz w:val="44"/>
      <w:szCs w:val="44"/>
    </w:rPr>
  </w:style>
  <w:style w:type="paragraph" w:customStyle="1" w:styleId="SubtitleTitleandSubtitles">
    <w:name w:val="Subtitle (Title and Subtitles)"/>
    <w:basedOn w:val="TitleTitleandSubtitles"/>
    <w:uiPriority w:val="99"/>
    <w:semiHidden/>
    <w:rsid w:val="001E5ECF"/>
    <w:pPr>
      <w:spacing w:line="300" w:lineRule="atLeast"/>
    </w:pPr>
    <w:rPr>
      <w:caps w:val="0"/>
      <w:color w:val="694C37"/>
      <w:spacing w:val="7"/>
      <w:sz w:val="24"/>
      <w:szCs w:val="24"/>
    </w:rPr>
  </w:style>
  <w:style w:type="table" w:styleId="TableGrid">
    <w:name w:val="Table Grid"/>
    <w:basedOn w:val="TableNormal"/>
    <w:uiPriority w:val="59"/>
    <w:rsid w:val="001E5ECF"/>
    <w:tblPr>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Pr>
  </w:style>
  <w:style w:type="table" w:styleId="TableGrid8">
    <w:name w:val="Table Grid 8"/>
    <w:basedOn w:val="TableNormal"/>
    <w:rsid w:val="001E5ECF"/>
    <w:pPr>
      <w:spacing w:line="240" w:lineRule="auto"/>
    </w:pPr>
    <w:rPr>
      <w:rFonts w:ascii="Times New Roman" w:hAnsi="Times New Roman"/>
      <w:lang w:bidi="ar-S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
    <w:name w:val="Table Grid1"/>
    <w:basedOn w:val="TableNormal"/>
    <w:uiPriority w:val="59"/>
    <w:locked/>
    <w:rsid w:val="00930899"/>
    <w:pPr>
      <w:spacing w:line="240" w:lineRule="auto"/>
    </w:pPr>
    <w:rPr>
      <w:szCs w:val="20"/>
    </w:r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pPr>
        <w:jc w:val="center"/>
      </w:pPr>
      <w:rPr>
        <w:rFonts w:ascii="Calibri" w:hAnsi="Calibri"/>
        <w:b/>
        <w:sz w:val="22"/>
      </w:rPr>
      <w:tblPr/>
      <w:tcPr>
        <w:shd w:val="clear" w:color="auto" w:fill="D9D9D9" w:themeFill="background1" w:themeFillShade="D9"/>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F2F2F2" w:themeFill="background1" w:themeFillShade="F2"/>
      </w:tcPr>
    </w:tblStylePr>
    <w:tblStylePr w:type="band2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FFFFFF" w:themeFill="background1"/>
      </w:tcPr>
    </w:tblStylePr>
  </w:style>
  <w:style w:type="paragraph" w:styleId="Footer">
    <w:name w:val="footer"/>
    <w:link w:val="FooterChar"/>
    <w:uiPriority w:val="99"/>
    <w:qFormat/>
    <w:rsid w:val="00324E7E"/>
    <w:pPr>
      <w:tabs>
        <w:tab w:val="right" w:pos="10080"/>
      </w:tabs>
      <w:spacing w:before="0" w:line="336" w:lineRule="auto"/>
    </w:pPr>
  </w:style>
  <w:style w:type="character" w:customStyle="1" w:styleId="FooterChar">
    <w:name w:val="Footer Char"/>
    <w:basedOn w:val="DefaultParagraphFont"/>
    <w:link w:val="Footer"/>
    <w:uiPriority w:val="99"/>
    <w:rsid w:val="00324E7E"/>
  </w:style>
  <w:style w:type="paragraph" w:customStyle="1" w:styleId="Boldcharacter">
    <w:name w:val="Bold character"/>
    <w:basedOn w:val="Normal"/>
    <w:link w:val="BoldcharacterChar"/>
    <w:autoRedefine/>
    <w:semiHidden/>
    <w:qFormat/>
    <w:rsid w:val="002F1947"/>
    <w:pPr>
      <w:spacing w:line="280" w:lineRule="exact"/>
      <w:contextualSpacing/>
    </w:pPr>
    <w:rPr>
      <w:b/>
      <w:lang w:val="en-GB"/>
    </w:rPr>
  </w:style>
  <w:style w:type="character" w:customStyle="1" w:styleId="BoldcharacterChar">
    <w:name w:val="Bold character Char"/>
    <w:basedOn w:val="DefaultParagraphFont"/>
    <w:link w:val="Boldcharacter"/>
    <w:semiHidden/>
    <w:rsid w:val="002F1947"/>
    <w:rPr>
      <w:b/>
      <w:sz w:val="22"/>
      <w:szCs w:val="22"/>
      <w:lang w:val="en-GB"/>
    </w:rPr>
  </w:style>
  <w:style w:type="paragraph" w:customStyle="1" w:styleId="BodytextClosingname">
    <w:name w:val="Body text Closing name"/>
    <w:basedOn w:val="Normal"/>
    <w:semiHidden/>
    <w:qFormat/>
    <w:rsid w:val="002F1947"/>
    <w:pPr>
      <w:spacing w:before="1080" w:after="240"/>
      <w:contextualSpacing/>
    </w:pPr>
  </w:style>
  <w:style w:type="paragraph" w:customStyle="1" w:styleId="BodytextDate">
    <w:name w:val="Body text Date"/>
    <w:basedOn w:val="Normal"/>
    <w:semiHidden/>
    <w:qFormat/>
    <w:rsid w:val="002F1947"/>
    <w:pPr>
      <w:spacing w:before="0" w:after="480"/>
      <w:contextualSpacing/>
    </w:pPr>
  </w:style>
  <w:style w:type="paragraph" w:customStyle="1" w:styleId="BodytextSalutation">
    <w:name w:val="Body text Salutation"/>
    <w:basedOn w:val="Normal"/>
    <w:semiHidden/>
    <w:qFormat/>
    <w:rsid w:val="002F1947"/>
    <w:pPr>
      <w:spacing w:before="480" w:after="240"/>
      <w:contextualSpacing/>
    </w:pPr>
  </w:style>
  <w:style w:type="paragraph" w:styleId="Closing">
    <w:name w:val="Closing"/>
    <w:basedOn w:val="Normal"/>
    <w:link w:val="ClosingChar"/>
    <w:semiHidden/>
    <w:qFormat/>
    <w:rsid w:val="002F1947"/>
    <w:pPr>
      <w:spacing w:before="240"/>
    </w:pPr>
  </w:style>
  <w:style w:type="character" w:customStyle="1" w:styleId="ClosingChar">
    <w:name w:val="Closing Char"/>
    <w:basedOn w:val="DefaultParagraphFont"/>
    <w:link w:val="Closing"/>
    <w:semiHidden/>
    <w:rsid w:val="002F1947"/>
    <w:rPr>
      <w:sz w:val="22"/>
    </w:rPr>
  </w:style>
  <w:style w:type="paragraph" w:styleId="BodyText3">
    <w:name w:val="Body Text 3"/>
    <w:link w:val="BodyText3Char"/>
    <w:semiHidden/>
    <w:qFormat/>
    <w:rsid w:val="002F1947"/>
    <w:pPr>
      <w:widowControl w:val="0"/>
    </w:pPr>
    <w:rPr>
      <w:sz w:val="16"/>
      <w:szCs w:val="16"/>
    </w:rPr>
  </w:style>
  <w:style w:type="character" w:customStyle="1" w:styleId="BodyText3Char">
    <w:name w:val="Body Text 3 Char"/>
    <w:basedOn w:val="DefaultParagraphFont"/>
    <w:link w:val="BodyText3"/>
    <w:semiHidden/>
    <w:rsid w:val="002F1947"/>
    <w:rPr>
      <w:sz w:val="16"/>
      <w:szCs w:val="16"/>
    </w:rPr>
  </w:style>
  <w:style w:type="paragraph" w:styleId="BalloonText">
    <w:name w:val="Balloon Text"/>
    <w:basedOn w:val="Normal"/>
    <w:link w:val="BalloonTextChar"/>
    <w:semiHidden/>
    <w:rsid w:val="000F4BB1"/>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0F4BB1"/>
    <w:rPr>
      <w:rFonts w:ascii="Tahoma" w:hAnsi="Tahoma" w:cs="Tahoma"/>
      <w:sz w:val="16"/>
      <w:szCs w:val="16"/>
    </w:rPr>
  </w:style>
  <w:style w:type="character" w:styleId="PlaceholderText">
    <w:name w:val="Placeholder Text"/>
    <w:basedOn w:val="DefaultParagraphFont"/>
    <w:uiPriority w:val="99"/>
    <w:semiHidden/>
    <w:rsid w:val="00E76267"/>
    <w:rPr>
      <w:color w:val="808080"/>
    </w:rPr>
  </w:style>
  <w:style w:type="paragraph" w:styleId="NormalWeb">
    <w:name w:val="Normal (Web)"/>
    <w:basedOn w:val="Normal"/>
    <w:uiPriority w:val="99"/>
    <w:unhideWhenUsed/>
    <w:rsid w:val="00963BA0"/>
    <w:pPr>
      <w:spacing w:before="100" w:beforeAutospacing="1" w:after="100" w:afterAutospacing="1" w:line="240" w:lineRule="auto"/>
    </w:pPr>
    <w:rPr>
      <w:rFonts w:ascii="Times New Roman" w:hAnsi="Times New Roman"/>
      <w:sz w:val="24"/>
      <w:szCs w:val="24"/>
      <w:lang w:bidi="ar-SA"/>
    </w:rPr>
  </w:style>
  <w:style w:type="paragraph" w:styleId="ListParagraph">
    <w:name w:val="List Paragraph"/>
    <w:basedOn w:val="Normal"/>
    <w:uiPriority w:val="34"/>
    <w:qFormat/>
    <w:rsid w:val="00324E7E"/>
    <w:pPr>
      <w:numPr>
        <w:numId w:val="2"/>
      </w:numPr>
      <w:contextualSpacing/>
    </w:pPr>
  </w:style>
  <w:style w:type="table" w:styleId="PlainTable1">
    <w:name w:val="Plain Table 1"/>
    <w:aliases w:val="Light Gray Table"/>
    <w:basedOn w:val="TableNormal"/>
    <w:uiPriority w:val="41"/>
    <w:rsid w:val="001C55E0"/>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Caption">
    <w:name w:val="caption"/>
    <w:basedOn w:val="Normal"/>
    <w:next w:val="Normal"/>
    <w:uiPriority w:val="29"/>
    <w:qFormat/>
    <w:rsid w:val="008533D4"/>
    <w:pPr>
      <w:spacing w:after="400" w:line="240" w:lineRule="auto"/>
    </w:pPr>
    <w:rPr>
      <w:iCs/>
      <w:color w:val="000000" w:themeColor="text2"/>
      <w:sz w:val="20"/>
      <w:szCs w:val="20"/>
    </w:rPr>
  </w:style>
  <w:style w:type="paragraph" w:styleId="Header">
    <w:name w:val="header"/>
    <w:basedOn w:val="Normal"/>
    <w:link w:val="HeaderChar"/>
    <w:uiPriority w:val="99"/>
    <w:unhideWhenUsed/>
    <w:rsid w:val="00B545E5"/>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B545E5"/>
  </w:style>
  <w:style w:type="character" w:styleId="FollowedHyperlink">
    <w:name w:val="FollowedHyperlink"/>
    <w:basedOn w:val="DefaultParagraphFont"/>
    <w:semiHidden/>
    <w:unhideWhenUsed/>
    <w:rsid w:val="00003C92"/>
    <w:rPr>
      <w:color w:val="5D295F" w:themeColor="followedHyperlink"/>
      <w:u w:val="single"/>
    </w:rPr>
  </w:style>
  <w:style w:type="paragraph" w:styleId="BodyText">
    <w:name w:val="Body Text"/>
    <w:basedOn w:val="Normal"/>
    <w:link w:val="BodyTextChar"/>
    <w:unhideWhenUsed/>
    <w:rsid w:val="00003C92"/>
    <w:pPr>
      <w:spacing w:after="120"/>
    </w:pPr>
  </w:style>
  <w:style w:type="character" w:customStyle="1" w:styleId="BodyTextChar">
    <w:name w:val="Body Text Char"/>
    <w:basedOn w:val="DefaultParagraphFont"/>
    <w:link w:val="BodyText"/>
    <w:rsid w:val="00003C92"/>
  </w:style>
  <w:style w:type="paragraph" w:customStyle="1" w:styleId="TableH1">
    <w:name w:val="Table H1"/>
    <w:next w:val="BodyText"/>
    <w:link w:val="TableH1Char"/>
    <w:uiPriority w:val="4"/>
    <w:qFormat/>
    <w:rsid w:val="00003C92"/>
    <w:pPr>
      <w:spacing w:before="60" w:after="60" w:line="240" w:lineRule="auto"/>
      <w:jc w:val="center"/>
    </w:pPr>
    <w:rPr>
      <w:rFonts w:asciiTheme="minorHAnsi" w:eastAsiaTheme="majorEastAsia" w:hAnsiTheme="minorHAnsi" w:cstheme="majorBidi"/>
      <w:b/>
      <w:bCs/>
      <w:szCs w:val="32"/>
    </w:rPr>
  </w:style>
  <w:style w:type="character" w:customStyle="1" w:styleId="TableH1Char">
    <w:name w:val="Table H1 Char"/>
    <w:basedOn w:val="DefaultParagraphFont"/>
    <w:link w:val="TableH1"/>
    <w:uiPriority w:val="4"/>
    <w:rsid w:val="00003C92"/>
    <w:rPr>
      <w:rFonts w:asciiTheme="minorHAnsi" w:eastAsiaTheme="majorEastAsia" w:hAnsiTheme="minorHAnsi" w:cstheme="majorBidi"/>
      <w:b/>
      <w:bCs/>
      <w:szCs w:val="32"/>
    </w:rPr>
  </w:style>
  <w:style w:type="paragraph" w:styleId="NoSpacing">
    <w:name w:val="No Spacing"/>
    <w:link w:val="NoSpacingChar"/>
    <w:uiPriority w:val="1"/>
    <w:qFormat/>
    <w:rsid w:val="00003C92"/>
    <w:pPr>
      <w:spacing w:before="0" w:line="240" w:lineRule="auto"/>
    </w:pPr>
    <w:rPr>
      <w:rFonts w:asciiTheme="minorHAnsi" w:eastAsiaTheme="minorHAnsi" w:hAnsiTheme="minorHAnsi" w:cstheme="minorBidi"/>
      <w:color w:val="000000" w:themeColor="text2"/>
      <w:lang w:bidi="ar-SA"/>
    </w:rPr>
  </w:style>
  <w:style w:type="character" w:customStyle="1" w:styleId="NoSpacingChar">
    <w:name w:val="No Spacing Char"/>
    <w:basedOn w:val="DefaultParagraphFont"/>
    <w:link w:val="NoSpacing"/>
    <w:uiPriority w:val="1"/>
    <w:rsid w:val="00003C92"/>
    <w:rPr>
      <w:rFonts w:asciiTheme="minorHAnsi" w:eastAsiaTheme="minorHAnsi" w:hAnsiTheme="minorHAnsi" w:cstheme="minorBidi"/>
      <w:color w:val="000000" w:themeColor="text2"/>
      <w:lang w:bidi="ar-SA"/>
    </w:rPr>
  </w:style>
  <w:style w:type="paragraph" w:styleId="TOC1">
    <w:name w:val="toc 1"/>
    <w:basedOn w:val="Normal"/>
    <w:next w:val="Normal"/>
    <w:autoRedefine/>
    <w:uiPriority w:val="39"/>
    <w:unhideWhenUsed/>
    <w:rsid w:val="00003C92"/>
    <w:pPr>
      <w:spacing w:after="100"/>
    </w:pPr>
  </w:style>
  <w:style w:type="paragraph" w:styleId="TOC2">
    <w:name w:val="toc 2"/>
    <w:basedOn w:val="Normal"/>
    <w:next w:val="Normal"/>
    <w:autoRedefine/>
    <w:uiPriority w:val="39"/>
    <w:unhideWhenUsed/>
    <w:rsid w:val="00003C92"/>
    <w:pPr>
      <w:spacing w:after="100"/>
      <w:ind w:left="220"/>
    </w:pPr>
  </w:style>
  <w:style w:type="paragraph" w:styleId="TOC3">
    <w:name w:val="toc 3"/>
    <w:basedOn w:val="Normal"/>
    <w:next w:val="Normal"/>
    <w:autoRedefine/>
    <w:uiPriority w:val="39"/>
    <w:unhideWhenUsed/>
    <w:rsid w:val="00003C92"/>
    <w:pPr>
      <w:spacing w:after="100"/>
      <w:ind w:left="440"/>
    </w:pPr>
  </w:style>
  <w:style w:type="paragraph" w:customStyle="1" w:styleId="xmsonormal">
    <w:name w:val="x_msonormal"/>
    <w:basedOn w:val="Normal"/>
    <w:rsid w:val="006855C3"/>
    <w:pPr>
      <w:spacing w:before="0" w:after="0" w:line="240" w:lineRule="auto"/>
    </w:pPr>
    <w:rPr>
      <w:rFonts w:ascii="Times New Roman" w:eastAsiaTheme="minorHAnsi" w:hAnsi="Times New Roman"/>
      <w:sz w:val="24"/>
      <w:szCs w:val="24"/>
      <w:lang w:bidi="ar-SA"/>
    </w:rPr>
  </w:style>
  <w:style w:type="character" w:customStyle="1" w:styleId="UnresolvedMention1">
    <w:name w:val="Unresolved Mention1"/>
    <w:basedOn w:val="DefaultParagraphFont"/>
    <w:uiPriority w:val="99"/>
    <w:semiHidden/>
    <w:unhideWhenUsed/>
    <w:rsid w:val="007329D5"/>
    <w:rPr>
      <w:color w:val="605E5C"/>
      <w:shd w:val="clear" w:color="auto" w:fill="E1DFDD"/>
    </w:rPr>
  </w:style>
  <w:style w:type="character" w:styleId="CommentReference">
    <w:name w:val="annotation reference"/>
    <w:basedOn w:val="DefaultParagraphFont"/>
    <w:semiHidden/>
    <w:unhideWhenUsed/>
    <w:rsid w:val="00E42917"/>
    <w:rPr>
      <w:sz w:val="16"/>
      <w:szCs w:val="16"/>
    </w:rPr>
  </w:style>
  <w:style w:type="paragraph" w:styleId="CommentText">
    <w:name w:val="annotation text"/>
    <w:basedOn w:val="Normal"/>
    <w:link w:val="CommentTextChar"/>
    <w:semiHidden/>
    <w:unhideWhenUsed/>
    <w:rsid w:val="00E42917"/>
    <w:pPr>
      <w:spacing w:line="240" w:lineRule="auto"/>
    </w:pPr>
    <w:rPr>
      <w:sz w:val="20"/>
      <w:szCs w:val="20"/>
    </w:rPr>
  </w:style>
  <w:style w:type="character" w:customStyle="1" w:styleId="CommentTextChar">
    <w:name w:val="Comment Text Char"/>
    <w:basedOn w:val="DefaultParagraphFont"/>
    <w:link w:val="CommentText"/>
    <w:semiHidden/>
    <w:rsid w:val="00E42917"/>
    <w:rPr>
      <w:sz w:val="20"/>
      <w:szCs w:val="20"/>
    </w:rPr>
  </w:style>
  <w:style w:type="paragraph" w:styleId="CommentSubject">
    <w:name w:val="annotation subject"/>
    <w:basedOn w:val="CommentText"/>
    <w:next w:val="CommentText"/>
    <w:link w:val="CommentSubjectChar"/>
    <w:semiHidden/>
    <w:unhideWhenUsed/>
    <w:rsid w:val="00E42917"/>
    <w:rPr>
      <w:b/>
      <w:bCs/>
    </w:rPr>
  </w:style>
  <w:style w:type="character" w:customStyle="1" w:styleId="CommentSubjectChar">
    <w:name w:val="Comment Subject Char"/>
    <w:basedOn w:val="CommentTextChar"/>
    <w:link w:val="CommentSubject"/>
    <w:semiHidden/>
    <w:rsid w:val="00E42917"/>
    <w:rPr>
      <w:b/>
      <w:bCs/>
      <w:sz w:val="20"/>
      <w:szCs w:val="20"/>
    </w:rPr>
  </w:style>
  <w:style w:type="character" w:styleId="UnresolvedMention">
    <w:name w:val="Unresolved Mention"/>
    <w:basedOn w:val="DefaultParagraphFont"/>
    <w:uiPriority w:val="99"/>
    <w:semiHidden/>
    <w:unhideWhenUsed/>
    <w:rsid w:val="00F84802"/>
    <w:rPr>
      <w:color w:val="605E5C"/>
      <w:shd w:val="clear" w:color="auto" w:fill="E1DFDD"/>
    </w:rPr>
  </w:style>
  <w:style w:type="paragraph" w:styleId="Title">
    <w:name w:val="Title"/>
    <w:basedOn w:val="Normal"/>
    <w:link w:val="TitleChar"/>
    <w:uiPriority w:val="10"/>
    <w:qFormat/>
    <w:rsid w:val="00FD7649"/>
    <w:pPr>
      <w:widowControl w:val="0"/>
      <w:autoSpaceDE w:val="0"/>
      <w:autoSpaceDN w:val="0"/>
      <w:spacing w:before="3" w:after="0" w:line="240" w:lineRule="auto"/>
      <w:ind w:right="138"/>
      <w:jc w:val="right"/>
    </w:pPr>
    <w:rPr>
      <w:rFonts w:eastAsia="Calibri" w:cs="Calibri"/>
      <w:b/>
      <w:bCs/>
      <w:sz w:val="48"/>
      <w:szCs w:val="48"/>
      <w:lang w:bidi="ar-SA"/>
    </w:rPr>
  </w:style>
  <w:style w:type="character" w:customStyle="1" w:styleId="TitleChar">
    <w:name w:val="Title Char"/>
    <w:basedOn w:val="DefaultParagraphFont"/>
    <w:link w:val="Title"/>
    <w:uiPriority w:val="10"/>
    <w:rsid w:val="00FD7649"/>
    <w:rPr>
      <w:rFonts w:eastAsia="Calibri" w:cs="Calibri"/>
      <w:b/>
      <w:bCs/>
      <w:sz w:val="48"/>
      <w:szCs w:val="48"/>
      <w:lang w:bidi="ar-SA"/>
    </w:rPr>
  </w:style>
  <w:style w:type="paragraph" w:customStyle="1" w:styleId="Default">
    <w:name w:val="Default"/>
    <w:rsid w:val="002B2C94"/>
    <w:pPr>
      <w:autoSpaceDE w:val="0"/>
      <w:autoSpaceDN w:val="0"/>
      <w:adjustRightInd w:val="0"/>
      <w:spacing w:before="0" w:line="240" w:lineRule="auto"/>
    </w:pPr>
    <w:rPr>
      <w:rFonts w:cs="Calibri"/>
      <w:color w:val="000000"/>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6408">
      <w:bodyDiv w:val="1"/>
      <w:marLeft w:val="0"/>
      <w:marRight w:val="0"/>
      <w:marTop w:val="0"/>
      <w:marBottom w:val="0"/>
      <w:divBdr>
        <w:top w:val="none" w:sz="0" w:space="0" w:color="auto"/>
        <w:left w:val="none" w:sz="0" w:space="0" w:color="auto"/>
        <w:bottom w:val="none" w:sz="0" w:space="0" w:color="auto"/>
        <w:right w:val="none" w:sz="0" w:space="0" w:color="auto"/>
      </w:divBdr>
    </w:div>
    <w:div w:id="53816719">
      <w:bodyDiv w:val="1"/>
      <w:marLeft w:val="0"/>
      <w:marRight w:val="0"/>
      <w:marTop w:val="0"/>
      <w:marBottom w:val="0"/>
      <w:divBdr>
        <w:top w:val="none" w:sz="0" w:space="0" w:color="auto"/>
        <w:left w:val="none" w:sz="0" w:space="0" w:color="auto"/>
        <w:bottom w:val="none" w:sz="0" w:space="0" w:color="auto"/>
        <w:right w:val="none" w:sz="0" w:space="0" w:color="auto"/>
      </w:divBdr>
      <w:divsChild>
        <w:div w:id="49814326">
          <w:marLeft w:val="0"/>
          <w:marRight w:val="0"/>
          <w:marTop w:val="0"/>
          <w:marBottom w:val="0"/>
          <w:divBdr>
            <w:top w:val="none" w:sz="0" w:space="0" w:color="auto"/>
            <w:left w:val="none" w:sz="0" w:space="0" w:color="auto"/>
            <w:bottom w:val="none" w:sz="0" w:space="0" w:color="auto"/>
            <w:right w:val="none" w:sz="0" w:space="0" w:color="auto"/>
          </w:divBdr>
        </w:div>
      </w:divsChild>
    </w:div>
    <w:div w:id="234048447">
      <w:bodyDiv w:val="1"/>
      <w:marLeft w:val="0"/>
      <w:marRight w:val="0"/>
      <w:marTop w:val="0"/>
      <w:marBottom w:val="0"/>
      <w:divBdr>
        <w:top w:val="none" w:sz="0" w:space="0" w:color="auto"/>
        <w:left w:val="none" w:sz="0" w:space="0" w:color="auto"/>
        <w:bottom w:val="none" w:sz="0" w:space="0" w:color="auto"/>
        <w:right w:val="none" w:sz="0" w:space="0" w:color="auto"/>
      </w:divBdr>
    </w:div>
    <w:div w:id="276571236">
      <w:bodyDiv w:val="1"/>
      <w:marLeft w:val="0"/>
      <w:marRight w:val="0"/>
      <w:marTop w:val="0"/>
      <w:marBottom w:val="0"/>
      <w:divBdr>
        <w:top w:val="none" w:sz="0" w:space="0" w:color="auto"/>
        <w:left w:val="none" w:sz="0" w:space="0" w:color="auto"/>
        <w:bottom w:val="none" w:sz="0" w:space="0" w:color="auto"/>
        <w:right w:val="none" w:sz="0" w:space="0" w:color="auto"/>
      </w:divBdr>
    </w:div>
    <w:div w:id="307785848">
      <w:bodyDiv w:val="1"/>
      <w:marLeft w:val="0"/>
      <w:marRight w:val="0"/>
      <w:marTop w:val="0"/>
      <w:marBottom w:val="0"/>
      <w:divBdr>
        <w:top w:val="none" w:sz="0" w:space="0" w:color="auto"/>
        <w:left w:val="none" w:sz="0" w:space="0" w:color="auto"/>
        <w:bottom w:val="none" w:sz="0" w:space="0" w:color="auto"/>
        <w:right w:val="none" w:sz="0" w:space="0" w:color="auto"/>
      </w:divBdr>
    </w:div>
    <w:div w:id="495728218">
      <w:bodyDiv w:val="1"/>
      <w:marLeft w:val="0"/>
      <w:marRight w:val="0"/>
      <w:marTop w:val="0"/>
      <w:marBottom w:val="0"/>
      <w:divBdr>
        <w:top w:val="none" w:sz="0" w:space="0" w:color="auto"/>
        <w:left w:val="none" w:sz="0" w:space="0" w:color="auto"/>
        <w:bottom w:val="none" w:sz="0" w:space="0" w:color="auto"/>
        <w:right w:val="none" w:sz="0" w:space="0" w:color="auto"/>
      </w:divBdr>
    </w:div>
    <w:div w:id="716322659">
      <w:bodyDiv w:val="1"/>
      <w:marLeft w:val="0"/>
      <w:marRight w:val="0"/>
      <w:marTop w:val="0"/>
      <w:marBottom w:val="0"/>
      <w:divBdr>
        <w:top w:val="none" w:sz="0" w:space="0" w:color="auto"/>
        <w:left w:val="none" w:sz="0" w:space="0" w:color="auto"/>
        <w:bottom w:val="none" w:sz="0" w:space="0" w:color="auto"/>
        <w:right w:val="none" w:sz="0" w:space="0" w:color="auto"/>
      </w:divBdr>
    </w:div>
    <w:div w:id="742725124">
      <w:bodyDiv w:val="1"/>
      <w:marLeft w:val="0"/>
      <w:marRight w:val="0"/>
      <w:marTop w:val="0"/>
      <w:marBottom w:val="0"/>
      <w:divBdr>
        <w:top w:val="none" w:sz="0" w:space="0" w:color="auto"/>
        <w:left w:val="none" w:sz="0" w:space="0" w:color="auto"/>
        <w:bottom w:val="none" w:sz="0" w:space="0" w:color="auto"/>
        <w:right w:val="none" w:sz="0" w:space="0" w:color="auto"/>
      </w:divBdr>
    </w:div>
    <w:div w:id="1129662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Kay.Tracy@state.mn.u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bbbsofsouthernmn.org/virtualacademy/avid"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evisor.mn.gov/laws/2019/1/Session+Law/Chapter/7/" TargetMode="External"/></Relationships>
</file>

<file path=word/theme/theme1.xml><?xml version="1.0" encoding="utf-8"?>
<a:theme xmlns:a="http://schemas.openxmlformats.org/drawingml/2006/main" name="State of Minnesota">
  <a:themeElements>
    <a:clrScheme name="Minnesota Brand Colors">
      <a:dk1>
        <a:srgbClr val="003865"/>
      </a:dk1>
      <a:lt1>
        <a:srgbClr val="FFFFFF"/>
      </a:lt1>
      <a:dk2>
        <a:srgbClr val="000000"/>
      </a:dk2>
      <a:lt2>
        <a:srgbClr val="DDDDDA"/>
      </a:lt2>
      <a:accent1>
        <a:srgbClr val="003865"/>
      </a:accent1>
      <a:accent2>
        <a:srgbClr val="78BE21"/>
      </a:accent2>
      <a:accent3>
        <a:srgbClr val="008EAA"/>
      </a:accent3>
      <a:accent4>
        <a:srgbClr val="8D3F2B"/>
      </a:accent4>
      <a:accent5>
        <a:srgbClr val="0D5257"/>
      </a:accent5>
      <a:accent6>
        <a:srgbClr val="5D295F"/>
      </a:accent6>
      <a:hlink>
        <a:srgbClr val="0563C1"/>
      </a:hlink>
      <a:folHlink>
        <a:srgbClr val="5D295F"/>
      </a:folHlink>
    </a:clrScheme>
    <a:fontScheme name="MN Secondary Fonts">
      <a:majorFont>
        <a:latin typeface="Calibri"/>
        <a:ea typeface=""/>
        <a:cs typeface=""/>
      </a:majorFont>
      <a:minorFont>
        <a:latin typeface="Calibri"/>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tate of Minnesota" id="{FBFFE991-EC03-4C0A-BAED-2F712C2A7AE7}" vid="{A476B202-42F1-4399-9BC8-98609D88DE2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ccessibility_x0020_Check_x0020_Done xmlns="1cd47f14-7087-4e70-834b-3e31bb072a55">false</Accessibility_x0020_Check_x0020_Done>
    <Form_x0020__x0023_ xmlns="1cd47f14-7087-4e70-834b-3e31bb072a55" xsi:nil="true"/>
    <Category xmlns="1cd47f14-7087-4e70-834b-3e31bb072a55">Template</Category>
    <Accessibility_x0020_Passed xmlns="1cd47f14-7087-4e70-834b-3e31bb072a55">false</Accessibility_x0020_Passed>
    <Contact xmlns="1cd47f14-7087-4e70-834b-3e31bb072a55">Communications</Contact>
    <PPM_x0020_Chapter xmlns="1cd47f14-7087-4e70-834b-3e31bb072a55">
      <Url xsi:nil="true"/>
      <Description xsi:nil="true"/>
    </PPM_x0020_Chapter>
    <Stock_x0020__x0023_ xmlns="1cd47f14-7087-4e70-834b-3e31bb072a55" xsi:nil="true"/>
    <IconOverlay xmlns="http://schemas.microsoft.com/sharepoint/v4" xsi:nil="true"/>
    <Task_x002f_Function xmlns="1cd47f14-7087-4e70-834b-3e31bb072a55">Select Task/Function</Task_x002f_Function>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04D13C42D15884F9CB3A4AE99DB0A8F" ma:contentTypeVersion="11" ma:contentTypeDescription="Create a new document." ma:contentTypeScope="" ma:versionID="bb8aeb9a122e59ef8bcdcf2c9e4bf390">
  <xsd:schema xmlns:xsd="http://www.w3.org/2001/XMLSchema" xmlns:xs="http://www.w3.org/2001/XMLSchema" xmlns:p="http://schemas.microsoft.com/office/2006/metadata/properties" xmlns:ns2="1cd47f14-7087-4e70-834b-3e31bb072a55" xmlns:ns3="http://schemas.microsoft.com/sharepoint/v4" targetNamespace="http://schemas.microsoft.com/office/2006/metadata/properties" ma:root="true" ma:fieldsID="dca368a6d25cc6c9bb17c06aa1b0e324" ns2:_="" ns3:_="">
    <xsd:import namespace="1cd47f14-7087-4e70-834b-3e31bb072a55"/>
    <xsd:import namespace="http://schemas.microsoft.com/sharepoint/v4"/>
    <xsd:element name="properties">
      <xsd:complexType>
        <xsd:sequence>
          <xsd:element name="documentManagement">
            <xsd:complexType>
              <xsd:all>
                <xsd:element ref="ns2:Stock_x0020__x0023_" minOccurs="0"/>
                <xsd:element ref="ns2:Form_x0020__x0023_" minOccurs="0"/>
                <xsd:element ref="ns2:PPM_x0020_Chapter" minOccurs="0"/>
                <xsd:element ref="ns2:Contact" minOccurs="0"/>
                <xsd:element ref="ns2:Category" minOccurs="0"/>
                <xsd:element ref="ns2:Accessibility_x0020_Check_x0020_Done" minOccurs="0"/>
                <xsd:element ref="ns2:Accessibility_x0020_Passed" minOccurs="0"/>
                <xsd:element ref="ns3:IconOverlay" minOccurs="0"/>
                <xsd:element ref="ns2:Task_x002f_Fun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d47f14-7087-4e70-834b-3e31bb072a55" elementFormDefault="qualified">
    <xsd:import namespace="http://schemas.microsoft.com/office/2006/documentManagement/types"/>
    <xsd:import namespace="http://schemas.microsoft.com/office/infopath/2007/PartnerControls"/>
    <xsd:element name="Stock_x0020__x0023_" ma:index="4" nillable="true" ma:displayName="Stock #" ma:internalName="Stock_x0020__x0023_" ma:readOnly="false">
      <xsd:simpleType>
        <xsd:restriction base="dms:Text">
          <xsd:maxLength value="255"/>
        </xsd:restriction>
      </xsd:simpleType>
    </xsd:element>
    <xsd:element name="Form_x0020__x0023_" ma:index="5" nillable="true" ma:displayName="Form #" ma:internalName="Form_x0020__x0023_" ma:readOnly="false">
      <xsd:simpleType>
        <xsd:restriction base="dms:Text">
          <xsd:maxLength value="255"/>
        </xsd:restriction>
      </xsd:simpleType>
    </xsd:element>
    <xsd:element name="PPM_x0020_Chapter" ma:index="6" nillable="true" ma:displayName="PPM Chapter" ma:format="Hyperlink" ma:internalName="PPM_x0020_Chapter"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Contact" ma:index="7" nillable="true" ma:displayName="Contact" ma:default="Enter Choice #1" ma:format="Dropdown" ma:internalName="Contact" ma:readOnly="false">
      <xsd:simpleType>
        <xsd:union memberTypes="dms:Text">
          <xsd:simpleType>
            <xsd:restriction base="dms:Choice">
              <xsd:enumeration value="Enter Choice #1"/>
              <xsd:enumeration value="Enter Choice #2"/>
              <xsd:enumeration value="Enter Choice #3"/>
            </xsd:restriction>
          </xsd:simpleType>
        </xsd:union>
      </xsd:simpleType>
    </xsd:element>
    <xsd:element name="Category" ma:index="8" nillable="true" ma:displayName="Category" ma:default="Enter Choice #1" ma:format="Dropdown" ma:indexed="true" ma:internalName="Category" ma:readOnly="false">
      <xsd:simpleType>
        <xsd:union memberTypes="dms:Text">
          <xsd:simpleType>
            <xsd:restriction base="dms:Choice">
              <xsd:enumeration value="Enter Choice #1"/>
              <xsd:enumeration value="Enter Choice #2"/>
              <xsd:enumeration value="Enter Choice #3"/>
            </xsd:restriction>
          </xsd:simpleType>
        </xsd:union>
      </xsd:simpleType>
    </xsd:element>
    <xsd:element name="Accessibility_x0020_Check_x0020_Done" ma:index="9" nillable="true" ma:displayName="Accessibility Check Done" ma:default="0" ma:internalName="Accessibility_x0020_Check_x0020_Done" ma:readOnly="false">
      <xsd:simpleType>
        <xsd:restriction base="dms:Boolean"/>
      </xsd:simpleType>
    </xsd:element>
    <xsd:element name="Accessibility_x0020_Passed" ma:index="10" nillable="true" ma:displayName="Accessibility Passed" ma:default="0" ma:internalName="Accessibility_x0020_Passed" ma:readOnly="false">
      <xsd:simpleType>
        <xsd:restriction base="dms:Boolean"/>
      </xsd:simpleType>
    </xsd:element>
    <xsd:element name="Task_x002f_Function" ma:index="16" nillable="true" ma:displayName="Task/Function" ma:default="Select Task/Function" ma:format="Dropdown" ma:internalName="Task_x002f_Function">
      <xsd:simpleType>
        <xsd:restriction base="dms:Choice">
          <xsd:enumeration value="Select Task/Function"/>
          <xsd:enumeration value="Communication Tools"/>
          <xsd:enumeration value="Purchase/Billing"/>
          <xsd:enumeration value="IT Services"/>
          <xsd:enumeration value="Access"/>
          <xsd:enumeration value="Grants"/>
          <xsd:enumeration value="Events/Meetings"/>
          <xsd:enumeration value="Hiring"/>
          <xsd:enumeration value="Separation"/>
          <xsd:enumeration value="Safety"/>
          <xsd:enumeration value="Employee Hours"/>
          <xsd:enumeration value="Reimbursement"/>
          <xsd:enumeration value="Travel"/>
          <xsd:enumeration value="Employee Resources"/>
          <xsd:enumeration value="WorkForce Centers"/>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E43E21-4B89-438F-A82B-EEB4C630EEB4}">
  <ds:schemaRefs>
    <ds:schemaRef ds:uri="http://schemas.openxmlformats.org/officeDocument/2006/bibliography"/>
  </ds:schemaRefs>
</ds:datastoreItem>
</file>

<file path=customXml/itemProps2.xml><?xml version="1.0" encoding="utf-8"?>
<ds:datastoreItem xmlns:ds="http://schemas.openxmlformats.org/officeDocument/2006/customXml" ds:itemID="{C484B8B2-97F6-41AD-A43E-8122C09F1509}">
  <ds:schemaRefs>
    <ds:schemaRef ds:uri="http://schemas.microsoft.com/sharepoint/v3/contenttype/forms"/>
  </ds:schemaRefs>
</ds:datastoreItem>
</file>

<file path=customXml/itemProps3.xml><?xml version="1.0" encoding="utf-8"?>
<ds:datastoreItem xmlns:ds="http://schemas.openxmlformats.org/officeDocument/2006/customXml" ds:itemID="{C0373A2B-B247-48D0-9579-3481F102C991}">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schemas.microsoft.com/sharepoint/v4"/>
    <ds:schemaRef ds:uri="1cd47f14-7087-4e70-834b-3e31bb072a55"/>
    <ds:schemaRef ds:uri="http://www.w3.org/XML/1998/namespace"/>
  </ds:schemaRefs>
</ds:datastoreItem>
</file>

<file path=customXml/itemProps4.xml><?xml version="1.0" encoding="utf-8"?>
<ds:datastoreItem xmlns:ds="http://schemas.openxmlformats.org/officeDocument/2006/customXml" ds:itemID="{41535969-F0B2-4C7D-979C-57EBC5A7AC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d47f14-7087-4e70-834b-3e31bb072a55"/>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2305</Words>
  <Characters>13139</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SFY 2021 Ujamaa Place Direct Appropriation report to Legislature</vt:lpstr>
    </vt:vector>
  </TitlesOfParts>
  <Manager/>
  <Company>DEED</Company>
  <LinksUpToDate>false</LinksUpToDate>
  <CharactersWithSpaces>15414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SFY 2021 Ujamaa Place Direct Appropriation report to Legislature</dc:title>
  <dc:subject>Progress of SFY 2021 Ujamaa Place Direct Appropriation Grant</dc:subject>
  <dc:creator>Employment and Training Programs Division/Youth Development</dc:creator>
  <cp:keywords>Ujamaa Place, report</cp:keywords>
  <dc:description/>
  <cp:lastModifiedBy>Douma, Lynn (DEED)</cp:lastModifiedBy>
  <cp:revision>2</cp:revision>
  <cp:lastPrinted>2018-12-14T16:16:00Z</cp:lastPrinted>
  <dcterms:created xsi:type="dcterms:W3CDTF">2022-01-24T14:36:00Z</dcterms:created>
  <dcterms:modified xsi:type="dcterms:W3CDTF">2022-01-24T14:36:00Z</dcterms:modified>
  <cp:category>report</cp:category>
  <cp:contentStatus>active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0x010100E04D13C42D15884F9CB3A4AE99DB0A8F</vt:lpwstr>
  </property>
</Properties>
</file>