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B80DD8" w14:textId="77777777" w:rsidR="00153C8D" w:rsidRDefault="00153C8D" w:rsidP="00153C8D">
      <w:pPr>
        <w:pStyle w:val="Title"/>
      </w:pPr>
      <w:r>
        <w:t>Minnesota Cost of Living Study</w:t>
      </w:r>
    </w:p>
    <w:p w14:paraId="70F7F713" w14:textId="051A3777" w:rsidR="00153C8D" w:rsidRPr="009B1B63" w:rsidRDefault="00153C8D" w:rsidP="00153C8D">
      <w:pPr>
        <w:pStyle w:val="Subtitle"/>
        <w:rPr>
          <w:color w:val="auto"/>
        </w:rPr>
      </w:pPr>
      <w:r w:rsidRPr="009B1B63">
        <w:rPr>
          <w:color w:val="auto"/>
        </w:rPr>
        <w:t>Annual Report 20</w:t>
      </w:r>
      <w:r w:rsidR="0084749D" w:rsidRPr="009B1B63">
        <w:rPr>
          <w:color w:val="auto"/>
        </w:rPr>
        <w:t>2</w:t>
      </w:r>
      <w:r w:rsidR="0013122A">
        <w:rPr>
          <w:color w:val="auto"/>
        </w:rPr>
        <w:t>3</w:t>
      </w:r>
    </w:p>
    <w:p w14:paraId="55C7308E" w14:textId="4339B10C" w:rsidR="0084749D" w:rsidRDefault="005B5F4D" w:rsidP="00153C8D">
      <w:pPr>
        <w:pStyle w:val="List"/>
      </w:pPr>
      <w:r>
        <w:t>Angelina Nguyen, LMI Director</w:t>
      </w:r>
    </w:p>
    <w:p w14:paraId="42E12A5E" w14:textId="27C73039" w:rsidR="008267EC" w:rsidRDefault="00153C8D" w:rsidP="00C27F08">
      <w:pPr>
        <w:pStyle w:val="List"/>
      </w:pPr>
      <w:r>
        <w:t xml:space="preserve">Amanda Rohrer, </w:t>
      </w:r>
      <w:r w:rsidR="004B43AE">
        <w:t xml:space="preserve">LMI </w:t>
      </w:r>
      <w:r w:rsidR="009B1B63">
        <w:t>D</w:t>
      </w:r>
      <w:r>
        <w:t xml:space="preserve">atabase </w:t>
      </w:r>
      <w:r w:rsidR="009B1B63">
        <w:t>A</w:t>
      </w:r>
      <w:r>
        <w:t>dministrator</w:t>
      </w:r>
    </w:p>
    <w:p w14:paraId="53233908" w14:textId="77777777" w:rsidR="00153C8D" w:rsidRPr="00153C8D" w:rsidRDefault="00153C8D" w:rsidP="00153C8D">
      <w:pPr>
        <w:pStyle w:val="BodyText"/>
      </w:pPr>
      <w:r w:rsidRPr="00153C8D">
        <w:t>Labor Market Information Office</w:t>
      </w:r>
    </w:p>
    <w:p w14:paraId="094FBC6E" w14:textId="2E6FF4DC" w:rsidR="00153C8D" w:rsidRDefault="00153C8D" w:rsidP="00153C8D">
      <w:pPr>
        <w:pStyle w:val="BodyText"/>
      </w:pPr>
      <w:r w:rsidRPr="00153C8D">
        <w:t>Minnesota Department of Employment and Economic Development</w:t>
      </w:r>
    </w:p>
    <w:p w14:paraId="1811588B" w14:textId="410C3157" w:rsidR="00856186" w:rsidRDefault="00856186" w:rsidP="00153C8D">
      <w:pPr>
        <w:pStyle w:val="BodyText"/>
      </w:pPr>
      <w:r>
        <w:t xml:space="preserve">Cost of Living Data Tool: </w:t>
      </w:r>
      <w:hyperlink r:id="rId8" w:history="1">
        <w:r>
          <w:rPr>
            <w:rStyle w:val="Hyperlink"/>
          </w:rPr>
          <w:t>Cost of Living in Minnesota / Minnesota Department of Employment and Economic Development (mn.gov)</w:t>
        </w:r>
      </w:hyperlink>
    </w:p>
    <w:p w14:paraId="52FC773D" w14:textId="341B22B3" w:rsidR="00402BE5" w:rsidRDefault="00AD0048">
      <w:r>
        <w:t xml:space="preserve">Cost to </w:t>
      </w:r>
      <w:r w:rsidR="0030063C">
        <w:t>prepare</w:t>
      </w:r>
      <w:r>
        <w:t xml:space="preserve"> Cost of Living 2023 data</w:t>
      </w:r>
      <w:r w:rsidR="0030063C">
        <w:t xml:space="preserve"> </w:t>
      </w:r>
      <w:r>
        <w:t>and report</w:t>
      </w:r>
      <w:r w:rsidR="0030063C">
        <w:t xml:space="preserve"> and maintain data tool</w:t>
      </w:r>
      <w:r>
        <w:t>: $150,000</w:t>
      </w:r>
      <w:r w:rsidR="00402BE5">
        <w:br w:type="page"/>
      </w:r>
    </w:p>
    <w:p w14:paraId="3A77509A" w14:textId="77777777" w:rsidR="00036EEF" w:rsidRDefault="00DA6FE3">
      <w:pPr>
        <w:pStyle w:val="TOC1"/>
        <w:rPr>
          <w:rFonts w:eastAsiaTheme="minorEastAsia"/>
          <w:noProof/>
        </w:rPr>
      </w:pPr>
      <w:r>
        <w:lastRenderedPageBreak/>
        <w:fldChar w:fldCharType="begin"/>
      </w:r>
      <w:r>
        <w:instrText xml:space="preserve"> TOC \o "1-3" \h \z \u </w:instrText>
      </w:r>
      <w:r>
        <w:fldChar w:fldCharType="separate"/>
      </w:r>
      <w:hyperlink w:anchor="_Toc31966899" w:history="1">
        <w:r w:rsidR="00036EEF" w:rsidRPr="008D0F9C">
          <w:rPr>
            <w:rStyle w:val="Hyperlink"/>
            <w:noProof/>
          </w:rPr>
          <w:t>Introduction</w:t>
        </w:r>
        <w:r w:rsidR="00036EEF">
          <w:rPr>
            <w:noProof/>
            <w:webHidden/>
          </w:rPr>
          <w:tab/>
        </w:r>
        <w:r w:rsidR="00036EEF">
          <w:rPr>
            <w:noProof/>
            <w:webHidden/>
          </w:rPr>
          <w:fldChar w:fldCharType="begin"/>
        </w:r>
        <w:r w:rsidR="00036EEF">
          <w:rPr>
            <w:noProof/>
            <w:webHidden/>
          </w:rPr>
          <w:instrText xml:space="preserve"> PAGEREF _Toc31966899 \h </w:instrText>
        </w:r>
        <w:r w:rsidR="00036EEF">
          <w:rPr>
            <w:noProof/>
            <w:webHidden/>
          </w:rPr>
        </w:r>
        <w:r w:rsidR="00036EEF">
          <w:rPr>
            <w:noProof/>
            <w:webHidden/>
          </w:rPr>
          <w:fldChar w:fldCharType="separate"/>
        </w:r>
        <w:r w:rsidR="00036EEF">
          <w:rPr>
            <w:noProof/>
            <w:webHidden/>
          </w:rPr>
          <w:t>2</w:t>
        </w:r>
        <w:r w:rsidR="00036EEF">
          <w:rPr>
            <w:noProof/>
            <w:webHidden/>
          </w:rPr>
          <w:fldChar w:fldCharType="end"/>
        </w:r>
      </w:hyperlink>
    </w:p>
    <w:p w14:paraId="0E5BFDF0" w14:textId="77777777" w:rsidR="00036EEF" w:rsidRDefault="00000000">
      <w:pPr>
        <w:pStyle w:val="TOC2"/>
        <w:rPr>
          <w:rFonts w:eastAsiaTheme="minorEastAsia"/>
          <w:noProof/>
        </w:rPr>
      </w:pPr>
      <w:hyperlink w:anchor="_Toc31966900" w:history="1">
        <w:r w:rsidR="00036EEF" w:rsidRPr="008D0F9C">
          <w:rPr>
            <w:rStyle w:val="Hyperlink"/>
            <w:noProof/>
          </w:rPr>
          <w:t>Study Mission and Purpose</w:t>
        </w:r>
        <w:r w:rsidR="00036EEF">
          <w:rPr>
            <w:noProof/>
            <w:webHidden/>
          </w:rPr>
          <w:tab/>
        </w:r>
        <w:r w:rsidR="00036EEF">
          <w:rPr>
            <w:noProof/>
            <w:webHidden/>
          </w:rPr>
          <w:fldChar w:fldCharType="begin"/>
        </w:r>
        <w:r w:rsidR="00036EEF">
          <w:rPr>
            <w:noProof/>
            <w:webHidden/>
          </w:rPr>
          <w:instrText xml:space="preserve"> PAGEREF _Toc31966900 \h </w:instrText>
        </w:r>
        <w:r w:rsidR="00036EEF">
          <w:rPr>
            <w:noProof/>
            <w:webHidden/>
          </w:rPr>
        </w:r>
        <w:r w:rsidR="00036EEF">
          <w:rPr>
            <w:noProof/>
            <w:webHidden/>
          </w:rPr>
          <w:fldChar w:fldCharType="separate"/>
        </w:r>
        <w:r w:rsidR="00036EEF">
          <w:rPr>
            <w:noProof/>
            <w:webHidden/>
          </w:rPr>
          <w:t>3</w:t>
        </w:r>
        <w:r w:rsidR="00036EEF">
          <w:rPr>
            <w:noProof/>
            <w:webHidden/>
          </w:rPr>
          <w:fldChar w:fldCharType="end"/>
        </w:r>
      </w:hyperlink>
    </w:p>
    <w:p w14:paraId="7A29996E" w14:textId="77777777" w:rsidR="00036EEF" w:rsidRDefault="00000000">
      <w:pPr>
        <w:pStyle w:val="TOC2"/>
        <w:rPr>
          <w:rFonts w:eastAsiaTheme="minorEastAsia"/>
          <w:noProof/>
        </w:rPr>
      </w:pPr>
      <w:hyperlink w:anchor="_Toc31966901" w:history="1">
        <w:r w:rsidR="00036EEF" w:rsidRPr="008D0F9C">
          <w:rPr>
            <w:rStyle w:val="Hyperlink"/>
            <w:noProof/>
          </w:rPr>
          <w:t>Typical Uses of the Cost of Living Data</w:t>
        </w:r>
        <w:r w:rsidR="00036EEF">
          <w:rPr>
            <w:noProof/>
            <w:webHidden/>
          </w:rPr>
          <w:tab/>
        </w:r>
        <w:r w:rsidR="00036EEF">
          <w:rPr>
            <w:noProof/>
            <w:webHidden/>
          </w:rPr>
          <w:fldChar w:fldCharType="begin"/>
        </w:r>
        <w:r w:rsidR="00036EEF">
          <w:rPr>
            <w:noProof/>
            <w:webHidden/>
          </w:rPr>
          <w:instrText xml:space="preserve"> PAGEREF _Toc31966901 \h </w:instrText>
        </w:r>
        <w:r w:rsidR="00036EEF">
          <w:rPr>
            <w:noProof/>
            <w:webHidden/>
          </w:rPr>
        </w:r>
        <w:r w:rsidR="00036EEF">
          <w:rPr>
            <w:noProof/>
            <w:webHidden/>
          </w:rPr>
          <w:fldChar w:fldCharType="separate"/>
        </w:r>
        <w:r w:rsidR="00036EEF">
          <w:rPr>
            <w:noProof/>
            <w:webHidden/>
          </w:rPr>
          <w:t>3</w:t>
        </w:r>
        <w:r w:rsidR="00036EEF">
          <w:rPr>
            <w:noProof/>
            <w:webHidden/>
          </w:rPr>
          <w:fldChar w:fldCharType="end"/>
        </w:r>
      </w:hyperlink>
    </w:p>
    <w:p w14:paraId="28F00879" w14:textId="77777777" w:rsidR="00036EEF" w:rsidRDefault="00000000">
      <w:pPr>
        <w:pStyle w:val="TOC1"/>
        <w:rPr>
          <w:rFonts w:eastAsiaTheme="minorEastAsia"/>
          <w:noProof/>
        </w:rPr>
      </w:pPr>
      <w:hyperlink w:anchor="_Toc31966902" w:history="1">
        <w:r w:rsidR="00036EEF" w:rsidRPr="008D0F9C">
          <w:rPr>
            <w:rStyle w:val="Hyperlink"/>
            <w:noProof/>
          </w:rPr>
          <w:t>Results and Analysis Statewide and by Region</w:t>
        </w:r>
        <w:r w:rsidR="00036EEF">
          <w:rPr>
            <w:noProof/>
            <w:webHidden/>
          </w:rPr>
          <w:tab/>
        </w:r>
        <w:r w:rsidR="00036EEF">
          <w:rPr>
            <w:noProof/>
            <w:webHidden/>
          </w:rPr>
          <w:fldChar w:fldCharType="begin"/>
        </w:r>
        <w:r w:rsidR="00036EEF">
          <w:rPr>
            <w:noProof/>
            <w:webHidden/>
          </w:rPr>
          <w:instrText xml:space="preserve"> PAGEREF _Toc31966902 \h </w:instrText>
        </w:r>
        <w:r w:rsidR="00036EEF">
          <w:rPr>
            <w:noProof/>
            <w:webHidden/>
          </w:rPr>
        </w:r>
        <w:r w:rsidR="00036EEF">
          <w:rPr>
            <w:noProof/>
            <w:webHidden/>
          </w:rPr>
          <w:fldChar w:fldCharType="separate"/>
        </w:r>
        <w:r w:rsidR="00036EEF">
          <w:rPr>
            <w:noProof/>
            <w:webHidden/>
          </w:rPr>
          <w:t>3</w:t>
        </w:r>
        <w:r w:rsidR="00036EEF">
          <w:rPr>
            <w:noProof/>
            <w:webHidden/>
          </w:rPr>
          <w:fldChar w:fldCharType="end"/>
        </w:r>
      </w:hyperlink>
    </w:p>
    <w:p w14:paraId="1B81D902" w14:textId="77777777" w:rsidR="00036EEF" w:rsidRDefault="00000000">
      <w:pPr>
        <w:pStyle w:val="TOC2"/>
        <w:rPr>
          <w:rFonts w:eastAsiaTheme="minorEastAsia"/>
          <w:noProof/>
        </w:rPr>
      </w:pPr>
      <w:hyperlink w:anchor="_Toc31966903" w:history="1">
        <w:r w:rsidR="00036EEF" w:rsidRPr="008D0F9C">
          <w:rPr>
            <w:rStyle w:val="Hyperlink"/>
            <w:noProof/>
          </w:rPr>
          <w:t>Minnesota Statewide</w:t>
        </w:r>
        <w:r w:rsidR="00036EEF">
          <w:rPr>
            <w:noProof/>
            <w:webHidden/>
          </w:rPr>
          <w:tab/>
        </w:r>
        <w:r w:rsidR="00036EEF">
          <w:rPr>
            <w:noProof/>
            <w:webHidden/>
          </w:rPr>
          <w:fldChar w:fldCharType="begin"/>
        </w:r>
        <w:r w:rsidR="00036EEF">
          <w:rPr>
            <w:noProof/>
            <w:webHidden/>
          </w:rPr>
          <w:instrText xml:space="preserve"> PAGEREF _Toc31966903 \h </w:instrText>
        </w:r>
        <w:r w:rsidR="00036EEF">
          <w:rPr>
            <w:noProof/>
            <w:webHidden/>
          </w:rPr>
        </w:r>
        <w:r w:rsidR="00036EEF">
          <w:rPr>
            <w:noProof/>
            <w:webHidden/>
          </w:rPr>
          <w:fldChar w:fldCharType="separate"/>
        </w:r>
        <w:r w:rsidR="00036EEF">
          <w:rPr>
            <w:noProof/>
            <w:webHidden/>
          </w:rPr>
          <w:t>5</w:t>
        </w:r>
        <w:r w:rsidR="00036EEF">
          <w:rPr>
            <w:noProof/>
            <w:webHidden/>
          </w:rPr>
          <w:fldChar w:fldCharType="end"/>
        </w:r>
      </w:hyperlink>
    </w:p>
    <w:p w14:paraId="5F6EED67" w14:textId="77777777" w:rsidR="00036EEF" w:rsidRDefault="00000000">
      <w:pPr>
        <w:pStyle w:val="TOC1"/>
        <w:rPr>
          <w:rFonts w:eastAsiaTheme="minorEastAsia"/>
          <w:noProof/>
        </w:rPr>
      </w:pPr>
      <w:hyperlink w:anchor="_Toc31966904" w:history="1">
        <w:r w:rsidR="00036EEF" w:rsidRPr="008D0F9C">
          <w:rPr>
            <w:rStyle w:val="Hyperlink"/>
            <w:noProof/>
          </w:rPr>
          <w:t>Economic Development Regions</w:t>
        </w:r>
        <w:r w:rsidR="00036EEF">
          <w:rPr>
            <w:noProof/>
            <w:webHidden/>
          </w:rPr>
          <w:tab/>
        </w:r>
        <w:r w:rsidR="00036EEF">
          <w:rPr>
            <w:noProof/>
            <w:webHidden/>
          </w:rPr>
          <w:fldChar w:fldCharType="begin"/>
        </w:r>
        <w:r w:rsidR="00036EEF">
          <w:rPr>
            <w:noProof/>
            <w:webHidden/>
          </w:rPr>
          <w:instrText xml:space="preserve"> PAGEREF _Toc31966904 \h </w:instrText>
        </w:r>
        <w:r w:rsidR="00036EEF">
          <w:rPr>
            <w:noProof/>
            <w:webHidden/>
          </w:rPr>
        </w:r>
        <w:r w:rsidR="00036EEF">
          <w:rPr>
            <w:noProof/>
            <w:webHidden/>
          </w:rPr>
          <w:fldChar w:fldCharType="separate"/>
        </w:r>
        <w:r w:rsidR="00036EEF">
          <w:rPr>
            <w:noProof/>
            <w:webHidden/>
          </w:rPr>
          <w:t>5</w:t>
        </w:r>
        <w:r w:rsidR="00036EEF">
          <w:rPr>
            <w:noProof/>
            <w:webHidden/>
          </w:rPr>
          <w:fldChar w:fldCharType="end"/>
        </w:r>
      </w:hyperlink>
    </w:p>
    <w:p w14:paraId="3D9673CA" w14:textId="77777777" w:rsidR="00036EEF" w:rsidRDefault="00000000">
      <w:pPr>
        <w:pStyle w:val="TOC1"/>
        <w:rPr>
          <w:rFonts w:eastAsiaTheme="minorEastAsia"/>
          <w:noProof/>
        </w:rPr>
      </w:pPr>
      <w:hyperlink w:anchor="_Toc31966905" w:history="1">
        <w:r w:rsidR="00036EEF" w:rsidRPr="008D0F9C">
          <w:rPr>
            <w:rStyle w:val="Hyperlink"/>
            <w:noProof/>
          </w:rPr>
          <w:t>Further Analysis and Recommendations</w:t>
        </w:r>
        <w:r w:rsidR="00036EEF">
          <w:rPr>
            <w:noProof/>
            <w:webHidden/>
          </w:rPr>
          <w:tab/>
        </w:r>
        <w:r w:rsidR="00036EEF">
          <w:rPr>
            <w:noProof/>
            <w:webHidden/>
          </w:rPr>
          <w:fldChar w:fldCharType="begin"/>
        </w:r>
        <w:r w:rsidR="00036EEF">
          <w:rPr>
            <w:noProof/>
            <w:webHidden/>
          </w:rPr>
          <w:instrText xml:space="preserve"> PAGEREF _Toc31966905 \h </w:instrText>
        </w:r>
        <w:r w:rsidR="00036EEF">
          <w:rPr>
            <w:noProof/>
            <w:webHidden/>
          </w:rPr>
        </w:r>
        <w:r w:rsidR="00036EEF">
          <w:rPr>
            <w:noProof/>
            <w:webHidden/>
          </w:rPr>
          <w:fldChar w:fldCharType="separate"/>
        </w:r>
        <w:r w:rsidR="00036EEF">
          <w:rPr>
            <w:noProof/>
            <w:webHidden/>
          </w:rPr>
          <w:t>6</w:t>
        </w:r>
        <w:r w:rsidR="00036EEF">
          <w:rPr>
            <w:noProof/>
            <w:webHidden/>
          </w:rPr>
          <w:fldChar w:fldCharType="end"/>
        </w:r>
      </w:hyperlink>
    </w:p>
    <w:p w14:paraId="4FE4F163" w14:textId="77777777" w:rsidR="00036EEF" w:rsidRDefault="00000000">
      <w:pPr>
        <w:pStyle w:val="TOC2"/>
        <w:rPr>
          <w:rFonts w:eastAsiaTheme="minorEastAsia"/>
          <w:noProof/>
        </w:rPr>
      </w:pPr>
      <w:hyperlink w:anchor="_Toc31966906" w:history="1">
        <w:r w:rsidR="00036EEF" w:rsidRPr="008D0F9C">
          <w:rPr>
            <w:rStyle w:val="Hyperlink"/>
            <w:noProof/>
          </w:rPr>
          <w:t>Median Wage as a Share of the Cost of Living</w:t>
        </w:r>
        <w:r w:rsidR="00036EEF">
          <w:rPr>
            <w:noProof/>
            <w:webHidden/>
          </w:rPr>
          <w:tab/>
        </w:r>
        <w:r w:rsidR="00036EEF">
          <w:rPr>
            <w:noProof/>
            <w:webHidden/>
          </w:rPr>
          <w:fldChar w:fldCharType="begin"/>
        </w:r>
        <w:r w:rsidR="00036EEF">
          <w:rPr>
            <w:noProof/>
            <w:webHidden/>
          </w:rPr>
          <w:instrText xml:space="preserve"> PAGEREF _Toc31966906 \h </w:instrText>
        </w:r>
        <w:r w:rsidR="00036EEF">
          <w:rPr>
            <w:noProof/>
            <w:webHidden/>
          </w:rPr>
        </w:r>
        <w:r w:rsidR="00036EEF">
          <w:rPr>
            <w:noProof/>
            <w:webHidden/>
          </w:rPr>
          <w:fldChar w:fldCharType="separate"/>
        </w:r>
        <w:r w:rsidR="00036EEF">
          <w:rPr>
            <w:noProof/>
            <w:webHidden/>
          </w:rPr>
          <w:t>6</w:t>
        </w:r>
        <w:r w:rsidR="00036EEF">
          <w:rPr>
            <w:noProof/>
            <w:webHidden/>
          </w:rPr>
          <w:fldChar w:fldCharType="end"/>
        </w:r>
      </w:hyperlink>
    </w:p>
    <w:p w14:paraId="1D0D371D" w14:textId="77777777" w:rsidR="00036EEF" w:rsidRDefault="00000000">
      <w:pPr>
        <w:pStyle w:val="TOC2"/>
        <w:rPr>
          <w:rFonts w:eastAsiaTheme="minorEastAsia"/>
          <w:noProof/>
        </w:rPr>
      </w:pPr>
      <w:hyperlink w:anchor="_Toc31966907" w:history="1">
        <w:r w:rsidR="00036EEF" w:rsidRPr="008D0F9C">
          <w:rPr>
            <w:rStyle w:val="Hyperlink"/>
            <w:noProof/>
          </w:rPr>
          <w:t>Job Vacancy Median Wage Offer as a Share of the Cost of Living</w:t>
        </w:r>
        <w:r w:rsidR="00036EEF">
          <w:rPr>
            <w:noProof/>
            <w:webHidden/>
          </w:rPr>
          <w:tab/>
        </w:r>
        <w:r w:rsidR="00036EEF">
          <w:rPr>
            <w:noProof/>
            <w:webHidden/>
          </w:rPr>
          <w:fldChar w:fldCharType="begin"/>
        </w:r>
        <w:r w:rsidR="00036EEF">
          <w:rPr>
            <w:noProof/>
            <w:webHidden/>
          </w:rPr>
          <w:instrText xml:space="preserve"> PAGEREF _Toc31966907 \h </w:instrText>
        </w:r>
        <w:r w:rsidR="00036EEF">
          <w:rPr>
            <w:noProof/>
            <w:webHidden/>
          </w:rPr>
        </w:r>
        <w:r w:rsidR="00036EEF">
          <w:rPr>
            <w:noProof/>
            <w:webHidden/>
          </w:rPr>
          <w:fldChar w:fldCharType="separate"/>
        </w:r>
        <w:r w:rsidR="00036EEF">
          <w:rPr>
            <w:noProof/>
            <w:webHidden/>
          </w:rPr>
          <w:t>6</w:t>
        </w:r>
        <w:r w:rsidR="00036EEF">
          <w:rPr>
            <w:noProof/>
            <w:webHidden/>
          </w:rPr>
          <w:fldChar w:fldCharType="end"/>
        </w:r>
      </w:hyperlink>
    </w:p>
    <w:p w14:paraId="1F080657" w14:textId="77777777" w:rsidR="00036EEF" w:rsidRDefault="00000000">
      <w:pPr>
        <w:pStyle w:val="TOC2"/>
        <w:rPr>
          <w:rFonts w:eastAsiaTheme="minorEastAsia"/>
          <w:noProof/>
        </w:rPr>
      </w:pPr>
      <w:hyperlink w:anchor="_Toc31966908" w:history="1">
        <w:r w:rsidR="00036EEF" w:rsidRPr="008D0F9C">
          <w:rPr>
            <w:rStyle w:val="Hyperlink"/>
            <w:noProof/>
          </w:rPr>
          <w:t>Impact on Employment Recruitment and Retention</w:t>
        </w:r>
        <w:r w:rsidR="00036EEF">
          <w:rPr>
            <w:noProof/>
            <w:webHidden/>
          </w:rPr>
          <w:tab/>
        </w:r>
        <w:r w:rsidR="00036EEF">
          <w:rPr>
            <w:noProof/>
            <w:webHidden/>
          </w:rPr>
          <w:fldChar w:fldCharType="begin"/>
        </w:r>
        <w:r w:rsidR="00036EEF">
          <w:rPr>
            <w:noProof/>
            <w:webHidden/>
          </w:rPr>
          <w:instrText xml:space="preserve"> PAGEREF _Toc31966908 \h </w:instrText>
        </w:r>
        <w:r w:rsidR="00036EEF">
          <w:rPr>
            <w:noProof/>
            <w:webHidden/>
          </w:rPr>
        </w:r>
        <w:r w:rsidR="00036EEF">
          <w:rPr>
            <w:noProof/>
            <w:webHidden/>
          </w:rPr>
          <w:fldChar w:fldCharType="separate"/>
        </w:r>
        <w:r w:rsidR="00036EEF">
          <w:rPr>
            <w:noProof/>
            <w:webHidden/>
          </w:rPr>
          <w:t>7</w:t>
        </w:r>
        <w:r w:rsidR="00036EEF">
          <w:rPr>
            <w:noProof/>
            <w:webHidden/>
          </w:rPr>
          <w:fldChar w:fldCharType="end"/>
        </w:r>
      </w:hyperlink>
    </w:p>
    <w:p w14:paraId="11E7F0EE" w14:textId="77777777" w:rsidR="00036EEF" w:rsidRDefault="00000000">
      <w:pPr>
        <w:pStyle w:val="TOC2"/>
        <w:rPr>
          <w:rFonts w:eastAsiaTheme="minorEastAsia"/>
          <w:noProof/>
        </w:rPr>
      </w:pPr>
      <w:hyperlink w:anchor="_Toc31966909" w:history="1">
        <w:r w:rsidR="00036EEF" w:rsidRPr="008D0F9C">
          <w:rPr>
            <w:rStyle w:val="Hyperlink"/>
            <w:noProof/>
          </w:rPr>
          <w:t>Impact on Consumer Expenditures</w:t>
        </w:r>
        <w:r w:rsidR="00036EEF">
          <w:rPr>
            <w:noProof/>
            <w:webHidden/>
          </w:rPr>
          <w:tab/>
        </w:r>
        <w:r w:rsidR="00036EEF">
          <w:rPr>
            <w:noProof/>
            <w:webHidden/>
          </w:rPr>
          <w:fldChar w:fldCharType="begin"/>
        </w:r>
        <w:r w:rsidR="00036EEF">
          <w:rPr>
            <w:noProof/>
            <w:webHidden/>
          </w:rPr>
          <w:instrText xml:space="preserve"> PAGEREF _Toc31966909 \h </w:instrText>
        </w:r>
        <w:r w:rsidR="00036EEF">
          <w:rPr>
            <w:noProof/>
            <w:webHidden/>
          </w:rPr>
        </w:r>
        <w:r w:rsidR="00036EEF">
          <w:rPr>
            <w:noProof/>
            <w:webHidden/>
          </w:rPr>
          <w:fldChar w:fldCharType="separate"/>
        </w:r>
        <w:r w:rsidR="00036EEF">
          <w:rPr>
            <w:noProof/>
            <w:webHidden/>
          </w:rPr>
          <w:t>8</w:t>
        </w:r>
        <w:r w:rsidR="00036EEF">
          <w:rPr>
            <w:noProof/>
            <w:webHidden/>
          </w:rPr>
          <w:fldChar w:fldCharType="end"/>
        </w:r>
      </w:hyperlink>
    </w:p>
    <w:p w14:paraId="0A128C38" w14:textId="77777777" w:rsidR="00036EEF" w:rsidRDefault="00000000">
      <w:pPr>
        <w:pStyle w:val="TOC2"/>
        <w:rPr>
          <w:rFonts w:eastAsiaTheme="minorEastAsia"/>
          <w:noProof/>
        </w:rPr>
      </w:pPr>
      <w:hyperlink w:anchor="_Toc31966910" w:history="1">
        <w:r w:rsidR="00036EEF" w:rsidRPr="008D0F9C">
          <w:rPr>
            <w:rStyle w:val="Hyperlink"/>
            <w:noProof/>
          </w:rPr>
          <w:t>Impact on Demand for Social Service Subsidies</w:t>
        </w:r>
        <w:r w:rsidR="00036EEF">
          <w:rPr>
            <w:noProof/>
            <w:webHidden/>
          </w:rPr>
          <w:tab/>
        </w:r>
        <w:r w:rsidR="00036EEF">
          <w:rPr>
            <w:noProof/>
            <w:webHidden/>
          </w:rPr>
          <w:fldChar w:fldCharType="begin"/>
        </w:r>
        <w:r w:rsidR="00036EEF">
          <w:rPr>
            <w:noProof/>
            <w:webHidden/>
          </w:rPr>
          <w:instrText xml:space="preserve"> PAGEREF _Toc31966910 \h </w:instrText>
        </w:r>
        <w:r w:rsidR="00036EEF">
          <w:rPr>
            <w:noProof/>
            <w:webHidden/>
          </w:rPr>
        </w:r>
        <w:r w:rsidR="00036EEF">
          <w:rPr>
            <w:noProof/>
            <w:webHidden/>
          </w:rPr>
          <w:fldChar w:fldCharType="separate"/>
        </w:r>
        <w:r w:rsidR="00036EEF">
          <w:rPr>
            <w:noProof/>
            <w:webHidden/>
          </w:rPr>
          <w:t>8</w:t>
        </w:r>
        <w:r w:rsidR="00036EEF">
          <w:rPr>
            <w:noProof/>
            <w:webHidden/>
          </w:rPr>
          <w:fldChar w:fldCharType="end"/>
        </w:r>
      </w:hyperlink>
    </w:p>
    <w:p w14:paraId="0499E4D6" w14:textId="77777777" w:rsidR="00036EEF" w:rsidRDefault="00000000">
      <w:pPr>
        <w:pStyle w:val="TOC1"/>
        <w:rPr>
          <w:rFonts w:eastAsiaTheme="minorEastAsia"/>
          <w:noProof/>
        </w:rPr>
      </w:pPr>
      <w:hyperlink w:anchor="_Toc31966911" w:history="1">
        <w:r w:rsidR="00036EEF" w:rsidRPr="008D0F9C">
          <w:rPr>
            <w:rStyle w:val="Hyperlink"/>
            <w:noProof/>
          </w:rPr>
          <w:t>Sources</w:t>
        </w:r>
        <w:r w:rsidR="00036EEF">
          <w:rPr>
            <w:noProof/>
            <w:webHidden/>
          </w:rPr>
          <w:tab/>
        </w:r>
        <w:r w:rsidR="00036EEF">
          <w:rPr>
            <w:noProof/>
            <w:webHidden/>
          </w:rPr>
          <w:fldChar w:fldCharType="begin"/>
        </w:r>
        <w:r w:rsidR="00036EEF">
          <w:rPr>
            <w:noProof/>
            <w:webHidden/>
          </w:rPr>
          <w:instrText xml:space="preserve"> PAGEREF _Toc31966911 \h </w:instrText>
        </w:r>
        <w:r w:rsidR="00036EEF">
          <w:rPr>
            <w:noProof/>
            <w:webHidden/>
          </w:rPr>
        </w:r>
        <w:r w:rsidR="00036EEF">
          <w:rPr>
            <w:noProof/>
            <w:webHidden/>
          </w:rPr>
          <w:fldChar w:fldCharType="separate"/>
        </w:r>
        <w:r w:rsidR="00036EEF">
          <w:rPr>
            <w:noProof/>
            <w:webHidden/>
          </w:rPr>
          <w:t>8</w:t>
        </w:r>
        <w:r w:rsidR="00036EEF">
          <w:rPr>
            <w:noProof/>
            <w:webHidden/>
          </w:rPr>
          <w:fldChar w:fldCharType="end"/>
        </w:r>
      </w:hyperlink>
    </w:p>
    <w:p w14:paraId="1EECAAD4" w14:textId="77777777" w:rsidR="00036EEF" w:rsidRDefault="00000000">
      <w:pPr>
        <w:pStyle w:val="TOC1"/>
        <w:rPr>
          <w:rFonts w:eastAsiaTheme="minorEastAsia"/>
          <w:noProof/>
        </w:rPr>
      </w:pPr>
      <w:hyperlink w:anchor="_Toc31966912" w:history="1">
        <w:r w:rsidR="00036EEF" w:rsidRPr="008D0F9C">
          <w:rPr>
            <w:rStyle w:val="Hyperlink"/>
            <w:noProof/>
          </w:rPr>
          <w:t>Appendix A</w:t>
        </w:r>
        <w:r w:rsidR="00036EEF">
          <w:rPr>
            <w:noProof/>
            <w:webHidden/>
          </w:rPr>
          <w:tab/>
        </w:r>
        <w:r w:rsidR="00036EEF">
          <w:rPr>
            <w:noProof/>
            <w:webHidden/>
          </w:rPr>
          <w:fldChar w:fldCharType="begin"/>
        </w:r>
        <w:r w:rsidR="00036EEF">
          <w:rPr>
            <w:noProof/>
            <w:webHidden/>
          </w:rPr>
          <w:instrText xml:space="preserve"> PAGEREF _Toc31966912 \h </w:instrText>
        </w:r>
        <w:r w:rsidR="00036EEF">
          <w:rPr>
            <w:noProof/>
            <w:webHidden/>
          </w:rPr>
        </w:r>
        <w:r w:rsidR="00036EEF">
          <w:rPr>
            <w:noProof/>
            <w:webHidden/>
          </w:rPr>
          <w:fldChar w:fldCharType="separate"/>
        </w:r>
        <w:r w:rsidR="00036EEF">
          <w:rPr>
            <w:noProof/>
            <w:webHidden/>
          </w:rPr>
          <w:t>8</w:t>
        </w:r>
        <w:r w:rsidR="00036EEF">
          <w:rPr>
            <w:noProof/>
            <w:webHidden/>
          </w:rPr>
          <w:fldChar w:fldCharType="end"/>
        </w:r>
      </w:hyperlink>
    </w:p>
    <w:p w14:paraId="78624C9F" w14:textId="77777777" w:rsidR="00036EEF" w:rsidRDefault="00000000">
      <w:pPr>
        <w:pStyle w:val="TOC2"/>
        <w:rPr>
          <w:rFonts w:eastAsiaTheme="minorEastAsia"/>
          <w:noProof/>
        </w:rPr>
      </w:pPr>
      <w:hyperlink w:anchor="_Toc31966913" w:history="1">
        <w:r w:rsidR="00036EEF" w:rsidRPr="008D0F9C">
          <w:rPr>
            <w:rStyle w:val="Hyperlink"/>
            <w:noProof/>
          </w:rPr>
          <w:t>Statutory Mandate</w:t>
        </w:r>
        <w:r w:rsidR="00036EEF">
          <w:rPr>
            <w:noProof/>
            <w:webHidden/>
          </w:rPr>
          <w:tab/>
        </w:r>
        <w:r w:rsidR="00036EEF">
          <w:rPr>
            <w:noProof/>
            <w:webHidden/>
          </w:rPr>
          <w:fldChar w:fldCharType="begin"/>
        </w:r>
        <w:r w:rsidR="00036EEF">
          <w:rPr>
            <w:noProof/>
            <w:webHidden/>
          </w:rPr>
          <w:instrText xml:space="preserve"> PAGEREF _Toc31966913 \h </w:instrText>
        </w:r>
        <w:r w:rsidR="00036EEF">
          <w:rPr>
            <w:noProof/>
            <w:webHidden/>
          </w:rPr>
        </w:r>
        <w:r w:rsidR="00036EEF">
          <w:rPr>
            <w:noProof/>
            <w:webHidden/>
          </w:rPr>
          <w:fldChar w:fldCharType="separate"/>
        </w:r>
        <w:r w:rsidR="00036EEF">
          <w:rPr>
            <w:noProof/>
            <w:webHidden/>
          </w:rPr>
          <w:t>8</w:t>
        </w:r>
        <w:r w:rsidR="00036EEF">
          <w:rPr>
            <w:noProof/>
            <w:webHidden/>
          </w:rPr>
          <w:fldChar w:fldCharType="end"/>
        </w:r>
      </w:hyperlink>
    </w:p>
    <w:p w14:paraId="6E226625" w14:textId="77777777" w:rsidR="00036EEF" w:rsidRDefault="00000000">
      <w:pPr>
        <w:pStyle w:val="TOC1"/>
        <w:rPr>
          <w:rFonts w:eastAsiaTheme="minorEastAsia"/>
          <w:noProof/>
        </w:rPr>
      </w:pPr>
      <w:hyperlink w:anchor="_Toc31966914" w:history="1">
        <w:r w:rsidR="00036EEF" w:rsidRPr="008D0F9C">
          <w:rPr>
            <w:rStyle w:val="Hyperlink"/>
            <w:noProof/>
          </w:rPr>
          <w:t>Appendix B</w:t>
        </w:r>
        <w:r w:rsidR="00036EEF">
          <w:rPr>
            <w:noProof/>
            <w:webHidden/>
          </w:rPr>
          <w:tab/>
        </w:r>
        <w:r w:rsidR="00036EEF">
          <w:rPr>
            <w:noProof/>
            <w:webHidden/>
          </w:rPr>
          <w:fldChar w:fldCharType="begin"/>
        </w:r>
        <w:r w:rsidR="00036EEF">
          <w:rPr>
            <w:noProof/>
            <w:webHidden/>
          </w:rPr>
          <w:instrText xml:space="preserve"> PAGEREF _Toc31966914 \h </w:instrText>
        </w:r>
        <w:r w:rsidR="00036EEF">
          <w:rPr>
            <w:noProof/>
            <w:webHidden/>
          </w:rPr>
        </w:r>
        <w:r w:rsidR="00036EEF">
          <w:rPr>
            <w:noProof/>
            <w:webHidden/>
          </w:rPr>
          <w:fldChar w:fldCharType="separate"/>
        </w:r>
        <w:r w:rsidR="00036EEF">
          <w:rPr>
            <w:noProof/>
            <w:webHidden/>
          </w:rPr>
          <w:t>9</w:t>
        </w:r>
        <w:r w:rsidR="00036EEF">
          <w:rPr>
            <w:noProof/>
            <w:webHidden/>
          </w:rPr>
          <w:fldChar w:fldCharType="end"/>
        </w:r>
      </w:hyperlink>
    </w:p>
    <w:p w14:paraId="38B59958" w14:textId="77777777" w:rsidR="00036EEF" w:rsidRDefault="00000000">
      <w:pPr>
        <w:pStyle w:val="TOC2"/>
        <w:rPr>
          <w:rFonts w:eastAsiaTheme="minorEastAsia"/>
          <w:noProof/>
        </w:rPr>
      </w:pPr>
      <w:hyperlink w:anchor="_Toc31966915" w:history="1">
        <w:r w:rsidR="00036EEF" w:rsidRPr="008D0F9C">
          <w:rPr>
            <w:rStyle w:val="Hyperlink"/>
            <w:noProof/>
          </w:rPr>
          <w:t>Cost of Living Study Data Sources</w:t>
        </w:r>
        <w:r w:rsidR="00036EEF">
          <w:rPr>
            <w:noProof/>
            <w:webHidden/>
          </w:rPr>
          <w:tab/>
        </w:r>
        <w:r w:rsidR="00036EEF">
          <w:rPr>
            <w:noProof/>
            <w:webHidden/>
          </w:rPr>
          <w:fldChar w:fldCharType="begin"/>
        </w:r>
        <w:r w:rsidR="00036EEF">
          <w:rPr>
            <w:noProof/>
            <w:webHidden/>
          </w:rPr>
          <w:instrText xml:space="preserve"> PAGEREF _Toc31966915 \h </w:instrText>
        </w:r>
        <w:r w:rsidR="00036EEF">
          <w:rPr>
            <w:noProof/>
            <w:webHidden/>
          </w:rPr>
        </w:r>
        <w:r w:rsidR="00036EEF">
          <w:rPr>
            <w:noProof/>
            <w:webHidden/>
          </w:rPr>
          <w:fldChar w:fldCharType="separate"/>
        </w:r>
        <w:r w:rsidR="00036EEF">
          <w:rPr>
            <w:noProof/>
            <w:webHidden/>
          </w:rPr>
          <w:t>9</w:t>
        </w:r>
        <w:r w:rsidR="00036EEF">
          <w:rPr>
            <w:noProof/>
            <w:webHidden/>
          </w:rPr>
          <w:fldChar w:fldCharType="end"/>
        </w:r>
      </w:hyperlink>
    </w:p>
    <w:p w14:paraId="29C8A135" w14:textId="77777777" w:rsidR="00036EEF" w:rsidRDefault="00000000">
      <w:pPr>
        <w:pStyle w:val="TOC1"/>
        <w:rPr>
          <w:rFonts w:eastAsiaTheme="minorEastAsia"/>
          <w:noProof/>
        </w:rPr>
      </w:pPr>
      <w:hyperlink w:anchor="_Toc31966916" w:history="1">
        <w:r w:rsidR="00036EEF" w:rsidRPr="008D0F9C">
          <w:rPr>
            <w:rStyle w:val="Hyperlink"/>
            <w:noProof/>
          </w:rPr>
          <w:t>Appendix C</w:t>
        </w:r>
        <w:r w:rsidR="00036EEF">
          <w:rPr>
            <w:noProof/>
            <w:webHidden/>
          </w:rPr>
          <w:tab/>
        </w:r>
        <w:r w:rsidR="00036EEF">
          <w:rPr>
            <w:noProof/>
            <w:webHidden/>
          </w:rPr>
          <w:fldChar w:fldCharType="begin"/>
        </w:r>
        <w:r w:rsidR="00036EEF">
          <w:rPr>
            <w:noProof/>
            <w:webHidden/>
          </w:rPr>
          <w:instrText xml:space="preserve"> PAGEREF _Toc31966916 \h </w:instrText>
        </w:r>
        <w:r w:rsidR="00036EEF">
          <w:rPr>
            <w:noProof/>
            <w:webHidden/>
          </w:rPr>
        </w:r>
        <w:r w:rsidR="00036EEF">
          <w:rPr>
            <w:noProof/>
            <w:webHidden/>
          </w:rPr>
          <w:fldChar w:fldCharType="separate"/>
        </w:r>
        <w:r w:rsidR="00036EEF">
          <w:rPr>
            <w:noProof/>
            <w:webHidden/>
          </w:rPr>
          <w:t>9</w:t>
        </w:r>
        <w:r w:rsidR="00036EEF">
          <w:rPr>
            <w:noProof/>
            <w:webHidden/>
          </w:rPr>
          <w:fldChar w:fldCharType="end"/>
        </w:r>
      </w:hyperlink>
    </w:p>
    <w:p w14:paraId="10DD38BC" w14:textId="77777777" w:rsidR="00036EEF" w:rsidRDefault="00000000">
      <w:pPr>
        <w:pStyle w:val="TOC2"/>
        <w:rPr>
          <w:rFonts w:eastAsiaTheme="minorEastAsia"/>
          <w:noProof/>
        </w:rPr>
      </w:pPr>
      <w:hyperlink w:anchor="_Toc31966917" w:history="1">
        <w:r w:rsidR="00036EEF" w:rsidRPr="008D0F9C">
          <w:rPr>
            <w:rStyle w:val="Hyperlink"/>
            <w:noProof/>
          </w:rPr>
          <w:t>Minnesota Economic Development Regions</w:t>
        </w:r>
        <w:r w:rsidR="00036EEF">
          <w:rPr>
            <w:noProof/>
            <w:webHidden/>
          </w:rPr>
          <w:tab/>
        </w:r>
        <w:r w:rsidR="00036EEF">
          <w:rPr>
            <w:noProof/>
            <w:webHidden/>
          </w:rPr>
          <w:fldChar w:fldCharType="begin"/>
        </w:r>
        <w:r w:rsidR="00036EEF">
          <w:rPr>
            <w:noProof/>
            <w:webHidden/>
          </w:rPr>
          <w:instrText xml:space="preserve"> PAGEREF _Toc31966917 \h </w:instrText>
        </w:r>
        <w:r w:rsidR="00036EEF">
          <w:rPr>
            <w:noProof/>
            <w:webHidden/>
          </w:rPr>
        </w:r>
        <w:r w:rsidR="00036EEF">
          <w:rPr>
            <w:noProof/>
            <w:webHidden/>
          </w:rPr>
          <w:fldChar w:fldCharType="separate"/>
        </w:r>
        <w:r w:rsidR="00036EEF">
          <w:rPr>
            <w:noProof/>
            <w:webHidden/>
          </w:rPr>
          <w:t>9</w:t>
        </w:r>
        <w:r w:rsidR="00036EEF">
          <w:rPr>
            <w:noProof/>
            <w:webHidden/>
          </w:rPr>
          <w:fldChar w:fldCharType="end"/>
        </w:r>
      </w:hyperlink>
    </w:p>
    <w:p w14:paraId="11D64CE8" w14:textId="77777777" w:rsidR="00153C8D" w:rsidRDefault="00DA6FE3" w:rsidP="00701553">
      <w:pPr>
        <w:pStyle w:val="Heading1"/>
      </w:pPr>
      <w:r>
        <w:fldChar w:fldCharType="end"/>
      </w:r>
      <w:bookmarkStart w:id="0" w:name="_Toc31966899"/>
      <w:r w:rsidR="00153C8D">
        <w:t>Introduction</w:t>
      </w:r>
      <w:bookmarkEnd w:id="0"/>
    </w:p>
    <w:p w14:paraId="65511421" w14:textId="0914E518" w:rsidR="00153C8D" w:rsidRDefault="00153C8D" w:rsidP="00153C8D">
      <w:pPr>
        <w:pStyle w:val="BodyText"/>
      </w:pPr>
      <w:r>
        <w:t xml:space="preserve">The </w:t>
      </w:r>
      <w:proofErr w:type="gramStart"/>
      <w:r>
        <w:t>Cost of Living</w:t>
      </w:r>
      <w:proofErr w:type="gramEnd"/>
      <w:r>
        <w:t xml:space="preserve"> Study provides an estimate of a basic-needs cost of living in Minnesota for individuals and for various family sizes, by county, region, and statewide. The study examines living costs in seven cost categories: food, housing, health care, transportation, </w:t>
      </w:r>
      <w:r w:rsidR="00F83C09">
        <w:t>childcare</w:t>
      </w:r>
      <w:r>
        <w:t>, other</w:t>
      </w:r>
      <w:r w:rsidR="00701553">
        <w:t xml:space="preserve"> necessities, and net taxes.</w:t>
      </w:r>
      <w:r w:rsidR="00742BFE">
        <w:t xml:space="preserve"> </w:t>
      </w:r>
      <w:r w:rsidR="00701553">
        <w:t>[1]</w:t>
      </w:r>
    </w:p>
    <w:p w14:paraId="727E2A80" w14:textId="77777777" w:rsidR="00153C8D" w:rsidRDefault="00153C8D" w:rsidP="00153C8D">
      <w:pPr>
        <w:pStyle w:val="BodyText"/>
      </w:pPr>
      <w:r>
        <w:t xml:space="preserve">The Labor Market Information </w:t>
      </w:r>
      <w:r w:rsidR="005F1498">
        <w:t xml:space="preserve">(LMI) </w:t>
      </w:r>
      <w:r>
        <w:t>office of the Department of Employment and Economic Development (DEED) is mandated by Minnesota Statutes 2013, chapter 116J, section 13 to report every February on the year’s updated Cost of Living Study results and to provide analysis and recommendations to aid in the assessment of employment and economic development plann</w:t>
      </w:r>
      <w:r w:rsidR="00701553">
        <w:t>ing needs throughout the state.</w:t>
      </w:r>
    </w:p>
    <w:p w14:paraId="6D315BA5" w14:textId="77777777" w:rsidR="00153C8D" w:rsidRDefault="00153C8D" w:rsidP="00701553">
      <w:pPr>
        <w:pStyle w:val="Heading2"/>
      </w:pPr>
      <w:bookmarkStart w:id="1" w:name="_Toc31966900"/>
      <w:r>
        <w:t>Study Mission and Purpose</w:t>
      </w:r>
      <w:bookmarkEnd w:id="1"/>
    </w:p>
    <w:p w14:paraId="1995BF8E" w14:textId="77777777" w:rsidR="00153C8D" w:rsidRDefault="00153C8D" w:rsidP="00153C8D">
      <w:pPr>
        <w:pStyle w:val="BodyText"/>
      </w:pPr>
      <w:r>
        <w:t xml:space="preserve">The mission of the </w:t>
      </w:r>
      <w:proofErr w:type="gramStart"/>
      <w:r>
        <w:t>Cost of Living</w:t>
      </w:r>
      <w:proofErr w:type="gramEnd"/>
      <w:r>
        <w:t xml:space="preserve"> Study is to estimate a basic-needs cost of living in Minnesota for individuals and families, by county, region, and statewide. The study examines living costs in seven cost categories: food, housing, health care, transportation, childcare, other necessities, and net taxes.</w:t>
      </w:r>
    </w:p>
    <w:p w14:paraId="20E272BE" w14:textId="77777777" w:rsidR="00153C8D" w:rsidRDefault="00153C8D" w:rsidP="00153C8D">
      <w:pPr>
        <w:pStyle w:val="BodyText"/>
      </w:pPr>
      <w:r>
        <w:lastRenderedPageBreak/>
        <w:t>The Cost of Living represents neither a poverty living nor a middle-class living but rather a simple living that meets basi</w:t>
      </w:r>
      <w:r w:rsidR="00701553">
        <w:t xml:space="preserve">c needs for health and safety. </w:t>
      </w:r>
    </w:p>
    <w:p w14:paraId="2A58B9CB" w14:textId="77777777" w:rsidR="00153C8D" w:rsidRDefault="00153C8D" w:rsidP="00153C8D">
      <w:pPr>
        <w:pStyle w:val="BodyText"/>
      </w:pPr>
      <w:r>
        <w:t>To meet the mandate of a basic</w:t>
      </w:r>
      <w:r w:rsidR="00DF4941">
        <w:t xml:space="preserve"> </w:t>
      </w:r>
      <w:r>
        <w:t>needs living study, the following costs are e</w:t>
      </w:r>
      <w:r w:rsidR="005E7D13">
        <w:t>xcluded, even though several may be</w:t>
      </w:r>
      <w:r>
        <w:t xml:space="preserve"> part of a normal, healthy life: savings, vacations, entertainment, ea</w:t>
      </w:r>
      <w:r w:rsidR="00701553">
        <w:t>ting out, tobacco, and alcohol.</w:t>
      </w:r>
    </w:p>
    <w:p w14:paraId="28DC6143" w14:textId="77777777" w:rsidR="00153C8D" w:rsidRDefault="00153C8D" w:rsidP="00153C8D">
      <w:pPr>
        <w:pStyle w:val="BodyText"/>
      </w:pPr>
      <w:r>
        <w:t xml:space="preserve">Rather than describing what families are spending, as the Consumer Expenditure Survey does, the </w:t>
      </w:r>
      <w:proofErr w:type="gramStart"/>
      <w:r>
        <w:t>Cost of Living</w:t>
      </w:r>
      <w:proofErr w:type="gramEnd"/>
      <w:r>
        <w:t xml:space="preserve"> study examines the cost of basic needs. For example, we might buy one apple for our two children and split it in half if that’s all we can afford. That’s our spending. But our family </w:t>
      </w:r>
      <w:proofErr w:type="gramStart"/>
      <w:r>
        <w:t>actually needs</w:t>
      </w:r>
      <w:proofErr w:type="gramEnd"/>
      <w:r>
        <w:t xml:space="preserve"> two</w:t>
      </w:r>
      <w:r w:rsidR="00701553">
        <w:t xml:space="preserve"> apples. That’s our basic need.</w:t>
      </w:r>
    </w:p>
    <w:p w14:paraId="298C09E1" w14:textId="77777777" w:rsidR="00153C8D" w:rsidRDefault="00153C8D" w:rsidP="00153C8D">
      <w:pPr>
        <w:pStyle w:val="BodyText"/>
      </w:pPr>
      <w:r>
        <w:t>And rather than looking at the rate of change over time as the Consumer Price Index does, the Cost of Living looks at dollar costs. As shoppers, we don’t ask the cashier how many percentage points higher the apple’s price is today than the last time we shopped. We ask: How much doe</w:t>
      </w:r>
      <w:r w:rsidR="00701553">
        <w:t>s the apple cost?</w:t>
      </w:r>
    </w:p>
    <w:p w14:paraId="7C63BB9A" w14:textId="77777777" w:rsidR="00153C8D" w:rsidRDefault="00153C8D" w:rsidP="00153C8D">
      <w:pPr>
        <w:pStyle w:val="BodyText"/>
      </w:pPr>
      <w:r>
        <w:t>The study results constitute an additional economic indicator which may be used by public and private institutions and by individuals. Find the methodology at mn.gov/deed/data</w:t>
      </w:r>
      <w:r w:rsidR="00701553">
        <w:t>/data-tools/col/method-col.jsp.</w:t>
      </w:r>
    </w:p>
    <w:p w14:paraId="1920EBFF" w14:textId="77777777" w:rsidR="00153C8D" w:rsidRDefault="00153C8D" w:rsidP="00701553">
      <w:pPr>
        <w:pStyle w:val="Heading2"/>
      </w:pPr>
      <w:bookmarkStart w:id="2" w:name="_Toc31966901"/>
      <w:r>
        <w:t xml:space="preserve">Typical Uses of the </w:t>
      </w:r>
      <w:proofErr w:type="gramStart"/>
      <w:r>
        <w:t>Cost of Living</w:t>
      </w:r>
      <w:proofErr w:type="gramEnd"/>
      <w:r>
        <w:t xml:space="preserve"> Data</w:t>
      </w:r>
      <w:bookmarkEnd w:id="2"/>
    </w:p>
    <w:p w14:paraId="1F0A6297" w14:textId="6B4B81D9" w:rsidR="00153C8D" w:rsidRDefault="00153C8D" w:rsidP="00153C8D">
      <w:pPr>
        <w:pStyle w:val="BodyText"/>
      </w:pPr>
      <w:r>
        <w:t xml:space="preserve">Employers want to set wages that attract and retain good workers. The </w:t>
      </w:r>
      <w:hyperlink r:id="rId9" w:history="1">
        <w:r w:rsidRPr="006B111C">
          <w:rPr>
            <w:rStyle w:val="Hyperlink"/>
          </w:rPr>
          <w:t>Cost of Living Tool</w:t>
        </w:r>
      </w:hyperlink>
      <w:r>
        <w:t xml:space="preserve"> can help gauge whether a wage in a certain county will pay the</w:t>
      </w:r>
      <w:r w:rsidR="00701553">
        <w:t xml:space="preserve"> bills and keep workers afloat.</w:t>
      </w:r>
    </w:p>
    <w:p w14:paraId="6C75033C" w14:textId="434196D5" w:rsidR="00153C8D" w:rsidRDefault="00153C8D" w:rsidP="00153C8D">
      <w:pPr>
        <w:pStyle w:val="BodyText"/>
      </w:pPr>
      <w:r>
        <w:t>Job seekers want to know which kinds of work will cove</w:t>
      </w:r>
      <w:r w:rsidR="00701553">
        <w:t>r family costs in their county.</w:t>
      </w:r>
    </w:p>
    <w:p w14:paraId="46443309" w14:textId="17313BD7" w:rsidR="00267AE1" w:rsidRDefault="00267AE1" w:rsidP="00153C8D">
      <w:pPr>
        <w:pStyle w:val="BodyText"/>
      </w:pPr>
      <w:r>
        <w:t xml:space="preserve">Students, </w:t>
      </w:r>
      <w:proofErr w:type="gramStart"/>
      <w:r>
        <w:t>parents</w:t>
      </w:r>
      <w:proofErr w:type="gramEnd"/>
      <w:r>
        <w:t xml:space="preserve"> and career explorers what to know which educational programs are likely to qualify them for jobs that will support themselves and their families.</w:t>
      </w:r>
    </w:p>
    <w:p w14:paraId="600A0078" w14:textId="77777777" w:rsidR="00153C8D" w:rsidRDefault="00153C8D" w:rsidP="00153C8D">
      <w:pPr>
        <w:pStyle w:val="BodyText"/>
      </w:pPr>
      <w:r>
        <w:t>Workforce development service providers want to know what wages, if met, are likely to secure a self-supporting career for the client job seeker, thus reducing the need for re-entry into services.</w:t>
      </w:r>
    </w:p>
    <w:p w14:paraId="7AC0D62E" w14:textId="77777777" w:rsidR="00701553" w:rsidRDefault="00153C8D" w:rsidP="00153C8D">
      <w:pPr>
        <w:pStyle w:val="BodyText"/>
      </w:pPr>
      <w:r>
        <w:t>Policy makers and planners want to know if the need for public subsidies is likely to rise or fall. Regional wages that meet or exceed the cost of living can signal reduced need for subsidies.</w:t>
      </w:r>
    </w:p>
    <w:p w14:paraId="52E593B4" w14:textId="77777777" w:rsidR="00153C8D" w:rsidRDefault="00153C8D" w:rsidP="00153C8D">
      <w:pPr>
        <w:pStyle w:val="BodyText"/>
      </w:pPr>
      <w:r>
        <w:t xml:space="preserve">Policy makers and planners also want to monitor the potential for consumer expenditures which can drive future economic growth. Regional wages that meet or exceed the cost of living can signal a potential for </w:t>
      </w:r>
      <w:r w:rsidR="00701553">
        <w:t>stronger consumer expenditures</w:t>
      </w:r>
      <w:r w:rsidR="005E7D13">
        <w:t xml:space="preserve"> and</w:t>
      </w:r>
      <w:r w:rsidR="00647FC9">
        <w:t xml:space="preserve"> a</w:t>
      </w:r>
      <w:r w:rsidR="005E7D13">
        <w:t xml:space="preserve"> stronger regional economy</w:t>
      </w:r>
      <w:r w:rsidR="00701553">
        <w:t>.</w:t>
      </w:r>
    </w:p>
    <w:p w14:paraId="4C6036EF" w14:textId="77777777" w:rsidR="00153C8D" w:rsidRDefault="00153C8D" w:rsidP="00701553">
      <w:pPr>
        <w:pStyle w:val="Heading1"/>
      </w:pPr>
      <w:bookmarkStart w:id="3" w:name="_Toc31966902"/>
      <w:r>
        <w:t xml:space="preserve">Results and Analysis Statewide and by </w:t>
      </w:r>
      <w:proofErr w:type="gramStart"/>
      <w:r>
        <w:t>Region</w:t>
      </w:r>
      <w:bookmarkEnd w:id="3"/>
      <w:proofErr w:type="gramEnd"/>
    </w:p>
    <w:p w14:paraId="222840CC" w14:textId="77777777" w:rsidR="00153C8D" w:rsidRDefault="00153C8D" w:rsidP="00153C8D">
      <w:pPr>
        <w:pStyle w:val="BodyText"/>
      </w:pPr>
      <w:r>
        <w:t>Costs for a Minnesota family of three are shown for the state as a whole and for each of Minnesota’s thirteen Economic Development Regions (EDRs). Results for the state and for each region are derived as a population-weighted average of results for the constituent counties. Calculating a weighted average helps correct for any biases in the data that might result from differences between those included in the study sample and the actual</w:t>
      </w:r>
      <w:r w:rsidR="00701553">
        <w:t xml:space="preserve"> population.</w:t>
      </w:r>
    </w:p>
    <w:p w14:paraId="7D4AA101" w14:textId="77777777" w:rsidR="00153C8D" w:rsidRDefault="00153C8D" w:rsidP="00153C8D">
      <w:pPr>
        <w:pStyle w:val="BodyText"/>
      </w:pPr>
      <w:r>
        <w:t>The study expresses the cost of living as a yearly sum and an hourly rate, in addition to breaking out monthly costs in eac</w:t>
      </w:r>
      <w:r w:rsidR="007D5E02">
        <w:t>h of the seven cost categories.</w:t>
      </w:r>
    </w:p>
    <w:p w14:paraId="330FADD5" w14:textId="01430CF8" w:rsidR="00153C8D" w:rsidRPr="009B1B63" w:rsidRDefault="00153C8D" w:rsidP="00153C8D">
      <w:pPr>
        <w:pStyle w:val="BodyText"/>
      </w:pPr>
      <w:r>
        <w:lastRenderedPageBreak/>
        <w:t xml:space="preserve">The hourly wage analysis </w:t>
      </w:r>
      <w:r w:rsidRPr="009B1B63">
        <w:t xml:space="preserve">compares data from the Cost of Living Study with employment data from the </w:t>
      </w:r>
      <w:hyperlink r:id="rId10" w:history="1">
        <w:r w:rsidRPr="006B111C">
          <w:rPr>
            <w:rStyle w:val="Hyperlink"/>
          </w:rPr>
          <w:t xml:space="preserve">Occupational Employment </w:t>
        </w:r>
        <w:r w:rsidR="00013273" w:rsidRPr="006B111C">
          <w:rPr>
            <w:rStyle w:val="Hyperlink"/>
          </w:rPr>
          <w:t xml:space="preserve">and Wage </w:t>
        </w:r>
        <w:r w:rsidRPr="006B111C">
          <w:rPr>
            <w:rStyle w:val="Hyperlink"/>
          </w:rPr>
          <w:t>Statistics</w:t>
        </w:r>
      </w:hyperlink>
      <w:r w:rsidRPr="009B1B63">
        <w:t xml:space="preserve"> (OE</w:t>
      </w:r>
      <w:r w:rsidR="00013273">
        <w:t>W</w:t>
      </w:r>
      <w:r w:rsidRPr="009B1B63">
        <w:t xml:space="preserve">S) program and job vacancy data from the </w:t>
      </w:r>
      <w:r w:rsidR="00013273">
        <w:t xml:space="preserve">Minnesota </w:t>
      </w:r>
      <w:hyperlink r:id="rId11" w:history="1">
        <w:r w:rsidRPr="006B111C">
          <w:rPr>
            <w:rStyle w:val="Hyperlink"/>
          </w:rPr>
          <w:t>Job Vacancy Survey</w:t>
        </w:r>
      </w:hyperlink>
      <w:r w:rsidRPr="009B1B63">
        <w:t xml:space="preserve"> (JVS). </w:t>
      </w:r>
      <w:r w:rsidR="00C717CA" w:rsidRPr="009B1B63">
        <w:t>[2,3</w:t>
      </w:r>
      <w:r w:rsidR="007427AD" w:rsidRPr="009B1B63">
        <w:t>]</w:t>
      </w:r>
      <w:r w:rsidR="000A540B" w:rsidRPr="009B1B63">
        <w:t xml:space="preserve"> Cost of Living data for 20</w:t>
      </w:r>
      <w:r w:rsidR="00B329D2" w:rsidRPr="009B1B63">
        <w:t>2</w:t>
      </w:r>
      <w:r w:rsidR="00013273">
        <w:t>3</w:t>
      </w:r>
      <w:r w:rsidR="00B329D2" w:rsidRPr="009B1B63">
        <w:t xml:space="preserve"> </w:t>
      </w:r>
      <w:r w:rsidR="002F7163" w:rsidRPr="009B1B63">
        <w:t>is used here.  I</w:t>
      </w:r>
      <w:r w:rsidR="000A540B" w:rsidRPr="009B1B63">
        <w:t>t is compared to the OE</w:t>
      </w:r>
      <w:r w:rsidR="005B5F4D">
        <w:t>W</w:t>
      </w:r>
      <w:r w:rsidR="000A540B" w:rsidRPr="009B1B63">
        <w:t xml:space="preserve">S </w:t>
      </w:r>
      <w:r w:rsidR="002F7163" w:rsidRPr="009B1B63">
        <w:t>wage data from first quarter 20</w:t>
      </w:r>
      <w:r w:rsidR="00F30CBD" w:rsidRPr="009B1B63">
        <w:t>2</w:t>
      </w:r>
      <w:r w:rsidR="00013273">
        <w:t>2</w:t>
      </w:r>
      <w:r w:rsidR="000A540B" w:rsidRPr="009B1B63">
        <w:t xml:space="preserve">. </w:t>
      </w:r>
      <w:r w:rsidR="002F7163" w:rsidRPr="009B1B63">
        <w:t xml:space="preserve">Median wage offers are from the </w:t>
      </w:r>
      <w:r w:rsidR="00013273">
        <w:t>fourth</w:t>
      </w:r>
      <w:r w:rsidR="002F7163" w:rsidRPr="009B1B63">
        <w:t xml:space="preserve"> quarter 20</w:t>
      </w:r>
      <w:r w:rsidR="000F4F1F" w:rsidRPr="009B1B63">
        <w:t>2</w:t>
      </w:r>
      <w:r w:rsidR="00013273">
        <w:t>1</w:t>
      </w:r>
      <w:r w:rsidR="002F7163" w:rsidRPr="009B1B63">
        <w:t xml:space="preserve"> Minnesota Job Vacancy Survey</w:t>
      </w:r>
      <w:r w:rsidR="004E200B" w:rsidRPr="009B1B63">
        <w:t xml:space="preserve"> and represent the larger Planning Region in which the EDR falls</w:t>
      </w:r>
      <w:r w:rsidR="000A540B" w:rsidRPr="009B1B63">
        <w:t>.</w:t>
      </w:r>
    </w:p>
    <w:p w14:paraId="7B8C91A0" w14:textId="77777777" w:rsidR="00153C8D" w:rsidRDefault="00C24C2B" w:rsidP="00153C8D">
      <w:pPr>
        <w:pStyle w:val="BodyText"/>
      </w:pPr>
      <w:r>
        <w:rPr>
          <w:noProof/>
        </w:rPr>
        <w:drawing>
          <wp:inline distT="0" distB="0" distL="0" distR="0" wp14:anchorId="67988EA4" wp14:editId="62A51326">
            <wp:extent cx="2194560" cy="2485596"/>
            <wp:effectExtent l="0" t="0" r="0" b="0"/>
            <wp:docPr id="9" name="Picture 9" title="Minnesota's 13 Economic Development Reg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edrs-all_big.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194560" cy="2485596"/>
                    </a:xfrm>
                    <a:prstGeom prst="rect">
                      <a:avLst/>
                    </a:prstGeom>
                  </pic:spPr>
                </pic:pic>
              </a:graphicData>
            </a:graphic>
          </wp:inline>
        </w:drawing>
      </w:r>
    </w:p>
    <w:p w14:paraId="5ABBB1BE" w14:textId="77777777" w:rsidR="004811CF" w:rsidRDefault="004811CF">
      <w:pPr>
        <w:rPr>
          <w:rFonts w:asciiTheme="majorHAnsi" w:eastAsiaTheme="majorEastAsia" w:hAnsiTheme="majorHAnsi" w:cstheme="majorBidi"/>
          <w:b/>
          <w:color w:val="2E74B5" w:themeColor="accent1" w:themeShade="BF"/>
          <w:sz w:val="26"/>
          <w:szCs w:val="26"/>
        </w:rPr>
      </w:pPr>
      <w:r>
        <w:br w:type="page"/>
      </w:r>
    </w:p>
    <w:p w14:paraId="6D9EA15C" w14:textId="77777777" w:rsidR="00153C8D" w:rsidRPr="004644DF" w:rsidRDefault="00153C8D" w:rsidP="004644DF">
      <w:pPr>
        <w:pStyle w:val="Heading2"/>
      </w:pPr>
      <w:bookmarkStart w:id="4" w:name="_Toc31966903"/>
      <w:r w:rsidRPr="004644DF">
        <w:lastRenderedPageBreak/>
        <w:t>Minnesota Statewide</w:t>
      </w:r>
      <w:bookmarkEnd w:id="4"/>
    </w:p>
    <w:p w14:paraId="79A1305E" w14:textId="7A7316F4" w:rsidR="00153C8D" w:rsidRPr="009B1B63" w:rsidRDefault="00153C8D" w:rsidP="00153C8D">
      <w:pPr>
        <w:pStyle w:val="BodyText"/>
        <w:rPr>
          <w:rStyle w:val="Strong"/>
        </w:rPr>
      </w:pPr>
      <w:r w:rsidRPr="009B1B63">
        <w:rPr>
          <w:rStyle w:val="Strong"/>
        </w:rPr>
        <w:t xml:space="preserve">Annual Costs: </w:t>
      </w:r>
      <w:r w:rsidR="008074FB" w:rsidRPr="009B1B63">
        <w:rPr>
          <w:b/>
          <w:bCs/>
        </w:rPr>
        <w:t>$</w:t>
      </w:r>
      <w:r w:rsidR="0021109B">
        <w:rPr>
          <w:b/>
          <w:bCs/>
        </w:rPr>
        <w:t>60,</w:t>
      </w:r>
      <w:r w:rsidR="00510C19">
        <w:rPr>
          <w:b/>
          <w:bCs/>
        </w:rPr>
        <w:t>720</w:t>
      </w:r>
    </w:p>
    <w:p w14:paraId="37C9805B" w14:textId="5BDE3503" w:rsidR="00153C8D" w:rsidRPr="009B1B63" w:rsidRDefault="008074FB" w:rsidP="00153C8D">
      <w:pPr>
        <w:pStyle w:val="BodyText"/>
        <w:rPr>
          <w:rStyle w:val="Strong"/>
        </w:rPr>
      </w:pPr>
      <w:r w:rsidRPr="009B1B63">
        <w:rPr>
          <w:rStyle w:val="Strong"/>
        </w:rPr>
        <w:t>Hourly Rate: $1</w:t>
      </w:r>
      <w:r w:rsidR="0021109B">
        <w:rPr>
          <w:rStyle w:val="Strong"/>
        </w:rPr>
        <w:t>9</w:t>
      </w:r>
      <w:r w:rsidR="00BC30A8" w:rsidRPr="009B1B63">
        <w:rPr>
          <w:rStyle w:val="Strong"/>
        </w:rPr>
        <w:t>.</w:t>
      </w:r>
      <w:r w:rsidR="0021109B">
        <w:rPr>
          <w:rStyle w:val="Strong"/>
        </w:rPr>
        <w:t>4</w:t>
      </w:r>
      <w:r w:rsidR="00510C19">
        <w:rPr>
          <w:rStyle w:val="Strong"/>
        </w:rPr>
        <w:t>6</w:t>
      </w:r>
    </w:p>
    <w:p w14:paraId="484E06CA" w14:textId="3C5C1B1E" w:rsidR="00153C8D" w:rsidRPr="009B1B63" w:rsidRDefault="00153C8D" w:rsidP="00153C8D">
      <w:pPr>
        <w:pStyle w:val="BodyText"/>
      </w:pPr>
      <w:r w:rsidRPr="009B1B63">
        <w:t xml:space="preserve">Looking at the state of Minnesota as a whole, a typical family of two adults and one child, with one adult working full-time and one part-time for a combined 60 work hours per week, need to earn an estimated family income of </w:t>
      </w:r>
      <w:r w:rsidR="00A04586" w:rsidRPr="009B1B63">
        <w:t>$</w:t>
      </w:r>
      <w:r w:rsidR="0021109B">
        <w:t>60</w:t>
      </w:r>
      <w:r w:rsidR="00A04586" w:rsidRPr="009B1B63">
        <w:t>,</w:t>
      </w:r>
      <w:r w:rsidR="00510C19">
        <w:t>720</w:t>
      </w:r>
      <w:r w:rsidR="00A04586" w:rsidRPr="009B1B63">
        <w:t xml:space="preserve"> </w:t>
      </w:r>
      <w:r w:rsidR="008074FB" w:rsidRPr="009B1B63">
        <w:t>per year and $</w:t>
      </w:r>
      <w:r w:rsidR="00A04586" w:rsidRPr="009B1B63">
        <w:t>1</w:t>
      </w:r>
      <w:r w:rsidR="0021109B">
        <w:t>9</w:t>
      </w:r>
      <w:r w:rsidR="00A04586" w:rsidRPr="009B1B63">
        <w:t>.</w:t>
      </w:r>
      <w:r w:rsidR="0021109B">
        <w:t>4</w:t>
      </w:r>
      <w:r w:rsidR="00510C19">
        <w:t>6</w:t>
      </w:r>
      <w:r w:rsidR="00A04586" w:rsidRPr="009B1B63">
        <w:t xml:space="preserve"> </w:t>
      </w:r>
      <w:r w:rsidRPr="009B1B63">
        <w:t>per hour per worker to maintain a simple living that meets basic needs for health and safety.</w:t>
      </w:r>
    </w:p>
    <w:p w14:paraId="74674427" w14:textId="51DDEA50" w:rsidR="00E26D32" w:rsidRPr="009B1B63" w:rsidRDefault="00153C8D" w:rsidP="00153C8D">
      <w:pPr>
        <w:pStyle w:val="BodyText"/>
      </w:pPr>
      <w:r w:rsidRPr="009B1B63">
        <w:t>The estimated m</w:t>
      </w:r>
      <w:r w:rsidR="008074FB" w:rsidRPr="009B1B63">
        <w:t xml:space="preserve">onthly costs are </w:t>
      </w:r>
      <w:r w:rsidR="00F83C09" w:rsidRPr="009B1B63">
        <w:t>child</w:t>
      </w:r>
      <w:r w:rsidR="00F83C09">
        <w:t>care</w:t>
      </w:r>
      <w:r w:rsidR="008074FB" w:rsidRPr="009B1B63">
        <w:t xml:space="preserve"> $</w:t>
      </w:r>
      <w:r w:rsidR="00BC30A8" w:rsidRPr="009B1B63">
        <w:t>5</w:t>
      </w:r>
      <w:r w:rsidR="0021109B">
        <w:t>7</w:t>
      </w:r>
      <w:r w:rsidR="00510C19">
        <w:t>4</w:t>
      </w:r>
      <w:r w:rsidR="008074FB" w:rsidRPr="009B1B63">
        <w:t>, food $</w:t>
      </w:r>
      <w:r w:rsidR="00510C19">
        <w:t>921</w:t>
      </w:r>
      <w:r w:rsidR="00BC30A8" w:rsidRPr="009B1B63">
        <w:t>,</w:t>
      </w:r>
      <w:r w:rsidR="008074FB" w:rsidRPr="009B1B63">
        <w:t xml:space="preserve"> health care $</w:t>
      </w:r>
      <w:r w:rsidR="00BC30A8" w:rsidRPr="009B1B63">
        <w:t>5</w:t>
      </w:r>
      <w:r w:rsidR="00510C19">
        <w:t>55</w:t>
      </w:r>
      <w:r w:rsidR="008074FB" w:rsidRPr="009B1B63">
        <w:t>, housing $</w:t>
      </w:r>
      <w:r w:rsidR="00BC30A8" w:rsidRPr="009B1B63">
        <w:t>1,</w:t>
      </w:r>
      <w:r w:rsidR="00510C19">
        <w:t>2</w:t>
      </w:r>
      <w:r w:rsidR="0021109B">
        <w:t>1</w:t>
      </w:r>
      <w:r w:rsidR="00510C19">
        <w:t>6</w:t>
      </w:r>
      <w:r w:rsidR="008074FB" w:rsidRPr="009B1B63">
        <w:t>, transportation $</w:t>
      </w:r>
      <w:r w:rsidR="00510C19">
        <w:t>886</w:t>
      </w:r>
      <w:r w:rsidRPr="009B1B63">
        <w:t>, other ne</w:t>
      </w:r>
      <w:r w:rsidR="008074FB" w:rsidRPr="009B1B63">
        <w:t>cessities $</w:t>
      </w:r>
      <w:r w:rsidR="00BC30A8" w:rsidRPr="009B1B63">
        <w:t>5</w:t>
      </w:r>
      <w:r w:rsidR="00510C19">
        <w:t>17</w:t>
      </w:r>
      <w:r w:rsidR="008074FB" w:rsidRPr="009B1B63">
        <w:t>, and taxes $</w:t>
      </w:r>
      <w:r w:rsidR="00510C19">
        <w:t>391</w:t>
      </w:r>
      <w:r w:rsidR="007D5E02" w:rsidRPr="009B1B63">
        <w:t>.</w:t>
      </w:r>
    </w:p>
    <w:p w14:paraId="38AE8507" w14:textId="4F683ADA" w:rsidR="00093192" w:rsidRPr="009B1B63" w:rsidRDefault="00153C8D" w:rsidP="00625D84">
      <w:pPr>
        <w:pStyle w:val="BodyText"/>
      </w:pPr>
      <w:r w:rsidRPr="00ED0C11">
        <w:t>The median wage paid to workers across all occupations in</w:t>
      </w:r>
      <w:r w:rsidR="008074FB" w:rsidRPr="00ED0C11">
        <w:t xml:space="preserve"> Minnesota is </w:t>
      </w:r>
      <w:r w:rsidR="009B1B63" w:rsidRPr="00ED0C11">
        <w:t>1</w:t>
      </w:r>
      <w:r w:rsidR="00ED0C11" w:rsidRPr="00ED0C11">
        <w:t>26</w:t>
      </w:r>
      <w:r w:rsidR="0013546D" w:rsidRPr="00ED0C11">
        <w:t>%</w:t>
      </w:r>
      <w:r w:rsidRPr="00ED0C11">
        <w:t xml:space="preserve"> of the cost of living, while the median wa</w:t>
      </w:r>
      <w:r w:rsidR="00206BF6" w:rsidRPr="00ED0C11">
        <w:t xml:space="preserve">ge offer for job vacancies is </w:t>
      </w:r>
      <w:r w:rsidR="00ED0C11" w:rsidRPr="00ED0C11">
        <w:t>93</w:t>
      </w:r>
      <w:r w:rsidR="00C50445" w:rsidRPr="00ED0C11">
        <w:t>%</w:t>
      </w:r>
      <w:r w:rsidRPr="00ED0C11">
        <w:t xml:space="preserve"> of the cost of living.</w:t>
      </w:r>
    </w:p>
    <w:p w14:paraId="1A3236EF" w14:textId="77777777" w:rsidR="00DF4941" w:rsidRDefault="00DF4941" w:rsidP="0003382E">
      <w:pPr>
        <w:pStyle w:val="Heading1"/>
      </w:pPr>
      <w:bookmarkStart w:id="5" w:name="_Toc31966904"/>
      <w:r>
        <w:t>Economic Development Regions</w:t>
      </w:r>
      <w:bookmarkEnd w:id="5"/>
    </w:p>
    <w:p w14:paraId="13723D0D" w14:textId="77777777" w:rsidR="000E4DEC" w:rsidRPr="000E4DEC" w:rsidRDefault="000E4DEC" w:rsidP="000E4DEC">
      <w:bookmarkStart w:id="6" w:name="OLE_LINK5"/>
      <w:r>
        <w:t>The following table provides the same information as above for each of Minnesota’s Economic Development Regions.</w:t>
      </w:r>
    </w:p>
    <w:tbl>
      <w:tblPr>
        <w:tblW w:w="11106" w:type="dxa"/>
        <w:tblInd w:w="-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0"/>
        <w:gridCol w:w="985"/>
        <w:gridCol w:w="1080"/>
        <w:gridCol w:w="990"/>
        <w:gridCol w:w="720"/>
        <w:gridCol w:w="990"/>
        <w:gridCol w:w="990"/>
        <w:gridCol w:w="1089"/>
        <w:gridCol w:w="801"/>
        <w:gridCol w:w="851"/>
      </w:tblGrid>
      <w:tr w:rsidR="007470AC" w:rsidRPr="007470AC" w14:paraId="226A83FF" w14:textId="77777777" w:rsidTr="000E4DEC">
        <w:trPr>
          <w:trHeight w:val="576"/>
        </w:trPr>
        <w:tc>
          <w:tcPr>
            <w:tcW w:w="2610" w:type="dxa"/>
            <w:shd w:val="clear" w:color="auto" w:fill="auto"/>
            <w:vAlign w:val="bottom"/>
            <w:hideMark/>
          </w:tcPr>
          <w:p w14:paraId="209CE77A" w14:textId="77777777" w:rsidR="000E4DEC" w:rsidRPr="007470AC" w:rsidRDefault="000E4DEC" w:rsidP="000E4DEC">
            <w:pPr>
              <w:spacing w:after="0" w:line="240" w:lineRule="auto"/>
              <w:rPr>
                <w:rFonts w:eastAsia="Times New Roman" w:cstheme="minorHAnsi"/>
              </w:rPr>
            </w:pPr>
            <w:bookmarkStart w:id="7" w:name="OLE_LINK1"/>
            <w:bookmarkStart w:id="8" w:name="OLE_LINK2"/>
            <w:bookmarkStart w:id="9" w:name="OLE_LINK3"/>
            <w:bookmarkStart w:id="10" w:name="OLE_LINK4"/>
            <w:r w:rsidRPr="007470AC">
              <w:rPr>
                <w:rFonts w:eastAsia="Times New Roman" w:cstheme="minorHAnsi"/>
              </w:rPr>
              <w:t>Economic Development Region</w:t>
            </w:r>
          </w:p>
        </w:tc>
        <w:tc>
          <w:tcPr>
            <w:tcW w:w="985" w:type="dxa"/>
            <w:shd w:val="clear" w:color="auto" w:fill="auto"/>
            <w:vAlign w:val="bottom"/>
            <w:hideMark/>
          </w:tcPr>
          <w:p w14:paraId="3E68FF4C" w14:textId="77777777" w:rsidR="000E4DEC" w:rsidRPr="007470AC" w:rsidRDefault="000E4DEC" w:rsidP="000E4DEC">
            <w:pPr>
              <w:spacing w:after="0" w:line="240" w:lineRule="auto"/>
              <w:jc w:val="center"/>
              <w:rPr>
                <w:rFonts w:eastAsia="Times New Roman" w:cstheme="minorHAnsi"/>
              </w:rPr>
            </w:pPr>
            <w:r w:rsidRPr="007470AC">
              <w:rPr>
                <w:rFonts w:eastAsia="Times New Roman" w:cstheme="minorHAnsi"/>
              </w:rPr>
              <w:t>Yearly Cost ($)</w:t>
            </w:r>
          </w:p>
        </w:tc>
        <w:tc>
          <w:tcPr>
            <w:tcW w:w="1080" w:type="dxa"/>
            <w:shd w:val="clear" w:color="auto" w:fill="auto"/>
            <w:vAlign w:val="bottom"/>
            <w:hideMark/>
          </w:tcPr>
          <w:p w14:paraId="5D16E77D" w14:textId="77777777" w:rsidR="000E4DEC" w:rsidRPr="007470AC" w:rsidRDefault="000E4DEC" w:rsidP="000E4DEC">
            <w:pPr>
              <w:spacing w:after="0" w:line="240" w:lineRule="auto"/>
              <w:jc w:val="center"/>
              <w:rPr>
                <w:rFonts w:eastAsia="Times New Roman" w:cstheme="minorHAnsi"/>
              </w:rPr>
            </w:pPr>
            <w:r w:rsidRPr="007470AC">
              <w:rPr>
                <w:rFonts w:eastAsia="Times New Roman" w:cstheme="minorHAnsi"/>
              </w:rPr>
              <w:t>Hourly Wage ($)</w:t>
            </w:r>
          </w:p>
        </w:tc>
        <w:tc>
          <w:tcPr>
            <w:tcW w:w="990" w:type="dxa"/>
            <w:shd w:val="clear" w:color="auto" w:fill="auto"/>
            <w:vAlign w:val="bottom"/>
            <w:hideMark/>
          </w:tcPr>
          <w:p w14:paraId="52BBA14B" w14:textId="77777777" w:rsidR="000E4DEC" w:rsidRPr="007470AC" w:rsidRDefault="000E4DEC" w:rsidP="000E4DEC">
            <w:pPr>
              <w:spacing w:after="0" w:line="240" w:lineRule="auto"/>
              <w:jc w:val="center"/>
              <w:rPr>
                <w:rFonts w:eastAsia="Times New Roman" w:cstheme="minorHAnsi"/>
              </w:rPr>
            </w:pPr>
            <w:r w:rsidRPr="007470AC">
              <w:rPr>
                <w:rFonts w:eastAsia="Times New Roman" w:cstheme="minorHAnsi"/>
              </w:rPr>
              <w:t>Child Care ($)</w:t>
            </w:r>
          </w:p>
        </w:tc>
        <w:tc>
          <w:tcPr>
            <w:tcW w:w="720" w:type="dxa"/>
            <w:shd w:val="clear" w:color="auto" w:fill="auto"/>
            <w:vAlign w:val="bottom"/>
            <w:hideMark/>
          </w:tcPr>
          <w:p w14:paraId="03278FE5" w14:textId="77777777" w:rsidR="000E4DEC" w:rsidRPr="007470AC" w:rsidRDefault="000E4DEC" w:rsidP="000E4DEC">
            <w:pPr>
              <w:spacing w:after="0" w:line="240" w:lineRule="auto"/>
              <w:jc w:val="center"/>
              <w:rPr>
                <w:rFonts w:eastAsia="Times New Roman" w:cstheme="minorHAnsi"/>
              </w:rPr>
            </w:pPr>
            <w:r w:rsidRPr="007470AC">
              <w:rPr>
                <w:rFonts w:eastAsia="Times New Roman" w:cstheme="minorHAnsi"/>
              </w:rPr>
              <w:t>Food ($)</w:t>
            </w:r>
          </w:p>
        </w:tc>
        <w:tc>
          <w:tcPr>
            <w:tcW w:w="990" w:type="dxa"/>
            <w:shd w:val="clear" w:color="auto" w:fill="auto"/>
            <w:vAlign w:val="bottom"/>
            <w:hideMark/>
          </w:tcPr>
          <w:p w14:paraId="1FC7E8E9" w14:textId="77777777" w:rsidR="000E4DEC" w:rsidRPr="007470AC" w:rsidRDefault="000E4DEC" w:rsidP="000E4DEC">
            <w:pPr>
              <w:spacing w:after="0" w:line="240" w:lineRule="auto"/>
              <w:jc w:val="center"/>
              <w:rPr>
                <w:rFonts w:eastAsia="Times New Roman" w:cstheme="minorHAnsi"/>
              </w:rPr>
            </w:pPr>
            <w:r w:rsidRPr="007470AC">
              <w:rPr>
                <w:rFonts w:eastAsia="Times New Roman" w:cstheme="minorHAnsi"/>
              </w:rPr>
              <w:t>Health Care ($)</w:t>
            </w:r>
          </w:p>
        </w:tc>
        <w:tc>
          <w:tcPr>
            <w:tcW w:w="990" w:type="dxa"/>
            <w:shd w:val="clear" w:color="auto" w:fill="auto"/>
            <w:vAlign w:val="bottom"/>
            <w:hideMark/>
          </w:tcPr>
          <w:p w14:paraId="533EE646" w14:textId="77777777" w:rsidR="000E4DEC" w:rsidRPr="007470AC" w:rsidRDefault="000E4DEC" w:rsidP="000E4DEC">
            <w:pPr>
              <w:spacing w:after="0" w:line="240" w:lineRule="auto"/>
              <w:jc w:val="center"/>
              <w:rPr>
                <w:rFonts w:eastAsia="Times New Roman" w:cstheme="minorHAnsi"/>
              </w:rPr>
            </w:pPr>
            <w:r w:rsidRPr="007470AC">
              <w:rPr>
                <w:rFonts w:eastAsia="Times New Roman" w:cstheme="minorHAnsi"/>
              </w:rPr>
              <w:t>Housing ($)</w:t>
            </w:r>
          </w:p>
        </w:tc>
        <w:tc>
          <w:tcPr>
            <w:tcW w:w="1089" w:type="dxa"/>
            <w:shd w:val="clear" w:color="auto" w:fill="auto"/>
            <w:vAlign w:val="bottom"/>
            <w:hideMark/>
          </w:tcPr>
          <w:p w14:paraId="2F14DBAE" w14:textId="77777777" w:rsidR="000E4DEC" w:rsidRPr="007470AC" w:rsidRDefault="000E4DEC" w:rsidP="000E4DEC">
            <w:pPr>
              <w:spacing w:after="0" w:line="240" w:lineRule="auto"/>
              <w:jc w:val="center"/>
              <w:rPr>
                <w:rFonts w:eastAsia="Times New Roman" w:cstheme="minorHAnsi"/>
              </w:rPr>
            </w:pPr>
            <w:r w:rsidRPr="007470AC">
              <w:rPr>
                <w:rFonts w:eastAsia="Times New Roman" w:cstheme="minorHAnsi"/>
              </w:rPr>
              <w:t>Transport ($)</w:t>
            </w:r>
          </w:p>
        </w:tc>
        <w:tc>
          <w:tcPr>
            <w:tcW w:w="801" w:type="dxa"/>
            <w:shd w:val="clear" w:color="auto" w:fill="auto"/>
            <w:vAlign w:val="bottom"/>
            <w:hideMark/>
          </w:tcPr>
          <w:p w14:paraId="4E3C6A4B" w14:textId="77777777" w:rsidR="000E4DEC" w:rsidRPr="007470AC" w:rsidRDefault="000E4DEC" w:rsidP="000E4DEC">
            <w:pPr>
              <w:spacing w:after="0" w:line="240" w:lineRule="auto"/>
              <w:jc w:val="center"/>
              <w:rPr>
                <w:rFonts w:eastAsia="Times New Roman" w:cstheme="minorHAnsi"/>
              </w:rPr>
            </w:pPr>
            <w:r w:rsidRPr="007470AC">
              <w:rPr>
                <w:rFonts w:eastAsia="Times New Roman" w:cstheme="minorHAnsi"/>
              </w:rPr>
              <w:t>Other ($)</w:t>
            </w:r>
          </w:p>
        </w:tc>
        <w:tc>
          <w:tcPr>
            <w:tcW w:w="851" w:type="dxa"/>
            <w:shd w:val="clear" w:color="auto" w:fill="auto"/>
            <w:vAlign w:val="bottom"/>
            <w:hideMark/>
          </w:tcPr>
          <w:p w14:paraId="7EC68F0B" w14:textId="77777777" w:rsidR="000E4DEC" w:rsidRPr="007470AC" w:rsidRDefault="000E4DEC" w:rsidP="000E4DEC">
            <w:pPr>
              <w:spacing w:after="0" w:line="240" w:lineRule="auto"/>
              <w:jc w:val="center"/>
              <w:rPr>
                <w:rFonts w:eastAsia="Times New Roman" w:cstheme="minorHAnsi"/>
              </w:rPr>
            </w:pPr>
            <w:r w:rsidRPr="007470AC">
              <w:rPr>
                <w:rFonts w:eastAsia="Times New Roman" w:cstheme="minorHAnsi"/>
              </w:rPr>
              <w:t>Taxes ($)</w:t>
            </w:r>
          </w:p>
        </w:tc>
      </w:tr>
      <w:tr w:rsidR="00F46BF3" w:rsidRPr="007470AC" w14:paraId="5144CE58" w14:textId="77777777" w:rsidTr="005F0016">
        <w:trPr>
          <w:trHeight w:val="288"/>
        </w:trPr>
        <w:tc>
          <w:tcPr>
            <w:tcW w:w="2610" w:type="dxa"/>
            <w:shd w:val="clear" w:color="auto" w:fill="auto"/>
            <w:noWrap/>
            <w:hideMark/>
          </w:tcPr>
          <w:p w14:paraId="6B568FCC" w14:textId="7592F802" w:rsidR="00F46BF3" w:rsidRPr="007470AC" w:rsidRDefault="00F46BF3" w:rsidP="00F46BF3">
            <w:pPr>
              <w:spacing w:after="0" w:line="240" w:lineRule="auto"/>
              <w:rPr>
                <w:rFonts w:eastAsia="Times New Roman" w:cstheme="minorHAnsi"/>
              </w:rPr>
            </w:pPr>
            <w:r w:rsidRPr="007470AC">
              <w:rPr>
                <w:rFonts w:cstheme="minorHAnsi"/>
              </w:rPr>
              <w:t>1 - Northwest</w:t>
            </w:r>
          </w:p>
        </w:tc>
        <w:tc>
          <w:tcPr>
            <w:tcW w:w="985" w:type="dxa"/>
            <w:shd w:val="clear" w:color="auto" w:fill="auto"/>
            <w:noWrap/>
            <w:vAlign w:val="center"/>
            <w:hideMark/>
          </w:tcPr>
          <w:p w14:paraId="72D76DDB" w14:textId="08ACD55E" w:rsidR="00F46BF3" w:rsidRPr="007470AC" w:rsidRDefault="00F46BF3" w:rsidP="00F46BF3">
            <w:pPr>
              <w:spacing w:after="0" w:line="240" w:lineRule="auto"/>
              <w:jc w:val="center"/>
              <w:rPr>
                <w:rFonts w:eastAsia="Times New Roman" w:cstheme="minorHAnsi"/>
              </w:rPr>
            </w:pPr>
            <w:r>
              <w:rPr>
                <w:rFonts w:ascii="Arial" w:hAnsi="Arial" w:cs="Arial"/>
                <w:color w:val="000000"/>
                <w:sz w:val="16"/>
                <w:szCs w:val="16"/>
              </w:rPr>
              <w:t>$46,368</w:t>
            </w:r>
          </w:p>
        </w:tc>
        <w:tc>
          <w:tcPr>
            <w:tcW w:w="1080" w:type="dxa"/>
            <w:shd w:val="clear" w:color="auto" w:fill="auto"/>
            <w:noWrap/>
            <w:vAlign w:val="center"/>
            <w:hideMark/>
          </w:tcPr>
          <w:p w14:paraId="4D9E685D" w14:textId="405F7CAB" w:rsidR="00F46BF3" w:rsidRPr="007470AC" w:rsidRDefault="00F46BF3" w:rsidP="00F46BF3">
            <w:pPr>
              <w:spacing w:after="0" w:line="240" w:lineRule="auto"/>
              <w:jc w:val="center"/>
              <w:rPr>
                <w:rFonts w:eastAsia="Times New Roman" w:cstheme="minorHAnsi"/>
              </w:rPr>
            </w:pPr>
            <w:r>
              <w:rPr>
                <w:rFonts w:ascii="Arial" w:hAnsi="Arial" w:cs="Arial"/>
                <w:color w:val="000000"/>
                <w:sz w:val="16"/>
                <w:szCs w:val="16"/>
              </w:rPr>
              <w:t>$14.86</w:t>
            </w:r>
          </w:p>
        </w:tc>
        <w:tc>
          <w:tcPr>
            <w:tcW w:w="990" w:type="dxa"/>
            <w:shd w:val="clear" w:color="auto" w:fill="auto"/>
            <w:noWrap/>
            <w:vAlign w:val="center"/>
            <w:hideMark/>
          </w:tcPr>
          <w:p w14:paraId="511690B9" w14:textId="3D9D0968" w:rsidR="00F46BF3" w:rsidRPr="007470AC" w:rsidRDefault="00F46BF3" w:rsidP="00F46BF3">
            <w:pPr>
              <w:spacing w:after="0" w:line="240" w:lineRule="auto"/>
              <w:jc w:val="center"/>
              <w:rPr>
                <w:rFonts w:eastAsia="Times New Roman" w:cstheme="minorHAnsi"/>
              </w:rPr>
            </w:pPr>
            <w:r>
              <w:rPr>
                <w:rFonts w:ascii="Arial" w:hAnsi="Arial" w:cs="Arial"/>
                <w:color w:val="000000"/>
                <w:sz w:val="16"/>
                <w:szCs w:val="16"/>
              </w:rPr>
              <w:t>217</w:t>
            </w:r>
          </w:p>
        </w:tc>
        <w:tc>
          <w:tcPr>
            <w:tcW w:w="720" w:type="dxa"/>
            <w:shd w:val="clear" w:color="auto" w:fill="auto"/>
            <w:noWrap/>
            <w:vAlign w:val="center"/>
            <w:hideMark/>
          </w:tcPr>
          <w:p w14:paraId="69BAFA59" w14:textId="34FADCE4" w:rsidR="00F46BF3" w:rsidRPr="007470AC" w:rsidRDefault="00F46BF3" w:rsidP="00F46BF3">
            <w:pPr>
              <w:spacing w:after="0" w:line="240" w:lineRule="auto"/>
              <w:jc w:val="center"/>
              <w:rPr>
                <w:rFonts w:eastAsia="Times New Roman" w:cstheme="minorHAnsi"/>
              </w:rPr>
            </w:pPr>
            <w:r>
              <w:rPr>
                <w:rFonts w:ascii="Arial" w:hAnsi="Arial" w:cs="Arial"/>
                <w:color w:val="000000"/>
                <w:sz w:val="16"/>
                <w:szCs w:val="16"/>
              </w:rPr>
              <w:t>904</w:t>
            </w:r>
          </w:p>
        </w:tc>
        <w:tc>
          <w:tcPr>
            <w:tcW w:w="990" w:type="dxa"/>
            <w:shd w:val="clear" w:color="auto" w:fill="auto"/>
            <w:noWrap/>
            <w:vAlign w:val="center"/>
            <w:hideMark/>
          </w:tcPr>
          <w:p w14:paraId="45230CD0" w14:textId="64BA5E5F" w:rsidR="00F46BF3" w:rsidRPr="007470AC" w:rsidRDefault="00F46BF3" w:rsidP="00F46BF3">
            <w:pPr>
              <w:spacing w:after="0" w:line="240" w:lineRule="auto"/>
              <w:jc w:val="center"/>
              <w:rPr>
                <w:rFonts w:eastAsia="Times New Roman" w:cstheme="minorHAnsi"/>
              </w:rPr>
            </w:pPr>
            <w:r>
              <w:rPr>
                <w:rFonts w:ascii="Arial" w:hAnsi="Arial" w:cs="Arial"/>
                <w:color w:val="000000"/>
                <w:sz w:val="16"/>
                <w:szCs w:val="16"/>
              </w:rPr>
              <w:t>525</w:t>
            </w:r>
          </w:p>
        </w:tc>
        <w:tc>
          <w:tcPr>
            <w:tcW w:w="990" w:type="dxa"/>
            <w:shd w:val="clear" w:color="auto" w:fill="auto"/>
            <w:noWrap/>
            <w:vAlign w:val="center"/>
            <w:hideMark/>
          </w:tcPr>
          <w:p w14:paraId="6CAF514A" w14:textId="4D1F4A21" w:rsidR="00F46BF3" w:rsidRPr="007470AC" w:rsidRDefault="00F46BF3" w:rsidP="00F46BF3">
            <w:pPr>
              <w:spacing w:after="0" w:line="240" w:lineRule="auto"/>
              <w:jc w:val="center"/>
              <w:rPr>
                <w:rFonts w:eastAsia="Times New Roman" w:cstheme="minorHAnsi"/>
              </w:rPr>
            </w:pPr>
            <w:r>
              <w:rPr>
                <w:rFonts w:ascii="Arial" w:hAnsi="Arial" w:cs="Arial"/>
                <w:color w:val="000000"/>
                <w:sz w:val="16"/>
                <w:szCs w:val="16"/>
              </w:rPr>
              <w:t>846</w:t>
            </w:r>
          </w:p>
        </w:tc>
        <w:tc>
          <w:tcPr>
            <w:tcW w:w="1089" w:type="dxa"/>
            <w:shd w:val="clear" w:color="auto" w:fill="auto"/>
            <w:noWrap/>
            <w:vAlign w:val="center"/>
            <w:hideMark/>
          </w:tcPr>
          <w:p w14:paraId="1CCE79E6" w14:textId="718294FD" w:rsidR="00F46BF3" w:rsidRPr="007470AC" w:rsidRDefault="00F46BF3" w:rsidP="00F46BF3">
            <w:pPr>
              <w:spacing w:after="0" w:line="240" w:lineRule="auto"/>
              <w:jc w:val="center"/>
              <w:rPr>
                <w:rFonts w:eastAsia="Times New Roman" w:cstheme="minorHAnsi"/>
              </w:rPr>
            </w:pPr>
            <w:r>
              <w:rPr>
                <w:rFonts w:ascii="Arial" w:hAnsi="Arial" w:cs="Arial"/>
                <w:color w:val="000000"/>
                <w:sz w:val="16"/>
                <w:szCs w:val="16"/>
              </w:rPr>
              <w:t>842</w:t>
            </w:r>
          </w:p>
        </w:tc>
        <w:tc>
          <w:tcPr>
            <w:tcW w:w="801" w:type="dxa"/>
            <w:shd w:val="clear" w:color="auto" w:fill="auto"/>
            <w:noWrap/>
            <w:vAlign w:val="center"/>
            <w:hideMark/>
          </w:tcPr>
          <w:p w14:paraId="38272354" w14:textId="7A98686D" w:rsidR="00F46BF3" w:rsidRPr="007470AC" w:rsidRDefault="00F46BF3" w:rsidP="00F46BF3">
            <w:pPr>
              <w:spacing w:after="0" w:line="240" w:lineRule="auto"/>
              <w:jc w:val="center"/>
              <w:rPr>
                <w:rFonts w:eastAsia="Times New Roman" w:cstheme="minorHAnsi"/>
              </w:rPr>
            </w:pPr>
            <w:r>
              <w:rPr>
                <w:rFonts w:ascii="Arial" w:hAnsi="Arial" w:cs="Arial"/>
                <w:color w:val="000000"/>
                <w:sz w:val="16"/>
                <w:szCs w:val="16"/>
              </w:rPr>
              <w:t>423</w:t>
            </w:r>
          </w:p>
        </w:tc>
        <w:tc>
          <w:tcPr>
            <w:tcW w:w="851" w:type="dxa"/>
            <w:shd w:val="clear" w:color="auto" w:fill="auto"/>
            <w:noWrap/>
            <w:vAlign w:val="center"/>
            <w:hideMark/>
          </w:tcPr>
          <w:p w14:paraId="50831EE3" w14:textId="2A6ADB42" w:rsidR="00F46BF3" w:rsidRPr="007470AC" w:rsidRDefault="00F46BF3" w:rsidP="00F46BF3">
            <w:pPr>
              <w:spacing w:after="0" w:line="240" w:lineRule="auto"/>
              <w:jc w:val="center"/>
              <w:rPr>
                <w:rFonts w:eastAsia="Times New Roman" w:cstheme="minorHAnsi"/>
              </w:rPr>
            </w:pPr>
            <w:r>
              <w:rPr>
                <w:rFonts w:ascii="Arial" w:hAnsi="Arial" w:cs="Arial"/>
                <w:color w:val="000000"/>
                <w:sz w:val="16"/>
                <w:szCs w:val="16"/>
              </w:rPr>
              <w:t>107</w:t>
            </w:r>
          </w:p>
        </w:tc>
      </w:tr>
      <w:tr w:rsidR="00F46BF3" w:rsidRPr="007470AC" w14:paraId="3AEE38C1" w14:textId="77777777" w:rsidTr="005F0016">
        <w:trPr>
          <w:trHeight w:val="288"/>
        </w:trPr>
        <w:tc>
          <w:tcPr>
            <w:tcW w:w="2610" w:type="dxa"/>
            <w:shd w:val="clear" w:color="auto" w:fill="auto"/>
            <w:noWrap/>
            <w:hideMark/>
          </w:tcPr>
          <w:p w14:paraId="57ACE4AD" w14:textId="3F544C75" w:rsidR="00F46BF3" w:rsidRPr="007470AC" w:rsidRDefault="00F46BF3" w:rsidP="00F46BF3">
            <w:pPr>
              <w:spacing w:after="0" w:line="240" w:lineRule="auto"/>
              <w:rPr>
                <w:rFonts w:eastAsia="Times New Roman" w:cstheme="minorHAnsi"/>
              </w:rPr>
            </w:pPr>
            <w:r w:rsidRPr="007470AC">
              <w:rPr>
                <w:rFonts w:cstheme="minorHAnsi"/>
              </w:rPr>
              <w:t>2 - Headwaters</w:t>
            </w:r>
          </w:p>
        </w:tc>
        <w:tc>
          <w:tcPr>
            <w:tcW w:w="985" w:type="dxa"/>
            <w:shd w:val="clear" w:color="auto" w:fill="auto"/>
            <w:noWrap/>
            <w:vAlign w:val="center"/>
            <w:hideMark/>
          </w:tcPr>
          <w:p w14:paraId="1ECDB178" w14:textId="6673FDBB" w:rsidR="00F46BF3" w:rsidRPr="007470AC" w:rsidRDefault="00F46BF3" w:rsidP="00F46BF3">
            <w:pPr>
              <w:spacing w:after="0" w:line="240" w:lineRule="auto"/>
              <w:jc w:val="center"/>
              <w:rPr>
                <w:rFonts w:eastAsia="Times New Roman" w:cstheme="minorHAnsi"/>
              </w:rPr>
            </w:pPr>
            <w:r>
              <w:rPr>
                <w:rFonts w:ascii="Arial" w:hAnsi="Arial" w:cs="Arial"/>
                <w:color w:val="000000"/>
                <w:sz w:val="16"/>
                <w:szCs w:val="16"/>
              </w:rPr>
              <w:t>$52,848</w:t>
            </w:r>
          </w:p>
        </w:tc>
        <w:tc>
          <w:tcPr>
            <w:tcW w:w="1080" w:type="dxa"/>
            <w:shd w:val="clear" w:color="auto" w:fill="auto"/>
            <w:noWrap/>
            <w:vAlign w:val="center"/>
            <w:hideMark/>
          </w:tcPr>
          <w:p w14:paraId="541DFC4B" w14:textId="60120470" w:rsidR="00F46BF3" w:rsidRPr="007470AC" w:rsidRDefault="00F46BF3" w:rsidP="00F46BF3">
            <w:pPr>
              <w:spacing w:after="0" w:line="240" w:lineRule="auto"/>
              <w:jc w:val="center"/>
              <w:rPr>
                <w:rFonts w:eastAsia="Times New Roman" w:cstheme="minorHAnsi"/>
              </w:rPr>
            </w:pPr>
            <w:r>
              <w:rPr>
                <w:rFonts w:ascii="Arial" w:hAnsi="Arial" w:cs="Arial"/>
                <w:color w:val="000000"/>
                <w:sz w:val="16"/>
                <w:szCs w:val="16"/>
              </w:rPr>
              <w:t>$16.94</w:t>
            </w:r>
          </w:p>
        </w:tc>
        <w:tc>
          <w:tcPr>
            <w:tcW w:w="990" w:type="dxa"/>
            <w:shd w:val="clear" w:color="auto" w:fill="auto"/>
            <w:noWrap/>
            <w:vAlign w:val="center"/>
            <w:hideMark/>
          </w:tcPr>
          <w:p w14:paraId="1D64AFD3" w14:textId="1229A94C" w:rsidR="00F46BF3" w:rsidRPr="007470AC" w:rsidRDefault="00F46BF3" w:rsidP="00F46BF3">
            <w:pPr>
              <w:spacing w:after="0" w:line="240" w:lineRule="auto"/>
              <w:jc w:val="center"/>
              <w:rPr>
                <w:rFonts w:eastAsia="Times New Roman" w:cstheme="minorHAnsi"/>
              </w:rPr>
            </w:pPr>
            <w:r>
              <w:rPr>
                <w:rFonts w:ascii="Arial" w:hAnsi="Arial" w:cs="Arial"/>
                <w:color w:val="000000"/>
                <w:sz w:val="16"/>
                <w:szCs w:val="16"/>
              </w:rPr>
              <w:t>407</w:t>
            </w:r>
          </w:p>
        </w:tc>
        <w:tc>
          <w:tcPr>
            <w:tcW w:w="720" w:type="dxa"/>
            <w:shd w:val="clear" w:color="auto" w:fill="auto"/>
            <w:noWrap/>
            <w:vAlign w:val="center"/>
            <w:hideMark/>
          </w:tcPr>
          <w:p w14:paraId="3AB9FEAE" w14:textId="20989678" w:rsidR="00F46BF3" w:rsidRPr="007470AC" w:rsidRDefault="00F46BF3" w:rsidP="00F46BF3">
            <w:pPr>
              <w:spacing w:after="0" w:line="240" w:lineRule="auto"/>
              <w:jc w:val="center"/>
              <w:rPr>
                <w:rFonts w:eastAsia="Times New Roman" w:cstheme="minorHAnsi"/>
              </w:rPr>
            </w:pPr>
            <w:r>
              <w:rPr>
                <w:rFonts w:ascii="Arial" w:hAnsi="Arial" w:cs="Arial"/>
                <w:color w:val="000000"/>
                <w:sz w:val="16"/>
                <w:szCs w:val="16"/>
              </w:rPr>
              <w:t>908</w:t>
            </w:r>
          </w:p>
        </w:tc>
        <w:tc>
          <w:tcPr>
            <w:tcW w:w="990" w:type="dxa"/>
            <w:shd w:val="clear" w:color="auto" w:fill="auto"/>
            <w:noWrap/>
            <w:vAlign w:val="center"/>
            <w:hideMark/>
          </w:tcPr>
          <w:p w14:paraId="0C6C2890" w14:textId="2F4FD3F5" w:rsidR="00F46BF3" w:rsidRPr="007470AC" w:rsidRDefault="00F46BF3" w:rsidP="00F46BF3">
            <w:pPr>
              <w:spacing w:after="0" w:line="240" w:lineRule="auto"/>
              <w:jc w:val="center"/>
              <w:rPr>
                <w:rFonts w:eastAsia="Times New Roman" w:cstheme="minorHAnsi"/>
              </w:rPr>
            </w:pPr>
            <w:r>
              <w:rPr>
                <w:rFonts w:ascii="Arial" w:hAnsi="Arial" w:cs="Arial"/>
                <w:color w:val="000000"/>
                <w:sz w:val="16"/>
                <w:szCs w:val="16"/>
              </w:rPr>
              <w:t>532</w:t>
            </w:r>
          </w:p>
        </w:tc>
        <w:tc>
          <w:tcPr>
            <w:tcW w:w="990" w:type="dxa"/>
            <w:shd w:val="clear" w:color="auto" w:fill="auto"/>
            <w:noWrap/>
            <w:vAlign w:val="center"/>
            <w:hideMark/>
          </w:tcPr>
          <w:p w14:paraId="2C5CDD80" w14:textId="57671DA2" w:rsidR="00F46BF3" w:rsidRPr="007470AC" w:rsidRDefault="00F46BF3" w:rsidP="00F46BF3">
            <w:pPr>
              <w:spacing w:after="0" w:line="240" w:lineRule="auto"/>
              <w:jc w:val="center"/>
              <w:rPr>
                <w:rFonts w:eastAsia="Times New Roman" w:cstheme="minorHAnsi"/>
              </w:rPr>
            </w:pPr>
            <w:r>
              <w:rPr>
                <w:rFonts w:ascii="Arial" w:hAnsi="Arial" w:cs="Arial"/>
                <w:color w:val="000000"/>
                <w:sz w:val="16"/>
                <w:szCs w:val="16"/>
              </w:rPr>
              <w:t>902</w:t>
            </w:r>
          </w:p>
        </w:tc>
        <w:tc>
          <w:tcPr>
            <w:tcW w:w="1089" w:type="dxa"/>
            <w:shd w:val="clear" w:color="auto" w:fill="auto"/>
            <w:noWrap/>
            <w:vAlign w:val="center"/>
            <w:hideMark/>
          </w:tcPr>
          <w:p w14:paraId="01AA5264" w14:textId="5FC545D2" w:rsidR="00F46BF3" w:rsidRPr="007470AC" w:rsidRDefault="00F46BF3" w:rsidP="00F46BF3">
            <w:pPr>
              <w:spacing w:after="0" w:line="240" w:lineRule="auto"/>
              <w:jc w:val="center"/>
              <w:rPr>
                <w:rFonts w:eastAsia="Times New Roman" w:cstheme="minorHAnsi"/>
              </w:rPr>
            </w:pPr>
            <w:r>
              <w:rPr>
                <w:rFonts w:ascii="Arial" w:hAnsi="Arial" w:cs="Arial"/>
                <w:color w:val="000000"/>
                <w:sz w:val="16"/>
                <w:szCs w:val="16"/>
              </w:rPr>
              <w:t>979</w:t>
            </w:r>
          </w:p>
        </w:tc>
        <w:tc>
          <w:tcPr>
            <w:tcW w:w="801" w:type="dxa"/>
            <w:shd w:val="clear" w:color="auto" w:fill="auto"/>
            <w:noWrap/>
            <w:vAlign w:val="center"/>
            <w:hideMark/>
          </w:tcPr>
          <w:p w14:paraId="7E278677" w14:textId="6389E85A" w:rsidR="00F46BF3" w:rsidRPr="007470AC" w:rsidRDefault="00F46BF3" w:rsidP="00F46BF3">
            <w:pPr>
              <w:spacing w:after="0" w:line="240" w:lineRule="auto"/>
              <w:jc w:val="center"/>
              <w:rPr>
                <w:rFonts w:eastAsia="Times New Roman" w:cstheme="minorHAnsi"/>
              </w:rPr>
            </w:pPr>
            <w:r>
              <w:rPr>
                <w:rFonts w:ascii="Arial" w:hAnsi="Arial" w:cs="Arial"/>
                <w:color w:val="000000"/>
                <w:sz w:val="16"/>
                <w:szCs w:val="16"/>
              </w:rPr>
              <w:t>438</w:t>
            </w:r>
          </w:p>
        </w:tc>
        <w:tc>
          <w:tcPr>
            <w:tcW w:w="851" w:type="dxa"/>
            <w:shd w:val="clear" w:color="auto" w:fill="auto"/>
            <w:noWrap/>
            <w:vAlign w:val="center"/>
            <w:hideMark/>
          </w:tcPr>
          <w:p w14:paraId="4D5E6FA7" w14:textId="6D2DD21E" w:rsidR="00F46BF3" w:rsidRPr="007470AC" w:rsidRDefault="00F46BF3" w:rsidP="00F46BF3">
            <w:pPr>
              <w:spacing w:after="0" w:line="240" w:lineRule="auto"/>
              <w:jc w:val="center"/>
              <w:rPr>
                <w:rFonts w:eastAsia="Times New Roman" w:cstheme="minorHAnsi"/>
              </w:rPr>
            </w:pPr>
            <w:r>
              <w:rPr>
                <w:rFonts w:ascii="Arial" w:hAnsi="Arial" w:cs="Arial"/>
                <w:color w:val="000000"/>
                <w:sz w:val="16"/>
                <w:szCs w:val="16"/>
              </w:rPr>
              <w:t>238</w:t>
            </w:r>
          </w:p>
        </w:tc>
      </w:tr>
      <w:tr w:rsidR="00F46BF3" w:rsidRPr="007470AC" w14:paraId="561527D4" w14:textId="77777777" w:rsidTr="005F0016">
        <w:trPr>
          <w:trHeight w:val="288"/>
        </w:trPr>
        <w:tc>
          <w:tcPr>
            <w:tcW w:w="2610" w:type="dxa"/>
            <w:shd w:val="clear" w:color="auto" w:fill="auto"/>
            <w:noWrap/>
            <w:hideMark/>
          </w:tcPr>
          <w:p w14:paraId="60040AD8" w14:textId="1E2F87D8" w:rsidR="00F46BF3" w:rsidRPr="007470AC" w:rsidRDefault="00F46BF3" w:rsidP="00F46BF3">
            <w:pPr>
              <w:spacing w:after="0" w:line="240" w:lineRule="auto"/>
              <w:rPr>
                <w:rFonts w:eastAsia="Times New Roman" w:cstheme="minorHAnsi"/>
              </w:rPr>
            </w:pPr>
            <w:r w:rsidRPr="007470AC">
              <w:rPr>
                <w:rFonts w:cstheme="minorHAnsi"/>
              </w:rPr>
              <w:t>3 - Arrowhead</w:t>
            </w:r>
          </w:p>
        </w:tc>
        <w:tc>
          <w:tcPr>
            <w:tcW w:w="985" w:type="dxa"/>
            <w:shd w:val="clear" w:color="auto" w:fill="auto"/>
            <w:noWrap/>
            <w:vAlign w:val="center"/>
            <w:hideMark/>
          </w:tcPr>
          <w:p w14:paraId="1620EC4B" w14:textId="43D9A129" w:rsidR="00F46BF3" w:rsidRPr="007470AC" w:rsidRDefault="00F46BF3" w:rsidP="00F46BF3">
            <w:pPr>
              <w:spacing w:after="0" w:line="240" w:lineRule="auto"/>
              <w:jc w:val="center"/>
              <w:rPr>
                <w:rFonts w:eastAsia="Times New Roman" w:cstheme="minorHAnsi"/>
              </w:rPr>
            </w:pPr>
            <w:r>
              <w:rPr>
                <w:rFonts w:ascii="Arial" w:hAnsi="Arial" w:cs="Arial"/>
                <w:color w:val="000000"/>
                <w:sz w:val="16"/>
                <w:szCs w:val="16"/>
              </w:rPr>
              <w:t>$50,952</w:t>
            </w:r>
          </w:p>
        </w:tc>
        <w:tc>
          <w:tcPr>
            <w:tcW w:w="1080" w:type="dxa"/>
            <w:shd w:val="clear" w:color="auto" w:fill="auto"/>
            <w:noWrap/>
            <w:vAlign w:val="center"/>
            <w:hideMark/>
          </w:tcPr>
          <w:p w14:paraId="0815BB56" w14:textId="54854133" w:rsidR="00F46BF3" w:rsidRPr="007470AC" w:rsidRDefault="00F46BF3" w:rsidP="00F46BF3">
            <w:pPr>
              <w:spacing w:after="0" w:line="240" w:lineRule="auto"/>
              <w:jc w:val="center"/>
              <w:rPr>
                <w:rFonts w:eastAsia="Times New Roman" w:cstheme="minorHAnsi"/>
              </w:rPr>
            </w:pPr>
            <w:r>
              <w:rPr>
                <w:rFonts w:ascii="Arial" w:hAnsi="Arial" w:cs="Arial"/>
                <w:color w:val="000000"/>
                <w:sz w:val="16"/>
                <w:szCs w:val="16"/>
              </w:rPr>
              <w:t>$16.33</w:t>
            </w:r>
          </w:p>
        </w:tc>
        <w:tc>
          <w:tcPr>
            <w:tcW w:w="990" w:type="dxa"/>
            <w:shd w:val="clear" w:color="auto" w:fill="auto"/>
            <w:noWrap/>
            <w:vAlign w:val="center"/>
            <w:hideMark/>
          </w:tcPr>
          <w:p w14:paraId="44C08DA9" w14:textId="3A1708B9" w:rsidR="00F46BF3" w:rsidRPr="007470AC" w:rsidRDefault="00F46BF3" w:rsidP="00F46BF3">
            <w:pPr>
              <w:spacing w:after="0" w:line="240" w:lineRule="auto"/>
              <w:jc w:val="center"/>
              <w:rPr>
                <w:rFonts w:eastAsia="Times New Roman" w:cstheme="minorHAnsi"/>
              </w:rPr>
            </w:pPr>
            <w:r>
              <w:rPr>
                <w:rFonts w:ascii="Arial" w:hAnsi="Arial" w:cs="Arial"/>
                <w:color w:val="000000"/>
                <w:sz w:val="16"/>
                <w:szCs w:val="16"/>
              </w:rPr>
              <w:t>316</w:t>
            </w:r>
          </w:p>
        </w:tc>
        <w:tc>
          <w:tcPr>
            <w:tcW w:w="720" w:type="dxa"/>
            <w:shd w:val="clear" w:color="auto" w:fill="auto"/>
            <w:noWrap/>
            <w:vAlign w:val="center"/>
            <w:hideMark/>
          </w:tcPr>
          <w:p w14:paraId="2A0767CF" w14:textId="15365A8A" w:rsidR="00F46BF3" w:rsidRPr="007470AC" w:rsidRDefault="00F46BF3" w:rsidP="00F46BF3">
            <w:pPr>
              <w:spacing w:after="0" w:line="240" w:lineRule="auto"/>
              <w:jc w:val="center"/>
              <w:rPr>
                <w:rFonts w:eastAsia="Times New Roman" w:cstheme="minorHAnsi"/>
              </w:rPr>
            </w:pPr>
            <w:r>
              <w:rPr>
                <w:rFonts w:ascii="Arial" w:hAnsi="Arial" w:cs="Arial"/>
                <w:color w:val="000000"/>
                <w:sz w:val="16"/>
                <w:szCs w:val="16"/>
              </w:rPr>
              <w:t>898</w:t>
            </w:r>
          </w:p>
        </w:tc>
        <w:tc>
          <w:tcPr>
            <w:tcW w:w="990" w:type="dxa"/>
            <w:shd w:val="clear" w:color="auto" w:fill="auto"/>
            <w:noWrap/>
            <w:vAlign w:val="center"/>
            <w:hideMark/>
          </w:tcPr>
          <w:p w14:paraId="79263AC0" w14:textId="5C63CFD4" w:rsidR="00F46BF3" w:rsidRPr="007470AC" w:rsidRDefault="00F46BF3" w:rsidP="00F46BF3">
            <w:pPr>
              <w:spacing w:after="0" w:line="240" w:lineRule="auto"/>
              <w:jc w:val="center"/>
              <w:rPr>
                <w:rFonts w:eastAsia="Times New Roman" w:cstheme="minorHAnsi"/>
              </w:rPr>
            </w:pPr>
            <w:r>
              <w:rPr>
                <w:rFonts w:ascii="Arial" w:hAnsi="Arial" w:cs="Arial"/>
                <w:color w:val="000000"/>
                <w:sz w:val="16"/>
                <w:szCs w:val="16"/>
              </w:rPr>
              <w:t>528</w:t>
            </w:r>
          </w:p>
        </w:tc>
        <w:tc>
          <w:tcPr>
            <w:tcW w:w="990" w:type="dxa"/>
            <w:shd w:val="clear" w:color="auto" w:fill="auto"/>
            <w:noWrap/>
            <w:vAlign w:val="center"/>
            <w:hideMark/>
          </w:tcPr>
          <w:p w14:paraId="4AA8CDB0" w14:textId="47F00EBC" w:rsidR="00F46BF3" w:rsidRPr="007470AC" w:rsidRDefault="00F46BF3" w:rsidP="00F46BF3">
            <w:pPr>
              <w:spacing w:after="0" w:line="240" w:lineRule="auto"/>
              <w:jc w:val="center"/>
              <w:rPr>
                <w:rFonts w:eastAsia="Times New Roman" w:cstheme="minorHAnsi"/>
              </w:rPr>
            </w:pPr>
            <w:r>
              <w:rPr>
                <w:rFonts w:ascii="Arial" w:hAnsi="Arial" w:cs="Arial"/>
                <w:color w:val="000000"/>
                <w:sz w:val="16"/>
                <w:szCs w:val="16"/>
              </w:rPr>
              <w:t>952</w:t>
            </w:r>
          </w:p>
        </w:tc>
        <w:tc>
          <w:tcPr>
            <w:tcW w:w="1089" w:type="dxa"/>
            <w:shd w:val="clear" w:color="auto" w:fill="auto"/>
            <w:noWrap/>
            <w:vAlign w:val="center"/>
            <w:hideMark/>
          </w:tcPr>
          <w:p w14:paraId="48E7AF2E" w14:textId="38A57144" w:rsidR="00F46BF3" w:rsidRPr="007470AC" w:rsidRDefault="00F46BF3" w:rsidP="00F46BF3">
            <w:pPr>
              <w:spacing w:after="0" w:line="240" w:lineRule="auto"/>
              <w:jc w:val="center"/>
              <w:rPr>
                <w:rFonts w:eastAsia="Times New Roman" w:cstheme="minorHAnsi"/>
              </w:rPr>
            </w:pPr>
            <w:r>
              <w:rPr>
                <w:rFonts w:ascii="Arial" w:hAnsi="Arial" w:cs="Arial"/>
                <w:color w:val="000000"/>
                <w:sz w:val="16"/>
                <w:szCs w:val="16"/>
              </w:rPr>
              <w:t>901</w:t>
            </w:r>
          </w:p>
        </w:tc>
        <w:tc>
          <w:tcPr>
            <w:tcW w:w="801" w:type="dxa"/>
            <w:shd w:val="clear" w:color="auto" w:fill="auto"/>
            <w:noWrap/>
            <w:vAlign w:val="center"/>
            <w:hideMark/>
          </w:tcPr>
          <w:p w14:paraId="7B38542B" w14:textId="49DF11B9" w:rsidR="00F46BF3" w:rsidRPr="007470AC" w:rsidRDefault="00F46BF3" w:rsidP="00F46BF3">
            <w:pPr>
              <w:spacing w:after="0" w:line="240" w:lineRule="auto"/>
              <w:jc w:val="center"/>
              <w:rPr>
                <w:rFonts w:eastAsia="Times New Roman" w:cstheme="minorHAnsi"/>
              </w:rPr>
            </w:pPr>
            <w:r>
              <w:rPr>
                <w:rFonts w:ascii="Arial" w:hAnsi="Arial" w:cs="Arial"/>
                <w:color w:val="000000"/>
                <w:sz w:val="16"/>
                <w:szCs w:val="16"/>
              </w:rPr>
              <w:t>448</w:t>
            </w:r>
          </w:p>
        </w:tc>
        <w:tc>
          <w:tcPr>
            <w:tcW w:w="851" w:type="dxa"/>
            <w:shd w:val="clear" w:color="auto" w:fill="auto"/>
            <w:noWrap/>
            <w:vAlign w:val="center"/>
            <w:hideMark/>
          </w:tcPr>
          <w:p w14:paraId="3B01FB5E" w14:textId="5BCE2F5C" w:rsidR="00F46BF3" w:rsidRPr="007470AC" w:rsidRDefault="00F46BF3" w:rsidP="00F46BF3">
            <w:pPr>
              <w:spacing w:after="0" w:line="240" w:lineRule="auto"/>
              <w:jc w:val="center"/>
              <w:rPr>
                <w:rFonts w:eastAsia="Times New Roman" w:cstheme="minorHAnsi"/>
              </w:rPr>
            </w:pPr>
            <w:r>
              <w:rPr>
                <w:rFonts w:ascii="Arial" w:hAnsi="Arial" w:cs="Arial"/>
                <w:color w:val="000000"/>
                <w:sz w:val="16"/>
                <w:szCs w:val="16"/>
              </w:rPr>
              <w:t>203</w:t>
            </w:r>
          </w:p>
        </w:tc>
      </w:tr>
      <w:tr w:rsidR="00F46BF3" w:rsidRPr="007470AC" w14:paraId="2F91D44B" w14:textId="77777777" w:rsidTr="005F0016">
        <w:trPr>
          <w:trHeight w:val="288"/>
        </w:trPr>
        <w:tc>
          <w:tcPr>
            <w:tcW w:w="2610" w:type="dxa"/>
            <w:shd w:val="clear" w:color="auto" w:fill="auto"/>
            <w:noWrap/>
            <w:hideMark/>
          </w:tcPr>
          <w:p w14:paraId="04A5D253" w14:textId="324DF0D5" w:rsidR="00F46BF3" w:rsidRPr="007470AC" w:rsidRDefault="00F46BF3" w:rsidP="00F46BF3">
            <w:pPr>
              <w:spacing w:after="0" w:line="240" w:lineRule="auto"/>
              <w:rPr>
                <w:rFonts w:eastAsia="Times New Roman" w:cstheme="minorHAnsi"/>
              </w:rPr>
            </w:pPr>
            <w:r w:rsidRPr="007470AC">
              <w:rPr>
                <w:rFonts w:cstheme="minorHAnsi"/>
              </w:rPr>
              <w:t>4 - West Central</w:t>
            </w:r>
          </w:p>
        </w:tc>
        <w:tc>
          <w:tcPr>
            <w:tcW w:w="985" w:type="dxa"/>
            <w:shd w:val="clear" w:color="auto" w:fill="auto"/>
            <w:noWrap/>
            <w:vAlign w:val="center"/>
            <w:hideMark/>
          </w:tcPr>
          <w:p w14:paraId="6882799D" w14:textId="48BF60AA" w:rsidR="00F46BF3" w:rsidRPr="007470AC" w:rsidRDefault="00F46BF3" w:rsidP="00F46BF3">
            <w:pPr>
              <w:spacing w:after="0" w:line="240" w:lineRule="auto"/>
              <w:jc w:val="center"/>
              <w:rPr>
                <w:rFonts w:eastAsia="Times New Roman" w:cstheme="minorHAnsi"/>
              </w:rPr>
            </w:pPr>
            <w:r>
              <w:rPr>
                <w:rFonts w:ascii="Arial" w:hAnsi="Arial" w:cs="Arial"/>
                <w:color w:val="000000"/>
                <w:sz w:val="16"/>
                <w:szCs w:val="16"/>
              </w:rPr>
              <w:t>$48,120</w:t>
            </w:r>
          </w:p>
        </w:tc>
        <w:tc>
          <w:tcPr>
            <w:tcW w:w="1080" w:type="dxa"/>
            <w:shd w:val="clear" w:color="auto" w:fill="auto"/>
            <w:noWrap/>
            <w:vAlign w:val="center"/>
            <w:hideMark/>
          </w:tcPr>
          <w:p w14:paraId="70807677" w14:textId="30228AA7" w:rsidR="00F46BF3" w:rsidRPr="007470AC" w:rsidRDefault="00F46BF3" w:rsidP="00F46BF3">
            <w:pPr>
              <w:spacing w:after="0" w:line="240" w:lineRule="auto"/>
              <w:jc w:val="center"/>
              <w:rPr>
                <w:rFonts w:eastAsia="Times New Roman" w:cstheme="minorHAnsi"/>
              </w:rPr>
            </w:pPr>
            <w:r>
              <w:rPr>
                <w:rFonts w:ascii="Arial" w:hAnsi="Arial" w:cs="Arial"/>
                <w:color w:val="000000"/>
                <w:sz w:val="16"/>
                <w:szCs w:val="16"/>
              </w:rPr>
              <w:t>$15.42</w:t>
            </w:r>
          </w:p>
        </w:tc>
        <w:tc>
          <w:tcPr>
            <w:tcW w:w="990" w:type="dxa"/>
            <w:shd w:val="clear" w:color="auto" w:fill="auto"/>
            <w:noWrap/>
            <w:vAlign w:val="center"/>
            <w:hideMark/>
          </w:tcPr>
          <w:p w14:paraId="0B4DABCB" w14:textId="56121EB1" w:rsidR="00F46BF3" w:rsidRPr="007470AC" w:rsidRDefault="00F46BF3" w:rsidP="00F46BF3">
            <w:pPr>
              <w:spacing w:after="0" w:line="240" w:lineRule="auto"/>
              <w:jc w:val="center"/>
              <w:rPr>
                <w:rFonts w:eastAsia="Times New Roman" w:cstheme="minorHAnsi"/>
              </w:rPr>
            </w:pPr>
            <w:r>
              <w:rPr>
                <w:rFonts w:ascii="Arial" w:hAnsi="Arial" w:cs="Arial"/>
                <w:color w:val="000000"/>
                <w:sz w:val="16"/>
                <w:szCs w:val="16"/>
              </w:rPr>
              <w:t>252</w:t>
            </w:r>
          </w:p>
        </w:tc>
        <w:tc>
          <w:tcPr>
            <w:tcW w:w="720" w:type="dxa"/>
            <w:shd w:val="clear" w:color="auto" w:fill="auto"/>
            <w:noWrap/>
            <w:vAlign w:val="center"/>
            <w:hideMark/>
          </w:tcPr>
          <w:p w14:paraId="3DC44843" w14:textId="2B5532D5" w:rsidR="00F46BF3" w:rsidRPr="007470AC" w:rsidRDefault="00F46BF3" w:rsidP="00F46BF3">
            <w:pPr>
              <w:spacing w:after="0" w:line="240" w:lineRule="auto"/>
              <w:jc w:val="center"/>
              <w:rPr>
                <w:rFonts w:eastAsia="Times New Roman" w:cstheme="minorHAnsi"/>
              </w:rPr>
            </w:pPr>
            <w:r>
              <w:rPr>
                <w:rFonts w:ascii="Arial" w:hAnsi="Arial" w:cs="Arial"/>
                <w:color w:val="000000"/>
                <w:sz w:val="16"/>
                <w:szCs w:val="16"/>
              </w:rPr>
              <w:t>907</w:t>
            </w:r>
          </w:p>
        </w:tc>
        <w:tc>
          <w:tcPr>
            <w:tcW w:w="990" w:type="dxa"/>
            <w:shd w:val="clear" w:color="auto" w:fill="auto"/>
            <w:noWrap/>
            <w:vAlign w:val="center"/>
            <w:hideMark/>
          </w:tcPr>
          <w:p w14:paraId="2E15110D" w14:textId="56A7A892" w:rsidR="00F46BF3" w:rsidRPr="007470AC" w:rsidRDefault="00F46BF3" w:rsidP="00F46BF3">
            <w:pPr>
              <w:spacing w:after="0" w:line="240" w:lineRule="auto"/>
              <w:jc w:val="center"/>
              <w:rPr>
                <w:rFonts w:eastAsia="Times New Roman" w:cstheme="minorHAnsi"/>
              </w:rPr>
            </w:pPr>
            <w:r>
              <w:rPr>
                <w:rFonts w:ascii="Arial" w:hAnsi="Arial" w:cs="Arial"/>
                <w:color w:val="000000"/>
                <w:sz w:val="16"/>
                <w:szCs w:val="16"/>
              </w:rPr>
              <w:t>531</w:t>
            </w:r>
          </w:p>
        </w:tc>
        <w:tc>
          <w:tcPr>
            <w:tcW w:w="990" w:type="dxa"/>
            <w:shd w:val="clear" w:color="auto" w:fill="auto"/>
            <w:noWrap/>
            <w:vAlign w:val="center"/>
            <w:hideMark/>
          </w:tcPr>
          <w:p w14:paraId="793BE9F9" w14:textId="483DF5F6" w:rsidR="00F46BF3" w:rsidRPr="007470AC" w:rsidRDefault="00F46BF3" w:rsidP="00F46BF3">
            <w:pPr>
              <w:spacing w:after="0" w:line="240" w:lineRule="auto"/>
              <w:jc w:val="center"/>
              <w:rPr>
                <w:rFonts w:eastAsia="Times New Roman" w:cstheme="minorHAnsi"/>
              </w:rPr>
            </w:pPr>
            <w:r>
              <w:rPr>
                <w:rFonts w:ascii="Arial" w:hAnsi="Arial" w:cs="Arial"/>
                <w:color w:val="000000"/>
                <w:sz w:val="16"/>
                <w:szCs w:val="16"/>
              </w:rPr>
              <w:t>855</w:t>
            </w:r>
          </w:p>
        </w:tc>
        <w:tc>
          <w:tcPr>
            <w:tcW w:w="1089" w:type="dxa"/>
            <w:shd w:val="clear" w:color="auto" w:fill="auto"/>
            <w:noWrap/>
            <w:vAlign w:val="center"/>
            <w:hideMark/>
          </w:tcPr>
          <w:p w14:paraId="0A8BF5E3" w14:textId="1DCC26D3" w:rsidR="00F46BF3" w:rsidRPr="007470AC" w:rsidRDefault="00F46BF3" w:rsidP="00F46BF3">
            <w:pPr>
              <w:spacing w:after="0" w:line="240" w:lineRule="auto"/>
              <w:jc w:val="center"/>
              <w:rPr>
                <w:rFonts w:eastAsia="Times New Roman" w:cstheme="minorHAnsi"/>
              </w:rPr>
            </w:pPr>
            <w:r>
              <w:rPr>
                <w:rFonts w:ascii="Arial" w:hAnsi="Arial" w:cs="Arial"/>
                <w:color w:val="000000"/>
                <w:sz w:val="16"/>
                <w:szCs w:val="16"/>
              </w:rPr>
              <w:t>909</w:t>
            </w:r>
          </w:p>
        </w:tc>
        <w:tc>
          <w:tcPr>
            <w:tcW w:w="801" w:type="dxa"/>
            <w:shd w:val="clear" w:color="auto" w:fill="auto"/>
            <w:noWrap/>
            <w:vAlign w:val="center"/>
            <w:hideMark/>
          </w:tcPr>
          <w:p w14:paraId="3664C5D4" w14:textId="0AB169FC" w:rsidR="00F46BF3" w:rsidRPr="007470AC" w:rsidRDefault="00F46BF3" w:rsidP="00F46BF3">
            <w:pPr>
              <w:spacing w:after="0" w:line="240" w:lineRule="auto"/>
              <w:jc w:val="center"/>
              <w:rPr>
                <w:rFonts w:eastAsia="Times New Roman" w:cstheme="minorHAnsi"/>
              </w:rPr>
            </w:pPr>
            <w:r>
              <w:rPr>
                <w:rFonts w:ascii="Arial" w:hAnsi="Arial" w:cs="Arial"/>
                <w:color w:val="000000"/>
                <w:sz w:val="16"/>
                <w:szCs w:val="16"/>
              </w:rPr>
              <w:t>427</w:t>
            </w:r>
          </w:p>
        </w:tc>
        <w:tc>
          <w:tcPr>
            <w:tcW w:w="851" w:type="dxa"/>
            <w:shd w:val="clear" w:color="auto" w:fill="auto"/>
            <w:noWrap/>
            <w:vAlign w:val="center"/>
            <w:hideMark/>
          </w:tcPr>
          <w:p w14:paraId="530630FA" w14:textId="31505EAE" w:rsidR="00F46BF3" w:rsidRPr="007470AC" w:rsidRDefault="00F46BF3" w:rsidP="00F46BF3">
            <w:pPr>
              <w:spacing w:after="0" w:line="240" w:lineRule="auto"/>
              <w:jc w:val="center"/>
              <w:rPr>
                <w:rFonts w:eastAsia="Times New Roman" w:cstheme="minorHAnsi"/>
              </w:rPr>
            </w:pPr>
            <w:r>
              <w:rPr>
                <w:rFonts w:ascii="Arial" w:hAnsi="Arial" w:cs="Arial"/>
                <w:color w:val="000000"/>
                <w:sz w:val="16"/>
                <w:szCs w:val="16"/>
              </w:rPr>
              <w:t>129</w:t>
            </w:r>
          </w:p>
        </w:tc>
      </w:tr>
      <w:tr w:rsidR="00F46BF3" w:rsidRPr="007470AC" w14:paraId="5FF16A32" w14:textId="77777777" w:rsidTr="005F0016">
        <w:trPr>
          <w:trHeight w:val="288"/>
        </w:trPr>
        <w:tc>
          <w:tcPr>
            <w:tcW w:w="2610" w:type="dxa"/>
            <w:shd w:val="clear" w:color="auto" w:fill="auto"/>
            <w:noWrap/>
            <w:hideMark/>
          </w:tcPr>
          <w:p w14:paraId="088A0330" w14:textId="3609F8C5" w:rsidR="00F46BF3" w:rsidRPr="007470AC" w:rsidRDefault="00F46BF3" w:rsidP="00F46BF3">
            <w:pPr>
              <w:spacing w:after="0" w:line="240" w:lineRule="auto"/>
              <w:rPr>
                <w:rFonts w:eastAsia="Times New Roman" w:cstheme="minorHAnsi"/>
              </w:rPr>
            </w:pPr>
            <w:r w:rsidRPr="007470AC">
              <w:rPr>
                <w:rFonts w:cstheme="minorHAnsi"/>
              </w:rPr>
              <w:t>5 - North Central</w:t>
            </w:r>
          </w:p>
        </w:tc>
        <w:tc>
          <w:tcPr>
            <w:tcW w:w="985" w:type="dxa"/>
            <w:shd w:val="clear" w:color="auto" w:fill="auto"/>
            <w:noWrap/>
            <w:vAlign w:val="center"/>
            <w:hideMark/>
          </w:tcPr>
          <w:p w14:paraId="31A8F5EC" w14:textId="6D1A7FD3" w:rsidR="00F46BF3" w:rsidRPr="007470AC" w:rsidRDefault="00F46BF3" w:rsidP="00F46BF3">
            <w:pPr>
              <w:spacing w:after="0" w:line="240" w:lineRule="auto"/>
              <w:jc w:val="center"/>
              <w:rPr>
                <w:rFonts w:eastAsia="Times New Roman" w:cstheme="minorHAnsi"/>
              </w:rPr>
            </w:pPr>
            <w:r>
              <w:rPr>
                <w:rFonts w:ascii="Arial" w:hAnsi="Arial" w:cs="Arial"/>
                <w:color w:val="000000"/>
                <w:sz w:val="16"/>
                <w:szCs w:val="16"/>
              </w:rPr>
              <w:t>$50,652</w:t>
            </w:r>
          </w:p>
        </w:tc>
        <w:tc>
          <w:tcPr>
            <w:tcW w:w="1080" w:type="dxa"/>
            <w:shd w:val="clear" w:color="auto" w:fill="auto"/>
            <w:noWrap/>
            <w:vAlign w:val="center"/>
            <w:hideMark/>
          </w:tcPr>
          <w:p w14:paraId="39EF1C07" w14:textId="142E42E5" w:rsidR="00F46BF3" w:rsidRPr="007470AC" w:rsidRDefault="00F46BF3" w:rsidP="00F46BF3">
            <w:pPr>
              <w:spacing w:after="0" w:line="240" w:lineRule="auto"/>
              <w:jc w:val="center"/>
              <w:rPr>
                <w:rFonts w:eastAsia="Times New Roman" w:cstheme="minorHAnsi"/>
              </w:rPr>
            </w:pPr>
            <w:r>
              <w:rPr>
                <w:rFonts w:ascii="Arial" w:hAnsi="Arial" w:cs="Arial"/>
                <w:color w:val="000000"/>
                <w:sz w:val="16"/>
                <w:szCs w:val="16"/>
              </w:rPr>
              <w:t>$16.23</w:t>
            </w:r>
          </w:p>
        </w:tc>
        <w:tc>
          <w:tcPr>
            <w:tcW w:w="990" w:type="dxa"/>
            <w:shd w:val="clear" w:color="auto" w:fill="auto"/>
            <w:noWrap/>
            <w:vAlign w:val="center"/>
            <w:hideMark/>
          </w:tcPr>
          <w:p w14:paraId="25130259" w14:textId="34B342B7" w:rsidR="00F46BF3" w:rsidRPr="007470AC" w:rsidRDefault="00F46BF3" w:rsidP="00F46BF3">
            <w:pPr>
              <w:spacing w:after="0" w:line="240" w:lineRule="auto"/>
              <w:jc w:val="center"/>
              <w:rPr>
                <w:rFonts w:eastAsia="Times New Roman" w:cstheme="minorHAnsi"/>
              </w:rPr>
            </w:pPr>
            <w:r>
              <w:rPr>
                <w:rFonts w:ascii="Arial" w:hAnsi="Arial" w:cs="Arial"/>
                <w:color w:val="000000"/>
                <w:sz w:val="16"/>
                <w:szCs w:val="16"/>
              </w:rPr>
              <w:t>269</w:t>
            </w:r>
          </w:p>
        </w:tc>
        <w:tc>
          <w:tcPr>
            <w:tcW w:w="720" w:type="dxa"/>
            <w:shd w:val="clear" w:color="auto" w:fill="auto"/>
            <w:noWrap/>
            <w:vAlign w:val="center"/>
            <w:hideMark/>
          </w:tcPr>
          <w:p w14:paraId="654DE6F2" w14:textId="6697DDFD" w:rsidR="00F46BF3" w:rsidRPr="007470AC" w:rsidRDefault="00F46BF3" w:rsidP="00F46BF3">
            <w:pPr>
              <w:spacing w:after="0" w:line="240" w:lineRule="auto"/>
              <w:jc w:val="center"/>
              <w:rPr>
                <w:rFonts w:eastAsia="Times New Roman" w:cstheme="minorHAnsi"/>
              </w:rPr>
            </w:pPr>
            <w:r>
              <w:rPr>
                <w:rFonts w:ascii="Arial" w:hAnsi="Arial" w:cs="Arial"/>
                <w:color w:val="000000"/>
                <w:sz w:val="16"/>
                <w:szCs w:val="16"/>
              </w:rPr>
              <w:t>900</w:t>
            </w:r>
          </w:p>
        </w:tc>
        <w:tc>
          <w:tcPr>
            <w:tcW w:w="990" w:type="dxa"/>
            <w:shd w:val="clear" w:color="auto" w:fill="auto"/>
            <w:noWrap/>
            <w:vAlign w:val="center"/>
            <w:hideMark/>
          </w:tcPr>
          <w:p w14:paraId="78A1D137" w14:textId="17CBE711" w:rsidR="00F46BF3" w:rsidRPr="007470AC" w:rsidRDefault="00F46BF3" w:rsidP="00F46BF3">
            <w:pPr>
              <w:spacing w:after="0" w:line="240" w:lineRule="auto"/>
              <w:jc w:val="center"/>
              <w:rPr>
                <w:rFonts w:eastAsia="Times New Roman" w:cstheme="minorHAnsi"/>
              </w:rPr>
            </w:pPr>
            <w:r>
              <w:rPr>
                <w:rFonts w:ascii="Arial" w:hAnsi="Arial" w:cs="Arial"/>
                <w:color w:val="000000"/>
                <w:sz w:val="16"/>
                <w:szCs w:val="16"/>
              </w:rPr>
              <w:t>531</w:t>
            </w:r>
          </w:p>
        </w:tc>
        <w:tc>
          <w:tcPr>
            <w:tcW w:w="990" w:type="dxa"/>
            <w:shd w:val="clear" w:color="auto" w:fill="auto"/>
            <w:noWrap/>
            <w:vAlign w:val="center"/>
            <w:hideMark/>
          </w:tcPr>
          <w:p w14:paraId="72E41C1F" w14:textId="4581D0C5" w:rsidR="00F46BF3" w:rsidRPr="007470AC" w:rsidRDefault="00F46BF3" w:rsidP="00F46BF3">
            <w:pPr>
              <w:spacing w:after="0" w:line="240" w:lineRule="auto"/>
              <w:jc w:val="center"/>
              <w:rPr>
                <w:rFonts w:eastAsia="Times New Roman" w:cstheme="minorHAnsi"/>
              </w:rPr>
            </w:pPr>
            <w:r>
              <w:rPr>
                <w:rFonts w:ascii="Arial" w:hAnsi="Arial" w:cs="Arial"/>
                <w:color w:val="000000"/>
                <w:sz w:val="16"/>
                <w:szCs w:val="16"/>
              </w:rPr>
              <w:t>860</w:t>
            </w:r>
          </w:p>
        </w:tc>
        <w:tc>
          <w:tcPr>
            <w:tcW w:w="1089" w:type="dxa"/>
            <w:shd w:val="clear" w:color="auto" w:fill="auto"/>
            <w:noWrap/>
            <w:vAlign w:val="center"/>
            <w:hideMark/>
          </w:tcPr>
          <w:p w14:paraId="3417B5E4" w14:textId="5D50B7DD" w:rsidR="00F46BF3" w:rsidRPr="007470AC" w:rsidRDefault="00F46BF3" w:rsidP="00F46BF3">
            <w:pPr>
              <w:spacing w:after="0" w:line="240" w:lineRule="auto"/>
              <w:jc w:val="center"/>
              <w:rPr>
                <w:rFonts w:eastAsia="Times New Roman" w:cstheme="minorHAnsi"/>
              </w:rPr>
            </w:pPr>
            <w:r>
              <w:rPr>
                <w:rFonts w:ascii="Arial" w:hAnsi="Arial" w:cs="Arial"/>
                <w:color w:val="000000"/>
                <w:sz w:val="16"/>
                <w:szCs w:val="16"/>
              </w:rPr>
              <w:t>1,041</w:t>
            </w:r>
          </w:p>
        </w:tc>
        <w:tc>
          <w:tcPr>
            <w:tcW w:w="801" w:type="dxa"/>
            <w:shd w:val="clear" w:color="auto" w:fill="auto"/>
            <w:noWrap/>
            <w:vAlign w:val="center"/>
            <w:hideMark/>
          </w:tcPr>
          <w:p w14:paraId="0CA9C393" w14:textId="36E36CB0" w:rsidR="00F46BF3" w:rsidRPr="007470AC" w:rsidRDefault="00F46BF3" w:rsidP="00F46BF3">
            <w:pPr>
              <w:spacing w:after="0" w:line="240" w:lineRule="auto"/>
              <w:jc w:val="center"/>
              <w:rPr>
                <w:rFonts w:eastAsia="Times New Roman" w:cstheme="minorHAnsi"/>
              </w:rPr>
            </w:pPr>
            <w:r>
              <w:rPr>
                <w:rFonts w:ascii="Arial" w:hAnsi="Arial" w:cs="Arial"/>
                <w:color w:val="000000"/>
                <w:sz w:val="16"/>
                <w:szCs w:val="16"/>
              </w:rPr>
              <w:t>426</w:t>
            </w:r>
          </w:p>
        </w:tc>
        <w:tc>
          <w:tcPr>
            <w:tcW w:w="851" w:type="dxa"/>
            <w:shd w:val="clear" w:color="auto" w:fill="auto"/>
            <w:noWrap/>
            <w:vAlign w:val="center"/>
            <w:hideMark/>
          </w:tcPr>
          <w:p w14:paraId="67C08669" w14:textId="5D01326A" w:rsidR="00F46BF3" w:rsidRPr="007470AC" w:rsidRDefault="00F46BF3" w:rsidP="00F46BF3">
            <w:pPr>
              <w:spacing w:after="0" w:line="240" w:lineRule="auto"/>
              <w:jc w:val="center"/>
              <w:rPr>
                <w:rFonts w:eastAsia="Times New Roman" w:cstheme="minorHAnsi"/>
              </w:rPr>
            </w:pPr>
            <w:r>
              <w:rPr>
                <w:rFonts w:ascii="Arial" w:hAnsi="Arial" w:cs="Arial"/>
                <w:color w:val="000000"/>
                <w:sz w:val="16"/>
                <w:szCs w:val="16"/>
              </w:rPr>
              <w:t>194</w:t>
            </w:r>
          </w:p>
        </w:tc>
      </w:tr>
      <w:tr w:rsidR="00F46BF3" w:rsidRPr="007470AC" w14:paraId="5FC51A94" w14:textId="77777777" w:rsidTr="005F0016">
        <w:trPr>
          <w:trHeight w:val="288"/>
        </w:trPr>
        <w:tc>
          <w:tcPr>
            <w:tcW w:w="2610" w:type="dxa"/>
            <w:shd w:val="clear" w:color="auto" w:fill="auto"/>
            <w:noWrap/>
            <w:hideMark/>
          </w:tcPr>
          <w:p w14:paraId="4B83EA43" w14:textId="15AEE0A5" w:rsidR="00F46BF3" w:rsidRPr="007470AC" w:rsidRDefault="00F46BF3" w:rsidP="00F46BF3">
            <w:pPr>
              <w:spacing w:after="0" w:line="240" w:lineRule="auto"/>
              <w:rPr>
                <w:rFonts w:eastAsia="Times New Roman" w:cstheme="minorHAnsi"/>
              </w:rPr>
            </w:pPr>
            <w:r w:rsidRPr="007470AC">
              <w:rPr>
                <w:rFonts w:cstheme="minorHAnsi"/>
              </w:rPr>
              <w:t>6E- Southwest Central</w:t>
            </w:r>
          </w:p>
        </w:tc>
        <w:tc>
          <w:tcPr>
            <w:tcW w:w="985" w:type="dxa"/>
            <w:shd w:val="clear" w:color="auto" w:fill="auto"/>
            <w:noWrap/>
            <w:vAlign w:val="center"/>
            <w:hideMark/>
          </w:tcPr>
          <w:p w14:paraId="1EBEEDF9" w14:textId="6F386B66" w:rsidR="00F46BF3" w:rsidRPr="007470AC" w:rsidRDefault="00F46BF3" w:rsidP="00F46BF3">
            <w:pPr>
              <w:spacing w:after="0" w:line="240" w:lineRule="auto"/>
              <w:jc w:val="center"/>
              <w:rPr>
                <w:rFonts w:eastAsia="Times New Roman" w:cstheme="minorHAnsi"/>
              </w:rPr>
            </w:pPr>
            <w:r>
              <w:rPr>
                <w:rFonts w:ascii="Arial" w:hAnsi="Arial" w:cs="Arial"/>
                <w:color w:val="000000"/>
                <w:sz w:val="16"/>
                <w:szCs w:val="16"/>
              </w:rPr>
              <w:t>$48,648</w:t>
            </w:r>
          </w:p>
        </w:tc>
        <w:tc>
          <w:tcPr>
            <w:tcW w:w="1080" w:type="dxa"/>
            <w:shd w:val="clear" w:color="auto" w:fill="auto"/>
            <w:noWrap/>
            <w:vAlign w:val="center"/>
            <w:hideMark/>
          </w:tcPr>
          <w:p w14:paraId="1DBC36EF" w14:textId="71C6F40A" w:rsidR="00F46BF3" w:rsidRPr="007470AC" w:rsidRDefault="00F46BF3" w:rsidP="00F46BF3">
            <w:pPr>
              <w:spacing w:after="0" w:line="240" w:lineRule="auto"/>
              <w:jc w:val="center"/>
              <w:rPr>
                <w:rFonts w:eastAsia="Times New Roman" w:cstheme="minorHAnsi"/>
              </w:rPr>
            </w:pPr>
            <w:r>
              <w:rPr>
                <w:rFonts w:ascii="Arial" w:hAnsi="Arial" w:cs="Arial"/>
                <w:color w:val="000000"/>
                <w:sz w:val="16"/>
                <w:szCs w:val="16"/>
              </w:rPr>
              <w:t>$15.59</w:t>
            </w:r>
          </w:p>
        </w:tc>
        <w:tc>
          <w:tcPr>
            <w:tcW w:w="990" w:type="dxa"/>
            <w:shd w:val="clear" w:color="auto" w:fill="auto"/>
            <w:noWrap/>
            <w:vAlign w:val="center"/>
            <w:hideMark/>
          </w:tcPr>
          <w:p w14:paraId="5894419E" w14:textId="558B69C4" w:rsidR="00F46BF3" w:rsidRPr="007470AC" w:rsidRDefault="00F46BF3" w:rsidP="00F46BF3">
            <w:pPr>
              <w:spacing w:after="0" w:line="240" w:lineRule="auto"/>
              <w:jc w:val="center"/>
              <w:rPr>
                <w:rFonts w:eastAsia="Times New Roman" w:cstheme="minorHAnsi"/>
              </w:rPr>
            </w:pPr>
            <w:r>
              <w:rPr>
                <w:rFonts w:ascii="Arial" w:hAnsi="Arial" w:cs="Arial"/>
                <w:color w:val="000000"/>
                <w:sz w:val="16"/>
                <w:szCs w:val="16"/>
              </w:rPr>
              <w:t>265</w:t>
            </w:r>
          </w:p>
        </w:tc>
        <w:tc>
          <w:tcPr>
            <w:tcW w:w="720" w:type="dxa"/>
            <w:shd w:val="clear" w:color="auto" w:fill="auto"/>
            <w:noWrap/>
            <w:vAlign w:val="center"/>
            <w:hideMark/>
          </w:tcPr>
          <w:p w14:paraId="4AA63F96" w14:textId="2F11786C" w:rsidR="00F46BF3" w:rsidRPr="007470AC" w:rsidRDefault="00F46BF3" w:rsidP="00F46BF3">
            <w:pPr>
              <w:spacing w:after="0" w:line="240" w:lineRule="auto"/>
              <w:jc w:val="center"/>
              <w:rPr>
                <w:rFonts w:eastAsia="Times New Roman" w:cstheme="minorHAnsi"/>
              </w:rPr>
            </w:pPr>
            <w:r>
              <w:rPr>
                <w:rFonts w:ascii="Arial" w:hAnsi="Arial" w:cs="Arial"/>
                <w:color w:val="000000"/>
                <w:sz w:val="16"/>
                <w:szCs w:val="16"/>
              </w:rPr>
              <w:t>902</w:t>
            </w:r>
          </w:p>
        </w:tc>
        <w:tc>
          <w:tcPr>
            <w:tcW w:w="990" w:type="dxa"/>
            <w:shd w:val="clear" w:color="auto" w:fill="auto"/>
            <w:noWrap/>
            <w:vAlign w:val="center"/>
            <w:hideMark/>
          </w:tcPr>
          <w:p w14:paraId="66E23AA0" w14:textId="268BE437" w:rsidR="00F46BF3" w:rsidRPr="007470AC" w:rsidRDefault="00F46BF3" w:rsidP="00F46BF3">
            <w:pPr>
              <w:spacing w:after="0" w:line="240" w:lineRule="auto"/>
              <w:jc w:val="center"/>
              <w:rPr>
                <w:rFonts w:eastAsia="Times New Roman" w:cstheme="minorHAnsi"/>
              </w:rPr>
            </w:pPr>
            <w:r>
              <w:rPr>
                <w:rFonts w:ascii="Arial" w:hAnsi="Arial" w:cs="Arial"/>
                <w:color w:val="000000"/>
                <w:sz w:val="16"/>
                <w:szCs w:val="16"/>
              </w:rPr>
              <w:t>528</w:t>
            </w:r>
          </w:p>
        </w:tc>
        <w:tc>
          <w:tcPr>
            <w:tcW w:w="990" w:type="dxa"/>
            <w:shd w:val="clear" w:color="auto" w:fill="auto"/>
            <w:noWrap/>
            <w:vAlign w:val="center"/>
            <w:hideMark/>
          </w:tcPr>
          <w:p w14:paraId="0FF003DD" w14:textId="35C95E3E" w:rsidR="00F46BF3" w:rsidRPr="007470AC" w:rsidRDefault="00F46BF3" w:rsidP="00F46BF3">
            <w:pPr>
              <w:spacing w:after="0" w:line="240" w:lineRule="auto"/>
              <w:jc w:val="center"/>
              <w:rPr>
                <w:rFonts w:eastAsia="Times New Roman" w:cstheme="minorHAnsi"/>
              </w:rPr>
            </w:pPr>
            <w:r>
              <w:rPr>
                <w:rFonts w:ascii="Arial" w:hAnsi="Arial" w:cs="Arial"/>
                <w:color w:val="000000"/>
                <w:sz w:val="16"/>
                <w:szCs w:val="16"/>
              </w:rPr>
              <w:t>850</w:t>
            </w:r>
          </w:p>
        </w:tc>
        <w:tc>
          <w:tcPr>
            <w:tcW w:w="1089" w:type="dxa"/>
            <w:shd w:val="clear" w:color="auto" w:fill="auto"/>
            <w:noWrap/>
            <w:vAlign w:val="center"/>
            <w:hideMark/>
          </w:tcPr>
          <w:p w14:paraId="05D0F2CE" w14:textId="4468D329" w:rsidR="00F46BF3" w:rsidRPr="007470AC" w:rsidRDefault="00F46BF3" w:rsidP="00F46BF3">
            <w:pPr>
              <w:spacing w:after="0" w:line="240" w:lineRule="auto"/>
              <w:jc w:val="center"/>
              <w:rPr>
                <w:rFonts w:eastAsia="Times New Roman" w:cstheme="minorHAnsi"/>
              </w:rPr>
            </w:pPr>
            <w:r>
              <w:rPr>
                <w:rFonts w:ascii="Arial" w:hAnsi="Arial" w:cs="Arial"/>
                <w:color w:val="000000"/>
                <w:sz w:val="16"/>
                <w:szCs w:val="16"/>
              </w:rPr>
              <w:t>936</w:t>
            </w:r>
          </w:p>
        </w:tc>
        <w:tc>
          <w:tcPr>
            <w:tcW w:w="801" w:type="dxa"/>
            <w:shd w:val="clear" w:color="auto" w:fill="auto"/>
            <w:noWrap/>
            <w:vAlign w:val="center"/>
            <w:hideMark/>
          </w:tcPr>
          <w:p w14:paraId="3BFF812F" w14:textId="4C72D0F7" w:rsidR="00F46BF3" w:rsidRPr="007470AC" w:rsidRDefault="00F46BF3" w:rsidP="00F46BF3">
            <w:pPr>
              <w:spacing w:after="0" w:line="240" w:lineRule="auto"/>
              <w:jc w:val="center"/>
              <w:rPr>
                <w:rFonts w:eastAsia="Times New Roman" w:cstheme="minorHAnsi"/>
              </w:rPr>
            </w:pPr>
            <w:r>
              <w:rPr>
                <w:rFonts w:ascii="Arial" w:hAnsi="Arial" w:cs="Arial"/>
                <w:color w:val="000000"/>
                <w:sz w:val="16"/>
                <w:szCs w:val="16"/>
              </w:rPr>
              <w:t>424</w:t>
            </w:r>
          </w:p>
        </w:tc>
        <w:tc>
          <w:tcPr>
            <w:tcW w:w="851" w:type="dxa"/>
            <w:shd w:val="clear" w:color="auto" w:fill="auto"/>
            <w:noWrap/>
            <w:vAlign w:val="center"/>
            <w:hideMark/>
          </w:tcPr>
          <w:p w14:paraId="540BB254" w14:textId="5D250750" w:rsidR="00F46BF3" w:rsidRPr="007470AC" w:rsidRDefault="00F46BF3" w:rsidP="00F46BF3">
            <w:pPr>
              <w:spacing w:after="0" w:line="240" w:lineRule="auto"/>
              <w:jc w:val="center"/>
              <w:rPr>
                <w:rFonts w:eastAsia="Times New Roman" w:cstheme="minorHAnsi"/>
              </w:rPr>
            </w:pPr>
            <w:r>
              <w:rPr>
                <w:rFonts w:ascii="Arial" w:hAnsi="Arial" w:cs="Arial"/>
                <w:color w:val="000000"/>
                <w:sz w:val="16"/>
                <w:szCs w:val="16"/>
              </w:rPr>
              <w:t>149</w:t>
            </w:r>
          </w:p>
        </w:tc>
      </w:tr>
      <w:tr w:rsidR="00F46BF3" w:rsidRPr="007470AC" w14:paraId="52284753" w14:textId="77777777" w:rsidTr="005F0016">
        <w:trPr>
          <w:trHeight w:val="288"/>
        </w:trPr>
        <w:tc>
          <w:tcPr>
            <w:tcW w:w="2610" w:type="dxa"/>
            <w:shd w:val="clear" w:color="auto" w:fill="auto"/>
            <w:noWrap/>
            <w:hideMark/>
          </w:tcPr>
          <w:p w14:paraId="27998658" w14:textId="76977876" w:rsidR="00F46BF3" w:rsidRPr="007470AC" w:rsidRDefault="00F46BF3" w:rsidP="00F46BF3">
            <w:pPr>
              <w:spacing w:after="0" w:line="240" w:lineRule="auto"/>
              <w:rPr>
                <w:rFonts w:eastAsia="Times New Roman" w:cstheme="minorHAnsi"/>
              </w:rPr>
            </w:pPr>
            <w:r w:rsidRPr="007470AC">
              <w:rPr>
                <w:rFonts w:cstheme="minorHAnsi"/>
              </w:rPr>
              <w:t>6W- Upper M</w:t>
            </w:r>
            <w:r>
              <w:rPr>
                <w:rFonts w:cstheme="minorHAnsi"/>
              </w:rPr>
              <w:t>N</w:t>
            </w:r>
            <w:r w:rsidRPr="007470AC">
              <w:rPr>
                <w:rFonts w:cstheme="minorHAnsi"/>
              </w:rPr>
              <w:t xml:space="preserve"> Valley</w:t>
            </w:r>
          </w:p>
        </w:tc>
        <w:tc>
          <w:tcPr>
            <w:tcW w:w="985" w:type="dxa"/>
            <w:shd w:val="clear" w:color="auto" w:fill="auto"/>
            <w:noWrap/>
            <w:vAlign w:val="center"/>
            <w:hideMark/>
          </w:tcPr>
          <w:p w14:paraId="47C3AAFF" w14:textId="56251658" w:rsidR="00F46BF3" w:rsidRPr="007470AC" w:rsidRDefault="00F46BF3" w:rsidP="00F46BF3">
            <w:pPr>
              <w:spacing w:after="0" w:line="240" w:lineRule="auto"/>
              <w:jc w:val="center"/>
              <w:rPr>
                <w:rFonts w:eastAsia="Times New Roman" w:cstheme="minorHAnsi"/>
              </w:rPr>
            </w:pPr>
            <w:r>
              <w:rPr>
                <w:rFonts w:ascii="Arial" w:hAnsi="Arial" w:cs="Arial"/>
                <w:color w:val="000000"/>
                <w:sz w:val="16"/>
                <w:szCs w:val="16"/>
              </w:rPr>
              <w:t>$46,308</w:t>
            </w:r>
          </w:p>
        </w:tc>
        <w:tc>
          <w:tcPr>
            <w:tcW w:w="1080" w:type="dxa"/>
            <w:shd w:val="clear" w:color="auto" w:fill="auto"/>
            <w:noWrap/>
            <w:vAlign w:val="center"/>
            <w:hideMark/>
          </w:tcPr>
          <w:p w14:paraId="3883C7FD" w14:textId="424A3FBB" w:rsidR="00F46BF3" w:rsidRPr="007470AC" w:rsidRDefault="00F46BF3" w:rsidP="00F46BF3">
            <w:pPr>
              <w:spacing w:after="0" w:line="240" w:lineRule="auto"/>
              <w:jc w:val="center"/>
              <w:rPr>
                <w:rFonts w:eastAsia="Times New Roman" w:cstheme="minorHAnsi"/>
              </w:rPr>
            </w:pPr>
            <w:r>
              <w:rPr>
                <w:rFonts w:ascii="Arial" w:hAnsi="Arial" w:cs="Arial"/>
                <w:color w:val="000000"/>
                <w:sz w:val="16"/>
                <w:szCs w:val="16"/>
              </w:rPr>
              <w:t>$14.84</w:t>
            </w:r>
          </w:p>
        </w:tc>
        <w:tc>
          <w:tcPr>
            <w:tcW w:w="990" w:type="dxa"/>
            <w:shd w:val="clear" w:color="auto" w:fill="auto"/>
            <w:noWrap/>
            <w:vAlign w:val="center"/>
            <w:hideMark/>
          </w:tcPr>
          <w:p w14:paraId="329BF619" w14:textId="65C9D02C" w:rsidR="00F46BF3" w:rsidRPr="007470AC" w:rsidRDefault="00F46BF3" w:rsidP="00F46BF3">
            <w:pPr>
              <w:spacing w:after="0" w:line="240" w:lineRule="auto"/>
              <w:jc w:val="center"/>
              <w:rPr>
                <w:rFonts w:eastAsia="Times New Roman" w:cstheme="minorHAnsi"/>
              </w:rPr>
            </w:pPr>
            <w:r>
              <w:rPr>
                <w:rFonts w:ascii="Arial" w:hAnsi="Arial" w:cs="Arial"/>
                <w:color w:val="000000"/>
                <w:sz w:val="16"/>
                <w:szCs w:val="16"/>
              </w:rPr>
              <w:t>217</w:t>
            </w:r>
          </w:p>
        </w:tc>
        <w:tc>
          <w:tcPr>
            <w:tcW w:w="720" w:type="dxa"/>
            <w:shd w:val="clear" w:color="auto" w:fill="auto"/>
            <w:noWrap/>
            <w:vAlign w:val="center"/>
            <w:hideMark/>
          </w:tcPr>
          <w:p w14:paraId="243CF7F9" w14:textId="705132F0" w:rsidR="00F46BF3" w:rsidRPr="007470AC" w:rsidRDefault="00F46BF3" w:rsidP="00F46BF3">
            <w:pPr>
              <w:spacing w:after="0" w:line="240" w:lineRule="auto"/>
              <w:jc w:val="center"/>
              <w:rPr>
                <w:rFonts w:eastAsia="Times New Roman" w:cstheme="minorHAnsi"/>
              </w:rPr>
            </w:pPr>
            <w:r>
              <w:rPr>
                <w:rFonts w:ascii="Arial" w:hAnsi="Arial" w:cs="Arial"/>
                <w:color w:val="000000"/>
                <w:sz w:val="16"/>
                <w:szCs w:val="16"/>
              </w:rPr>
              <w:t>917</w:t>
            </w:r>
          </w:p>
        </w:tc>
        <w:tc>
          <w:tcPr>
            <w:tcW w:w="990" w:type="dxa"/>
            <w:shd w:val="clear" w:color="auto" w:fill="auto"/>
            <w:noWrap/>
            <w:vAlign w:val="center"/>
            <w:hideMark/>
          </w:tcPr>
          <w:p w14:paraId="5201CB98" w14:textId="30A70629" w:rsidR="00F46BF3" w:rsidRPr="007470AC" w:rsidRDefault="00F46BF3" w:rsidP="00F46BF3">
            <w:pPr>
              <w:spacing w:after="0" w:line="240" w:lineRule="auto"/>
              <w:jc w:val="center"/>
              <w:rPr>
                <w:rFonts w:eastAsia="Times New Roman" w:cstheme="minorHAnsi"/>
              </w:rPr>
            </w:pPr>
            <w:r>
              <w:rPr>
                <w:rFonts w:ascii="Arial" w:hAnsi="Arial" w:cs="Arial"/>
                <w:color w:val="000000"/>
                <w:sz w:val="16"/>
                <w:szCs w:val="16"/>
              </w:rPr>
              <w:t>525</w:t>
            </w:r>
          </w:p>
        </w:tc>
        <w:tc>
          <w:tcPr>
            <w:tcW w:w="990" w:type="dxa"/>
            <w:shd w:val="clear" w:color="auto" w:fill="auto"/>
            <w:noWrap/>
            <w:vAlign w:val="center"/>
            <w:hideMark/>
          </w:tcPr>
          <w:p w14:paraId="29EC72A4" w14:textId="3FD93405" w:rsidR="00F46BF3" w:rsidRPr="007470AC" w:rsidRDefault="00F46BF3" w:rsidP="00F46BF3">
            <w:pPr>
              <w:spacing w:after="0" w:line="240" w:lineRule="auto"/>
              <w:jc w:val="center"/>
              <w:rPr>
                <w:rFonts w:eastAsia="Times New Roman" w:cstheme="minorHAnsi"/>
              </w:rPr>
            </w:pPr>
            <w:r>
              <w:rPr>
                <w:rFonts w:ascii="Arial" w:hAnsi="Arial" w:cs="Arial"/>
                <w:color w:val="000000"/>
                <w:sz w:val="16"/>
                <w:szCs w:val="16"/>
              </w:rPr>
              <w:t>790</w:t>
            </w:r>
          </w:p>
        </w:tc>
        <w:tc>
          <w:tcPr>
            <w:tcW w:w="1089" w:type="dxa"/>
            <w:shd w:val="clear" w:color="auto" w:fill="auto"/>
            <w:noWrap/>
            <w:vAlign w:val="center"/>
            <w:hideMark/>
          </w:tcPr>
          <w:p w14:paraId="6EF6D10C" w14:textId="3CFF649A" w:rsidR="00F46BF3" w:rsidRPr="007470AC" w:rsidRDefault="00F46BF3" w:rsidP="00F46BF3">
            <w:pPr>
              <w:spacing w:after="0" w:line="240" w:lineRule="auto"/>
              <w:jc w:val="center"/>
              <w:rPr>
                <w:rFonts w:eastAsia="Times New Roman" w:cstheme="minorHAnsi"/>
              </w:rPr>
            </w:pPr>
            <w:r>
              <w:rPr>
                <w:rFonts w:ascii="Arial" w:hAnsi="Arial" w:cs="Arial"/>
                <w:color w:val="000000"/>
                <w:sz w:val="16"/>
                <w:szCs w:val="16"/>
              </w:rPr>
              <w:t>891</w:t>
            </w:r>
          </w:p>
        </w:tc>
        <w:tc>
          <w:tcPr>
            <w:tcW w:w="801" w:type="dxa"/>
            <w:shd w:val="clear" w:color="auto" w:fill="auto"/>
            <w:noWrap/>
            <w:vAlign w:val="center"/>
            <w:hideMark/>
          </w:tcPr>
          <w:p w14:paraId="0DBEA08A" w14:textId="565B74BF" w:rsidR="00F46BF3" w:rsidRPr="007470AC" w:rsidRDefault="00F46BF3" w:rsidP="00F46BF3">
            <w:pPr>
              <w:spacing w:after="0" w:line="240" w:lineRule="auto"/>
              <w:jc w:val="center"/>
              <w:rPr>
                <w:rFonts w:eastAsia="Times New Roman" w:cstheme="minorHAnsi"/>
              </w:rPr>
            </w:pPr>
            <w:r>
              <w:rPr>
                <w:rFonts w:ascii="Arial" w:hAnsi="Arial" w:cs="Arial"/>
                <w:color w:val="000000"/>
                <w:sz w:val="16"/>
                <w:szCs w:val="16"/>
              </w:rPr>
              <w:t>413</w:t>
            </w:r>
          </w:p>
        </w:tc>
        <w:tc>
          <w:tcPr>
            <w:tcW w:w="851" w:type="dxa"/>
            <w:shd w:val="clear" w:color="auto" w:fill="auto"/>
            <w:noWrap/>
            <w:vAlign w:val="center"/>
            <w:hideMark/>
          </w:tcPr>
          <w:p w14:paraId="65218641" w14:textId="0206EF4B" w:rsidR="00F46BF3" w:rsidRPr="007470AC" w:rsidRDefault="00F46BF3" w:rsidP="00F46BF3">
            <w:pPr>
              <w:spacing w:after="0" w:line="240" w:lineRule="auto"/>
              <w:jc w:val="center"/>
              <w:rPr>
                <w:rFonts w:eastAsia="Times New Roman" w:cstheme="minorHAnsi"/>
              </w:rPr>
            </w:pPr>
            <w:r>
              <w:rPr>
                <w:rFonts w:ascii="Arial" w:hAnsi="Arial" w:cs="Arial"/>
                <w:color w:val="000000"/>
                <w:sz w:val="16"/>
                <w:szCs w:val="16"/>
              </w:rPr>
              <w:t>106</w:t>
            </w:r>
          </w:p>
        </w:tc>
      </w:tr>
      <w:tr w:rsidR="00F46BF3" w:rsidRPr="007470AC" w14:paraId="5CCDB21C" w14:textId="77777777" w:rsidTr="005F0016">
        <w:trPr>
          <w:trHeight w:val="288"/>
        </w:trPr>
        <w:tc>
          <w:tcPr>
            <w:tcW w:w="2610" w:type="dxa"/>
            <w:shd w:val="clear" w:color="auto" w:fill="auto"/>
            <w:noWrap/>
            <w:hideMark/>
          </w:tcPr>
          <w:p w14:paraId="6E452194" w14:textId="106D48B8" w:rsidR="00F46BF3" w:rsidRPr="007470AC" w:rsidRDefault="00F46BF3" w:rsidP="00F46BF3">
            <w:pPr>
              <w:spacing w:after="0" w:line="240" w:lineRule="auto"/>
              <w:rPr>
                <w:rFonts w:eastAsia="Times New Roman" w:cstheme="minorHAnsi"/>
              </w:rPr>
            </w:pPr>
            <w:r w:rsidRPr="007470AC">
              <w:rPr>
                <w:rFonts w:cstheme="minorHAnsi"/>
              </w:rPr>
              <w:t>7E- East Central</w:t>
            </w:r>
          </w:p>
        </w:tc>
        <w:tc>
          <w:tcPr>
            <w:tcW w:w="985" w:type="dxa"/>
            <w:shd w:val="clear" w:color="auto" w:fill="auto"/>
            <w:noWrap/>
            <w:vAlign w:val="center"/>
            <w:hideMark/>
          </w:tcPr>
          <w:p w14:paraId="6D261037" w14:textId="096A8A59" w:rsidR="00F46BF3" w:rsidRPr="007470AC" w:rsidRDefault="00F46BF3" w:rsidP="00F46BF3">
            <w:pPr>
              <w:spacing w:after="0" w:line="240" w:lineRule="auto"/>
              <w:jc w:val="center"/>
              <w:rPr>
                <w:rFonts w:eastAsia="Times New Roman" w:cstheme="minorHAnsi"/>
              </w:rPr>
            </w:pPr>
            <w:r>
              <w:rPr>
                <w:rFonts w:ascii="Arial" w:hAnsi="Arial" w:cs="Arial"/>
                <w:color w:val="000000"/>
                <w:sz w:val="16"/>
                <w:szCs w:val="16"/>
              </w:rPr>
              <w:t>$61,632</w:t>
            </w:r>
          </w:p>
        </w:tc>
        <w:tc>
          <w:tcPr>
            <w:tcW w:w="1080" w:type="dxa"/>
            <w:shd w:val="clear" w:color="auto" w:fill="auto"/>
            <w:noWrap/>
            <w:vAlign w:val="center"/>
            <w:hideMark/>
          </w:tcPr>
          <w:p w14:paraId="55617671" w14:textId="53B6136A" w:rsidR="00F46BF3" w:rsidRPr="007470AC" w:rsidRDefault="00F46BF3" w:rsidP="00F46BF3">
            <w:pPr>
              <w:spacing w:after="0" w:line="240" w:lineRule="auto"/>
              <w:jc w:val="center"/>
              <w:rPr>
                <w:rFonts w:eastAsia="Times New Roman" w:cstheme="minorHAnsi"/>
              </w:rPr>
            </w:pPr>
            <w:r>
              <w:rPr>
                <w:rFonts w:ascii="Arial" w:hAnsi="Arial" w:cs="Arial"/>
                <w:color w:val="000000"/>
                <w:sz w:val="16"/>
                <w:szCs w:val="16"/>
              </w:rPr>
              <w:t>$19.75</w:t>
            </w:r>
          </w:p>
        </w:tc>
        <w:tc>
          <w:tcPr>
            <w:tcW w:w="990" w:type="dxa"/>
            <w:shd w:val="clear" w:color="auto" w:fill="auto"/>
            <w:noWrap/>
            <w:vAlign w:val="center"/>
            <w:hideMark/>
          </w:tcPr>
          <w:p w14:paraId="1709ADB6" w14:textId="0B20C280" w:rsidR="00F46BF3" w:rsidRPr="007470AC" w:rsidRDefault="00F46BF3" w:rsidP="00F46BF3">
            <w:pPr>
              <w:spacing w:after="0" w:line="240" w:lineRule="auto"/>
              <w:jc w:val="center"/>
              <w:rPr>
                <w:rFonts w:eastAsia="Times New Roman" w:cstheme="minorHAnsi"/>
              </w:rPr>
            </w:pPr>
            <w:r>
              <w:rPr>
                <w:rFonts w:ascii="Arial" w:hAnsi="Arial" w:cs="Arial"/>
                <w:color w:val="000000"/>
                <w:sz w:val="16"/>
                <w:szCs w:val="16"/>
              </w:rPr>
              <w:t>426</w:t>
            </w:r>
          </w:p>
        </w:tc>
        <w:tc>
          <w:tcPr>
            <w:tcW w:w="720" w:type="dxa"/>
            <w:shd w:val="clear" w:color="auto" w:fill="auto"/>
            <w:noWrap/>
            <w:vAlign w:val="center"/>
            <w:hideMark/>
          </w:tcPr>
          <w:p w14:paraId="6959DEBB" w14:textId="5A7B7EDD" w:rsidR="00F46BF3" w:rsidRPr="007470AC" w:rsidRDefault="00F46BF3" w:rsidP="00F46BF3">
            <w:pPr>
              <w:spacing w:after="0" w:line="240" w:lineRule="auto"/>
              <w:jc w:val="center"/>
              <w:rPr>
                <w:rFonts w:eastAsia="Times New Roman" w:cstheme="minorHAnsi"/>
              </w:rPr>
            </w:pPr>
            <w:r>
              <w:rPr>
                <w:rFonts w:ascii="Arial" w:hAnsi="Arial" w:cs="Arial"/>
                <w:color w:val="000000"/>
                <w:sz w:val="16"/>
                <w:szCs w:val="16"/>
              </w:rPr>
              <w:t>897</w:t>
            </w:r>
          </w:p>
        </w:tc>
        <w:tc>
          <w:tcPr>
            <w:tcW w:w="990" w:type="dxa"/>
            <w:shd w:val="clear" w:color="auto" w:fill="auto"/>
            <w:noWrap/>
            <w:vAlign w:val="center"/>
            <w:hideMark/>
          </w:tcPr>
          <w:p w14:paraId="37C28DF1" w14:textId="073492EF" w:rsidR="00F46BF3" w:rsidRPr="007470AC" w:rsidRDefault="00F46BF3" w:rsidP="00F46BF3">
            <w:pPr>
              <w:spacing w:after="0" w:line="240" w:lineRule="auto"/>
              <w:jc w:val="center"/>
              <w:rPr>
                <w:rFonts w:eastAsia="Times New Roman" w:cstheme="minorHAnsi"/>
              </w:rPr>
            </w:pPr>
            <w:r>
              <w:rPr>
                <w:rFonts w:ascii="Arial" w:hAnsi="Arial" w:cs="Arial"/>
                <w:color w:val="000000"/>
                <w:sz w:val="16"/>
                <w:szCs w:val="16"/>
              </w:rPr>
              <w:t>555</w:t>
            </w:r>
          </w:p>
        </w:tc>
        <w:tc>
          <w:tcPr>
            <w:tcW w:w="990" w:type="dxa"/>
            <w:shd w:val="clear" w:color="auto" w:fill="auto"/>
            <w:noWrap/>
            <w:vAlign w:val="center"/>
            <w:hideMark/>
          </w:tcPr>
          <w:p w14:paraId="3DCC2081" w14:textId="133ECA38" w:rsidR="00F46BF3" w:rsidRPr="007470AC" w:rsidRDefault="00F46BF3" w:rsidP="00F46BF3">
            <w:pPr>
              <w:spacing w:after="0" w:line="240" w:lineRule="auto"/>
              <w:jc w:val="center"/>
              <w:rPr>
                <w:rFonts w:eastAsia="Times New Roman" w:cstheme="minorHAnsi"/>
              </w:rPr>
            </w:pPr>
            <w:r>
              <w:rPr>
                <w:rFonts w:ascii="Arial" w:hAnsi="Arial" w:cs="Arial"/>
                <w:color w:val="000000"/>
                <w:sz w:val="16"/>
                <w:szCs w:val="16"/>
              </w:rPr>
              <w:t>1,220</w:t>
            </w:r>
          </w:p>
        </w:tc>
        <w:tc>
          <w:tcPr>
            <w:tcW w:w="1089" w:type="dxa"/>
            <w:shd w:val="clear" w:color="auto" w:fill="auto"/>
            <w:noWrap/>
            <w:vAlign w:val="center"/>
            <w:hideMark/>
          </w:tcPr>
          <w:p w14:paraId="5B07D96A" w14:textId="42F8A494" w:rsidR="00F46BF3" w:rsidRPr="007470AC" w:rsidRDefault="00F46BF3" w:rsidP="00F46BF3">
            <w:pPr>
              <w:spacing w:after="0" w:line="240" w:lineRule="auto"/>
              <w:jc w:val="center"/>
              <w:rPr>
                <w:rFonts w:eastAsia="Times New Roman" w:cstheme="minorHAnsi"/>
              </w:rPr>
            </w:pPr>
            <w:r>
              <w:rPr>
                <w:rFonts w:ascii="Arial" w:hAnsi="Arial" w:cs="Arial"/>
                <w:color w:val="000000"/>
                <w:sz w:val="16"/>
                <w:szCs w:val="16"/>
              </w:rPr>
              <w:t>1,116</w:t>
            </w:r>
          </w:p>
        </w:tc>
        <w:tc>
          <w:tcPr>
            <w:tcW w:w="801" w:type="dxa"/>
            <w:shd w:val="clear" w:color="auto" w:fill="auto"/>
            <w:noWrap/>
            <w:vAlign w:val="center"/>
            <w:hideMark/>
          </w:tcPr>
          <w:p w14:paraId="572CAE91" w14:textId="2CA755CF" w:rsidR="00F46BF3" w:rsidRPr="007470AC" w:rsidRDefault="00F46BF3" w:rsidP="00F46BF3">
            <w:pPr>
              <w:spacing w:after="0" w:line="240" w:lineRule="auto"/>
              <w:jc w:val="center"/>
              <w:rPr>
                <w:rFonts w:eastAsia="Times New Roman" w:cstheme="minorHAnsi"/>
              </w:rPr>
            </w:pPr>
            <w:r>
              <w:rPr>
                <w:rFonts w:ascii="Arial" w:hAnsi="Arial" w:cs="Arial"/>
                <w:color w:val="000000"/>
                <w:sz w:val="16"/>
                <w:szCs w:val="16"/>
              </w:rPr>
              <w:t>512</w:t>
            </w:r>
          </w:p>
        </w:tc>
        <w:tc>
          <w:tcPr>
            <w:tcW w:w="851" w:type="dxa"/>
            <w:shd w:val="clear" w:color="auto" w:fill="auto"/>
            <w:noWrap/>
            <w:vAlign w:val="center"/>
            <w:hideMark/>
          </w:tcPr>
          <w:p w14:paraId="6831E291" w14:textId="7F74E5BC" w:rsidR="00F46BF3" w:rsidRPr="007470AC" w:rsidRDefault="00F46BF3" w:rsidP="00F46BF3">
            <w:pPr>
              <w:spacing w:after="0" w:line="240" w:lineRule="auto"/>
              <w:jc w:val="center"/>
              <w:rPr>
                <w:rFonts w:eastAsia="Times New Roman" w:cstheme="minorHAnsi"/>
              </w:rPr>
            </w:pPr>
            <w:r>
              <w:rPr>
                <w:rFonts w:ascii="Arial" w:hAnsi="Arial" w:cs="Arial"/>
                <w:color w:val="000000"/>
                <w:sz w:val="16"/>
                <w:szCs w:val="16"/>
              </w:rPr>
              <w:t>410</w:t>
            </w:r>
          </w:p>
        </w:tc>
      </w:tr>
      <w:tr w:rsidR="00F46BF3" w:rsidRPr="007470AC" w14:paraId="45764713" w14:textId="77777777" w:rsidTr="005F0016">
        <w:trPr>
          <w:trHeight w:val="288"/>
        </w:trPr>
        <w:tc>
          <w:tcPr>
            <w:tcW w:w="2610" w:type="dxa"/>
            <w:shd w:val="clear" w:color="auto" w:fill="auto"/>
            <w:noWrap/>
            <w:hideMark/>
          </w:tcPr>
          <w:p w14:paraId="5A36C96B" w14:textId="42D431C5" w:rsidR="00F46BF3" w:rsidRPr="007470AC" w:rsidRDefault="00F46BF3" w:rsidP="00F46BF3">
            <w:pPr>
              <w:spacing w:after="0" w:line="240" w:lineRule="auto"/>
              <w:rPr>
                <w:rFonts w:eastAsia="Times New Roman" w:cstheme="minorHAnsi"/>
              </w:rPr>
            </w:pPr>
            <w:r w:rsidRPr="007470AC">
              <w:rPr>
                <w:rFonts w:cstheme="minorHAnsi"/>
              </w:rPr>
              <w:t>7W- Central</w:t>
            </w:r>
          </w:p>
        </w:tc>
        <w:tc>
          <w:tcPr>
            <w:tcW w:w="985" w:type="dxa"/>
            <w:shd w:val="clear" w:color="auto" w:fill="auto"/>
            <w:noWrap/>
            <w:vAlign w:val="center"/>
            <w:hideMark/>
          </w:tcPr>
          <w:p w14:paraId="02D9E145" w14:textId="503C4BD5" w:rsidR="00F46BF3" w:rsidRPr="007470AC" w:rsidRDefault="00F46BF3" w:rsidP="00F46BF3">
            <w:pPr>
              <w:spacing w:after="0" w:line="240" w:lineRule="auto"/>
              <w:jc w:val="center"/>
              <w:rPr>
                <w:rFonts w:eastAsia="Times New Roman" w:cstheme="minorHAnsi"/>
              </w:rPr>
            </w:pPr>
            <w:r>
              <w:rPr>
                <w:rFonts w:ascii="Arial" w:hAnsi="Arial" w:cs="Arial"/>
                <w:color w:val="000000"/>
                <w:sz w:val="16"/>
                <w:szCs w:val="16"/>
              </w:rPr>
              <w:t>$58,320</w:t>
            </w:r>
          </w:p>
        </w:tc>
        <w:tc>
          <w:tcPr>
            <w:tcW w:w="1080" w:type="dxa"/>
            <w:shd w:val="clear" w:color="auto" w:fill="auto"/>
            <w:noWrap/>
            <w:vAlign w:val="center"/>
            <w:hideMark/>
          </w:tcPr>
          <w:p w14:paraId="7BA3CDE8" w14:textId="192134F0" w:rsidR="00F46BF3" w:rsidRPr="007470AC" w:rsidRDefault="00F46BF3" w:rsidP="00F46BF3">
            <w:pPr>
              <w:spacing w:after="0" w:line="240" w:lineRule="auto"/>
              <w:jc w:val="center"/>
              <w:rPr>
                <w:rFonts w:eastAsia="Times New Roman" w:cstheme="minorHAnsi"/>
              </w:rPr>
            </w:pPr>
            <w:r>
              <w:rPr>
                <w:rFonts w:ascii="Arial" w:hAnsi="Arial" w:cs="Arial"/>
                <w:color w:val="000000"/>
                <w:sz w:val="16"/>
                <w:szCs w:val="16"/>
              </w:rPr>
              <w:t>$18.69</w:t>
            </w:r>
          </w:p>
        </w:tc>
        <w:tc>
          <w:tcPr>
            <w:tcW w:w="990" w:type="dxa"/>
            <w:shd w:val="clear" w:color="auto" w:fill="auto"/>
            <w:noWrap/>
            <w:vAlign w:val="center"/>
            <w:hideMark/>
          </w:tcPr>
          <w:p w14:paraId="561F462D" w14:textId="424621BF" w:rsidR="00F46BF3" w:rsidRPr="007470AC" w:rsidRDefault="00F46BF3" w:rsidP="00F46BF3">
            <w:pPr>
              <w:spacing w:after="0" w:line="240" w:lineRule="auto"/>
              <w:jc w:val="center"/>
              <w:rPr>
                <w:rFonts w:eastAsia="Times New Roman" w:cstheme="minorHAnsi"/>
              </w:rPr>
            </w:pPr>
            <w:r>
              <w:rPr>
                <w:rFonts w:ascii="Arial" w:hAnsi="Arial" w:cs="Arial"/>
                <w:color w:val="000000"/>
                <w:sz w:val="16"/>
                <w:szCs w:val="16"/>
              </w:rPr>
              <w:t>403</w:t>
            </w:r>
          </w:p>
        </w:tc>
        <w:tc>
          <w:tcPr>
            <w:tcW w:w="720" w:type="dxa"/>
            <w:shd w:val="clear" w:color="auto" w:fill="auto"/>
            <w:noWrap/>
            <w:vAlign w:val="center"/>
            <w:hideMark/>
          </w:tcPr>
          <w:p w14:paraId="08D417B9" w14:textId="0DA3969A" w:rsidR="00F46BF3" w:rsidRPr="007470AC" w:rsidRDefault="00F46BF3" w:rsidP="00F46BF3">
            <w:pPr>
              <w:spacing w:after="0" w:line="240" w:lineRule="auto"/>
              <w:jc w:val="center"/>
              <w:rPr>
                <w:rFonts w:eastAsia="Times New Roman" w:cstheme="minorHAnsi"/>
              </w:rPr>
            </w:pPr>
            <w:r>
              <w:rPr>
                <w:rFonts w:ascii="Arial" w:hAnsi="Arial" w:cs="Arial"/>
                <w:color w:val="000000"/>
                <w:sz w:val="16"/>
                <w:szCs w:val="16"/>
              </w:rPr>
              <w:t>901</w:t>
            </w:r>
          </w:p>
        </w:tc>
        <w:tc>
          <w:tcPr>
            <w:tcW w:w="990" w:type="dxa"/>
            <w:shd w:val="clear" w:color="auto" w:fill="auto"/>
            <w:noWrap/>
            <w:vAlign w:val="center"/>
            <w:hideMark/>
          </w:tcPr>
          <w:p w14:paraId="4B9ED2D9" w14:textId="2CA6E878" w:rsidR="00F46BF3" w:rsidRPr="007470AC" w:rsidRDefault="00F46BF3" w:rsidP="00F46BF3">
            <w:pPr>
              <w:spacing w:after="0" w:line="240" w:lineRule="auto"/>
              <w:jc w:val="center"/>
              <w:rPr>
                <w:rFonts w:eastAsia="Times New Roman" w:cstheme="minorHAnsi"/>
              </w:rPr>
            </w:pPr>
            <w:r>
              <w:rPr>
                <w:rFonts w:ascii="Arial" w:hAnsi="Arial" w:cs="Arial"/>
                <w:color w:val="000000"/>
                <w:sz w:val="16"/>
                <w:szCs w:val="16"/>
              </w:rPr>
              <w:t>556</w:t>
            </w:r>
          </w:p>
        </w:tc>
        <w:tc>
          <w:tcPr>
            <w:tcW w:w="990" w:type="dxa"/>
            <w:shd w:val="clear" w:color="auto" w:fill="auto"/>
            <w:noWrap/>
            <w:vAlign w:val="center"/>
            <w:hideMark/>
          </w:tcPr>
          <w:p w14:paraId="270BA2FA" w14:textId="645AD582" w:rsidR="00F46BF3" w:rsidRPr="007470AC" w:rsidRDefault="00F46BF3" w:rsidP="00F46BF3">
            <w:pPr>
              <w:spacing w:after="0" w:line="240" w:lineRule="auto"/>
              <w:jc w:val="center"/>
              <w:rPr>
                <w:rFonts w:eastAsia="Times New Roman" w:cstheme="minorHAnsi"/>
              </w:rPr>
            </w:pPr>
            <w:r>
              <w:rPr>
                <w:rFonts w:ascii="Arial" w:hAnsi="Arial" w:cs="Arial"/>
                <w:color w:val="000000"/>
                <w:sz w:val="16"/>
                <w:szCs w:val="16"/>
              </w:rPr>
              <w:t>1,194</w:t>
            </w:r>
          </w:p>
        </w:tc>
        <w:tc>
          <w:tcPr>
            <w:tcW w:w="1089" w:type="dxa"/>
            <w:shd w:val="clear" w:color="auto" w:fill="auto"/>
            <w:noWrap/>
            <w:vAlign w:val="center"/>
            <w:hideMark/>
          </w:tcPr>
          <w:p w14:paraId="047829FD" w14:textId="0D599E2A" w:rsidR="00F46BF3" w:rsidRPr="007470AC" w:rsidRDefault="00F46BF3" w:rsidP="00F46BF3">
            <w:pPr>
              <w:spacing w:after="0" w:line="240" w:lineRule="auto"/>
              <w:jc w:val="center"/>
              <w:rPr>
                <w:rFonts w:eastAsia="Times New Roman" w:cstheme="minorHAnsi"/>
              </w:rPr>
            </w:pPr>
            <w:r>
              <w:rPr>
                <w:rFonts w:ascii="Arial" w:hAnsi="Arial" w:cs="Arial"/>
                <w:color w:val="000000"/>
                <w:sz w:val="16"/>
                <w:szCs w:val="16"/>
              </w:rPr>
              <w:t>961</w:t>
            </w:r>
          </w:p>
        </w:tc>
        <w:tc>
          <w:tcPr>
            <w:tcW w:w="801" w:type="dxa"/>
            <w:shd w:val="clear" w:color="auto" w:fill="auto"/>
            <w:noWrap/>
            <w:vAlign w:val="center"/>
            <w:hideMark/>
          </w:tcPr>
          <w:p w14:paraId="10EF883C" w14:textId="485382A7" w:rsidR="00F46BF3" w:rsidRPr="007470AC" w:rsidRDefault="00F46BF3" w:rsidP="00F46BF3">
            <w:pPr>
              <w:spacing w:after="0" w:line="240" w:lineRule="auto"/>
              <w:jc w:val="center"/>
              <w:rPr>
                <w:rFonts w:eastAsia="Times New Roman" w:cstheme="minorHAnsi"/>
              </w:rPr>
            </w:pPr>
            <w:r>
              <w:rPr>
                <w:rFonts w:ascii="Arial" w:hAnsi="Arial" w:cs="Arial"/>
                <w:color w:val="000000"/>
                <w:sz w:val="16"/>
                <w:szCs w:val="16"/>
              </w:rPr>
              <w:t>507</w:t>
            </w:r>
          </w:p>
        </w:tc>
        <w:tc>
          <w:tcPr>
            <w:tcW w:w="851" w:type="dxa"/>
            <w:shd w:val="clear" w:color="auto" w:fill="auto"/>
            <w:noWrap/>
            <w:vAlign w:val="center"/>
            <w:hideMark/>
          </w:tcPr>
          <w:p w14:paraId="504A178C" w14:textId="04CAA91E" w:rsidR="00F46BF3" w:rsidRPr="007470AC" w:rsidRDefault="00F46BF3" w:rsidP="00F46BF3">
            <w:pPr>
              <w:spacing w:after="0" w:line="240" w:lineRule="auto"/>
              <w:jc w:val="center"/>
              <w:rPr>
                <w:rFonts w:eastAsia="Times New Roman" w:cstheme="minorHAnsi"/>
              </w:rPr>
            </w:pPr>
            <w:r>
              <w:rPr>
                <w:rFonts w:ascii="Arial" w:hAnsi="Arial" w:cs="Arial"/>
                <w:color w:val="000000"/>
                <w:sz w:val="16"/>
                <w:szCs w:val="16"/>
              </w:rPr>
              <w:t>338</w:t>
            </w:r>
          </w:p>
        </w:tc>
      </w:tr>
      <w:tr w:rsidR="00F46BF3" w:rsidRPr="007470AC" w14:paraId="169DEC36" w14:textId="77777777" w:rsidTr="005F0016">
        <w:trPr>
          <w:trHeight w:val="288"/>
        </w:trPr>
        <w:tc>
          <w:tcPr>
            <w:tcW w:w="2610" w:type="dxa"/>
            <w:shd w:val="clear" w:color="auto" w:fill="auto"/>
            <w:noWrap/>
            <w:hideMark/>
          </w:tcPr>
          <w:p w14:paraId="65918F59" w14:textId="70742534" w:rsidR="00F46BF3" w:rsidRPr="007470AC" w:rsidRDefault="00F46BF3" w:rsidP="00F46BF3">
            <w:pPr>
              <w:spacing w:after="0" w:line="240" w:lineRule="auto"/>
              <w:rPr>
                <w:rFonts w:eastAsia="Times New Roman" w:cstheme="minorHAnsi"/>
              </w:rPr>
            </w:pPr>
            <w:r w:rsidRPr="007470AC">
              <w:rPr>
                <w:rFonts w:cstheme="minorHAnsi"/>
              </w:rPr>
              <w:t>8 - Southwest</w:t>
            </w:r>
          </w:p>
        </w:tc>
        <w:tc>
          <w:tcPr>
            <w:tcW w:w="985" w:type="dxa"/>
            <w:shd w:val="clear" w:color="auto" w:fill="auto"/>
            <w:noWrap/>
            <w:vAlign w:val="center"/>
            <w:hideMark/>
          </w:tcPr>
          <w:p w14:paraId="1C35354E" w14:textId="7964901E" w:rsidR="00F46BF3" w:rsidRPr="007470AC" w:rsidRDefault="00F46BF3" w:rsidP="00F46BF3">
            <w:pPr>
              <w:spacing w:after="0" w:line="240" w:lineRule="auto"/>
              <w:jc w:val="center"/>
              <w:rPr>
                <w:rFonts w:eastAsia="Times New Roman" w:cstheme="minorHAnsi"/>
              </w:rPr>
            </w:pPr>
            <w:r>
              <w:rPr>
                <w:rFonts w:ascii="Arial" w:hAnsi="Arial" w:cs="Arial"/>
                <w:color w:val="000000"/>
                <w:sz w:val="16"/>
                <w:szCs w:val="16"/>
              </w:rPr>
              <w:t>$46,284</w:t>
            </w:r>
          </w:p>
        </w:tc>
        <w:tc>
          <w:tcPr>
            <w:tcW w:w="1080" w:type="dxa"/>
            <w:shd w:val="clear" w:color="auto" w:fill="auto"/>
            <w:noWrap/>
            <w:vAlign w:val="center"/>
            <w:hideMark/>
          </w:tcPr>
          <w:p w14:paraId="404AC15C" w14:textId="06E431B2" w:rsidR="00F46BF3" w:rsidRPr="007470AC" w:rsidRDefault="00F46BF3" w:rsidP="00F46BF3">
            <w:pPr>
              <w:spacing w:after="0" w:line="240" w:lineRule="auto"/>
              <w:jc w:val="center"/>
              <w:rPr>
                <w:rFonts w:eastAsia="Times New Roman" w:cstheme="minorHAnsi"/>
              </w:rPr>
            </w:pPr>
            <w:r>
              <w:rPr>
                <w:rFonts w:ascii="Arial" w:hAnsi="Arial" w:cs="Arial"/>
                <w:color w:val="000000"/>
                <w:sz w:val="16"/>
                <w:szCs w:val="16"/>
              </w:rPr>
              <w:t>$14.83</w:t>
            </w:r>
          </w:p>
        </w:tc>
        <w:tc>
          <w:tcPr>
            <w:tcW w:w="990" w:type="dxa"/>
            <w:shd w:val="clear" w:color="auto" w:fill="auto"/>
            <w:noWrap/>
            <w:vAlign w:val="center"/>
            <w:hideMark/>
          </w:tcPr>
          <w:p w14:paraId="0EE8BFF7" w14:textId="4344D53D" w:rsidR="00F46BF3" w:rsidRPr="007470AC" w:rsidRDefault="00F46BF3" w:rsidP="00F46BF3">
            <w:pPr>
              <w:spacing w:after="0" w:line="240" w:lineRule="auto"/>
              <w:jc w:val="center"/>
              <w:rPr>
                <w:rFonts w:eastAsia="Times New Roman" w:cstheme="minorHAnsi"/>
              </w:rPr>
            </w:pPr>
            <w:r>
              <w:rPr>
                <w:rFonts w:ascii="Arial" w:hAnsi="Arial" w:cs="Arial"/>
                <w:color w:val="000000"/>
                <w:sz w:val="16"/>
                <w:szCs w:val="16"/>
              </w:rPr>
              <w:t>271</w:t>
            </w:r>
          </w:p>
        </w:tc>
        <w:tc>
          <w:tcPr>
            <w:tcW w:w="720" w:type="dxa"/>
            <w:shd w:val="clear" w:color="auto" w:fill="auto"/>
            <w:noWrap/>
            <w:vAlign w:val="center"/>
            <w:hideMark/>
          </w:tcPr>
          <w:p w14:paraId="12191C88" w14:textId="42DC56BE" w:rsidR="00F46BF3" w:rsidRPr="007470AC" w:rsidRDefault="00F46BF3" w:rsidP="00F46BF3">
            <w:pPr>
              <w:spacing w:after="0" w:line="240" w:lineRule="auto"/>
              <w:jc w:val="center"/>
              <w:rPr>
                <w:rFonts w:eastAsia="Times New Roman" w:cstheme="minorHAnsi"/>
              </w:rPr>
            </w:pPr>
            <w:r>
              <w:rPr>
                <w:rFonts w:ascii="Arial" w:hAnsi="Arial" w:cs="Arial"/>
                <w:color w:val="000000"/>
                <w:sz w:val="16"/>
                <w:szCs w:val="16"/>
              </w:rPr>
              <w:t>909</w:t>
            </w:r>
          </w:p>
        </w:tc>
        <w:tc>
          <w:tcPr>
            <w:tcW w:w="990" w:type="dxa"/>
            <w:shd w:val="clear" w:color="auto" w:fill="auto"/>
            <w:noWrap/>
            <w:vAlign w:val="center"/>
            <w:hideMark/>
          </w:tcPr>
          <w:p w14:paraId="686850EA" w14:textId="6E2B135A" w:rsidR="00F46BF3" w:rsidRPr="007470AC" w:rsidRDefault="00F46BF3" w:rsidP="00F46BF3">
            <w:pPr>
              <w:spacing w:after="0" w:line="240" w:lineRule="auto"/>
              <w:jc w:val="center"/>
              <w:rPr>
                <w:rFonts w:eastAsia="Times New Roman" w:cstheme="minorHAnsi"/>
              </w:rPr>
            </w:pPr>
            <w:r>
              <w:rPr>
                <w:rFonts w:ascii="Arial" w:hAnsi="Arial" w:cs="Arial"/>
                <w:color w:val="000000"/>
                <w:sz w:val="16"/>
                <w:szCs w:val="16"/>
              </w:rPr>
              <w:t>526</w:t>
            </w:r>
          </w:p>
        </w:tc>
        <w:tc>
          <w:tcPr>
            <w:tcW w:w="990" w:type="dxa"/>
            <w:shd w:val="clear" w:color="auto" w:fill="auto"/>
            <w:noWrap/>
            <w:vAlign w:val="center"/>
            <w:hideMark/>
          </w:tcPr>
          <w:p w14:paraId="04F5141A" w14:textId="5CA4B993" w:rsidR="00F46BF3" w:rsidRPr="007470AC" w:rsidRDefault="00F46BF3" w:rsidP="00F46BF3">
            <w:pPr>
              <w:spacing w:after="0" w:line="240" w:lineRule="auto"/>
              <w:jc w:val="center"/>
              <w:rPr>
                <w:rFonts w:eastAsia="Times New Roman" w:cstheme="minorHAnsi"/>
              </w:rPr>
            </w:pPr>
            <w:r>
              <w:rPr>
                <w:rFonts w:ascii="Arial" w:hAnsi="Arial" w:cs="Arial"/>
                <w:color w:val="000000"/>
                <w:sz w:val="16"/>
                <w:szCs w:val="16"/>
              </w:rPr>
              <w:t>806</w:t>
            </w:r>
          </w:p>
        </w:tc>
        <w:tc>
          <w:tcPr>
            <w:tcW w:w="1089" w:type="dxa"/>
            <w:shd w:val="clear" w:color="auto" w:fill="auto"/>
            <w:noWrap/>
            <w:vAlign w:val="center"/>
            <w:hideMark/>
          </w:tcPr>
          <w:p w14:paraId="4910DCEC" w14:textId="086D9388" w:rsidR="00F46BF3" w:rsidRPr="007470AC" w:rsidRDefault="00F46BF3" w:rsidP="00F46BF3">
            <w:pPr>
              <w:spacing w:after="0" w:line="240" w:lineRule="auto"/>
              <w:jc w:val="center"/>
              <w:rPr>
                <w:rFonts w:eastAsia="Times New Roman" w:cstheme="minorHAnsi"/>
              </w:rPr>
            </w:pPr>
            <w:r>
              <w:rPr>
                <w:rFonts w:ascii="Arial" w:hAnsi="Arial" w:cs="Arial"/>
                <w:color w:val="000000"/>
                <w:sz w:val="16"/>
                <w:szCs w:val="16"/>
              </w:rPr>
              <w:t>837</w:t>
            </w:r>
          </w:p>
        </w:tc>
        <w:tc>
          <w:tcPr>
            <w:tcW w:w="801" w:type="dxa"/>
            <w:shd w:val="clear" w:color="auto" w:fill="auto"/>
            <w:noWrap/>
            <w:vAlign w:val="center"/>
            <w:hideMark/>
          </w:tcPr>
          <w:p w14:paraId="26F81B68" w14:textId="0EF9C771" w:rsidR="00F46BF3" w:rsidRPr="007470AC" w:rsidRDefault="00F46BF3" w:rsidP="00F46BF3">
            <w:pPr>
              <w:spacing w:after="0" w:line="240" w:lineRule="auto"/>
              <w:jc w:val="center"/>
              <w:rPr>
                <w:rFonts w:eastAsia="Times New Roman" w:cstheme="minorHAnsi"/>
              </w:rPr>
            </w:pPr>
            <w:r>
              <w:rPr>
                <w:rFonts w:ascii="Arial" w:hAnsi="Arial" w:cs="Arial"/>
                <w:color w:val="000000"/>
                <w:sz w:val="16"/>
                <w:szCs w:val="16"/>
              </w:rPr>
              <w:t>415</w:t>
            </w:r>
          </w:p>
        </w:tc>
        <w:tc>
          <w:tcPr>
            <w:tcW w:w="851" w:type="dxa"/>
            <w:shd w:val="clear" w:color="auto" w:fill="auto"/>
            <w:noWrap/>
            <w:vAlign w:val="center"/>
            <w:hideMark/>
          </w:tcPr>
          <w:p w14:paraId="17403E2C" w14:textId="7F0D194C" w:rsidR="00F46BF3" w:rsidRPr="007470AC" w:rsidRDefault="00F46BF3" w:rsidP="00F46BF3">
            <w:pPr>
              <w:spacing w:after="0" w:line="240" w:lineRule="auto"/>
              <w:jc w:val="center"/>
              <w:rPr>
                <w:rFonts w:eastAsia="Times New Roman" w:cstheme="minorHAnsi"/>
              </w:rPr>
            </w:pPr>
            <w:r>
              <w:rPr>
                <w:rFonts w:ascii="Arial" w:hAnsi="Arial" w:cs="Arial"/>
                <w:color w:val="000000"/>
                <w:sz w:val="16"/>
                <w:szCs w:val="16"/>
              </w:rPr>
              <w:t>93</w:t>
            </w:r>
          </w:p>
        </w:tc>
      </w:tr>
      <w:tr w:rsidR="00F46BF3" w:rsidRPr="007470AC" w14:paraId="187985D6" w14:textId="77777777" w:rsidTr="005F0016">
        <w:trPr>
          <w:trHeight w:val="288"/>
        </w:trPr>
        <w:tc>
          <w:tcPr>
            <w:tcW w:w="2610" w:type="dxa"/>
            <w:shd w:val="clear" w:color="auto" w:fill="auto"/>
            <w:noWrap/>
            <w:hideMark/>
          </w:tcPr>
          <w:p w14:paraId="437B9F5F" w14:textId="2D6794B6" w:rsidR="00F46BF3" w:rsidRPr="007470AC" w:rsidRDefault="00F46BF3" w:rsidP="00F46BF3">
            <w:pPr>
              <w:spacing w:after="0" w:line="240" w:lineRule="auto"/>
              <w:rPr>
                <w:rFonts w:eastAsia="Times New Roman" w:cstheme="minorHAnsi"/>
              </w:rPr>
            </w:pPr>
            <w:r w:rsidRPr="007470AC">
              <w:rPr>
                <w:rFonts w:cstheme="minorHAnsi"/>
              </w:rPr>
              <w:t>9 - South Central</w:t>
            </w:r>
          </w:p>
        </w:tc>
        <w:tc>
          <w:tcPr>
            <w:tcW w:w="985" w:type="dxa"/>
            <w:shd w:val="clear" w:color="auto" w:fill="auto"/>
            <w:noWrap/>
            <w:vAlign w:val="center"/>
            <w:hideMark/>
          </w:tcPr>
          <w:p w14:paraId="789DCB7C" w14:textId="239A6AC8" w:rsidR="00F46BF3" w:rsidRPr="007470AC" w:rsidRDefault="00F46BF3" w:rsidP="00F46BF3">
            <w:pPr>
              <w:spacing w:after="0" w:line="240" w:lineRule="auto"/>
              <w:jc w:val="center"/>
              <w:rPr>
                <w:rFonts w:eastAsia="Times New Roman" w:cstheme="minorHAnsi"/>
              </w:rPr>
            </w:pPr>
            <w:r>
              <w:rPr>
                <w:rFonts w:ascii="Arial" w:hAnsi="Arial" w:cs="Arial"/>
                <w:color w:val="000000"/>
                <w:sz w:val="16"/>
                <w:szCs w:val="16"/>
              </w:rPr>
              <w:t>$48,216</w:t>
            </w:r>
          </w:p>
        </w:tc>
        <w:tc>
          <w:tcPr>
            <w:tcW w:w="1080" w:type="dxa"/>
            <w:shd w:val="clear" w:color="auto" w:fill="auto"/>
            <w:noWrap/>
            <w:vAlign w:val="center"/>
            <w:hideMark/>
          </w:tcPr>
          <w:p w14:paraId="58945B4B" w14:textId="599C7FE5" w:rsidR="00F46BF3" w:rsidRPr="007470AC" w:rsidRDefault="00F46BF3" w:rsidP="00F46BF3">
            <w:pPr>
              <w:spacing w:after="0" w:line="240" w:lineRule="auto"/>
              <w:jc w:val="center"/>
              <w:rPr>
                <w:rFonts w:eastAsia="Times New Roman" w:cstheme="minorHAnsi"/>
              </w:rPr>
            </w:pPr>
            <w:r>
              <w:rPr>
                <w:rFonts w:ascii="Arial" w:hAnsi="Arial" w:cs="Arial"/>
                <w:color w:val="000000"/>
                <w:sz w:val="16"/>
                <w:szCs w:val="16"/>
              </w:rPr>
              <w:t>$15.45</w:t>
            </w:r>
          </w:p>
        </w:tc>
        <w:tc>
          <w:tcPr>
            <w:tcW w:w="990" w:type="dxa"/>
            <w:shd w:val="clear" w:color="auto" w:fill="auto"/>
            <w:noWrap/>
            <w:vAlign w:val="center"/>
            <w:hideMark/>
          </w:tcPr>
          <w:p w14:paraId="4E7F20D7" w14:textId="2188E257" w:rsidR="00F46BF3" w:rsidRPr="007470AC" w:rsidRDefault="00F46BF3" w:rsidP="00F46BF3">
            <w:pPr>
              <w:spacing w:after="0" w:line="240" w:lineRule="auto"/>
              <w:jc w:val="center"/>
              <w:rPr>
                <w:rFonts w:eastAsia="Times New Roman" w:cstheme="minorHAnsi"/>
              </w:rPr>
            </w:pPr>
            <w:r>
              <w:rPr>
                <w:rFonts w:ascii="Arial" w:hAnsi="Arial" w:cs="Arial"/>
                <w:color w:val="000000"/>
                <w:sz w:val="16"/>
                <w:szCs w:val="16"/>
              </w:rPr>
              <w:t>242</w:t>
            </w:r>
          </w:p>
        </w:tc>
        <w:tc>
          <w:tcPr>
            <w:tcW w:w="720" w:type="dxa"/>
            <w:shd w:val="clear" w:color="auto" w:fill="auto"/>
            <w:noWrap/>
            <w:vAlign w:val="center"/>
            <w:hideMark/>
          </w:tcPr>
          <w:p w14:paraId="7E1BB4B7" w14:textId="49493597" w:rsidR="00F46BF3" w:rsidRPr="007470AC" w:rsidRDefault="00F46BF3" w:rsidP="00F46BF3">
            <w:pPr>
              <w:spacing w:after="0" w:line="240" w:lineRule="auto"/>
              <w:jc w:val="center"/>
              <w:rPr>
                <w:rFonts w:eastAsia="Times New Roman" w:cstheme="minorHAnsi"/>
              </w:rPr>
            </w:pPr>
            <w:r>
              <w:rPr>
                <w:rFonts w:ascii="Arial" w:hAnsi="Arial" w:cs="Arial"/>
                <w:color w:val="000000"/>
                <w:sz w:val="16"/>
                <w:szCs w:val="16"/>
              </w:rPr>
              <w:t>905</w:t>
            </w:r>
          </w:p>
        </w:tc>
        <w:tc>
          <w:tcPr>
            <w:tcW w:w="990" w:type="dxa"/>
            <w:shd w:val="clear" w:color="auto" w:fill="auto"/>
            <w:noWrap/>
            <w:vAlign w:val="center"/>
            <w:hideMark/>
          </w:tcPr>
          <w:p w14:paraId="07F0BDCE" w14:textId="5D916406" w:rsidR="00F46BF3" w:rsidRPr="007470AC" w:rsidRDefault="00F46BF3" w:rsidP="00F46BF3">
            <w:pPr>
              <w:spacing w:after="0" w:line="240" w:lineRule="auto"/>
              <w:jc w:val="center"/>
              <w:rPr>
                <w:rFonts w:eastAsia="Times New Roman" w:cstheme="minorHAnsi"/>
              </w:rPr>
            </w:pPr>
            <w:r>
              <w:rPr>
                <w:rFonts w:ascii="Arial" w:hAnsi="Arial" w:cs="Arial"/>
                <w:color w:val="000000"/>
                <w:sz w:val="16"/>
                <w:szCs w:val="16"/>
              </w:rPr>
              <w:t>529</w:t>
            </w:r>
          </w:p>
        </w:tc>
        <w:tc>
          <w:tcPr>
            <w:tcW w:w="990" w:type="dxa"/>
            <w:shd w:val="clear" w:color="auto" w:fill="auto"/>
            <w:noWrap/>
            <w:vAlign w:val="center"/>
            <w:hideMark/>
          </w:tcPr>
          <w:p w14:paraId="39AE3BE9" w14:textId="64FD84AD" w:rsidR="00F46BF3" w:rsidRPr="007470AC" w:rsidRDefault="00F46BF3" w:rsidP="00F46BF3">
            <w:pPr>
              <w:spacing w:after="0" w:line="240" w:lineRule="auto"/>
              <w:jc w:val="center"/>
              <w:rPr>
                <w:rFonts w:eastAsia="Times New Roman" w:cstheme="minorHAnsi"/>
              </w:rPr>
            </w:pPr>
            <w:r>
              <w:rPr>
                <w:rFonts w:ascii="Arial" w:hAnsi="Arial" w:cs="Arial"/>
                <w:color w:val="000000"/>
                <w:sz w:val="16"/>
                <w:szCs w:val="16"/>
              </w:rPr>
              <w:t>934</w:t>
            </w:r>
          </w:p>
        </w:tc>
        <w:tc>
          <w:tcPr>
            <w:tcW w:w="1089" w:type="dxa"/>
            <w:shd w:val="clear" w:color="auto" w:fill="auto"/>
            <w:noWrap/>
            <w:vAlign w:val="center"/>
            <w:hideMark/>
          </w:tcPr>
          <w:p w14:paraId="6C3D3CB3" w14:textId="2B44420F" w:rsidR="00F46BF3" w:rsidRPr="007470AC" w:rsidRDefault="00F46BF3" w:rsidP="00F46BF3">
            <w:pPr>
              <w:spacing w:after="0" w:line="240" w:lineRule="auto"/>
              <w:jc w:val="center"/>
              <w:rPr>
                <w:rFonts w:eastAsia="Times New Roman" w:cstheme="minorHAnsi"/>
              </w:rPr>
            </w:pPr>
            <w:r>
              <w:rPr>
                <w:rFonts w:ascii="Arial" w:hAnsi="Arial" w:cs="Arial"/>
                <w:color w:val="000000"/>
                <w:sz w:val="16"/>
                <w:szCs w:val="16"/>
              </w:rPr>
              <w:t>829</w:t>
            </w:r>
          </w:p>
        </w:tc>
        <w:tc>
          <w:tcPr>
            <w:tcW w:w="801" w:type="dxa"/>
            <w:shd w:val="clear" w:color="auto" w:fill="auto"/>
            <w:noWrap/>
            <w:vAlign w:val="center"/>
            <w:hideMark/>
          </w:tcPr>
          <w:p w14:paraId="044E7DD1" w14:textId="46E6E336" w:rsidR="00F46BF3" w:rsidRPr="007470AC" w:rsidRDefault="00F46BF3" w:rsidP="00F46BF3">
            <w:pPr>
              <w:spacing w:after="0" w:line="240" w:lineRule="auto"/>
              <w:jc w:val="center"/>
              <w:rPr>
                <w:rFonts w:eastAsia="Times New Roman" w:cstheme="minorHAnsi"/>
              </w:rPr>
            </w:pPr>
            <w:r>
              <w:rPr>
                <w:rFonts w:ascii="Arial" w:hAnsi="Arial" w:cs="Arial"/>
                <w:color w:val="000000"/>
                <w:sz w:val="16"/>
                <w:szCs w:val="16"/>
              </w:rPr>
              <w:t>445</w:t>
            </w:r>
          </w:p>
        </w:tc>
        <w:tc>
          <w:tcPr>
            <w:tcW w:w="851" w:type="dxa"/>
            <w:shd w:val="clear" w:color="auto" w:fill="auto"/>
            <w:noWrap/>
            <w:vAlign w:val="center"/>
            <w:hideMark/>
          </w:tcPr>
          <w:p w14:paraId="523D65DC" w14:textId="0D368CF8" w:rsidR="00F46BF3" w:rsidRPr="007470AC" w:rsidRDefault="00F46BF3" w:rsidP="00F46BF3">
            <w:pPr>
              <w:spacing w:after="0" w:line="240" w:lineRule="auto"/>
              <w:jc w:val="center"/>
              <w:rPr>
                <w:rFonts w:eastAsia="Times New Roman" w:cstheme="minorHAnsi"/>
              </w:rPr>
            </w:pPr>
            <w:r>
              <w:rPr>
                <w:rFonts w:ascii="Arial" w:hAnsi="Arial" w:cs="Arial"/>
                <w:color w:val="000000"/>
                <w:sz w:val="16"/>
                <w:szCs w:val="16"/>
              </w:rPr>
              <w:t>134</w:t>
            </w:r>
          </w:p>
        </w:tc>
      </w:tr>
      <w:tr w:rsidR="00F46BF3" w:rsidRPr="007470AC" w14:paraId="72A5488A" w14:textId="77777777" w:rsidTr="005F0016">
        <w:trPr>
          <w:trHeight w:val="288"/>
        </w:trPr>
        <w:tc>
          <w:tcPr>
            <w:tcW w:w="2610" w:type="dxa"/>
            <w:shd w:val="clear" w:color="auto" w:fill="auto"/>
            <w:noWrap/>
            <w:hideMark/>
          </w:tcPr>
          <w:p w14:paraId="09101F37" w14:textId="759D3AB4" w:rsidR="00F46BF3" w:rsidRPr="007470AC" w:rsidRDefault="00F46BF3" w:rsidP="00F46BF3">
            <w:pPr>
              <w:spacing w:after="0" w:line="240" w:lineRule="auto"/>
              <w:rPr>
                <w:rFonts w:eastAsia="Times New Roman" w:cstheme="minorHAnsi"/>
              </w:rPr>
            </w:pPr>
            <w:r w:rsidRPr="007470AC">
              <w:rPr>
                <w:rFonts w:cstheme="minorHAnsi"/>
              </w:rPr>
              <w:t>10 - Southeast</w:t>
            </w:r>
          </w:p>
        </w:tc>
        <w:tc>
          <w:tcPr>
            <w:tcW w:w="985" w:type="dxa"/>
            <w:shd w:val="clear" w:color="auto" w:fill="auto"/>
            <w:noWrap/>
            <w:vAlign w:val="center"/>
            <w:hideMark/>
          </w:tcPr>
          <w:p w14:paraId="4A8A247F" w14:textId="7E600F23" w:rsidR="00F46BF3" w:rsidRPr="007470AC" w:rsidRDefault="00F46BF3" w:rsidP="00F46BF3">
            <w:pPr>
              <w:spacing w:after="0" w:line="240" w:lineRule="auto"/>
              <w:jc w:val="center"/>
              <w:rPr>
                <w:rFonts w:eastAsia="Times New Roman" w:cstheme="minorHAnsi"/>
              </w:rPr>
            </w:pPr>
            <w:r>
              <w:rPr>
                <w:rFonts w:ascii="Arial" w:hAnsi="Arial" w:cs="Arial"/>
                <w:color w:val="000000"/>
                <w:sz w:val="16"/>
                <w:szCs w:val="16"/>
              </w:rPr>
              <w:t>$52,392</w:t>
            </w:r>
          </w:p>
        </w:tc>
        <w:tc>
          <w:tcPr>
            <w:tcW w:w="1080" w:type="dxa"/>
            <w:shd w:val="clear" w:color="auto" w:fill="auto"/>
            <w:noWrap/>
            <w:vAlign w:val="center"/>
            <w:hideMark/>
          </w:tcPr>
          <w:p w14:paraId="30A6F9B9" w14:textId="79167D97" w:rsidR="00F46BF3" w:rsidRPr="007470AC" w:rsidRDefault="00F46BF3" w:rsidP="00F46BF3">
            <w:pPr>
              <w:spacing w:after="0" w:line="240" w:lineRule="auto"/>
              <w:jc w:val="center"/>
              <w:rPr>
                <w:rFonts w:eastAsia="Times New Roman" w:cstheme="minorHAnsi"/>
              </w:rPr>
            </w:pPr>
            <w:r>
              <w:rPr>
                <w:rFonts w:ascii="Arial" w:hAnsi="Arial" w:cs="Arial"/>
                <w:color w:val="000000"/>
                <w:sz w:val="16"/>
                <w:szCs w:val="16"/>
              </w:rPr>
              <w:t>$16.79</w:t>
            </w:r>
          </w:p>
        </w:tc>
        <w:tc>
          <w:tcPr>
            <w:tcW w:w="990" w:type="dxa"/>
            <w:shd w:val="clear" w:color="auto" w:fill="auto"/>
            <w:noWrap/>
            <w:vAlign w:val="center"/>
            <w:hideMark/>
          </w:tcPr>
          <w:p w14:paraId="10C70307" w14:textId="2D14BE72" w:rsidR="00F46BF3" w:rsidRPr="007470AC" w:rsidRDefault="00F46BF3" w:rsidP="00F46BF3">
            <w:pPr>
              <w:spacing w:after="0" w:line="240" w:lineRule="auto"/>
              <w:jc w:val="center"/>
              <w:rPr>
                <w:rFonts w:eastAsia="Times New Roman" w:cstheme="minorHAnsi"/>
              </w:rPr>
            </w:pPr>
            <w:r>
              <w:rPr>
                <w:rFonts w:ascii="Arial" w:hAnsi="Arial" w:cs="Arial"/>
                <w:color w:val="000000"/>
                <w:sz w:val="16"/>
                <w:szCs w:val="16"/>
              </w:rPr>
              <w:t>341</w:t>
            </w:r>
          </w:p>
        </w:tc>
        <w:tc>
          <w:tcPr>
            <w:tcW w:w="720" w:type="dxa"/>
            <w:shd w:val="clear" w:color="auto" w:fill="auto"/>
            <w:noWrap/>
            <w:vAlign w:val="center"/>
            <w:hideMark/>
          </w:tcPr>
          <w:p w14:paraId="3DCBEEB2" w14:textId="5DDD11D6" w:rsidR="00F46BF3" w:rsidRPr="007470AC" w:rsidRDefault="00F46BF3" w:rsidP="00F46BF3">
            <w:pPr>
              <w:spacing w:after="0" w:line="240" w:lineRule="auto"/>
              <w:jc w:val="center"/>
              <w:rPr>
                <w:rFonts w:eastAsia="Times New Roman" w:cstheme="minorHAnsi"/>
              </w:rPr>
            </w:pPr>
            <w:r>
              <w:rPr>
                <w:rFonts w:ascii="Arial" w:hAnsi="Arial" w:cs="Arial"/>
                <w:color w:val="000000"/>
                <w:sz w:val="16"/>
                <w:szCs w:val="16"/>
              </w:rPr>
              <w:t>906</w:t>
            </w:r>
          </w:p>
        </w:tc>
        <w:tc>
          <w:tcPr>
            <w:tcW w:w="990" w:type="dxa"/>
            <w:shd w:val="clear" w:color="auto" w:fill="auto"/>
            <w:noWrap/>
            <w:vAlign w:val="center"/>
            <w:hideMark/>
          </w:tcPr>
          <w:p w14:paraId="5391039F" w14:textId="3E0E0B70" w:rsidR="00F46BF3" w:rsidRPr="007470AC" w:rsidRDefault="00F46BF3" w:rsidP="00F46BF3">
            <w:pPr>
              <w:spacing w:after="0" w:line="240" w:lineRule="auto"/>
              <w:jc w:val="center"/>
              <w:rPr>
                <w:rFonts w:eastAsia="Times New Roman" w:cstheme="minorHAnsi"/>
              </w:rPr>
            </w:pPr>
            <w:r>
              <w:rPr>
                <w:rFonts w:ascii="Arial" w:hAnsi="Arial" w:cs="Arial"/>
                <w:color w:val="000000"/>
                <w:sz w:val="16"/>
                <w:szCs w:val="16"/>
              </w:rPr>
              <w:t>531</w:t>
            </w:r>
          </w:p>
        </w:tc>
        <w:tc>
          <w:tcPr>
            <w:tcW w:w="990" w:type="dxa"/>
            <w:shd w:val="clear" w:color="auto" w:fill="auto"/>
            <w:noWrap/>
            <w:vAlign w:val="center"/>
            <w:hideMark/>
          </w:tcPr>
          <w:p w14:paraId="7D44C63F" w14:textId="258F9B4E" w:rsidR="00F46BF3" w:rsidRPr="007470AC" w:rsidRDefault="00F46BF3" w:rsidP="00F46BF3">
            <w:pPr>
              <w:spacing w:after="0" w:line="240" w:lineRule="auto"/>
              <w:jc w:val="center"/>
              <w:rPr>
                <w:rFonts w:eastAsia="Times New Roman" w:cstheme="minorHAnsi"/>
              </w:rPr>
            </w:pPr>
            <w:r>
              <w:rPr>
                <w:rFonts w:ascii="Arial" w:hAnsi="Arial" w:cs="Arial"/>
                <w:color w:val="000000"/>
                <w:sz w:val="16"/>
                <w:szCs w:val="16"/>
              </w:rPr>
              <w:t>997</w:t>
            </w:r>
          </w:p>
        </w:tc>
        <w:tc>
          <w:tcPr>
            <w:tcW w:w="1089" w:type="dxa"/>
            <w:shd w:val="clear" w:color="auto" w:fill="auto"/>
            <w:noWrap/>
            <w:vAlign w:val="center"/>
            <w:hideMark/>
          </w:tcPr>
          <w:p w14:paraId="527656C5" w14:textId="3D593FA9" w:rsidR="00F46BF3" w:rsidRPr="007470AC" w:rsidRDefault="00F46BF3" w:rsidP="00F46BF3">
            <w:pPr>
              <w:spacing w:after="0" w:line="240" w:lineRule="auto"/>
              <w:jc w:val="center"/>
              <w:rPr>
                <w:rFonts w:eastAsia="Times New Roman" w:cstheme="minorHAnsi"/>
              </w:rPr>
            </w:pPr>
            <w:r>
              <w:rPr>
                <w:rFonts w:ascii="Arial" w:hAnsi="Arial" w:cs="Arial"/>
                <w:color w:val="000000"/>
                <w:sz w:val="16"/>
                <w:szCs w:val="16"/>
              </w:rPr>
              <w:t>905</w:t>
            </w:r>
          </w:p>
        </w:tc>
        <w:tc>
          <w:tcPr>
            <w:tcW w:w="801" w:type="dxa"/>
            <w:shd w:val="clear" w:color="auto" w:fill="auto"/>
            <w:noWrap/>
            <w:vAlign w:val="center"/>
            <w:hideMark/>
          </w:tcPr>
          <w:p w14:paraId="20EBB562" w14:textId="32E417B6" w:rsidR="00F46BF3" w:rsidRPr="007470AC" w:rsidRDefault="00F46BF3" w:rsidP="00F46BF3">
            <w:pPr>
              <w:spacing w:after="0" w:line="240" w:lineRule="auto"/>
              <w:jc w:val="center"/>
              <w:rPr>
                <w:rFonts w:eastAsia="Times New Roman" w:cstheme="minorHAnsi"/>
              </w:rPr>
            </w:pPr>
            <w:r>
              <w:rPr>
                <w:rFonts w:ascii="Arial" w:hAnsi="Arial" w:cs="Arial"/>
                <w:color w:val="000000"/>
                <w:sz w:val="16"/>
                <w:szCs w:val="16"/>
              </w:rPr>
              <w:t>461</w:t>
            </w:r>
          </w:p>
        </w:tc>
        <w:tc>
          <w:tcPr>
            <w:tcW w:w="851" w:type="dxa"/>
            <w:shd w:val="clear" w:color="auto" w:fill="auto"/>
            <w:noWrap/>
            <w:vAlign w:val="center"/>
            <w:hideMark/>
          </w:tcPr>
          <w:p w14:paraId="0D9A4712" w14:textId="6DCF38EF" w:rsidR="00F46BF3" w:rsidRPr="007470AC" w:rsidRDefault="00F46BF3" w:rsidP="00F46BF3">
            <w:pPr>
              <w:spacing w:after="0" w:line="240" w:lineRule="auto"/>
              <w:jc w:val="center"/>
              <w:rPr>
                <w:rFonts w:eastAsia="Times New Roman" w:cstheme="minorHAnsi"/>
              </w:rPr>
            </w:pPr>
            <w:r>
              <w:rPr>
                <w:rFonts w:ascii="Arial" w:hAnsi="Arial" w:cs="Arial"/>
                <w:color w:val="000000"/>
                <w:sz w:val="16"/>
                <w:szCs w:val="16"/>
              </w:rPr>
              <w:t>225</w:t>
            </w:r>
          </w:p>
        </w:tc>
      </w:tr>
      <w:tr w:rsidR="00F46BF3" w:rsidRPr="007470AC" w14:paraId="78A7DDB3" w14:textId="77777777" w:rsidTr="005F0016">
        <w:trPr>
          <w:trHeight w:val="288"/>
        </w:trPr>
        <w:tc>
          <w:tcPr>
            <w:tcW w:w="2610" w:type="dxa"/>
            <w:shd w:val="clear" w:color="auto" w:fill="auto"/>
            <w:noWrap/>
            <w:hideMark/>
          </w:tcPr>
          <w:p w14:paraId="49DCCF84" w14:textId="16AD7CF5" w:rsidR="00F46BF3" w:rsidRPr="007470AC" w:rsidRDefault="00F46BF3" w:rsidP="00F46BF3">
            <w:pPr>
              <w:spacing w:after="0" w:line="240" w:lineRule="auto"/>
              <w:rPr>
                <w:rFonts w:eastAsia="Times New Roman" w:cstheme="minorHAnsi"/>
              </w:rPr>
            </w:pPr>
            <w:r w:rsidRPr="007470AC">
              <w:rPr>
                <w:rFonts w:cstheme="minorHAnsi"/>
              </w:rPr>
              <w:t>11 - Twin Cities Metro</w:t>
            </w:r>
          </w:p>
        </w:tc>
        <w:tc>
          <w:tcPr>
            <w:tcW w:w="985" w:type="dxa"/>
            <w:shd w:val="clear" w:color="auto" w:fill="auto"/>
            <w:noWrap/>
            <w:vAlign w:val="center"/>
            <w:hideMark/>
          </w:tcPr>
          <w:p w14:paraId="3711DEAF" w14:textId="3792BB04" w:rsidR="00F46BF3" w:rsidRPr="007470AC" w:rsidRDefault="00F46BF3" w:rsidP="00F46BF3">
            <w:pPr>
              <w:spacing w:after="0" w:line="240" w:lineRule="auto"/>
              <w:jc w:val="center"/>
              <w:rPr>
                <w:rFonts w:eastAsia="Times New Roman" w:cstheme="minorHAnsi"/>
              </w:rPr>
            </w:pPr>
            <w:r>
              <w:rPr>
                <w:rFonts w:ascii="Arial" w:hAnsi="Arial" w:cs="Arial"/>
                <w:color w:val="000000"/>
                <w:sz w:val="16"/>
                <w:szCs w:val="16"/>
              </w:rPr>
              <w:t>$67,716</w:t>
            </w:r>
          </w:p>
        </w:tc>
        <w:tc>
          <w:tcPr>
            <w:tcW w:w="1080" w:type="dxa"/>
            <w:shd w:val="clear" w:color="auto" w:fill="auto"/>
            <w:noWrap/>
            <w:vAlign w:val="center"/>
            <w:hideMark/>
          </w:tcPr>
          <w:p w14:paraId="4398B059" w14:textId="6542F79A" w:rsidR="00F46BF3" w:rsidRPr="007470AC" w:rsidRDefault="00F46BF3" w:rsidP="00F46BF3">
            <w:pPr>
              <w:spacing w:after="0" w:line="240" w:lineRule="auto"/>
              <w:jc w:val="center"/>
              <w:rPr>
                <w:rFonts w:eastAsia="Times New Roman" w:cstheme="minorHAnsi"/>
              </w:rPr>
            </w:pPr>
            <w:r>
              <w:rPr>
                <w:rFonts w:ascii="Arial" w:hAnsi="Arial" w:cs="Arial"/>
                <w:color w:val="000000"/>
                <w:sz w:val="16"/>
                <w:szCs w:val="16"/>
              </w:rPr>
              <w:t>$21.70</w:t>
            </w:r>
          </w:p>
        </w:tc>
        <w:tc>
          <w:tcPr>
            <w:tcW w:w="990" w:type="dxa"/>
            <w:shd w:val="clear" w:color="auto" w:fill="auto"/>
            <w:noWrap/>
            <w:vAlign w:val="center"/>
            <w:hideMark/>
          </w:tcPr>
          <w:p w14:paraId="53B218D4" w14:textId="0BBEA5DF" w:rsidR="00F46BF3" w:rsidRPr="007470AC" w:rsidRDefault="00F46BF3" w:rsidP="00F46BF3">
            <w:pPr>
              <w:spacing w:after="0" w:line="240" w:lineRule="auto"/>
              <w:jc w:val="center"/>
              <w:rPr>
                <w:rFonts w:eastAsia="Times New Roman" w:cstheme="minorHAnsi"/>
              </w:rPr>
            </w:pPr>
            <w:r>
              <w:rPr>
                <w:rFonts w:ascii="Arial" w:hAnsi="Arial" w:cs="Arial"/>
                <w:color w:val="000000"/>
                <w:sz w:val="16"/>
                <w:szCs w:val="16"/>
              </w:rPr>
              <w:t>780</w:t>
            </w:r>
          </w:p>
        </w:tc>
        <w:tc>
          <w:tcPr>
            <w:tcW w:w="720" w:type="dxa"/>
            <w:shd w:val="clear" w:color="auto" w:fill="auto"/>
            <w:noWrap/>
            <w:vAlign w:val="center"/>
            <w:hideMark/>
          </w:tcPr>
          <w:p w14:paraId="726F5654" w14:textId="6584AF36" w:rsidR="00F46BF3" w:rsidRPr="007470AC" w:rsidRDefault="00F46BF3" w:rsidP="00F46BF3">
            <w:pPr>
              <w:spacing w:after="0" w:line="240" w:lineRule="auto"/>
              <w:jc w:val="center"/>
              <w:rPr>
                <w:rFonts w:eastAsia="Times New Roman" w:cstheme="minorHAnsi"/>
              </w:rPr>
            </w:pPr>
            <w:r>
              <w:rPr>
                <w:rFonts w:ascii="Arial" w:hAnsi="Arial" w:cs="Arial"/>
                <w:color w:val="000000"/>
                <w:sz w:val="16"/>
                <w:szCs w:val="16"/>
              </w:rPr>
              <w:t>936</w:t>
            </w:r>
          </w:p>
        </w:tc>
        <w:tc>
          <w:tcPr>
            <w:tcW w:w="990" w:type="dxa"/>
            <w:shd w:val="clear" w:color="auto" w:fill="auto"/>
            <w:noWrap/>
            <w:vAlign w:val="center"/>
            <w:hideMark/>
          </w:tcPr>
          <w:p w14:paraId="344FC223" w14:textId="4C138951" w:rsidR="00F46BF3" w:rsidRPr="007470AC" w:rsidRDefault="00F46BF3" w:rsidP="00F46BF3">
            <w:pPr>
              <w:spacing w:after="0" w:line="240" w:lineRule="auto"/>
              <w:jc w:val="center"/>
              <w:rPr>
                <w:rFonts w:eastAsia="Times New Roman" w:cstheme="minorHAnsi"/>
              </w:rPr>
            </w:pPr>
            <w:r>
              <w:rPr>
                <w:rFonts w:ascii="Arial" w:hAnsi="Arial" w:cs="Arial"/>
                <w:color w:val="000000"/>
                <w:sz w:val="16"/>
                <w:szCs w:val="16"/>
              </w:rPr>
              <w:t>572</w:t>
            </w:r>
          </w:p>
        </w:tc>
        <w:tc>
          <w:tcPr>
            <w:tcW w:w="990" w:type="dxa"/>
            <w:shd w:val="clear" w:color="auto" w:fill="auto"/>
            <w:noWrap/>
            <w:vAlign w:val="center"/>
            <w:hideMark/>
          </w:tcPr>
          <w:p w14:paraId="72D788A9" w14:textId="095983AD" w:rsidR="00F46BF3" w:rsidRPr="007470AC" w:rsidRDefault="00F46BF3" w:rsidP="00F46BF3">
            <w:pPr>
              <w:spacing w:after="0" w:line="240" w:lineRule="auto"/>
              <w:jc w:val="center"/>
              <w:rPr>
                <w:rFonts w:eastAsia="Times New Roman" w:cstheme="minorHAnsi"/>
              </w:rPr>
            </w:pPr>
            <w:r>
              <w:rPr>
                <w:rFonts w:ascii="Arial" w:hAnsi="Arial" w:cs="Arial"/>
                <w:color w:val="000000"/>
                <w:sz w:val="16"/>
                <w:szCs w:val="16"/>
              </w:rPr>
              <w:t>1,406</w:t>
            </w:r>
          </w:p>
        </w:tc>
        <w:tc>
          <w:tcPr>
            <w:tcW w:w="1089" w:type="dxa"/>
            <w:shd w:val="clear" w:color="auto" w:fill="auto"/>
            <w:noWrap/>
            <w:vAlign w:val="center"/>
            <w:hideMark/>
          </w:tcPr>
          <w:p w14:paraId="51A2B454" w14:textId="6094FDA8" w:rsidR="00F46BF3" w:rsidRPr="007470AC" w:rsidRDefault="00F46BF3" w:rsidP="00F46BF3">
            <w:pPr>
              <w:spacing w:after="0" w:line="240" w:lineRule="auto"/>
              <w:jc w:val="center"/>
              <w:rPr>
                <w:rFonts w:eastAsia="Times New Roman" w:cstheme="minorHAnsi"/>
              </w:rPr>
            </w:pPr>
            <w:r>
              <w:rPr>
                <w:rFonts w:ascii="Arial" w:hAnsi="Arial" w:cs="Arial"/>
                <w:color w:val="000000"/>
                <w:sz w:val="16"/>
                <w:szCs w:val="16"/>
              </w:rPr>
              <w:t>851</w:t>
            </w:r>
          </w:p>
        </w:tc>
        <w:tc>
          <w:tcPr>
            <w:tcW w:w="801" w:type="dxa"/>
            <w:shd w:val="clear" w:color="auto" w:fill="auto"/>
            <w:noWrap/>
            <w:vAlign w:val="center"/>
            <w:hideMark/>
          </w:tcPr>
          <w:p w14:paraId="69ECDAF2" w14:textId="3438A917" w:rsidR="00F46BF3" w:rsidRPr="007470AC" w:rsidRDefault="00F46BF3" w:rsidP="00F46BF3">
            <w:pPr>
              <w:spacing w:after="0" w:line="240" w:lineRule="auto"/>
              <w:jc w:val="center"/>
              <w:rPr>
                <w:rFonts w:eastAsia="Times New Roman" w:cstheme="minorHAnsi"/>
              </w:rPr>
            </w:pPr>
            <w:r>
              <w:rPr>
                <w:rFonts w:ascii="Arial" w:hAnsi="Arial" w:cs="Arial"/>
                <w:color w:val="000000"/>
                <w:sz w:val="16"/>
                <w:szCs w:val="16"/>
              </w:rPr>
              <w:t>567</w:t>
            </w:r>
          </w:p>
        </w:tc>
        <w:tc>
          <w:tcPr>
            <w:tcW w:w="851" w:type="dxa"/>
            <w:shd w:val="clear" w:color="auto" w:fill="auto"/>
            <w:noWrap/>
            <w:vAlign w:val="center"/>
            <w:hideMark/>
          </w:tcPr>
          <w:p w14:paraId="3E986D5A" w14:textId="44B81D4C" w:rsidR="00F46BF3" w:rsidRPr="007470AC" w:rsidRDefault="00F46BF3" w:rsidP="00F46BF3">
            <w:pPr>
              <w:spacing w:after="0" w:line="240" w:lineRule="auto"/>
              <w:jc w:val="center"/>
              <w:rPr>
                <w:rFonts w:eastAsia="Times New Roman" w:cstheme="minorHAnsi"/>
              </w:rPr>
            </w:pPr>
            <w:r>
              <w:rPr>
                <w:rFonts w:ascii="Arial" w:hAnsi="Arial" w:cs="Arial"/>
                <w:color w:val="000000"/>
                <w:sz w:val="16"/>
                <w:szCs w:val="16"/>
              </w:rPr>
              <w:t>531</w:t>
            </w:r>
          </w:p>
        </w:tc>
      </w:tr>
      <w:tr w:rsidR="00F46BF3" w:rsidRPr="007470AC" w14:paraId="3E4A924F" w14:textId="77777777" w:rsidTr="005F0016">
        <w:trPr>
          <w:trHeight w:val="288"/>
        </w:trPr>
        <w:tc>
          <w:tcPr>
            <w:tcW w:w="2610" w:type="dxa"/>
            <w:shd w:val="clear" w:color="auto" w:fill="auto"/>
            <w:noWrap/>
          </w:tcPr>
          <w:p w14:paraId="0774AFC7" w14:textId="15A3AD52" w:rsidR="00F46BF3" w:rsidRPr="00206E0F" w:rsidRDefault="00F46BF3" w:rsidP="00F46BF3">
            <w:pPr>
              <w:spacing w:after="0" w:line="240" w:lineRule="auto"/>
              <w:rPr>
                <w:rFonts w:cstheme="minorHAnsi"/>
                <w:i/>
                <w:iCs/>
              </w:rPr>
            </w:pPr>
            <w:r w:rsidRPr="00206E0F">
              <w:rPr>
                <w:rFonts w:cstheme="minorHAnsi"/>
                <w:i/>
                <w:iCs/>
              </w:rPr>
              <w:t>Statewide</w:t>
            </w:r>
          </w:p>
        </w:tc>
        <w:tc>
          <w:tcPr>
            <w:tcW w:w="985" w:type="dxa"/>
            <w:shd w:val="clear" w:color="auto" w:fill="auto"/>
            <w:noWrap/>
            <w:vAlign w:val="center"/>
          </w:tcPr>
          <w:p w14:paraId="22880E48" w14:textId="7A839EED" w:rsidR="00F46BF3" w:rsidRPr="00F46BF3" w:rsidRDefault="00F46BF3" w:rsidP="00F46BF3">
            <w:pPr>
              <w:spacing w:after="0" w:line="240" w:lineRule="auto"/>
              <w:jc w:val="center"/>
              <w:rPr>
                <w:rFonts w:cstheme="minorHAnsi"/>
                <w:i/>
                <w:iCs/>
              </w:rPr>
            </w:pPr>
            <w:r w:rsidRPr="00F46BF3">
              <w:rPr>
                <w:rFonts w:ascii="Arial" w:hAnsi="Arial" w:cs="Arial"/>
                <w:i/>
                <w:iCs/>
                <w:color w:val="000000"/>
                <w:sz w:val="16"/>
                <w:szCs w:val="16"/>
              </w:rPr>
              <w:t>$60,720</w:t>
            </w:r>
          </w:p>
        </w:tc>
        <w:tc>
          <w:tcPr>
            <w:tcW w:w="1080" w:type="dxa"/>
            <w:shd w:val="clear" w:color="auto" w:fill="auto"/>
            <w:noWrap/>
            <w:vAlign w:val="center"/>
          </w:tcPr>
          <w:p w14:paraId="5898A158" w14:textId="6F24F418" w:rsidR="00F46BF3" w:rsidRPr="00F46BF3" w:rsidRDefault="00F46BF3" w:rsidP="00F46BF3">
            <w:pPr>
              <w:spacing w:after="0" w:line="240" w:lineRule="auto"/>
              <w:jc w:val="center"/>
              <w:rPr>
                <w:rFonts w:cstheme="minorHAnsi"/>
                <w:i/>
                <w:iCs/>
              </w:rPr>
            </w:pPr>
            <w:r w:rsidRPr="00F46BF3">
              <w:rPr>
                <w:rFonts w:ascii="Arial" w:hAnsi="Arial" w:cs="Arial"/>
                <w:i/>
                <w:iCs/>
                <w:color w:val="000000"/>
                <w:sz w:val="16"/>
                <w:szCs w:val="16"/>
              </w:rPr>
              <w:t>$19.46</w:t>
            </w:r>
          </w:p>
        </w:tc>
        <w:tc>
          <w:tcPr>
            <w:tcW w:w="990" w:type="dxa"/>
            <w:shd w:val="clear" w:color="auto" w:fill="auto"/>
            <w:noWrap/>
            <w:vAlign w:val="center"/>
          </w:tcPr>
          <w:p w14:paraId="727287DB" w14:textId="7AE14A3D" w:rsidR="00F46BF3" w:rsidRPr="00F46BF3" w:rsidRDefault="00F46BF3" w:rsidP="00F46BF3">
            <w:pPr>
              <w:spacing w:after="0" w:line="240" w:lineRule="auto"/>
              <w:jc w:val="center"/>
              <w:rPr>
                <w:rFonts w:cstheme="minorHAnsi"/>
                <w:i/>
                <w:iCs/>
              </w:rPr>
            </w:pPr>
            <w:r w:rsidRPr="00F46BF3">
              <w:rPr>
                <w:rFonts w:ascii="Arial" w:hAnsi="Arial" w:cs="Arial"/>
                <w:i/>
                <w:iCs/>
                <w:color w:val="000000"/>
                <w:sz w:val="16"/>
                <w:szCs w:val="16"/>
              </w:rPr>
              <w:t>574</w:t>
            </w:r>
          </w:p>
        </w:tc>
        <w:tc>
          <w:tcPr>
            <w:tcW w:w="720" w:type="dxa"/>
            <w:shd w:val="clear" w:color="auto" w:fill="auto"/>
            <w:noWrap/>
            <w:vAlign w:val="center"/>
          </w:tcPr>
          <w:p w14:paraId="2ED2C310" w14:textId="40C666BD" w:rsidR="00F46BF3" w:rsidRPr="00F46BF3" w:rsidRDefault="00F46BF3" w:rsidP="00F46BF3">
            <w:pPr>
              <w:spacing w:after="0" w:line="240" w:lineRule="auto"/>
              <w:jc w:val="center"/>
              <w:rPr>
                <w:rFonts w:cstheme="minorHAnsi"/>
                <w:i/>
                <w:iCs/>
              </w:rPr>
            </w:pPr>
            <w:r w:rsidRPr="00F46BF3">
              <w:rPr>
                <w:rFonts w:ascii="Arial" w:hAnsi="Arial" w:cs="Arial"/>
                <w:i/>
                <w:iCs/>
                <w:color w:val="000000"/>
                <w:sz w:val="16"/>
                <w:szCs w:val="16"/>
              </w:rPr>
              <w:t>921</w:t>
            </w:r>
          </w:p>
        </w:tc>
        <w:tc>
          <w:tcPr>
            <w:tcW w:w="990" w:type="dxa"/>
            <w:shd w:val="clear" w:color="auto" w:fill="auto"/>
            <w:noWrap/>
            <w:vAlign w:val="center"/>
          </w:tcPr>
          <w:p w14:paraId="669202DE" w14:textId="03EABB19" w:rsidR="00F46BF3" w:rsidRPr="00F46BF3" w:rsidRDefault="00F46BF3" w:rsidP="00F46BF3">
            <w:pPr>
              <w:spacing w:after="0" w:line="240" w:lineRule="auto"/>
              <w:jc w:val="center"/>
              <w:rPr>
                <w:rFonts w:cstheme="minorHAnsi"/>
                <w:i/>
                <w:iCs/>
              </w:rPr>
            </w:pPr>
            <w:r w:rsidRPr="00F46BF3">
              <w:rPr>
                <w:rFonts w:ascii="Arial" w:hAnsi="Arial" w:cs="Arial"/>
                <w:i/>
                <w:iCs/>
                <w:color w:val="000000"/>
                <w:sz w:val="16"/>
                <w:szCs w:val="16"/>
              </w:rPr>
              <w:t>555</w:t>
            </w:r>
          </w:p>
        </w:tc>
        <w:tc>
          <w:tcPr>
            <w:tcW w:w="990" w:type="dxa"/>
            <w:shd w:val="clear" w:color="auto" w:fill="auto"/>
            <w:noWrap/>
            <w:vAlign w:val="center"/>
          </w:tcPr>
          <w:p w14:paraId="0A84F87C" w14:textId="47B0C21C" w:rsidR="00F46BF3" w:rsidRPr="00F46BF3" w:rsidRDefault="00F46BF3" w:rsidP="00F46BF3">
            <w:pPr>
              <w:spacing w:after="0" w:line="240" w:lineRule="auto"/>
              <w:jc w:val="center"/>
              <w:rPr>
                <w:rFonts w:cstheme="minorHAnsi"/>
                <w:i/>
                <w:iCs/>
              </w:rPr>
            </w:pPr>
            <w:r w:rsidRPr="00F46BF3">
              <w:rPr>
                <w:rFonts w:ascii="Arial" w:hAnsi="Arial" w:cs="Arial"/>
                <w:i/>
                <w:iCs/>
                <w:color w:val="000000"/>
                <w:sz w:val="16"/>
                <w:szCs w:val="16"/>
              </w:rPr>
              <w:t>1,216</w:t>
            </w:r>
          </w:p>
        </w:tc>
        <w:tc>
          <w:tcPr>
            <w:tcW w:w="1089" w:type="dxa"/>
            <w:shd w:val="clear" w:color="auto" w:fill="auto"/>
            <w:noWrap/>
            <w:vAlign w:val="center"/>
          </w:tcPr>
          <w:p w14:paraId="2A3D6DDD" w14:textId="7ED814F5" w:rsidR="00F46BF3" w:rsidRPr="00F46BF3" w:rsidRDefault="00F46BF3" w:rsidP="00F46BF3">
            <w:pPr>
              <w:spacing w:after="0" w:line="240" w:lineRule="auto"/>
              <w:jc w:val="center"/>
              <w:rPr>
                <w:rFonts w:cstheme="minorHAnsi"/>
                <w:i/>
                <w:iCs/>
              </w:rPr>
            </w:pPr>
            <w:r w:rsidRPr="00F46BF3">
              <w:rPr>
                <w:rFonts w:ascii="Arial" w:hAnsi="Arial" w:cs="Arial"/>
                <w:i/>
                <w:iCs/>
                <w:color w:val="000000"/>
                <w:sz w:val="16"/>
                <w:szCs w:val="16"/>
              </w:rPr>
              <w:t>886</w:t>
            </w:r>
          </w:p>
        </w:tc>
        <w:tc>
          <w:tcPr>
            <w:tcW w:w="801" w:type="dxa"/>
            <w:shd w:val="clear" w:color="auto" w:fill="auto"/>
            <w:noWrap/>
            <w:vAlign w:val="center"/>
          </w:tcPr>
          <w:p w14:paraId="11AC6F56" w14:textId="66A8DE36" w:rsidR="00F46BF3" w:rsidRPr="00F46BF3" w:rsidRDefault="00F46BF3" w:rsidP="00F46BF3">
            <w:pPr>
              <w:spacing w:after="0" w:line="240" w:lineRule="auto"/>
              <w:jc w:val="center"/>
              <w:rPr>
                <w:rFonts w:cstheme="minorHAnsi"/>
                <w:i/>
                <w:iCs/>
              </w:rPr>
            </w:pPr>
            <w:r w:rsidRPr="00F46BF3">
              <w:rPr>
                <w:rFonts w:ascii="Arial" w:hAnsi="Arial" w:cs="Arial"/>
                <w:i/>
                <w:iCs/>
                <w:color w:val="000000"/>
                <w:sz w:val="16"/>
                <w:szCs w:val="16"/>
              </w:rPr>
              <w:t>517</w:t>
            </w:r>
          </w:p>
        </w:tc>
        <w:tc>
          <w:tcPr>
            <w:tcW w:w="851" w:type="dxa"/>
            <w:shd w:val="clear" w:color="auto" w:fill="auto"/>
            <w:noWrap/>
            <w:vAlign w:val="center"/>
          </w:tcPr>
          <w:p w14:paraId="1F37E4A0" w14:textId="7718C85F" w:rsidR="00F46BF3" w:rsidRPr="00F46BF3" w:rsidRDefault="00F46BF3" w:rsidP="00F46BF3">
            <w:pPr>
              <w:spacing w:after="0" w:line="240" w:lineRule="auto"/>
              <w:jc w:val="center"/>
              <w:rPr>
                <w:rFonts w:cstheme="minorHAnsi"/>
                <w:i/>
                <w:iCs/>
              </w:rPr>
            </w:pPr>
            <w:r w:rsidRPr="00F46BF3">
              <w:rPr>
                <w:rFonts w:ascii="Arial" w:hAnsi="Arial" w:cs="Arial"/>
                <w:i/>
                <w:iCs/>
                <w:color w:val="000000"/>
                <w:sz w:val="16"/>
                <w:szCs w:val="16"/>
              </w:rPr>
              <w:t>391</w:t>
            </w:r>
          </w:p>
        </w:tc>
      </w:tr>
      <w:bookmarkEnd w:id="6"/>
      <w:bookmarkEnd w:id="7"/>
      <w:bookmarkEnd w:id="8"/>
      <w:bookmarkEnd w:id="9"/>
      <w:bookmarkEnd w:id="10"/>
    </w:tbl>
    <w:p w14:paraId="5AF10B38" w14:textId="77777777" w:rsidR="000E4DEC" w:rsidRDefault="000E4DEC" w:rsidP="000E4DEC"/>
    <w:p w14:paraId="6C485276" w14:textId="77777777" w:rsidR="00153C8D" w:rsidRDefault="00153C8D" w:rsidP="0003382E">
      <w:pPr>
        <w:pStyle w:val="Heading1"/>
      </w:pPr>
      <w:bookmarkStart w:id="11" w:name="_Toc31966905"/>
      <w:r>
        <w:t>Furth</w:t>
      </w:r>
      <w:r w:rsidR="00D661B6">
        <w:t>er Analysis and Recommendations</w:t>
      </w:r>
      <w:bookmarkEnd w:id="11"/>
    </w:p>
    <w:p w14:paraId="2D906105" w14:textId="77777777" w:rsidR="00153C8D" w:rsidRDefault="00153C8D" w:rsidP="00153C8D">
      <w:pPr>
        <w:pStyle w:val="BodyText"/>
      </w:pPr>
      <w:r>
        <w:t>A comparison of the cost of living and typical wages by region can help us understand some of the economic challenges or opportunities for employment recruitment and retention, minority community wealth-building, consumer expenditures, and social services.</w:t>
      </w:r>
    </w:p>
    <w:p w14:paraId="16E6C2E1" w14:textId="77777777" w:rsidR="00153C8D" w:rsidRDefault="00153C8D" w:rsidP="00D661B6">
      <w:pPr>
        <w:pStyle w:val="Heading2"/>
      </w:pPr>
      <w:bookmarkStart w:id="12" w:name="_Toc31966906"/>
      <w:r>
        <w:lastRenderedPageBreak/>
        <w:t>Median Wage a</w:t>
      </w:r>
      <w:r w:rsidR="00D661B6">
        <w:t>s a Share of the Cost of Living</w:t>
      </w:r>
      <w:bookmarkEnd w:id="12"/>
    </w:p>
    <w:p w14:paraId="2DCEDED9" w14:textId="6CBFBFC3" w:rsidR="00153C8D" w:rsidRPr="009B1B63" w:rsidRDefault="00FD356F" w:rsidP="00153C8D">
      <w:pPr>
        <w:pStyle w:val="BodyText"/>
      </w:pPr>
      <w:r w:rsidRPr="00CD5215">
        <w:t xml:space="preserve">The statewide </w:t>
      </w:r>
      <w:r w:rsidR="005F4786" w:rsidRPr="00CD5215">
        <w:t xml:space="preserve">median wage </w:t>
      </w:r>
      <w:r w:rsidR="00987C39" w:rsidRPr="00CD5215">
        <w:t xml:space="preserve">of </w:t>
      </w:r>
      <w:r w:rsidR="00987C39" w:rsidRPr="009B1B63">
        <w:t>existing jobs</w:t>
      </w:r>
      <w:r w:rsidR="00547667" w:rsidRPr="009B1B63">
        <w:t>, $</w:t>
      </w:r>
      <w:r w:rsidR="006176E7" w:rsidRPr="009B1B63">
        <w:t>2</w:t>
      </w:r>
      <w:r w:rsidR="00F46BF3">
        <w:t>4</w:t>
      </w:r>
      <w:r w:rsidR="006176E7" w:rsidRPr="009B1B63">
        <w:t>.</w:t>
      </w:r>
      <w:r w:rsidR="00F46BF3">
        <w:t>45</w:t>
      </w:r>
      <w:r w:rsidR="00547667" w:rsidRPr="009B1B63">
        <w:t>,</w:t>
      </w:r>
      <w:r w:rsidR="00987C39" w:rsidRPr="009B1B63">
        <w:t xml:space="preserve"> </w:t>
      </w:r>
      <w:r w:rsidRPr="009B1B63">
        <w:t xml:space="preserve">is </w:t>
      </w:r>
      <w:r w:rsidR="00F46BF3">
        <w:t>26</w:t>
      </w:r>
      <w:r w:rsidR="00206E0F">
        <w:t>%</w:t>
      </w:r>
      <w:r w:rsidRPr="009B1B63">
        <w:t xml:space="preserve"> </w:t>
      </w:r>
      <w:r w:rsidR="00547667" w:rsidRPr="009B1B63">
        <w:t>above</w:t>
      </w:r>
      <w:r w:rsidRPr="009B1B63">
        <w:t xml:space="preserve"> </w:t>
      </w:r>
      <w:r w:rsidR="00547667" w:rsidRPr="009B1B63">
        <w:t>the</w:t>
      </w:r>
      <w:r w:rsidR="00153C8D" w:rsidRPr="009B1B63">
        <w:t xml:space="preserve"> cost of living</w:t>
      </w:r>
      <w:r w:rsidR="00547667" w:rsidRPr="009B1B63">
        <w:t>, $</w:t>
      </w:r>
      <w:r w:rsidR="00D046DE" w:rsidRPr="009B1B63">
        <w:t>1</w:t>
      </w:r>
      <w:r w:rsidR="00C50445">
        <w:t>9</w:t>
      </w:r>
      <w:r w:rsidR="00D046DE" w:rsidRPr="009B1B63">
        <w:t>.</w:t>
      </w:r>
      <w:r w:rsidR="00C50445">
        <w:t>4</w:t>
      </w:r>
      <w:r w:rsidR="00F46BF3">
        <w:t>6</w:t>
      </w:r>
      <w:r w:rsidR="00547667" w:rsidRPr="009B1B63">
        <w:t>. This means</w:t>
      </w:r>
      <w:r w:rsidR="00153C8D" w:rsidRPr="009B1B63">
        <w:t xml:space="preserve"> that a little over </w:t>
      </w:r>
      <w:r w:rsidR="00547667" w:rsidRPr="009B1B63">
        <w:t>half of all working Minnesotans earn</w:t>
      </w:r>
      <w:r w:rsidR="00153C8D" w:rsidRPr="009B1B63">
        <w:t xml:space="preserve"> more than the family-of-three cost of basic needs. The average family size in Minnesota is 3.</w:t>
      </w:r>
      <w:r w:rsidR="004F5D57">
        <w:t>1</w:t>
      </w:r>
      <w:r w:rsidR="00153C8D" w:rsidRPr="009B1B63">
        <w:t xml:space="preserve"> persons and the average household size, for family and non-family house</w:t>
      </w:r>
      <w:r w:rsidR="003A2A13" w:rsidRPr="009B1B63">
        <w:t>holds combined, is 2.</w:t>
      </w:r>
      <w:r w:rsidR="00206E0F">
        <w:t>5</w:t>
      </w:r>
      <w:r w:rsidR="00D661B6" w:rsidRPr="009B1B63">
        <w:t xml:space="preserve"> persons</w:t>
      </w:r>
      <w:r w:rsidR="004F5D57">
        <w:t xml:space="preserve"> </w:t>
      </w:r>
      <w:r w:rsidR="00131D7F">
        <w:t>[5]</w:t>
      </w:r>
      <w:r w:rsidR="00D661B6" w:rsidRPr="009B1B63">
        <w:t>.</w:t>
      </w:r>
    </w:p>
    <w:p w14:paraId="7447EBA4" w14:textId="6F24F9E6" w:rsidR="00153C8D" w:rsidRPr="00CD5215" w:rsidRDefault="00153C8D" w:rsidP="00153C8D">
      <w:pPr>
        <w:pStyle w:val="BodyText"/>
      </w:pPr>
      <w:r w:rsidRPr="009B1B63">
        <w:t xml:space="preserve">If the labor market were </w:t>
      </w:r>
      <w:r w:rsidR="00E9760A">
        <w:t>perfectly aligned by family type,</w:t>
      </w:r>
      <w:r w:rsidRPr="009B1B63">
        <w:t xml:space="preserve"> so that the half paid more than the median wage were the families larger than three while the </w:t>
      </w:r>
      <w:r w:rsidRPr="00CD5215">
        <w:t xml:space="preserve">half paid less were the families smaller than three, then a median wage equal to the Cost of Living could ensure the economy was meeting most people’s basic needs. But </w:t>
      </w:r>
      <w:r w:rsidR="00E9760A">
        <w:t>this is not the case</w:t>
      </w:r>
      <w:r w:rsidR="00D661B6" w:rsidRPr="00CD5215">
        <w:t>.</w:t>
      </w:r>
    </w:p>
    <w:p w14:paraId="0627F75B" w14:textId="10E3E547" w:rsidR="00153C8D" w:rsidRPr="00CD5215" w:rsidRDefault="00153C8D" w:rsidP="00153C8D">
      <w:pPr>
        <w:pStyle w:val="BodyText"/>
      </w:pPr>
      <w:r w:rsidRPr="00CD5215">
        <w:t xml:space="preserve">In the real world we look for a median wage </w:t>
      </w:r>
      <w:r w:rsidR="00547667" w:rsidRPr="00CD5215">
        <w:t>that</w:t>
      </w:r>
      <w:r w:rsidRPr="00CD5215">
        <w:t xml:space="preserve"> </w:t>
      </w:r>
      <w:r w:rsidR="00D3734C" w:rsidRPr="00CD5215">
        <w:t xml:space="preserve">meets or exceeds </w:t>
      </w:r>
      <w:r w:rsidRPr="00CD5215">
        <w:t xml:space="preserve">the cost of living. </w:t>
      </w:r>
      <w:r w:rsidR="00DD01DD" w:rsidRPr="00CD5215">
        <w:t>According to</w:t>
      </w:r>
      <w:r w:rsidR="00F569F4" w:rsidRPr="00CD5215">
        <w:t xml:space="preserve"> </w:t>
      </w:r>
      <w:r w:rsidR="004F5D57">
        <w:t>OEWS</w:t>
      </w:r>
      <w:r w:rsidR="00F569F4" w:rsidRPr="00CD5215">
        <w:t xml:space="preserve">, </w:t>
      </w:r>
      <w:r w:rsidR="00206E0F">
        <w:t>the</w:t>
      </w:r>
      <w:r w:rsidR="00E9760A">
        <w:t xml:space="preserve"> </w:t>
      </w:r>
      <w:r w:rsidR="00F569F4" w:rsidRPr="00CD5215">
        <w:t>median wage</w:t>
      </w:r>
      <w:r w:rsidR="005460A1" w:rsidRPr="00CD5215">
        <w:t xml:space="preserve"> meet</w:t>
      </w:r>
      <w:r w:rsidR="00E9760A">
        <w:t>s</w:t>
      </w:r>
      <w:r w:rsidR="005460A1" w:rsidRPr="00CD5215">
        <w:t xml:space="preserve"> or exceed</w:t>
      </w:r>
      <w:r w:rsidR="00E9760A">
        <w:t>s</w:t>
      </w:r>
      <w:r w:rsidR="005460A1" w:rsidRPr="00CD5215">
        <w:t xml:space="preserve"> the cost of living </w:t>
      </w:r>
      <w:r w:rsidR="00E9760A">
        <w:t xml:space="preserve">statewide </w:t>
      </w:r>
      <w:r w:rsidR="005460A1" w:rsidRPr="00CD5215">
        <w:t>in</w:t>
      </w:r>
      <w:r w:rsidRPr="00CD5215">
        <w:t xml:space="preserve"> </w:t>
      </w:r>
      <w:r w:rsidR="00CD5215">
        <w:t xml:space="preserve">all </w:t>
      </w:r>
      <w:r w:rsidRPr="00CD5215">
        <w:t xml:space="preserve">of Minnesota’s </w:t>
      </w:r>
      <w:r w:rsidR="00E9760A">
        <w:t>13</w:t>
      </w:r>
      <w:r w:rsidRPr="00CD5215">
        <w:t xml:space="preserve"> economic development regions. </w:t>
      </w:r>
    </w:p>
    <w:tbl>
      <w:tblPr>
        <w:tblStyle w:val="TableGrid"/>
        <w:tblW w:w="0" w:type="auto"/>
        <w:tblLook w:val="04A0" w:firstRow="1" w:lastRow="0" w:firstColumn="1" w:lastColumn="0" w:noHBand="0" w:noVBand="1"/>
      </w:tblPr>
      <w:tblGrid>
        <w:gridCol w:w="4304"/>
        <w:gridCol w:w="4151"/>
      </w:tblGrid>
      <w:tr w:rsidR="00CD5215" w:rsidRPr="00CD5215" w14:paraId="6EA855DF" w14:textId="77777777" w:rsidTr="00DF4941">
        <w:trPr>
          <w:trHeight w:val="296"/>
        </w:trPr>
        <w:tc>
          <w:tcPr>
            <w:tcW w:w="4304" w:type="dxa"/>
            <w:noWrap/>
            <w:hideMark/>
          </w:tcPr>
          <w:p w14:paraId="46490C70" w14:textId="77777777" w:rsidR="0018625A" w:rsidRPr="00CD5215" w:rsidRDefault="0018625A" w:rsidP="00DF4941">
            <w:pPr>
              <w:pStyle w:val="BodyText"/>
              <w:jc w:val="center"/>
              <w:rPr>
                <w:b/>
              </w:rPr>
            </w:pPr>
            <w:r w:rsidRPr="00CD5215">
              <w:rPr>
                <w:b/>
              </w:rPr>
              <w:t>Economic Development Region</w:t>
            </w:r>
          </w:p>
        </w:tc>
        <w:tc>
          <w:tcPr>
            <w:tcW w:w="4151" w:type="dxa"/>
            <w:noWrap/>
            <w:hideMark/>
          </w:tcPr>
          <w:p w14:paraId="7B6F0F3B" w14:textId="77777777" w:rsidR="0018625A" w:rsidRPr="009B1B63" w:rsidRDefault="0018625A" w:rsidP="00DF4941">
            <w:pPr>
              <w:pStyle w:val="BodyText"/>
              <w:jc w:val="center"/>
              <w:rPr>
                <w:b/>
              </w:rPr>
            </w:pPr>
            <w:r w:rsidRPr="009B1B63">
              <w:rPr>
                <w:b/>
              </w:rPr>
              <w:t>Percent (Median wage / Cost of Living)</w:t>
            </w:r>
          </w:p>
        </w:tc>
      </w:tr>
      <w:tr w:rsidR="00EF5D9D" w:rsidRPr="00CD5215" w14:paraId="7F1F50F5" w14:textId="77777777" w:rsidTr="001165C4">
        <w:trPr>
          <w:trHeight w:val="296"/>
        </w:trPr>
        <w:tc>
          <w:tcPr>
            <w:tcW w:w="4304" w:type="dxa"/>
            <w:noWrap/>
            <w:hideMark/>
          </w:tcPr>
          <w:p w14:paraId="4AF34D90" w14:textId="77777777" w:rsidR="00EF5D9D" w:rsidRPr="00CD5215" w:rsidRDefault="00EF5D9D" w:rsidP="00EF5D9D">
            <w:pPr>
              <w:pStyle w:val="BodyText"/>
              <w:jc w:val="center"/>
            </w:pPr>
            <w:r w:rsidRPr="00CD5215">
              <w:t>EDR 1 Northwest</w:t>
            </w:r>
          </w:p>
        </w:tc>
        <w:tc>
          <w:tcPr>
            <w:tcW w:w="4151" w:type="dxa"/>
            <w:noWrap/>
            <w:vAlign w:val="bottom"/>
            <w:hideMark/>
          </w:tcPr>
          <w:p w14:paraId="72F36966" w14:textId="2BEF618A" w:rsidR="00EF5D9D" w:rsidRPr="009B1B63" w:rsidRDefault="00EF5D9D" w:rsidP="00EF5D9D">
            <w:pPr>
              <w:pStyle w:val="BodyText"/>
              <w:jc w:val="center"/>
            </w:pPr>
            <w:r>
              <w:rPr>
                <w:rFonts w:ascii="Calibri" w:hAnsi="Calibri" w:cs="Calibri"/>
              </w:rPr>
              <w:t>154%</w:t>
            </w:r>
          </w:p>
        </w:tc>
      </w:tr>
      <w:tr w:rsidR="00EF5D9D" w:rsidRPr="00CD5215" w14:paraId="4EC8538D" w14:textId="77777777" w:rsidTr="001165C4">
        <w:trPr>
          <w:trHeight w:val="296"/>
        </w:trPr>
        <w:tc>
          <w:tcPr>
            <w:tcW w:w="4304" w:type="dxa"/>
            <w:noWrap/>
            <w:hideMark/>
          </w:tcPr>
          <w:p w14:paraId="6F71BE36" w14:textId="77777777" w:rsidR="00EF5D9D" w:rsidRPr="00CD5215" w:rsidRDefault="00EF5D9D" w:rsidP="00EF5D9D">
            <w:pPr>
              <w:pStyle w:val="BodyText"/>
              <w:jc w:val="center"/>
            </w:pPr>
            <w:r w:rsidRPr="00CD5215">
              <w:t>EDR 2 Headwaters</w:t>
            </w:r>
          </w:p>
        </w:tc>
        <w:tc>
          <w:tcPr>
            <w:tcW w:w="4151" w:type="dxa"/>
            <w:noWrap/>
            <w:vAlign w:val="bottom"/>
            <w:hideMark/>
          </w:tcPr>
          <w:p w14:paraId="799B1D84" w14:textId="060C17E3" w:rsidR="00EF5D9D" w:rsidRPr="009B1B63" w:rsidRDefault="00EF5D9D" w:rsidP="00EF5D9D">
            <w:pPr>
              <w:pStyle w:val="BodyText"/>
              <w:jc w:val="center"/>
            </w:pPr>
            <w:r>
              <w:rPr>
                <w:rFonts w:ascii="Calibri" w:hAnsi="Calibri" w:cs="Calibri"/>
              </w:rPr>
              <w:t>117%</w:t>
            </w:r>
          </w:p>
        </w:tc>
      </w:tr>
      <w:tr w:rsidR="00EF5D9D" w:rsidRPr="00CD5215" w14:paraId="7B4681E8" w14:textId="77777777" w:rsidTr="001165C4">
        <w:trPr>
          <w:trHeight w:val="296"/>
        </w:trPr>
        <w:tc>
          <w:tcPr>
            <w:tcW w:w="4304" w:type="dxa"/>
            <w:noWrap/>
            <w:hideMark/>
          </w:tcPr>
          <w:p w14:paraId="763A3923" w14:textId="77777777" w:rsidR="00EF5D9D" w:rsidRPr="00CD5215" w:rsidRDefault="00EF5D9D" w:rsidP="00EF5D9D">
            <w:pPr>
              <w:pStyle w:val="BodyText"/>
              <w:jc w:val="center"/>
            </w:pPr>
            <w:r w:rsidRPr="00CD5215">
              <w:t>EDR 3 Arrowhead</w:t>
            </w:r>
          </w:p>
        </w:tc>
        <w:tc>
          <w:tcPr>
            <w:tcW w:w="4151" w:type="dxa"/>
            <w:noWrap/>
            <w:vAlign w:val="bottom"/>
            <w:hideMark/>
          </w:tcPr>
          <w:p w14:paraId="32AEE9A7" w14:textId="3FF1D78B" w:rsidR="00EF5D9D" w:rsidRPr="009B1B63" w:rsidRDefault="00EF5D9D" w:rsidP="00EF5D9D">
            <w:pPr>
              <w:pStyle w:val="BodyText"/>
              <w:jc w:val="center"/>
            </w:pPr>
            <w:r>
              <w:rPr>
                <w:rFonts w:ascii="Calibri" w:hAnsi="Calibri" w:cs="Calibri"/>
              </w:rPr>
              <w:t>141%</w:t>
            </w:r>
          </w:p>
        </w:tc>
      </w:tr>
      <w:tr w:rsidR="00EF5D9D" w:rsidRPr="00CD5215" w14:paraId="5AB81D25" w14:textId="77777777" w:rsidTr="001165C4">
        <w:trPr>
          <w:trHeight w:val="296"/>
        </w:trPr>
        <w:tc>
          <w:tcPr>
            <w:tcW w:w="4304" w:type="dxa"/>
            <w:noWrap/>
            <w:hideMark/>
          </w:tcPr>
          <w:p w14:paraId="5AF2A41B" w14:textId="77777777" w:rsidR="00EF5D9D" w:rsidRPr="00CD5215" w:rsidRDefault="00EF5D9D" w:rsidP="00EF5D9D">
            <w:pPr>
              <w:pStyle w:val="BodyText"/>
              <w:jc w:val="center"/>
            </w:pPr>
            <w:r w:rsidRPr="00CD5215">
              <w:t>EDR 4 West Central</w:t>
            </w:r>
          </w:p>
        </w:tc>
        <w:tc>
          <w:tcPr>
            <w:tcW w:w="4151" w:type="dxa"/>
            <w:noWrap/>
            <w:vAlign w:val="bottom"/>
            <w:hideMark/>
          </w:tcPr>
          <w:p w14:paraId="298E7F58" w14:textId="1D6DF4F2" w:rsidR="00EF5D9D" w:rsidRPr="009B1B63" w:rsidRDefault="00EF5D9D" w:rsidP="00EF5D9D">
            <w:pPr>
              <w:pStyle w:val="BodyText"/>
              <w:jc w:val="center"/>
            </w:pPr>
            <w:r>
              <w:rPr>
                <w:rFonts w:ascii="Calibri" w:hAnsi="Calibri" w:cs="Calibri"/>
              </w:rPr>
              <w:t>130%</w:t>
            </w:r>
          </w:p>
        </w:tc>
      </w:tr>
      <w:tr w:rsidR="00EF5D9D" w:rsidRPr="00CD5215" w14:paraId="70175943" w14:textId="77777777" w:rsidTr="001165C4">
        <w:trPr>
          <w:trHeight w:val="296"/>
        </w:trPr>
        <w:tc>
          <w:tcPr>
            <w:tcW w:w="4304" w:type="dxa"/>
            <w:noWrap/>
            <w:hideMark/>
          </w:tcPr>
          <w:p w14:paraId="64430DE6" w14:textId="77777777" w:rsidR="00EF5D9D" w:rsidRPr="00CD5215" w:rsidRDefault="00EF5D9D" w:rsidP="00EF5D9D">
            <w:pPr>
              <w:pStyle w:val="BodyText"/>
              <w:jc w:val="center"/>
            </w:pPr>
            <w:r w:rsidRPr="00CD5215">
              <w:t>EDR 5 North Central</w:t>
            </w:r>
          </w:p>
        </w:tc>
        <w:tc>
          <w:tcPr>
            <w:tcW w:w="4151" w:type="dxa"/>
            <w:noWrap/>
            <w:vAlign w:val="bottom"/>
            <w:hideMark/>
          </w:tcPr>
          <w:p w14:paraId="7B791B40" w14:textId="178EDFE8" w:rsidR="00EF5D9D" w:rsidRPr="009B1B63" w:rsidRDefault="00EF5D9D" w:rsidP="00EF5D9D">
            <w:pPr>
              <w:pStyle w:val="BodyText"/>
              <w:jc w:val="center"/>
            </w:pPr>
            <w:r>
              <w:rPr>
                <w:rFonts w:ascii="Calibri" w:hAnsi="Calibri" w:cs="Calibri"/>
              </w:rPr>
              <w:t>119%</w:t>
            </w:r>
          </w:p>
        </w:tc>
      </w:tr>
      <w:tr w:rsidR="00EF5D9D" w:rsidRPr="00CD5215" w14:paraId="5A1B01F0" w14:textId="77777777" w:rsidTr="001165C4">
        <w:trPr>
          <w:trHeight w:val="296"/>
        </w:trPr>
        <w:tc>
          <w:tcPr>
            <w:tcW w:w="4304" w:type="dxa"/>
            <w:noWrap/>
            <w:hideMark/>
          </w:tcPr>
          <w:p w14:paraId="4AC858A6" w14:textId="77777777" w:rsidR="00EF5D9D" w:rsidRPr="00CD5215" w:rsidRDefault="00EF5D9D" w:rsidP="00EF5D9D">
            <w:pPr>
              <w:pStyle w:val="BodyText"/>
              <w:jc w:val="center"/>
            </w:pPr>
            <w:r w:rsidRPr="00CD5215">
              <w:t>EDR 6E Southwest Central</w:t>
            </w:r>
          </w:p>
        </w:tc>
        <w:tc>
          <w:tcPr>
            <w:tcW w:w="4151" w:type="dxa"/>
            <w:noWrap/>
            <w:vAlign w:val="bottom"/>
            <w:hideMark/>
          </w:tcPr>
          <w:p w14:paraId="02FDB525" w14:textId="60D6E22D" w:rsidR="00EF5D9D" w:rsidRPr="009B1B63" w:rsidRDefault="00EF5D9D" w:rsidP="00EF5D9D">
            <w:pPr>
              <w:pStyle w:val="BodyText"/>
              <w:jc w:val="center"/>
            </w:pPr>
            <w:r>
              <w:rPr>
                <w:rFonts w:ascii="Calibri" w:hAnsi="Calibri" w:cs="Calibri"/>
              </w:rPr>
              <w:t>125%</w:t>
            </w:r>
          </w:p>
        </w:tc>
      </w:tr>
      <w:tr w:rsidR="00EF5D9D" w:rsidRPr="00CD5215" w14:paraId="7FD3C0F5" w14:textId="77777777" w:rsidTr="001165C4">
        <w:trPr>
          <w:trHeight w:val="296"/>
        </w:trPr>
        <w:tc>
          <w:tcPr>
            <w:tcW w:w="4304" w:type="dxa"/>
            <w:noWrap/>
            <w:hideMark/>
          </w:tcPr>
          <w:p w14:paraId="5926488D" w14:textId="77777777" w:rsidR="00EF5D9D" w:rsidRPr="00CD5215" w:rsidRDefault="00EF5D9D" w:rsidP="00EF5D9D">
            <w:pPr>
              <w:pStyle w:val="BodyText"/>
              <w:jc w:val="center"/>
            </w:pPr>
            <w:r w:rsidRPr="00CD5215">
              <w:t>EDR 6W Upper Minnesota Valley</w:t>
            </w:r>
          </w:p>
        </w:tc>
        <w:tc>
          <w:tcPr>
            <w:tcW w:w="4151" w:type="dxa"/>
            <w:noWrap/>
            <w:vAlign w:val="bottom"/>
            <w:hideMark/>
          </w:tcPr>
          <w:p w14:paraId="2CBA3D70" w14:textId="25340E89" w:rsidR="00EF5D9D" w:rsidRPr="009B1B63" w:rsidRDefault="00EF5D9D" w:rsidP="00EF5D9D">
            <w:pPr>
              <w:pStyle w:val="BodyText"/>
              <w:jc w:val="center"/>
            </w:pPr>
            <w:r>
              <w:rPr>
                <w:rFonts w:ascii="Calibri" w:hAnsi="Calibri" w:cs="Calibri"/>
              </w:rPr>
              <w:t>132%</w:t>
            </w:r>
          </w:p>
        </w:tc>
      </w:tr>
      <w:tr w:rsidR="00EF5D9D" w:rsidRPr="00CD5215" w14:paraId="0F916098" w14:textId="77777777" w:rsidTr="001165C4">
        <w:trPr>
          <w:trHeight w:val="296"/>
        </w:trPr>
        <w:tc>
          <w:tcPr>
            <w:tcW w:w="4304" w:type="dxa"/>
            <w:noWrap/>
            <w:hideMark/>
          </w:tcPr>
          <w:p w14:paraId="799E7DF2" w14:textId="77777777" w:rsidR="00EF5D9D" w:rsidRPr="00CD5215" w:rsidRDefault="00EF5D9D" w:rsidP="00EF5D9D">
            <w:pPr>
              <w:pStyle w:val="BodyText"/>
              <w:jc w:val="center"/>
            </w:pPr>
            <w:r w:rsidRPr="00CD5215">
              <w:t>EDR 7E East Central</w:t>
            </w:r>
          </w:p>
        </w:tc>
        <w:tc>
          <w:tcPr>
            <w:tcW w:w="4151" w:type="dxa"/>
            <w:noWrap/>
            <w:vAlign w:val="bottom"/>
            <w:hideMark/>
          </w:tcPr>
          <w:p w14:paraId="5052B25C" w14:textId="7C19C44E" w:rsidR="00EF5D9D" w:rsidRPr="009B1B63" w:rsidRDefault="00EF5D9D" w:rsidP="00EF5D9D">
            <w:pPr>
              <w:pStyle w:val="BodyText"/>
              <w:jc w:val="center"/>
            </w:pPr>
            <w:r>
              <w:rPr>
                <w:rFonts w:ascii="Calibri" w:hAnsi="Calibri" w:cs="Calibri"/>
              </w:rPr>
              <w:t>114%</w:t>
            </w:r>
          </w:p>
        </w:tc>
      </w:tr>
      <w:tr w:rsidR="00EF5D9D" w:rsidRPr="00CD5215" w14:paraId="4D81EA39" w14:textId="77777777" w:rsidTr="001165C4">
        <w:trPr>
          <w:trHeight w:val="296"/>
        </w:trPr>
        <w:tc>
          <w:tcPr>
            <w:tcW w:w="4304" w:type="dxa"/>
            <w:noWrap/>
            <w:hideMark/>
          </w:tcPr>
          <w:p w14:paraId="573373A5" w14:textId="77777777" w:rsidR="00EF5D9D" w:rsidRPr="00CD5215" w:rsidRDefault="00EF5D9D" w:rsidP="00EF5D9D">
            <w:pPr>
              <w:pStyle w:val="BodyText"/>
              <w:jc w:val="center"/>
            </w:pPr>
            <w:r w:rsidRPr="00CD5215">
              <w:t>EDR 7W Central is</w:t>
            </w:r>
          </w:p>
        </w:tc>
        <w:tc>
          <w:tcPr>
            <w:tcW w:w="4151" w:type="dxa"/>
            <w:noWrap/>
            <w:vAlign w:val="bottom"/>
            <w:hideMark/>
          </w:tcPr>
          <w:p w14:paraId="6BE86545" w14:textId="4D1A4B79" w:rsidR="00EF5D9D" w:rsidRPr="009B1B63" w:rsidRDefault="00EF5D9D" w:rsidP="00EF5D9D">
            <w:pPr>
              <w:pStyle w:val="BodyText"/>
              <w:jc w:val="center"/>
            </w:pPr>
            <w:r>
              <w:rPr>
                <w:rFonts w:ascii="Calibri" w:hAnsi="Calibri" w:cs="Calibri"/>
              </w:rPr>
              <w:t>127%</w:t>
            </w:r>
          </w:p>
        </w:tc>
      </w:tr>
      <w:tr w:rsidR="00EF5D9D" w:rsidRPr="00CD5215" w14:paraId="2F0F7F6C" w14:textId="77777777" w:rsidTr="001165C4">
        <w:trPr>
          <w:trHeight w:val="296"/>
        </w:trPr>
        <w:tc>
          <w:tcPr>
            <w:tcW w:w="4304" w:type="dxa"/>
            <w:noWrap/>
            <w:hideMark/>
          </w:tcPr>
          <w:p w14:paraId="0C0364C0" w14:textId="77777777" w:rsidR="00EF5D9D" w:rsidRPr="00CD5215" w:rsidRDefault="00EF5D9D" w:rsidP="00EF5D9D">
            <w:pPr>
              <w:pStyle w:val="BodyText"/>
              <w:jc w:val="center"/>
            </w:pPr>
            <w:r w:rsidRPr="00CD5215">
              <w:t>EDR 8 Southwest</w:t>
            </w:r>
          </w:p>
        </w:tc>
        <w:tc>
          <w:tcPr>
            <w:tcW w:w="4151" w:type="dxa"/>
            <w:noWrap/>
            <w:vAlign w:val="bottom"/>
            <w:hideMark/>
          </w:tcPr>
          <w:p w14:paraId="793CDDA2" w14:textId="74AA2D30" w:rsidR="00EF5D9D" w:rsidRPr="009B1B63" w:rsidRDefault="00EF5D9D" w:rsidP="00EF5D9D">
            <w:pPr>
              <w:pStyle w:val="BodyText"/>
              <w:jc w:val="center"/>
            </w:pPr>
            <w:r>
              <w:rPr>
                <w:rFonts w:ascii="Calibri" w:hAnsi="Calibri" w:cs="Calibri"/>
              </w:rPr>
              <w:t>132%</w:t>
            </w:r>
          </w:p>
        </w:tc>
      </w:tr>
      <w:tr w:rsidR="00EF5D9D" w:rsidRPr="00CD5215" w14:paraId="5FA8D8C0" w14:textId="77777777" w:rsidTr="001165C4">
        <w:trPr>
          <w:trHeight w:val="296"/>
        </w:trPr>
        <w:tc>
          <w:tcPr>
            <w:tcW w:w="4304" w:type="dxa"/>
            <w:noWrap/>
            <w:hideMark/>
          </w:tcPr>
          <w:p w14:paraId="0098178C" w14:textId="77777777" w:rsidR="00EF5D9D" w:rsidRPr="00CD5215" w:rsidRDefault="00EF5D9D" w:rsidP="00EF5D9D">
            <w:pPr>
              <w:pStyle w:val="BodyText"/>
              <w:jc w:val="center"/>
            </w:pPr>
            <w:r w:rsidRPr="00CD5215">
              <w:t>EDR 9 South Central</w:t>
            </w:r>
          </w:p>
        </w:tc>
        <w:tc>
          <w:tcPr>
            <w:tcW w:w="4151" w:type="dxa"/>
            <w:noWrap/>
            <w:vAlign w:val="bottom"/>
            <w:hideMark/>
          </w:tcPr>
          <w:p w14:paraId="65CC0A02" w14:textId="3D530CE2" w:rsidR="00EF5D9D" w:rsidRPr="009B1B63" w:rsidRDefault="00EF5D9D" w:rsidP="00EF5D9D">
            <w:pPr>
              <w:pStyle w:val="BodyText"/>
              <w:jc w:val="center"/>
            </w:pPr>
            <w:r>
              <w:rPr>
                <w:rFonts w:ascii="Calibri" w:hAnsi="Calibri" w:cs="Calibri"/>
              </w:rPr>
              <w:t>146%</w:t>
            </w:r>
          </w:p>
        </w:tc>
      </w:tr>
      <w:tr w:rsidR="00EF5D9D" w:rsidRPr="00CD5215" w14:paraId="5D2663A6" w14:textId="77777777" w:rsidTr="001165C4">
        <w:trPr>
          <w:trHeight w:val="296"/>
        </w:trPr>
        <w:tc>
          <w:tcPr>
            <w:tcW w:w="4304" w:type="dxa"/>
            <w:noWrap/>
            <w:hideMark/>
          </w:tcPr>
          <w:p w14:paraId="6B9023E0" w14:textId="77777777" w:rsidR="00EF5D9D" w:rsidRPr="00CD5215" w:rsidRDefault="00EF5D9D" w:rsidP="00EF5D9D">
            <w:pPr>
              <w:pStyle w:val="BodyText"/>
              <w:jc w:val="center"/>
            </w:pPr>
            <w:r w:rsidRPr="00CD5215">
              <w:t>EDR 10 Southeast</w:t>
            </w:r>
          </w:p>
        </w:tc>
        <w:tc>
          <w:tcPr>
            <w:tcW w:w="4151" w:type="dxa"/>
            <w:noWrap/>
            <w:vAlign w:val="bottom"/>
            <w:hideMark/>
          </w:tcPr>
          <w:p w14:paraId="13BD3852" w14:textId="55D0E5CC" w:rsidR="00EF5D9D" w:rsidRPr="009B1B63" w:rsidRDefault="00EF5D9D" w:rsidP="00EF5D9D">
            <w:pPr>
              <w:pStyle w:val="BodyText"/>
              <w:jc w:val="center"/>
            </w:pPr>
            <w:r>
              <w:rPr>
                <w:rFonts w:ascii="Calibri" w:hAnsi="Calibri" w:cs="Calibri"/>
              </w:rPr>
              <w:t>141%</w:t>
            </w:r>
          </w:p>
        </w:tc>
      </w:tr>
      <w:tr w:rsidR="00EF5D9D" w:rsidRPr="00CD5215" w14:paraId="0AD22CDD" w14:textId="77777777" w:rsidTr="001165C4">
        <w:trPr>
          <w:trHeight w:val="296"/>
        </w:trPr>
        <w:tc>
          <w:tcPr>
            <w:tcW w:w="4304" w:type="dxa"/>
            <w:noWrap/>
            <w:hideMark/>
          </w:tcPr>
          <w:p w14:paraId="24C9CA8C" w14:textId="77777777" w:rsidR="00EF5D9D" w:rsidRPr="00CD5215" w:rsidRDefault="00EF5D9D" w:rsidP="00EF5D9D">
            <w:pPr>
              <w:pStyle w:val="BodyText"/>
              <w:jc w:val="center"/>
            </w:pPr>
            <w:r w:rsidRPr="00CD5215">
              <w:t>EDR 11 7-County Metro</w:t>
            </w:r>
          </w:p>
        </w:tc>
        <w:tc>
          <w:tcPr>
            <w:tcW w:w="4151" w:type="dxa"/>
            <w:noWrap/>
            <w:vAlign w:val="bottom"/>
            <w:hideMark/>
          </w:tcPr>
          <w:p w14:paraId="6C6C1E45" w14:textId="62EAB10F" w:rsidR="00EF5D9D" w:rsidRPr="009B1B63" w:rsidRDefault="00EF5D9D" w:rsidP="00EF5D9D">
            <w:pPr>
              <w:pStyle w:val="BodyText"/>
              <w:jc w:val="center"/>
            </w:pPr>
            <w:r>
              <w:rPr>
                <w:rFonts w:ascii="Calibri" w:hAnsi="Calibri" w:cs="Calibri"/>
              </w:rPr>
              <w:t>116%</w:t>
            </w:r>
          </w:p>
        </w:tc>
      </w:tr>
      <w:tr w:rsidR="00EF5D9D" w:rsidRPr="00CD5215" w14:paraId="3A155CF9" w14:textId="77777777" w:rsidTr="001165C4">
        <w:trPr>
          <w:trHeight w:val="296"/>
        </w:trPr>
        <w:tc>
          <w:tcPr>
            <w:tcW w:w="4304" w:type="dxa"/>
            <w:noWrap/>
          </w:tcPr>
          <w:p w14:paraId="16BBD88F" w14:textId="466D632F" w:rsidR="00EF5D9D" w:rsidRPr="00E9760A" w:rsidRDefault="00EF5D9D" w:rsidP="00EF5D9D">
            <w:pPr>
              <w:pStyle w:val="BodyText"/>
              <w:jc w:val="center"/>
              <w:rPr>
                <w:i/>
                <w:iCs/>
              </w:rPr>
            </w:pPr>
            <w:r w:rsidRPr="00E9760A">
              <w:rPr>
                <w:i/>
                <w:iCs/>
              </w:rPr>
              <w:t>Statewide</w:t>
            </w:r>
          </w:p>
        </w:tc>
        <w:tc>
          <w:tcPr>
            <w:tcW w:w="4151" w:type="dxa"/>
            <w:noWrap/>
            <w:vAlign w:val="bottom"/>
          </w:tcPr>
          <w:p w14:paraId="3F6FAB8F" w14:textId="2B16983D" w:rsidR="00EF5D9D" w:rsidRPr="00E9760A" w:rsidRDefault="00EF5D9D" w:rsidP="00EF5D9D">
            <w:pPr>
              <w:pStyle w:val="BodyText"/>
              <w:jc w:val="center"/>
              <w:rPr>
                <w:rFonts w:ascii="Calibri" w:hAnsi="Calibri" w:cs="Calibri"/>
                <w:i/>
                <w:iCs/>
              </w:rPr>
            </w:pPr>
            <w:r>
              <w:rPr>
                <w:rFonts w:ascii="Calibri" w:hAnsi="Calibri" w:cs="Calibri"/>
              </w:rPr>
              <w:t>126%</w:t>
            </w:r>
          </w:p>
        </w:tc>
      </w:tr>
    </w:tbl>
    <w:p w14:paraId="3C0FCE10" w14:textId="77777777" w:rsidR="00E10CC6" w:rsidRPr="00CD5215" w:rsidRDefault="00E10CC6" w:rsidP="00153C8D">
      <w:pPr>
        <w:pStyle w:val="BodyText"/>
      </w:pPr>
    </w:p>
    <w:p w14:paraId="456102FF" w14:textId="77777777" w:rsidR="00153C8D" w:rsidRDefault="00153C8D" w:rsidP="00D661B6">
      <w:pPr>
        <w:pStyle w:val="Heading2"/>
      </w:pPr>
      <w:bookmarkStart w:id="13" w:name="_Toc31966907"/>
      <w:r>
        <w:t>Job Vacancy Median Wage Offer a</w:t>
      </w:r>
      <w:r w:rsidR="00D661B6">
        <w:t>s a Share of the Cost of Living</w:t>
      </w:r>
      <w:bookmarkEnd w:id="13"/>
    </w:p>
    <w:p w14:paraId="35BCB98B" w14:textId="7AFD36AE" w:rsidR="00E10CC6" w:rsidRPr="00CD5215" w:rsidRDefault="00050C0B" w:rsidP="00153C8D">
      <w:pPr>
        <w:pStyle w:val="BodyText"/>
      </w:pPr>
      <w:r w:rsidRPr="00CD5215">
        <w:t xml:space="preserve">The </w:t>
      </w:r>
      <w:r w:rsidRPr="009B1B63">
        <w:t xml:space="preserve">statewide median wage </w:t>
      </w:r>
      <w:proofErr w:type="gramStart"/>
      <w:r w:rsidRPr="009B1B63">
        <w:t>offer</w:t>
      </w:r>
      <w:proofErr w:type="gramEnd"/>
      <w:r w:rsidRPr="009B1B63">
        <w:t xml:space="preserve"> for job vacancies, according to</w:t>
      </w:r>
      <w:r w:rsidR="00153C8D" w:rsidRPr="009B1B63">
        <w:t xml:space="preserve"> </w:t>
      </w:r>
      <w:r w:rsidR="00286ADC" w:rsidRPr="009B1B63">
        <w:t>the</w:t>
      </w:r>
      <w:r w:rsidR="00CD5215" w:rsidRPr="009B1B63">
        <w:t xml:space="preserve"> Minnesota</w:t>
      </w:r>
      <w:r w:rsidR="00286ADC" w:rsidRPr="009B1B63">
        <w:t xml:space="preserve"> Job Vacancy Survey</w:t>
      </w:r>
      <w:r w:rsidR="00153C8D" w:rsidRPr="009B1B63">
        <w:t xml:space="preserve">, </w:t>
      </w:r>
      <w:r w:rsidR="005460A1" w:rsidRPr="009B1B63">
        <w:t xml:space="preserve">is </w:t>
      </w:r>
      <w:r w:rsidR="000F1270">
        <w:t>93</w:t>
      </w:r>
      <w:r w:rsidR="00E9760A">
        <w:t xml:space="preserve">% </w:t>
      </w:r>
      <w:r w:rsidRPr="009B1B63">
        <w:t xml:space="preserve">of the state cost of living. </w:t>
      </w:r>
      <w:r w:rsidR="000F1270">
        <w:t>Eight</w:t>
      </w:r>
      <w:r w:rsidR="007D170C" w:rsidRPr="009B1B63">
        <w:t xml:space="preserve"> </w:t>
      </w:r>
      <w:r w:rsidR="007A1C1E" w:rsidRPr="009B1B63">
        <w:t xml:space="preserve">EDRs – EDR 1 Northwest, </w:t>
      </w:r>
      <w:r w:rsidR="000F1270">
        <w:t xml:space="preserve">EDR 4 West Central, EDR 5 North Central, </w:t>
      </w:r>
      <w:r w:rsidR="007A1C1E" w:rsidRPr="009B1B63">
        <w:t xml:space="preserve">EDR </w:t>
      </w:r>
      <w:r w:rsidR="00E9760A">
        <w:t>6E</w:t>
      </w:r>
      <w:r w:rsidR="007A1C1E" w:rsidRPr="009B1B63">
        <w:t xml:space="preserve"> </w:t>
      </w:r>
      <w:r w:rsidR="00E9760A">
        <w:t>Southwest Central</w:t>
      </w:r>
      <w:r w:rsidR="007A1C1E" w:rsidRPr="009B1B63">
        <w:t xml:space="preserve">, and EDR 6W Upper Minnesota </w:t>
      </w:r>
      <w:r w:rsidR="00E9760A">
        <w:t>V</w:t>
      </w:r>
      <w:r w:rsidR="007A1C1E" w:rsidRPr="009B1B63">
        <w:t>alley</w:t>
      </w:r>
      <w:r w:rsidR="000F1270">
        <w:t>,</w:t>
      </w:r>
      <w:r w:rsidR="00E9760A">
        <w:t xml:space="preserve"> EDR 8 Southwest</w:t>
      </w:r>
      <w:r w:rsidR="000F1270">
        <w:t>, EDR 9 South Central and EDR 10 Southeast</w:t>
      </w:r>
      <w:r w:rsidR="00E9760A">
        <w:t xml:space="preserve"> - </w:t>
      </w:r>
      <w:r w:rsidR="007A1C1E" w:rsidRPr="009B1B63">
        <w:t xml:space="preserve">reported </w:t>
      </w:r>
      <w:r w:rsidR="00E10CC6" w:rsidRPr="009B1B63">
        <w:t xml:space="preserve">a median wage offer for vacancies which meets </w:t>
      </w:r>
      <w:r w:rsidR="00E9760A">
        <w:t xml:space="preserve">or exceeds </w:t>
      </w:r>
      <w:r w:rsidR="00E10CC6" w:rsidRPr="009B1B63">
        <w:t>the region’s cost of living</w:t>
      </w:r>
      <w:r w:rsidR="00E10CC6" w:rsidRPr="00CD5215">
        <w:t>.  The rest of</w:t>
      </w:r>
      <w:r w:rsidR="00153C8D" w:rsidRPr="00CD5215">
        <w:t xml:space="preserve"> Minnesota’s economic development regions show a median wage offer for vacancies </w:t>
      </w:r>
      <w:r w:rsidR="00547667" w:rsidRPr="00CD5215">
        <w:t>that</w:t>
      </w:r>
      <w:r w:rsidR="00153C8D" w:rsidRPr="00CD5215">
        <w:t xml:space="preserve"> </w:t>
      </w:r>
      <w:r w:rsidR="00E10CC6" w:rsidRPr="00CD5215">
        <w:t>is lower than the</w:t>
      </w:r>
      <w:r w:rsidR="00DE17ED" w:rsidRPr="00CD5215">
        <w:t xml:space="preserve"> region’s</w:t>
      </w:r>
      <w:r w:rsidR="00153C8D" w:rsidRPr="00CD5215">
        <w:t xml:space="preserve"> cost of living.</w:t>
      </w:r>
      <w:r w:rsidR="00547667" w:rsidRPr="00CD5215">
        <w:t xml:space="preserve">  Note that these are median wage offers before negotiation as posted by the employer, rather than the actual wage offered to the new employee.</w:t>
      </w:r>
      <w:r w:rsidR="00E9760A">
        <w:t xml:space="preserve">  </w:t>
      </w:r>
      <w:r w:rsidR="00E9760A">
        <w:lastRenderedPageBreak/>
        <w:t xml:space="preserve">Moreover, where a wage offer range is provided, the </w:t>
      </w:r>
      <w:proofErr w:type="spellStart"/>
      <w:r w:rsidR="00E9760A">
        <w:t>the</w:t>
      </w:r>
      <w:proofErr w:type="spellEnd"/>
      <w:r w:rsidR="00E9760A">
        <w:t xml:space="preserve"> low end of that range is selected in data collection.  </w:t>
      </w:r>
      <w:r w:rsidR="00F83C09">
        <w:t>So,</w:t>
      </w:r>
      <w:r w:rsidR="00E9760A">
        <w:t xml:space="preserve"> these statistics represent median of the low end of initial wage offers.</w:t>
      </w:r>
    </w:p>
    <w:tbl>
      <w:tblPr>
        <w:tblStyle w:val="TableGrid"/>
        <w:tblW w:w="0" w:type="auto"/>
        <w:tblLook w:val="04A0" w:firstRow="1" w:lastRow="0" w:firstColumn="1" w:lastColumn="0" w:noHBand="0" w:noVBand="1"/>
      </w:tblPr>
      <w:tblGrid>
        <w:gridCol w:w="4304"/>
        <w:gridCol w:w="4151"/>
      </w:tblGrid>
      <w:tr w:rsidR="00CD5215" w:rsidRPr="00CD5215" w14:paraId="123BB229" w14:textId="77777777" w:rsidTr="0018625A">
        <w:trPr>
          <w:trHeight w:val="296"/>
        </w:trPr>
        <w:tc>
          <w:tcPr>
            <w:tcW w:w="4304" w:type="dxa"/>
            <w:noWrap/>
            <w:hideMark/>
          </w:tcPr>
          <w:p w14:paraId="2426D939" w14:textId="77777777" w:rsidR="0018625A" w:rsidRPr="00CD5215" w:rsidRDefault="0018625A" w:rsidP="0018625A">
            <w:pPr>
              <w:pStyle w:val="BodyText"/>
              <w:jc w:val="center"/>
              <w:rPr>
                <w:b/>
              </w:rPr>
            </w:pPr>
            <w:r w:rsidRPr="00CD5215">
              <w:rPr>
                <w:b/>
              </w:rPr>
              <w:t>Economic Development Region</w:t>
            </w:r>
          </w:p>
        </w:tc>
        <w:tc>
          <w:tcPr>
            <w:tcW w:w="4151" w:type="dxa"/>
            <w:noWrap/>
            <w:hideMark/>
          </w:tcPr>
          <w:p w14:paraId="01681D61" w14:textId="77777777" w:rsidR="0018625A" w:rsidRPr="00CD5215" w:rsidRDefault="0018625A" w:rsidP="0018625A">
            <w:pPr>
              <w:pStyle w:val="BodyText"/>
              <w:jc w:val="center"/>
              <w:rPr>
                <w:b/>
              </w:rPr>
            </w:pPr>
            <w:r w:rsidRPr="00CD5215">
              <w:rPr>
                <w:b/>
              </w:rPr>
              <w:t>Percent (JVS Median wage / Cost of Living)</w:t>
            </w:r>
          </w:p>
        </w:tc>
      </w:tr>
      <w:tr w:rsidR="00977925" w:rsidRPr="00CD5215" w14:paraId="128F8767" w14:textId="77777777" w:rsidTr="005417DD">
        <w:trPr>
          <w:trHeight w:val="296"/>
        </w:trPr>
        <w:tc>
          <w:tcPr>
            <w:tcW w:w="4304" w:type="dxa"/>
            <w:noWrap/>
            <w:hideMark/>
          </w:tcPr>
          <w:p w14:paraId="172E90E9" w14:textId="77777777" w:rsidR="00977925" w:rsidRPr="00CD5215" w:rsidRDefault="00977925" w:rsidP="00977925">
            <w:pPr>
              <w:pStyle w:val="BodyText"/>
              <w:jc w:val="center"/>
            </w:pPr>
            <w:r w:rsidRPr="00CD5215">
              <w:t>EDR 1 Northwest</w:t>
            </w:r>
          </w:p>
        </w:tc>
        <w:tc>
          <w:tcPr>
            <w:tcW w:w="4151" w:type="dxa"/>
            <w:noWrap/>
            <w:vAlign w:val="bottom"/>
          </w:tcPr>
          <w:p w14:paraId="7079FA98" w14:textId="500CB54A" w:rsidR="00977925" w:rsidRPr="00CD5215" w:rsidRDefault="00977925" w:rsidP="00977925">
            <w:pPr>
              <w:pStyle w:val="BodyText"/>
              <w:jc w:val="center"/>
            </w:pPr>
            <w:r>
              <w:rPr>
                <w:rFonts w:ascii="Calibri" w:hAnsi="Calibri" w:cs="Calibri"/>
              </w:rPr>
              <w:t>113%</w:t>
            </w:r>
          </w:p>
        </w:tc>
      </w:tr>
      <w:tr w:rsidR="00977925" w:rsidRPr="00CD5215" w14:paraId="3313E0C8" w14:textId="77777777" w:rsidTr="005417DD">
        <w:trPr>
          <w:trHeight w:val="296"/>
        </w:trPr>
        <w:tc>
          <w:tcPr>
            <w:tcW w:w="4304" w:type="dxa"/>
            <w:noWrap/>
            <w:hideMark/>
          </w:tcPr>
          <w:p w14:paraId="274A4520" w14:textId="77777777" w:rsidR="00977925" w:rsidRPr="00CD5215" w:rsidRDefault="00977925" w:rsidP="00977925">
            <w:pPr>
              <w:pStyle w:val="BodyText"/>
              <w:jc w:val="center"/>
            </w:pPr>
            <w:r w:rsidRPr="00CD5215">
              <w:t>EDR 2 Headwaters</w:t>
            </w:r>
          </w:p>
        </w:tc>
        <w:tc>
          <w:tcPr>
            <w:tcW w:w="4151" w:type="dxa"/>
            <w:noWrap/>
            <w:vAlign w:val="bottom"/>
          </w:tcPr>
          <w:p w14:paraId="674A93C5" w14:textId="482F8B34" w:rsidR="00977925" w:rsidRPr="00CD5215" w:rsidRDefault="00977925" w:rsidP="00977925">
            <w:pPr>
              <w:pStyle w:val="BodyText"/>
              <w:jc w:val="center"/>
            </w:pPr>
            <w:r>
              <w:rPr>
                <w:rFonts w:ascii="Calibri" w:hAnsi="Calibri" w:cs="Calibri"/>
              </w:rPr>
              <w:t>99%</w:t>
            </w:r>
          </w:p>
        </w:tc>
      </w:tr>
      <w:tr w:rsidR="00977925" w:rsidRPr="00CD5215" w14:paraId="3937A302" w14:textId="77777777" w:rsidTr="005417DD">
        <w:trPr>
          <w:trHeight w:val="296"/>
        </w:trPr>
        <w:tc>
          <w:tcPr>
            <w:tcW w:w="4304" w:type="dxa"/>
            <w:noWrap/>
            <w:hideMark/>
          </w:tcPr>
          <w:p w14:paraId="1CA327EF" w14:textId="77777777" w:rsidR="00977925" w:rsidRPr="00CD5215" w:rsidRDefault="00977925" w:rsidP="00977925">
            <w:pPr>
              <w:pStyle w:val="BodyText"/>
              <w:jc w:val="center"/>
            </w:pPr>
            <w:r w:rsidRPr="00CD5215">
              <w:t>EDR 3 Arrowhead</w:t>
            </w:r>
          </w:p>
        </w:tc>
        <w:tc>
          <w:tcPr>
            <w:tcW w:w="4151" w:type="dxa"/>
            <w:noWrap/>
            <w:vAlign w:val="bottom"/>
          </w:tcPr>
          <w:p w14:paraId="3A3FB60B" w14:textId="0099F017" w:rsidR="00977925" w:rsidRPr="00CD5215" w:rsidRDefault="00977925" w:rsidP="00977925">
            <w:pPr>
              <w:pStyle w:val="BodyText"/>
              <w:jc w:val="center"/>
            </w:pPr>
            <w:r>
              <w:rPr>
                <w:rFonts w:ascii="Calibri" w:hAnsi="Calibri" w:cs="Calibri"/>
              </w:rPr>
              <w:t>96%</w:t>
            </w:r>
          </w:p>
        </w:tc>
      </w:tr>
      <w:tr w:rsidR="00977925" w:rsidRPr="00CD5215" w14:paraId="6A861EC5" w14:textId="77777777" w:rsidTr="005417DD">
        <w:trPr>
          <w:trHeight w:val="296"/>
        </w:trPr>
        <w:tc>
          <w:tcPr>
            <w:tcW w:w="4304" w:type="dxa"/>
            <w:noWrap/>
            <w:hideMark/>
          </w:tcPr>
          <w:p w14:paraId="2675437E" w14:textId="77777777" w:rsidR="00977925" w:rsidRPr="00CD5215" w:rsidRDefault="00977925" w:rsidP="00977925">
            <w:pPr>
              <w:pStyle w:val="BodyText"/>
              <w:jc w:val="center"/>
            </w:pPr>
            <w:r w:rsidRPr="00CD5215">
              <w:t>EDR 4 West Central</w:t>
            </w:r>
          </w:p>
        </w:tc>
        <w:tc>
          <w:tcPr>
            <w:tcW w:w="4151" w:type="dxa"/>
            <w:noWrap/>
            <w:vAlign w:val="bottom"/>
          </w:tcPr>
          <w:p w14:paraId="7BAB025A" w14:textId="027EF61C" w:rsidR="00977925" w:rsidRPr="00CD5215" w:rsidRDefault="00977925" w:rsidP="00977925">
            <w:pPr>
              <w:pStyle w:val="BodyText"/>
              <w:jc w:val="center"/>
            </w:pPr>
            <w:r>
              <w:rPr>
                <w:rFonts w:ascii="Calibri" w:hAnsi="Calibri" w:cs="Calibri"/>
              </w:rPr>
              <w:t>109%</w:t>
            </w:r>
          </w:p>
        </w:tc>
      </w:tr>
      <w:tr w:rsidR="00977925" w:rsidRPr="00CD5215" w14:paraId="158B86B2" w14:textId="77777777" w:rsidTr="005417DD">
        <w:trPr>
          <w:trHeight w:val="296"/>
        </w:trPr>
        <w:tc>
          <w:tcPr>
            <w:tcW w:w="4304" w:type="dxa"/>
            <w:noWrap/>
            <w:hideMark/>
          </w:tcPr>
          <w:p w14:paraId="365750F2" w14:textId="77777777" w:rsidR="00977925" w:rsidRPr="00CD5215" w:rsidRDefault="00977925" w:rsidP="00977925">
            <w:pPr>
              <w:pStyle w:val="BodyText"/>
              <w:jc w:val="center"/>
            </w:pPr>
            <w:r w:rsidRPr="00CD5215">
              <w:t>EDR 5 North Central</w:t>
            </w:r>
          </w:p>
        </w:tc>
        <w:tc>
          <w:tcPr>
            <w:tcW w:w="4151" w:type="dxa"/>
            <w:noWrap/>
            <w:vAlign w:val="bottom"/>
          </w:tcPr>
          <w:p w14:paraId="4EC92489" w14:textId="2F1F4733" w:rsidR="00977925" w:rsidRPr="00CD5215" w:rsidRDefault="00977925" w:rsidP="00977925">
            <w:pPr>
              <w:pStyle w:val="BodyText"/>
              <w:jc w:val="center"/>
            </w:pPr>
            <w:r>
              <w:rPr>
                <w:rFonts w:ascii="Calibri" w:hAnsi="Calibri" w:cs="Calibri"/>
              </w:rPr>
              <w:t>106%</w:t>
            </w:r>
          </w:p>
        </w:tc>
      </w:tr>
      <w:tr w:rsidR="00977925" w:rsidRPr="00CD5215" w14:paraId="6553D5E0" w14:textId="77777777" w:rsidTr="005417DD">
        <w:trPr>
          <w:trHeight w:val="296"/>
        </w:trPr>
        <w:tc>
          <w:tcPr>
            <w:tcW w:w="4304" w:type="dxa"/>
            <w:noWrap/>
            <w:hideMark/>
          </w:tcPr>
          <w:p w14:paraId="24BB15DC" w14:textId="77777777" w:rsidR="00977925" w:rsidRPr="00CD5215" w:rsidRDefault="00977925" w:rsidP="00977925">
            <w:pPr>
              <w:pStyle w:val="BodyText"/>
              <w:jc w:val="center"/>
            </w:pPr>
            <w:r w:rsidRPr="00CD5215">
              <w:t>EDR 6E Southwest Central</w:t>
            </w:r>
          </w:p>
        </w:tc>
        <w:tc>
          <w:tcPr>
            <w:tcW w:w="4151" w:type="dxa"/>
            <w:noWrap/>
            <w:vAlign w:val="bottom"/>
          </w:tcPr>
          <w:p w14:paraId="38425F6E" w14:textId="084C5A17" w:rsidR="00977925" w:rsidRPr="00CD5215" w:rsidRDefault="00977925" w:rsidP="00977925">
            <w:pPr>
              <w:pStyle w:val="BodyText"/>
              <w:jc w:val="center"/>
            </w:pPr>
            <w:r>
              <w:rPr>
                <w:rFonts w:ascii="Calibri" w:hAnsi="Calibri" w:cs="Calibri"/>
              </w:rPr>
              <w:t>111%</w:t>
            </w:r>
          </w:p>
        </w:tc>
      </w:tr>
      <w:tr w:rsidR="00977925" w:rsidRPr="00CD5215" w14:paraId="1E8767B3" w14:textId="77777777" w:rsidTr="005417DD">
        <w:trPr>
          <w:trHeight w:val="296"/>
        </w:trPr>
        <w:tc>
          <w:tcPr>
            <w:tcW w:w="4304" w:type="dxa"/>
            <w:noWrap/>
            <w:hideMark/>
          </w:tcPr>
          <w:p w14:paraId="5C40E730" w14:textId="77777777" w:rsidR="00977925" w:rsidRPr="00CD5215" w:rsidRDefault="00977925" w:rsidP="00977925">
            <w:pPr>
              <w:pStyle w:val="BodyText"/>
              <w:jc w:val="center"/>
            </w:pPr>
            <w:r w:rsidRPr="00CD5215">
              <w:t>EDR 6W Upper Minnesota Valley</w:t>
            </w:r>
          </w:p>
        </w:tc>
        <w:tc>
          <w:tcPr>
            <w:tcW w:w="4151" w:type="dxa"/>
            <w:noWrap/>
            <w:vAlign w:val="bottom"/>
          </w:tcPr>
          <w:p w14:paraId="40F1FD18" w14:textId="5B8B7377" w:rsidR="00977925" w:rsidRPr="00CD5215" w:rsidRDefault="00977925" w:rsidP="00977925">
            <w:pPr>
              <w:pStyle w:val="BodyText"/>
              <w:jc w:val="center"/>
            </w:pPr>
            <w:r>
              <w:rPr>
                <w:rFonts w:ascii="Calibri" w:hAnsi="Calibri" w:cs="Calibri"/>
              </w:rPr>
              <w:t>109%</w:t>
            </w:r>
          </w:p>
        </w:tc>
      </w:tr>
      <w:tr w:rsidR="00977925" w:rsidRPr="00CD5215" w14:paraId="6F817E3D" w14:textId="77777777" w:rsidTr="005417DD">
        <w:trPr>
          <w:trHeight w:val="296"/>
        </w:trPr>
        <w:tc>
          <w:tcPr>
            <w:tcW w:w="4304" w:type="dxa"/>
            <w:noWrap/>
            <w:hideMark/>
          </w:tcPr>
          <w:p w14:paraId="4BA1F9AB" w14:textId="77777777" w:rsidR="00977925" w:rsidRPr="00CD5215" w:rsidRDefault="00977925" w:rsidP="00977925">
            <w:pPr>
              <w:pStyle w:val="BodyText"/>
              <w:jc w:val="center"/>
            </w:pPr>
            <w:r w:rsidRPr="00CD5215">
              <w:t>EDR 7E East Central</w:t>
            </w:r>
          </w:p>
        </w:tc>
        <w:tc>
          <w:tcPr>
            <w:tcW w:w="4151" w:type="dxa"/>
            <w:noWrap/>
            <w:vAlign w:val="bottom"/>
          </w:tcPr>
          <w:p w14:paraId="1FF40571" w14:textId="28FA2F84" w:rsidR="00977925" w:rsidRPr="00CD5215" w:rsidRDefault="00977925" w:rsidP="00977925">
            <w:pPr>
              <w:pStyle w:val="BodyText"/>
              <w:jc w:val="center"/>
            </w:pPr>
            <w:r>
              <w:rPr>
                <w:rFonts w:ascii="Calibri" w:hAnsi="Calibri" w:cs="Calibri"/>
              </w:rPr>
              <w:t>87%</w:t>
            </w:r>
          </w:p>
        </w:tc>
      </w:tr>
      <w:tr w:rsidR="00977925" w:rsidRPr="00CD5215" w14:paraId="09DEA21B" w14:textId="77777777" w:rsidTr="005417DD">
        <w:trPr>
          <w:trHeight w:val="296"/>
        </w:trPr>
        <w:tc>
          <w:tcPr>
            <w:tcW w:w="4304" w:type="dxa"/>
            <w:noWrap/>
            <w:hideMark/>
          </w:tcPr>
          <w:p w14:paraId="55D4E138" w14:textId="0922C68C" w:rsidR="00977925" w:rsidRPr="00CD5215" w:rsidRDefault="00977925" w:rsidP="00977925">
            <w:pPr>
              <w:pStyle w:val="BodyText"/>
              <w:jc w:val="center"/>
            </w:pPr>
            <w:r w:rsidRPr="00CD5215">
              <w:t>EDR 7W Central</w:t>
            </w:r>
          </w:p>
        </w:tc>
        <w:tc>
          <w:tcPr>
            <w:tcW w:w="4151" w:type="dxa"/>
            <w:noWrap/>
            <w:vAlign w:val="bottom"/>
          </w:tcPr>
          <w:p w14:paraId="62D1134F" w14:textId="3F5B6970" w:rsidR="00977925" w:rsidRPr="00CD5215" w:rsidRDefault="00977925" w:rsidP="00977925">
            <w:pPr>
              <w:pStyle w:val="BodyText"/>
              <w:jc w:val="center"/>
            </w:pPr>
            <w:r>
              <w:rPr>
                <w:rFonts w:ascii="Calibri" w:hAnsi="Calibri" w:cs="Calibri"/>
              </w:rPr>
              <w:t>92%</w:t>
            </w:r>
          </w:p>
        </w:tc>
      </w:tr>
      <w:tr w:rsidR="00977925" w:rsidRPr="00CD5215" w14:paraId="1DB02DE3" w14:textId="77777777" w:rsidTr="005417DD">
        <w:trPr>
          <w:trHeight w:val="296"/>
        </w:trPr>
        <w:tc>
          <w:tcPr>
            <w:tcW w:w="4304" w:type="dxa"/>
            <w:noWrap/>
            <w:hideMark/>
          </w:tcPr>
          <w:p w14:paraId="3CFDA892" w14:textId="77777777" w:rsidR="00977925" w:rsidRPr="00CD5215" w:rsidRDefault="00977925" w:rsidP="00977925">
            <w:pPr>
              <w:pStyle w:val="BodyText"/>
              <w:jc w:val="center"/>
            </w:pPr>
            <w:r w:rsidRPr="00CD5215">
              <w:t>EDR 8 Southwest</w:t>
            </w:r>
          </w:p>
        </w:tc>
        <w:tc>
          <w:tcPr>
            <w:tcW w:w="4151" w:type="dxa"/>
            <w:noWrap/>
            <w:vAlign w:val="bottom"/>
          </w:tcPr>
          <w:p w14:paraId="6A38BCCF" w14:textId="6B35EEFE" w:rsidR="00977925" w:rsidRPr="00CD5215" w:rsidRDefault="00977925" w:rsidP="00977925">
            <w:pPr>
              <w:pStyle w:val="BodyText"/>
              <w:jc w:val="center"/>
            </w:pPr>
            <w:r>
              <w:rPr>
                <w:rFonts w:ascii="Calibri" w:hAnsi="Calibri" w:cs="Calibri"/>
              </w:rPr>
              <w:t>110%</w:t>
            </w:r>
          </w:p>
        </w:tc>
      </w:tr>
      <w:tr w:rsidR="00977925" w:rsidRPr="00CD5215" w14:paraId="7ACFCA7F" w14:textId="77777777" w:rsidTr="005417DD">
        <w:trPr>
          <w:trHeight w:val="296"/>
        </w:trPr>
        <w:tc>
          <w:tcPr>
            <w:tcW w:w="4304" w:type="dxa"/>
            <w:noWrap/>
            <w:hideMark/>
          </w:tcPr>
          <w:p w14:paraId="0ADD2B65" w14:textId="77777777" w:rsidR="00977925" w:rsidRPr="00CD5215" w:rsidRDefault="00977925" w:rsidP="00977925">
            <w:pPr>
              <w:pStyle w:val="BodyText"/>
              <w:jc w:val="center"/>
            </w:pPr>
            <w:r w:rsidRPr="00CD5215">
              <w:t>EDR 9 South Central</w:t>
            </w:r>
          </w:p>
        </w:tc>
        <w:tc>
          <w:tcPr>
            <w:tcW w:w="4151" w:type="dxa"/>
            <w:noWrap/>
            <w:vAlign w:val="bottom"/>
          </w:tcPr>
          <w:p w14:paraId="61D67192" w14:textId="1D3734D1" w:rsidR="00977925" w:rsidRPr="00CD5215" w:rsidRDefault="00977925" w:rsidP="00977925">
            <w:pPr>
              <w:pStyle w:val="BodyText"/>
              <w:jc w:val="center"/>
            </w:pPr>
            <w:r>
              <w:rPr>
                <w:rFonts w:ascii="Calibri" w:hAnsi="Calibri" w:cs="Calibri"/>
              </w:rPr>
              <w:t>105%</w:t>
            </w:r>
          </w:p>
        </w:tc>
      </w:tr>
      <w:tr w:rsidR="00977925" w:rsidRPr="00CD5215" w14:paraId="4E48C1F6" w14:textId="77777777" w:rsidTr="005417DD">
        <w:trPr>
          <w:trHeight w:val="296"/>
        </w:trPr>
        <w:tc>
          <w:tcPr>
            <w:tcW w:w="4304" w:type="dxa"/>
            <w:noWrap/>
            <w:hideMark/>
          </w:tcPr>
          <w:p w14:paraId="10986FE3" w14:textId="77777777" w:rsidR="00977925" w:rsidRPr="00CD5215" w:rsidRDefault="00977925" w:rsidP="00977925">
            <w:pPr>
              <w:pStyle w:val="BodyText"/>
              <w:jc w:val="center"/>
            </w:pPr>
            <w:r w:rsidRPr="00CD5215">
              <w:t>EDR 10 Southeast</w:t>
            </w:r>
          </w:p>
        </w:tc>
        <w:tc>
          <w:tcPr>
            <w:tcW w:w="4151" w:type="dxa"/>
            <w:noWrap/>
            <w:vAlign w:val="bottom"/>
          </w:tcPr>
          <w:p w14:paraId="430913C8" w14:textId="02852FB8" w:rsidR="00977925" w:rsidRPr="00CD5215" w:rsidRDefault="00977925" w:rsidP="00977925">
            <w:pPr>
              <w:pStyle w:val="BodyText"/>
              <w:jc w:val="center"/>
            </w:pPr>
            <w:r>
              <w:rPr>
                <w:rFonts w:ascii="Calibri" w:hAnsi="Calibri" w:cs="Calibri"/>
              </w:rPr>
              <w:t>104%</w:t>
            </w:r>
          </w:p>
        </w:tc>
      </w:tr>
      <w:tr w:rsidR="00977925" w:rsidRPr="00CD5215" w14:paraId="7AE079FD" w14:textId="77777777" w:rsidTr="005417DD">
        <w:trPr>
          <w:trHeight w:val="296"/>
        </w:trPr>
        <w:tc>
          <w:tcPr>
            <w:tcW w:w="4304" w:type="dxa"/>
            <w:noWrap/>
            <w:hideMark/>
          </w:tcPr>
          <w:p w14:paraId="5845E032" w14:textId="77777777" w:rsidR="00977925" w:rsidRPr="00CD5215" w:rsidRDefault="00977925" w:rsidP="00977925">
            <w:pPr>
              <w:pStyle w:val="BodyText"/>
              <w:jc w:val="center"/>
            </w:pPr>
            <w:r w:rsidRPr="00CD5215">
              <w:t>EDR 11 7-County Metro</w:t>
            </w:r>
          </w:p>
        </w:tc>
        <w:tc>
          <w:tcPr>
            <w:tcW w:w="4151" w:type="dxa"/>
            <w:noWrap/>
            <w:vAlign w:val="bottom"/>
          </w:tcPr>
          <w:p w14:paraId="0BB6B23D" w14:textId="54B675B1" w:rsidR="00977925" w:rsidRPr="00CD5215" w:rsidRDefault="00977925" w:rsidP="00977925">
            <w:pPr>
              <w:pStyle w:val="BodyText"/>
              <w:jc w:val="center"/>
            </w:pPr>
            <w:r>
              <w:rPr>
                <w:rFonts w:ascii="Calibri" w:hAnsi="Calibri" w:cs="Calibri"/>
              </w:rPr>
              <w:t>89%</w:t>
            </w:r>
          </w:p>
        </w:tc>
      </w:tr>
    </w:tbl>
    <w:p w14:paraId="10B4E915" w14:textId="77777777" w:rsidR="00E10CC6" w:rsidRPr="00CD5215" w:rsidRDefault="00E10CC6" w:rsidP="00E10CC6">
      <w:pPr>
        <w:pStyle w:val="BodyText"/>
      </w:pPr>
    </w:p>
    <w:p w14:paraId="075E7C03" w14:textId="6F458CD5" w:rsidR="00153C8D" w:rsidRDefault="00153C8D" w:rsidP="00153C8D">
      <w:pPr>
        <w:pStyle w:val="BodyText"/>
      </w:pPr>
      <w:r>
        <w:t xml:space="preserve">Although median wage offers </w:t>
      </w:r>
      <w:r w:rsidR="008F13C4">
        <w:t xml:space="preserve">for vacancies </w:t>
      </w:r>
      <w:r>
        <w:t>historically track lower than median wages for filled positions</w:t>
      </w:r>
      <w:r w:rsidR="00547667">
        <w:t xml:space="preserve"> for a variety of reasons</w:t>
      </w:r>
      <w:r w:rsidR="00E9760A">
        <w:t>,</w:t>
      </w:r>
      <w:r w:rsidR="00547667">
        <w:t xml:space="preserve"> </w:t>
      </w:r>
      <w:r>
        <w:t>a regional median wage offer below the regional cost of living may si</w:t>
      </w:r>
      <w:r w:rsidR="00D661B6">
        <w:t xml:space="preserve">gnal economic challenges </w:t>
      </w:r>
      <w:r w:rsidR="00B26EB4">
        <w:t>for employment recruitment and retention</w:t>
      </w:r>
      <w:r w:rsidR="005E5B61">
        <w:t xml:space="preserve">, </w:t>
      </w:r>
      <w:r w:rsidR="00E9760A">
        <w:t>BIPOC</w:t>
      </w:r>
      <w:r w:rsidR="005E5B61">
        <w:t xml:space="preserve"> community well-being, and</w:t>
      </w:r>
      <w:r w:rsidR="00B26EB4">
        <w:t xml:space="preserve"> local consumer </w:t>
      </w:r>
      <w:r w:rsidR="00E9760A">
        <w:t>spending</w:t>
      </w:r>
      <w:r w:rsidR="00D661B6">
        <w:t>.</w:t>
      </w:r>
    </w:p>
    <w:p w14:paraId="4EC8271A" w14:textId="77777777" w:rsidR="00153C8D" w:rsidRDefault="00153C8D" w:rsidP="00D661B6">
      <w:pPr>
        <w:pStyle w:val="Heading2"/>
      </w:pPr>
      <w:bookmarkStart w:id="14" w:name="_Toc31966908"/>
      <w:r>
        <w:t xml:space="preserve">Impact on Employment Recruitment and </w:t>
      </w:r>
      <w:r w:rsidR="00D661B6">
        <w:t>Retention</w:t>
      </w:r>
      <w:bookmarkEnd w:id="14"/>
    </w:p>
    <w:p w14:paraId="6F90EA22" w14:textId="4EF47994" w:rsidR="00153C8D" w:rsidRPr="00CD5215" w:rsidRDefault="00974EC5" w:rsidP="00153C8D">
      <w:pPr>
        <w:pStyle w:val="BodyText"/>
      </w:pPr>
      <w:r>
        <w:t>As noted in previous Cost of Living reports</w:t>
      </w:r>
      <w:r w:rsidR="00153C8D">
        <w:t xml:space="preserve">, </w:t>
      </w:r>
      <w:r>
        <w:t>employers interviewed for DEED’s Hiring Difficulties Survey</w:t>
      </w:r>
      <w:r w:rsidR="00206E0F">
        <w:t>s, spanning the period of 2013 to 2019</w:t>
      </w:r>
      <w:r w:rsidR="00131D7F">
        <w:t>,</w:t>
      </w:r>
      <w:r>
        <w:t xml:space="preserve"> stated that </w:t>
      </w:r>
      <w:r w:rsidR="00153C8D">
        <w:t xml:space="preserve">demand-side conditions, </w:t>
      </w:r>
      <w:r>
        <w:t xml:space="preserve">including unsatisfactory wages, have </w:t>
      </w:r>
      <w:r w:rsidR="00153C8D">
        <w:t>contribute</w:t>
      </w:r>
      <w:r>
        <w:t>d</w:t>
      </w:r>
      <w:r w:rsidR="00153C8D">
        <w:t xml:space="preserve"> to hiring difficulties in the production, industrial engineering, information techno</w:t>
      </w:r>
      <w:r w:rsidR="00764354">
        <w:t>logy, and nursing occupations.[4</w:t>
      </w:r>
      <w:r w:rsidR="00153C8D">
        <w:t xml:space="preserve">] If the same holds true for other </w:t>
      </w:r>
      <w:r w:rsidR="00206E0F">
        <w:t>occupations</w:t>
      </w:r>
      <w:r w:rsidR="00153C8D">
        <w:t xml:space="preserve">, then regions with a median wage or median wage offer below the regional cost of living might </w:t>
      </w:r>
      <w:r>
        <w:t xml:space="preserve">choose to </w:t>
      </w:r>
      <w:r w:rsidR="00153C8D">
        <w:t xml:space="preserve">engage in development strategies to improve wages within the existing mix of occupations or expand higher-paying occupations in order to </w:t>
      </w:r>
      <w:r w:rsidR="00153C8D" w:rsidRPr="00CD5215">
        <w:t>improve retention</w:t>
      </w:r>
      <w:r w:rsidR="00D661B6" w:rsidRPr="00CD5215">
        <w:t xml:space="preserve"> and recruitment in the region.</w:t>
      </w:r>
    </w:p>
    <w:p w14:paraId="25730474" w14:textId="0122185D" w:rsidR="00153C8D" w:rsidRPr="00CD5215" w:rsidRDefault="00206E0F" w:rsidP="00153C8D">
      <w:pPr>
        <w:pStyle w:val="BodyText"/>
      </w:pPr>
      <w:r>
        <w:t xml:space="preserve">Currently, </w:t>
      </w:r>
      <w:r w:rsidR="00131D7F">
        <w:t>five</w:t>
      </w:r>
      <w:r w:rsidR="007A1C1E" w:rsidRPr="00CD5215">
        <w:t xml:space="preserve"> </w:t>
      </w:r>
      <w:r w:rsidR="00153C8D" w:rsidRPr="00CD5215">
        <w:t>Minnesota economic development regions</w:t>
      </w:r>
      <w:r w:rsidR="007A1C1E" w:rsidRPr="00CD5215">
        <w:t xml:space="preserve"> </w:t>
      </w:r>
      <w:r w:rsidR="00153C8D" w:rsidRPr="00CD5215">
        <w:t xml:space="preserve">show median wage offers below </w:t>
      </w:r>
      <w:r w:rsidR="00E10CC6" w:rsidRPr="00CD5215">
        <w:t xml:space="preserve">the regional cost of living. Those regions with median wages below the cost of living </w:t>
      </w:r>
      <w:r w:rsidR="00153C8D" w:rsidRPr="00CD5215">
        <w:t xml:space="preserve">might </w:t>
      </w:r>
      <w:r w:rsidR="00DE7F97" w:rsidRPr="00CD5215">
        <w:t xml:space="preserve">choose to </w:t>
      </w:r>
      <w:r w:rsidR="00153C8D" w:rsidRPr="00CD5215">
        <w:t xml:space="preserve">engage in demand-side development strategies for employee recruitment. </w:t>
      </w:r>
    </w:p>
    <w:p w14:paraId="487E9169" w14:textId="77777777" w:rsidR="00153C8D" w:rsidRPr="00CD5215" w:rsidRDefault="00153C8D" w:rsidP="00153C8D">
      <w:pPr>
        <w:pStyle w:val="BodyText"/>
      </w:pPr>
      <w:r w:rsidRPr="00CD5215">
        <w:t>Other supply or demand conditions which might impact recruitment and retention, such as work conditions or skills matching, are beyond the sco</w:t>
      </w:r>
      <w:r w:rsidR="00D661B6" w:rsidRPr="00CD5215">
        <w:t xml:space="preserve">pe of the </w:t>
      </w:r>
      <w:proofErr w:type="gramStart"/>
      <w:r w:rsidR="00D661B6" w:rsidRPr="00CD5215">
        <w:t>Cost of Living</w:t>
      </w:r>
      <w:proofErr w:type="gramEnd"/>
      <w:r w:rsidR="00D661B6" w:rsidRPr="00CD5215">
        <w:t xml:space="preserve"> Study.</w:t>
      </w:r>
    </w:p>
    <w:p w14:paraId="3A9D369F" w14:textId="77777777" w:rsidR="00153C8D" w:rsidRDefault="00D661B6" w:rsidP="00D661B6">
      <w:pPr>
        <w:pStyle w:val="Heading2"/>
      </w:pPr>
      <w:bookmarkStart w:id="15" w:name="_Toc31966909"/>
      <w:r>
        <w:lastRenderedPageBreak/>
        <w:t>Impact on Consumer Expenditures</w:t>
      </w:r>
      <w:bookmarkEnd w:id="15"/>
    </w:p>
    <w:p w14:paraId="3C45448F" w14:textId="77777777" w:rsidR="00153C8D" w:rsidRDefault="00153C8D" w:rsidP="00153C8D">
      <w:pPr>
        <w:pStyle w:val="BodyText"/>
      </w:pPr>
      <w:r>
        <w:t xml:space="preserve">The </w:t>
      </w:r>
      <w:proofErr w:type="gramStart"/>
      <w:r>
        <w:t>Cost of Living</w:t>
      </w:r>
      <w:proofErr w:type="gramEnd"/>
      <w:r>
        <w:t xml:space="preserve"> Study provides an estimate of the cost of basic necessary expenditures. Incomes below the cost of living may limit basic consumer expendi</w:t>
      </w:r>
      <w:r w:rsidR="00D661B6">
        <w:t>tures and slow economic growth.</w:t>
      </w:r>
    </w:p>
    <w:p w14:paraId="4863F0C6" w14:textId="7C9E99B8" w:rsidR="00D661B6" w:rsidRPr="00CD5215" w:rsidRDefault="00153C8D" w:rsidP="00153C8D">
      <w:pPr>
        <w:pStyle w:val="BodyText"/>
      </w:pPr>
      <w:proofErr w:type="gramStart"/>
      <w:r w:rsidRPr="00CD5215">
        <w:t>In order to</w:t>
      </w:r>
      <w:proofErr w:type="gramEnd"/>
      <w:r w:rsidRPr="00CD5215">
        <w:t xml:space="preserve"> sustain consumer expenditures sufficient for healthy economic growth, regions where the median wage is below</w:t>
      </w:r>
      <w:r w:rsidR="00C824A4" w:rsidRPr="00CD5215">
        <w:t xml:space="preserve"> or equal to</w:t>
      </w:r>
      <w:r w:rsidR="004D407B" w:rsidRPr="00CD5215">
        <w:t xml:space="preserve"> the regional cost of living</w:t>
      </w:r>
      <w:r w:rsidRPr="00CD5215">
        <w:t xml:space="preserve">, might engage in development strategies to improve wages within the existing mix of occupations or expand higher-paying occupations. </w:t>
      </w:r>
    </w:p>
    <w:p w14:paraId="3D18B911" w14:textId="77777777" w:rsidR="00153C8D" w:rsidRDefault="00153C8D" w:rsidP="00D661B6">
      <w:pPr>
        <w:pStyle w:val="Heading2"/>
      </w:pPr>
      <w:bookmarkStart w:id="16" w:name="_Toc31966910"/>
      <w:r>
        <w:t>Impact on Dema</w:t>
      </w:r>
      <w:r w:rsidR="00D661B6">
        <w:t>nd for Social Service Subsidies</w:t>
      </w:r>
      <w:bookmarkEnd w:id="16"/>
    </w:p>
    <w:p w14:paraId="7880928B" w14:textId="77777777" w:rsidR="00153C8D" w:rsidRDefault="00153C8D" w:rsidP="00153C8D">
      <w:pPr>
        <w:pStyle w:val="BodyText"/>
      </w:pPr>
      <w:r>
        <w:t xml:space="preserve">Persons earning less than the cost of living </w:t>
      </w:r>
      <w:r w:rsidR="00CD5215">
        <w:t>are</w:t>
      </w:r>
      <w:r>
        <w:t xml:space="preserve"> more likely to qualify for social services. Workforce development service providers in regions where a smaller share of working people earn the cost of living may have more difficulty placing clients in self-supporting careers and may see more f</w:t>
      </w:r>
      <w:r w:rsidR="00D661B6">
        <w:t>requent re-entry into services.</w:t>
      </w:r>
    </w:p>
    <w:p w14:paraId="7782E8BC" w14:textId="77777777" w:rsidR="00153C8D" w:rsidRDefault="00153C8D" w:rsidP="00D661B6">
      <w:pPr>
        <w:pStyle w:val="Heading1"/>
      </w:pPr>
      <w:bookmarkStart w:id="17" w:name="_Toc31966911"/>
      <w:r>
        <w:t>Sources</w:t>
      </w:r>
      <w:bookmarkEnd w:id="17"/>
    </w:p>
    <w:p w14:paraId="74277971" w14:textId="77777777" w:rsidR="00153C8D" w:rsidRPr="00A35403" w:rsidRDefault="00153C8D" w:rsidP="00440CC9">
      <w:pPr>
        <w:pStyle w:val="BodyText"/>
        <w:rPr>
          <w:color w:val="000000" w:themeColor="text1"/>
        </w:rPr>
      </w:pPr>
      <w:r w:rsidRPr="009B1B63">
        <w:t xml:space="preserve">1. Cost of Living </w:t>
      </w:r>
      <w:r w:rsidRPr="00A35403">
        <w:rPr>
          <w:color w:val="000000" w:themeColor="text1"/>
        </w:rPr>
        <w:t xml:space="preserve">Study. Labor Market Information, Minnesota Department of Employment and Economic Development. See </w:t>
      </w:r>
      <w:hyperlink r:id="rId13" w:history="1">
        <w:r w:rsidR="00781E90" w:rsidRPr="00A35403">
          <w:rPr>
            <w:rStyle w:val="Hyperlink"/>
            <w:color w:val="000000" w:themeColor="text1"/>
          </w:rPr>
          <w:t>mn.gov/deed/data/data-tools/col/</w:t>
        </w:r>
      </w:hyperlink>
      <w:r w:rsidR="00D661B6" w:rsidRPr="00A35403">
        <w:rPr>
          <w:color w:val="000000" w:themeColor="text1"/>
        </w:rPr>
        <w:t>.</w:t>
      </w:r>
    </w:p>
    <w:p w14:paraId="296ADBB7" w14:textId="46FB91DD" w:rsidR="007C6463" w:rsidRPr="009B1B63" w:rsidRDefault="00C717CA" w:rsidP="00440CC9">
      <w:pPr>
        <w:pStyle w:val="BodyText"/>
      </w:pPr>
      <w:r w:rsidRPr="009B1B63">
        <w:t>2</w:t>
      </w:r>
      <w:r w:rsidR="00153C8D" w:rsidRPr="009B1B63">
        <w:t xml:space="preserve">. Occupational Employment </w:t>
      </w:r>
      <w:r w:rsidR="00131D7F">
        <w:t xml:space="preserve">Wage </w:t>
      </w:r>
      <w:r w:rsidR="00153C8D" w:rsidRPr="009B1B63">
        <w:t xml:space="preserve">Statistics. Labor Market Information, Minnesota Department of Employment and Economic Development. </w:t>
      </w:r>
      <w:r w:rsidR="006B4AA1" w:rsidRPr="009B1B63">
        <w:t>20</w:t>
      </w:r>
      <w:r w:rsidR="00487E0F" w:rsidRPr="009B1B63">
        <w:t>2</w:t>
      </w:r>
      <w:r w:rsidR="00131D7F">
        <w:t>2</w:t>
      </w:r>
      <w:r w:rsidR="006B4AA1" w:rsidRPr="009B1B63">
        <w:t xml:space="preserve">. </w:t>
      </w:r>
      <w:r w:rsidR="00153C8D" w:rsidRPr="009B1B63">
        <w:t xml:space="preserve">See </w:t>
      </w:r>
      <w:hyperlink r:id="rId14" w:history="1">
        <w:r w:rsidR="00F9408C" w:rsidRPr="009B1B63">
          <w:rPr>
            <w:rStyle w:val="Hyperlink"/>
            <w:color w:val="auto"/>
          </w:rPr>
          <w:t>mn.gov/deed/data/data-tools/oes/</w:t>
        </w:r>
      </w:hyperlink>
      <w:r w:rsidR="007C6463" w:rsidRPr="009B1B63">
        <w:t>.</w:t>
      </w:r>
    </w:p>
    <w:p w14:paraId="037BB21B" w14:textId="27C7880A" w:rsidR="00153C8D" w:rsidRPr="009B1B63" w:rsidRDefault="00C717CA" w:rsidP="00440CC9">
      <w:pPr>
        <w:pStyle w:val="BodyText"/>
      </w:pPr>
      <w:r w:rsidRPr="009B1B63">
        <w:t>3</w:t>
      </w:r>
      <w:r w:rsidR="00153C8D" w:rsidRPr="009B1B63">
        <w:t xml:space="preserve">. Job Vacancy Survey. Labor Market Information, Minnesota Department of Employment and Economic Development. </w:t>
      </w:r>
      <w:r w:rsidR="00131D7F">
        <w:t>Fourth</w:t>
      </w:r>
      <w:r w:rsidR="006B4AA1" w:rsidRPr="009B1B63">
        <w:t xml:space="preserve"> Quarter, 20</w:t>
      </w:r>
      <w:r w:rsidR="00487E0F" w:rsidRPr="009B1B63">
        <w:t>2</w:t>
      </w:r>
      <w:r w:rsidR="002A4BD7">
        <w:t>1</w:t>
      </w:r>
      <w:r w:rsidR="006B4AA1" w:rsidRPr="009B1B63">
        <w:t xml:space="preserve">. </w:t>
      </w:r>
      <w:r w:rsidR="00153C8D" w:rsidRPr="009B1B63">
        <w:t xml:space="preserve">See </w:t>
      </w:r>
      <w:hyperlink r:id="rId15" w:history="1">
        <w:r w:rsidR="00550988" w:rsidRPr="009B1B63">
          <w:rPr>
            <w:rStyle w:val="Hyperlink"/>
            <w:color w:val="auto"/>
          </w:rPr>
          <w:t>mn.gov/deed/data/data-tools/job-vacancy/</w:t>
        </w:r>
      </w:hyperlink>
      <w:r w:rsidR="00D661B6" w:rsidRPr="009B1B63">
        <w:t>.</w:t>
      </w:r>
    </w:p>
    <w:p w14:paraId="3B6C793F" w14:textId="3C17B443" w:rsidR="00153C8D" w:rsidRDefault="00764354" w:rsidP="00440CC9">
      <w:pPr>
        <w:pStyle w:val="BodyText"/>
      </w:pPr>
      <w:r>
        <w:t>4</w:t>
      </w:r>
      <w:r w:rsidR="00153C8D">
        <w:t xml:space="preserve">. Hiring Difficulties Survey. Labor Market Information, Minnesota Department of Employment and Economic Development.  See </w:t>
      </w:r>
      <w:hyperlink r:id="rId16" w:history="1">
        <w:r w:rsidR="002A4BD7">
          <w:rPr>
            <w:rStyle w:val="Hyperlink"/>
          </w:rPr>
          <w:t>Hiring Difficulties in Minnesota / Minnesota Department of Employment and Economic Development (mn.gov)</w:t>
        </w:r>
      </w:hyperlink>
      <w:r w:rsidR="00D661B6">
        <w:t>.</w:t>
      </w:r>
    </w:p>
    <w:p w14:paraId="65570C8F" w14:textId="6F4DAC69" w:rsidR="00131D7F" w:rsidRDefault="00131D7F" w:rsidP="00765B84">
      <w:pPr>
        <w:pStyle w:val="BodyText"/>
      </w:pPr>
      <w:r>
        <w:t xml:space="preserve">5. American Community Survey, Demographic Profile Table </w:t>
      </w:r>
      <w:hyperlink r:id="rId17" w:history="1">
        <w:r w:rsidRPr="00A35403">
          <w:rPr>
            <w:rStyle w:val="Hyperlink"/>
          </w:rPr>
          <w:t>DP02</w:t>
        </w:r>
      </w:hyperlink>
      <w:r>
        <w:t xml:space="preserve">, 2021 estimate. </w:t>
      </w:r>
      <w:r w:rsidR="00A35403">
        <w:t xml:space="preserve">See </w:t>
      </w:r>
      <w:hyperlink r:id="rId18" w:history="1">
        <w:r w:rsidR="00A35403">
          <w:rPr>
            <w:rStyle w:val="Hyperlink"/>
          </w:rPr>
          <w:t>DP02: SELECTED SOCIAL ... - Census Bureau Table</w:t>
        </w:r>
      </w:hyperlink>
    </w:p>
    <w:p w14:paraId="23360D38" w14:textId="77777777" w:rsidR="00DE28CC" w:rsidRDefault="00DE28CC" w:rsidP="00DE28CC">
      <w:pPr>
        <w:pStyle w:val="Heading1"/>
      </w:pPr>
      <w:bookmarkStart w:id="18" w:name="_Toc31966912"/>
      <w:r>
        <w:t>Appendix A</w:t>
      </w:r>
      <w:bookmarkEnd w:id="18"/>
    </w:p>
    <w:p w14:paraId="6BA5D3E4" w14:textId="77777777" w:rsidR="00153C8D" w:rsidRDefault="00D661B6" w:rsidP="00D661B6">
      <w:pPr>
        <w:pStyle w:val="Heading2"/>
      </w:pPr>
      <w:bookmarkStart w:id="19" w:name="_Toc31966913"/>
      <w:r>
        <w:t>Statutory Mandate</w:t>
      </w:r>
      <w:bookmarkEnd w:id="19"/>
    </w:p>
    <w:p w14:paraId="53BEB4A8" w14:textId="77777777" w:rsidR="00153C8D" w:rsidRDefault="00153C8D" w:rsidP="00440CC9">
      <w:pPr>
        <w:pStyle w:val="BodyText"/>
      </w:pPr>
      <w:r>
        <w:t>Minnesota Statutes 2013, chapter 116J, section 013, mandates that the commissioner of the Department of Employment and Economic Development shall conduct an annual cost-of-living study in Minnesota and report ther</w:t>
      </w:r>
      <w:r w:rsidR="00D661B6">
        <w:t>eon by February 1 of each year.</w:t>
      </w:r>
    </w:p>
    <w:p w14:paraId="56258159" w14:textId="77777777" w:rsidR="00153C8D" w:rsidRDefault="00153C8D" w:rsidP="00440CC9">
      <w:pPr>
        <w:pStyle w:val="BodyText"/>
      </w:pPr>
      <w:r>
        <w:t>The statut</w:t>
      </w:r>
      <w:r w:rsidR="00D661B6">
        <w:t>e reads:</w:t>
      </w:r>
    </w:p>
    <w:p w14:paraId="77E017E2" w14:textId="77777777" w:rsidR="00153C8D" w:rsidRDefault="00153C8D" w:rsidP="00440CC9">
      <w:pPr>
        <w:pStyle w:val="BodyText"/>
      </w:pPr>
      <w:r>
        <w:t>(a) The commissioner shall conduct an annual cost-of-living study in Minnesota. The study shall include:</w:t>
      </w:r>
    </w:p>
    <w:p w14:paraId="6B013029" w14:textId="77777777" w:rsidR="00D661B6" w:rsidRDefault="00153C8D" w:rsidP="00440CC9">
      <w:pPr>
        <w:pStyle w:val="BodyText"/>
      </w:pPr>
      <w:r>
        <w:t xml:space="preserve">(1) a calculation of the statewide basic needs cost of living, adjusted for family </w:t>
      </w:r>
      <w:proofErr w:type="gramStart"/>
      <w:r>
        <w:t>size;</w:t>
      </w:r>
      <w:proofErr w:type="gramEnd"/>
    </w:p>
    <w:p w14:paraId="27A186DD" w14:textId="77777777" w:rsidR="00153C8D" w:rsidRPr="00CD5215" w:rsidRDefault="00153C8D" w:rsidP="00440CC9">
      <w:pPr>
        <w:pStyle w:val="BodyText"/>
      </w:pPr>
      <w:r>
        <w:t xml:space="preserve">(2) a calculation of the basic needs cost </w:t>
      </w:r>
      <w:r w:rsidRPr="00CD5215">
        <w:t>of living, adjusted fo</w:t>
      </w:r>
      <w:r w:rsidR="00D661B6" w:rsidRPr="00CD5215">
        <w:t xml:space="preserve">r family size, for each </w:t>
      </w:r>
      <w:proofErr w:type="gramStart"/>
      <w:r w:rsidR="00D661B6" w:rsidRPr="00CD5215">
        <w:t>county;</w:t>
      </w:r>
      <w:proofErr w:type="gramEnd"/>
    </w:p>
    <w:p w14:paraId="7ABF8A66" w14:textId="77777777" w:rsidR="00153C8D" w:rsidRPr="00CD5215" w:rsidRDefault="00153C8D" w:rsidP="00440CC9">
      <w:pPr>
        <w:pStyle w:val="BodyText"/>
      </w:pPr>
      <w:r w:rsidRPr="00CD5215">
        <w:t xml:space="preserve">(3) an analysis of statewide and county cost-of-living data, employment </w:t>
      </w:r>
      <w:r w:rsidR="00D661B6" w:rsidRPr="00CD5215">
        <w:t>data, and job vacancy data; and</w:t>
      </w:r>
    </w:p>
    <w:p w14:paraId="212D5B26" w14:textId="77777777" w:rsidR="00153C8D" w:rsidRPr="00CD5215" w:rsidRDefault="00153C8D" w:rsidP="00440CC9">
      <w:pPr>
        <w:pStyle w:val="BodyText"/>
      </w:pPr>
      <w:r w:rsidRPr="00CD5215">
        <w:lastRenderedPageBreak/>
        <w:t>(4) recommendations to aid in the assessment of employment and economic development planning needs throu</w:t>
      </w:r>
      <w:r w:rsidR="00D661B6" w:rsidRPr="00CD5215">
        <w:t>ghout the state.</w:t>
      </w:r>
    </w:p>
    <w:p w14:paraId="640E9074" w14:textId="77777777" w:rsidR="00153C8D" w:rsidRDefault="00153C8D" w:rsidP="00440CC9">
      <w:pPr>
        <w:pStyle w:val="BodyText"/>
      </w:pPr>
      <w:r w:rsidRPr="00CD5215">
        <w:t>(b) The commissioner shall report on the cost-of-living study and recommendations by February 1 of each year to the governor and to the chairs of the standing committees of the house of representatives and the senate having jurisdiction over employment a</w:t>
      </w:r>
      <w:r w:rsidR="00D661B6" w:rsidRPr="00CD5215">
        <w:t xml:space="preserve">nd </w:t>
      </w:r>
      <w:r w:rsidR="00D661B6">
        <w:t>economic development issues.</w:t>
      </w:r>
    </w:p>
    <w:p w14:paraId="1DC88F34" w14:textId="77777777" w:rsidR="00153C8D" w:rsidRDefault="00153C8D" w:rsidP="00440CC9">
      <w:pPr>
        <w:pStyle w:val="BodyText"/>
      </w:pPr>
      <w:r>
        <w:t>In compliance with 2013 Minnesota Statutes Chapter 3, Section 195, two copies of this report also will be filed with the</w:t>
      </w:r>
      <w:r w:rsidR="00D661B6">
        <w:t xml:space="preserve"> Legislative Reference Library.</w:t>
      </w:r>
    </w:p>
    <w:p w14:paraId="322A884C" w14:textId="77777777" w:rsidR="00153C8D" w:rsidRDefault="00153C8D" w:rsidP="00000992">
      <w:pPr>
        <w:pStyle w:val="Heading1"/>
      </w:pPr>
      <w:bookmarkStart w:id="20" w:name="_Toc31966914"/>
      <w:r>
        <w:t>Appendix B</w:t>
      </w:r>
      <w:bookmarkEnd w:id="20"/>
    </w:p>
    <w:p w14:paraId="24BB8D40" w14:textId="77777777" w:rsidR="00153C8D" w:rsidRDefault="00153C8D" w:rsidP="00000992">
      <w:pPr>
        <w:pStyle w:val="Heading2"/>
      </w:pPr>
      <w:bookmarkStart w:id="21" w:name="_Toc31966915"/>
      <w:r>
        <w:t>Cost of Living Study Data Sources</w:t>
      </w:r>
      <w:bookmarkEnd w:id="21"/>
    </w:p>
    <w:p w14:paraId="4A268839" w14:textId="77777777" w:rsidR="00F30EF0" w:rsidRDefault="00F30EF0" w:rsidP="00E13DCD">
      <w:pPr>
        <w:pStyle w:val="List"/>
      </w:pPr>
      <w:r>
        <w:t>Agency for Healthcare Research and Quality, U</w:t>
      </w:r>
      <w:r w:rsidR="00750416">
        <w:t>.</w:t>
      </w:r>
      <w:r>
        <w:t>S</w:t>
      </w:r>
      <w:r w:rsidR="00750416">
        <w:t>.</w:t>
      </w:r>
      <w:r>
        <w:t xml:space="preserve"> Department of </w:t>
      </w:r>
      <w:proofErr w:type="gramStart"/>
      <w:r>
        <w:t>Health</w:t>
      </w:r>
      <w:proofErr w:type="gramEnd"/>
      <w:r>
        <w:t xml:space="preserve"> and Human Services</w:t>
      </w:r>
    </w:p>
    <w:p w14:paraId="4344C07C" w14:textId="77777777" w:rsidR="00F30EF0" w:rsidRDefault="00F30EF0" w:rsidP="00E13DCD">
      <w:pPr>
        <w:pStyle w:val="List"/>
      </w:pPr>
      <w:r w:rsidRPr="00F30EF0">
        <w:t>American Automobile Association</w:t>
      </w:r>
    </w:p>
    <w:p w14:paraId="3F991D5A" w14:textId="77777777" w:rsidR="00F30EF0" w:rsidRDefault="00F30EF0" w:rsidP="00E13DCD">
      <w:pPr>
        <w:pStyle w:val="List"/>
      </w:pPr>
      <w:r>
        <w:t>Bureau of Labor Statistics, U</w:t>
      </w:r>
      <w:r w:rsidR="00750416">
        <w:t>.</w:t>
      </w:r>
      <w:r>
        <w:t>S</w:t>
      </w:r>
      <w:r w:rsidR="00750416">
        <w:t>.</w:t>
      </w:r>
      <w:r>
        <w:t xml:space="preserve"> Department of Labor</w:t>
      </w:r>
    </w:p>
    <w:p w14:paraId="7007EA65" w14:textId="77777777" w:rsidR="00153C8D" w:rsidRDefault="00153C8D" w:rsidP="00E13DCD">
      <w:pPr>
        <w:pStyle w:val="List"/>
      </w:pPr>
      <w:r>
        <w:t>Census Bureau, U</w:t>
      </w:r>
      <w:r w:rsidR="00750416">
        <w:t>.</w:t>
      </w:r>
      <w:r>
        <w:t>S</w:t>
      </w:r>
      <w:r w:rsidR="00750416">
        <w:t>.</w:t>
      </w:r>
      <w:r>
        <w:t xml:space="preserve"> Department of Commerce</w:t>
      </w:r>
    </w:p>
    <w:p w14:paraId="7AB829B0" w14:textId="77777777" w:rsidR="00153C8D" w:rsidRDefault="00153C8D" w:rsidP="00E13DCD">
      <w:pPr>
        <w:pStyle w:val="List"/>
      </w:pPr>
      <w:r>
        <w:t>Center for Nutrition Policy and Promotion, U</w:t>
      </w:r>
      <w:r w:rsidR="00750416">
        <w:t>.</w:t>
      </w:r>
      <w:r>
        <w:t>S</w:t>
      </w:r>
      <w:r w:rsidR="00750416">
        <w:t>.</w:t>
      </w:r>
      <w:r>
        <w:t xml:space="preserve"> Department of Agriculture</w:t>
      </w:r>
    </w:p>
    <w:p w14:paraId="06242EAA" w14:textId="77777777" w:rsidR="00153C8D" w:rsidRDefault="00153C8D" w:rsidP="00E13DCD">
      <w:pPr>
        <w:pStyle w:val="List"/>
      </w:pPr>
      <w:r>
        <w:t>Federal Highway Administration, U</w:t>
      </w:r>
      <w:r w:rsidR="00750416">
        <w:t>.</w:t>
      </w:r>
      <w:r>
        <w:t>S</w:t>
      </w:r>
      <w:r w:rsidR="00750416">
        <w:t>.</w:t>
      </w:r>
      <w:r>
        <w:t xml:space="preserve"> Department of Transportation</w:t>
      </w:r>
    </w:p>
    <w:p w14:paraId="351EEEA0" w14:textId="77777777" w:rsidR="00F30EF0" w:rsidRDefault="005661C2" w:rsidP="00E13DCD">
      <w:pPr>
        <w:pStyle w:val="List"/>
      </w:pPr>
      <w:r>
        <w:t xml:space="preserve">Labor Market Information, </w:t>
      </w:r>
      <w:r w:rsidR="00F30EF0">
        <w:t>Minnesota De</w:t>
      </w:r>
      <w:r>
        <w:t>partment of Employment and Economic Development</w:t>
      </w:r>
    </w:p>
    <w:p w14:paraId="7EB532CF" w14:textId="77777777" w:rsidR="00153C8D" w:rsidRDefault="00153C8D" w:rsidP="00E13DCD">
      <w:pPr>
        <w:pStyle w:val="List"/>
      </w:pPr>
      <w:r>
        <w:t>Minnesota Office of the Revisor of Statutes</w:t>
      </w:r>
    </w:p>
    <w:p w14:paraId="086B225E" w14:textId="77777777" w:rsidR="00153C8D" w:rsidRDefault="00153C8D" w:rsidP="00E13DCD">
      <w:pPr>
        <w:pStyle w:val="List"/>
      </w:pPr>
      <w:r>
        <w:t>Child Care Aware of Minnesota, Saint Paul, Minnesota</w:t>
      </w:r>
    </w:p>
    <w:p w14:paraId="11122AAC" w14:textId="77777777" w:rsidR="00153C8D" w:rsidRDefault="00153C8D" w:rsidP="00E13DCD">
      <w:pPr>
        <w:pStyle w:val="List"/>
      </w:pPr>
      <w:r>
        <w:t>Council for Community and Economic Research, Arlington, Virginia</w:t>
      </w:r>
    </w:p>
    <w:p w14:paraId="00FBB6A5" w14:textId="77777777" w:rsidR="00153C8D" w:rsidRDefault="00153C8D" w:rsidP="00E13DCD">
      <w:pPr>
        <w:pStyle w:val="List"/>
      </w:pPr>
      <w:r>
        <w:t>National Bureau of Economic Res</w:t>
      </w:r>
      <w:r w:rsidR="00000992">
        <w:t>earch, Cambridge, Massachusetts</w:t>
      </w:r>
    </w:p>
    <w:p w14:paraId="539A8738" w14:textId="77777777" w:rsidR="00F30EF0" w:rsidRDefault="00F30EF0" w:rsidP="00E13DCD">
      <w:pPr>
        <w:pStyle w:val="List"/>
      </w:pPr>
      <w:r>
        <w:t>U</w:t>
      </w:r>
      <w:r w:rsidR="00750416">
        <w:t>.</w:t>
      </w:r>
      <w:r>
        <w:t>S</w:t>
      </w:r>
      <w:r w:rsidR="00750416">
        <w:t>.</w:t>
      </w:r>
      <w:r>
        <w:t xml:space="preserve"> Department of Housing and Urban Development</w:t>
      </w:r>
    </w:p>
    <w:p w14:paraId="6A4260C9" w14:textId="77777777" w:rsidR="00153C8D" w:rsidRDefault="00000992" w:rsidP="00000992">
      <w:pPr>
        <w:pStyle w:val="Heading1"/>
      </w:pPr>
      <w:bookmarkStart w:id="22" w:name="_Toc31966916"/>
      <w:r>
        <w:t>Appendix C</w:t>
      </w:r>
      <w:bookmarkEnd w:id="22"/>
    </w:p>
    <w:p w14:paraId="0F87E47A" w14:textId="77777777" w:rsidR="00153C8D" w:rsidRDefault="00153C8D" w:rsidP="00000992">
      <w:pPr>
        <w:pStyle w:val="Heading2"/>
      </w:pPr>
      <w:bookmarkStart w:id="23" w:name="_Toc31966917"/>
      <w:r>
        <w:t>Minneso</w:t>
      </w:r>
      <w:r w:rsidR="00000992">
        <w:t>ta Economic Development Regions</w:t>
      </w:r>
      <w:bookmarkEnd w:id="23"/>
    </w:p>
    <w:p w14:paraId="6B54CD8C" w14:textId="77777777" w:rsidR="00153C8D" w:rsidRDefault="00153C8D" w:rsidP="00153C8D">
      <w:pPr>
        <w:pStyle w:val="BodyText"/>
      </w:pPr>
      <w:r>
        <w:t>Region 1—Northwest, includes Kittson, Marshall, Norman, Pennington, Polk,</w:t>
      </w:r>
      <w:r w:rsidR="00000992">
        <w:t xml:space="preserve"> Red Lake, and Roseau Counties.</w:t>
      </w:r>
    </w:p>
    <w:p w14:paraId="2F5E5AAA" w14:textId="77777777" w:rsidR="00153C8D" w:rsidRDefault="00153C8D" w:rsidP="00153C8D">
      <w:pPr>
        <w:pStyle w:val="BodyText"/>
      </w:pPr>
      <w:r>
        <w:t>Region 2—Headwaters, includes Beltrami, Clearwater, Hubbard, Lake of the Woods, and Mahnomen Coun</w:t>
      </w:r>
      <w:r w:rsidR="00000992">
        <w:t>ties.</w:t>
      </w:r>
    </w:p>
    <w:p w14:paraId="51C8E753" w14:textId="77777777" w:rsidR="00153C8D" w:rsidRDefault="00153C8D" w:rsidP="00153C8D">
      <w:pPr>
        <w:pStyle w:val="BodyText"/>
      </w:pPr>
      <w:r>
        <w:t>Region 3—Northeast, includes Aitkin, Carlton, Cook, Itasca, Koochiching, Lake, and St. Louis Counties.</w:t>
      </w:r>
    </w:p>
    <w:p w14:paraId="235F4481" w14:textId="77777777" w:rsidR="00153C8D" w:rsidRDefault="00153C8D" w:rsidP="00153C8D">
      <w:pPr>
        <w:pStyle w:val="BodyText"/>
      </w:pPr>
      <w:r>
        <w:t>Region 4—West Central, includes Becker, Clay, Douglas, Grant, Otter Tail, Pope, Stevens, Traverse, and Wilkin Counties.</w:t>
      </w:r>
    </w:p>
    <w:p w14:paraId="18D3CB2D" w14:textId="77777777" w:rsidR="00153C8D" w:rsidRDefault="00153C8D" w:rsidP="00153C8D">
      <w:pPr>
        <w:pStyle w:val="BodyText"/>
      </w:pPr>
      <w:r>
        <w:t>Region 5—North Central, includes Cass, Crow Wing, Morrison, Todd, and Wadena Counties.</w:t>
      </w:r>
    </w:p>
    <w:p w14:paraId="10264DAD" w14:textId="77777777" w:rsidR="00153C8D" w:rsidRDefault="00153C8D" w:rsidP="00153C8D">
      <w:pPr>
        <w:pStyle w:val="BodyText"/>
      </w:pPr>
      <w:r>
        <w:t>Region 6W—Upper Minnesota Valley, includes Big Stone, Chippewa, Lac Qui Parle, Swift, and Yellow Medicine Counties.</w:t>
      </w:r>
    </w:p>
    <w:p w14:paraId="287E8E89" w14:textId="77777777" w:rsidR="00153C8D" w:rsidRDefault="00153C8D" w:rsidP="00153C8D">
      <w:pPr>
        <w:pStyle w:val="BodyText"/>
      </w:pPr>
      <w:r>
        <w:t>Region 6E—Southwest Central, includes Kandiyohi, McLeod, Meeker, and Renville Counties.</w:t>
      </w:r>
    </w:p>
    <w:p w14:paraId="1A2EE973" w14:textId="77777777" w:rsidR="00153C8D" w:rsidRDefault="00153C8D" w:rsidP="00153C8D">
      <w:pPr>
        <w:pStyle w:val="BodyText"/>
      </w:pPr>
      <w:r>
        <w:t>Region 7W—Central, includes Benton, Sherburne, Stearns, and Wright Counties.</w:t>
      </w:r>
    </w:p>
    <w:p w14:paraId="14BEA5CA" w14:textId="77777777" w:rsidR="00153C8D" w:rsidRDefault="00153C8D" w:rsidP="00153C8D">
      <w:pPr>
        <w:pStyle w:val="BodyText"/>
      </w:pPr>
      <w:r>
        <w:lastRenderedPageBreak/>
        <w:t>Region 7E—East Central, includes Chisago, Isanti, Kanabec, Mille Lacs, and Pine Counties.</w:t>
      </w:r>
    </w:p>
    <w:p w14:paraId="70EAF505" w14:textId="77777777" w:rsidR="00153C8D" w:rsidRDefault="00153C8D" w:rsidP="00153C8D">
      <w:pPr>
        <w:pStyle w:val="BodyText"/>
      </w:pPr>
      <w:r>
        <w:t>Region 8 —Southwest, includes Cottonwood, Jackson, Lincoln, Lyon, Murray, Nobles, Pipestone, Redwood, and Rock Counties.</w:t>
      </w:r>
    </w:p>
    <w:p w14:paraId="00C6BB54" w14:textId="77777777" w:rsidR="00153C8D" w:rsidRDefault="00153C8D" w:rsidP="00153C8D">
      <w:pPr>
        <w:pStyle w:val="BodyText"/>
      </w:pPr>
      <w:r>
        <w:t>Region 9—South Central, includes Blue Earth, Brown, Faribault, Le Sueur, Martin, Nicollet, Sibley, Waseca, and Watonwan Counties.</w:t>
      </w:r>
    </w:p>
    <w:p w14:paraId="630D3864" w14:textId="77777777" w:rsidR="00153C8D" w:rsidRDefault="00153C8D" w:rsidP="00153C8D">
      <w:pPr>
        <w:pStyle w:val="BodyText"/>
      </w:pPr>
      <w:r>
        <w:t>Region 10—Southeast, includes Dodge, Fillmore, Freeborn, Goodhue, Houston, Mower, Olmsted, Rice, Steele, Wabasha, and Winona Counties.</w:t>
      </w:r>
    </w:p>
    <w:p w14:paraId="0D393AFC" w14:textId="2EF07EE0" w:rsidR="00062321" w:rsidRDefault="00153C8D" w:rsidP="006C7B32">
      <w:pPr>
        <w:pStyle w:val="BodyText"/>
      </w:pPr>
      <w:r>
        <w:t>Region 11—Twin Cities Metro, includes Anoka, Carver, Dakota, Hennepin, Ramsey, Scott, and Washington Counties.</w:t>
      </w:r>
    </w:p>
    <w:p w14:paraId="07DAE7D1" w14:textId="01BBAA29" w:rsidR="00062321" w:rsidRDefault="00062321" w:rsidP="00062321">
      <w:pPr>
        <w:pStyle w:val="Heading1"/>
      </w:pPr>
      <w:r>
        <w:t>Appendix D</w:t>
      </w:r>
    </w:p>
    <w:p w14:paraId="49819315" w14:textId="64CCD2E5" w:rsidR="00062321" w:rsidRDefault="00062321" w:rsidP="00062321">
      <w:pPr>
        <w:pStyle w:val="Heading2"/>
      </w:pPr>
      <w:r>
        <w:t>Release Notes for 2023</w:t>
      </w:r>
    </w:p>
    <w:p w14:paraId="0AF467F8" w14:textId="77777777" w:rsidR="00062321" w:rsidRDefault="00062321" w:rsidP="00062321">
      <w:r>
        <w:t xml:space="preserve">The </w:t>
      </w:r>
      <w:proofErr w:type="gramStart"/>
      <w:r>
        <w:t>Cost of Living</w:t>
      </w:r>
      <w:proofErr w:type="gramEnd"/>
      <w:r>
        <w:t xml:space="preserve"> estimates are designed to be a metric of basic needs – what it takes to make ends meet for an individual or family - in Minnesota. Each year the estimates are released for various family compositions and regions, using a variety of inputs from other agencies. The pandemic and current inflationary pressures have had impacts on the </w:t>
      </w:r>
      <w:proofErr w:type="gramStart"/>
      <w:r>
        <w:t>cost of living</w:t>
      </w:r>
      <w:proofErr w:type="gramEnd"/>
      <w:r>
        <w:t xml:space="preserve"> inputs and outputs and have required some adjustments to the methodology.</w:t>
      </w:r>
    </w:p>
    <w:p w14:paraId="5D4558AD" w14:textId="77777777" w:rsidR="00062321" w:rsidRDefault="00062321" w:rsidP="00062321">
      <w:pPr>
        <w:pStyle w:val="Heading2"/>
      </w:pPr>
      <w:r>
        <w:t>Childcare</w:t>
      </w:r>
    </w:p>
    <w:p w14:paraId="4867DEE8" w14:textId="77777777" w:rsidR="00062321" w:rsidRDefault="00062321" w:rsidP="00062321">
      <w:r>
        <w:t xml:space="preserve">Families face many different circumstances that impact their childcare decisions.  Many of these are beyond the scope of this tool. For example, some families make childcare decisions based on location, some are faced with long waitlists or limited availability and take what’s available, while others </w:t>
      </w:r>
      <w:proofErr w:type="gramStart"/>
      <w:r>
        <w:t>are able to</w:t>
      </w:r>
      <w:proofErr w:type="gramEnd"/>
      <w:r>
        <w:t xml:space="preserve"> balance work schedules or family supports to avoid or reduce their need for paid childcare. Even those who use childcare services in the way the measure assumes have a choice of in-home and center-based care, which, on average, have significantly different price points. The result is that the price presented in the </w:t>
      </w:r>
      <w:proofErr w:type="gramStart"/>
      <w:r>
        <w:t>Cost of Living</w:t>
      </w:r>
      <w:proofErr w:type="gramEnd"/>
      <w:r>
        <w:t xml:space="preserve"> estimates does not reflect the experiences of all families.  However, it is essential to include a childcare cost category for families with children and these estimates are useful for comparing childcare costs between regions.  </w:t>
      </w:r>
    </w:p>
    <w:p w14:paraId="53DF4000" w14:textId="77777777" w:rsidR="00062321" w:rsidRDefault="00062321" w:rsidP="00062321">
      <w:r>
        <w:t xml:space="preserve">The </w:t>
      </w:r>
      <w:proofErr w:type="gramStart"/>
      <w:r>
        <w:t>Cost of Living</w:t>
      </w:r>
      <w:proofErr w:type="gramEnd"/>
      <w:r>
        <w:t xml:space="preserve"> methodology assumes that children are in childcare for the number of hours all adults in the household are working, plus daily commute time. In the case of a two-worker household or a single-adult household, full-time childcare is used.  In the case of a 1.5 worker household, half-time childcare is used. In previous years the </w:t>
      </w:r>
      <w:proofErr w:type="gramStart"/>
      <w:r>
        <w:t>Cost of Living</w:t>
      </w:r>
      <w:proofErr w:type="gramEnd"/>
      <w:r>
        <w:t xml:space="preserve"> methodology used the hourly rate reported by providers, both in-home and center-based, which was then aggregated to the county level. The problem with this methodology is that not all provides report and hourly rate and in less-populous counties, very few do. The result is volatility in the childcare numbers in some smaller counties. </w:t>
      </w:r>
    </w:p>
    <w:p w14:paraId="36A7120C" w14:textId="77777777" w:rsidR="00062321" w:rsidRDefault="00062321" w:rsidP="00062321">
      <w:r>
        <w:t xml:space="preserve">Having observed this variability for several years running, we have decided to aggregate childcare rates to the Economic Development Region (EDR) level instead of to the county level and make the commute time standard. EDRs are county-based regions that are intended to reflect commute sheds, which increases the sample for each average cost point while still approximately reflecting the area in which a </w:t>
      </w:r>
      <w:r>
        <w:lastRenderedPageBreak/>
        <w:t>family may search for childcare. This is a permanent method change that will be used in future calculations.</w:t>
      </w:r>
    </w:p>
    <w:p w14:paraId="426C2C3A" w14:textId="77777777" w:rsidR="00062321" w:rsidRDefault="00062321" w:rsidP="00062321">
      <w:pPr>
        <w:pStyle w:val="Heading2"/>
      </w:pPr>
      <w:r>
        <w:t>Taxes</w:t>
      </w:r>
    </w:p>
    <w:p w14:paraId="4AE98D0E" w14:textId="77777777" w:rsidR="00062321" w:rsidRDefault="00062321" w:rsidP="00062321">
      <w:r>
        <w:t xml:space="preserve">The </w:t>
      </w:r>
      <w:proofErr w:type="gramStart"/>
      <w:r>
        <w:t>Cost of Living</w:t>
      </w:r>
      <w:proofErr w:type="gramEnd"/>
      <w:r>
        <w:t xml:space="preserve"> methodology uses the TAXSIM tax simulator to approximate the tax burden based on the other costs estimated for each household type. Because taxes are filed after the year is complete, the reference year includes tax costs based on the prior year’s tax law but the current year’s income inputs. The 2022 cost of living estimates (released in February 2023), with a data reference point of July 1, 2022, use 2021 tax law.</w:t>
      </w:r>
    </w:p>
    <w:p w14:paraId="7CD51FB5" w14:textId="77777777" w:rsidR="00062321" w:rsidRDefault="00062321" w:rsidP="00062321">
      <w:r>
        <w:t>In the effort to address the challenges of the pandemic, Congress passed significant federal tax changes for 2020 and 2021. In tax year 2021, the child tax credit was increased from $2000 to $3600 for children under five and $3000 for older children. This was a temporary one-year change for 2021 only. The link below is provided for reference.</w:t>
      </w:r>
    </w:p>
    <w:p w14:paraId="172E69DA" w14:textId="77777777" w:rsidR="00062321" w:rsidRPr="00712357" w:rsidRDefault="00062321" w:rsidP="00062321">
      <w:pPr>
        <w:rPr>
          <w:i/>
          <w:iCs/>
        </w:rPr>
      </w:pPr>
      <w:r w:rsidRPr="00712357">
        <w:rPr>
          <w:i/>
          <w:iCs/>
        </w:rPr>
        <w:t xml:space="preserve">Child Tax Credit: </w:t>
      </w:r>
    </w:p>
    <w:p w14:paraId="6A9F96DA" w14:textId="77777777" w:rsidR="00062321" w:rsidRPr="003544C1" w:rsidRDefault="00000000" w:rsidP="00062321">
      <w:hyperlink r:id="rId19" w:anchor="collapseCollapsible1657829345514" w:history="1">
        <w:r w:rsidR="00062321" w:rsidRPr="00E1182C">
          <w:rPr>
            <w:rStyle w:val="Hyperlink"/>
          </w:rPr>
          <w:t>https://www.irs.gov/credits-deductions/2021-child-tax-credit-and-advance-child-tax-credit-payments-topic-c-calculation-of-the-2021-child-tax-credit#collapseCollapsible1657829345514</w:t>
        </w:r>
      </w:hyperlink>
      <w:r w:rsidR="00062321">
        <w:t xml:space="preserve"> </w:t>
      </w:r>
    </w:p>
    <w:p w14:paraId="2939F173" w14:textId="076B0E0D" w:rsidR="000473AE" w:rsidRDefault="00062321" w:rsidP="00062321">
      <w:pPr>
        <w:pStyle w:val="BodyText"/>
      </w:pPr>
      <w:proofErr w:type="gramStart"/>
      <w:r w:rsidRPr="00024432">
        <w:t>In order to</w:t>
      </w:r>
      <w:proofErr w:type="gramEnd"/>
      <w:r w:rsidRPr="00E87DAC">
        <w:t xml:space="preserve"> provide</w:t>
      </w:r>
      <w:r>
        <w:t xml:space="preserve"> cost of living estimates that organizations and individuals can use for longer-term planning purposes, the 2022 methodology removes the one-time increase in the 2021 child tax credit. In this release of the </w:t>
      </w:r>
      <w:proofErr w:type="gramStart"/>
      <w:r>
        <w:t>Cost of Living</w:t>
      </w:r>
      <w:proofErr w:type="gramEnd"/>
      <w:r>
        <w:t xml:space="preserve"> tool, the difference in the one-time child tax credit increase and the usual $2000 credit (either $1600 or $1000 depending on age of children) was removed from the calculation. Even with this adjustment, the </w:t>
      </w:r>
      <w:proofErr w:type="gramStart"/>
      <w:r>
        <w:t>Cost of Living</w:t>
      </w:r>
      <w:proofErr w:type="gramEnd"/>
      <w:r>
        <w:t xml:space="preserve"> estimates show an average (across all household and family types) reduction in tax burden from prior years as a result of other changes in the 2021 tax law including changes to the Earned Income Tax Credit.</w:t>
      </w:r>
    </w:p>
    <w:sectPr w:rsidR="000473A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99767C" w14:textId="77777777" w:rsidR="00140CC4" w:rsidRDefault="00140CC4" w:rsidP="000473AE">
      <w:pPr>
        <w:spacing w:after="0" w:line="240" w:lineRule="auto"/>
      </w:pPr>
      <w:r>
        <w:separator/>
      </w:r>
    </w:p>
  </w:endnote>
  <w:endnote w:type="continuationSeparator" w:id="0">
    <w:p w14:paraId="42E69E92" w14:textId="77777777" w:rsidR="00140CC4" w:rsidRDefault="00140CC4" w:rsidP="000473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36A427" w14:textId="77777777" w:rsidR="00140CC4" w:rsidRDefault="00140CC4" w:rsidP="000473AE">
      <w:pPr>
        <w:spacing w:after="0" w:line="240" w:lineRule="auto"/>
      </w:pPr>
      <w:r>
        <w:separator/>
      </w:r>
    </w:p>
  </w:footnote>
  <w:footnote w:type="continuationSeparator" w:id="0">
    <w:p w14:paraId="1DB94D5D" w14:textId="77777777" w:rsidR="00140CC4" w:rsidRDefault="00140CC4" w:rsidP="000473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B659B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4E178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6BD4070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39A1BD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B388CE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70E0B8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154BE3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6E6B4F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49829C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FDAFDFE"/>
    <w:lvl w:ilvl="0">
      <w:start w:val="1"/>
      <w:numFmt w:val="bullet"/>
      <w:pStyle w:val="ListBullet"/>
      <w:lvlText w:val=""/>
      <w:lvlJc w:val="left"/>
      <w:pPr>
        <w:tabs>
          <w:tab w:val="num" w:pos="360"/>
        </w:tabs>
        <w:ind w:left="360" w:hanging="360"/>
      </w:pPr>
      <w:rPr>
        <w:rFonts w:ascii="Symbol" w:hAnsi="Symbol" w:hint="default"/>
      </w:rPr>
    </w:lvl>
  </w:abstractNum>
  <w:num w:numId="1" w16cid:durableId="1040859204">
    <w:abstractNumId w:val="7"/>
  </w:num>
  <w:num w:numId="2" w16cid:durableId="644744243">
    <w:abstractNumId w:val="7"/>
  </w:num>
  <w:num w:numId="3" w16cid:durableId="1137257657">
    <w:abstractNumId w:val="9"/>
  </w:num>
  <w:num w:numId="4" w16cid:durableId="1664309022">
    <w:abstractNumId w:val="9"/>
  </w:num>
  <w:num w:numId="5" w16cid:durableId="567036583">
    <w:abstractNumId w:val="9"/>
  </w:num>
  <w:num w:numId="6" w16cid:durableId="1919098448">
    <w:abstractNumId w:val="9"/>
  </w:num>
  <w:num w:numId="7" w16cid:durableId="856626354">
    <w:abstractNumId w:val="6"/>
  </w:num>
  <w:num w:numId="8" w16cid:durableId="1836072028">
    <w:abstractNumId w:val="5"/>
  </w:num>
  <w:num w:numId="9" w16cid:durableId="1576934510">
    <w:abstractNumId w:val="4"/>
  </w:num>
  <w:num w:numId="10" w16cid:durableId="761414584">
    <w:abstractNumId w:val="8"/>
  </w:num>
  <w:num w:numId="11" w16cid:durableId="1066996686">
    <w:abstractNumId w:val="3"/>
  </w:num>
  <w:num w:numId="12" w16cid:durableId="700402203">
    <w:abstractNumId w:val="2"/>
  </w:num>
  <w:num w:numId="13" w16cid:durableId="467623736">
    <w:abstractNumId w:val="1"/>
  </w:num>
  <w:num w:numId="14" w16cid:durableId="11637361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536F"/>
    <w:rsid w:val="00000992"/>
    <w:rsid w:val="00010395"/>
    <w:rsid w:val="00013273"/>
    <w:rsid w:val="00014CA3"/>
    <w:rsid w:val="000244FF"/>
    <w:rsid w:val="00027317"/>
    <w:rsid w:val="0003382E"/>
    <w:rsid w:val="00036EEF"/>
    <w:rsid w:val="00041F6E"/>
    <w:rsid w:val="000473AE"/>
    <w:rsid w:val="00050576"/>
    <w:rsid w:val="00050A13"/>
    <w:rsid w:val="00050C0B"/>
    <w:rsid w:val="00053555"/>
    <w:rsid w:val="000562E1"/>
    <w:rsid w:val="000570BA"/>
    <w:rsid w:val="00062321"/>
    <w:rsid w:val="0007347C"/>
    <w:rsid w:val="00076139"/>
    <w:rsid w:val="00076978"/>
    <w:rsid w:val="00076B87"/>
    <w:rsid w:val="00081D18"/>
    <w:rsid w:val="000854EF"/>
    <w:rsid w:val="000907F5"/>
    <w:rsid w:val="00093192"/>
    <w:rsid w:val="00095466"/>
    <w:rsid w:val="00095572"/>
    <w:rsid w:val="00095F6A"/>
    <w:rsid w:val="000A540B"/>
    <w:rsid w:val="000C4E53"/>
    <w:rsid w:val="000C7D82"/>
    <w:rsid w:val="000D3A9E"/>
    <w:rsid w:val="000D751D"/>
    <w:rsid w:val="000E201C"/>
    <w:rsid w:val="000E2E74"/>
    <w:rsid w:val="000E4DEC"/>
    <w:rsid w:val="000E70B4"/>
    <w:rsid w:val="000F1270"/>
    <w:rsid w:val="000F4D13"/>
    <w:rsid w:val="000F4F1F"/>
    <w:rsid w:val="001077F8"/>
    <w:rsid w:val="0011505E"/>
    <w:rsid w:val="00120B6A"/>
    <w:rsid w:val="00122940"/>
    <w:rsid w:val="0013122A"/>
    <w:rsid w:val="00131D7F"/>
    <w:rsid w:val="001351B8"/>
    <w:rsid w:val="0013546D"/>
    <w:rsid w:val="00140CC4"/>
    <w:rsid w:val="00143491"/>
    <w:rsid w:val="00147084"/>
    <w:rsid w:val="00150C66"/>
    <w:rsid w:val="00151BC7"/>
    <w:rsid w:val="00153BF5"/>
    <w:rsid w:val="00153C8D"/>
    <w:rsid w:val="001543C2"/>
    <w:rsid w:val="001563BB"/>
    <w:rsid w:val="00156D59"/>
    <w:rsid w:val="001748A6"/>
    <w:rsid w:val="001749C8"/>
    <w:rsid w:val="001809A1"/>
    <w:rsid w:val="0018625A"/>
    <w:rsid w:val="00193DA3"/>
    <w:rsid w:val="001C67BE"/>
    <w:rsid w:val="001D4A5C"/>
    <w:rsid w:val="001D6914"/>
    <w:rsid w:val="001E111B"/>
    <w:rsid w:val="001E2647"/>
    <w:rsid w:val="001F7515"/>
    <w:rsid w:val="00205D63"/>
    <w:rsid w:val="00206BF6"/>
    <w:rsid w:val="00206E0F"/>
    <w:rsid w:val="0021109B"/>
    <w:rsid w:val="00211BD0"/>
    <w:rsid w:val="00213396"/>
    <w:rsid w:val="00214E6C"/>
    <w:rsid w:val="00220D72"/>
    <w:rsid w:val="00223ADB"/>
    <w:rsid w:val="00223E4F"/>
    <w:rsid w:val="00225703"/>
    <w:rsid w:val="002553E7"/>
    <w:rsid w:val="002554D5"/>
    <w:rsid w:val="00264B9A"/>
    <w:rsid w:val="00267AE1"/>
    <w:rsid w:val="002730D2"/>
    <w:rsid w:val="002736E0"/>
    <w:rsid w:val="00274236"/>
    <w:rsid w:val="002745FD"/>
    <w:rsid w:val="00284BFB"/>
    <w:rsid w:val="00285C3C"/>
    <w:rsid w:val="00286ADC"/>
    <w:rsid w:val="00287695"/>
    <w:rsid w:val="002909ED"/>
    <w:rsid w:val="002A25C8"/>
    <w:rsid w:val="002A4BD7"/>
    <w:rsid w:val="002A6B00"/>
    <w:rsid w:val="002B45BC"/>
    <w:rsid w:val="002B5A5F"/>
    <w:rsid w:val="002C2416"/>
    <w:rsid w:val="002C5AE6"/>
    <w:rsid w:val="002D3995"/>
    <w:rsid w:val="002D401F"/>
    <w:rsid w:val="002D4840"/>
    <w:rsid w:val="002D6DF8"/>
    <w:rsid w:val="002E2E85"/>
    <w:rsid w:val="002F1D8F"/>
    <w:rsid w:val="002F7163"/>
    <w:rsid w:val="0030063C"/>
    <w:rsid w:val="00305E74"/>
    <w:rsid w:val="00313BD9"/>
    <w:rsid w:val="003364C3"/>
    <w:rsid w:val="00336D8C"/>
    <w:rsid w:val="003429FA"/>
    <w:rsid w:val="0034557C"/>
    <w:rsid w:val="00346394"/>
    <w:rsid w:val="00350031"/>
    <w:rsid w:val="00351880"/>
    <w:rsid w:val="00364364"/>
    <w:rsid w:val="003655B6"/>
    <w:rsid w:val="003655FD"/>
    <w:rsid w:val="00372324"/>
    <w:rsid w:val="0037313B"/>
    <w:rsid w:val="00375B63"/>
    <w:rsid w:val="00382647"/>
    <w:rsid w:val="00384FEB"/>
    <w:rsid w:val="003A0A88"/>
    <w:rsid w:val="003A2A13"/>
    <w:rsid w:val="003B108E"/>
    <w:rsid w:val="003B4006"/>
    <w:rsid w:val="003B4867"/>
    <w:rsid w:val="003B518C"/>
    <w:rsid w:val="003B51F2"/>
    <w:rsid w:val="003C5141"/>
    <w:rsid w:val="003E31B8"/>
    <w:rsid w:val="003F186E"/>
    <w:rsid w:val="003F41C0"/>
    <w:rsid w:val="003F64A5"/>
    <w:rsid w:val="00402BE5"/>
    <w:rsid w:val="00403EA0"/>
    <w:rsid w:val="00414FDC"/>
    <w:rsid w:val="00415AD5"/>
    <w:rsid w:val="004250B4"/>
    <w:rsid w:val="004253E5"/>
    <w:rsid w:val="00425720"/>
    <w:rsid w:val="00431EBE"/>
    <w:rsid w:val="00440CC9"/>
    <w:rsid w:val="00450D2D"/>
    <w:rsid w:val="00454F6C"/>
    <w:rsid w:val="004644DF"/>
    <w:rsid w:val="004655D6"/>
    <w:rsid w:val="00467271"/>
    <w:rsid w:val="00467B52"/>
    <w:rsid w:val="00470FBD"/>
    <w:rsid w:val="004756F5"/>
    <w:rsid w:val="00480DF9"/>
    <w:rsid w:val="004811CF"/>
    <w:rsid w:val="00485605"/>
    <w:rsid w:val="00485A82"/>
    <w:rsid w:val="00487E0F"/>
    <w:rsid w:val="00492A87"/>
    <w:rsid w:val="004B43AE"/>
    <w:rsid w:val="004D407B"/>
    <w:rsid w:val="004E200B"/>
    <w:rsid w:val="004E3EED"/>
    <w:rsid w:val="004E5998"/>
    <w:rsid w:val="004E5E5E"/>
    <w:rsid w:val="004F5D57"/>
    <w:rsid w:val="00504E0F"/>
    <w:rsid w:val="00505A03"/>
    <w:rsid w:val="00510C19"/>
    <w:rsid w:val="00521AE3"/>
    <w:rsid w:val="00526DA9"/>
    <w:rsid w:val="0052760C"/>
    <w:rsid w:val="005417DD"/>
    <w:rsid w:val="005460A1"/>
    <w:rsid w:val="00546907"/>
    <w:rsid w:val="00546BCC"/>
    <w:rsid w:val="00547667"/>
    <w:rsid w:val="00550988"/>
    <w:rsid w:val="005562DF"/>
    <w:rsid w:val="00556579"/>
    <w:rsid w:val="00562FF9"/>
    <w:rsid w:val="005661C2"/>
    <w:rsid w:val="00584F59"/>
    <w:rsid w:val="0059037C"/>
    <w:rsid w:val="005A1D1C"/>
    <w:rsid w:val="005A7C12"/>
    <w:rsid w:val="005B3AA2"/>
    <w:rsid w:val="005B5F4D"/>
    <w:rsid w:val="005C41FD"/>
    <w:rsid w:val="005D1DA8"/>
    <w:rsid w:val="005E00E1"/>
    <w:rsid w:val="005E1D0E"/>
    <w:rsid w:val="005E39F5"/>
    <w:rsid w:val="005E5B61"/>
    <w:rsid w:val="005E68A5"/>
    <w:rsid w:val="005E7D13"/>
    <w:rsid w:val="005F1498"/>
    <w:rsid w:val="005F3771"/>
    <w:rsid w:val="005F4786"/>
    <w:rsid w:val="00603B4F"/>
    <w:rsid w:val="006176E7"/>
    <w:rsid w:val="0062325C"/>
    <w:rsid w:val="00625D84"/>
    <w:rsid w:val="006263C7"/>
    <w:rsid w:val="0063500D"/>
    <w:rsid w:val="006412D7"/>
    <w:rsid w:val="00647FC9"/>
    <w:rsid w:val="00677313"/>
    <w:rsid w:val="00683E4C"/>
    <w:rsid w:val="00685151"/>
    <w:rsid w:val="00693A28"/>
    <w:rsid w:val="006A2772"/>
    <w:rsid w:val="006A7A28"/>
    <w:rsid w:val="006B111C"/>
    <w:rsid w:val="006B196E"/>
    <w:rsid w:val="006B4AA1"/>
    <w:rsid w:val="006B55BC"/>
    <w:rsid w:val="006C6053"/>
    <w:rsid w:val="006C60BA"/>
    <w:rsid w:val="006C7B32"/>
    <w:rsid w:val="006D448D"/>
    <w:rsid w:val="006D5AF6"/>
    <w:rsid w:val="006E4840"/>
    <w:rsid w:val="006E4D40"/>
    <w:rsid w:val="006F560F"/>
    <w:rsid w:val="006F5A74"/>
    <w:rsid w:val="00701456"/>
    <w:rsid w:val="00701553"/>
    <w:rsid w:val="00702720"/>
    <w:rsid w:val="00704D29"/>
    <w:rsid w:val="007118D8"/>
    <w:rsid w:val="00715931"/>
    <w:rsid w:val="00716B50"/>
    <w:rsid w:val="00725D3E"/>
    <w:rsid w:val="00727B4F"/>
    <w:rsid w:val="00733BC2"/>
    <w:rsid w:val="00736E9A"/>
    <w:rsid w:val="00737C72"/>
    <w:rsid w:val="007427AD"/>
    <w:rsid w:val="00742BFE"/>
    <w:rsid w:val="007470AC"/>
    <w:rsid w:val="00747146"/>
    <w:rsid w:val="0075033F"/>
    <w:rsid w:val="00750416"/>
    <w:rsid w:val="007521F2"/>
    <w:rsid w:val="00752CC7"/>
    <w:rsid w:val="0076411A"/>
    <w:rsid w:val="00764188"/>
    <w:rsid w:val="00764354"/>
    <w:rsid w:val="00765B84"/>
    <w:rsid w:val="007669B9"/>
    <w:rsid w:val="00781E90"/>
    <w:rsid w:val="00792638"/>
    <w:rsid w:val="007A1C1E"/>
    <w:rsid w:val="007A4676"/>
    <w:rsid w:val="007B7A18"/>
    <w:rsid w:val="007C3C06"/>
    <w:rsid w:val="007C4ADC"/>
    <w:rsid w:val="007C6463"/>
    <w:rsid w:val="007C6C4B"/>
    <w:rsid w:val="007D170C"/>
    <w:rsid w:val="007D5610"/>
    <w:rsid w:val="007D5E02"/>
    <w:rsid w:val="007E3112"/>
    <w:rsid w:val="007E4753"/>
    <w:rsid w:val="007E5139"/>
    <w:rsid w:val="0080126D"/>
    <w:rsid w:val="008014D9"/>
    <w:rsid w:val="00802EDE"/>
    <w:rsid w:val="008030AE"/>
    <w:rsid w:val="008074FB"/>
    <w:rsid w:val="008154DF"/>
    <w:rsid w:val="008267EC"/>
    <w:rsid w:val="00841B25"/>
    <w:rsid w:val="0084517B"/>
    <w:rsid w:val="0084749D"/>
    <w:rsid w:val="00854964"/>
    <w:rsid w:val="00856186"/>
    <w:rsid w:val="0086194B"/>
    <w:rsid w:val="008669DF"/>
    <w:rsid w:val="0088716E"/>
    <w:rsid w:val="008905F5"/>
    <w:rsid w:val="00891F20"/>
    <w:rsid w:val="0089414A"/>
    <w:rsid w:val="00896E6F"/>
    <w:rsid w:val="008A0169"/>
    <w:rsid w:val="008A4964"/>
    <w:rsid w:val="008A5BB6"/>
    <w:rsid w:val="008B1B41"/>
    <w:rsid w:val="008B6421"/>
    <w:rsid w:val="008C6D9D"/>
    <w:rsid w:val="008D34F2"/>
    <w:rsid w:val="008D4D23"/>
    <w:rsid w:val="008D7E2D"/>
    <w:rsid w:val="008E536F"/>
    <w:rsid w:val="008F13C4"/>
    <w:rsid w:val="008F3A8E"/>
    <w:rsid w:val="009059A9"/>
    <w:rsid w:val="00906A70"/>
    <w:rsid w:val="00915565"/>
    <w:rsid w:val="00921930"/>
    <w:rsid w:val="009373F9"/>
    <w:rsid w:val="00957992"/>
    <w:rsid w:val="00961EE5"/>
    <w:rsid w:val="00963553"/>
    <w:rsid w:val="0096735D"/>
    <w:rsid w:val="00967BA2"/>
    <w:rsid w:val="00971AE5"/>
    <w:rsid w:val="00972D2B"/>
    <w:rsid w:val="00974EC5"/>
    <w:rsid w:val="00975A67"/>
    <w:rsid w:val="00977925"/>
    <w:rsid w:val="00984E25"/>
    <w:rsid w:val="00987C39"/>
    <w:rsid w:val="00992DB4"/>
    <w:rsid w:val="009A4A6B"/>
    <w:rsid w:val="009A5558"/>
    <w:rsid w:val="009A586B"/>
    <w:rsid w:val="009B1B63"/>
    <w:rsid w:val="009B704D"/>
    <w:rsid w:val="009C3168"/>
    <w:rsid w:val="009C5DFE"/>
    <w:rsid w:val="009C7A3C"/>
    <w:rsid w:val="009D1597"/>
    <w:rsid w:val="009D7E79"/>
    <w:rsid w:val="009E1C47"/>
    <w:rsid w:val="00A01DD6"/>
    <w:rsid w:val="00A0391F"/>
    <w:rsid w:val="00A04586"/>
    <w:rsid w:val="00A1755C"/>
    <w:rsid w:val="00A17D8B"/>
    <w:rsid w:val="00A2172B"/>
    <w:rsid w:val="00A35403"/>
    <w:rsid w:val="00A5285D"/>
    <w:rsid w:val="00A6124E"/>
    <w:rsid w:val="00A75266"/>
    <w:rsid w:val="00A77EE5"/>
    <w:rsid w:val="00A80DC3"/>
    <w:rsid w:val="00A954CC"/>
    <w:rsid w:val="00AA0F68"/>
    <w:rsid w:val="00AA0FD9"/>
    <w:rsid w:val="00AA1A2E"/>
    <w:rsid w:val="00AB0D3B"/>
    <w:rsid w:val="00AB7E72"/>
    <w:rsid w:val="00AC05FE"/>
    <w:rsid w:val="00AC6393"/>
    <w:rsid w:val="00AC6E24"/>
    <w:rsid w:val="00AC6EDF"/>
    <w:rsid w:val="00AD0048"/>
    <w:rsid w:val="00AD0A4E"/>
    <w:rsid w:val="00AD6D12"/>
    <w:rsid w:val="00AE0422"/>
    <w:rsid w:val="00AF4FA2"/>
    <w:rsid w:val="00B067B0"/>
    <w:rsid w:val="00B11A7E"/>
    <w:rsid w:val="00B26EB4"/>
    <w:rsid w:val="00B30410"/>
    <w:rsid w:val="00B329D2"/>
    <w:rsid w:val="00B33718"/>
    <w:rsid w:val="00B40F3A"/>
    <w:rsid w:val="00B51FC7"/>
    <w:rsid w:val="00B534AD"/>
    <w:rsid w:val="00B64A5A"/>
    <w:rsid w:val="00B64C27"/>
    <w:rsid w:val="00B7041A"/>
    <w:rsid w:val="00B8131A"/>
    <w:rsid w:val="00B831BA"/>
    <w:rsid w:val="00B933B0"/>
    <w:rsid w:val="00B93BE8"/>
    <w:rsid w:val="00BA0E17"/>
    <w:rsid w:val="00BB0B0B"/>
    <w:rsid w:val="00BB2FB8"/>
    <w:rsid w:val="00BB4646"/>
    <w:rsid w:val="00BB7503"/>
    <w:rsid w:val="00BB7627"/>
    <w:rsid w:val="00BC1E54"/>
    <w:rsid w:val="00BC30A8"/>
    <w:rsid w:val="00BD1BC5"/>
    <w:rsid w:val="00BD2C53"/>
    <w:rsid w:val="00BD3BD8"/>
    <w:rsid w:val="00BD44D1"/>
    <w:rsid w:val="00BD6630"/>
    <w:rsid w:val="00BE3C27"/>
    <w:rsid w:val="00BE6850"/>
    <w:rsid w:val="00BF50FE"/>
    <w:rsid w:val="00BF5E5B"/>
    <w:rsid w:val="00C10068"/>
    <w:rsid w:val="00C1277B"/>
    <w:rsid w:val="00C16A13"/>
    <w:rsid w:val="00C24C2B"/>
    <w:rsid w:val="00C275AD"/>
    <w:rsid w:val="00C27F08"/>
    <w:rsid w:val="00C3583A"/>
    <w:rsid w:val="00C3650B"/>
    <w:rsid w:val="00C36591"/>
    <w:rsid w:val="00C40F10"/>
    <w:rsid w:val="00C41EBE"/>
    <w:rsid w:val="00C45CBA"/>
    <w:rsid w:val="00C4604C"/>
    <w:rsid w:val="00C50445"/>
    <w:rsid w:val="00C5298D"/>
    <w:rsid w:val="00C52BC3"/>
    <w:rsid w:val="00C56129"/>
    <w:rsid w:val="00C651F5"/>
    <w:rsid w:val="00C65548"/>
    <w:rsid w:val="00C704A0"/>
    <w:rsid w:val="00C717CA"/>
    <w:rsid w:val="00C76EC8"/>
    <w:rsid w:val="00C80272"/>
    <w:rsid w:val="00C824A4"/>
    <w:rsid w:val="00C831AF"/>
    <w:rsid w:val="00C83F3D"/>
    <w:rsid w:val="00C83FD3"/>
    <w:rsid w:val="00C913E9"/>
    <w:rsid w:val="00C91B85"/>
    <w:rsid w:val="00C95D8D"/>
    <w:rsid w:val="00CA27F6"/>
    <w:rsid w:val="00CA4F88"/>
    <w:rsid w:val="00CB3E49"/>
    <w:rsid w:val="00CC2EAB"/>
    <w:rsid w:val="00CC2F2A"/>
    <w:rsid w:val="00CD5215"/>
    <w:rsid w:val="00CD6B45"/>
    <w:rsid w:val="00CD7911"/>
    <w:rsid w:val="00CE0C06"/>
    <w:rsid w:val="00CE1572"/>
    <w:rsid w:val="00CF1CF9"/>
    <w:rsid w:val="00CF543F"/>
    <w:rsid w:val="00D02C39"/>
    <w:rsid w:val="00D046DE"/>
    <w:rsid w:val="00D17AA6"/>
    <w:rsid w:val="00D2788F"/>
    <w:rsid w:val="00D300B6"/>
    <w:rsid w:val="00D36A87"/>
    <w:rsid w:val="00D3734C"/>
    <w:rsid w:val="00D416C5"/>
    <w:rsid w:val="00D654F6"/>
    <w:rsid w:val="00D661B6"/>
    <w:rsid w:val="00D706C3"/>
    <w:rsid w:val="00D72758"/>
    <w:rsid w:val="00D748D8"/>
    <w:rsid w:val="00D804DE"/>
    <w:rsid w:val="00D822DD"/>
    <w:rsid w:val="00D90DEA"/>
    <w:rsid w:val="00D90F4A"/>
    <w:rsid w:val="00D925E7"/>
    <w:rsid w:val="00D93169"/>
    <w:rsid w:val="00D95064"/>
    <w:rsid w:val="00D95EEF"/>
    <w:rsid w:val="00DA48CC"/>
    <w:rsid w:val="00DA5E35"/>
    <w:rsid w:val="00DA6FE3"/>
    <w:rsid w:val="00DB7097"/>
    <w:rsid w:val="00DC4301"/>
    <w:rsid w:val="00DD01DD"/>
    <w:rsid w:val="00DD54A0"/>
    <w:rsid w:val="00DE17ED"/>
    <w:rsid w:val="00DE1AEB"/>
    <w:rsid w:val="00DE28CC"/>
    <w:rsid w:val="00DE4AE5"/>
    <w:rsid w:val="00DE5B40"/>
    <w:rsid w:val="00DE7F97"/>
    <w:rsid w:val="00DF4941"/>
    <w:rsid w:val="00DF7410"/>
    <w:rsid w:val="00E10CC6"/>
    <w:rsid w:val="00E1112C"/>
    <w:rsid w:val="00E123BB"/>
    <w:rsid w:val="00E13DCD"/>
    <w:rsid w:val="00E1668B"/>
    <w:rsid w:val="00E17EE5"/>
    <w:rsid w:val="00E21E21"/>
    <w:rsid w:val="00E26D32"/>
    <w:rsid w:val="00E40849"/>
    <w:rsid w:val="00E41202"/>
    <w:rsid w:val="00E4584C"/>
    <w:rsid w:val="00E46753"/>
    <w:rsid w:val="00E50470"/>
    <w:rsid w:val="00E72877"/>
    <w:rsid w:val="00E82FAC"/>
    <w:rsid w:val="00E8645C"/>
    <w:rsid w:val="00E90BB0"/>
    <w:rsid w:val="00E9760A"/>
    <w:rsid w:val="00EA47D3"/>
    <w:rsid w:val="00EA5766"/>
    <w:rsid w:val="00EB3425"/>
    <w:rsid w:val="00ED0253"/>
    <w:rsid w:val="00ED0C11"/>
    <w:rsid w:val="00ED2AEC"/>
    <w:rsid w:val="00ED6646"/>
    <w:rsid w:val="00EE1794"/>
    <w:rsid w:val="00EE2FE2"/>
    <w:rsid w:val="00EE622D"/>
    <w:rsid w:val="00EF0506"/>
    <w:rsid w:val="00EF0569"/>
    <w:rsid w:val="00EF5D9D"/>
    <w:rsid w:val="00EF5DFC"/>
    <w:rsid w:val="00EF6656"/>
    <w:rsid w:val="00F01106"/>
    <w:rsid w:val="00F1006E"/>
    <w:rsid w:val="00F13BCF"/>
    <w:rsid w:val="00F14772"/>
    <w:rsid w:val="00F30CBD"/>
    <w:rsid w:val="00F30EF0"/>
    <w:rsid w:val="00F31CFA"/>
    <w:rsid w:val="00F32821"/>
    <w:rsid w:val="00F32AA7"/>
    <w:rsid w:val="00F35038"/>
    <w:rsid w:val="00F369E0"/>
    <w:rsid w:val="00F43555"/>
    <w:rsid w:val="00F4490A"/>
    <w:rsid w:val="00F46BF3"/>
    <w:rsid w:val="00F50E62"/>
    <w:rsid w:val="00F51161"/>
    <w:rsid w:val="00F569F4"/>
    <w:rsid w:val="00F6130D"/>
    <w:rsid w:val="00F61D09"/>
    <w:rsid w:val="00F61DF4"/>
    <w:rsid w:val="00F62FDD"/>
    <w:rsid w:val="00F721F3"/>
    <w:rsid w:val="00F73B48"/>
    <w:rsid w:val="00F83C09"/>
    <w:rsid w:val="00F9408C"/>
    <w:rsid w:val="00F956C8"/>
    <w:rsid w:val="00FA0F0A"/>
    <w:rsid w:val="00FC19F0"/>
    <w:rsid w:val="00FC398E"/>
    <w:rsid w:val="00FC48FE"/>
    <w:rsid w:val="00FC508A"/>
    <w:rsid w:val="00FD1818"/>
    <w:rsid w:val="00FD356F"/>
    <w:rsid w:val="00FD48A3"/>
    <w:rsid w:val="00FE0E73"/>
    <w:rsid w:val="00FE1E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E2AD3D"/>
  <w15:chartTrackingRefBased/>
  <w15:docId w15:val="{4AE8B8C0-2CF7-4E04-9B1E-1083B18AB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3BD9"/>
  </w:style>
  <w:style w:type="paragraph" w:styleId="Heading1">
    <w:name w:val="heading 1"/>
    <w:basedOn w:val="Normal"/>
    <w:next w:val="Normal"/>
    <w:link w:val="Heading1Char"/>
    <w:uiPriority w:val="9"/>
    <w:qFormat/>
    <w:rsid w:val="00BD1BC5"/>
    <w:pPr>
      <w:keepNext/>
      <w:keepLines/>
      <w:spacing w:before="360" w:after="120"/>
      <w:outlineLvl w:val="0"/>
    </w:pPr>
    <w:rPr>
      <w:rFonts w:asciiTheme="majorHAnsi" w:eastAsiaTheme="majorEastAsia" w:hAnsiTheme="majorHAnsi" w:cstheme="majorBidi"/>
      <w:b/>
      <w:color w:val="2E74B5" w:themeColor="accent1" w:themeShade="BF"/>
      <w:sz w:val="32"/>
      <w:szCs w:val="32"/>
    </w:rPr>
  </w:style>
  <w:style w:type="paragraph" w:styleId="Heading2">
    <w:name w:val="heading 2"/>
    <w:basedOn w:val="Normal"/>
    <w:next w:val="Normal"/>
    <w:link w:val="Heading2Char"/>
    <w:uiPriority w:val="9"/>
    <w:unhideWhenUsed/>
    <w:qFormat/>
    <w:rsid w:val="00BD1BC5"/>
    <w:pPr>
      <w:keepNext/>
      <w:keepLines/>
      <w:spacing w:before="160" w:after="120"/>
      <w:outlineLvl w:val="1"/>
    </w:pPr>
    <w:rPr>
      <w:rFonts w:asciiTheme="majorHAnsi" w:eastAsiaTheme="majorEastAsia" w:hAnsiTheme="majorHAnsi" w:cstheme="majorBidi"/>
      <w:b/>
      <w:color w:val="2E74B5" w:themeColor="accent1" w:themeShade="BF"/>
      <w:sz w:val="26"/>
      <w:szCs w:val="26"/>
    </w:rPr>
  </w:style>
  <w:style w:type="paragraph" w:styleId="Heading3">
    <w:name w:val="heading 3"/>
    <w:basedOn w:val="Normal"/>
    <w:next w:val="Normal"/>
    <w:link w:val="Heading3Char"/>
    <w:uiPriority w:val="9"/>
    <w:unhideWhenUsed/>
    <w:qFormat/>
    <w:rsid w:val="00076139"/>
    <w:pPr>
      <w:keepNext/>
      <w:keepLines/>
      <w:spacing w:before="160" w:after="120"/>
      <w:outlineLvl w:val="2"/>
    </w:pPr>
    <w:rPr>
      <w:rFonts w:asciiTheme="majorHAnsi" w:eastAsiaTheme="majorEastAsia" w:hAnsiTheme="majorHAnsi" w:cstheme="majorBidi"/>
      <w:b/>
      <w:color w:val="1F4D78" w:themeColor="accent1" w:themeShade="7F"/>
      <w:sz w:val="24"/>
      <w:szCs w:val="24"/>
    </w:rPr>
  </w:style>
  <w:style w:type="paragraph" w:styleId="Heading4">
    <w:name w:val="heading 4"/>
    <w:basedOn w:val="Normal"/>
    <w:next w:val="Normal"/>
    <w:link w:val="Heading4Char"/>
    <w:uiPriority w:val="9"/>
    <w:unhideWhenUsed/>
    <w:qFormat/>
    <w:rsid w:val="003A0A88"/>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3A0A88"/>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D1BC5"/>
    <w:rPr>
      <w:rFonts w:asciiTheme="majorHAnsi" w:eastAsiaTheme="majorEastAsia" w:hAnsiTheme="majorHAnsi" w:cstheme="majorBidi"/>
      <w:b/>
      <w:color w:val="2E74B5" w:themeColor="accent1" w:themeShade="BF"/>
      <w:sz w:val="32"/>
      <w:szCs w:val="32"/>
    </w:rPr>
  </w:style>
  <w:style w:type="paragraph" w:styleId="BodyText">
    <w:name w:val="Body Text"/>
    <w:basedOn w:val="Normal"/>
    <w:link w:val="BodyTextChar"/>
    <w:uiPriority w:val="99"/>
    <w:unhideWhenUsed/>
    <w:rsid w:val="00313BD9"/>
    <w:pPr>
      <w:spacing w:after="120"/>
    </w:pPr>
  </w:style>
  <w:style w:type="character" w:customStyle="1" w:styleId="BodyTextChar">
    <w:name w:val="Body Text Char"/>
    <w:basedOn w:val="DefaultParagraphFont"/>
    <w:link w:val="BodyText"/>
    <w:uiPriority w:val="99"/>
    <w:rsid w:val="00313BD9"/>
  </w:style>
  <w:style w:type="character" w:customStyle="1" w:styleId="Heading2Char">
    <w:name w:val="Heading 2 Char"/>
    <w:basedOn w:val="DefaultParagraphFont"/>
    <w:link w:val="Heading2"/>
    <w:uiPriority w:val="9"/>
    <w:rsid w:val="00BD1BC5"/>
    <w:rPr>
      <w:rFonts w:asciiTheme="majorHAnsi" w:eastAsiaTheme="majorEastAsia" w:hAnsiTheme="majorHAnsi" w:cstheme="majorBidi"/>
      <w:b/>
      <w:color w:val="2E74B5" w:themeColor="accent1" w:themeShade="BF"/>
      <w:sz w:val="26"/>
      <w:szCs w:val="26"/>
    </w:rPr>
  </w:style>
  <w:style w:type="character" w:customStyle="1" w:styleId="Heading3Char">
    <w:name w:val="Heading 3 Char"/>
    <w:basedOn w:val="DefaultParagraphFont"/>
    <w:link w:val="Heading3"/>
    <w:uiPriority w:val="9"/>
    <w:rsid w:val="00076139"/>
    <w:rPr>
      <w:rFonts w:asciiTheme="majorHAnsi" w:eastAsiaTheme="majorEastAsia" w:hAnsiTheme="majorHAnsi" w:cstheme="majorBidi"/>
      <w:b/>
      <w:color w:val="1F4D78" w:themeColor="accent1" w:themeShade="7F"/>
      <w:sz w:val="24"/>
      <w:szCs w:val="24"/>
    </w:rPr>
  </w:style>
  <w:style w:type="character" w:customStyle="1" w:styleId="Heading4Char">
    <w:name w:val="Heading 4 Char"/>
    <w:basedOn w:val="DefaultParagraphFont"/>
    <w:link w:val="Heading4"/>
    <w:uiPriority w:val="9"/>
    <w:rsid w:val="003A0A88"/>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3A0A88"/>
    <w:rPr>
      <w:rFonts w:asciiTheme="majorHAnsi" w:eastAsiaTheme="majorEastAsia" w:hAnsiTheme="majorHAnsi" w:cstheme="majorBidi"/>
      <w:color w:val="2E74B5" w:themeColor="accent1" w:themeShade="BF"/>
    </w:rPr>
  </w:style>
  <w:style w:type="paragraph" w:styleId="Subtitle">
    <w:name w:val="Subtitle"/>
    <w:basedOn w:val="Normal"/>
    <w:next w:val="Normal"/>
    <w:link w:val="SubtitleChar"/>
    <w:uiPriority w:val="11"/>
    <w:qFormat/>
    <w:rsid w:val="008B6421"/>
    <w:pPr>
      <w:numPr>
        <w:ilvl w:val="1"/>
      </w:numPr>
    </w:pPr>
    <w:rPr>
      <w:rFonts w:eastAsiaTheme="minorEastAsia"/>
      <w:color w:val="5A5A5A" w:themeColor="text1" w:themeTint="A5"/>
      <w:spacing w:val="15"/>
      <w:sz w:val="32"/>
    </w:rPr>
  </w:style>
  <w:style w:type="character" w:customStyle="1" w:styleId="SubtitleChar">
    <w:name w:val="Subtitle Char"/>
    <w:basedOn w:val="DefaultParagraphFont"/>
    <w:link w:val="Subtitle"/>
    <w:uiPriority w:val="11"/>
    <w:rsid w:val="008B6421"/>
    <w:rPr>
      <w:rFonts w:eastAsiaTheme="minorEastAsia"/>
      <w:color w:val="5A5A5A" w:themeColor="text1" w:themeTint="A5"/>
      <w:spacing w:val="15"/>
      <w:sz w:val="32"/>
    </w:rPr>
  </w:style>
  <w:style w:type="paragraph" w:styleId="ListBullet2">
    <w:name w:val="List Bullet 2"/>
    <w:basedOn w:val="Normal"/>
    <w:uiPriority w:val="99"/>
    <w:unhideWhenUsed/>
    <w:rsid w:val="00BB7503"/>
    <w:pPr>
      <w:numPr>
        <w:numId w:val="2"/>
      </w:numPr>
      <w:contextualSpacing/>
    </w:pPr>
    <w:rPr>
      <w:sz w:val="20"/>
    </w:rPr>
  </w:style>
  <w:style w:type="paragraph" w:styleId="ListBullet">
    <w:name w:val="List Bullet"/>
    <w:basedOn w:val="Normal"/>
    <w:autoRedefine/>
    <w:uiPriority w:val="99"/>
    <w:unhideWhenUsed/>
    <w:rsid w:val="00D95EEF"/>
    <w:pPr>
      <w:numPr>
        <w:numId w:val="6"/>
      </w:numPr>
      <w:spacing w:before="120" w:after="120" w:line="384" w:lineRule="auto"/>
      <w:contextualSpacing/>
    </w:pPr>
  </w:style>
  <w:style w:type="paragraph" w:styleId="Title">
    <w:name w:val="Title"/>
    <w:basedOn w:val="Normal"/>
    <w:next w:val="Normal"/>
    <w:link w:val="TitleChar"/>
    <w:autoRedefine/>
    <w:uiPriority w:val="10"/>
    <w:qFormat/>
    <w:rsid w:val="008C6D9D"/>
    <w:pPr>
      <w:spacing w:before="360" w:after="36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C6D9D"/>
    <w:rPr>
      <w:rFonts w:asciiTheme="majorHAnsi" w:eastAsiaTheme="majorEastAsia" w:hAnsiTheme="majorHAnsi" w:cstheme="majorBidi"/>
      <w:spacing w:val="-10"/>
      <w:kern w:val="28"/>
      <w:sz w:val="56"/>
      <w:szCs w:val="56"/>
    </w:rPr>
  </w:style>
  <w:style w:type="paragraph" w:styleId="List">
    <w:name w:val="List"/>
    <w:basedOn w:val="Normal"/>
    <w:uiPriority w:val="99"/>
    <w:unhideWhenUsed/>
    <w:rsid w:val="00153C8D"/>
    <w:pPr>
      <w:ind w:left="360" w:hanging="360"/>
      <w:contextualSpacing/>
    </w:pPr>
  </w:style>
  <w:style w:type="character" w:styleId="Strong">
    <w:name w:val="Strong"/>
    <w:basedOn w:val="DefaultParagraphFont"/>
    <w:uiPriority w:val="22"/>
    <w:qFormat/>
    <w:rsid w:val="007D5E02"/>
    <w:rPr>
      <w:b/>
      <w:bCs/>
    </w:rPr>
  </w:style>
  <w:style w:type="paragraph" w:styleId="BodyText2">
    <w:name w:val="Body Text 2"/>
    <w:basedOn w:val="Normal"/>
    <w:link w:val="BodyText2Char"/>
    <w:uiPriority w:val="99"/>
    <w:unhideWhenUsed/>
    <w:rsid w:val="00440CC9"/>
    <w:pPr>
      <w:spacing w:after="120" w:line="480" w:lineRule="auto"/>
    </w:pPr>
  </w:style>
  <w:style w:type="character" w:customStyle="1" w:styleId="BodyText2Char">
    <w:name w:val="Body Text 2 Char"/>
    <w:basedOn w:val="DefaultParagraphFont"/>
    <w:link w:val="BodyText2"/>
    <w:uiPriority w:val="99"/>
    <w:rsid w:val="00440CC9"/>
  </w:style>
  <w:style w:type="character" w:styleId="Hyperlink">
    <w:name w:val="Hyperlink"/>
    <w:basedOn w:val="DefaultParagraphFont"/>
    <w:uiPriority w:val="99"/>
    <w:unhideWhenUsed/>
    <w:rsid w:val="00742BFE"/>
    <w:rPr>
      <w:color w:val="0563C1" w:themeColor="hyperlink"/>
      <w:u w:val="single"/>
    </w:rPr>
  </w:style>
  <w:style w:type="character" w:styleId="FollowedHyperlink">
    <w:name w:val="FollowedHyperlink"/>
    <w:basedOn w:val="DefaultParagraphFont"/>
    <w:uiPriority w:val="99"/>
    <w:semiHidden/>
    <w:unhideWhenUsed/>
    <w:rsid w:val="008030AE"/>
    <w:rPr>
      <w:color w:val="954F72" w:themeColor="followedHyperlink"/>
      <w:u w:val="single"/>
    </w:rPr>
  </w:style>
  <w:style w:type="paragraph" w:styleId="TOC1">
    <w:name w:val="toc 1"/>
    <w:basedOn w:val="Normal"/>
    <w:next w:val="Normal"/>
    <w:autoRedefine/>
    <w:uiPriority w:val="39"/>
    <w:unhideWhenUsed/>
    <w:rsid w:val="00D046DE"/>
    <w:pPr>
      <w:tabs>
        <w:tab w:val="right" w:leader="dot" w:pos="9350"/>
      </w:tabs>
      <w:spacing w:after="100"/>
    </w:pPr>
  </w:style>
  <w:style w:type="paragraph" w:styleId="TOC2">
    <w:name w:val="toc 2"/>
    <w:basedOn w:val="Normal"/>
    <w:next w:val="Normal"/>
    <w:autoRedefine/>
    <w:uiPriority w:val="39"/>
    <w:unhideWhenUsed/>
    <w:rsid w:val="00D046DE"/>
    <w:pPr>
      <w:tabs>
        <w:tab w:val="right" w:leader="dot" w:pos="9350"/>
      </w:tabs>
      <w:spacing w:after="100"/>
      <w:ind w:left="220"/>
    </w:pPr>
  </w:style>
  <w:style w:type="paragraph" w:styleId="TOC3">
    <w:name w:val="toc 3"/>
    <w:basedOn w:val="Normal"/>
    <w:next w:val="Normal"/>
    <w:autoRedefine/>
    <w:uiPriority w:val="39"/>
    <w:unhideWhenUsed/>
    <w:rsid w:val="00DA6FE3"/>
    <w:pPr>
      <w:spacing w:after="100"/>
      <w:ind w:left="440"/>
    </w:pPr>
  </w:style>
  <w:style w:type="table" w:styleId="TableGrid">
    <w:name w:val="Table Grid"/>
    <w:basedOn w:val="TableNormal"/>
    <w:uiPriority w:val="39"/>
    <w:rsid w:val="001862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0473A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473AE"/>
    <w:rPr>
      <w:sz w:val="20"/>
      <w:szCs w:val="20"/>
    </w:rPr>
  </w:style>
  <w:style w:type="character" w:styleId="FootnoteReference">
    <w:name w:val="footnote reference"/>
    <w:basedOn w:val="DefaultParagraphFont"/>
    <w:uiPriority w:val="99"/>
    <w:semiHidden/>
    <w:unhideWhenUsed/>
    <w:rsid w:val="000473AE"/>
    <w:rPr>
      <w:vertAlign w:val="superscript"/>
    </w:rPr>
  </w:style>
  <w:style w:type="paragraph" w:styleId="BalloonText">
    <w:name w:val="Balloon Text"/>
    <w:basedOn w:val="Normal"/>
    <w:link w:val="BalloonTextChar"/>
    <w:uiPriority w:val="99"/>
    <w:semiHidden/>
    <w:unhideWhenUsed/>
    <w:rsid w:val="009C7A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7A3C"/>
    <w:rPr>
      <w:rFonts w:ascii="Segoe UI" w:hAnsi="Segoe UI" w:cs="Segoe UI"/>
      <w:sz w:val="18"/>
      <w:szCs w:val="18"/>
    </w:rPr>
  </w:style>
  <w:style w:type="paragraph" w:styleId="Revision">
    <w:name w:val="Revision"/>
    <w:hidden/>
    <w:uiPriority w:val="99"/>
    <w:semiHidden/>
    <w:rsid w:val="00D046DE"/>
    <w:pPr>
      <w:spacing w:after="0" w:line="240" w:lineRule="auto"/>
    </w:pPr>
  </w:style>
  <w:style w:type="character" w:styleId="CommentReference">
    <w:name w:val="annotation reference"/>
    <w:basedOn w:val="DefaultParagraphFont"/>
    <w:uiPriority w:val="99"/>
    <w:semiHidden/>
    <w:unhideWhenUsed/>
    <w:rsid w:val="00A04586"/>
    <w:rPr>
      <w:sz w:val="16"/>
      <w:szCs w:val="16"/>
    </w:rPr>
  </w:style>
  <w:style w:type="paragraph" w:styleId="CommentText">
    <w:name w:val="annotation text"/>
    <w:basedOn w:val="Normal"/>
    <w:link w:val="CommentTextChar"/>
    <w:uiPriority w:val="99"/>
    <w:semiHidden/>
    <w:unhideWhenUsed/>
    <w:rsid w:val="00A04586"/>
    <w:pPr>
      <w:spacing w:line="240" w:lineRule="auto"/>
    </w:pPr>
    <w:rPr>
      <w:sz w:val="20"/>
      <w:szCs w:val="20"/>
    </w:rPr>
  </w:style>
  <w:style w:type="character" w:customStyle="1" w:styleId="CommentTextChar">
    <w:name w:val="Comment Text Char"/>
    <w:basedOn w:val="DefaultParagraphFont"/>
    <w:link w:val="CommentText"/>
    <w:uiPriority w:val="99"/>
    <w:semiHidden/>
    <w:rsid w:val="00A04586"/>
    <w:rPr>
      <w:sz w:val="20"/>
      <w:szCs w:val="20"/>
    </w:rPr>
  </w:style>
  <w:style w:type="paragraph" w:styleId="CommentSubject">
    <w:name w:val="annotation subject"/>
    <w:basedOn w:val="CommentText"/>
    <w:next w:val="CommentText"/>
    <w:link w:val="CommentSubjectChar"/>
    <w:uiPriority w:val="99"/>
    <w:semiHidden/>
    <w:unhideWhenUsed/>
    <w:rsid w:val="00A04586"/>
    <w:rPr>
      <w:b/>
      <w:bCs/>
    </w:rPr>
  </w:style>
  <w:style w:type="character" w:customStyle="1" w:styleId="CommentSubjectChar">
    <w:name w:val="Comment Subject Char"/>
    <w:basedOn w:val="CommentTextChar"/>
    <w:link w:val="CommentSubject"/>
    <w:uiPriority w:val="99"/>
    <w:semiHidden/>
    <w:rsid w:val="00A04586"/>
    <w:rPr>
      <w:b/>
      <w:bCs/>
      <w:sz w:val="20"/>
      <w:szCs w:val="20"/>
    </w:rPr>
  </w:style>
  <w:style w:type="paragraph" w:styleId="EndnoteText">
    <w:name w:val="endnote text"/>
    <w:basedOn w:val="Normal"/>
    <w:link w:val="EndnoteTextChar"/>
    <w:uiPriority w:val="99"/>
    <w:semiHidden/>
    <w:unhideWhenUsed/>
    <w:rsid w:val="00131D7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31D7F"/>
    <w:rPr>
      <w:sz w:val="20"/>
      <w:szCs w:val="20"/>
    </w:rPr>
  </w:style>
  <w:style w:type="character" w:styleId="EndnoteReference">
    <w:name w:val="endnote reference"/>
    <w:basedOn w:val="DefaultParagraphFont"/>
    <w:uiPriority w:val="99"/>
    <w:semiHidden/>
    <w:unhideWhenUsed/>
    <w:rsid w:val="00131D7F"/>
    <w:rPr>
      <w:vertAlign w:val="superscript"/>
    </w:rPr>
  </w:style>
  <w:style w:type="character" w:styleId="UnresolvedMention">
    <w:name w:val="Unresolved Mention"/>
    <w:basedOn w:val="DefaultParagraphFont"/>
    <w:uiPriority w:val="99"/>
    <w:semiHidden/>
    <w:unhideWhenUsed/>
    <w:rsid w:val="006B11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50724">
      <w:bodyDiv w:val="1"/>
      <w:marLeft w:val="0"/>
      <w:marRight w:val="0"/>
      <w:marTop w:val="0"/>
      <w:marBottom w:val="0"/>
      <w:divBdr>
        <w:top w:val="none" w:sz="0" w:space="0" w:color="auto"/>
        <w:left w:val="none" w:sz="0" w:space="0" w:color="auto"/>
        <w:bottom w:val="none" w:sz="0" w:space="0" w:color="auto"/>
        <w:right w:val="none" w:sz="0" w:space="0" w:color="auto"/>
      </w:divBdr>
    </w:div>
    <w:div w:id="44526582">
      <w:bodyDiv w:val="1"/>
      <w:marLeft w:val="0"/>
      <w:marRight w:val="0"/>
      <w:marTop w:val="0"/>
      <w:marBottom w:val="0"/>
      <w:divBdr>
        <w:top w:val="none" w:sz="0" w:space="0" w:color="auto"/>
        <w:left w:val="none" w:sz="0" w:space="0" w:color="auto"/>
        <w:bottom w:val="none" w:sz="0" w:space="0" w:color="auto"/>
        <w:right w:val="none" w:sz="0" w:space="0" w:color="auto"/>
      </w:divBdr>
    </w:div>
    <w:div w:id="232589577">
      <w:bodyDiv w:val="1"/>
      <w:marLeft w:val="0"/>
      <w:marRight w:val="0"/>
      <w:marTop w:val="0"/>
      <w:marBottom w:val="0"/>
      <w:divBdr>
        <w:top w:val="none" w:sz="0" w:space="0" w:color="auto"/>
        <w:left w:val="none" w:sz="0" w:space="0" w:color="auto"/>
        <w:bottom w:val="none" w:sz="0" w:space="0" w:color="auto"/>
        <w:right w:val="none" w:sz="0" w:space="0" w:color="auto"/>
      </w:divBdr>
    </w:div>
    <w:div w:id="234360294">
      <w:bodyDiv w:val="1"/>
      <w:marLeft w:val="0"/>
      <w:marRight w:val="0"/>
      <w:marTop w:val="0"/>
      <w:marBottom w:val="0"/>
      <w:divBdr>
        <w:top w:val="none" w:sz="0" w:space="0" w:color="auto"/>
        <w:left w:val="none" w:sz="0" w:space="0" w:color="auto"/>
        <w:bottom w:val="none" w:sz="0" w:space="0" w:color="auto"/>
        <w:right w:val="none" w:sz="0" w:space="0" w:color="auto"/>
      </w:divBdr>
    </w:div>
    <w:div w:id="280696275">
      <w:bodyDiv w:val="1"/>
      <w:marLeft w:val="0"/>
      <w:marRight w:val="0"/>
      <w:marTop w:val="0"/>
      <w:marBottom w:val="0"/>
      <w:divBdr>
        <w:top w:val="none" w:sz="0" w:space="0" w:color="auto"/>
        <w:left w:val="none" w:sz="0" w:space="0" w:color="auto"/>
        <w:bottom w:val="none" w:sz="0" w:space="0" w:color="auto"/>
        <w:right w:val="none" w:sz="0" w:space="0" w:color="auto"/>
      </w:divBdr>
    </w:div>
    <w:div w:id="294720450">
      <w:bodyDiv w:val="1"/>
      <w:marLeft w:val="0"/>
      <w:marRight w:val="0"/>
      <w:marTop w:val="0"/>
      <w:marBottom w:val="0"/>
      <w:divBdr>
        <w:top w:val="none" w:sz="0" w:space="0" w:color="auto"/>
        <w:left w:val="none" w:sz="0" w:space="0" w:color="auto"/>
        <w:bottom w:val="none" w:sz="0" w:space="0" w:color="auto"/>
        <w:right w:val="none" w:sz="0" w:space="0" w:color="auto"/>
      </w:divBdr>
    </w:div>
    <w:div w:id="323780025">
      <w:bodyDiv w:val="1"/>
      <w:marLeft w:val="0"/>
      <w:marRight w:val="0"/>
      <w:marTop w:val="0"/>
      <w:marBottom w:val="0"/>
      <w:divBdr>
        <w:top w:val="none" w:sz="0" w:space="0" w:color="auto"/>
        <w:left w:val="none" w:sz="0" w:space="0" w:color="auto"/>
        <w:bottom w:val="none" w:sz="0" w:space="0" w:color="auto"/>
        <w:right w:val="none" w:sz="0" w:space="0" w:color="auto"/>
      </w:divBdr>
    </w:div>
    <w:div w:id="325059570">
      <w:bodyDiv w:val="1"/>
      <w:marLeft w:val="0"/>
      <w:marRight w:val="0"/>
      <w:marTop w:val="0"/>
      <w:marBottom w:val="0"/>
      <w:divBdr>
        <w:top w:val="none" w:sz="0" w:space="0" w:color="auto"/>
        <w:left w:val="none" w:sz="0" w:space="0" w:color="auto"/>
        <w:bottom w:val="none" w:sz="0" w:space="0" w:color="auto"/>
        <w:right w:val="none" w:sz="0" w:space="0" w:color="auto"/>
      </w:divBdr>
    </w:div>
    <w:div w:id="333841202">
      <w:bodyDiv w:val="1"/>
      <w:marLeft w:val="0"/>
      <w:marRight w:val="0"/>
      <w:marTop w:val="0"/>
      <w:marBottom w:val="0"/>
      <w:divBdr>
        <w:top w:val="none" w:sz="0" w:space="0" w:color="auto"/>
        <w:left w:val="none" w:sz="0" w:space="0" w:color="auto"/>
        <w:bottom w:val="none" w:sz="0" w:space="0" w:color="auto"/>
        <w:right w:val="none" w:sz="0" w:space="0" w:color="auto"/>
      </w:divBdr>
    </w:div>
    <w:div w:id="381830953">
      <w:bodyDiv w:val="1"/>
      <w:marLeft w:val="0"/>
      <w:marRight w:val="0"/>
      <w:marTop w:val="0"/>
      <w:marBottom w:val="0"/>
      <w:divBdr>
        <w:top w:val="none" w:sz="0" w:space="0" w:color="auto"/>
        <w:left w:val="none" w:sz="0" w:space="0" w:color="auto"/>
        <w:bottom w:val="none" w:sz="0" w:space="0" w:color="auto"/>
        <w:right w:val="none" w:sz="0" w:space="0" w:color="auto"/>
      </w:divBdr>
    </w:div>
    <w:div w:id="404306034">
      <w:bodyDiv w:val="1"/>
      <w:marLeft w:val="0"/>
      <w:marRight w:val="0"/>
      <w:marTop w:val="0"/>
      <w:marBottom w:val="0"/>
      <w:divBdr>
        <w:top w:val="none" w:sz="0" w:space="0" w:color="auto"/>
        <w:left w:val="none" w:sz="0" w:space="0" w:color="auto"/>
        <w:bottom w:val="none" w:sz="0" w:space="0" w:color="auto"/>
        <w:right w:val="none" w:sz="0" w:space="0" w:color="auto"/>
      </w:divBdr>
    </w:div>
    <w:div w:id="518397657">
      <w:bodyDiv w:val="1"/>
      <w:marLeft w:val="0"/>
      <w:marRight w:val="0"/>
      <w:marTop w:val="0"/>
      <w:marBottom w:val="0"/>
      <w:divBdr>
        <w:top w:val="none" w:sz="0" w:space="0" w:color="auto"/>
        <w:left w:val="none" w:sz="0" w:space="0" w:color="auto"/>
        <w:bottom w:val="none" w:sz="0" w:space="0" w:color="auto"/>
        <w:right w:val="none" w:sz="0" w:space="0" w:color="auto"/>
      </w:divBdr>
    </w:div>
    <w:div w:id="605432502">
      <w:bodyDiv w:val="1"/>
      <w:marLeft w:val="0"/>
      <w:marRight w:val="0"/>
      <w:marTop w:val="0"/>
      <w:marBottom w:val="0"/>
      <w:divBdr>
        <w:top w:val="none" w:sz="0" w:space="0" w:color="auto"/>
        <w:left w:val="none" w:sz="0" w:space="0" w:color="auto"/>
        <w:bottom w:val="none" w:sz="0" w:space="0" w:color="auto"/>
        <w:right w:val="none" w:sz="0" w:space="0" w:color="auto"/>
      </w:divBdr>
    </w:div>
    <w:div w:id="617835093">
      <w:bodyDiv w:val="1"/>
      <w:marLeft w:val="0"/>
      <w:marRight w:val="0"/>
      <w:marTop w:val="0"/>
      <w:marBottom w:val="0"/>
      <w:divBdr>
        <w:top w:val="none" w:sz="0" w:space="0" w:color="auto"/>
        <w:left w:val="none" w:sz="0" w:space="0" w:color="auto"/>
        <w:bottom w:val="none" w:sz="0" w:space="0" w:color="auto"/>
        <w:right w:val="none" w:sz="0" w:space="0" w:color="auto"/>
      </w:divBdr>
    </w:div>
    <w:div w:id="713308905">
      <w:bodyDiv w:val="1"/>
      <w:marLeft w:val="0"/>
      <w:marRight w:val="0"/>
      <w:marTop w:val="0"/>
      <w:marBottom w:val="0"/>
      <w:divBdr>
        <w:top w:val="none" w:sz="0" w:space="0" w:color="auto"/>
        <w:left w:val="none" w:sz="0" w:space="0" w:color="auto"/>
        <w:bottom w:val="none" w:sz="0" w:space="0" w:color="auto"/>
        <w:right w:val="none" w:sz="0" w:space="0" w:color="auto"/>
      </w:divBdr>
    </w:div>
    <w:div w:id="729689328">
      <w:bodyDiv w:val="1"/>
      <w:marLeft w:val="0"/>
      <w:marRight w:val="0"/>
      <w:marTop w:val="0"/>
      <w:marBottom w:val="0"/>
      <w:divBdr>
        <w:top w:val="none" w:sz="0" w:space="0" w:color="auto"/>
        <w:left w:val="none" w:sz="0" w:space="0" w:color="auto"/>
        <w:bottom w:val="none" w:sz="0" w:space="0" w:color="auto"/>
        <w:right w:val="none" w:sz="0" w:space="0" w:color="auto"/>
      </w:divBdr>
    </w:div>
    <w:div w:id="755786273">
      <w:bodyDiv w:val="1"/>
      <w:marLeft w:val="0"/>
      <w:marRight w:val="0"/>
      <w:marTop w:val="0"/>
      <w:marBottom w:val="0"/>
      <w:divBdr>
        <w:top w:val="none" w:sz="0" w:space="0" w:color="auto"/>
        <w:left w:val="none" w:sz="0" w:space="0" w:color="auto"/>
        <w:bottom w:val="none" w:sz="0" w:space="0" w:color="auto"/>
        <w:right w:val="none" w:sz="0" w:space="0" w:color="auto"/>
      </w:divBdr>
    </w:div>
    <w:div w:id="775635686">
      <w:bodyDiv w:val="1"/>
      <w:marLeft w:val="0"/>
      <w:marRight w:val="0"/>
      <w:marTop w:val="0"/>
      <w:marBottom w:val="0"/>
      <w:divBdr>
        <w:top w:val="none" w:sz="0" w:space="0" w:color="auto"/>
        <w:left w:val="none" w:sz="0" w:space="0" w:color="auto"/>
        <w:bottom w:val="none" w:sz="0" w:space="0" w:color="auto"/>
        <w:right w:val="none" w:sz="0" w:space="0" w:color="auto"/>
      </w:divBdr>
    </w:div>
    <w:div w:id="790898754">
      <w:bodyDiv w:val="1"/>
      <w:marLeft w:val="0"/>
      <w:marRight w:val="0"/>
      <w:marTop w:val="0"/>
      <w:marBottom w:val="0"/>
      <w:divBdr>
        <w:top w:val="none" w:sz="0" w:space="0" w:color="auto"/>
        <w:left w:val="none" w:sz="0" w:space="0" w:color="auto"/>
        <w:bottom w:val="none" w:sz="0" w:space="0" w:color="auto"/>
        <w:right w:val="none" w:sz="0" w:space="0" w:color="auto"/>
      </w:divBdr>
    </w:div>
    <w:div w:id="849755330">
      <w:bodyDiv w:val="1"/>
      <w:marLeft w:val="0"/>
      <w:marRight w:val="0"/>
      <w:marTop w:val="0"/>
      <w:marBottom w:val="0"/>
      <w:divBdr>
        <w:top w:val="none" w:sz="0" w:space="0" w:color="auto"/>
        <w:left w:val="none" w:sz="0" w:space="0" w:color="auto"/>
        <w:bottom w:val="none" w:sz="0" w:space="0" w:color="auto"/>
        <w:right w:val="none" w:sz="0" w:space="0" w:color="auto"/>
      </w:divBdr>
    </w:div>
    <w:div w:id="887499698">
      <w:bodyDiv w:val="1"/>
      <w:marLeft w:val="0"/>
      <w:marRight w:val="0"/>
      <w:marTop w:val="0"/>
      <w:marBottom w:val="0"/>
      <w:divBdr>
        <w:top w:val="none" w:sz="0" w:space="0" w:color="auto"/>
        <w:left w:val="none" w:sz="0" w:space="0" w:color="auto"/>
        <w:bottom w:val="none" w:sz="0" w:space="0" w:color="auto"/>
        <w:right w:val="none" w:sz="0" w:space="0" w:color="auto"/>
      </w:divBdr>
    </w:div>
    <w:div w:id="907425117">
      <w:bodyDiv w:val="1"/>
      <w:marLeft w:val="0"/>
      <w:marRight w:val="0"/>
      <w:marTop w:val="0"/>
      <w:marBottom w:val="0"/>
      <w:divBdr>
        <w:top w:val="none" w:sz="0" w:space="0" w:color="auto"/>
        <w:left w:val="none" w:sz="0" w:space="0" w:color="auto"/>
        <w:bottom w:val="none" w:sz="0" w:space="0" w:color="auto"/>
        <w:right w:val="none" w:sz="0" w:space="0" w:color="auto"/>
      </w:divBdr>
    </w:div>
    <w:div w:id="925722724">
      <w:bodyDiv w:val="1"/>
      <w:marLeft w:val="0"/>
      <w:marRight w:val="0"/>
      <w:marTop w:val="0"/>
      <w:marBottom w:val="0"/>
      <w:divBdr>
        <w:top w:val="none" w:sz="0" w:space="0" w:color="auto"/>
        <w:left w:val="none" w:sz="0" w:space="0" w:color="auto"/>
        <w:bottom w:val="none" w:sz="0" w:space="0" w:color="auto"/>
        <w:right w:val="none" w:sz="0" w:space="0" w:color="auto"/>
      </w:divBdr>
    </w:div>
    <w:div w:id="978265688">
      <w:bodyDiv w:val="1"/>
      <w:marLeft w:val="0"/>
      <w:marRight w:val="0"/>
      <w:marTop w:val="0"/>
      <w:marBottom w:val="0"/>
      <w:divBdr>
        <w:top w:val="none" w:sz="0" w:space="0" w:color="auto"/>
        <w:left w:val="none" w:sz="0" w:space="0" w:color="auto"/>
        <w:bottom w:val="none" w:sz="0" w:space="0" w:color="auto"/>
        <w:right w:val="none" w:sz="0" w:space="0" w:color="auto"/>
      </w:divBdr>
    </w:div>
    <w:div w:id="1001543595">
      <w:bodyDiv w:val="1"/>
      <w:marLeft w:val="0"/>
      <w:marRight w:val="0"/>
      <w:marTop w:val="0"/>
      <w:marBottom w:val="0"/>
      <w:divBdr>
        <w:top w:val="none" w:sz="0" w:space="0" w:color="auto"/>
        <w:left w:val="none" w:sz="0" w:space="0" w:color="auto"/>
        <w:bottom w:val="none" w:sz="0" w:space="0" w:color="auto"/>
        <w:right w:val="none" w:sz="0" w:space="0" w:color="auto"/>
      </w:divBdr>
    </w:div>
    <w:div w:id="1125545300">
      <w:bodyDiv w:val="1"/>
      <w:marLeft w:val="0"/>
      <w:marRight w:val="0"/>
      <w:marTop w:val="0"/>
      <w:marBottom w:val="0"/>
      <w:divBdr>
        <w:top w:val="none" w:sz="0" w:space="0" w:color="auto"/>
        <w:left w:val="none" w:sz="0" w:space="0" w:color="auto"/>
        <w:bottom w:val="none" w:sz="0" w:space="0" w:color="auto"/>
        <w:right w:val="none" w:sz="0" w:space="0" w:color="auto"/>
      </w:divBdr>
    </w:div>
    <w:div w:id="1206256977">
      <w:bodyDiv w:val="1"/>
      <w:marLeft w:val="0"/>
      <w:marRight w:val="0"/>
      <w:marTop w:val="0"/>
      <w:marBottom w:val="0"/>
      <w:divBdr>
        <w:top w:val="none" w:sz="0" w:space="0" w:color="auto"/>
        <w:left w:val="none" w:sz="0" w:space="0" w:color="auto"/>
        <w:bottom w:val="none" w:sz="0" w:space="0" w:color="auto"/>
        <w:right w:val="none" w:sz="0" w:space="0" w:color="auto"/>
      </w:divBdr>
    </w:div>
    <w:div w:id="1321079995">
      <w:bodyDiv w:val="1"/>
      <w:marLeft w:val="0"/>
      <w:marRight w:val="0"/>
      <w:marTop w:val="0"/>
      <w:marBottom w:val="0"/>
      <w:divBdr>
        <w:top w:val="none" w:sz="0" w:space="0" w:color="auto"/>
        <w:left w:val="none" w:sz="0" w:space="0" w:color="auto"/>
        <w:bottom w:val="none" w:sz="0" w:space="0" w:color="auto"/>
        <w:right w:val="none" w:sz="0" w:space="0" w:color="auto"/>
      </w:divBdr>
    </w:div>
    <w:div w:id="1340888260">
      <w:bodyDiv w:val="1"/>
      <w:marLeft w:val="0"/>
      <w:marRight w:val="0"/>
      <w:marTop w:val="0"/>
      <w:marBottom w:val="0"/>
      <w:divBdr>
        <w:top w:val="none" w:sz="0" w:space="0" w:color="auto"/>
        <w:left w:val="none" w:sz="0" w:space="0" w:color="auto"/>
        <w:bottom w:val="none" w:sz="0" w:space="0" w:color="auto"/>
        <w:right w:val="none" w:sz="0" w:space="0" w:color="auto"/>
      </w:divBdr>
    </w:div>
    <w:div w:id="1431121840">
      <w:bodyDiv w:val="1"/>
      <w:marLeft w:val="0"/>
      <w:marRight w:val="0"/>
      <w:marTop w:val="0"/>
      <w:marBottom w:val="0"/>
      <w:divBdr>
        <w:top w:val="none" w:sz="0" w:space="0" w:color="auto"/>
        <w:left w:val="none" w:sz="0" w:space="0" w:color="auto"/>
        <w:bottom w:val="none" w:sz="0" w:space="0" w:color="auto"/>
        <w:right w:val="none" w:sz="0" w:space="0" w:color="auto"/>
      </w:divBdr>
    </w:div>
    <w:div w:id="1435443041">
      <w:bodyDiv w:val="1"/>
      <w:marLeft w:val="0"/>
      <w:marRight w:val="0"/>
      <w:marTop w:val="0"/>
      <w:marBottom w:val="0"/>
      <w:divBdr>
        <w:top w:val="none" w:sz="0" w:space="0" w:color="auto"/>
        <w:left w:val="none" w:sz="0" w:space="0" w:color="auto"/>
        <w:bottom w:val="none" w:sz="0" w:space="0" w:color="auto"/>
        <w:right w:val="none" w:sz="0" w:space="0" w:color="auto"/>
      </w:divBdr>
    </w:div>
    <w:div w:id="1456633650">
      <w:bodyDiv w:val="1"/>
      <w:marLeft w:val="0"/>
      <w:marRight w:val="0"/>
      <w:marTop w:val="0"/>
      <w:marBottom w:val="0"/>
      <w:divBdr>
        <w:top w:val="none" w:sz="0" w:space="0" w:color="auto"/>
        <w:left w:val="none" w:sz="0" w:space="0" w:color="auto"/>
        <w:bottom w:val="none" w:sz="0" w:space="0" w:color="auto"/>
        <w:right w:val="none" w:sz="0" w:space="0" w:color="auto"/>
      </w:divBdr>
    </w:div>
    <w:div w:id="1520463379">
      <w:bodyDiv w:val="1"/>
      <w:marLeft w:val="0"/>
      <w:marRight w:val="0"/>
      <w:marTop w:val="0"/>
      <w:marBottom w:val="0"/>
      <w:divBdr>
        <w:top w:val="none" w:sz="0" w:space="0" w:color="auto"/>
        <w:left w:val="none" w:sz="0" w:space="0" w:color="auto"/>
        <w:bottom w:val="none" w:sz="0" w:space="0" w:color="auto"/>
        <w:right w:val="none" w:sz="0" w:space="0" w:color="auto"/>
      </w:divBdr>
    </w:div>
    <w:div w:id="1542017850">
      <w:bodyDiv w:val="1"/>
      <w:marLeft w:val="0"/>
      <w:marRight w:val="0"/>
      <w:marTop w:val="0"/>
      <w:marBottom w:val="0"/>
      <w:divBdr>
        <w:top w:val="none" w:sz="0" w:space="0" w:color="auto"/>
        <w:left w:val="none" w:sz="0" w:space="0" w:color="auto"/>
        <w:bottom w:val="none" w:sz="0" w:space="0" w:color="auto"/>
        <w:right w:val="none" w:sz="0" w:space="0" w:color="auto"/>
      </w:divBdr>
    </w:div>
    <w:div w:id="1597010203">
      <w:bodyDiv w:val="1"/>
      <w:marLeft w:val="0"/>
      <w:marRight w:val="0"/>
      <w:marTop w:val="0"/>
      <w:marBottom w:val="0"/>
      <w:divBdr>
        <w:top w:val="none" w:sz="0" w:space="0" w:color="auto"/>
        <w:left w:val="none" w:sz="0" w:space="0" w:color="auto"/>
        <w:bottom w:val="none" w:sz="0" w:space="0" w:color="auto"/>
        <w:right w:val="none" w:sz="0" w:space="0" w:color="auto"/>
      </w:divBdr>
    </w:div>
    <w:div w:id="1666280229">
      <w:bodyDiv w:val="1"/>
      <w:marLeft w:val="0"/>
      <w:marRight w:val="0"/>
      <w:marTop w:val="0"/>
      <w:marBottom w:val="0"/>
      <w:divBdr>
        <w:top w:val="none" w:sz="0" w:space="0" w:color="auto"/>
        <w:left w:val="none" w:sz="0" w:space="0" w:color="auto"/>
        <w:bottom w:val="none" w:sz="0" w:space="0" w:color="auto"/>
        <w:right w:val="none" w:sz="0" w:space="0" w:color="auto"/>
      </w:divBdr>
    </w:div>
    <w:div w:id="1741247400">
      <w:bodyDiv w:val="1"/>
      <w:marLeft w:val="0"/>
      <w:marRight w:val="0"/>
      <w:marTop w:val="0"/>
      <w:marBottom w:val="0"/>
      <w:divBdr>
        <w:top w:val="none" w:sz="0" w:space="0" w:color="auto"/>
        <w:left w:val="none" w:sz="0" w:space="0" w:color="auto"/>
        <w:bottom w:val="none" w:sz="0" w:space="0" w:color="auto"/>
        <w:right w:val="none" w:sz="0" w:space="0" w:color="auto"/>
      </w:divBdr>
    </w:div>
    <w:div w:id="1786536742">
      <w:bodyDiv w:val="1"/>
      <w:marLeft w:val="0"/>
      <w:marRight w:val="0"/>
      <w:marTop w:val="0"/>
      <w:marBottom w:val="0"/>
      <w:divBdr>
        <w:top w:val="none" w:sz="0" w:space="0" w:color="auto"/>
        <w:left w:val="none" w:sz="0" w:space="0" w:color="auto"/>
        <w:bottom w:val="none" w:sz="0" w:space="0" w:color="auto"/>
        <w:right w:val="none" w:sz="0" w:space="0" w:color="auto"/>
      </w:divBdr>
    </w:div>
    <w:div w:id="1827699792">
      <w:bodyDiv w:val="1"/>
      <w:marLeft w:val="0"/>
      <w:marRight w:val="0"/>
      <w:marTop w:val="0"/>
      <w:marBottom w:val="0"/>
      <w:divBdr>
        <w:top w:val="none" w:sz="0" w:space="0" w:color="auto"/>
        <w:left w:val="none" w:sz="0" w:space="0" w:color="auto"/>
        <w:bottom w:val="none" w:sz="0" w:space="0" w:color="auto"/>
        <w:right w:val="none" w:sz="0" w:space="0" w:color="auto"/>
      </w:divBdr>
    </w:div>
    <w:div w:id="1853103441">
      <w:bodyDiv w:val="1"/>
      <w:marLeft w:val="0"/>
      <w:marRight w:val="0"/>
      <w:marTop w:val="0"/>
      <w:marBottom w:val="0"/>
      <w:divBdr>
        <w:top w:val="none" w:sz="0" w:space="0" w:color="auto"/>
        <w:left w:val="none" w:sz="0" w:space="0" w:color="auto"/>
        <w:bottom w:val="none" w:sz="0" w:space="0" w:color="auto"/>
        <w:right w:val="none" w:sz="0" w:space="0" w:color="auto"/>
      </w:divBdr>
    </w:div>
    <w:div w:id="1929190546">
      <w:bodyDiv w:val="1"/>
      <w:marLeft w:val="0"/>
      <w:marRight w:val="0"/>
      <w:marTop w:val="0"/>
      <w:marBottom w:val="0"/>
      <w:divBdr>
        <w:top w:val="none" w:sz="0" w:space="0" w:color="auto"/>
        <w:left w:val="none" w:sz="0" w:space="0" w:color="auto"/>
        <w:bottom w:val="none" w:sz="0" w:space="0" w:color="auto"/>
        <w:right w:val="none" w:sz="0" w:space="0" w:color="auto"/>
      </w:divBdr>
    </w:div>
    <w:div w:id="1998486723">
      <w:bodyDiv w:val="1"/>
      <w:marLeft w:val="0"/>
      <w:marRight w:val="0"/>
      <w:marTop w:val="0"/>
      <w:marBottom w:val="0"/>
      <w:divBdr>
        <w:top w:val="none" w:sz="0" w:space="0" w:color="auto"/>
        <w:left w:val="none" w:sz="0" w:space="0" w:color="auto"/>
        <w:bottom w:val="none" w:sz="0" w:space="0" w:color="auto"/>
        <w:right w:val="none" w:sz="0" w:space="0" w:color="auto"/>
      </w:divBdr>
    </w:div>
    <w:div w:id="2113474332">
      <w:bodyDiv w:val="1"/>
      <w:marLeft w:val="0"/>
      <w:marRight w:val="0"/>
      <w:marTop w:val="0"/>
      <w:marBottom w:val="0"/>
      <w:divBdr>
        <w:top w:val="none" w:sz="0" w:space="0" w:color="auto"/>
        <w:left w:val="none" w:sz="0" w:space="0" w:color="auto"/>
        <w:bottom w:val="none" w:sz="0" w:space="0" w:color="auto"/>
        <w:right w:val="none" w:sz="0" w:space="0" w:color="auto"/>
      </w:divBdr>
    </w:div>
    <w:div w:id="2127968317">
      <w:bodyDiv w:val="1"/>
      <w:marLeft w:val="0"/>
      <w:marRight w:val="0"/>
      <w:marTop w:val="0"/>
      <w:marBottom w:val="0"/>
      <w:divBdr>
        <w:top w:val="none" w:sz="0" w:space="0" w:color="auto"/>
        <w:left w:val="none" w:sz="0" w:space="0" w:color="auto"/>
        <w:bottom w:val="none" w:sz="0" w:space="0" w:color="auto"/>
        <w:right w:val="none" w:sz="0" w:space="0" w:color="auto"/>
      </w:divBdr>
    </w:div>
    <w:div w:id="2133012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n.gov/deed/data/data-tools/col/" TargetMode="External"/><Relationship Id="rId13" Type="http://schemas.openxmlformats.org/officeDocument/2006/relationships/hyperlink" Target="http://mn.gov/deed/data/data-tools/col/" TargetMode="External"/><Relationship Id="rId18" Type="http://schemas.openxmlformats.org/officeDocument/2006/relationships/hyperlink" Target="https://data.census.gov/table?q=DP02&amp;g=0400000US27&amp;tid=ACSDP1Y2021.DP02"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yperlink" Target="https://data.census.gov/table?q=DP02&amp;g=0400000US27&amp;tid=ACSDP1Y2021.DP02" TargetMode="External"/><Relationship Id="rId2" Type="http://schemas.openxmlformats.org/officeDocument/2006/relationships/numbering" Target="numbering.xml"/><Relationship Id="rId16" Type="http://schemas.openxmlformats.org/officeDocument/2006/relationships/hyperlink" Target="https://mn.gov/deed/data/lmi-reports/hiring-difficulties-mn/"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n.gov/deed/data/data-tools/job-vacancy/" TargetMode="External"/><Relationship Id="rId24"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hyperlink" Target="http://mn.gov/deed/data/data-tools/job-vacancy/" TargetMode="External"/><Relationship Id="rId23" Type="http://schemas.openxmlformats.org/officeDocument/2006/relationships/customXml" Target="../customXml/item3.xml"/><Relationship Id="rId10" Type="http://schemas.openxmlformats.org/officeDocument/2006/relationships/hyperlink" Target="https://mn.gov/deed/data/data-tools/oes/" TargetMode="External"/><Relationship Id="rId19" Type="http://schemas.openxmlformats.org/officeDocument/2006/relationships/hyperlink" Target="https://www.irs.gov/credits-deductions/2021-child-tax-credit-and-advance-child-tax-credit-payments-topic-c-calculation-of-the-2021-child-tax-credit" TargetMode="External"/><Relationship Id="rId4" Type="http://schemas.openxmlformats.org/officeDocument/2006/relationships/settings" Target="settings.xml"/><Relationship Id="rId9" Type="http://schemas.openxmlformats.org/officeDocument/2006/relationships/hyperlink" Target="https://mn.gov/deed/data/data-tools/col/" TargetMode="External"/><Relationship Id="rId14" Type="http://schemas.openxmlformats.org/officeDocument/2006/relationships/hyperlink" Target="http://mn.gov/deed/data/data-tools/oes/" TargetMode="External"/><Relationship Id="rId22" Type="http://schemas.openxmlformats.org/officeDocument/2006/relationships/customXml" Target="../customXml/item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clay\Documents\Custom%20Office%20Templates\cost-of-living-annual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AD6A846-CC03-45A2-9EF0-6C76AA9A7C9D}">
  <ds:schemaRefs>
    <ds:schemaRef ds:uri="http://schemas.openxmlformats.org/officeDocument/2006/bibliography"/>
  </ds:schemaRefs>
</ds:datastoreItem>
</file>

<file path=customXml/itemProps2.xml><?xml version="1.0" encoding="utf-8"?>
<ds:datastoreItem xmlns:ds="http://schemas.openxmlformats.org/officeDocument/2006/customXml" ds:itemID="{57EF4016-1110-4674-8D38-2F6684F3DA9B}"/>
</file>

<file path=customXml/itemProps3.xml><?xml version="1.0" encoding="utf-8"?>
<ds:datastoreItem xmlns:ds="http://schemas.openxmlformats.org/officeDocument/2006/customXml" ds:itemID="{432B3A85-04CE-4A6F-BB64-E688EC35620B}"/>
</file>

<file path=customXml/itemProps4.xml><?xml version="1.0" encoding="utf-8"?>
<ds:datastoreItem xmlns:ds="http://schemas.openxmlformats.org/officeDocument/2006/customXml" ds:itemID="{5720627A-14B1-41AD-8A95-073BCE1A745F}"/>
</file>

<file path=docProps/app.xml><?xml version="1.0" encoding="utf-8"?>
<Properties xmlns="http://schemas.openxmlformats.org/officeDocument/2006/extended-properties" xmlns:vt="http://schemas.openxmlformats.org/officeDocument/2006/docPropsVTypes">
  <Template>cost-of-living-annual_template</Template>
  <TotalTime>2</TotalTime>
  <Pages>11</Pages>
  <Words>3506</Words>
  <Characters>19987</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DEED</Company>
  <LinksUpToDate>false</LinksUpToDate>
  <CharactersWithSpaces>23447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Clay</dc:creator>
  <cp:keywords/>
  <dc:description/>
  <cp:lastModifiedBy>Hussein, Nima (DEED)</cp:lastModifiedBy>
  <cp:revision>2</cp:revision>
  <cp:lastPrinted>2020-02-07T17:10:00Z</cp:lastPrinted>
  <dcterms:created xsi:type="dcterms:W3CDTF">2023-02-14T20:39:00Z</dcterms:created>
  <dcterms:modified xsi:type="dcterms:W3CDTF">2023-02-14T20:39:00Z</dcterms:modified>
</cp:coreProperties>
</file>