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22E2" w:rsidRPr="00FE4361" w:rsidRDefault="002E22E2" w:rsidP="002E22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object w:dxaOrig="5304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4pt;height:68.4pt" o:ole="">
            <v:imagedata r:id="rId6" o:title=""/>
          </v:shape>
          <o:OLEObject Type="Embed" ProgID="Acrobat.Document.DC" ShapeID="_x0000_i1025" DrawAspect="Content" ObjectID="_1618303120" r:id="rId7"/>
        </w:object>
      </w:r>
    </w:p>
    <w:p w:rsidR="002E22E2" w:rsidRPr="002E22E2" w:rsidRDefault="002E22E2" w:rsidP="002E22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2E22E2">
        <w:rPr>
          <w:rFonts w:asciiTheme="minorHAnsi" w:eastAsiaTheme="minorEastAsia" w:hAnsi="Calibri" w:cstheme="minorBidi"/>
          <w:b/>
          <w:kern w:val="24"/>
        </w:rPr>
        <w:t>Date:</w:t>
      </w:r>
      <w:r w:rsidRPr="002E22E2">
        <w:rPr>
          <w:rFonts w:asciiTheme="minorHAnsi" w:eastAsiaTheme="minorEastAsia" w:hAnsi="Calibri" w:cstheme="minorBidi"/>
          <w:b/>
          <w:kern w:val="24"/>
        </w:rPr>
        <w:tab/>
      </w:r>
      <w:r w:rsidRPr="002E22E2">
        <w:rPr>
          <w:rFonts w:asciiTheme="minorHAnsi" w:eastAsiaTheme="minorEastAsia" w:hAnsi="Calibri" w:cstheme="minorBidi"/>
          <w:kern w:val="24"/>
        </w:rPr>
        <w:tab/>
      </w:r>
      <w:r w:rsidR="005233AB">
        <w:rPr>
          <w:rFonts w:asciiTheme="minorHAnsi" w:eastAsiaTheme="minorEastAsia" w:hAnsi="Calibri" w:cstheme="minorBidi"/>
          <w:kern w:val="24"/>
        </w:rPr>
        <w:t>December 12</w:t>
      </w:r>
      <w:r w:rsidRPr="002E22E2">
        <w:rPr>
          <w:rFonts w:asciiTheme="minorHAnsi" w:eastAsiaTheme="minorEastAsia" w:hAnsi="Calibri" w:cstheme="minorBidi"/>
          <w:kern w:val="24"/>
        </w:rPr>
        <w:t>, 2018</w:t>
      </w:r>
    </w:p>
    <w:p w:rsidR="002E22E2" w:rsidRPr="002E22E2" w:rsidRDefault="002E22E2" w:rsidP="002E22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</w:p>
    <w:p w:rsidR="002E22E2" w:rsidRPr="002E22E2" w:rsidRDefault="002E22E2" w:rsidP="002E22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2E22E2">
        <w:rPr>
          <w:rFonts w:asciiTheme="minorHAnsi" w:eastAsiaTheme="minorEastAsia" w:hAnsi="Calibri" w:cstheme="minorBidi"/>
          <w:b/>
          <w:kern w:val="24"/>
        </w:rPr>
        <w:t>To:</w:t>
      </w:r>
      <w:r w:rsidRPr="002E22E2">
        <w:rPr>
          <w:rFonts w:asciiTheme="minorHAnsi" w:eastAsiaTheme="minorEastAsia" w:hAnsi="Calibri" w:cstheme="minorBidi"/>
          <w:b/>
          <w:kern w:val="24"/>
        </w:rPr>
        <w:tab/>
      </w:r>
      <w:r w:rsidRPr="002E22E2">
        <w:rPr>
          <w:rFonts w:asciiTheme="minorHAnsi" w:eastAsiaTheme="minorEastAsia" w:hAnsi="Calibri" w:cstheme="minorBidi"/>
          <w:kern w:val="24"/>
        </w:rPr>
        <w:tab/>
        <w:t>Governor’s Workforce Development Board Members</w:t>
      </w:r>
    </w:p>
    <w:p w:rsidR="002E22E2" w:rsidRPr="002E22E2" w:rsidRDefault="002E22E2" w:rsidP="002E22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2E22E2">
        <w:rPr>
          <w:rFonts w:asciiTheme="minorHAnsi" w:eastAsiaTheme="minorEastAsia" w:hAnsi="Calibri" w:cstheme="minorBidi"/>
          <w:kern w:val="24"/>
        </w:rPr>
        <w:tab/>
      </w:r>
      <w:r w:rsidRPr="002E22E2">
        <w:rPr>
          <w:rFonts w:asciiTheme="minorHAnsi" w:eastAsiaTheme="minorEastAsia" w:hAnsi="Calibri" w:cstheme="minorBidi"/>
          <w:kern w:val="24"/>
        </w:rPr>
        <w:tab/>
      </w:r>
      <w:r w:rsidRPr="002E22E2">
        <w:rPr>
          <w:rFonts w:asciiTheme="minorHAnsi" w:eastAsiaTheme="minorEastAsia" w:hAnsi="Calibri" w:cstheme="minorBidi"/>
          <w:kern w:val="24"/>
        </w:rPr>
        <w:tab/>
      </w:r>
      <w:r w:rsidRPr="002E22E2">
        <w:rPr>
          <w:rFonts w:asciiTheme="minorHAnsi" w:eastAsiaTheme="minorEastAsia" w:hAnsi="Calibri" w:cstheme="minorBidi"/>
          <w:kern w:val="24"/>
        </w:rPr>
        <w:tab/>
      </w:r>
    </w:p>
    <w:p w:rsidR="002E22E2" w:rsidRPr="002E22E2" w:rsidRDefault="002E22E2" w:rsidP="002E22E2">
      <w:pPr>
        <w:pStyle w:val="NormalWeb"/>
        <w:spacing w:before="0" w:beforeAutospacing="0" w:after="0" w:afterAutospacing="0"/>
        <w:ind w:left="1440" w:hanging="1440"/>
        <w:rPr>
          <w:rFonts w:asciiTheme="minorHAnsi" w:eastAsiaTheme="minorEastAsia" w:hAnsi="Calibri" w:cstheme="minorBidi"/>
          <w:kern w:val="24"/>
        </w:rPr>
      </w:pPr>
      <w:r w:rsidRPr="002E22E2">
        <w:rPr>
          <w:rFonts w:asciiTheme="minorHAnsi" w:eastAsiaTheme="minorEastAsia" w:hAnsi="Calibri" w:cstheme="minorBidi"/>
          <w:b/>
          <w:kern w:val="24"/>
        </w:rPr>
        <w:t>From:</w:t>
      </w:r>
      <w:r w:rsidRPr="002E22E2">
        <w:rPr>
          <w:rFonts w:asciiTheme="minorHAnsi" w:eastAsiaTheme="minorEastAsia" w:hAnsi="Calibri" w:cstheme="minorBidi"/>
          <w:kern w:val="24"/>
        </w:rPr>
        <w:tab/>
        <w:t>Equity Committee to address Disparities for Individuals with Disabilities in Training and Employment </w:t>
      </w:r>
    </w:p>
    <w:p w:rsidR="002E22E2" w:rsidRPr="002E22E2" w:rsidRDefault="002E22E2" w:rsidP="002E22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2E22E2">
        <w:rPr>
          <w:rFonts w:asciiTheme="minorHAnsi" w:eastAsiaTheme="minorEastAsia" w:hAnsi="Calibri" w:cstheme="minorBidi"/>
          <w:kern w:val="24"/>
        </w:rPr>
        <w:tab/>
      </w:r>
    </w:p>
    <w:p w:rsidR="00F906B7" w:rsidRDefault="002E22E2" w:rsidP="00F906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u w:val="thick"/>
        </w:rPr>
      </w:pPr>
      <w:r w:rsidRPr="002E22E2">
        <w:rPr>
          <w:rFonts w:asciiTheme="minorHAnsi" w:eastAsiaTheme="minorEastAsia" w:hAnsi="Calibri" w:cstheme="minorBidi"/>
          <w:b/>
          <w:kern w:val="24"/>
          <w:u w:val="thick"/>
        </w:rPr>
        <w:t>Subject:</w:t>
      </w:r>
      <w:r w:rsidRPr="002E22E2">
        <w:rPr>
          <w:rFonts w:asciiTheme="minorHAnsi" w:eastAsiaTheme="minorEastAsia" w:hAnsi="Calibri" w:cstheme="minorBidi"/>
          <w:kern w:val="24"/>
          <w:u w:val="thick"/>
        </w:rPr>
        <w:tab/>
        <w:t xml:space="preserve">Executive Summary and </w:t>
      </w:r>
      <w:r w:rsidR="00F906B7">
        <w:rPr>
          <w:rFonts w:asciiTheme="minorHAnsi" w:eastAsiaTheme="minorEastAsia" w:hAnsi="Calibri" w:cstheme="minorBidi"/>
          <w:kern w:val="24"/>
          <w:u w:val="thick"/>
        </w:rPr>
        <w:t xml:space="preserve">Disability Equity Committee </w:t>
      </w:r>
      <w:r w:rsidRPr="002E22E2">
        <w:rPr>
          <w:rFonts w:asciiTheme="minorHAnsi" w:eastAsiaTheme="minorEastAsia" w:hAnsi="Calibri" w:cstheme="minorBidi"/>
          <w:kern w:val="24"/>
          <w:u w:val="thick"/>
        </w:rPr>
        <w:t>Recommendations</w:t>
      </w:r>
      <w:r w:rsidR="00F906B7">
        <w:rPr>
          <w:rFonts w:asciiTheme="minorHAnsi" w:eastAsiaTheme="minorEastAsia" w:hAnsi="Calibri" w:cstheme="minorBidi"/>
          <w:kern w:val="24"/>
          <w:u w:val="thick"/>
        </w:rPr>
        <w:t>________</w:t>
      </w:r>
      <w:r w:rsidRPr="002E22E2">
        <w:rPr>
          <w:rFonts w:asciiTheme="minorHAnsi" w:eastAsiaTheme="minorEastAsia" w:hAnsi="Calibri" w:cstheme="minorBidi"/>
          <w:kern w:val="24"/>
          <w:u w:val="thick"/>
        </w:rPr>
        <w:t xml:space="preserve"> </w:t>
      </w:r>
    </w:p>
    <w:p w:rsidR="00F906B7" w:rsidRDefault="00F906B7" w:rsidP="00F906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u w:val="thick"/>
        </w:rPr>
      </w:pPr>
    </w:p>
    <w:p w:rsidR="002E22E2" w:rsidRPr="00F906B7" w:rsidRDefault="00D120C1" w:rsidP="00F906B7">
      <w:pPr>
        <w:rPr>
          <w:sz w:val="24"/>
          <w:szCs w:val="24"/>
        </w:rPr>
      </w:pPr>
      <w:r w:rsidRPr="00D120C1">
        <w:rPr>
          <w:sz w:val="24"/>
          <w:szCs w:val="24"/>
        </w:rPr>
        <w:t xml:space="preserve">In June 2017, </w:t>
      </w:r>
      <w:r w:rsidR="002E22E2" w:rsidRPr="00D120C1">
        <w:rPr>
          <w:sz w:val="24"/>
          <w:szCs w:val="24"/>
        </w:rPr>
        <w:t>GWDB</w:t>
      </w:r>
      <w:r w:rsidRPr="00D120C1">
        <w:rPr>
          <w:sz w:val="24"/>
          <w:szCs w:val="24"/>
        </w:rPr>
        <w:t xml:space="preserve"> leadership and staff organized and </w:t>
      </w:r>
      <w:r w:rsidR="002E22E2" w:rsidRPr="00D120C1">
        <w:rPr>
          <w:sz w:val="24"/>
          <w:szCs w:val="24"/>
        </w:rPr>
        <w:t>convened</w:t>
      </w:r>
      <w:r w:rsidRPr="00D120C1">
        <w:rPr>
          <w:sz w:val="24"/>
          <w:szCs w:val="24"/>
        </w:rPr>
        <w:t xml:space="preserve"> the Disability Equity Committee with the following mission and vision: </w:t>
      </w:r>
    </w:p>
    <w:p w:rsidR="00D120C1" w:rsidRPr="00D120C1" w:rsidRDefault="00D120C1" w:rsidP="00D120C1">
      <w:pPr>
        <w:rPr>
          <w:sz w:val="24"/>
          <w:szCs w:val="24"/>
        </w:rPr>
      </w:pPr>
      <w:r w:rsidRPr="00D120C1">
        <w:rPr>
          <w:i/>
          <w:sz w:val="24"/>
          <w:szCs w:val="24"/>
        </w:rPr>
        <w:t>Our mission</w:t>
      </w:r>
      <w:r w:rsidRPr="00D120C1">
        <w:rPr>
          <w:sz w:val="24"/>
          <w:szCs w:val="24"/>
        </w:rPr>
        <w:t xml:space="preserve"> is to identify strategies to make informed, actionable and measurable solutions to address disparities in training and employment.</w:t>
      </w:r>
    </w:p>
    <w:p w:rsidR="00D120C1" w:rsidRPr="00D120C1" w:rsidRDefault="00D120C1" w:rsidP="00D120C1">
      <w:pPr>
        <w:rPr>
          <w:sz w:val="24"/>
          <w:szCs w:val="24"/>
        </w:rPr>
      </w:pPr>
      <w:r w:rsidRPr="00D120C1">
        <w:rPr>
          <w:i/>
          <w:sz w:val="24"/>
          <w:szCs w:val="24"/>
        </w:rPr>
        <w:t>Our vision</w:t>
      </w:r>
      <w:r w:rsidRPr="00D120C1">
        <w:rPr>
          <w:sz w:val="24"/>
          <w:szCs w:val="24"/>
        </w:rPr>
        <w:t xml:space="preserve"> is an equitable Minnesota where barriers to meaningful employment for individuals with a disability are eliminated and where employers support inclusion and provide comparable wages to align with an individual’s ability.</w:t>
      </w:r>
    </w:p>
    <w:p w:rsidR="00D120C1" w:rsidRDefault="00D120C1" w:rsidP="00A76074">
      <w:pPr>
        <w:rPr>
          <w:sz w:val="24"/>
          <w:szCs w:val="24"/>
        </w:rPr>
      </w:pPr>
      <w:r>
        <w:rPr>
          <w:sz w:val="24"/>
          <w:szCs w:val="24"/>
        </w:rPr>
        <w:t xml:space="preserve">The committee developed a work plan centered on goals to 1) Align policies and systems within relevant state agencies, 2) Target state funding resources, and 3) Develop successful strategies to accomplish integration. </w:t>
      </w:r>
    </w:p>
    <w:p w:rsidR="00F906B7" w:rsidRDefault="00F906B7" w:rsidP="00A76074">
      <w:pPr>
        <w:rPr>
          <w:sz w:val="24"/>
          <w:szCs w:val="24"/>
        </w:rPr>
      </w:pPr>
      <w:r w:rsidRPr="00F906B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committee’s work has culminated in the following strategies, which are being presented to the GWDB for approval:  </w:t>
      </w:r>
    </w:p>
    <w:p w:rsidR="00BC44EC" w:rsidRPr="00A76074" w:rsidRDefault="00A76074" w:rsidP="00A76074">
      <w:pPr>
        <w:rPr>
          <w:b/>
          <w:sz w:val="24"/>
          <w:szCs w:val="24"/>
        </w:rPr>
      </w:pPr>
      <w:r w:rsidRPr="00A76074">
        <w:rPr>
          <w:b/>
          <w:sz w:val="24"/>
          <w:szCs w:val="24"/>
        </w:rPr>
        <w:t>Recommendation 1</w:t>
      </w:r>
    </w:p>
    <w:p w:rsidR="00A76074" w:rsidRPr="007E5A36" w:rsidRDefault="009B1A75" w:rsidP="00A76074">
      <w:pPr>
        <w:pStyle w:val="NormalWeb"/>
        <w:spacing w:before="200" w:beforeAutospacing="0" w:after="0" w:afterAutospacing="0" w:line="216" w:lineRule="auto"/>
      </w:pPr>
      <w:r w:rsidRPr="007E5A36">
        <w:rPr>
          <w:rFonts w:asciiTheme="minorHAnsi" w:eastAsiaTheme="minorEastAsia" w:hAnsi="Calibri" w:cstheme="minorBidi"/>
          <w:kern w:val="24"/>
        </w:rPr>
        <w:t>Support c</w:t>
      </w:r>
      <w:r w:rsidR="00A76074" w:rsidRPr="007E5A36">
        <w:rPr>
          <w:rFonts w:asciiTheme="minorHAnsi" w:eastAsiaTheme="minorEastAsia" w:hAnsi="Calibri" w:cstheme="minorBidi"/>
          <w:kern w:val="24"/>
        </w:rPr>
        <w:t xml:space="preserve">ontinued funding from the Minnesota State Legislature to support individuals with the most significant disabilities who are eligible for services through Vocational Rehabilitation Services at </w:t>
      </w:r>
      <w:r w:rsidR="007E5A36" w:rsidRPr="007E5A36">
        <w:rPr>
          <w:rFonts w:asciiTheme="minorHAnsi" w:eastAsiaTheme="minorEastAsia" w:hAnsi="Calibri" w:cstheme="minorBidi"/>
          <w:kern w:val="24"/>
        </w:rPr>
        <w:t xml:space="preserve">the Minnesota Department of Employment and Economic Development. </w:t>
      </w:r>
    </w:p>
    <w:p w:rsidR="00A76074" w:rsidRPr="007E5A36" w:rsidRDefault="00A76074" w:rsidP="00A76074">
      <w:pPr>
        <w:rPr>
          <w:b/>
          <w:sz w:val="24"/>
          <w:szCs w:val="24"/>
        </w:rPr>
      </w:pPr>
    </w:p>
    <w:p w:rsidR="00A76074" w:rsidRPr="007E5A36" w:rsidRDefault="00A76074" w:rsidP="00A76074">
      <w:pPr>
        <w:rPr>
          <w:b/>
          <w:sz w:val="24"/>
          <w:szCs w:val="24"/>
        </w:rPr>
      </w:pPr>
      <w:r w:rsidRPr="007E5A36">
        <w:rPr>
          <w:b/>
          <w:sz w:val="24"/>
          <w:szCs w:val="24"/>
        </w:rPr>
        <w:t>Recommendation 2</w:t>
      </w:r>
    </w:p>
    <w:p w:rsidR="00A76074" w:rsidRPr="007E5A36" w:rsidRDefault="00A76074" w:rsidP="00A7607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</w:rPr>
      </w:pPr>
      <w:r w:rsidRPr="007E5A36">
        <w:rPr>
          <w:rFonts w:asciiTheme="minorHAnsi" w:eastAsiaTheme="minorEastAsia" w:hAnsi="Calibri" w:cstheme="minorBidi"/>
          <w:kern w:val="24"/>
        </w:rPr>
        <w:t xml:space="preserve">DEED, as the administrative agency under 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the </w:t>
      </w:r>
      <w:r w:rsidRPr="007E5A36">
        <w:rPr>
          <w:rFonts w:asciiTheme="minorHAnsi" w:eastAsiaTheme="minorEastAsia" w:hAnsi="Calibri" w:cstheme="minorBidi"/>
          <w:kern w:val="24"/>
        </w:rPr>
        <w:t>W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orkforce </w:t>
      </w:r>
      <w:r w:rsidRPr="007E5A36">
        <w:rPr>
          <w:rFonts w:asciiTheme="minorHAnsi" w:eastAsiaTheme="minorEastAsia" w:hAnsi="Calibri" w:cstheme="minorBidi"/>
          <w:kern w:val="24"/>
        </w:rPr>
        <w:t>I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nnovation and </w:t>
      </w:r>
      <w:r w:rsidRPr="007E5A36">
        <w:rPr>
          <w:rFonts w:asciiTheme="minorHAnsi" w:eastAsiaTheme="minorEastAsia" w:hAnsi="Calibri" w:cstheme="minorBidi"/>
          <w:kern w:val="24"/>
        </w:rPr>
        <w:t>O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pportunity Act, </w:t>
      </w:r>
      <w:r w:rsidRPr="007E5A36">
        <w:rPr>
          <w:rFonts w:asciiTheme="minorHAnsi" w:eastAsiaTheme="minorEastAsia" w:hAnsi="Calibri" w:cstheme="minorBidi"/>
          <w:kern w:val="24"/>
        </w:rPr>
        <w:t xml:space="preserve">provide opportunities for training and professional development for all state and partner staff that provide workforce services at </w:t>
      </w:r>
      <w:r w:rsidR="009B1A75" w:rsidRPr="007E5A36">
        <w:rPr>
          <w:rFonts w:asciiTheme="minorHAnsi" w:eastAsiaTheme="minorEastAsia" w:hAnsi="Calibri" w:cstheme="minorBidi"/>
          <w:kern w:val="24"/>
        </w:rPr>
        <w:t>CareerForce Locations</w:t>
      </w:r>
      <w:r w:rsidRPr="007E5A36">
        <w:rPr>
          <w:rFonts w:asciiTheme="minorHAnsi" w:eastAsiaTheme="minorEastAsia" w:hAnsi="Calibri" w:cstheme="minorBidi"/>
          <w:kern w:val="24"/>
        </w:rPr>
        <w:t>. Staff will be trained to better serve individuals with disabilities</w:t>
      </w:r>
      <w:r w:rsidR="009B1A75" w:rsidRPr="007E5A36">
        <w:rPr>
          <w:rFonts w:asciiTheme="minorHAnsi" w:eastAsiaTheme="minorEastAsia" w:hAnsi="Calibri" w:cstheme="minorBidi"/>
          <w:kern w:val="24"/>
        </w:rPr>
        <w:t>.</w:t>
      </w:r>
      <w:r w:rsidRPr="007E5A36">
        <w:rPr>
          <w:rFonts w:asciiTheme="minorHAnsi" w:eastAsiaTheme="minorEastAsia" w:hAnsi="Calibri" w:cstheme="minorBidi"/>
          <w:kern w:val="24"/>
        </w:rPr>
        <w:t xml:space="preserve"> Vocational Rehabilitation Services staff will serve as consultants </w:t>
      </w:r>
      <w:r w:rsidR="00B350E6" w:rsidRPr="007E5A36">
        <w:rPr>
          <w:rFonts w:asciiTheme="minorHAnsi" w:eastAsiaTheme="minorEastAsia" w:hAnsi="Calibri" w:cstheme="minorBidi"/>
          <w:kern w:val="24"/>
        </w:rPr>
        <w:t>to</w:t>
      </w:r>
      <w:r w:rsidRPr="007E5A36">
        <w:rPr>
          <w:rFonts w:asciiTheme="minorHAnsi" w:eastAsiaTheme="minorEastAsia" w:hAnsi="Calibri" w:cstheme="minorBidi"/>
          <w:kern w:val="24"/>
        </w:rPr>
        <w:t xml:space="preserve"> assist in the development of </w:t>
      </w:r>
      <w:r w:rsidR="00B350E6" w:rsidRPr="007E5A36">
        <w:rPr>
          <w:rFonts w:asciiTheme="minorHAnsi" w:eastAsiaTheme="minorEastAsia" w:hAnsi="Calibri" w:cstheme="minorBidi"/>
          <w:kern w:val="24"/>
        </w:rPr>
        <w:t>training.</w:t>
      </w:r>
    </w:p>
    <w:p w:rsidR="00A76074" w:rsidRPr="007E5A36" w:rsidRDefault="00A76074" w:rsidP="00A76074">
      <w:pPr>
        <w:rPr>
          <w:b/>
          <w:sz w:val="24"/>
          <w:szCs w:val="24"/>
        </w:rPr>
      </w:pPr>
    </w:p>
    <w:p w:rsidR="00F906B7" w:rsidRDefault="00F906B7" w:rsidP="00A76074">
      <w:pPr>
        <w:rPr>
          <w:b/>
          <w:sz w:val="24"/>
          <w:szCs w:val="24"/>
        </w:rPr>
      </w:pPr>
    </w:p>
    <w:p w:rsidR="00A76074" w:rsidRPr="007E5A36" w:rsidRDefault="00A76074" w:rsidP="00A76074">
      <w:pPr>
        <w:rPr>
          <w:b/>
          <w:sz w:val="24"/>
          <w:szCs w:val="24"/>
        </w:rPr>
      </w:pPr>
      <w:r w:rsidRPr="007E5A36">
        <w:rPr>
          <w:b/>
          <w:sz w:val="24"/>
          <w:szCs w:val="24"/>
        </w:rPr>
        <w:t>Recommendation 3</w:t>
      </w:r>
    </w:p>
    <w:p w:rsidR="00A76074" w:rsidRPr="007E5A36" w:rsidRDefault="00A76074" w:rsidP="005408A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</w:rPr>
      </w:pPr>
      <w:r w:rsidRPr="007E5A36">
        <w:rPr>
          <w:rFonts w:asciiTheme="minorHAnsi" w:eastAsiaTheme="minorEastAsia" w:hAnsi="Calibri" w:cstheme="minorBidi"/>
          <w:kern w:val="24"/>
        </w:rPr>
        <w:t xml:space="preserve">DEED provide guidance for developing teams across 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all </w:t>
      </w:r>
      <w:r w:rsidR="00681B7C" w:rsidRPr="007E5A36">
        <w:rPr>
          <w:rFonts w:asciiTheme="minorHAnsi" w:eastAsiaTheme="minorEastAsia" w:hAnsi="Calibri" w:cstheme="minorBidi"/>
          <w:kern w:val="24"/>
        </w:rPr>
        <w:t xml:space="preserve">WIOA </w:t>
      </w:r>
      <w:r w:rsidRPr="007E5A36">
        <w:rPr>
          <w:rFonts w:asciiTheme="minorHAnsi" w:eastAsiaTheme="minorEastAsia" w:hAnsi="Calibri" w:cstheme="minorBidi"/>
          <w:kern w:val="24"/>
        </w:rPr>
        <w:t>Title</w:t>
      </w:r>
      <w:r w:rsidR="00681B7C" w:rsidRPr="007E5A36">
        <w:rPr>
          <w:rFonts w:asciiTheme="minorHAnsi" w:eastAsiaTheme="minorEastAsia" w:hAnsi="Calibri" w:cstheme="minorBidi"/>
          <w:kern w:val="24"/>
        </w:rPr>
        <w:t>s</w:t>
      </w:r>
      <w:r w:rsidRPr="007E5A36">
        <w:rPr>
          <w:rFonts w:asciiTheme="minorHAnsi" w:eastAsiaTheme="minorEastAsia" w:hAnsi="Calibri" w:cstheme="minorBidi"/>
          <w:kern w:val="24"/>
        </w:rPr>
        <w:t xml:space="preserve"> </w:t>
      </w:r>
      <w:r w:rsidR="009B1A75" w:rsidRPr="007E5A36">
        <w:rPr>
          <w:rFonts w:asciiTheme="minorHAnsi" w:eastAsiaTheme="minorEastAsia" w:hAnsi="Calibri" w:cstheme="minorBidi"/>
          <w:kern w:val="24"/>
        </w:rPr>
        <w:t xml:space="preserve">as applicable* </w:t>
      </w:r>
      <w:r w:rsidRPr="007E5A36">
        <w:rPr>
          <w:rFonts w:asciiTheme="minorHAnsi" w:eastAsiaTheme="minorEastAsia" w:hAnsi="Calibri" w:cstheme="minorBidi"/>
          <w:kern w:val="24"/>
        </w:rPr>
        <w:t xml:space="preserve">and service providers to better serve individuals with disabilities. This guidance should include best practices and evaluation from the U.S. Department of Labor’s Disability Employment Initiative in Minnesota. DEED shall </w:t>
      </w:r>
      <w:r w:rsidR="00F87F3F" w:rsidRPr="007E5A36">
        <w:rPr>
          <w:rFonts w:asciiTheme="minorHAnsi" w:eastAsiaTheme="minorEastAsia" w:hAnsi="Calibri" w:cstheme="minorBidi"/>
          <w:kern w:val="24"/>
        </w:rPr>
        <w:t xml:space="preserve">continue to </w:t>
      </w:r>
      <w:r w:rsidRPr="007E5A36">
        <w:rPr>
          <w:rFonts w:asciiTheme="minorHAnsi" w:eastAsiaTheme="minorEastAsia" w:hAnsi="Calibri" w:cstheme="minorBidi"/>
          <w:kern w:val="24"/>
        </w:rPr>
        <w:t xml:space="preserve">provide </w:t>
      </w:r>
      <w:r w:rsidR="009B1A75" w:rsidRPr="007E5A36">
        <w:rPr>
          <w:rFonts w:asciiTheme="minorHAnsi" w:eastAsiaTheme="minorEastAsia" w:hAnsi="Calibri" w:cstheme="minorBidi"/>
          <w:kern w:val="24"/>
        </w:rPr>
        <w:t>status</w:t>
      </w:r>
      <w:r w:rsidRPr="007E5A36">
        <w:rPr>
          <w:rFonts w:asciiTheme="minorHAnsi" w:eastAsiaTheme="minorEastAsia" w:hAnsi="Calibri" w:cstheme="minorBidi"/>
          <w:kern w:val="24"/>
        </w:rPr>
        <w:t xml:space="preserve"> reports to the GWDB Disability Equity Committee on a quarterly basis.</w:t>
      </w:r>
    </w:p>
    <w:p w:rsidR="00681B7C" w:rsidRPr="007E5A36" w:rsidRDefault="00681B7C" w:rsidP="00A76074">
      <w:pPr>
        <w:rPr>
          <w:b/>
          <w:sz w:val="24"/>
          <w:szCs w:val="24"/>
        </w:rPr>
      </w:pPr>
    </w:p>
    <w:p w:rsidR="00A76074" w:rsidRPr="007E5A36" w:rsidRDefault="00A76074" w:rsidP="00A76074">
      <w:pPr>
        <w:rPr>
          <w:b/>
          <w:sz w:val="24"/>
          <w:szCs w:val="24"/>
        </w:rPr>
      </w:pPr>
      <w:r w:rsidRPr="007E5A36">
        <w:rPr>
          <w:b/>
          <w:sz w:val="24"/>
          <w:szCs w:val="24"/>
        </w:rPr>
        <w:t>Recommendation 4</w:t>
      </w:r>
    </w:p>
    <w:p w:rsidR="00A76074" w:rsidRPr="007E5A36" w:rsidRDefault="009B1A75" w:rsidP="00F906B7">
      <w:pPr>
        <w:spacing w:line="240" w:lineRule="auto"/>
        <w:rPr>
          <w:sz w:val="24"/>
          <w:szCs w:val="24"/>
        </w:rPr>
      </w:pPr>
      <w:r w:rsidRPr="007E5A36">
        <w:rPr>
          <w:rFonts w:eastAsiaTheme="minorEastAsia" w:hAnsi="Calibri"/>
          <w:kern w:val="24"/>
          <w:sz w:val="24"/>
          <w:szCs w:val="24"/>
        </w:rPr>
        <w:t>Support a</w:t>
      </w:r>
      <w:r w:rsidR="00A76074" w:rsidRPr="007E5A36">
        <w:rPr>
          <w:rFonts w:eastAsiaTheme="minorEastAsia" w:hAnsi="Calibri"/>
          <w:kern w:val="24"/>
          <w:sz w:val="24"/>
          <w:szCs w:val="24"/>
        </w:rPr>
        <w:t>dditional youth funding with a priority to serve youth with disabilities. The committee recommends funding increases in</w:t>
      </w:r>
      <w:r w:rsidR="00B350E6" w:rsidRPr="007E5A36">
        <w:rPr>
          <w:rFonts w:eastAsiaTheme="minorEastAsia" w:hAnsi="Calibri"/>
          <w:kern w:val="24"/>
          <w:sz w:val="24"/>
          <w:szCs w:val="24"/>
        </w:rPr>
        <w:t xml:space="preserve"> state programs, </w:t>
      </w:r>
      <w:r w:rsidR="007E5A36">
        <w:rPr>
          <w:rFonts w:eastAsiaTheme="minorEastAsia" w:hAnsi="Calibri"/>
          <w:kern w:val="24"/>
          <w:sz w:val="24"/>
          <w:szCs w:val="24"/>
        </w:rPr>
        <w:t>and aligning th</w:t>
      </w:r>
      <w:r w:rsidR="00630DB5">
        <w:rPr>
          <w:rFonts w:eastAsiaTheme="minorEastAsia" w:hAnsi="Calibri"/>
          <w:kern w:val="24"/>
          <w:sz w:val="24"/>
          <w:szCs w:val="24"/>
        </w:rPr>
        <w:t>o</w:t>
      </w:r>
      <w:r w:rsidR="007E5A36">
        <w:rPr>
          <w:rFonts w:eastAsiaTheme="minorEastAsia" w:hAnsi="Calibri"/>
          <w:kern w:val="24"/>
          <w:sz w:val="24"/>
          <w:szCs w:val="24"/>
        </w:rPr>
        <w:t xml:space="preserve">se programs with the WIOA mandate for Vocational Rehabilitation Services to provide Pre-Employment Transition Services to all students </w:t>
      </w:r>
      <w:r w:rsidR="00F56769">
        <w:rPr>
          <w:rFonts w:eastAsiaTheme="minorEastAsia" w:hAnsi="Calibri"/>
          <w:kern w:val="24"/>
          <w:sz w:val="24"/>
          <w:szCs w:val="24"/>
        </w:rPr>
        <w:t xml:space="preserve">with disabilities in Minnesota. </w:t>
      </w:r>
    </w:p>
    <w:p w:rsidR="00F56769" w:rsidRDefault="009B1A75" w:rsidP="009B1A75">
      <w:pPr>
        <w:spacing w:after="0" w:line="240" w:lineRule="auto"/>
        <w:rPr>
          <w:b/>
          <w:sz w:val="24"/>
          <w:szCs w:val="24"/>
        </w:rPr>
      </w:pPr>
      <w:r w:rsidRPr="007E5A36">
        <w:rPr>
          <w:b/>
          <w:sz w:val="24"/>
          <w:szCs w:val="24"/>
        </w:rPr>
        <w:t>*</w:t>
      </w:r>
      <w:r w:rsidR="00F56769">
        <w:rPr>
          <w:b/>
          <w:sz w:val="24"/>
          <w:szCs w:val="24"/>
        </w:rPr>
        <w:t xml:space="preserve"> </w:t>
      </w:r>
      <w:r w:rsidR="00F56769" w:rsidRPr="00F56769">
        <w:rPr>
          <w:b/>
          <w:sz w:val="24"/>
          <w:szCs w:val="24"/>
          <w:u w:val="single"/>
        </w:rPr>
        <w:t>WIOA Titles</w:t>
      </w:r>
      <w:r w:rsidR="00F56769">
        <w:rPr>
          <w:b/>
          <w:sz w:val="24"/>
          <w:szCs w:val="24"/>
        </w:rPr>
        <w:t xml:space="preserve"> </w:t>
      </w:r>
      <w:r w:rsidRPr="007E5A36">
        <w:rPr>
          <w:b/>
          <w:sz w:val="24"/>
          <w:szCs w:val="24"/>
        </w:rPr>
        <w:t xml:space="preserve"> </w:t>
      </w:r>
    </w:p>
    <w:p w:rsidR="009B1A75" w:rsidRPr="007E5A36" w:rsidRDefault="009B1A75" w:rsidP="00F56769">
      <w:pPr>
        <w:spacing w:after="0" w:line="240" w:lineRule="auto"/>
        <w:ind w:firstLine="180"/>
        <w:rPr>
          <w:sz w:val="24"/>
          <w:szCs w:val="24"/>
        </w:rPr>
      </w:pPr>
      <w:r w:rsidRPr="007E5A36">
        <w:rPr>
          <w:sz w:val="24"/>
          <w:szCs w:val="24"/>
        </w:rPr>
        <w:t>Title I: WIOA Adult</w:t>
      </w:r>
      <w:r w:rsidR="007E5A36" w:rsidRPr="007E5A36">
        <w:rPr>
          <w:sz w:val="24"/>
          <w:szCs w:val="24"/>
        </w:rPr>
        <w:t>, Y</w:t>
      </w:r>
      <w:r w:rsidRPr="007E5A36">
        <w:rPr>
          <w:sz w:val="24"/>
          <w:szCs w:val="24"/>
        </w:rPr>
        <w:t>outh</w:t>
      </w:r>
      <w:r w:rsidR="007E5A36" w:rsidRPr="007E5A36">
        <w:rPr>
          <w:sz w:val="24"/>
          <w:szCs w:val="24"/>
        </w:rPr>
        <w:t xml:space="preserve"> and Dislocated Worker (DEED)</w:t>
      </w:r>
    </w:p>
    <w:p w:rsidR="009B1A75" w:rsidRPr="007E5A36" w:rsidRDefault="009B1A75" w:rsidP="009B1A75">
      <w:pPr>
        <w:spacing w:after="0" w:line="240" w:lineRule="auto"/>
        <w:rPr>
          <w:sz w:val="24"/>
          <w:szCs w:val="24"/>
        </w:rPr>
      </w:pPr>
      <w:r w:rsidRPr="007E5A36">
        <w:rPr>
          <w:sz w:val="24"/>
          <w:szCs w:val="24"/>
        </w:rPr>
        <w:t xml:space="preserve">   Title II: Adult Education </w:t>
      </w:r>
      <w:r w:rsidR="007E5A36" w:rsidRPr="007E5A36">
        <w:rPr>
          <w:sz w:val="24"/>
          <w:szCs w:val="24"/>
        </w:rPr>
        <w:t xml:space="preserve">&amp; Family Literacy Act (Minnesota Department of Education)  </w:t>
      </w:r>
    </w:p>
    <w:p w:rsidR="009B1A75" w:rsidRPr="007E5A36" w:rsidRDefault="009B1A75" w:rsidP="009B1A75">
      <w:pPr>
        <w:spacing w:after="0" w:line="240" w:lineRule="auto"/>
        <w:rPr>
          <w:sz w:val="24"/>
          <w:szCs w:val="24"/>
        </w:rPr>
      </w:pPr>
      <w:r w:rsidRPr="007E5A36">
        <w:rPr>
          <w:sz w:val="24"/>
          <w:szCs w:val="24"/>
        </w:rPr>
        <w:t xml:space="preserve">   Title III: </w:t>
      </w:r>
      <w:r w:rsidR="007E5A36" w:rsidRPr="007E5A36">
        <w:rPr>
          <w:sz w:val="24"/>
          <w:szCs w:val="24"/>
        </w:rPr>
        <w:t>Job Service</w:t>
      </w:r>
      <w:r w:rsidR="007E5A36">
        <w:rPr>
          <w:sz w:val="24"/>
          <w:szCs w:val="24"/>
        </w:rPr>
        <w:t xml:space="preserve"> (DEED)</w:t>
      </w:r>
      <w:r w:rsidR="007E5A36" w:rsidRPr="007E5A36">
        <w:rPr>
          <w:sz w:val="24"/>
          <w:szCs w:val="24"/>
        </w:rPr>
        <w:t xml:space="preserve"> </w:t>
      </w:r>
      <w:r w:rsidRPr="007E5A36">
        <w:rPr>
          <w:sz w:val="24"/>
          <w:szCs w:val="24"/>
        </w:rPr>
        <w:t xml:space="preserve">  </w:t>
      </w:r>
    </w:p>
    <w:p w:rsidR="00681B7C" w:rsidRPr="007E5A36" w:rsidRDefault="009B1A75" w:rsidP="00A76074">
      <w:pPr>
        <w:rPr>
          <w:sz w:val="24"/>
          <w:szCs w:val="24"/>
        </w:rPr>
      </w:pPr>
      <w:r w:rsidRPr="007E5A36">
        <w:rPr>
          <w:sz w:val="24"/>
          <w:szCs w:val="24"/>
        </w:rPr>
        <w:t xml:space="preserve">   Title IV: Vocational Rehabilitation Services </w:t>
      </w:r>
      <w:r w:rsidR="007E5A36">
        <w:rPr>
          <w:sz w:val="24"/>
          <w:szCs w:val="24"/>
        </w:rPr>
        <w:t>&amp; State Services for the Blind</w:t>
      </w:r>
      <w:r w:rsidR="00F56769">
        <w:rPr>
          <w:sz w:val="24"/>
          <w:szCs w:val="24"/>
        </w:rPr>
        <w:t xml:space="preserve"> (DEED)</w:t>
      </w:r>
    </w:p>
    <w:sectPr w:rsidR="00681B7C" w:rsidRPr="007E5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B7" w:rsidRDefault="00F906B7" w:rsidP="00F906B7">
      <w:pPr>
        <w:spacing w:after="0" w:line="240" w:lineRule="auto"/>
      </w:pPr>
      <w:r>
        <w:separator/>
      </w:r>
    </w:p>
  </w:endnote>
  <w:endnote w:type="continuationSeparator" w:id="0">
    <w:p w:rsidR="00F906B7" w:rsidRDefault="00F906B7" w:rsidP="00F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B7" w:rsidRDefault="00F906B7" w:rsidP="00F906B7">
      <w:pPr>
        <w:spacing w:after="0" w:line="240" w:lineRule="auto"/>
      </w:pPr>
      <w:r>
        <w:separator/>
      </w:r>
    </w:p>
  </w:footnote>
  <w:footnote w:type="continuationSeparator" w:id="0">
    <w:p w:rsidR="00F906B7" w:rsidRDefault="00F906B7" w:rsidP="00F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7" w:rsidRDefault="00F90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4"/>
    <w:rsid w:val="002E22E2"/>
    <w:rsid w:val="005233AB"/>
    <w:rsid w:val="005408A0"/>
    <w:rsid w:val="00630DB5"/>
    <w:rsid w:val="00681B7C"/>
    <w:rsid w:val="007E5A36"/>
    <w:rsid w:val="008769AC"/>
    <w:rsid w:val="009B1A75"/>
    <w:rsid w:val="00A54B00"/>
    <w:rsid w:val="00A76074"/>
    <w:rsid w:val="00B350E6"/>
    <w:rsid w:val="00BA0060"/>
    <w:rsid w:val="00BC44EC"/>
    <w:rsid w:val="00D120C1"/>
    <w:rsid w:val="00F439F0"/>
    <w:rsid w:val="00F56769"/>
    <w:rsid w:val="00F87F3F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A1A56A-A390-4EA2-960A-B7C3651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E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1B7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B7"/>
  </w:style>
  <w:style w:type="paragraph" w:styleId="Footer">
    <w:name w:val="footer"/>
    <w:basedOn w:val="Normal"/>
    <w:link w:val="FooterChar"/>
    <w:uiPriority w:val="99"/>
    <w:unhideWhenUsed/>
    <w:rsid w:val="00F9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4D7ED-A325-47C8-A49B-15B3855075D9}"/>
</file>

<file path=customXml/itemProps2.xml><?xml version="1.0" encoding="utf-8"?>
<ds:datastoreItem xmlns:ds="http://schemas.openxmlformats.org/officeDocument/2006/customXml" ds:itemID="{2096A0AF-A567-4B42-AE27-29F265B56131}"/>
</file>

<file path=customXml/itemProps3.xml><?xml version="1.0" encoding="utf-8"?>
<ds:datastoreItem xmlns:ds="http://schemas.openxmlformats.org/officeDocument/2006/customXml" ds:itemID="{F58EC55B-8C31-4268-8CB5-063327482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MNDEED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Kay Kammen</cp:lastModifiedBy>
  <cp:revision>4</cp:revision>
  <cp:lastPrinted>2019-05-02T16:52:00Z</cp:lastPrinted>
  <dcterms:created xsi:type="dcterms:W3CDTF">2018-11-08T22:00:00Z</dcterms:created>
  <dcterms:modified xsi:type="dcterms:W3CDTF">2019-05-02T16:52:00Z</dcterms:modified>
</cp:coreProperties>
</file>