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6196213" w:displacedByCustomXml="next"/>
    <w:sdt>
      <w:sdtPr>
        <w:rPr>
          <w:rFonts w:asciiTheme="minorHAnsi" w:eastAsia="Times New Roman" w:hAnsiTheme="minorHAnsi" w:cs="Times New Roman"/>
          <w:b/>
          <w:color w:val="003865"/>
          <w:spacing w:val="0"/>
          <w:sz w:val="22"/>
          <w:szCs w:val="22"/>
          <w:lang w:bidi="ar-SA"/>
        </w:rPr>
        <w:id w:val="10729564"/>
        <w:docPartObj>
          <w:docPartGallery w:val="Cover Pages"/>
          <w:docPartUnique/>
        </w:docPartObj>
      </w:sdtPr>
      <w:sdtEndPr>
        <w:rPr>
          <w:rFonts w:eastAsiaTheme="minorHAnsi" w:cstheme="minorBidi"/>
          <w:b w:val="0"/>
          <w:color w:val="000000" w:themeColor="text2"/>
        </w:rPr>
      </w:sdtEndPr>
      <w:sdtContent>
        <w:p w14:paraId="2AF4BE90" w14:textId="3C527306" w:rsidR="00C61688" w:rsidRPr="00CE513C" w:rsidRDefault="00A256B4" w:rsidP="00EF7D8D">
          <w:pPr>
            <w:pStyle w:val="Title"/>
            <w:rPr>
              <w:color w:val="003865"/>
            </w:rPr>
          </w:pPr>
          <w:r w:rsidRPr="00CE513C">
            <w:rPr>
              <w:color w:val="003865"/>
            </w:rPr>
            <w:t xml:space="preserve">SFY 2021 </w:t>
          </w:r>
          <w:r w:rsidR="0029049E" w:rsidRPr="0029049E">
            <w:rPr>
              <w:color w:val="003865"/>
            </w:rPr>
            <w:t>Minnesota Economic Recovery Jobs Program</w:t>
          </w:r>
        </w:p>
        <w:bookmarkEnd w:id="0"/>
        <w:p w14:paraId="0A3F62B2" w14:textId="1C9D069B" w:rsidR="00C61688" w:rsidRPr="00CE513C" w:rsidRDefault="004379E9" w:rsidP="00EF7D8D">
          <w:pPr>
            <w:pStyle w:val="Title2"/>
            <w:rPr>
              <w:rFonts w:asciiTheme="minorHAnsi" w:hAnsiTheme="minorHAnsi"/>
              <w:sz w:val="36"/>
              <w:szCs w:val="36"/>
            </w:rPr>
          </w:pPr>
          <w:r>
            <w:rPr>
              <w:rFonts w:asciiTheme="minorHAnsi" w:hAnsiTheme="minorHAnsi"/>
              <w:sz w:val="36"/>
              <w:szCs w:val="36"/>
            </w:rPr>
            <w:t>Progress</w:t>
          </w:r>
          <w:r w:rsidR="00615A58">
            <w:rPr>
              <w:rFonts w:asciiTheme="minorHAnsi" w:hAnsiTheme="minorHAnsi"/>
              <w:sz w:val="36"/>
              <w:szCs w:val="36"/>
            </w:rPr>
            <w:t xml:space="preserve"> </w:t>
          </w:r>
          <w:r w:rsidR="00A256B4" w:rsidRPr="00CE513C">
            <w:rPr>
              <w:rFonts w:asciiTheme="minorHAnsi" w:hAnsiTheme="minorHAnsi"/>
              <w:sz w:val="36"/>
              <w:szCs w:val="36"/>
            </w:rPr>
            <w:t>Report</w:t>
          </w:r>
        </w:p>
        <w:p w14:paraId="3CBA0BF9" w14:textId="14A1A816" w:rsidR="00D724A0" w:rsidRPr="00CE513C" w:rsidRDefault="00E36B8E" w:rsidP="00D724A0">
          <w:pPr>
            <w:pStyle w:val="Title2"/>
            <w:rPr>
              <w:rFonts w:asciiTheme="minorHAnsi" w:hAnsiTheme="minorHAnsi"/>
              <w:sz w:val="36"/>
              <w:szCs w:val="36"/>
            </w:rPr>
          </w:pPr>
          <w:r>
            <w:rPr>
              <w:rFonts w:asciiTheme="minorHAnsi" w:hAnsiTheme="minorHAnsi"/>
              <w:sz w:val="36"/>
              <w:szCs w:val="36"/>
            </w:rPr>
            <w:t>5/</w:t>
          </w:r>
          <w:r w:rsidR="000152B0">
            <w:rPr>
              <w:rFonts w:asciiTheme="minorHAnsi" w:hAnsiTheme="minorHAnsi"/>
              <w:sz w:val="36"/>
              <w:szCs w:val="36"/>
            </w:rPr>
            <w:t>1</w:t>
          </w:r>
          <w:r w:rsidR="00983E32">
            <w:rPr>
              <w:rFonts w:asciiTheme="minorHAnsi" w:hAnsiTheme="minorHAnsi"/>
              <w:sz w:val="36"/>
              <w:szCs w:val="36"/>
            </w:rPr>
            <w:t>1</w:t>
          </w:r>
          <w:r w:rsidR="00EF7D8D" w:rsidRPr="00CE513C">
            <w:rPr>
              <w:rFonts w:asciiTheme="minorHAnsi" w:hAnsiTheme="minorHAnsi"/>
              <w:sz w:val="36"/>
              <w:szCs w:val="36"/>
            </w:rPr>
            <w:t>/20</w:t>
          </w:r>
          <w:r w:rsidR="007250F7" w:rsidRPr="00CE513C">
            <w:rPr>
              <w:rFonts w:asciiTheme="minorHAnsi" w:hAnsiTheme="minorHAnsi"/>
              <w:sz w:val="36"/>
              <w:szCs w:val="36"/>
            </w:rPr>
            <w:t>2</w:t>
          </w:r>
          <w:r w:rsidR="00A10A58">
            <w:rPr>
              <w:rFonts w:asciiTheme="minorHAnsi" w:hAnsiTheme="minorHAnsi"/>
              <w:sz w:val="36"/>
              <w:szCs w:val="36"/>
            </w:rPr>
            <w:t>2</w:t>
          </w:r>
        </w:p>
        <w:p w14:paraId="486A29F8" w14:textId="77777777" w:rsidR="00D724A0" w:rsidRPr="00CE513C" w:rsidRDefault="00D724A0" w:rsidP="00C61688">
          <w:pPr>
            <w:pStyle w:val="BodyText"/>
          </w:pPr>
        </w:p>
        <w:p w14:paraId="2BD8F91E" w14:textId="77777777" w:rsidR="00D724A0" w:rsidRPr="00CE513C" w:rsidRDefault="00D724A0" w:rsidP="00C61688">
          <w:pPr>
            <w:pStyle w:val="BodyText"/>
          </w:pPr>
        </w:p>
        <w:p w14:paraId="3DD9CE90" w14:textId="77777777" w:rsidR="00D724A0" w:rsidRPr="00CE513C" w:rsidRDefault="00D724A0" w:rsidP="00C61688">
          <w:pPr>
            <w:pStyle w:val="BodyText"/>
          </w:pPr>
        </w:p>
        <w:p w14:paraId="67D63BE8" w14:textId="77777777" w:rsidR="00D724A0" w:rsidRPr="00CE513C" w:rsidRDefault="00D724A0" w:rsidP="00C61688">
          <w:pPr>
            <w:pStyle w:val="BodyText"/>
          </w:pPr>
        </w:p>
        <w:p w14:paraId="20C52C11" w14:textId="77777777" w:rsidR="00D724A0" w:rsidRPr="00CE513C" w:rsidRDefault="00D724A0" w:rsidP="00C61688">
          <w:pPr>
            <w:pStyle w:val="BodyText"/>
          </w:pPr>
        </w:p>
        <w:p w14:paraId="47385A86" w14:textId="77777777" w:rsidR="00D724A0" w:rsidRPr="00CE513C" w:rsidRDefault="00D724A0" w:rsidP="00C61688">
          <w:pPr>
            <w:pStyle w:val="BodyText"/>
          </w:pPr>
        </w:p>
        <w:p w14:paraId="57F5920E" w14:textId="77777777" w:rsidR="00D724A0" w:rsidRPr="00CE513C" w:rsidRDefault="00D724A0" w:rsidP="00C61688">
          <w:pPr>
            <w:pStyle w:val="BodyText"/>
          </w:pPr>
        </w:p>
        <w:p w14:paraId="02F118F4" w14:textId="77777777" w:rsidR="00D724A0" w:rsidRPr="00CE513C" w:rsidRDefault="00D724A0" w:rsidP="00C61688">
          <w:pPr>
            <w:pStyle w:val="BodyText"/>
          </w:pPr>
        </w:p>
        <w:p w14:paraId="7656F166" w14:textId="77777777" w:rsidR="00D724A0" w:rsidRPr="00CE513C" w:rsidRDefault="00D724A0" w:rsidP="00C61688">
          <w:pPr>
            <w:pStyle w:val="BodyText"/>
          </w:pPr>
        </w:p>
        <w:p w14:paraId="0077CF12" w14:textId="77777777" w:rsidR="00A256B4" w:rsidRPr="00CE513C" w:rsidRDefault="00A256B4" w:rsidP="00A256B4">
          <w:r w:rsidRPr="00CE513C">
            <w:lastRenderedPageBreak/>
            <w:t>Minnesota Department of Employment and Economic Development</w:t>
          </w:r>
          <w:r w:rsidRPr="00CE513C">
            <w:br/>
            <w:t>Employment and Training Programs Division</w:t>
          </w:r>
        </w:p>
        <w:p w14:paraId="0F4F9712" w14:textId="77777777" w:rsidR="00A256B4" w:rsidRPr="00CE513C" w:rsidRDefault="00A256B4" w:rsidP="00A256B4">
          <w:r w:rsidRPr="00CE513C">
            <w:t xml:space="preserve">332 Minnesota Street, Suite E200 </w:t>
          </w:r>
          <w:r w:rsidRPr="00CE513C">
            <w:br/>
            <w:t>St. Paul, MN 55101</w:t>
          </w:r>
        </w:p>
        <w:p w14:paraId="7B63437C" w14:textId="77777777" w:rsidR="00A256B4" w:rsidRPr="00CE513C" w:rsidRDefault="00A256B4" w:rsidP="00A256B4">
          <w:pPr>
            <w:rPr>
              <w:rStyle w:val="Hyperlink"/>
            </w:rPr>
          </w:pPr>
          <w:r w:rsidRPr="00CE513C">
            <w:t xml:space="preserve">Kay Tracy, Director </w:t>
          </w:r>
          <w:r w:rsidRPr="00CE513C">
            <w:br/>
            <w:t>Office of Youth Development</w:t>
          </w:r>
          <w:r w:rsidRPr="00CE513C">
            <w:br/>
            <w:t xml:space="preserve">(Phone) 651-259-7555 </w:t>
          </w:r>
          <w:r w:rsidRPr="00CE513C">
            <w:br/>
          </w:r>
          <w:hyperlink r:id="rId8" w:history="1">
            <w:r w:rsidRPr="00CE513C">
              <w:rPr>
                <w:rStyle w:val="Hyperlink"/>
              </w:rPr>
              <w:t>Kay.Tracy@state.mn.us</w:t>
            </w:r>
          </w:hyperlink>
        </w:p>
        <w:p w14:paraId="2A20EF5C" w14:textId="77777777" w:rsidR="00A256B4" w:rsidRPr="00CE513C" w:rsidRDefault="00A256B4" w:rsidP="00A256B4">
          <w:pPr>
            <w:rPr>
              <w:rStyle w:val="Hyperlink"/>
            </w:rPr>
          </w:pPr>
          <w:r w:rsidRPr="00CE513C">
            <w:rPr>
              <w:rStyle w:val="Hyperlink"/>
            </w:rPr>
            <w:fldChar w:fldCharType="begin"/>
          </w:r>
          <w:r w:rsidRPr="00CE513C">
            <w:rPr>
              <w:rStyle w:val="Hyperlink"/>
            </w:rPr>
            <w:instrText>HYPERLINK "https://mn.gov/deed/" \o "DEED website"</w:instrText>
          </w:r>
          <w:r w:rsidRPr="00CE513C">
            <w:rPr>
              <w:rStyle w:val="Hyperlink"/>
            </w:rPr>
            <w:fldChar w:fldCharType="separate"/>
          </w:r>
          <w:r w:rsidRPr="00CE513C">
            <w:rPr>
              <w:rStyle w:val="Hyperlink"/>
            </w:rPr>
            <w:t>mn.gov/deed</w:t>
          </w:r>
        </w:p>
        <w:p w14:paraId="4C8B6FAB" w14:textId="77777777" w:rsidR="00A256B4" w:rsidRPr="00CE513C" w:rsidRDefault="00A256B4" w:rsidP="00A256B4">
          <w:pPr>
            <w:rPr>
              <w:rStyle w:val="Hyperlink"/>
            </w:rPr>
          </w:pPr>
          <w:r w:rsidRPr="00CE513C">
            <w:rPr>
              <w:rStyle w:val="Hyperlink"/>
            </w:rPr>
            <w:fldChar w:fldCharType="end"/>
          </w:r>
        </w:p>
        <w:p w14:paraId="086C781B" w14:textId="7A80A50C" w:rsidR="00A256B4" w:rsidRDefault="00A256B4" w:rsidP="00A256B4">
          <w:pPr>
            <w:rPr>
              <w:rFonts w:asciiTheme="minorHAnsi" w:hAnsiTheme="minorHAnsi" w:cs="Arial"/>
            </w:rPr>
          </w:pPr>
        </w:p>
        <w:p w14:paraId="3448B35F" w14:textId="77777777" w:rsidR="0029049E" w:rsidRPr="00CE513C" w:rsidRDefault="0029049E" w:rsidP="00A256B4">
          <w:pPr>
            <w:rPr>
              <w:rStyle w:val="Hyperlink"/>
            </w:rPr>
          </w:pPr>
        </w:p>
        <w:p w14:paraId="44485111" w14:textId="77777777" w:rsidR="00A256B4" w:rsidRPr="00CE513C" w:rsidRDefault="00A256B4" w:rsidP="00A256B4">
          <w:pPr>
            <w:rPr>
              <w:rStyle w:val="Emphasis"/>
            </w:rPr>
          </w:pPr>
          <w:r w:rsidRPr="00CE513C">
            <w:rPr>
              <w:rStyle w:val="Emphasis"/>
            </w:rPr>
            <w:t xml:space="preserve">Upon request, this material will be made available in an alternative format such as large print, Braille or audio recording. </w:t>
          </w:r>
        </w:p>
        <w:p w14:paraId="255AC7ED" w14:textId="77777777" w:rsidR="00A256B4" w:rsidRPr="00CE513C" w:rsidRDefault="00A256B4" w:rsidP="00A256B4">
          <w:pPr>
            <w:rPr>
              <w:rFonts w:asciiTheme="minorHAnsi" w:hAnsiTheme="minorHAnsi" w:cs="Arial"/>
            </w:rPr>
          </w:pPr>
        </w:p>
        <w:p w14:paraId="26B4A544" w14:textId="77777777" w:rsidR="00A256B4" w:rsidRPr="00CE513C" w:rsidRDefault="00A256B4" w:rsidP="00A256B4">
          <w:pPr>
            <w:rPr>
              <w:rFonts w:asciiTheme="minorHAnsi" w:hAnsiTheme="minorHAnsi" w:cs="Arial"/>
            </w:rPr>
          </w:pPr>
        </w:p>
        <w:p w14:paraId="7B34F731" w14:textId="77777777" w:rsidR="00504805" w:rsidRPr="00CE513C" w:rsidRDefault="00504805" w:rsidP="00C61688">
          <w:pPr>
            <w:pStyle w:val="BodyText"/>
          </w:pPr>
        </w:p>
        <w:p w14:paraId="39FC1CAB" w14:textId="77777777" w:rsidR="00D724A0" w:rsidRPr="00CE513C" w:rsidRDefault="00D724A0" w:rsidP="00504805">
          <w:pPr>
            <w:sectPr w:rsidR="00D724A0" w:rsidRPr="00CE513C" w:rsidSect="00A81130">
              <w:footerReference w:type="default" r:id="rId9"/>
              <w:headerReference w:type="first" r:id="rId10"/>
              <w:footerReference w:type="first" r:id="rId11"/>
              <w:type w:val="continuous"/>
              <w:pgSz w:w="12240" w:h="15840" w:code="1"/>
              <w:pgMar w:top="5760" w:right="1080" w:bottom="1080" w:left="1080" w:header="576" w:footer="504" w:gutter="0"/>
              <w:cols w:space="720"/>
              <w:titlePg/>
              <w:docGrid w:linePitch="326"/>
            </w:sectPr>
          </w:pPr>
        </w:p>
        <w:p w14:paraId="17E4AE5B" w14:textId="77777777" w:rsidR="00A256B4" w:rsidRPr="00CE513C" w:rsidRDefault="00A256B4">
          <w:pPr>
            <w:rPr>
              <w:rFonts w:asciiTheme="minorHAnsi" w:hAnsiTheme="minorHAnsi"/>
              <w:b/>
              <w:color w:val="960000"/>
            </w:rPr>
          </w:pPr>
          <w:r w:rsidRPr="00CE513C">
            <w:rPr>
              <w:b/>
              <w:color w:val="960000"/>
            </w:rPr>
            <w:br w:type="page"/>
          </w:r>
        </w:p>
        <w:sdt>
          <w:sdtPr>
            <w:rPr>
              <w:rFonts w:ascii="Calibri" w:eastAsia="Times New Roman" w:hAnsi="Calibri" w:cs="Times New Roman"/>
              <w:b w:val="0"/>
              <w:bCs w:val="0"/>
              <w:color w:val="auto"/>
              <w:sz w:val="22"/>
              <w:szCs w:val="22"/>
            </w:rPr>
            <w:id w:val="-1373773700"/>
            <w:docPartObj>
              <w:docPartGallery w:val="Table of Contents"/>
              <w:docPartUnique/>
            </w:docPartObj>
          </w:sdtPr>
          <w:sdtEndPr>
            <w:rPr>
              <w:noProof/>
            </w:rPr>
          </w:sdtEndPr>
          <w:sdtContent>
            <w:p w14:paraId="7C36BCA1" w14:textId="4D948DC0" w:rsidR="008925DA" w:rsidRPr="00CE513C" w:rsidRDefault="008925DA">
              <w:pPr>
                <w:pStyle w:val="TOCHeading"/>
              </w:pPr>
              <w:r w:rsidRPr="00664C7B">
                <w:t>Table of Contents</w:t>
              </w:r>
            </w:p>
            <w:p w14:paraId="56A0C45C" w14:textId="6680D20C" w:rsidR="00983E32" w:rsidRDefault="008925DA">
              <w:pPr>
                <w:pStyle w:val="TOC2"/>
                <w:tabs>
                  <w:tab w:val="right" w:leader="dot" w:pos="10070"/>
                </w:tabs>
                <w:rPr>
                  <w:rFonts w:asciiTheme="minorHAnsi" w:eastAsiaTheme="minorEastAsia" w:hAnsiTheme="minorHAnsi" w:cstheme="minorBidi"/>
                  <w:noProof/>
                  <w:lang w:bidi="ar-SA"/>
                </w:rPr>
              </w:pPr>
              <w:r w:rsidRPr="00CE513C">
                <w:fldChar w:fldCharType="begin"/>
              </w:r>
              <w:r w:rsidRPr="00CE513C">
                <w:instrText xml:space="preserve"> TOC \o "1-3" \h \z \u </w:instrText>
              </w:r>
              <w:r w:rsidRPr="00CE513C">
                <w:fldChar w:fldCharType="separate"/>
              </w:r>
              <w:hyperlink w:anchor="_Toc103152341" w:history="1">
                <w:r w:rsidR="00983E32" w:rsidRPr="0016468A">
                  <w:rPr>
                    <w:rStyle w:val="Hyperlink"/>
                    <w:rFonts w:eastAsiaTheme="majorEastAsia"/>
                    <w:noProof/>
                  </w:rPr>
                  <w:t>Background</w:t>
                </w:r>
                <w:r w:rsidR="00983E32">
                  <w:rPr>
                    <w:noProof/>
                    <w:webHidden/>
                  </w:rPr>
                  <w:tab/>
                </w:r>
                <w:r w:rsidR="00983E32">
                  <w:rPr>
                    <w:noProof/>
                    <w:webHidden/>
                  </w:rPr>
                  <w:fldChar w:fldCharType="begin"/>
                </w:r>
                <w:r w:rsidR="00983E32">
                  <w:rPr>
                    <w:noProof/>
                    <w:webHidden/>
                  </w:rPr>
                  <w:instrText xml:space="preserve"> PAGEREF _Toc103152341 \h </w:instrText>
                </w:r>
                <w:r w:rsidR="00983E32">
                  <w:rPr>
                    <w:noProof/>
                    <w:webHidden/>
                  </w:rPr>
                </w:r>
                <w:r w:rsidR="00983E32">
                  <w:rPr>
                    <w:noProof/>
                    <w:webHidden/>
                  </w:rPr>
                  <w:fldChar w:fldCharType="separate"/>
                </w:r>
                <w:r w:rsidR="00983E32">
                  <w:rPr>
                    <w:noProof/>
                    <w:webHidden/>
                  </w:rPr>
                  <w:t>4</w:t>
                </w:r>
                <w:r w:rsidR="00983E32">
                  <w:rPr>
                    <w:noProof/>
                    <w:webHidden/>
                  </w:rPr>
                  <w:fldChar w:fldCharType="end"/>
                </w:r>
              </w:hyperlink>
            </w:p>
            <w:p w14:paraId="7099E4D2" w14:textId="5A62A5AE" w:rsidR="00983E32" w:rsidRDefault="001E5CA5">
              <w:pPr>
                <w:pStyle w:val="TOC3"/>
                <w:tabs>
                  <w:tab w:val="right" w:leader="dot" w:pos="10070"/>
                </w:tabs>
                <w:rPr>
                  <w:rFonts w:asciiTheme="minorHAnsi" w:eastAsiaTheme="minorEastAsia" w:hAnsiTheme="minorHAnsi" w:cstheme="minorBidi"/>
                  <w:noProof/>
                  <w:lang w:bidi="ar-SA"/>
                </w:rPr>
              </w:pPr>
              <w:hyperlink w:anchor="_Toc103152342" w:history="1">
                <w:r w:rsidR="00983E32" w:rsidRPr="0016468A">
                  <w:rPr>
                    <w:rStyle w:val="Hyperlink"/>
                    <w:rFonts w:eastAsiaTheme="majorEastAsia"/>
                    <w:iCs/>
                    <w:noProof/>
                  </w:rPr>
                  <w:t>Grant Requirements</w:t>
                </w:r>
                <w:r w:rsidR="00983E32">
                  <w:rPr>
                    <w:noProof/>
                    <w:webHidden/>
                  </w:rPr>
                  <w:tab/>
                </w:r>
                <w:r w:rsidR="00983E32">
                  <w:rPr>
                    <w:noProof/>
                    <w:webHidden/>
                  </w:rPr>
                  <w:fldChar w:fldCharType="begin"/>
                </w:r>
                <w:r w:rsidR="00983E32">
                  <w:rPr>
                    <w:noProof/>
                    <w:webHidden/>
                  </w:rPr>
                  <w:instrText xml:space="preserve"> PAGEREF _Toc103152342 \h </w:instrText>
                </w:r>
                <w:r w:rsidR="00983E32">
                  <w:rPr>
                    <w:noProof/>
                    <w:webHidden/>
                  </w:rPr>
                </w:r>
                <w:r w:rsidR="00983E32">
                  <w:rPr>
                    <w:noProof/>
                    <w:webHidden/>
                  </w:rPr>
                  <w:fldChar w:fldCharType="separate"/>
                </w:r>
                <w:r w:rsidR="00983E32">
                  <w:rPr>
                    <w:noProof/>
                    <w:webHidden/>
                  </w:rPr>
                  <w:t>4</w:t>
                </w:r>
                <w:r w:rsidR="00983E32">
                  <w:rPr>
                    <w:noProof/>
                    <w:webHidden/>
                  </w:rPr>
                  <w:fldChar w:fldCharType="end"/>
                </w:r>
              </w:hyperlink>
            </w:p>
            <w:p w14:paraId="5AEC3F9A" w14:textId="370095FB" w:rsidR="00983E32" w:rsidRDefault="001E5CA5">
              <w:pPr>
                <w:pStyle w:val="TOC3"/>
                <w:tabs>
                  <w:tab w:val="right" w:leader="dot" w:pos="10070"/>
                </w:tabs>
                <w:rPr>
                  <w:rFonts w:asciiTheme="minorHAnsi" w:eastAsiaTheme="minorEastAsia" w:hAnsiTheme="minorHAnsi" w:cstheme="minorBidi"/>
                  <w:noProof/>
                  <w:lang w:bidi="ar-SA"/>
                </w:rPr>
              </w:pPr>
              <w:hyperlink w:anchor="_Toc103152343" w:history="1">
                <w:r w:rsidR="00983E32" w:rsidRPr="0016468A">
                  <w:rPr>
                    <w:rStyle w:val="Hyperlink"/>
                    <w:rFonts w:eastAsiaTheme="majorEastAsia"/>
                    <w:iCs/>
                    <w:noProof/>
                  </w:rPr>
                  <w:t>Overview of the Request for Proposals Process</w:t>
                </w:r>
                <w:r w:rsidR="00983E32">
                  <w:rPr>
                    <w:noProof/>
                    <w:webHidden/>
                  </w:rPr>
                  <w:tab/>
                </w:r>
                <w:r w:rsidR="00983E32">
                  <w:rPr>
                    <w:noProof/>
                    <w:webHidden/>
                  </w:rPr>
                  <w:fldChar w:fldCharType="begin"/>
                </w:r>
                <w:r w:rsidR="00983E32">
                  <w:rPr>
                    <w:noProof/>
                    <w:webHidden/>
                  </w:rPr>
                  <w:instrText xml:space="preserve"> PAGEREF _Toc103152343 \h </w:instrText>
                </w:r>
                <w:r w:rsidR="00983E32">
                  <w:rPr>
                    <w:noProof/>
                    <w:webHidden/>
                  </w:rPr>
                </w:r>
                <w:r w:rsidR="00983E32">
                  <w:rPr>
                    <w:noProof/>
                    <w:webHidden/>
                  </w:rPr>
                  <w:fldChar w:fldCharType="separate"/>
                </w:r>
                <w:r w:rsidR="00983E32">
                  <w:rPr>
                    <w:noProof/>
                    <w:webHidden/>
                  </w:rPr>
                  <w:t>4</w:t>
                </w:r>
                <w:r w:rsidR="00983E32">
                  <w:rPr>
                    <w:noProof/>
                    <w:webHidden/>
                  </w:rPr>
                  <w:fldChar w:fldCharType="end"/>
                </w:r>
              </w:hyperlink>
            </w:p>
            <w:p w14:paraId="3450E5C4" w14:textId="6B092759" w:rsidR="00983E32" w:rsidRDefault="001E5CA5">
              <w:pPr>
                <w:pStyle w:val="TOC2"/>
                <w:tabs>
                  <w:tab w:val="right" w:leader="dot" w:pos="10070"/>
                </w:tabs>
                <w:rPr>
                  <w:rFonts w:asciiTheme="minorHAnsi" w:eastAsiaTheme="minorEastAsia" w:hAnsiTheme="minorHAnsi" w:cstheme="minorBidi"/>
                  <w:noProof/>
                  <w:lang w:bidi="ar-SA"/>
                </w:rPr>
              </w:pPr>
              <w:hyperlink w:anchor="_Toc103152344" w:history="1">
                <w:r w:rsidR="00983E32" w:rsidRPr="0016468A">
                  <w:rPr>
                    <w:rStyle w:val="Hyperlink"/>
                    <w:rFonts w:eastAsiaTheme="majorEastAsia"/>
                    <w:noProof/>
                  </w:rPr>
                  <w:t>Grantees</w:t>
                </w:r>
                <w:r w:rsidR="00983E32">
                  <w:rPr>
                    <w:noProof/>
                    <w:webHidden/>
                  </w:rPr>
                  <w:tab/>
                </w:r>
                <w:r w:rsidR="00983E32">
                  <w:rPr>
                    <w:noProof/>
                    <w:webHidden/>
                  </w:rPr>
                  <w:fldChar w:fldCharType="begin"/>
                </w:r>
                <w:r w:rsidR="00983E32">
                  <w:rPr>
                    <w:noProof/>
                    <w:webHidden/>
                  </w:rPr>
                  <w:instrText xml:space="preserve"> PAGEREF _Toc103152344 \h </w:instrText>
                </w:r>
                <w:r w:rsidR="00983E32">
                  <w:rPr>
                    <w:noProof/>
                    <w:webHidden/>
                  </w:rPr>
                </w:r>
                <w:r w:rsidR="00983E32">
                  <w:rPr>
                    <w:noProof/>
                    <w:webHidden/>
                  </w:rPr>
                  <w:fldChar w:fldCharType="separate"/>
                </w:r>
                <w:r w:rsidR="00983E32">
                  <w:rPr>
                    <w:noProof/>
                    <w:webHidden/>
                  </w:rPr>
                  <w:t>5</w:t>
                </w:r>
                <w:r w:rsidR="00983E32">
                  <w:rPr>
                    <w:noProof/>
                    <w:webHidden/>
                  </w:rPr>
                  <w:fldChar w:fldCharType="end"/>
                </w:r>
              </w:hyperlink>
            </w:p>
            <w:p w14:paraId="1E8B5C7C" w14:textId="1DEBCAF7" w:rsidR="00983E32" w:rsidRDefault="001E5CA5">
              <w:pPr>
                <w:pStyle w:val="TOC3"/>
                <w:tabs>
                  <w:tab w:val="right" w:leader="dot" w:pos="10070"/>
                </w:tabs>
                <w:rPr>
                  <w:rFonts w:asciiTheme="minorHAnsi" w:eastAsiaTheme="minorEastAsia" w:hAnsiTheme="minorHAnsi" w:cstheme="minorBidi"/>
                  <w:noProof/>
                  <w:lang w:bidi="ar-SA"/>
                </w:rPr>
              </w:pPr>
              <w:hyperlink w:anchor="_Toc103152345" w:history="1">
                <w:r w:rsidR="00983E32" w:rsidRPr="0016468A">
                  <w:rPr>
                    <w:rStyle w:val="Hyperlink"/>
                    <w:rFonts w:eastAsiaTheme="majorEastAsia"/>
                    <w:iCs/>
                    <w:noProof/>
                  </w:rPr>
                  <w:t>Project Descriptions</w:t>
                </w:r>
                <w:r w:rsidR="00983E32">
                  <w:rPr>
                    <w:noProof/>
                    <w:webHidden/>
                  </w:rPr>
                  <w:tab/>
                </w:r>
                <w:r w:rsidR="00983E32">
                  <w:rPr>
                    <w:noProof/>
                    <w:webHidden/>
                  </w:rPr>
                  <w:fldChar w:fldCharType="begin"/>
                </w:r>
                <w:r w:rsidR="00983E32">
                  <w:rPr>
                    <w:noProof/>
                    <w:webHidden/>
                  </w:rPr>
                  <w:instrText xml:space="preserve"> PAGEREF _Toc103152345 \h </w:instrText>
                </w:r>
                <w:r w:rsidR="00983E32">
                  <w:rPr>
                    <w:noProof/>
                    <w:webHidden/>
                  </w:rPr>
                </w:r>
                <w:r w:rsidR="00983E32">
                  <w:rPr>
                    <w:noProof/>
                    <w:webHidden/>
                  </w:rPr>
                  <w:fldChar w:fldCharType="separate"/>
                </w:r>
                <w:r w:rsidR="00983E32">
                  <w:rPr>
                    <w:noProof/>
                    <w:webHidden/>
                  </w:rPr>
                  <w:t>5</w:t>
                </w:r>
                <w:r w:rsidR="00983E32">
                  <w:rPr>
                    <w:noProof/>
                    <w:webHidden/>
                  </w:rPr>
                  <w:fldChar w:fldCharType="end"/>
                </w:r>
              </w:hyperlink>
            </w:p>
            <w:p w14:paraId="6367B113" w14:textId="225BB8FB" w:rsidR="00983E32" w:rsidRDefault="001E5CA5">
              <w:pPr>
                <w:pStyle w:val="TOC2"/>
                <w:tabs>
                  <w:tab w:val="right" w:leader="dot" w:pos="10070"/>
                </w:tabs>
                <w:rPr>
                  <w:rFonts w:asciiTheme="minorHAnsi" w:eastAsiaTheme="minorEastAsia" w:hAnsiTheme="minorHAnsi" w:cstheme="minorBidi"/>
                  <w:noProof/>
                  <w:lang w:bidi="ar-SA"/>
                </w:rPr>
              </w:pPr>
              <w:hyperlink w:anchor="_Toc103152346" w:history="1">
                <w:r w:rsidR="00983E32" w:rsidRPr="0016468A">
                  <w:rPr>
                    <w:rStyle w:val="Hyperlink"/>
                    <w:rFonts w:eastAsiaTheme="majorEastAsia"/>
                    <w:noProof/>
                  </w:rPr>
                  <w:t>Program Data</w:t>
                </w:r>
                <w:r w:rsidR="00983E32">
                  <w:rPr>
                    <w:noProof/>
                    <w:webHidden/>
                  </w:rPr>
                  <w:tab/>
                </w:r>
                <w:r w:rsidR="00983E32">
                  <w:rPr>
                    <w:noProof/>
                    <w:webHidden/>
                  </w:rPr>
                  <w:fldChar w:fldCharType="begin"/>
                </w:r>
                <w:r w:rsidR="00983E32">
                  <w:rPr>
                    <w:noProof/>
                    <w:webHidden/>
                  </w:rPr>
                  <w:instrText xml:space="preserve"> PAGEREF _Toc103152346 \h </w:instrText>
                </w:r>
                <w:r w:rsidR="00983E32">
                  <w:rPr>
                    <w:noProof/>
                    <w:webHidden/>
                  </w:rPr>
                </w:r>
                <w:r w:rsidR="00983E32">
                  <w:rPr>
                    <w:noProof/>
                    <w:webHidden/>
                  </w:rPr>
                  <w:fldChar w:fldCharType="separate"/>
                </w:r>
                <w:r w:rsidR="00983E32">
                  <w:rPr>
                    <w:noProof/>
                    <w:webHidden/>
                  </w:rPr>
                  <w:t>7</w:t>
                </w:r>
                <w:r w:rsidR="00983E32">
                  <w:rPr>
                    <w:noProof/>
                    <w:webHidden/>
                  </w:rPr>
                  <w:fldChar w:fldCharType="end"/>
                </w:r>
              </w:hyperlink>
            </w:p>
            <w:p w14:paraId="1C01104E" w14:textId="18B271FF" w:rsidR="00983E32" w:rsidRDefault="001E5CA5">
              <w:pPr>
                <w:pStyle w:val="TOC2"/>
                <w:tabs>
                  <w:tab w:val="right" w:leader="dot" w:pos="10070"/>
                </w:tabs>
                <w:rPr>
                  <w:rFonts w:asciiTheme="minorHAnsi" w:eastAsiaTheme="minorEastAsia" w:hAnsiTheme="minorHAnsi" w:cstheme="minorBidi"/>
                  <w:noProof/>
                  <w:lang w:bidi="ar-SA"/>
                </w:rPr>
              </w:pPr>
              <w:hyperlink w:anchor="_Toc103152347" w:history="1">
                <w:r w:rsidR="00983E32" w:rsidRPr="0016468A">
                  <w:rPr>
                    <w:rStyle w:val="Hyperlink"/>
                    <w:rFonts w:eastAsiaTheme="majorEastAsia"/>
                    <w:noProof/>
                  </w:rPr>
                  <w:t>Expenditures</w:t>
                </w:r>
                <w:r w:rsidR="00983E32">
                  <w:rPr>
                    <w:noProof/>
                    <w:webHidden/>
                  </w:rPr>
                  <w:tab/>
                </w:r>
                <w:r w:rsidR="00983E32">
                  <w:rPr>
                    <w:noProof/>
                    <w:webHidden/>
                  </w:rPr>
                  <w:fldChar w:fldCharType="begin"/>
                </w:r>
                <w:r w:rsidR="00983E32">
                  <w:rPr>
                    <w:noProof/>
                    <w:webHidden/>
                  </w:rPr>
                  <w:instrText xml:space="preserve"> PAGEREF _Toc103152347 \h </w:instrText>
                </w:r>
                <w:r w:rsidR="00983E32">
                  <w:rPr>
                    <w:noProof/>
                    <w:webHidden/>
                  </w:rPr>
                </w:r>
                <w:r w:rsidR="00983E32">
                  <w:rPr>
                    <w:noProof/>
                    <w:webHidden/>
                  </w:rPr>
                  <w:fldChar w:fldCharType="separate"/>
                </w:r>
                <w:r w:rsidR="00983E32">
                  <w:rPr>
                    <w:noProof/>
                    <w:webHidden/>
                  </w:rPr>
                  <w:t>9</w:t>
                </w:r>
                <w:r w:rsidR="00983E32">
                  <w:rPr>
                    <w:noProof/>
                    <w:webHidden/>
                  </w:rPr>
                  <w:fldChar w:fldCharType="end"/>
                </w:r>
              </w:hyperlink>
            </w:p>
            <w:p w14:paraId="6FDB311D" w14:textId="6C485070" w:rsidR="00983E32" w:rsidRDefault="001E5CA5">
              <w:pPr>
                <w:pStyle w:val="TOC2"/>
                <w:tabs>
                  <w:tab w:val="right" w:leader="dot" w:pos="10070"/>
                </w:tabs>
                <w:rPr>
                  <w:rFonts w:asciiTheme="minorHAnsi" w:eastAsiaTheme="minorEastAsia" w:hAnsiTheme="minorHAnsi" w:cstheme="minorBidi"/>
                  <w:noProof/>
                  <w:lang w:bidi="ar-SA"/>
                </w:rPr>
              </w:pPr>
              <w:hyperlink w:anchor="_Toc103152348" w:history="1">
                <w:r w:rsidR="00983E32" w:rsidRPr="0016468A">
                  <w:rPr>
                    <w:rStyle w:val="Hyperlink"/>
                    <w:rFonts w:eastAsiaTheme="majorEastAsia"/>
                    <w:noProof/>
                  </w:rPr>
                  <w:t>Highlights and Success Stories</w:t>
                </w:r>
                <w:r w:rsidR="00983E32">
                  <w:rPr>
                    <w:noProof/>
                    <w:webHidden/>
                  </w:rPr>
                  <w:tab/>
                </w:r>
                <w:r w:rsidR="00983E32">
                  <w:rPr>
                    <w:noProof/>
                    <w:webHidden/>
                  </w:rPr>
                  <w:fldChar w:fldCharType="begin"/>
                </w:r>
                <w:r w:rsidR="00983E32">
                  <w:rPr>
                    <w:noProof/>
                    <w:webHidden/>
                  </w:rPr>
                  <w:instrText xml:space="preserve"> PAGEREF _Toc103152348 \h </w:instrText>
                </w:r>
                <w:r w:rsidR="00983E32">
                  <w:rPr>
                    <w:noProof/>
                    <w:webHidden/>
                  </w:rPr>
                </w:r>
                <w:r w:rsidR="00983E32">
                  <w:rPr>
                    <w:noProof/>
                    <w:webHidden/>
                  </w:rPr>
                  <w:fldChar w:fldCharType="separate"/>
                </w:r>
                <w:r w:rsidR="00983E32">
                  <w:rPr>
                    <w:noProof/>
                    <w:webHidden/>
                  </w:rPr>
                  <w:t>10</w:t>
                </w:r>
                <w:r w:rsidR="00983E32">
                  <w:rPr>
                    <w:noProof/>
                    <w:webHidden/>
                  </w:rPr>
                  <w:fldChar w:fldCharType="end"/>
                </w:r>
              </w:hyperlink>
            </w:p>
            <w:p w14:paraId="46F808E4" w14:textId="58B9DF43" w:rsidR="00983E32" w:rsidRDefault="001E5CA5">
              <w:pPr>
                <w:pStyle w:val="TOC2"/>
                <w:tabs>
                  <w:tab w:val="right" w:leader="dot" w:pos="10070"/>
                </w:tabs>
                <w:rPr>
                  <w:rFonts w:asciiTheme="minorHAnsi" w:eastAsiaTheme="minorEastAsia" w:hAnsiTheme="minorHAnsi" w:cstheme="minorBidi"/>
                  <w:noProof/>
                  <w:lang w:bidi="ar-SA"/>
                </w:rPr>
              </w:pPr>
              <w:hyperlink w:anchor="_Toc103152349" w:history="1">
                <w:r w:rsidR="00983E32" w:rsidRPr="0016468A">
                  <w:rPr>
                    <w:rStyle w:val="Hyperlink"/>
                    <w:rFonts w:eastAsiaTheme="majorEastAsia"/>
                    <w:noProof/>
                  </w:rPr>
                  <w:t>Appendix A</w:t>
                </w:r>
                <w:r w:rsidR="00983E32">
                  <w:rPr>
                    <w:noProof/>
                    <w:webHidden/>
                  </w:rPr>
                  <w:tab/>
                </w:r>
                <w:r w:rsidR="00983E32">
                  <w:rPr>
                    <w:noProof/>
                    <w:webHidden/>
                  </w:rPr>
                  <w:fldChar w:fldCharType="begin"/>
                </w:r>
                <w:r w:rsidR="00983E32">
                  <w:rPr>
                    <w:noProof/>
                    <w:webHidden/>
                  </w:rPr>
                  <w:instrText xml:space="preserve"> PAGEREF _Toc103152349 \h </w:instrText>
                </w:r>
                <w:r w:rsidR="00983E32">
                  <w:rPr>
                    <w:noProof/>
                    <w:webHidden/>
                  </w:rPr>
                </w:r>
                <w:r w:rsidR="00983E32">
                  <w:rPr>
                    <w:noProof/>
                    <w:webHidden/>
                  </w:rPr>
                  <w:fldChar w:fldCharType="separate"/>
                </w:r>
                <w:r w:rsidR="00983E32">
                  <w:rPr>
                    <w:noProof/>
                    <w:webHidden/>
                  </w:rPr>
                  <w:t>12</w:t>
                </w:r>
                <w:r w:rsidR="00983E32">
                  <w:rPr>
                    <w:noProof/>
                    <w:webHidden/>
                  </w:rPr>
                  <w:fldChar w:fldCharType="end"/>
                </w:r>
              </w:hyperlink>
            </w:p>
            <w:p w14:paraId="5AEF6FDE" w14:textId="3479E746" w:rsidR="008925DA" w:rsidRPr="00CE513C" w:rsidRDefault="008925DA">
              <w:pPr>
                <w:rPr>
                  <w:b/>
                  <w:bCs/>
                  <w:noProof/>
                </w:rPr>
              </w:pPr>
              <w:r w:rsidRPr="00CE513C">
                <w:rPr>
                  <w:b/>
                  <w:bCs/>
                  <w:noProof/>
                </w:rPr>
                <w:fldChar w:fldCharType="end"/>
              </w:r>
            </w:p>
          </w:sdtContent>
        </w:sdt>
        <w:p w14:paraId="062E9C30" w14:textId="618743A3" w:rsidR="008925DA" w:rsidRPr="00CE513C" w:rsidRDefault="008925DA">
          <w:pPr>
            <w:rPr>
              <w:b/>
              <w:bCs/>
              <w:noProof/>
            </w:rPr>
          </w:pPr>
          <w:r w:rsidRPr="00CE513C">
            <w:rPr>
              <w:b/>
              <w:bCs/>
              <w:noProof/>
            </w:rPr>
            <w:br w:type="page"/>
          </w:r>
        </w:p>
        <w:p w14:paraId="5EDF03E1" w14:textId="37FE131F" w:rsidR="00E41BD2" w:rsidRPr="00CE513C" w:rsidRDefault="00665241" w:rsidP="00E41BD2">
          <w:pPr>
            <w:pStyle w:val="Heading2"/>
          </w:pPr>
          <w:bookmarkStart w:id="1" w:name="_Toc103152341"/>
          <w:r w:rsidRPr="00CE513C">
            <w:lastRenderedPageBreak/>
            <w:t>Background</w:t>
          </w:r>
          <w:bookmarkEnd w:id="1"/>
        </w:p>
        <w:p w14:paraId="5645ECFC" w14:textId="77777777" w:rsidR="00720C26" w:rsidRDefault="0029049E" w:rsidP="00720C26">
          <w:pPr>
            <w:pStyle w:val="BodyText"/>
          </w:pPr>
          <w:r w:rsidRPr="0029049E">
            <w:t xml:space="preserve">Under the Minnesota Jobs Skills Partnership (MJSP) six percent funds, $1,000,000 dollars was made available </w:t>
          </w:r>
          <w:r>
            <w:t xml:space="preserve">in late 2020 </w:t>
          </w:r>
          <w:r w:rsidRPr="0029049E">
            <w:t xml:space="preserve">for the Minnesota Economic Recovery Jobs Program. </w:t>
          </w:r>
          <w:r w:rsidR="00720C26" w:rsidRPr="0029049E">
            <w:t>The Department of Employment and Economic Development (DEED) retained five percent of these funds for administration and monitoring, making the total amount available for grant</w:t>
          </w:r>
          <w:r w:rsidR="00720C26">
            <w:t xml:space="preserve"> awards </w:t>
          </w:r>
          <w:r w:rsidR="00720C26" w:rsidRPr="0029049E">
            <w:t>$950,000.</w:t>
          </w:r>
        </w:p>
        <w:p w14:paraId="0676F900" w14:textId="179EC753" w:rsidR="00720C26" w:rsidRPr="00CE513C" w:rsidRDefault="00720C26" w:rsidP="0068649F">
          <w:pPr>
            <w:pStyle w:val="BodyText"/>
          </w:pPr>
          <w:r>
            <w:t xml:space="preserve">The </w:t>
          </w:r>
          <w:r w:rsidRPr="00720C26">
            <w:t xml:space="preserve">Minnesota Economic Recovery Jobs </w:t>
          </w:r>
          <w:r>
            <w:t xml:space="preserve">Program is a competitive grant program that sought proposals </w:t>
          </w:r>
          <w:r w:rsidRPr="00720C26">
            <w:t>from qualified responders to develop and implement short-term career readiness, work experience, and employment program</w:t>
          </w:r>
          <w:r>
            <w:t>s</w:t>
          </w:r>
          <w:r w:rsidRPr="00720C26">
            <w:t xml:space="preserve"> for young adults. Through the work of the selected grantees, the goal </w:t>
          </w:r>
          <w:r>
            <w:t xml:space="preserve">of the program </w:t>
          </w:r>
          <w:r w:rsidRPr="00720C26">
            <w:t>is to serve</w:t>
          </w:r>
          <w:r>
            <w:t xml:space="preserve"> 200 </w:t>
          </w:r>
          <w:r w:rsidRPr="00720C26">
            <w:t>young adults (age 18-25), in the seven-county metro area, targeting low-income individuals.</w:t>
          </w:r>
        </w:p>
        <w:p w14:paraId="47E91923" w14:textId="24659E11" w:rsidR="007F7097" w:rsidRPr="00CE513C" w:rsidRDefault="001263C2" w:rsidP="00E41BD2">
          <w:pPr>
            <w:pStyle w:val="Heading3"/>
            <w:rPr>
              <w:iCs/>
            </w:rPr>
          </w:pPr>
          <w:bookmarkStart w:id="2" w:name="_Toc103152342"/>
          <w:r w:rsidRPr="00CE513C">
            <w:rPr>
              <w:iCs/>
            </w:rPr>
            <w:t>Grant Requirements</w:t>
          </w:r>
          <w:bookmarkEnd w:id="2"/>
        </w:p>
        <w:p w14:paraId="07CD2366" w14:textId="79306E2C" w:rsidR="00720C26" w:rsidRDefault="00720C26" w:rsidP="00720C26">
          <w:pPr>
            <w:pStyle w:val="BodyText"/>
          </w:pPr>
          <w:r>
            <w:t>Eligible applicants were nonprofit organizations, community-based organizations, and tribal governments that have an existing current contract with DEED. Preference was given to organizations with demonstrated effectiveness in delivering services in Black, Indigenous, and People of Color (BIPOC) communities and to organizations that have demonstrated effectiveness with conducting employer engagement and job placements.</w:t>
          </w:r>
        </w:p>
        <w:p w14:paraId="63D3B627" w14:textId="0F7AA43D" w:rsidR="00720C26" w:rsidRDefault="00720C26" w:rsidP="00720C26">
          <w:pPr>
            <w:pStyle w:val="BodyText"/>
          </w:pPr>
          <w:r>
            <w:t>The proposed programs must provide the following services:</w:t>
          </w:r>
        </w:p>
        <w:p w14:paraId="4BFFD58D" w14:textId="77777777" w:rsidR="00720C26" w:rsidRDefault="00720C26" w:rsidP="00720C26">
          <w:pPr>
            <w:pStyle w:val="BodyText"/>
            <w:ind w:left="720"/>
            <w:contextualSpacing/>
          </w:pPr>
          <w:r>
            <w:t>•</w:t>
          </w:r>
          <w:r>
            <w:tab/>
            <w:t xml:space="preserve">Outreach, participant recruitment and assessment </w:t>
          </w:r>
        </w:p>
        <w:p w14:paraId="30B064D4" w14:textId="77777777" w:rsidR="00720C26" w:rsidRDefault="00720C26" w:rsidP="00720C26">
          <w:pPr>
            <w:pStyle w:val="BodyText"/>
            <w:ind w:left="720"/>
            <w:contextualSpacing/>
          </w:pPr>
          <w:r>
            <w:t>•</w:t>
          </w:r>
          <w:r>
            <w:tab/>
            <w:t xml:space="preserve">Training including, career readiness and life skills training, such as financial and digital literacy </w:t>
          </w:r>
        </w:p>
        <w:p w14:paraId="7A18F45A" w14:textId="77777777" w:rsidR="00720C26" w:rsidRDefault="00720C26" w:rsidP="00720C26">
          <w:pPr>
            <w:pStyle w:val="BodyText"/>
            <w:ind w:left="720"/>
            <w:contextualSpacing/>
          </w:pPr>
          <w:r>
            <w:t>•</w:t>
          </w:r>
          <w:r>
            <w:tab/>
            <w:t>Age specific, short-term, paid work experience opportunities</w:t>
          </w:r>
        </w:p>
        <w:p w14:paraId="2A630AA5" w14:textId="77777777" w:rsidR="00720C26" w:rsidRDefault="00720C26" w:rsidP="00720C26">
          <w:pPr>
            <w:pStyle w:val="BodyText"/>
            <w:ind w:left="720"/>
            <w:contextualSpacing/>
          </w:pPr>
          <w:r>
            <w:t>•</w:t>
          </w:r>
          <w:r>
            <w:tab/>
            <w:t>Case management and support services</w:t>
          </w:r>
        </w:p>
        <w:p w14:paraId="4904B214" w14:textId="349C2FCA" w:rsidR="00720C26" w:rsidRPr="00CE513C" w:rsidRDefault="00720C26" w:rsidP="00720C26">
          <w:pPr>
            <w:pStyle w:val="BodyText"/>
            <w:ind w:left="720"/>
            <w:contextualSpacing/>
          </w:pPr>
          <w:r>
            <w:t>•</w:t>
          </w:r>
          <w:r>
            <w:tab/>
            <w:t>Post program follow-up</w:t>
          </w:r>
        </w:p>
        <w:p w14:paraId="48B4E6AF" w14:textId="77777777" w:rsidR="001263C2" w:rsidRPr="00CE513C" w:rsidRDefault="001263C2" w:rsidP="001263C2">
          <w:pPr>
            <w:pStyle w:val="Heading3"/>
            <w:rPr>
              <w:iCs/>
            </w:rPr>
          </w:pPr>
          <w:bookmarkStart w:id="3" w:name="_Toc103152343"/>
          <w:r w:rsidRPr="00CE513C">
            <w:rPr>
              <w:iCs/>
            </w:rPr>
            <w:t>Overview of the Request for Proposals Process</w:t>
          </w:r>
          <w:bookmarkEnd w:id="3"/>
        </w:p>
        <w:p w14:paraId="3309AF8E" w14:textId="534D5F36" w:rsidR="00720C26" w:rsidRDefault="001263C2" w:rsidP="000E2ACF">
          <w:pPr>
            <w:pStyle w:val="BodyText"/>
            <w:rPr>
              <w:rFonts w:asciiTheme="majorHAnsi" w:hAnsiTheme="majorHAnsi"/>
            </w:rPr>
          </w:pPr>
          <w:r w:rsidRPr="00CE513C">
            <w:t xml:space="preserve">DEED developed a Request For Proposals (RFP) </w:t>
          </w:r>
          <w:r w:rsidR="009D7471">
            <w:t>to award</w:t>
          </w:r>
          <w:r w:rsidRPr="00CE513C">
            <w:t xml:space="preserve"> </w:t>
          </w:r>
          <w:r w:rsidR="0029049E">
            <w:t xml:space="preserve">the </w:t>
          </w:r>
          <w:r w:rsidR="0029049E" w:rsidRPr="0029049E">
            <w:t>Minnesota Economic Recovery Jobs Program</w:t>
          </w:r>
          <w:r w:rsidR="0029049E" w:rsidRPr="00CE513C">
            <w:t xml:space="preserve"> </w:t>
          </w:r>
          <w:r w:rsidR="009D7471">
            <w:t xml:space="preserve">grant </w:t>
          </w:r>
          <w:r w:rsidRPr="00CE513C">
            <w:t xml:space="preserve">funds. </w:t>
          </w:r>
          <w:r w:rsidRPr="00CE513C">
            <w:rPr>
              <w:rFonts w:asciiTheme="majorHAnsi" w:hAnsiTheme="majorHAnsi"/>
            </w:rPr>
            <w:t xml:space="preserve">This RFP was posted on DEED’s website on </w:t>
          </w:r>
          <w:r w:rsidR="0029049E">
            <w:rPr>
              <w:rFonts w:asciiTheme="majorHAnsi" w:hAnsiTheme="majorHAnsi"/>
            </w:rPr>
            <w:t xml:space="preserve">November 19, 2020 </w:t>
          </w:r>
          <w:r w:rsidRPr="00CE513C">
            <w:rPr>
              <w:rFonts w:asciiTheme="majorHAnsi" w:hAnsiTheme="majorHAnsi"/>
            </w:rPr>
            <w:t xml:space="preserve">under </w:t>
          </w:r>
          <w:hyperlink r:id="rId12" w:history="1">
            <w:r w:rsidRPr="00CE513C">
              <w:rPr>
                <w:rStyle w:val="Hyperlink"/>
                <w:rFonts w:asciiTheme="majorHAnsi" w:hAnsiTheme="majorHAnsi"/>
              </w:rPr>
              <w:t>Grant and Contract Opportunities</w:t>
            </w:r>
          </w:hyperlink>
          <w:r w:rsidRPr="00CE513C">
            <w:rPr>
              <w:rFonts w:asciiTheme="majorHAnsi" w:hAnsiTheme="majorHAnsi"/>
            </w:rPr>
            <w:t>.</w:t>
          </w:r>
          <w:r w:rsidR="00720C26">
            <w:rPr>
              <w:rFonts w:asciiTheme="majorHAnsi" w:hAnsiTheme="majorHAnsi"/>
            </w:rPr>
            <w:t xml:space="preserve"> </w:t>
          </w:r>
          <w:r w:rsidR="00720C26" w:rsidRPr="00720C26">
            <w:rPr>
              <w:rFonts w:asciiTheme="majorHAnsi" w:hAnsiTheme="majorHAnsi"/>
            </w:rPr>
            <w:t>Applications were due by 4:00 p.m. on December 18, 2020</w:t>
          </w:r>
          <w:r w:rsidR="00720C26">
            <w:rPr>
              <w:rFonts w:asciiTheme="majorHAnsi" w:hAnsiTheme="majorHAnsi"/>
            </w:rPr>
            <w:t>.</w:t>
          </w:r>
        </w:p>
        <w:p w14:paraId="6AEDBB3E" w14:textId="647D393C" w:rsidR="00720C26" w:rsidRDefault="00720C26" w:rsidP="000E2ACF">
          <w:pPr>
            <w:pStyle w:val="BodyText"/>
            <w:rPr>
              <w:rFonts w:asciiTheme="majorHAnsi" w:hAnsiTheme="majorHAnsi"/>
            </w:rPr>
          </w:pPr>
          <w:r w:rsidRPr="00720C26">
            <w:rPr>
              <w:rFonts w:asciiTheme="majorHAnsi" w:hAnsiTheme="majorHAnsi"/>
            </w:rPr>
            <w:t>The DEED Communications team notified individuals, organizations, and an extensive list of interested parties regarding the release of the RFP for the Minnesota Economic Recovery Jobs Program. The Youth Development team also shared the RFP with their networks. Pursuant to State law, the State Register included information about RFPs available through DEED.</w:t>
          </w:r>
        </w:p>
        <w:p w14:paraId="38B8E295" w14:textId="54868FAF" w:rsidR="00720C26" w:rsidRPr="00CE513C" w:rsidRDefault="00720C26" w:rsidP="000E2ACF">
          <w:pPr>
            <w:pStyle w:val="BodyText"/>
            <w:rPr>
              <w:rFonts w:asciiTheme="majorHAnsi" w:hAnsiTheme="majorHAnsi"/>
            </w:rPr>
          </w:pPr>
          <w:r w:rsidRPr="00720C26">
            <w:rPr>
              <w:rFonts w:asciiTheme="majorHAnsi" w:hAnsiTheme="majorHAnsi"/>
            </w:rPr>
            <w:t>The RFP directed potential applicants to submit all questions on the RFP via e-mail to a specified DEED contact. Questions submitted in writing were answered on a weekly basis and published on DEED’s Grant and Contract Opportunities website.</w:t>
          </w:r>
        </w:p>
        <w:p w14:paraId="7FFE2CE5" w14:textId="2CB81F5F" w:rsidR="009D7471" w:rsidRDefault="00456FB3" w:rsidP="009D7471">
          <w:pPr>
            <w:pStyle w:val="Heading2"/>
          </w:pPr>
          <w:bookmarkStart w:id="4" w:name="_Toc103152344"/>
          <w:r w:rsidRPr="00CE513C">
            <w:lastRenderedPageBreak/>
            <w:t>Grantees</w:t>
          </w:r>
          <w:bookmarkEnd w:id="4"/>
        </w:p>
        <w:p w14:paraId="4FC075E3" w14:textId="38938D22" w:rsidR="005421C2" w:rsidRDefault="009D7471" w:rsidP="001263C2">
          <w:pPr>
            <w:pStyle w:val="BodyText"/>
          </w:pPr>
          <w:r>
            <w:t>Thirteen (</w:t>
          </w:r>
          <w:r w:rsidRPr="009D7471">
            <w:t>13</w:t>
          </w:r>
          <w:r>
            <w:t>)</w:t>
          </w:r>
          <w:r w:rsidRPr="009D7471">
            <w:t xml:space="preserve"> proposals were submitted to DEED by December 18 deadline, representing over $3.14 million in funding requests.</w:t>
          </w:r>
          <w:r>
            <w:t xml:space="preserve"> </w:t>
          </w:r>
          <w:r w:rsidRPr="009D7471">
            <w:t>All proposals were read and scored by a team of trained reviewers. Each proposal was evaluated on a 100-point scale, as outlined in the RFP.</w:t>
          </w:r>
          <w:r>
            <w:t xml:space="preserve"> </w:t>
          </w:r>
          <w:r w:rsidRPr="009D7471">
            <w:t xml:space="preserve">The following organizations were selected </w:t>
          </w:r>
          <w:r>
            <w:t>to receive grant funds for</w:t>
          </w:r>
          <w:r w:rsidRPr="009D7471">
            <w:t xml:space="preserve"> the Minnesota Economic Recovery Jobs Program.</w:t>
          </w:r>
        </w:p>
        <w:tbl>
          <w:tblPr>
            <w:tblW w:w="10215" w:type="dxa"/>
            <w:tblInd w:w="-5" w:type="dxa"/>
            <w:tblLook w:val="04A0" w:firstRow="1" w:lastRow="0" w:firstColumn="1" w:lastColumn="0" w:noHBand="0" w:noVBand="1"/>
          </w:tblPr>
          <w:tblGrid>
            <w:gridCol w:w="2970"/>
            <w:gridCol w:w="3240"/>
            <w:gridCol w:w="1620"/>
            <w:gridCol w:w="2385"/>
          </w:tblGrid>
          <w:tr w:rsidR="009D7471" w:rsidRPr="00A87B7B" w14:paraId="105B7B37" w14:textId="77777777" w:rsidTr="001E509C">
            <w:trPr>
              <w:trHeight w:val="638"/>
            </w:trPr>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EFFB16" w14:textId="77777777" w:rsidR="009D7471" w:rsidRPr="001E509C" w:rsidRDefault="009D7471" w:rsidP="00285BAB">
                <w:pPr>
                  <w:jc w:val="center"/>
                  <w:rPr>
                    <w:b/>
                    <w:bCs/>
                  </w:rPr>
                </w:pPr>
                <w:r w:rsidRPr="001E509C">
                  <w:rPr>
                    <w:b/>
                    <w:bCs/>
                  </w:rPr>
                  <w:t>Organization</w:t>
                </w:r>
              </w:p>
            </w:tc>
            <w:tc>
              <w:tcPr>
                <w:tcW w:w="32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2807C9F" w14:textId="77777777" w:rsidR="009D7471" w:rsidRPr="001E509C" w:rsidRDefault="009D7471" w:rsidP="00285BAB">
                <w:pPr>
                  <w:jc w:val="center"/>
                  <w:rPr>
                    <w:b/>
                    <w:bCs/>
                  </w:rPr>
                </w:pPr>
                <w:r w:rsidRPr="001E509C">
                  <w:rPr>
                    <w:b/>
                    <w:bCs/>
                  </w:rPr>
                  <w:t>Area Served</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6399C87" w14:textId="77777777" w:rsidR="009D7471" w:rsidRPr="001E509C" w:rsidRDefault="009D7471" w:rsidP="00285BAB">
                <w:pPr>
                  <w:jc w:val="center"/>
                  <w:rPr>
                    <w:b/>
                    <w:bCs/>
                  </w:rPr>
                </w:pPr>
                <w:r w:rsidRPr="001E509C">
                  <w:rPr>
                    <w:b/>
                    <w:bCs/>
                  </w:rPr>
                  <w:t>Grant Award</w:t>
                </w:r>
              </w:p>
            </w:tc>
            <w:tc>
              <w:tcPr>
                <w:tcW w:w="23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B36CCCC" w14:textId="7C285DD4" w:rsidR="009D7471" w:rsidRPr="001E509C" w:rsidRDefault="009D7471" w:rsidP="00285BAB">
                <w:pPr>
                  <w:jc w:val="center"/>
                  <w:rPr>
                    <w:b/>
                    <w:bCs/>
                  </w:rPr>
                </w:pPr>
                <w:r w:rsidRPr="001E509C">
                  <w:rPr>
                    <w:b/>
                    <w:bCs/>
                  </w:rPr>
                  <w:t xml:space="preserve">Number of Individuals </w:t>
                </w:r>
                <w:r w:rsidR="00F575D9" w:rsidRPr="001E509C">
                  <w:rPr>
                    <w:b/>
                    <w:bCs/>
                  </w:rPr>
                  <w:t xml:space="preserve">to be </w:t>
                </w:r>
                <w:r w:rsidRPr="001E509C">
                  <w:rPr>
                    <w:b/>
                    <w:bCs/>
                  </w:rPr>
                  <w:t xml:space="preserve">Served </w:t>
                </w:r>
              </w:p>
            </w:tc>
          </w:tr>
          <w:tr w:rsidR="009D7471" w:rsidRPr="00A87B7B" w14:paraId="4030D6F3" w14:textId="77777777" w:rsidTr="00F575D9">
            <w:trPr>
              <w:trHeight w:val="510"/>
            </w:trPr>
            <w:tc>
              <w:tcPr>
                <w:tcW w:w="2970" w:type="dxa"/>
                <w:tcBorders>
                  <w:top w:val="single" w:sz="4" w:space="0" w:color="auto"/>
                  <w:left w:val="single" w:sz="4" w:space="0" w:color="auto"/>
                  <w:bottom w:val="single" w:sz="4" w:space="0" w:color="auto"/>
                  <w:right w:val="single" w:sz="4" w:space="0" w:color="auto"/>
                </w:tcBorders>
                <w:shd w:val="clear" w:color="000000" w:fill="FFFFFF"/>
                <w:vAlign w:val="center"/>
              </w:tcPr>
              <w:p w14:paraId="20929CF0" w14:textId="77777777" w:rsidR="009D7471" w:rsidRPr="0056769E" w:rsidRDefault="009D7471" w:rsidP="00285BAB">
                <w:pPr>
                  <w:jc w:val="center"/>
                  <w:rPr>
                    <w:color w:val="000000"/>
                  </w:rPr>
                </w:pPr>
                <w:r w:rsidRPr="0056769E">
                  <w:rPr>
                    <w:color w:val="000000"/>
                  </w:rPr>
                  <w:t>HIRED</w:t>
                </w:r>
              </w:p>
            </w:tc>
            <w:tc>
              <w:tcPr>
                <w:tcW w:w="3240" w:type="dxa"/>
                <w:tcBorders>
                  <w:top w:val="single" w:sz="4" w:space="0" w:color="auto"/>
                  <w:left w:val="nil"/>
                  <w:bottom w:val="single" w:sz="4" w:space="0" w:color="auto"/>
                  <w:right w:val="single" w:sz="4" w:space="0" w:color="auto"/>
                </w:tcBorders>
                <w:shd w:val="clear" w:color="000000" w:fill="FFFFFF"/>
                <w:vAlign w:val="center"/>
              </w:tcPr>
              <w:p w14:paraId="339B6041" w14:textId="3C7B4F1B" w:rsidR="009D7471" w:rsidRPr="0056769E" w:rsidRDefault="009D7471" w:rsidP="00285BAB">
                <w:pPr>
                  <w:jc w:val="center"/>
                  <w:rPr>
                    <w:color w:val="000000"/>
                  </w:rPr>
                </w:pPr>
                <w:r w:rsidRPr="0056769E">
                  <w:rPr>
                    <w:color w:val="000000"/>
                  </w:rPr>
                  <w:t xml:space="preserve">North Minneapolis, and </w:t>
                </w:r>
                <w:r w:rsidR="00CA591B" w:rsidRPr="0056769E">
                  <w:rPr>
                    <w:color w:val="000000"/>
                  </w:rPr>
                  <w:t>s</w:t>
                </w:r>
                <w:r w:rsidRPr="0056769E">
                  <w:rPr>
                    <w:color w:val="000000"/>
                  </w:rPr>
                  <w:t xml:space="preserve">uburbs </w:t>
                </w:r>
                <w:r w:rsidR="00CA591B" w:rsidRPr="0056769E">
                  <w:rPr>
                    <w:color w:val="000000"/>
                  </w:rPr>
                  <w:t xml:space="preserve">of </w:t>
                </w:r>
                <w:r w:rsidRPr="0056769E">
                  <w:rPr>
                    <w:color w:val="000000"/>
                  </w:rPr>
                  <w:t>Brooklyn Park and Brooklyn Center</w:t>
                </w:r>
              </w:p>
            </w:tc>
            <w:tc>
              <w:tcPr>
                <w:tcW w:w="1620" w:type="dxa"/>
                <w:tcBorders>
                  <w:top w:val="single" w:sz="4" w:space="0" w:color="auto"/>
                  <w:left w:val="nil"/>
                  <w:bottom w:val="single" w:sz="4" w:space="0" w:color="auto"/>
                  <w:right w:val="single" w:sz="4" w:space="0" w:color="auto"/>
                </w:tcBorders>
                <w:shd w:val="clear" w:color="000000" w:fill="FFFFFF"/>
                <w:noWrap/>
                <w:vAlign w:val="center"/>
              </w:tcPr>
              <w:p w14:paraId="6AC878E0" w14:textId="77777777" w:rsidR="009D7471" w:rsidRPr="0056769E" w:rsidRDefault="009D7471" w:rsidP="00285BAB">
                <w:pPr>
                  <w:jc w:val="right"/>
                  <w:rPr>
                    <w:color w:val="000000"/>
                  </w:rPr>
                </w:pPr>
                <w:r w:rsidRPr="0056769E">
                  <w:rPr>
                    <w:color w:val="000000"/>
                  </w:rPr>
                  <w:t>$200,000</w:t>
                </w:r>
              </w:p>
            </w:tc>
            <w:tc>
              <w:tcPr>
                <w:tcW w:w="2385" w:type="dxa"/>
                <w:tcBorders>
                  <w:top w:val="single" w:sz="4" w:space="0" w:color="auto"/>
                  <w:left w:val="nil"/>
                  <w:bottom w:val="single" w:sz="4" w:space="0" w:color="auto"/>
                  <w:right w:val="single" w:sz="4" w:space="0" w:color="auto"/>
                </w:tcBorders>
                <w:shd w:val="clear" w:color="000000" w:fill="FFFFFF"/>
                <w:vAlign w:val="center"/>
              </w:tcPr>
              <w:p w14:paraId="27D20C5B" w14:textId="77777777" w:rsidR="009D7471" w:rsidRPr="0056769E" w:rsidRDefault="009D7471" w:rsidP="00285BAB">
                <w:pPr>
                  <w:jc w:val="center"/>
                  <w:rPr>
                    <w:color w:val="000000"/>
                  </w:rPr>
                </w:pPr>
                <w:r w:rsidRPr="0056769E">
                  <w:rPr>
                    <w:color w:val="000000"/>
                  </w:rPr>
                  <w:t>40</w:t>
                </w:r>
              </w:p>
            </w:tc>
          </w:tr>
          <w:tr w:rsidR="009D7471" w:rsidRPr="00A87B7B" w14:paraId="21CEDE72" w14:textId="77777777" w:rsidTr="00F575D9">
            <w:trPr>
              <w:trHeight w:val="620"/>
            </w:trPr>
            <w:tc>
              <w:tcPr>
                <w:tcW w:w="2970" w:type="dxa"/>
                <w:tcBorders>
                  <w:top w:val="nil"/>
                  <w:left w:val="single" w:sz="4" w:space="0" w:color="auto"/>
                  <w:bottom w:val="single" w:sz="4" w:space="0" w:color="auto"/>
                  <w:right w:val="single" w:sz="4" w:space="0" w:color="auto"/>
                </w:tcBorders>
                <w:shd w:val="clear" w:color="000000" w:fill="FFFFFF"/>
                <w:vAlign w:val="center"/>
              </w:tcPr>
              <w:p w14:paraId="2CB30497" w14:textId="77777777" w:rsidR="009D7471" w:rsidRPr="0056769E" w:rsidRDefault="009D7471" w:rsidP="00285BAB">
                <w:pPr>
                  <w:jc w:val="center"/>
                  <w:rPr>
                    <w:color w:val="000000"/>
                  </w:rPr>
                </w:pPr>
                <w:r w:rsidRPr="0056769E">
                  <w:rPr>
                    <w:color w:val="000000"/>
                  </w:rPr>
                  <w:t>Tree Trust</w:t>
                </w:r>
              </w:p>
            </w:tc>
            <w:tc>
              <w:tcPr>
                <w:tcW w:w="3240" w:type="dxa"/>
                <w:tcBorders>
                  <w:top w:val="nil"/>
                  <w:left w:val="nil"/>
                  <w:bottom w:val="single" w:sz="4" w:space="0" w:color="auto"/>
                  <w:right w:val="single" w:sz="4" w:space="0" w:color="auto"/>
                </w:tcBorders>
                <w:shd w:val="clear" w:color="000000" w:fill="FFFFFF"/>
                <w:vAlign w:val="center"/>
              </w:tcPr>
              <w:p w14:paraId="6AC3E64D" w14:textId="77777777" w:rsidR="009D7471" w:rsidRPr="0056769E" w:rsidRDefault="009D7471" w:rsidP="00285BAB">
                <w:pPr>
                  <w:jc w:val="center"/>
                  <w:rPr>
                    <w:color w:val="000000"/>
                  </w:rPr>
                </w:pPr>
                <w:r w:rsidRPr="0056769E">
                  <w:rPr>
                    <w:color w:val="000000"/>
                  </w:rPr>
                  <w:t>Twin Cities seven-county metropolitan area</w:t>
                </w:r>
              </w:p>
            </w:tc>
            <w:tc>
              <w:tcPr>
                <w:tcW w:w="1620" w:type="dxa"/>
                <w:tcBorders>
                  <w:top w:val="nil"/>
                  <w:left w:val="nil"/>
                  <w:bottom w:val="single" w:sz="4" w:space="0" w:color="auto"/>
                  <w:right w:val="single" w:sz="4" w:space="0" w:color="auto"/>
                </w:tcBorders>
                <w:shd w:val="clear" w:color="000000" w:fill="FFFFFF"/>
                <w:noWrap/>
                <w:vAlign w:val="center"/>
              </w:tcPr>
              <w:p w14:paraId="786702D1" w14:textId="77777777" w:rsidR="009D7471" w:rsidRPr="0056769E" w:rsidRDefault="009D7471" w:rsidP="00285BAB">
                <w:pPr>
                  <w:jc w:val="right"/>
                  <w:rPr>
                    <w:color w:val="000000"/>
                  </w:rPr>
                </w:pPr>
                <w:r w:rsidRPr="0056769E">
                  <w:rPr>
                    <w:color w:val="000000"/>
                  </w:rPr>
                  <w:t>$249,332</w:t>
                </w:r>
              </w:p>
            </w:tc>
            <w:tc>
              <w:tcPr>
                <w:tcW w:w="2385" w:type="dxa"/>
                <w:tcBorders>
                  <w:top w:val="nil"/>
                  <w:left w:val="nil"/>
                  <w:bottom w:val="single" w:sz="4" w:space="0" w:color="auto"/>
                  <w:right w:val="single" w:sz="4" w:space="0" w:color="auto"/>
                </w:tcBorders>
                <w:shd w:val="clear" w:color="000000" w:fill="FFFFFF"/>
                <w:vAlign w:val="center"/>
              </w:tcPr>
              <w:p w14:paraId="22E40CE1" w14:textId="77777777" w:rsidR="009D7471" w:rsidRPr="0056769E" w:rsidRDefault="009D7471" w:rsidP="00285BAB">
                <w:pPr>
                  <w:jc w:val="center"/>
                  <w:rPr>
                    <w:color w:val="000000"/>
                  </w:rPr>
                </w:pPr>
                <w:r w:rsidRPr="0056769E">
                  <w:rPr>
                    <w:color w:val="000000"/>
                  </w:rPr>
                  <w:t>53</w:t>
                </w:r>
              </w:p>
            </w:tc>
          </w:tr>
          <w:tr w:rsidR="009D7471" w:rsidRPr="00A87B7B" w14:paraId="0E4DCBEC" w14:textId="77777777" w:rsidTr="00F575D9">
            <w:trPr>
              <w:trHeight w:val="620"/>
            </w:trPr>
            <w:tc>
              <w:tcPr>
                <w:tcW w:w="2970" w:type="dxa"/>
                <w:tcBorders>
                  <w:top w:val="nil"/>
                  <w:left w:val="single" w:sz="4" w:space="0" w:color="auto"/>
                  <w:bottom w:val="single" w:sz="4" w:space="0" w:color="auto"/>
                  <w:right w:val="single" w:sz="4" w:space="0" w:color="auto"/>
                </w:tcBorders>
                <w:shd w:val="clear" w:color="000000" w:fill="FFFFFF"/>
                <w:vAlign w:val="center"/>
              </w:tcPr>
              <w:p w14:paraId="18387290" w14:textId="77777777" w:rsidR="009D7471" w:rsidRPr="0056769E" w:rsidRDefault="009D7471" w:rsidP="00285BAB">
                <w:pPr>
                  <w:jc w:val="center"/>
                  <w:rPr>
                    <w:color w:val="000000"/>
                  </w:rPr>
                </w:pPr>
                <w:r w:rsidRPr="0056769E">
                  <w:rPr>
                    <w:color w:val="000000"/>
                  </w:rPr>
                  <w:t>African Immigrants Community Services</w:t>
                </w:r>
              </w:p>
            </w:tc>
            <w:tc>
              <w:tcPr>
                <w:tcW w:w="3240" w:type="dxa"/>
                <w:tcBorders>
                  <w:top w:val="nil"/>
                  <w:left w:val="nil"/>
                  <w:bottom w:val="single" w:sz="4" w:space="0" w:color="auto"/>
                  <w:right w:val="single" w:sz="4" w:space="0" w:color="auto"/>
                </w:tcBorders>
                <w:shd w:val="clear" w:color="000000" w:fill="FFFFFF"/>
                <w:vAlign w:val="center"/>
              </w:tcPr>
              <w:p w14:paraId="488FCC2A" w14:textId="77777777" w:rsidR="009D7471" w:rsidRPr="0056769E" w:rsidRDefault="009D7471" w:rsidP="00285BAB">
                <w:pPr>
                  <w:jc w:val="center"/>
                  <w:rPr>
                    <w:color w:val="000000"/>
                  </w:rPr>
                </w:pPr>
                <w:r w:rsidRPr="0056769E">
                  <w:rPr>
                    <w:color w:val="000000"/>
                  </w:rPr>
                  <w:t>Twin Cities (focus in Cedar-Riverside and Phillips neighborhoods)</w:t>
                </w:r>
              </w:p>
            </w:tc>
            <w:tc>
              <w:tcPr>
                <w:tcW w:w="1620" w:type="dxa"/>
                <w:tcBorders>
                  <w:top w:val="nil"/>
                  <w:left w:val="nil"/>
                  <w:bottom w:val="single" w:sz="4" w:space="0" w:color="auto"/>
                  <w:right w:val="single" w:sz="4" w:space="0" w:color="auto"/>
                </w:tcBorders>
                <w:shd w:val="clear" w:color="000000" w:fill="FFFFFF"/>
                <w:noWrap/>
                <w:vAlign w:val="center"/>
              </w:tcPr>
              <w:p w14:paraId="4F983688" w14:textId="77777777" w:rsidR="009D7471" w:rsidRPr="0056769E" w:rsidRDefault="009D7471" w:rsidP="00285BAB">
                <w:pPr>
                  <w:jc w:val="right"/>
                  <w:rPr>
                    <w:color w:val="000000"/>
                  </w:rPr>
                </w:pPr>
                <w:r w:rsidRPr="0056769E">
                  <w:rPr>
                    <w:color w:val="000000"/>
                  </w:rPr>
                  <w:t>$233,336</w:t>
                </w:r>
              </w:p>
            </w:tc>
            <w:tc>
              <w:tcPr>
                <w:tcW w:w="2385" w:type="dxa"/>
                <w:tcBorders>
                  <w:top w:val="nil"/>
                  <w:left w:val="nil"/>
                  <w:bottom w:val="single" w:sz="4" w:space="0" w:color="auto"/>
                  <w:right w:val="single" w:sz="4" w:space="0" w:color="auto"/>
                </w:tcBorders>
                <w:shd w:val="clear" w:color="000000" w:fill="FFFFFF"/>
                <w:vAlign w:val="center"/>
              </w:tcPr>
              <w:p w14:paraId="1D70DFFE" w14:textId="77777777" w:rsidR="009D7471" w:rsidRPr="0056769E" w:rsidRDefault="009D7471" w:rsidP="00285BAB">
                <w:pPr>
                  <w:jc w:val="center"/>
                  <w:rPr>
                    <w:color w:val="000000"/>
                  </w:rPr>
                </w:pPr>
                <w:r w:rsidRPr="0056769E">
                  <w:rPr>
                    <w:color w:val="000000"/>
                  </w:rPr>
                  <w:t>50</w:t>
                </w:r>
              </w:p>
            </w:tc>
          </w:tr>
          <w:tr w:rsidR="009D7471" w:rsidRPr="00A87B7B" w14:paraId="1361FD4D" w14:textId="77777777" w:rsidTr="00F575D9">
            <w:trPr>
              <w:trHeight w:val="602"/>
            </w:trPr>
            <w:tc>
              <w:tcPr>
                <w:tcW w:w="2970" w:type="dxa"/>
                <w:tcBorders>
                  <w:top w:val="nil"/>
                  <w:left w:val="single" w:sz="4" w:space="0" w:color="auto"/>
                  <w:bottom w:val="single" w:sz="4" w:space="0" w:color="auto"/>
                  <w:right w:val="single" w:sz="4" w:space="0" w:color="auto"/>
                </w:tcBorders>
                <w:shd w:val="clear" w:color="000000" w:fill="FFFFFF"/>
                <w:vAlign w:val="center"/>
              </w:tcPr>
              <w:p w14:paraId="5994DC7F" w14:textId="77777777" w:rsidR="009D7471" w:rsidRPr="0056769E" w:rsidRDefault="009D7471" w:rsidP="00285BAB">
                <w:pPr>
                  <w:jc w:val="center"/>
                  <w:rPr>
                    <w:color w:val="000000"/>
                  </w:rPr>
                </w:pPr>
                <w:r w:rsidRPr="0056769E">
                  <w:rPr>
                    <w:color w:val="000000"/>
                  </w:rPr>
                  <w:t>Somali Community Resettlement Services of Olmsted County</w:t>
                </w:r>
              </w:p>
            </w:tc>
            <w:tc>
              <w:tcPr>
                <w:tcW w:w="3240" w:type="dxa"/>
                <w:tcBorders>
                  <w:top w:val="nil"/>
                  <w:left w:val="nil"/>
                  <w:bottom w:val="single" w:sz="4" w:space="0" w:color="auto"/>
                  <w:right w:val="single" w:sz="4" w:space="0" w:color="auto"/>
                </w:tcBorders>
                <w:shd w:val="clear" w:color="000000" w:fill="FFFFFF"/>
                <w:vAlign w:val="center"/>
              </w:tcPr>
              <w:p w14:paraId="3EDBE414" w14:textId="77777777" w:rsidR="009D7471" w:rsidRPr="0056769E" w:rsidRDefault="009D7471" w:rsidP="00285BAB">
                <w:pPr>
                  <w:jc w:val="center"/>
                  <w:rPr>
                    <w:color w:val="000000"/>
                  </w:rPr>
                </w:pPr>
                <w:r w:rsidRPr="0056769E">
                  <w:rPr>
                    <w:color w:val="000000"/>
                  </w:rPr>
                  <w:t>Twin Cities seven-county metropolitan area</w:t>
                </w:r>
              </w:p>
            </w:tc>
            <w:tc>
              <w:tcPr>
                <w:tcW w:w="1620" w:type="dxa"/>
                <w:tcBorders>
                  <w:top w:val="nil"/>
                  <w:left w:val="nil"/>
                  <w:bottom w:val="single" w:sz="4" w:space="0" w:color="auto"/>
                  <w:right w:val="single" w:sz="4" w:space="0" w:color="auto"/>
                </w:tcBorders>
                <w:shd w:val="clear" w:color="000000" w:fill="FFFFFF"/>
                <w:noWrap/>
                <w:vAlign w:val="center"/>
              </w:tcPr>
              <w:p w14:paraId="14C9BB58" w14:textId="77777777" w:rsidR="009D7471" w:rsidRPr="0056769E" w:rsidRDefault="009D7471" w:rsidP="00285BAB">
                <w:pPr>
                  <w:jc w:val="right"/>
                  <w:rPr>
                    <w:color w:val="000000"/>
                  </w:rPr>
                </w:pPr>
                <w:r w:rsidRPr="0056769E">
                  <w:rPr>
                    <w:color w:val="000000"/>
                  </w:rPr>
                  <w:t>$267,332</w:t>
                </w:r>
              </w:p>
            </w:tc>
            <w:tc>
              <w:tcPr>
                <w:tcW w:w="2385" w:type="dxa"/>
                <w:tcBorders>
                  <w:top w:val="nil"/>
                  <w:left w:val="nil"/>
                  <w:bottom w:val="single" w:sz="4" w:space="0" w:color="auto"/>
                  <w:right w:val="single" w:sz="4" w:space="0" w:color="auto"/>
                </w:tcBorders>
                <w:shd w:val="clear" w:color="000000" w:fill="FFFFFF"/>
                <w:vAlign w:val="center"/>
              </w:tcPr>
              <w:p w14:paraId="1A24DDE9" w14:textId="77777777" w:rsidR="009D7471" w:rsidRPr="0056769E" w:rsidRDefault="009D7471" w:rsidP="00285BAB">
                <w:pPr>
                  <w:jc w:val="center"/>
                  <w:rPr>
                    <w:color w:val="000000"/>
                  </w:rPr>
                </w:pPr>
                <w:r w:rsidRPr="0056769E">
                  <w:rPr>
                    <w:color w:val="000000"/>
                  </w:rPr>
                  <w:t>57</w:t>
                </w:r>
              </w:p>
            </w:tc>
          </w:tr>
          <w:tr w:rsidR="009D7471" w:rsidRPr="00A87B7B" w14:paraId="61090D15" w14:textId="77777777" w:rsidTr="00F575D9">
            <w:trPr>
              <w:trHeight w:val="300"/>
            </w:trPr>
            <w:tc>
              <w:tcPr>
                <w:tcW w:w="2970" w:type="dxa"/>
                <w:tcBorders>
                  <w:top w:val="nil"/>
                  <w:left w:val="nil"/>
                  <w:bottom w:val="nil"/>
                  <w:right w:val="nil"/>
                </w:tcBorders>
                <w:shd w:val="clear" w:color="auto" w:fill="auto"/>
                <w:noWrap/>
                <w:vAlign w:val="bottom"/>
                <w:hideMark/>
              </w:tcPr>
              <w:p w14:paraId="313F3BA8" w14:textId="77777777" w:rsidR="009D7471" w:rsidRPr="0056769E" w:rsidRDefault="009D7471" w:rsidP="00285BAB">
                <w:pPr>
                  <w:jc w:val="right"/>
                  <w:rPr>
                    <w:color w:val="000000"/>
                  </w:rPr>
                </w:pPr>
              </w:p>
            </w:tc>
            <w:tc>
              <w:tcPr>
                <w:tcW w:w="3240" w:type="dxa"/>
                <w:tcBorders>
                  <w:top w:val="nil"/>
                  <w:left w:val="single" w:sz="4" w:space="0" w:color="auto"/>
                  <w:bottom w:val="single" w:sz="4" w:space="0" w:color="auto"/>
                  <w:right w:val="single" w:sz="4" w:space="0" w:color="auto"/>
                </w:tcBorders>
                <w:shd w:val="clear" w:color="000000" w:fill="FFFFFF"/>
                <w:vAlign w:val="center"/>
                <w:hideMark/>
              </w:tcPr>
              <w:p w14:paraId="61E056D9" w14:textId="77777777" w:rsidR="009D7471" w:rsidRPr="0056769E" w:rsidRDefault="009D7471" w:rsidP="00285BAB">
                <w:pPr>
                  <w:jc w:val="center"/>
                  <w:rPr>
                    <w:b/>
                    <w:color w:val="000000"/>
                  </w:rPr>
                </w:pPr>
                <w:r w:rsidRPr="0056769E">
                  <w:rPr>
                    <w:b/>
                    <w:color w:val="000000"/>
                  </w:rPr>
                  <w:t xml:space="preserve"> Total:</w:t>
                </w:r>
              </w:p>
            </w:tc>
            <w:tc>
              <w:tcPr>
                <w:tcW w:w="1620" w:type="dxa"/>
                <w:tcBorders>
                  <w:top w:val="nil"/>
                  <w:left w:val="nil"/>
                  <w:bottom w:val="single" w:sz="4" w:space="0" w:color="auto"/>
                  <w:right w:val="single" w:sz="4" w:space="0" w:color="auto"/>
                </w:tcBorders>
                <w:shd w:val="clear" w:color="000000" w:fill="FFFFFF"/>
                <w:vAlign w:val="center"/>
                <w:hideMark/>
              </w:tcPr>
              <w:p w14:paraId="7670B339" w14:textId="77777777" w:rsidR="009D7471" w:rsidRPr="0056769E" w:rsidRDefault="009D7471" w:rsidP="00285BAB">
                <w:pPr>
                  <w:jc w:val="right"/>
                  <w:rPr>
                    <w:b/>
                    <w:color w:val="000000"/>
                  </w:rPr>
                </w:pPr>
                <w:r w:rsidRPr="0056769E">
                  <w:rPr>
                    <w:b/>
                    <w:color w:val="000000"/>
                  </w:rPr>
                  <w:t>$950,000</w:t>
                </w:r>
              </w:p>
            </w:tc>
            <w:tc>
              <w:tcPr>
                <w:tcW w:w="2385" w:type="dxa"/>
                <w:tcBorders>
                  <w:top w:val="nil"/>
                  <w:left w:val="nil"/>
                  <w:bottom w:val="single" w:sz="4" w:space="0" w:color="auto"/>
                  <w:right w:val="single" w:sz="4" w:space="0" w:color="auto"/>
                </w:tcBorders>
                <w:shd w:val="clear" w:color="000000" w:fill="FFFFFF"/>
              </w:tcPr>
              <w:p w14:paraId="5C987D3A" w14:textId="77777777" w:rsidR="009D7471" w:rsidRPr="0056769E" w:rsidRDefault="009D7471" w:rsidP="00285BAB">
                <w:pPr>
                  <w:jc w:val="center"/>
                  <w:rPr>
                    <w:b/>
                    <w:color w:val="000000"/>
                  </w:rPr>
                </w:pPr>
                <w:r w:rsidRPr="0056769E">
                  <w:rPr>
                    <w:b/>
                    <w:color w:val="000000"/>
                  </w:rPr>
                  <w:t>200</w:t>
                </w:r>
              </w:p>
            </w:tc>
          </w:tr>
        </w:tbl>
        <w:p w14:paraId="52ABCB23" w14:textId="0F0D255F" w:rsidR="00A6554C" w:rsidRPr="00A6554C" w:rsidRDefault="005421C2" w:rsidP="00A6554C">
          <w:pPr>
            <w:pStyle w:val="Heading3"/>
            <w:rPr>
              <w:iCs/>
            </w:rPr>
          </w:pPr>
          <w:bookmarkStart w:id="5" w:name="_Toc103152345"/>
          <w:r w:rsidRPr="00CE513C">
            <w:rPr>
              <w:iCs/>
            </w:rPr>
            <w:t>Project Descriptions</w:t>
          </w:r>
          <w:bookmarkEnd w:id="5"/>
        </w:p>
        <w:p w14:paraId="48736DF3" w14:textId="77777777" w:rsidR="00A6554C" w:rsidRPr="00707715" w:rsidRDefault="00A6554C" w:rsidP="00A6554C">
          <w:pPr>
            <w:pStyle w:val="NoSpacing"/>
            <w:tabs>
              <w:tab w:val="left" w:pos="90"/>
            </w:tabs>
            <w:spacing w:line="271" w:lineRule="auto"/>
            <w:rPr>
              <w:rFonts w:asciiTheme="majorHAnsi" w:hAnsiTheme="majorHAnsi"/>
              <w:b/>
            </w:rPr>
          </w:pPr>
          <w:r w:rsidRPr="00EF4D88">
            <w:rPr>
              <w:rFonts w:asciiTheme="majorHAnsi" w:hAnsiTheme="majorHAnsi"/>
              <w:b/>
            </w:rPr>
            <w:t>HIRED - Training for Tomorrow Program,</w:t>
          </w:r>
          <w:r>
            <w:rPr>
              <w:rFonts w:asciiTheme="majorHAnsi" w:hAnsiTheme="majorHAnsi"/>
              <w:b/>
            </w:rPr>
            <w:t xml:space="preserve"> $200,000</w:t>
          </w:r>
        </w:p>
        <w:p w14:paraId="0F4DCEA9" w14:textId="77777777" w:rsidR="00A6554C" w:rsidRPr="00707715" w:rsidRDefault="00A6554C" w:rsidP="00A6554C">
          <w:pPr>
            <w:pStyle w:val="NoSpacing"/>
            <w:tabs>
              <w:tab w:val="left" w:pos="90"/>
            </w:tabs>
            <w:spacing w:line="271" w:lineRule="auto"/>
            <w:rPr>
              <w:rFonts w:asciiTheme="majorHAnsi" w:hAnsiTheme="majorHAnsi" w:cs="Times New Roman"/>
            </w:rPr>
          </w:pPr>
          <w:r w:rsidRPr="0010739E">
            <w:rPr>
              <w:rFonts w:asciiTheme="majorHAnsi" w:hAnsiTheme="majorHAnsi" w:cs="Times New Roman"/>
            </w:rPr>
            <w:t xml:space="preserve">HIRED’s </w:t>
          </w:r>
          <w:r w:rsidRPr="0010739E">
            <w:rPr>
              <w:rFonts w:asciiTheme="majorHAnsi" w:hAnsiTheme="majorHAnsi"/>
            </w:rPr>
            <w:t>Training for Tomorrow Program</w:t>
          </w:r>
          <w:r w:rsidRPr="0010739E">
            <w:rPr>
              <w:rFonts w:asciiTheme="majorHAnsi" w:hAnsiTheme="majorHAnsi" w:cs="Times New Roman"/>
            </w:rPr>
            <w:t xml:space="preserve"> </w:t>
          </w:r>
          <w:r>
            <w:rPr>
              <w:rFonts w:asciiTheme="majorHAnsi" w:hAnsiTheme="majorHAnsi" w:cs="Times New Roman"/>
            </w:rPr>
            <w:t xml:space="preserve">primarily </w:t>
          </w:r>
          <w:r w:rsidRPr="0010739E">
            <w:rPr>
              <w:rFonts w:asciiTheme="majorHAnsi" w:hAnsiTheme="majorHAnsi" w:cs="Times New Roman"/>
            </w:rPr>
            <w:t>serves</w:t>
          </w:r>
          <w:r w:rsidRPr="00707715">
            <w:rPr>
              <w:rFonts w:asciiTheme="majorHAnsi" w:hAnsiTheme="majorHAnsi" w:cs="Times New Roman"/>
            </w:rPr>
            <w:t xml:space="preserve"> </w:t>
          </w:r>
          <w:r>
            <w:rPr>
              <w:rFonts w:asciiTheme="majorHAnsi" w:hAnsiTheme="majorHAnsi" w:cs="Times New Roman"/>
            </w:rPr>
            <w:t>l</w:t>
          </w:r>
          <w:r w:rsidRPr="0010739E">
            <w:rPr>
              <w:rFonts w:asciiTheme="majorHAnsi" w:hAnsiTheme="majorHAnsi" w:cs="Times New Roman"/>
            </w:rPr>
            <w:t>ow-income yout</w:t>
          </w:r>
          <w:r>
            <w:rPr>
              <w:rFonts w:asciiTheme="majorHAnsi" w:hAnsiTheme="majorHAnsi" w:cs="Times New Roman"/>
            </w:rPr>
            <w:t xml:space="preserve">h </w:t>
          </w:r>
          <w:r w:rsidRPr="0010739E">
            <w:rPr>
              <w:rFonts w:asciiTheme="majorHAnsi" w:hAnsiTheme="majorHAnsi" w:cs="Times New Roman"/>
            </w:rPr>
            <w:t>of color</w:t>
          </w:r>
          <w:r>
            <w:rPr>
              <w:rFonts w:asciiTheme="majorHAnsi" w:hAnsiTheme="majorHAnsi" w:cs="Times New Roman"/>
            </w:rPr>
            <w:t xml:space="preserve"> </w:t>
          </w:r>
          <w:r w:rsidRPr="0010739E">
            <w:rPr>
              <w:rFonts w:asciiTheme="majorHAnsi" w:hAnsiTheme="majorHAnsi" w:cs="Times New Roman"/>
            </w:rPr>
            <w:t>with multiple barriers to employment</w:t>
          </w:r>
          <w:r>
            <w:rPr>
              <w:rFonts w:asciiTheme="majorHAnsi" w:hAnsiTheme="majorHAnsi" w:cs="Times New Roman"/>
            </w:rPr>
            <w:t xml:space="preserve">. The program focuses on serving individuals from </w:t>
          </w:r>
          <w:r w:rsidRPr="0010739E">
            <w:rPr>
              <w:rFonts w:asciiTheme="majorHAnsi" w:hAnsiTheme="majorHAnsi" w:cs="Times New Roman"/>
            </w:rPr>
            <w:t xml:space="preserve">North Minneapolis, and </w:t>
          </w:r>
          <w:r>
            <w:rPr>
              <w:rFonts w:asciiTheme="majorHAnsi" w:hAnsiTheme="majorHAnsi" w:cs="Times New Roman"/>
            </w:rPr>
            <w:t>s</w:t>
          </w:r>
          <w:r w:rsidRPr="0010739E">
            <w:rPr>
              <w:rFonts w:asciiTheme="majorHAnsi" w:hAnsiTheme="majorHAnsi" w:cs="Times New Roman"/>
            </w:rPr>
            <w:t xml:space="preserve">urrounding </w:t>
          </w:r>
          <w:r>
            <w:rPr>
              <w:rFonts w:asciiTheme="majorHAnsi" w:hAnsiTheme="majorHAnsi" w:cs="Times New Roman"/>
            </w:rPr>
            <w:t>s</w:t>
          </w:r>
          <w:r w:rsidRPr="0010739E">
            <w:rPr>
              <w:rFonts w:asciiTheme="majorHAnsi" w:hAnsiTheme="majorHAnsi" w:cs="Times New Roman"/>
            </w:rPr>
            <w:t>uburbs including Brooklyn Park and Brooklyn Center</w:t>
          </w:r>
          <w:r>
            <w:rPr>
              <w:rFonts w:asciiTheme="majorHAnsi" w:hAnsiTheme="majorHAnsi" w:cs="Times New Roman"/>
            </w:rPr>
            <w:t>. The program provides o</w:t>
          </w:r>
          <w:r w:rsidRPr="0010739E">
            <w:rPr>
              <w:rFonts w:asciiTheme="majorHAnsi" w:hAnsiTheme="majorHAnsi" w:cs="Times New Roman"/>
            </w:rPr>
            <w:t>ne-on-one career readiness, life skills, job readiness, and technology training</w:t>
          </w:r>
          <w:r>
            <w:rPr>
              <w:rFonts w:asciiTheme="majorHAnsi" w:hAnsiTheme="majorHAnsi" w:cs="Times New Roman"/>
            </w:rPr>
            <w:t xml:space="preserve">. This training is </w:t>
          </w:r>
          <w:r w:rsidRPr="0010739E">
            <w:rPr>
              <w:rFonts w:asciiTheme="majorHAnsi" w:hAnsiTheme="majorHAnsi" w:cs="Times New Roman"/>
            </w:rPr>
            <w:t xml:space="preserve">paired with a paid work experience opportunity in manufacturing, customer service, </w:t>
          </w:r>
          <w:r>
            <w:rPr>
              <w:rFonts w:asciiTheme="majorHAnsi" w:hAnsiTheme="majorHAnsi" w:cs="Times New Roman"/>
            </w:rPr>
            <w:t>or</w:t>
          </w:r>
          <w:r w:rsidRPr="0010739E">
            <w:rPr>
              <w:rFonts w:asciiTheme="majorHAnsi" w:hAnsiTheme="majorHAnsi" w:cs="Times New Roman"/>
            </w:rPr>
            <w:t xml:space="preserve"> other in demand industries</w:t>
          </w:r>
          <w:r>
            <w:rPr>
              <w:rFonts w:asciiTheme="majorHAnsi" w:hAnsiTheme="majorHAnsi" w:cs="Times New Roman"/>
            </w:rPr>
            <w:t xml:space="preserve">. </w:t>
          </w:r>
          <w:r w:rsidRPr="0010739E">
            <w:rPr>
              <w:rFonts w:asciiTheme="majorHAnsi" w:hAnsiTheme="majorHAnsi" w:cs="Times New Roman"/>
            </w:rPr>
            <w:t>Medtronic is a major employer partner that will provide work experience opportunities in the manufacturing sector.</w:t>
          </w:r>
        </w:p>
        <w:p w14:paraId="36FDD288" w14:textId="4829A7BE" w:rsidR="00A6554C" w:rsidRDefault="00A6554C" w:rsidP="00A6554C">
          <w:pPr>
            <w:pStyle w:val="NoSpacing"/>
            <w:tabs>
              <w:tab w:val="left" w:pos="90"/>
            </w:tabs>
            <w:spacing w:line="271" w:lineRule="auto"/>
            <w:rPr>
              <w:rFonts w:asciiTheme="majorHAnsi" w:hAnsiTheme="majorHAnsi" w:cs="Times New Roman"/>
            </w:rPr>
          </w:pPr>
          <w:r w:rsidRPr="00707715">
            <w:rPr>
              <w:rFonts w:asciiTheme="majorHAnsi" w:hAnsiTheme="majorHAnsi" w:cs="Times New Roman"/>
            </w:rPr>
            <w:t xml:space="preserve">Website: </w:t>
          </w:r>
          <w:hyperlink r:id="rId13" w:history="1">
            <w:r w:rsidRPr="00E20695">
              <w:rPr>
                <w:rStyle w:val="Hyperlink"/>
                <w:rFonts w:asciiTheme="majorHAnsi" w:hAnsiTheme="majorHAnsi" w:cs="Times New Roman"/>
              </w:rPr>
              <w:t>www.hired.org</w:t>
            </w:r>
          </w:hyperlink>
          <w:r>
            <w:rPr>
              <w:rFonts w:asciiTheme="majorHAnsi" w:hAnsiTheme="majorHAnsi" w:cs="Times New Roman"/>
            </w:rPr>
            <w:t xml:space="preserve"> </w:t>
          </w:r>
        </w:p>
        <w:p w14:paraId="011507AF" w14:textId="331E6145" w:rsidR="00560941" w:rsidRPr="00707715" w:rsidRDefault="0056769E" w:rsidP="00A6554C">
          <w:pPr>
            <w:pStyle w:val="NoSpacing"/>
            <w:tabs>
              <w:tab w:val="left" w:pos="90"/>
            </w:tabs>
            <w:spacing w:line="271" w:lineRule="auto"/>
            <w:rPr>
              <w:rFonts w:asciiTheme="majorHAnsi" w:hAnsiTheme="majorHAnsi"/>
              <w:b/>
            </w:rPr>
          </w:pPr>
          <w:r>
            <w:rPr>
              <w:rFonts w:asciiTheme="majorHAnsi" w:hAnsiTheme="majorHAnsi" w:cs="Times New Roman"/>
            </w:rPr>
            <w:t>Address</w:t>
          </w:r>
          <w:r w:rsidR="00560941">
            <w:rPr>
              <w:rFonts w:asciiTheme="majorHAnsi" w:hAnsiTheme="majorHAnsi" w:cs="Times New Roman"/>
            </w:rPr>
            <w:t xml:space="preserve">: </w:t>
          </w:r>
          <w:r w:rsidR="00560941" w:rsidRPr="00560941">
            <w:rPr>
              <w:rFonts w:asciiTheme="majorHAnsi" w:hAnsiTheme="majorHAnsi" w:cs="Times New Roman"/>
            </w:rPr>
            <w:t>217 North Fifth Avenue, Third Floor</w:t>
          </w:r>
          <w:r>
            <w:rPr>
              <w:rFonts w:asciiTheme="majorHAnsi" w:hAnsiTheme="majorHAnsi" w:cs="Times New Roman"/>
            </w:rPr>
            <w:t xml:space="preserve">, </w:t>
          </w:r>
          <w:r w:rsidR="00560941" w:rsidRPr="00560941">
            <w:rPr>
              <w:rFonts w:asciiTheme="majorHAnsi" w:hAnsiTheme="majorHAnsi" w:cs="Times New Roman"/>
            </w:rPr>
            <w:t>Minneapolis, MN 55401</w:t>
          </w:r>
        </w:p>
        <w:p w14:paraId="42827A88" w14:textId="77777777" w:rsidR="00A6554C" w:rsidRDefault="00A6554C" w:rsidP="00A6554C">
          <w:pPr>
            <w:pStyle w:val="NoSpacing"/>
            <w:spacing w:line="271" w:lineRule="auto"/>
            <w:rPr>
              <w:rStyle w:val="Hyperlink"/>
              <w:rFonts w:asciiTheme="majorHAnsi" w:hAnsiTheme="majorHAnsi"/>
              <w:i/>
            </w:rPr>
          </w:pPr>
          <w:r w:rsidRPr="00707715">
            <w:rPr>
              <w:rFonts w:asciiTheme="majorHAnsi" w:hAnsiTheme="majorHAnsi" w:cs="Times New Roman"/>
              <w:i/>
            </w:rPr>
            <w:t>Local Contact: Julie Brekke, 612-</w:t>
          </w:r>
          <w:r>
            <w:rPr>
              <w:rFonts w:asciiTheme="majorHAnsi" w:hAnsiTheme="majorHAnsi" w:cs="Times New Roman"/>
              <w:i/>
            </w:rPr>
            <w:t>808-9500</w:t>
          </w:r>
          <w:r w:rsidRPr="00707715">
            <w:rPr>
              <w:rFonts w:asciiTheme="majorHAnsi" w:hAnsiTheme="majorHAnsi" w:cs="Times New Roman"/>
              <w:i/>
            </w:rPr>
            <w:t xml:space="preserve">, </w:t>
          </w:r>
          <w:hyperlink r:id="rId14" w:history="1">
            <w:r w:rsidRPr="00707715">
              <w:rPr>
                <w:rStyle w:val="Hyperlink"/>
                <w:rFonts w:asciiTheme="majorHAnsi" w:hAnsiTheme="majorHAnsi"/>
              </w:rPr>
              <w:t>Julie.brekke@hired.org</w:t>
            </w:r>
          </w:hyperlink>
        </w:p>
        <w:p w14:paraId="22A3860E" w14:textId="6A8922B4" w:rsidR="00A6554C" w:rsidRDefault="00A6554C" w:rsidP="00A6554C">
          <w:pPr>
            <w:pStyle w:val="NoSpacing"/>
            <w:spacing w:line="271" w:lineRule="auto"/>
            <w:rPr>
              <w:rFonts w:asciiTheme="majorHAnsi" w:hAnsiTheme="majorHAnsi" w:cs="Times New Roman"/>
              <w:b/>
              <w:i/>
            </w:rPr>
          </w:pPr>
        </w:p>
        <w:p w14:paraId="2A0553D2" w14:textId="296D5F81" w:rsidR="0056769E" w:rsidRDefault="0056769E" w:rsidP="00A6554C">
          <w:pPr>
            <w:pStyle w:val="NoSpacing"/>
            <w:spacing w:line="271" w:lineRule="auto"/>
            <w:rPr>
              <w:rFonts w:asciiTheme="majorHAnsi" w:hAnsiTheme="majorHAnsi" w:cs="Times New Roman"/>
              <w:b/>
              <w:i/>
            </w:rPr>
          </w:pPr>
        </w:p>
        <w:p w14:paraId="63F5A4E3" w14:textId="61C38E2D" w:rsidR="0056769E" w:rsidRDefault="0056769E" w:rsidP="00A6554C">
          <w:pPr>
            <w:pStyle w:val="NoSpacing"/>
            <w:spacing w:line="271" w:lineRule="auto"/>
            <w:rPr>
              <w:rFonts w:asciiTheme="majorHAnsi" w:hAnsiTheme="majorHAnsi" w:cs="Times New Roman"/>
              <w:b/>
              <w:i/>
            </w:rPr>
          </w:pPr>
        </w:p>
        <w:p w14:paraId="26323BE7" w14:textId="7030C171" w:rsidR="0056769E" w:rsidRDefault="0056769E" w:rsidP="00A6554C">
          <w:pPr>
            <w:pStyle w:val="NoSpacing"/>
            <w:spacing w:line="271" w:lineRule="auto"/>
            <w:rPr>
              <w:rFonts w:asciiTheme="majorHAnsi" w:hAnsiTheme="majorHAnsi" w:cs="Times New Roman"/>
              <w:b/>
              <w:i/>
            </w:rPr>
          </w:pPr>
        </w:p>
        <w:p w14:paraId="1979F28E" w14:textId="765AF7A4" w:rsidR="0056769E" w:rsidRDefault="0056769E" w:rsidP="00A6554C">
          <w:pPr>
            <w:pStyle w:val="NoSpacing"/>
            <w:spacing w:line="271" w:lineRule="auto"/>
            <w:rPr>
              <w:rFonts w:asciiTheme="majorHAnsi" w:hAnsiTheme="majorHAnsi" w:cs="Times New Roman"/>
              <w:b/>
              <w:i/>
            </w:rPr>
          </w:pPr>
        </w:p>
        <w:p w14:paraId="1ADB486A" w14:textId="77777777" w:rsidR="0056769E" w:rsidRDefault="0056769E" w:rsidP="00A6554C">
          <w:pPr>
            <w:pStyle w:val="NoSpacing"/>
            <w:spacing w:line="271" w:lineRule="auto"/>
            <w:rPr>
              <w:rFonts w:asciiTheme="majorHAnsi" w:hAnsiTheme="majorHAnsi" w:cs="Times New Roman"/>
              <w:b/>
              <w:i/>
            </w:rPr>
          </w:pPr>
        </w:p>
        <w:p w14:paraId="765A87F9" w14:textId="77777777" w:rsidR="00A6554C" w:rsidRPr="000A0681" w:rsidRDefault="00A6554C" w:rsidP="00A6554C">
          <w:pPr>
            <w:pStyle w:val="NoSpacing"/>
            <w:tabs>
              <w:tab w:val="left" w:pos="90"/>
            </w:tabs>
            <w:spacing w:line="271" w:lineRule="auto"/>
            <w:rPr>
              <w:rFonts w:asciiTheme="majorHAnsi" w:hAnsiTheme="majorHAnsi"/>
              <w:b/>
            </w:rPr>
          </w:pPr>
          <w:r w:rsidRPr="0086300C">
            <w:rPr>
              <w:rFonts w:asciiTheme="majorHAnsi" w:hAnsiTheme="majorHAnsi"/>
              <w:b/>
            </w:rPr>
            <w:lastRenderedPageBreak/>
            <w:t>Tree Trust</w:t>
          </w:r>
          <w:r w:rsidRPr="00EF4D88">
            <w:rPr>
              <w:rFonts w:asciiTheme="majorHAnsi" w:hAnsiTheme="majorHAnsi"/>
              <w:b/>
            </w:rPr>
            <w:t xml:space="preserve"> </w:t>
          </w:r>
          <w:r>
            <w:rPr>
              <w:rFonts w:asciiTheme="majorHAnsi" w:hAnsiTheme="majorHAnsi"/>
              <w:b/>
            </w:rPr>
            <w:t>–</w:t>
          </w:r>
          <w:r w:rsidRPr="0086300C">
            <w:t xml:space="preserve"> </w:t>
          </w:r>
          <w:r>
            <w:rPr>
              <w:rFonts w:asciiTheme="majorHAnsi" w:hAnsiTheme="majorHAnsi"/>
              <w:b/>
            </w:rPr>
            <w:t>Branches</w:t>
          </w:r>
          <w:r w:rsidRPr="00EF4D88">
            <w:rPr>
              <w:rFonts w:asciiTheme="majorHAnsi" w:hAnsiTheme="majorHAnsi"/>
              <w:b/>
            </w:rPr>
            <w:t>,</w:t>
          </w:r>
          <w:r>
            <w:rPr>
              <w:rFonts w:asciiTheme="majorHAnsi" w:hAnsiTheme="majorHAnsi"/>
              <w:b/>
            </w:rPr>
            <w:t xml:space="preserve"> $</w:t>
          </w:r>
          <w:r w:rsidRPr="0086300C">
            <w:rPr>
              <w:rFonts w:asciiTheme="majorHAnsi" w:hAnsiTheme="majorHAnsi"/>
              <w:b/>
            </w:rPr>
            <w:t>249,332</w:t>
          </w:r>
        </w:p>
        <w:p w14:paraId="0A1F40D7" w14:textId="77777777" w:rsidR="00A6554C" w:rsidRDefault="00A6554C" w:rsidP="00A6554C">
          <w:pPr>
            <w:pStyle w:val="NoSpacing"/>
            <w:tabs>
              <w:tab w:val="left" w:pos="90"/>
            </w:tabs>
            <w:spacing w:line="271" w:lineRule="auto"/>
            <w:rPr>
              <w:rFonts w:asciiTheme="majorHAnsi" w:hAnsiTheme="majorHAnsi" w:cs="Times New Roman"/>
            </w:rPr>
          </w:pPr>
          <w:r w:rsidRPr="00136A55">
            <w:rPr>
              <w:rFonts w:asciiTheme="majorHAnsi" w:hAnsiTheme="majorHAnsi" w:cs="Times New Roman"/>
            </w:rPr>
            <w:t>Tree Trust</w:t>
          </w:r>
          <w:r>
            <w:rPr>
              <w:rFonts w:asciiTheme="majorHAnsi" w:hAnsiTheme="majorHAnsi" w:cs="Times New Roman"/>
            </w:rPr>
            <w:t>’s</w:t>
          </w:r>
          <w:r w:rsidRPr="00136A55">
            <w:rPr>
              <w:rFonts w:asciiTheme="majorHAnsi" w:hAnsiTheme="majorHAnsi" w:cs="Times New Roman"/>
            </w:rPr>
            <w:t xml:space="preserve"> Career Pathways </w:t>
          </w:r>
          <w:r>
            <w:rPr>
              <w:rFonts w:asciiTheme="majorHAnsi" w:hAnsiTheme="majorHAnsi" w:cs="Times New Roman"/>
            </w:rPr>
            <w:t>–</w:t>
          </w:r>
          <w:r w:rsidRPr="00136A55">
            <w:rPr>
              <w:rFonts w:asciiTheme="majorHAnsi" w:hAnsiTheme="majorHAnsi" w:cs="Times New Roman"/>
            </w:rPr>
            <w:t xml:space="preserve"> </w:t>
          </w:r>
          <w:r>
            <w:rPr>
              <w:rFonts w:asciiTheme="majorHAnsi" w:hAnsiTheme="majorHAnsi" w:cs="Times New Roman"/>
            </w:rPr>
            <w:t xml:space="preserve">Branches </w:t>
          </w:r>
          <w:r w:rsidRPr="00136A55">
            <w:rPr>
              <w:rFonts w:asciiTheme="majorHAnsi" w:hAnsiTheme="majorHAnsi" w:cs="Times New Roman"/>
            </w:rPr>
            <w:t>Program</w:t>
          </w:r>
          <w:r>
            <w:rPr>
              <w:rFonts w:asciiTheme="majorHAnsi" w:hAnsiTheme="majorHAnsi" w:cs="Times New Roman"/>
            </w:rPr>
            <w:t xml:space="preserve"> serves l</w:t>
          </w:r>
          <w:r w:rsidRPr="00136A55">
            <w:rPr>
              <w:rFonts w:asciiTheme="majorHAnsi" w:hAnsiTheme="majorHAnsi" w:cs="Times New Roman"/>
            </w:rPr>
            <w:t>ow-income, displaced workers, and previously incarcerated individuals</w:t>
          </w:r>
          <w:r>
            <w:rPr>
              <w:rFonts w:asciiTheme="majorHAnsi" w:hAnsiTheme="majorHAnsi" w:cs="Times New Roman"/>
            </w:rPr>
            <w:t xml:space="preserve"> with a focus serving </w:t>
          </w:r>
          <w:r w:rsidRPr="00136A55">
            <w:rPr>
              <w:rFonts w:asciiTheme="majorHAnsi" w:hAnsiTheme="majorHAnsi" w:cs="Times New Roman"/>
            </w:rPr>
            <w:t>on BIPOC communities</w:t>
          </w:r>
          <w:r>
            <w:rPr>
              <w:rFonts w:asciiTheme="majorHAnsi" w:hAnsiTheme="majorHAnsi" w:cs="Times New Roman"/>
            </w:rPr>
            <w:t xml:space="preserve"> throughout the </w:t>
          </w:r>
          <w:r w:rsidRPr="00136A55">
            <w:rPr>
              <w:rFonts w:asciiTheme="majorHAnsi" w:hAnsiTheme="majorHAnsi" w:cs="Times New Roman"/>
            </w:rPr>
            <w:t>Twin Cities seven-county metropolitan are</w:t>
          </w:r>
          <w:r>
            <w:rPr>
              <w:rFonts w:asciiTheme="majorHAnsi" w:hAnsiTheme="majorHAnsi" w:cs="Times New Roman"/>
            </w:rPr>
            <w:t>a. The program provides participants c</w:t>
          </w:r>
          <w:r w:rsidRPr="000A0681">
            <w:rPr>
              <w:rFonts w:asciiTheme="majorHAnsi" w:hAnsiTheme="majorHAnsi" w:cs="Times New Roman"/>
            </w:rPr>
            <w:t>areer readiness, financial literacy, and life skills training</w:t>
          </w:r>
          <w:r>
            <w:rPr>
              <w:rFonts w:asciiTheme="majorHAnsi" w:hAnsiTheme="majorHAnsi" w:cs="Times New Roman"/>
            </w:rPr>
            <w:t>. P</w:t>
          </w:r>
          <w:r w:rsidRPr="000A0681">
            <w:rPr>
              <w:rFonts w:asciiTheme="majorHAnsi" w:hAnsiTheme="majorHAnsi" w:cs="Times New Roman"/>
            </w:rPr>
            <w:t>articipants</w:t>
          </w:r>
          <w:r>
            <w:rPr>
              <w:rFonts w:asciiTheme="majorHAnsi" w:hAnsiTheme="majorHAnsi" w:cs="Times New Roman"/>
            </w:rPr>
            <w:t xml:space="preserve"> </w:t>
          </w:r>
          <w:r w:rsidRPr="000A0681">
            <w:rPr>
              <w:rFonts w:asciiTheme="majorHAnsi" w:hAnsiTheme="majorHAnsi" w:cs="Times New Roman"/>
            </w:rPr>
            <w:t xml:space="preserve">will also </w:t>
          </w:r>
          <w:r>
            <w:rPr>
              <w:rFonts w:asciiTheme="majorHAnsi" w:hAnsiTheme="majorHAnsi" w:cs="Times New Roman"/>
            </w:rPr>
            <w:t xml:space="preserve">receive </w:t>
          </w:r>
          <w:r w:rsidRPr="000A0681">
            <w:rPr>
              <w:rFonts w:asciiTheme="majorHAnsi" w:hAnsiTheme="majorHAnsi" w:cs="Times New Roman"/>
            </w:rPr>
            <w:t>paid on-the-jo</w:t>
          </w:r>
          <w:r>
            <w:rPr>
              <w:rFonts w:asciiTheme="majorHAnsi" w:hAnsiTheme="majorHAnsi" w:cs="Times New Roman"/>
            </w:rPr>
            <w:t xml:space="preserve">b training and work experience that will lead to </w:t>
          </w:r>
          <w:r w:rsidRPr="000A0681">
            <w:rPr>
              <w:rFonts w:asciiTheme="majorHAnsi" w:hAnsiTheme="majorHAnsi" w:cs="Times New Roman"/>
            </w:rPr>
            <w:t>a</w:t>
          </w:r>
          <w:r>
            <w:rPr>
              <w:rFonts w:asciiTheme="majorHAnsi" w:hAnsiTheme="majorHAnsi" w:cs="Times New Roman"/>
            </w:rPr>
            <w:t>n industry recognized</w:t>
          </w:r>
          <w:r w:rsidRPr="000A0681">
            <w:rPr>
              <w:rFonts w:asciiTheme="majorHAnsi" w:hAnsiTheme="majorHAnsi" w:cs="Times New Roman"/>
            </w:rPr>
            <w:t xml:space="preserve"> Tree Care Apprentice Certificate</w:t>
          </w:r>
          <w:r>
            <w:rPr>
              <w:rFonts w:asciiTheme="majorHAnsi" w:hAnsiTheme="majorHAnsi" w:cs="Times New Roman"/>
            </w:rPr>
            <w:t xml:space="preserve"> and preparation for jobs in </w:t>
          </w:r>
          <w:r w:rsidRPr="000A0681">
            <w:rPr>
              <w:rFonts w:asciiTheme="majorHAnsi" w:hAnsiTheme="majorHAnsi" w:cs="Times New Roman"/>
            </w:rPr>
            <w:t xml:space="preserve">tree care, landscaping, and </w:t>
          </w:r>
          <w:r>
            <w:rPr>
              <w:rFonts w:asciiTheme="majorHAnsi" w:hAnsiTheme="majorHAnsi" w:cs="Times New Roman"/>
            </w:rPr>
            <w:t xml:space="preserve">the </w:t>
          </w:r>
          <w:r w:rsidRPr="000A0681">
            <w:rPr>
              <w:rFonts w:asciiTheme="majorHAnsi" w:hAnsiTheme="majorHAnsi" w:cs="Times New Roman"/>
            </w:rPr>
            <w:t>tree management industry</w:t>
          </w:r>
          <w:r>
            <w:rPr>
              <w:rFonts w:asciiTheme="majorHAnsi" w:hAnsiTheme="majorHAnsi" w:cs="Times New Roman"/>
            </w:rPr>
            <w:t xml:space="preserve">. </w:t>
          </w:r>
        </w:p>
        <w:p w14:paraId="6C072270" w14:textId="3E5983AB" w:rsidR="00A6554C" w:rsidRDefault="00A6554C" w:rsidP="00A6554C">
          <w:pPr>
            <w:pStyle w:val="NoSpacing"/>
            <w:tabs>
              <w:tab w:val="left" w:pos="90"/>
            </w:tabs>
            <w:spacing w:line="271" w:lineRule="auto"/>
            <w:rPr>
              <w:rFonts w:asciiTheme="majorHAnsi" w:hAnsiTheme="majorHAnsi" w:cs="Times New Roman"/>
            </w:rPr>
          </w:pPr>
          <w:r w:rsidRPr="00707715">
            <w:rPr>
              <w:rFonts w:asciiTheme="majorHAnsi" w:hAnsiTheme="majorHAnsi" w:cs="Times New Roman"/>
            </w:rPr>
            <w:t xml:space="preserve">Website: </w:t>
          </w:r>
          <w:hyperlink r:id="rId15" w:history="1">
            <w:r w:rsidRPr="005A0DEC">
              <w:rPr>
                <w:rStyle w:val="Hyperlink"/>
                <w:rFonts w:asciiTheme="majorHAnsi" w:hAnsiTheme="majorHAnsi" w:cs="Times New Roman"/>
              </w:rPr>
              <w:t>www.treetrust.org</w:t>
            </w:r>
          </w:hyperlink>
          <w:r>
            <w:rPr>
              <w:rFonts w:asciiTheme="majorHAnsi" w:hAnsiTheme="majorHAnsi" w:cs="Times New Roman"/>
            </w:rPr>
            <w:t xml:space="preserve"> </w:t>
          </w:r>
        </w:p>
        <w:p w14:paraId="0B1D1F5A" w14:textId="77F96018" w:rsidR="0056769E" w:rsidRPr="00707715" w:rsidRDefault="0056769E" w:rsidP="00A6554C">
          <w:pPr>
            <w:pStyle w:val="NoSpacing"/>
            <w:tabs>
              <w:tab w:val="left" w:pos="90"/>
            </w:tabs>
            <w:spacing w:line="271" w:lineRule="auto"/>
            <w:rPr>
              <w:rFonts w:asciiTheme="majorHAnsi" w:hAnsiTheme="majorHAnsi"/>
              <w:b/>
            </w:rPr>
          </w:pPr>
          <w:r>
            <w:rPr>
              <w:rFonts w:asciiTheme="majorHAnsi" w:hAnsiTheme="majorHAnsi" w:cs="Times New Roman"/>
            </w:rPr>
            <w:t xml:space="preserve">Address: </w:t>
          </w:r>
          <w:r w:rsidRPr="0056769E">
            <w:rPr>
              <w:rFonts w:asciiTheme="majorHAnsi" w:hAnsiTheme="majorHAnsi" w:cs="Times New Roman"/>
            </w:rPr>
            <w:t>1419 Energy Park Dr</w:t>
          </w:r>
          <w:r>
            <w:rPr>
              <w:rFonts w:asciiTheme="majorHAnsi" w:hAnsiTheme="majorHAnsi" w:cs="Times New Roman"/>
            </w:rPr>
            <w:t xml:space="preserve">, </w:t>
          </w:r>
          <w:r w:rsidRPr="0056769E">
            <w:rPr>
              <w:rFonts w:asciiTheme="majorHAnsi" w:hAnsiTheme="majorHAnsi" w:cs="Times New Roman"/>
            </w:rPr>
            <w:t>Saint Paul, MN 55108</w:t>
          </w:r>
        </w:p>
        <w:p w14:paraId="68C11494" w14:textId="77777777" w:rsidR="00A6554C" w:rsidRDefault="00A6554C" w:rsidP="00A6554C">
          <w:pPr>
            <w:pStyle w:val="NoSpacing"/>
            <w:spacing w:line="271" w:lineRule="auto"/>
            <w:rPr>
              <w:rFonts w:asciiTheme="majorHAnsi" w:hAnsiTheme="majorHAnsi" w:cs="Times New Roman"/>
              <w:i/>
            </w:rPr>
          </w:pPr>
          <w:r w:rsidRPr="00707715">
            <w:rPr>
              <w:rFonts w:asciiTheme="majorHAnsi" w:hAnsiTheme="majorHAnsi" w:cs="Times New Roman"/>
              <w:i/>
            </w:rPr>
            <w:t xml:space="preserve">Local Contact: </w:t>
          </w:r>
          <w:r w:rsidRPr="0086300C">
            <w:rPr>
              <w:rFonts w:asciiTheme="majorHAnsi" w:hAnsiTheme="majorHAnsi" w:cs="Times New Roman"/>
              <w:i/>
            </w:rPr>
            <w:t>Jared Smith</w:t>
          </w:r>
          <w:r>
            <w:rPr>
              <w:rFonts w:asciiTheme="majorHAnsi" w:hAnsiTheme="majorHAnsi" w:cs="Times New Roman"/>
              <w:i/>
            </w:rPr>
            <w:t xml:space="preserve">, </w:t>
          </w:r>
          <w:r w:rsidRPr="0086300C">
            <w:rPr>
              <w:rFonts w:asciiTheme="majorHAnsi" w:hAnsiTheme="majorHAnsi" w:cs="Times New Roman"/>
              <w:i/>
            </w:rPr>
            <w:t>952-767-3891</w:t>
          </w:r>
          <w:r>
            <w:rPr>
              <w:rFonts w:asciiTheme="majorHAnsi" w:hAnsiTheme="majorHAnsi" w:cs="Times New Roman"/>
              <w:i/>
            </w:rPr>
            <w:t xml:space="preserve">, </w:t>
          </w:r>
          <w:hyperlink r:id="rId16" w:history="1">
            <w:r w:rsidRPr="005A0DEC">
              <w:rPr>
                <w:rStyle w:val="Hyperlink"/>
                <w:rFonts w:asciiTheme="majorHAnsi" w:hAnsiTheme="majorHAnsi" w:cs="Times New Roman"/>
              </w:rPr>
              <w:t>jareds@treetrust.org</w:t>
            </w:r>
          </w:hyperlink>
          <w:r>
            <w:rPr>
              <w:rFonts w:asciiTheme="majorHAnsi" w:hAnsiTheme="majorHAnsi" w:cs="Times New Roman"/>
              <w:i/>
            </w:rPr>
            <w:t xml:space="preserve"> </w:t>
          </w:r>
        </w:p>
        <w:p w14:paraId="523F4F33" w14:textId="77777777" w:rsidR="00A6554C" w:rsidRDefault="00A6554C" w:rsidP="00A6554C">
          <w:pPr>
            <w:pStyle w:val="NoSpacing"/>
            <w:spacing w:line="271" w:lineRule="auto"/>
            <w:rPr>
              <w:rFonts w:asciiTheme="majorHAnsi" w:hAnsiTheme="majorHAnsi" w:cs="Times New Roman"/>
              <w:b/>
              <w:i/>
            </w:rPr>
          </w:pPr>
        </w:p>
        <w:p w14:paraId="61CE44C5" w14:textId="77777777" w:rsidR="00A6554C" w:rsidRPr="00200D03" w:rsidRDefault="00A6554C" w:rsidP="00A6554C">
          <w:pPr>
            <w:pStyle w:val="NoSpacing"/>
            <w:tabs>
              <w:tab w:val="left" w:pos="90"/>
            </w:tabs>
            <w:spacing w:line="271" w:lineRule="auto"/>
            <w:rPr>
              <w:rFonts w:asciiTheme="majorHAnsi" w:hAnsiTheme="majorHAnsi"/>
              <w:b/>
            </w:rPr>
          </w:pPr>
          <w:r w:rsidRPr="00E83716">
            <w:rPr>
              <w:rFonts w:asciiTheme="majorHAnsi" w:hAnsiTheme="majorHAnsi"/>
              <w:b/>
            </w:rPr>
            <w:t>African Immigrants Community Services</w:t>
          </w:r>
          <w:r>
            <w:rPr>
              <w:rFonts w:asciiTheme="majorHAnsi" w:hAnsiTheme="majorHAnsi"/>
              <w:b/>
            </w:rPr>
            <w:t xml:space="preserve"> </w:t>
          </w:r>
          <w:r w:rsidRPr="00EF4D88">
            <w:rPr>
              <w:rFonts w:asciiTheme="majorHAnsi" w:hAnsiTheme="majorHAnsi"/>
              <w:b/>
            </w:rPr>
            <w:t>-</w:t>
          </w:r>
          <w:r w:rsidRPr="0086300C">
            <w:t xml:space="preserve"> </w:t>
          </w:r>
          <w:r w:rsidRPr="00E83716">
            <w:rPr>
              <w:rFonts w:asciiTheme="majorHAnsi" w:hAnsiTheme="majorHAnsi"/>
              <w:b/>
            </w:rPr>
            <w:t>Youth Technology Employment</w:t>
          </w:r>
          <w:r w:rsidRPr="00EF4D88">
            <w:rPr>
              <w:rFonts w:asciiTheme="majorHAnsi" w:hAnsiTheme="majorHAnsi"/>
              <w:b/>
            </w:rPr>
            <w:t>,</w:t>
          </w:r>
          <w:r>
            <w:rPr>
              <w:rFonts w:asciiTheme="majorHAnsi" w:hAnsiTheme="majorHAnsi"/>
              <w:b/>
            </w:rPr>
            <w:t xml:space="preserve"> $</w:t>
          </w:r>
          <w:r w:rsidRPr="00572590">
            <w:rPr>
              <w:rFonts w:asciiTheme="majorHAnsi" w:hAnsiTheme="majorHAnsi"/>
              <w:b/>
            </w:rPr>
            <w:t>233,336</w:t>
          </w:r>
        </w:p>
        <w:p w14:paraId="41313353" w14:textId="40BA4DE8" w:rsidR="00A6554C" w:rsidRPr="00707715" w:rsidRDefault="00A6554C" w:rsidP="00A6554C">
          <w:pPr>
            <w:pStyle w:val="NoSpacing"/>
            <w:tabs>
              <w:tab w:val="left" w:pos="90"/>
            </w:tabs>
            <w:spacing w:line="271" w:lineRule="auto"/>
            <w:rPr>
              <w:rFonts w:asciiTheme="majorHAnsi" w:hAnsiTheme="majorHAnsi" w:cs="Times New Roman"/>
            </w:rPr>
          </w:pPr>
          <w:r>
            <w:rPr>
              <w:rFonts w:asciiTheme="majorHAnsi" w:hAnsiTheme="majorHAnsi" w:cs="Times New Roman"/>
            </w:rPr>
            <w:t xml:space="preserve">The </w:t>
          </w:r>
          <w:r w:rsidRPr="000A0681">
            <w:rPr>
              <w:rFonts w:asciiTheme="majorHAnsi" w:hAnsiTheme="majorHAnsi" w:cs="Times New Roman"/>
            </w:rPr>
            <w:t>Youth Technology Employmen</w:t>
          </w:r>
          <w:r>
            <w:rPr>
              <w:rFonts w:asciiTheme="majorHAnsi" w:hAnsiTheme="majorHAnsi" w:cs="Times New Roman"/>
            </w:rPr>
            <w:t xml:space="preserve">t program provides serves </w:t>
          </w:r>
          <w:r w:rsidRPr="000A0681">
            <w:rPr>
              <w:rFonts w:asciiTheme="majorHAnsi" w:hAnsiTheme="majorHAnsi" w:cs="Times New Roman"/>
            </w:rPr>
            <w:t>low-income</w:t>
          </w:r>
          <w:r>
            <w:rPr>
              <w:rFonts w:asciiTheme="majorHAnsi" w:hAnsiTheme="majorHAnsi" w:cs="Times New Roman"/>
            </w:rPr>
            <w:t xml:space="preserve"> </w:t>
          </w:r>
          <w:r w:rsidRPr="000A0681">
            <w:rPr>
              <w:rFonts w:asciiTheme="majorHAnsi" w:hAnsiTheme="majorHAnsi" w:cs="Times New Roman"/>
            </w:rPr>
            <w:t>Somali</w:t>
          </w:r>
          <w:r>
            <w:rPr>
              <w:rFonts w:asciiTheme="majorHAnsi" w:hAnsiTheme="majorHAnsi" w:cs="Times New Roman"/>
            </w:rPr>
            <w:t xml:space="preserve"> and </w:t>
          </w:r>
          <w:r w:rsidRPr="000A0681">
            <w:rPr>
              <w:rFonts w:asciiTheme="majorHAnsi" w:hAnsiTheme="majorHAnsi" w:cs="Times New Roman"/>
            </w:rPr>
            <w:t>East African individuals</w:t>
          </w:r>
          <w:r>
            <w:rPr>
              <w:rFonts w:asciiTheme="majorHAnsi" w:hAnsiTheme="majorHAnsi" w:cs="Times New Roman"/>
            </w:rPr>
            <w:t xml:space="preserve"> in the Twin Cities, specifically focused on serving those from the </w:t>
          </w:r>
          <w:r w:rsidRPr="000A0681">
            <w:rPr>
              <w:rFonts w:asciiTheme="majorHAnsi" w:hAnsiTheme="majorHAnsi" w:cs="Times New Roman"/>
            </w:rPr>
            <w:t>Cedar-Riverside and Phillips neighborhoods</w:t>
          </w:r>
          <w:r>
            <w:rPr>
              <w:rFonts w:asciiTheme="majorHAnsi" w:hAnsiTheme="majorHAnsi" w:cs="Times New Roman"/>
            </w:rPr>
            <w:t xml:space="preserve"> of Minneapolis. The program provides IT c</w:t>
          </w:r>
          <w:r w:rsidRPr="003A76C6">
            <w:rPr>
              <w:rFonts w:asciiTheme="majorHAnsi" w:hAnsiTheme="majorHAnsi" w:cs="Times New Roman"/>
            </w:rPr>
            <w:t>areer</w:t>
          </w:r>
          <w:r>
            <w:rPr>
              <w:rFonts w:asciiTheme="majorHAnsi" w:hAnsiTheme="majorHAnsi" w:cs="Times New Roman"/>
            </w:rPr>
            <w:t xml:space="preserve"> pathway</w:t>
          </w:r>
          <w:r w:rsidR="00560A76">
            <w:rPr>
              <w:rFonts w:asciiTheme="majorHAnsi" w:hAnsiTheme="majorHAnsi" w:cs="Times New Roman"/>
            </w:rPr>
            <w:t xml:space="preserve"> or </w:t>
          </w:r>
          <w:r w:rsidR="00560A76" w:rsidRPr="00560A76">
            <w:rPr>
              <w:rFonts w:asciiTheme="majorHAnsi" w:hAnsiTheme="majorHAnsi" w:cs="Times New Roman"/>
            </w:rPr>
            <w:t xml:space="preserve">phlebotomy </w:t>
          </w:r>
          <w:r w:rsidR="00560A76">
            <w:rPr>
              <w:rFonts w:asciiTheme="majorHAnsi" w:hAnsiTheme="majorHAnsi" w:cs="Times New Roman"/>
            </w:rPr>
            <w:t>training, along with</w:t>
          </w:r>
          <w:r w:rsidRPr="003A76C6">
            <w:rPr>
              <w:rFonts w:asciiTheme="majorHAnsi" w:hAnsiTheme="majorHAnsi" w:cs="Times New Roman"/>
            </w:rPr>
            <w:t xml:space="preserve"> financial literacy </w:t>
          </w:r>
          <w:r>
            <w:rPr>
              <w:rFonts w:asciiTheme="majorHAnsi" w:hAnsiTheme="majorHAnsi" w:cs="Times New Roman"/>
            </w:rPr>
            <w:t xml:space="preserve">training </w:t>
          </w:r>
          <w:r w:rsidRPr="003A76C6">
            <w:rPr>
              <w:rFonts w:asciiTheme="majorHAnsi" w:hAnsiTheme="majorHAnsi" w:cs="Times New Roman"/>
            </w:rPr>
            <w:t xml:space="preserve">prior to </w:t>
          </w:r>
          <w:r>
            <w:rPr>
              <w:rFonts w:asciiTheme="majorHAnsi" w:hAnsiTheme="majorHAnsi" w:cs="Times New Roman"/>
            </w:rPr>
            <w:t xml:space="preserve">a paid </w:t>
          </w:r>
          <w:r w:rsidRPr="003A76C6">
            <w:rPr>
              <w:rFonts w:asciiTheme="majorHAnsi" w:hAnsiTheme="majorHAnsi" w:cs="Times New Roman"/>
            </w:rPr>
            <w:t>internshi</w:t>
          </w:r>
          <w:r w:rsidR="00560A76">
            <w:rPr>
              <w:rFonts w:asciiTheme="majorHAnsi" w:hAnsiTheme="majorHAnsi" w:cs="Times New Roman"/>
            </w:rPr>
            <w:t>p</w:t>
          </w:r>
          <w:r>
            <w:rPr>
              <w:rFonts w:asciiTheme="majorHAnsi" w:hAnsiTheme="majorHAnsi" w:cs="Times New Roman"/>
            </w:rPr>
            <w:t>. The IT career pathway training includes training in areas such as</w:t>
          </w:r>
          <w:r w:rsidRPr="003A76C6">
            <w:rPr>
              <w:rFonts w:asciiTheme="majorHAnsi" w:hAnsiTheme="majorHAnsi" w:cs="Times New Roman"/>
            </w:rPr>
            <w:t xml:space="preserve"> </w:t>
          </w:r>
          <w:r>
            <w:rPr>
              <w:rFonts w:asciiTheme="majorHAnsi" w:hAnsiTheme="majorHAnsi" w:cs="Times New Roman"/>
            </w:rPr>
            <w:t>w</w:t>
          </w:r>
          <w:r w:rsidRPr="003A76C6">
            <w:rPr>
              <w:rFonts w:asciiTheme="majorHAnsi" w:hAnsiTheme="majorHAnsi" w:cs="Times New Roman"/>
            </w:rPr>
            <w:t xml:space="preserve">eb </w:t>
          </w:r>
          <w:r>
            <w:rPr>
              <w:rFonts w:asciiTheme="majorHAnsi" w:hAnsiTheme="majorHAnsi" w:cs="Times New Roman"/>
            </w:rPr>
            <w:t>d</w:t>
          </w:r>
          <w:r w:rsidRPr="003A76C6">
            <w:rPr>
              <w:rFonts w:asciiTheme="majorHAnsi" w:hAnsiTheme="majorHAnsi" w:cs="Times New Roman"/>
            </w:rPr>
            <w:t>esign</w:t>
          </w:r>
          <w:r>
            <w:rPr>
              <w:rFonts w:asciiTheme="majorHAnsi" w:hAnsiTheme="majorHAnsi" w:cs="Times New Roman"/>
            </w:rPr>
            <w:t xml:space="preserve"> and d</w:t>
          </w:r>
          <w:r w:rsidRPr="003A76C6">
            <w:rPr>
              <w:rFonts w:asciiTheme="majorHAnsi" w:hAnsiTheme="majorHAnsi" w:cs="Times New Roman"/>
            </w:rPr>
            <w:t xml:space="preserve">evelopment, </w:t>
          </w:r>
          <w:r>
            <w:rPr>
              <w:rFonts w:asciiTheme="majorHAnsi" w:hAnsiTheme="majorHAnsi" w:cs="Times New Roman"/>
            </w:rPr>
            <w:t>g</w:t>
          </w:r>
          <w:r w:rsidRPr="003A76C6">
            <w:rPr>
              <w:rFonts w:asciiTheme="majorHAnsi" w:hAnsiTheme="majorHAnsi" w:cs="Times New Roman"/>
            </w:rPr>
            <w:t>raphic design, UX/UI design, digital marketin</w:t>
          </w:r>
          <w:r>
            <w:rPr>
              <w:rFonts w:asciiTheme="majorHAnsi" w:hAnsiTheme="majorHAnsi" w:cs="Times New Roman"/>
            </w:rPr>
            <w:t>g</w:t>
          </w:r>
          <w:r w:rsidRPr="003A76C6">
            <w:rPr>
              <w:rFonts w:asciiTheme="majorHAnsi" w:hAnsiTheme="majorHAnsi" w:cs="Times New Roman"/>
            </w:rPr>
            <w:t>, database administ</w:t>
          </w:r>
          <w:r>
            <w:rPr>
              <w:rFonts w:asciiTheme="majorHAnsi" w:hAnsiTheme="majorHAnsi" w:cs="Times New Roman"/>
            </w:rPr>
            <w:t>ration,</w:t>
          </w:r>
          <w:r w:rsidRPr="003A76C6">
            <w:rPr>
              <w:rFonts w:asciiTheme="majorHAnsi" w:hAnsiTheme="majorHAnsi" w:cs="Times New Roman"/>
            </w:rPr>
            <w:t xml:space="preserve"> </w:t>
          </w:r>
          <w:r>
            <w:rPr>
              <w:rFonts w:asciiTheme="majorHAnsi" w:hAnsiTheme="majorHAnsi" w:cs="Times New Roman"/>
            </w:rPr>
            <w:t>W</w:t>
          </w:r>
          <w:r w:rsidRPr="003A76C6">
            <w:rPr>
              <w:rFonts w:asciiTheme="majorHAnsi" w:hAnsiTheme="majorHAnsi" w:cs="Times New Roman"/>
            </w:rPr>
            <w:t>ord press, and coding.</w:t>
          </w:r>
        </w:p>
        <w:p w14:paraId="178AD75D" w14:textId="60EF1363" w:rsidR="00A6554C" w:rsidRDefault="00A6554C" w:rsidP="00A6554C">
          <w:pPr>
            <w:pStyle w:val="NoSpacing"/>
            <w:tabs>
              <w:tab w:val="left" w:pos="90"/>
            </w:tabs>
            <w:spacing w:line="271" w:lineRule="auto"/>
            <w:rPr>
              <w:rFonts w:asciiTheme="majorHAnsi" w:hAnsiTheme="majorHAnsi" w:cs="Times New Roman"/>
            </w:rPr>
          </w:pPr>
          <w:r w:rsidRPr="00707715">
            <w:rPr>
              <w:rFonts w:asciiTheme="majorHAnsi" w:hAnsiTheme="majorHAnsi" w:cs="Times New Roman"/>
            </w:rPr>
            <w:t xml:space="preserve">Website: </w:t>
          </w:r>
          <w:hyperlink r:id="rId17" w:history="1">
            <w:r w:rsidRPr="005A0DEC">
              <w:rPr>
                <w:rStyle w:val="Hyperlink"/>
                <w:rFonts w:asciiTheme="majorHAnsi" w:hAnsiTheme="majorHAnsi" w:cs="Times New Roman"/>
              </w:rPr>
              <w:t>www.aicsmn.org</w:t>
            </w:r>
          </w:hyperlink>
          <w:r>
            <w:rPr>
              <w:rFonts w:asciiTheme="majorHAnsi" w:hAnsiTheme="majorHAnsi" w:cs="Times New Roman"/>
            </w:rPr>
            <w:t xml:space="preserve"> </w:t>
          </w:r>
        </w:p>
        <w:p w14:paraId="4EC7A377" w14:textId="6B5F1562" w:rsidR="0056769E" w:rsidRPr="00707715" w:rsidRDefault="0056769E" w:rsidP="00A6554C">
          <w:pPr>
            <w:pStyle w:val="NoSpacing"/>
            <w:tabs>
              <w:tab w:val="left" w:pos="90"/>
            </w:tabs>
            <w:spacing w:line="271" w:lineRule="auto"/>
            <w:rPr>
              <w:rFonts w:asciiTheme="majorHAnsi" w:hAnsiTheme="majorHAnsi"/>
              <w:b/>
            </w:rPr>
          </w:pPr>
          <w:r>
            <w:rPr>
              <w:rFonts w:asciiTheme="majorHAnsi" w:hAnsiTheme="majorHAnsi" w:cs="Times New Roman"/>
            </w:rPr>
            <w:t xml:space="preserve">Address: </w:t>
          </w:r>
          <w:r w:rsidRPr="0056769E">
            <w:rPr>
              <w:rFonts w:asciiTheme="majorHAnsi" w:hAnsiTheme="majorHAnsi" w:cs="Times New Roman"/>
            </w:rPr>
            <w:t>1433 E. Franklin Avenue, Suite 13B</w:t>
          </w:r>
          <w:r>
            <w:rPr>
              <w:rFonts w:asciiTheme="majorHAnsi" w:hAnsiTheme="majorHAnsi" w:cs="Times New Roman"/>
            </w:rPr>
            <w:t xml:space="preserve">, </w:t>
          </w:r>
          <w:r w:rsidRPr="0056769E">
            <w:rPr>
              <w:rFonts w:asciiTheme="majorHAnsi" w:hAnsiTheme="majorHAnsi" w:cs="Times New Roman"/>
            </w:rPr>
            <w:t>Minneapolis, MN 55404</w:t>
          </w:r>
        </w:p>
        <w:p w14:paraId="4474C6F4" w14:textId="77777777" w:rsidR="00A6554C" w:rsidRPr="00707715" w:rsidRDefault="00A6554C" w:rsidP="00A6554C">
          <w:pPr>
            <w:pStyle w:val="NoSpacing"/>
            <w:spacing w:line="271" w:lineRule="auto"/>
            <w:rPr>
              <w:rFonts w:asciiTheme="majorHAnsi" w:hAnsiTheme="majorHAnsi" w:cs="Times New Roman"/>
              <w:b/>
              <w:i/>
            </w:rPr>
          </w:pPr>
          <w:r w:rsidRPr="00707715">
            <w:rPr>
              <w:rFonts w:asciiTheme="majorHAnsi" w:hAnsiTheme="majorHAnsi" w:cs="Times New Roman"/>
              <w:i/>
            </w:rPr>
            <w:t xml:space="preserve">Local Contact: </w:t>
          </w:r>
          <w:r w:rsidRPr="00572590">
            <w:rPr>
              <w:rFonts w:asciiTheme="majorHAnsi" w:hAnsiTheme="majorHAnsi" w:cs="Times New Roman"/>
              <w:i/>
            </w:rPr>
            <w:t>Mohamed Ahmed</w:t>
          </w:r>
          <w:r>
            <w:rPr>
              <w:rFonts w:asciiTheme="majorHAnsi" w:hAnsiTheme="majorHAnsi" w:cs="Times New Roman"/>
              <w:i/>
            </w:rPr>
            <w:t xml:space="preserve">, </w:t>
          </w:r>
          <w:r w:rsidRPr="00572590">
            <w:rPr>
              <w:rFonts w:asciiTheme="majorHAnsi" w:hAnsiTheme="majorHAnsi" w:cs="Times New Roman"/>
              <w:i/>
            </w:rPr>
            <w:t>952-457-8991</w:t>
          </w:r>
          <w:r>
            <w:rPr>
              <w:rFonts w:asciiTheme="majorHAnsi" w:hAnsiTheme="majorHAnsi" w:cs="Times New Roman"/>
              <w:i/>
            </w:rPr>
            <w:t xml:space="preserve">, </w:t>
          </w:r>
          <w:hyperlink r:id="rId18" w:history="1">
            <w:r w:rsidRPr="005A0DEC">
              <w:rPr>
                <w:rStyle w:val="Hyperlink"/>
                <w:rFonts w:asciiTheme="majorHAnsi" w:hAnsiTheme="majorHAnsi" w:cs="Times New Roman"/>
              </w:rPr>
              <w:t>m.ahmed@aicsmn.org</w:t>
            </w:r>
          </w:hyperlink>
          <w:r>
            <w:rPr>
              <w:rFonts w:asciiTheme="majorHAnsi" w:hAnsiTheme="majorHAnsi" w:cs="Times New Roman"/>
              <w:i/>
            </w:rPr>
            <w:t xml:space="preserve"> </w:t>
          </w:r>
        </w:p>
        <w:p w14:paraId="4F015302" w14:textId="77777777" w:rsidR="00A6554C" w:rsidRPr="00707715" w:rsidRDefault="00A6554C" w:rsidP="00A6554C">
          <w:pPr>
            <w:pStyle w:val="NoSpacing"/>
            <w:spacing w:line="271" w:lineRule="auto"/>
            <w:rPr>
              <w:rFonts w:asciiTheme="majorHAnsi" w:hAnsiTheme="majorHAnsi" w:cs="Times New Roman"/>
              <w:b/>
              <w:i/>
            </w:rPr>
          </w:pPr>
        </w:p>
        <w:p w14:paraId="00DA61CD" w14:textId="77777777" w:rsidR="00A6554C" w:rsidRPr="00707715" w:rsidRDefault="00A6554C" w:rsidP="00A6554C">
          <w:pPr>
            <w:pStyle w:val="NoSpacing"/>
            <w:tabs>
              <w:tab w:val="left" w:pos="90"/>
            </w:tabs>
            <w:spacing w:line="271" w:lineRule="auto"/>
            <w:rPr>
              <w:rFonts w:asciiTheme="majorHAnsi" w:hAnsiTheme="majorHAnsi"/>
              <w:b/>
            </w:rPr>
          </w:pPr>
          <w:r w:rsidRPr="00D003A9">
            <w:rPr>
              <w:rFonts w:asciiTheme="majorHAnsi" w:hAnsiTheme="majorHAnsi"/>
              <w:b/>
            </w:rPr>
            <w:t xml:space="preserve">Somali Community Resettlement Services </w:t>
          </w:r>
          <w:r w:rsidRPr="00EF4D88">
            <w:rPr>
              <w:rFonts w:asciiTheme="majorHAnsi" w:hAnsiTheme="majorHAnsi"/>
              <w:b/>
            </w:rPr>
            <w:t>-</w:t>
          </w:r>
          <w:r w:rsidRPr="0086300C">
            <w:t xml:space="preserve"> </w:t>
          </w:r>
          <w:r w:rsidRPr="00D003A9">
            <w:rPr>
              <w:rFonts w:asciiTheme="majorHAnsi" w:hAnsiTheme="majorHAnsi"/>
              <w:b/>
            </w:rPr>
            <w:t>East African Employment Accessibility</w:t>
          </w:r>
          <w:r w:rsidRPr="00EF4D88">
            <w:rPr>
              <w:rFonts w:asciiTheme="majorHAnsi" w:hAnsiTheme="majorHAnsi"/>
              <w:b/>
            </w:rPr>
            <w:t>,</w:t>
          </w:r>
          <w:r>
            <w:rPr>
              <w:rFonts w:asciiTheme="majorHAnsi" w:hAnsiTheme="majorHAnsi"/>
              <w:b/>
            </w:rPr>
            <w:t xml:space="preserve"> $</w:t>
          </w:r>
          <w:r w:rsidRPr="00D003A9">
            <w:rPr>
              <w:rFonts w:asciiTheme="majorHAnsi" w:hAnsiTheme="majorHAnsi"/>
              <w:b/>
            </w:rPr>
            <w:t>267,332</w:t>
          </w:r>
        </w:p>
        <w:p w14:paraId="54E6A26E" w14:textId="139C9158" w:rsidR="00A6554C" w:rsidRPr="00707715" w:rsidRDefault="00A6554C" w:rsidP="00A6554C">
          <w:pPr>
            <w:pStyle w:val="NoSpacing"/>
            <w:tabs>
              <w:tab w:val="left" w:pos="90"/>
            </w:tabs>
            <w:spacing w:line="271" w:lineRule="auto"/>
            <w:rPr>
              <w:rFonts w:asciiTheme="majorHAnsi" w:hAnsiTheme="majorHAnsi" w:cs="Times New Roman"/>
            </w:rPr>
          </w:pPr>
          <w:r>
            <w:rPr>
              <w:rFonts w:asciiTheme="majorHAnsi" w:hAnsiTheme="majorHAnsi" w:cs="Times New Roman"/>
            </w:rPr>
            <w:t xml:space="preserve">The </w:t>
          </w:r>
          <w:r w:rsidRPr="00965FEC">
            <w:rPr>
              <w:rFonts w:asciiTheme="majorHAnsi" w:hAnsiTheme="majorHAnsi" w:cs="Times New Roman"/>
            </w:rPr>
            <w:t>East African Employment Accessibility</w:t>
          </w:r>
          <w:r>
            <w:rPr>
              <w:rFonts w:asciiTheme="majorHAnsi" w:hAnsiTheme="majorHAnsi" w:cs="Times New Roman"/>
            </w:rPr>
            <w:t xml:space="preserve"> progra</w:t>
          </w:r>
          <w:r w:rsidR="001C02D5">
            <w:rPr>
              <w:rFonts w:asciiTheme="majorHAnsi" w:hAnsiTheme="majorHAnsi" w:cs="Times New Roman"/>
            </w:rPr>
            <w:t>m</w:t>
          </w:r>
          <w:r>
            <w:rPr>
              <w:rFonts w:asciiTheme="majorHAnsi" w:hAnsiTheme="majorHAnsi" w:cs="Times New Roman"/>
            </w:rPr>
            <w:t xml:space="preserve"> serve</w:t>
          </w:r>
          <w:r w:rsidR="001C02D5">
            <w:rPr>
              <w:rFonts w:asciiTheme="majorHAnsi" w:hAnsiTheme="majorHAnsi" w:cs="Times New Roman"/>
            </w:rPr>
            <w:t>s</w:t>
          </w:r>
          <w:r>
            <w:rPr>
              <w:rFonts w:asciiTheme="majorHAnsi" w:hAnsiTheme="majorHAnsi" w:cs="Times New Roman"/>
            </w:rPr>
            <w:t xml:space="preserve"> l</w:t>
          </w:r>
          <w:r w:rsidRPr="00965FEC">
            <w:rPr>
              <w:rFonts w:asciiTheme="majorHAnsi" w:hAnsiTheme="majorHAnsi" w:cs="Times New Roman"/>
            </w:rPr>
            <w:t xml:space="preserve">ow-income individuals from east African and Somali </w:t>
          </w:r>
          <w:r>
            <w:rPr>
              <w:rFonts w:asciiTheme="majorHAnsi" w:hAnsiTheme="majorHAnsi" w:cs="Times New Roman"/>
            </w:rPr>
            <w:t xml:space="preserve">Communities throughout the </w:t>
          </w:r>
          <w:r w:rsidRPr="00965FEC">
            <w:rPr>
              <w:rFonts w:asciiTheme="majorHAnsi" w:hAnsiTheme="majorHAnsi" w:cs="Times New Roman"/>
            </w:rPr>
            <w:t>Twin Cities seven-county metropolitan area</w:t>
          </w:r>
          <w:r>
            <w:rPr>
              <w:rFonts w:asciiTheme="majorHAnsi" w:hAnsiTheme="majorHAnsi" w:cs="Times New Roman"/>
            </w:rPr>
            <w:t xml:space="preserve">. The program focuses on training in </w:t>
          </w:r>
          <w:r w:rsidRPr="00965FEC">
            <w:rPr>
              <w:rFonts w:asciiTheme="majorHAnsi" w:hAnsiTheme="majorHAnsi" w:cs="Times New Roman"/>
            </w:rPr>
            <w:t>Healthcare, Information Technology, and general career exploration</w:t>
          </w:r>
          <w:r>
            <w:rPr>
              <w:rFonts w:asciiTheme="majorHAnsi" w:hAnsiTheme="majorHAnsi" w:cs="Times New Roman"/>
            </w:rPr>
            <w:t>. Program training includes c</w:t>
          </w:r>
          <w:r w:rsidRPr="00965FEC">
            <w:rPr>
              <w:rFonts w:asciiTheme="majorHAnsi" w:hAnsiTheme="majorHAnsi" w:cs="Times New Roman"/>
            </w:rPr>
            <w:t xml:space="preserve">areer readiness, basic computer training, basic health training </w:t>
          </w:r>
          <w:r>
            <w:rPr>
              <w:rFonts w:asciiTheme="majorHAnsi" w:hAnsiTheme="majorHAnsi" w:cs="Times New Roman"/>
            </w:rPr>
            <w:t xml:space="preserve">such as </w:t>
          </w:r>
          <w:r w:rsidRPr="00965FEC">
            <w:rPr>
              <w:rFonts w:asciiTheme="majorHAnsi" w:hAnsiTheme="majorHAnsi" w:cs="Times New Roman"/>
            </w:rPr>
            <w:t>first aid</w:t>
          </w:r>
          <w:r>
            <w:rPr>
              <w:rFonts w:asciiTheme="majorHAnsi" w:hAnsiTheme="majorHAnsi" w:cs="Times New Roman"/>
            </w:rPr>
            <w:t xml:space="preserve"> and </w:t>
          </w:r>
          <w:r w:rsidRPr="00965FEC">
            <w:rPr>
              <w:rFonts w:asciiTheme="majorHAnsi" w:hAnsiTheme="majorHAnsi" w:cs="Times New Roman"/>
            </w:rPr>
            <w:t>CPR, food service</w:t>
          </w:r>
          <w:r>
            <w:rPr>
              <w:rFonts w:asciiTheme="majorHAnsi" w:hAnsiTheme="majorHAnsi" w:cs="Times New Roman"/>
            </w:rPr>
            <w:t xml:space="preserve"> training for ServSafe,</w:t>
          </w:r>
          <w:r w:rsidRPr="00965FEC">
            <w:rPr>
              <w:rFonts w:asciiTheme="majorHAnsi" w:hAnsiTheme="majorHAnsi" w:cs="Times New Roman"/>
            </w:rPr>
            <w:t xml:space="preserve"> and life skills </w:t>
          </w:r>
          <w:r>
            <w:rPr>
              <w:rFonts w:asciiTheme="majorHAnsi" w:hAnsiTheme="majorHAnsi" w:cs="Times New Roman"/>
            </w:rPr>
            <w:t>training. In addition to training, the program provides</w:t>
          </w:r>
          <w:r w:rsidRPr="00965FEC">
            <w:rPr>
              <w:rFonts w:asciiTheme="majorHAnsi" w:hAnsiTheme="majorHAnsi" w:cs="Times New Roman"/>
            </w:rPr>
            <w:t xml:space="preserve"> </w:t>
          </w:r>
          <w:r>
            <w:rPr>
              <w:rFonts w:asciiTheme="majorHAnsi" w:hAnsiTheme="majorHAnsi" w:cs="Times New Roman"/>
            </w:rPr>
            <w:t xml:space="preserve">participants </w:t>
          </w:r>
          <w:r w:rsidRPr="00965FEC">
            <w:rPr>
              <w:rFonts w:asciiTheme="majorHAnsi" w:hAnsiTheme="majorHAnsi" w:cs="Times New Roman"/>
            </w:rPr>
            <w:t>placement into paid work experiences</w:t>
          </w:r>
          <w:r>
            <w:rPr>
              <w:rFonts w:asciiTheme="majorHAnsi" w:hAnsiTheme="majorHAnsi" w:cs="Times New Roman"/>
            </w:rPr>
            <w:t xml:space="preserve"> and s</w:t>
          </w:r>
          <w:r w:rsidRPr="00965FEC">
            <w:rPr>
              <w:rFonts w:asciiTheme="majorHAnsi" w:hAnsiTheme="majorHAnsi" w:cs="Times New Roman"/>
            </w:rPr>
            <w:t>upport services to eliminate barriers to education and employment.</w:t>
          </w:r>
        </w:p>
        <w:p w14:paraId="2EF22F34" w14:textId="77777777" w:rsidR="00A6554C" w:rsidRPr="00707715" w:rsidRDefault="00A6554C" w:rsidP="00A6554C">
          <w:pPr>
            <w:pStyle w:val="NoSpacing"/>
            <w:tabs>
              <w:tab w:val="left" w:pos="90"/>
            </w:tabs>
            <w:spacing w:line="271" w:lineRule="auto"/>
            <w:rPr>
              <w:rFonts w:asciiTheme="majorHAnsi" w:hAnsiTheme="majorHAnsi"/>
              <w:b/>
            </w:rPr>
          </w:pPr>
          <w:r w:rsidRPr="00707715">
            <w:rPr>
              <w:rFonts w:asciiTheme="majorHAnsi" w:hAnsiTheme="majorHAnsi" w:cs="Times New Roman"/>
            </w:rPr>
            <w:t xml:space="preserve">Website: </w:t>
          </w:r>
          <w:hyperlink r:id="rId19" w:history="1">
            <w:r w:rsidRPr="005A0DEC">
              <w:rPr>
                <w:rStyle w:val="Hyperlink"/>
                <w:rFonts w:asciiTheme="majorHAnsi" w:hAnsiTheme="majorHAnsi" w:cs="Times New Roman"/>
              </w:rPr>
              <w:t>www.somalcrs.org</w:t>
            </w:r>
          </w:hyperlink>
        </w:p>
        <w:p w14:paraId="3A0DED77" w14:textId="66D2802A" w:rsidR="0056769E" w:rsidRPr="0056769E" w:rsidRDefault="0056769E" w:rsidP="00A6554C">
          <w:pPr>
            <w:pStyle w:val="NoSpacing"/>
            <w:spacing w:line="271" w:lineRule="auto"/>
            <w:rPr>
              <w:rFonts w:asciiTheme="majorHAnsi" w:hAnsiTheme="majorHAnsi" w:cs="Times New Roman"/>
              <w:iCs/>
            </w:rPr>
          </w:pPr>
          <w:r>
            <w:rPr>
              <w:rFonts w:asciiTheme="majorHAnsi" w:hAnsiTheme="majorHAnsi" w:cs="Times New Roman"/>
              <w:iCs/>
            </w:rPr>
            <w:t xml:space="preserve">Address: </w:t>
          </w:r>
          <w:r w:rsidRPr="0056769E">
            <w:rPr>
              <w:rFonts w:asciiTheme="majorHAnsi" w:hAnsiTheme="majorHAnsi" w:cs="Times New Roman"/>
              <w:iCs/>
            </w:rPr>
            <w:t>4020 Minnehaha Ave, Suite 2070</w:t>
          </w:r>
          <w:r>
            <w:rPr>
              <w:rFonts w:asciiTheme="majorHAnsi" w:hAnsiTheme="majorHAnsi" w:cs="Times New Roman"/>
              <w:iCs/>
            </w:rPr>
            <w:t xml:space="preserve">, </w:t>
          </w:r>
          <w:r w:rsidRPr="0056769E">
            <w:rPr>
              <w:rFonts w:asciiTheme="majorHAnsi" w:hAnsiTheme="majorHAnsi" w:cs="Times New Roman"/>
              <w:iCs/>
            </w:rPr>
            <w:t>Minneapolis, MN 55406</w:t>
          </w:r>
        </w:p>
        <w:p w14:paraId="08BF906B" w14:textId="38141C28" w:rsidR="0056769E" w:rsidRPr="0056769E" w:rsidRDefault="00A6554C" w:rsidP="0056769E">
          <w:pPr>
            <w:pStyle w:val="NoSpacing"/>
            <w:spacing w:line="271" w:lineRule="auto"/>
            <w:rPr>
              <w:rFonts w:asciiTheme="majorHAnsi" w:hAnsiTheme="majorHAnsi" w:cs="Times New Roman"/>
              <w:b/>
              <w:i/>
            </w:rPr>
          </w:pPr>
          <w:r w:rsidRPr="00707715">
            <w:rPr>
              <w:rFonts w:asciiTheme="majorHAnsi" w:hAnsiTheme="majorHAnsi" w:cs="Times New Roman"/>
              <w:i/>
            </w:rPr>
            <w:t xml:space="preserve">Local Contact: </w:t>
          </w:r>
          <w:r w:rsidRPr="00D003A9">
            <w:rPr>
              <w:rFonts w:asciiTheme="majorHAnsi" w:hAnsiTheme="majorHAnsi" w:cs="Times New Roman"/>
              <w:i/>
            </w:rPr>
            <w:t>Abdullah Hared</w:t>
          </w:r>
          <w:r>
            <w:rPr>
              <w:rFonts w:asciiTheme="majorHAnsi" w:hAnsiTheme="majorHAnsi" w:cs="Times New Roman"/>
              <w:i/>
            </w:rPr>
            <w:t xml:space="preserve">, </w:t>
          </w:r>
          <w:r w:rsidRPr="00D003A9">
            <w:rPr>
              <w:rFonts w:asciiTheme="majorHAnsi" w:hAnsiTheme="majorHAnsi" w:cs="Times New Roman"/>
              <w:i/>
            </w:rPr>
            <w:t>612-353-6380</w:t>
          </w:r>
          <w:r>
            <w:rPr>
              <w:rFonts w:asciiTheme="majorHAnsi" w:hAnsiTheme="majorHAnsi" w:cs="Times New Roman"/>
              <w:i/>
            </w:rPr>
            <w:t xml:space="preserve">, </w:t>
          </w:r>
          <w:hyperlink r:id="rId20" w:history="1">
            <w:r w:rsidRPr="005A0DEC">
              <w:rPr>
                <w:rStyle w:val="Hyperlink"/>
                <w:rFonts w:asciiTheme="majorHAnsi" w:hAnsiTheme="majorHAnsi" w:cs="Times New Roman"/>
              </w:rPr>
              <w:t>anhared@somalcrs.org</w:t>
            </w:r>
          </w:hyperlink>
          <w:r>
            <w:rPr>
              <w:rFonts w:asciiTheme="majorHAnsi" w:hAnsiTheme="majorHAnsi" w:cs="Times New Roman"/>
              <w:i/>
            </w:rPr>
            <w:t xml:space="preserve"> </w:t>
          </w:r>
        </w:p>
      </w:sdtContent>
    </w:sdt>
    <w:bookmarkStart w:id="6" w:name="_Toc26346378" w:displacedByCustomXml="prev"/>
    <w:p w14:paraId="02203AB0" w14:textId="77777777" w:rsidR="0056769E" w:rsidRDefault="0056769E">
      <w:pPr>
        <w:rPr>
          <w:rFonts w:asciiTheme="minorHAnsi" w:eastAsiaTheme="majorEastAsia" w:hAnsiTheme="minorHAnsi" w:cstheme="majorBidi"/>
          <w:b/>
          <w:bCs/>
          <w:color w:val="003865"/>
          <w:sz w:val="40"/>
          <w:szCs w:val="32"/>
        </w:rPr>
      </w:pPr>
      <w:r>
        <w:br w:type="page"/>
      </w:r>
    </w:p>
    <w:p w14:paraId="56EA038B" w14:textId="768908B7" w:rsidR="00126C8D" w:rsidRDefault="00126C8D" w:rsidP="00126C8D">
      <w:pPr>
        <w:pStyle w:val="Heading2"/>
      </w:pPr>
      <w:bookmarkStart w:id="7" w:name="_Toc103152346"/>
      <w:r>
        <w:lastRenderedPageBreak/>
        <w:t>Program Data</w:t>
      </w:r>
      <w:bookmarkEnd w:id="7"/>
    </w:p>
    <w:p w14:paraId="7CF4AFB8" w14:textId="4F21CE8E" w:rsidR="00126C8D" w:rsidRPr="00126C8D" w:rsidRDefault="00126C8D" w:rsidP="00126C8D">
      <w:pPr>
        <w:pStyle w:val="BodyText"/>
      </w:pPr>
      <w:r>
        <w:t xml:space="preserve">The </w:t>
      </w:r>
      <w:r w:rsidR="00F950E4" w:rsidRPr="009D7471">
        <w:t>Minnesota Economic Recovery Jobs Program</w:t>
      </w:r>
      <w:r w:rsidR="00F950E4">
        <w:t xml:space="preserve"> </w:t>
      </w:r>
      <w:r>
        <w:t>demographic, activity, and outcome data that is included in this report reflects the cumulative totals of all</w:t>
      </w:r>
      <w:r w:rsidR="00F950E4">
        <w:t xml:space="preserve"> 4</w:t>
      </w:r>
      <w:r>
        <w:t xml:space="preserve"> grantees. </w:t>
      </w:r>
      <w:r w:rsidR="00A27790">
        <w:t xml:space="preserve">Three grants were extended by a quarter and concluded at the end of March 2022. </w:t>
      </w:r>
      <w:r w:rsidR="00F950E4">
        <w:t xml:space="preserve">The data </w:t>
      </w:r>
      <w:r w:rsidR="00A27790">
        <w:t xml:space="preserve">below is final for the four grants and </w:t>
      </w:r>
      <w:r w:rsidR="001C02D5">
        <w:t xml:space="preserve">covers the period from </w:t>
      </w:r>
      <w:r w:rsidR="00F950E4">
        <w:t>the start of the grant contracts, in mid-February 2021, through the end</w:t>
      </w:r>
      <w:r w:rsidR="001C02D5">
        <w:t xml:space="preserve"> </w:t>
      </w:r>
      <w:r w:rsidR="00852C93">
        <w:t xml:space="preserve">of </w:t>
      </w:r>
      <w:r w:rsidR="00A27790">
        <w:t>the grant contracts, March 31, 2022</w:t>
      </w:r>
      <w:r w:rsidR="00F950E4">
        <w:t>.</w:t>
      </w:r>
      <w:r w:rsidR="001C02D5">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5"/>
        <w:gridCol w:w="4838"/>
        <w:gridCol w:w="1812"/>
        <w:gridCol w:w="1835"/>
      </w:tblGrid>
      <w:tr w:rsidR="00FD2BFB" w:rsidRPr="00C34F31" w14:paraId="2667D2A2" w14:textId="77777777" w:rsidTr="009C032A">
        <w:trPr>
          <w:trHeight w:val="432"/>
          <w:jc w:val="center"/>
        </w:trPr>
        <w:tc>
          <w:tcPr>
            <w:tcW w:w="10070" w:type="dxa"/>
            <w:gridSpan w:val="4"/>
            <w:shd w:val="clear" w:color="auto" w:fill="C8C8C3" w:themeFill="background2" w:themeFillShade="E6"/>
            <w:vAlign w:val="center"/>
          </w:tcPr>
          <w:p w14:paraId="5D563C4C" w14:textId="75B6B9A8" w:rsidR="00F950E4" w:rsidRDefault="00FD2BFB" w:rsidP="005628FF">
            <w:pPr>
              <w:shd w:val="clear" w:color="auto" w:fill="C8C8C3" w:themeFill="background2" w:themeFillShade="E6"/>
              <w:spacing w:before="0" w:line="360" w:lineRule="auto"/>
              <w:jc w:val="center"/>
              <w:rPr>
                <w:rFonts w:ascii="Calibri-Bold" w:hAnsi="Calibri-Bold" w:cs="Calibri-Bold"/>
                <w:b/>
                <w:bCs/>
                <w:sz w:val="28"/>
                <w:szCs w:val="28"/>
                <w:lang w:bidi="ar-SA"/>
              </w:rPr>
            </w:pPr>
            <w:r w:rsidRPr="00C34F31">
              <w:br w:type="page"/>
            </w:r>
            <w:r w:rsidR="00F950E4" w:rsidRPr="00F950E4">
              <w:rPr>
                <w:rFonts w:ascii="Calibri-Bold" w:hAnsi="Calibri-Bold" w:cs="Calibri-Bold"/>
                <w:b/>
                <w:bCs/>
                <w:sz w:val="28"/>
                <w:szCs w:val="28"/>
                <w:lang w:bidi="ar-SA"/>
              </w:rPr>
              <w:t xml:space="preserve">Minnesota Economic Recovery Jobs Program </w:t>
            </w:r>
          </w:p>
          <w:p w14:paraId="77522BD0" w14:textId="0277D296" w:rsidR="00FD2BFB" w:rsidRPr="00FD2BFB" w:rsidRDefault="006D1134" w:rsidP="005628FF">
            <w:pPr>
              <w:shd w:val="clear" w:color="auto" w:fill="C8C8C3" w:themeFill="background2" w:themeFillShade="E6"/>
              <w:spacing w:before="0" w:line="360" w:lineRule="auto"/>
              <w:jc w:val="center"/>
              <w:rPr>
                <w:b/>
                <w:sz w:val="28"/>
                <w:szCs w:val="28"/>
              </w:rPr>
            </w:pPr>
            <w:r w:rsidRPr="00FD2BFB">
              <w:rPr>
                <w:rFonts w:ascii="Calibri-Bold" w:hAnsi="Calibri-Bold" w:cs="Calibri-Bold"/>
                <w:b/>
                <w:bCs/>
                <w:sz w:val="28"/>
                <w:szCs w:val="28"/>
                <w:lang w:bidi="ar-SA"/>
              </w:rPr>
              <w:t>Demographic</w:t>
            </w:r>
            <w:r w:rsidR="00FD2BFB" w:rsidRPr="00FD2BFB">
              <w:rPr>
                <w:rFonts w:ascii="Calibri-Bold" w:hAnsi="Calibri-Bold" w:cs="Calibri-Bold"/>
                <w:b/>
                <w:bCs/>
                <w:sz w:val="28"/>
                <w:szCs w:val="28"/>
                <w:lang w:bidi="ar-SA"/>
              </w:rPr>
              <w:t>, Activity, and Outcome Data</w:t>
            </w:r>
            <w:r w:rsidR="009C032A">
              <w:rPr>
                <w:rFonts w:ascii="Calibri-Bold" w:hAnsi="Calibri-Bold" w:cs="Calibri-Bold"/>
                <w:b/>
                <w:bCs/>
                <w:sz w:val="28"/>
                <w:szCs w:val="28"/>
                <w:lang w:bidi="ar-SA"/>
              </w:rPr>
              <w:t xml:space="preserve"> - –</w:t>
            </w:r>
            <w:r w:rsidR="009C032A" w:rsidRPr="00FD2BFB">
              <w:rPr>
                <w:rFonts w:ascii="Calibri-Bold" w:hAnsi="Calibri-Bold" w:cs="Calibri-Bold"/>
                <w:b/>
                <w:bCs/>
                <w:sz w:val="28"/>
                <w:szCs w:val="28"/>
                <w:lang w:bidi="ar-SA"/>
              </w:rPr>
              <w:t xml:space="preserve"> </w:t>
            </w:r>
            <w:r w:rsidR="009C032A">
              <w:rPr>
                <w:rFonts w:ascii="Calibri-Bold" w:hAnsi="Calibri-Bold" w:cs="Calibri-Bold"/>
                <w:b/>
                <w:bCs/>
                <w:sz w:val="28"/>
                <w:szCs w:val="28"/>
                <w:lang w:bidi="ar-SA"/>
              </w:rPr>
              <w:t>(Mid-Feb 2021 –</w:t>
            </w:r>
            <w:r w:rsidR="003F59AA">
              <w:rPr>
                <w:rFonts w:ascii="Calibri-Bold" w:hAnsi="Calibri-Bold" w:cs="Calibri-Bold"/>
                <w:b/>
                <w:bCs/>
                <w:sz w:val="28"/>
                <w:szCs w:val="28"/>
                <w:lang w:bidi="ar-SA"/>
              </w:rPr>
              <w:t xml:space="preserve"> March </w:t>
            </w:r>
            <w:r w:rsidR="009C032A">
              <w:rPr>
                <w:rFonts w:ascii="Calibri-Bold" w:hAnsi="Calibri-Bold" w:cs="Calibri-Bold"/>
                <w:b/>
                <w:bCs/>
                <w:sz w:val="28"/>
                <w:szCs w:val="28"/>
                <w:lang w:bidi="ar-SA"/>
              </w:rPr>
              <w:t>3</w:t>
            </w:r>
            <w:r w:rsidR="00852C93">
              <w:rPr>
                <w:rFonts w:ascii="Calibri-Bold" w:hAnsi="Calibri-Bold" w:cs="Calibri-Bold"/>
                <w:b/>
                <w:bCs/>
                <w:sz w:val="28"/>
                <w:szCs w:val="28"/>
                <w:lang w:bidi="ar-SA"/>
              </w:rPr>
              <w:t>1</w:t>
            </w:r>
            <w:r w:rsidR="009C032A">
              <w:rPr>
                <w:rFonts w:ascii="Calibri-Bold" w:hAnsi="Calibri-Bold" w:cs="Calibri-Bold"/>
                <w:b/>
                <w:bCs/>
                <w:sz w:val="28"/>
                <w:szCs w:val="28"/>
                <w:lang w:bidi="ar-SA"/>
              </w:rPr>
              <w:t>, 202</w:t>
            </w:r>
            <w:r w:rsidR="003F59AA">
              <w:rPr>
                <w:rFonts w:ascii="Calibri-Bold" w:hAnsi="Calibri-Bold" w:cs="Calibri-Bold"/>
                <w:b/>
                <w:bCs/>
                <w:sz w:val="28"/>
                <w:szCs w:val="28"/>
                <w:lang w:bidi="ar-SA"/>
              </w:rPr>
              <w:t>2</w:t>
            </w:r>
            <w:r w:rsidR="009C032A">
              <w:rPr>
                <w:rFonts w:ascii="Calibri-Bold" w:hAnsi="Calibri-Bold" w:cs="Calibri-Bold"/>
                <w:b/>
                <w:bCs/>
                <w:sz w:val="28"/>
                <w:szCs w:val="28"/>
                <w:lang w:bidi="ar-SA"/>
              </w:rPr>
              <w:t>)</w:t>
            </w:r>
          </w:p>
        </w:tc>
      </w:tr>
      <w:tr w:rsidR="00FD2BFB" w:rsidRPr="0070451B" w14:paraId="79020CF1" w14:textId="77777777" w:rsidTr="00C23909">
        <w:trPr>
          <w:trHeight w:val="602"/>
          <w:jc w:val="center"/>
        </w:trPr>
        <w:tc>
          <w:tcPr>
            <w:tcW w:w="6423" w:type="dxa"/>
            <w:gridSpan w:val="2"/>
            <w:shd w:val="clear" w:color="auto" w:fill="auto"/>
            <w:vAlign w:val="center"/>
          </w:tcPr>
          <w:p w14:paraId="0574A1A2" w14:textId="44C415CD" w:rsidR="00FD2BFB" w:rsidRPr="00733E21" w:rsidRDefault="00F950E4" w:rsidP="00FD2BFB">
            <w:r w:rsidRPr="00733E21">
              <w:t>Total Individual Participants Served</w:t>
            </w:r>
          </w:p>
        </w:tc>
        <w:tc>
          <w:tcPr>
            <w:tcW w:w="3647" w:type="dxa"/>
            <w:gridSpan w:val="2"/>
            <w:vAlign w:val="center"/>
          </w:tcPr>
          <w:p w14:paraId="66698437" w14:textId="7B608E03" w:rsidR="00FD2BFB" w:rsidRPr="00733E21" w:rsidRDefault="00733E21" w:rsidP="00B9397C">
            <w:pPr>
              <w:jc w:val="center"/>
            </w:pPr>
            <w:r>
              <w:t>1</w:t>
            </w:r>
            <w:r w:rsidR="003F59AA">
              <w:t>63</w:t>
            </w:r>
          </w:p>
        </w:tc>
      </w:tr>
      <w:tr w:rsidR="00F950E4" w:rsidRPr="0070451B" w14:paraId="69D2F220" w14:textId="77777777" w:rsidTr="00C23909">
        <w:trPr>
          <w:trHeight w:val="620"/>
          <w:jc w:val="center"/>
        </w:trPr>
        <w:tc>
          <w:tcPr>
            <w:tcW w:w="6423" w:type="dxa"/>
            <w:gridSpan w:val="2"/>
            <w:shd w:val="clear" w:color="auto" w:fill="DDDDDA" w:themeFill="background2"/>
            <w:vAlign w:val="center"/>
          </w:tcPr>
          <w:p w14:paraId="56EF9D6C" w14:textId="6EF60B30" w:rsidR="00F950E4" w:rsidRPr="00733E21" w:rsidRDefault="00F950E4" w:rsidP="00F950E4">
            <w:pPr>
              <w:jc w:val="center"/>
            </w:pPr>
            <w:r w:rsidRPr="00733E21">
              <w:rPr>
                <w:rFonts w:ascii="Calibri-Bold" w:hAnsi="Calibri-Bold" w:cs="Calibri-Bold"/>
                <w:b/>
                <w:bCs/>
                <w:sz w:val="28"/>
                <w:szCs w:val="28"/>
                <w:lang w:bidi="ar-SA"/>
              </w:rPr>
              <w:t>Demographic Data</w:t>
            </w:r>
          </w:p>
        </w:tc>
        <w:tc>
          <w:tcPr>
            <w:tcW w:w="1812" w:type="dxa"/>
            <w:shd w:val="clear" w:color="auto" w:fill="DDDDDA" w:themeFill="background2"/>
            <w:vAlign w:val="center"/>
          </w:tcPr>
          <w:p w14:paraId="4177203C" w14:textId="4C7D303B" w:rsidR="00F950E4" w:rsidRPr="00733E21" w:rsidRDefault="00F950E4" w:rsidP="00F950E4">
            <w:pPr>
              <w:jc w:val="center"/>
              <w:rPr>
                <w:b/>
                <w:bCs/>
              </w:rPr>
            </w:pPr>
            <w:r w:rsidRPr="00733E21">
              <w:rPr>
                <w:b/>
                <w:bCs/>
              </w:rPr>
              <w:t>Total</w:t>
            </w:r>
          </w:p>
        </w:tc>
        <w:tc>
          <w:tcPr>
            <w:tcW w:w="1835" w:type="dxa"/>
            <w:shd w:val="clear" w:color="auto" w:fill="DDDDDA" w:themeFill="background2"/>
            <w:vAlign w:val="center"/>
          </w:tcPr>
          <w:p w14:paraId="121C7C22" w14:textId="77427E0F" w:rsidR="00F950E4" w:rsidRPr="00733E21" w:rsidRDefault="00F950E4" w:rsidP="00F950E4">
            <w:pPr>
              <w:jc w:val="center"/>
              <w:rPr>
                <w:b/>
                <w:bCs/>
              </w:rPr>
            </w:pPr>
            <w:r w:rsidRPr="00733E21">
              <w:rPr>
                <w:b/>
                <w:bCs/>
              </w:rPr>
              <w:t>Percentage</w:t>
            </w:r>
          </w:p>
        </w:tc>
      </w:tr>
      <w:tr w:rsidR="003F59AA" w:rsidRPr="0070451B" w14:paraId="22B47B92" w14:textId="77777777" w:rsidTr="00382D30">
        <w:trPr>
          <w:trHeight w:val="432"/>
          <w:jc w:val="center"/>
        </w:trPr>
        <w:tc>
          <w:tcPr>
            <w:tcW w:w="1585" w:type="dxa"/>
            <w:vMerge w:val="restart"/>
            <w:shd w:val="clear" w:color="auto" w:fill="auto"/>
            <w:vAlign w:val="center"/>
          </w:tcPr>
          <w:p w14:paraId="5EB76705" w14:textId="77777777" w:rsidR="003F59AA" w:rsidRPr="00733E21" w:rsidRDefault="003F59AA" w:rsidP="003F59AA">
            <w:pPr>
              <w:jc w:val="center"/>
              <w:rPr>
                <w:b/>
                <w:sz w:val="18"/>
                <w:szCs w:val="18"/>
              </w:rPr>
            </w:pPr>
            <w:r w:rsidRPr="00733E21">
              <w:rPr>
                <w:b/>
                <w:sz w:val="18"/>
                <w:szCs w:val="18"/>
              </w:rPr>
              <w:t>Gender</w:t>
            </w:r>
          </w:p>
        </w:tc>
        <w:tc>
          <w:tcPr>
            <w:tcW w:w="4838" w:type="dxa"/>
            <w:shd w:val="clear" w:color="auto" w:fill="auto"/>
            <w:vAlign w:val="center"/>
          </w:tcPr>
          <w:p w14:paraId="3CF81331" w14:textId="0263FCA1" w:rsidR="003F59AA" w:rsidRPr="00733E21" w:rsidRDefault="003F59AA" w:rsidP="003F59AA">
            <w:pPr>
              <w:ind w:left="144"/>
            </w:pPr>
            <w:r w:rsidRPr="00733E21">
              <w:t>Male</w:t>
            </w:r>
          </w:p>
        </w:tc>
        <w:tc>
          <w:tcPr>
            <w:tcW w:w="1812" w:type="dxa"/>
            <w:tcBorders>
              <w:top w:val="nil"/>
              <w:left w:val="nil"/>
              <w:bottom w:val="nil"/>
              <w:right w:val="single" w:sz="4" w:space="0" w:color="auto"/>
            </w:tcBorders>
            <w:shd w:val="clear" w:color="auto" w:fill="auto"/>
          </w:tcPr>
          <w:p w14:paraId="12FE08C6" w14:textId="78962E28" w:rsidR="003F59AA" w:rsidRPr="00733E21" w:rsidRDefault="003F59AA" w:rsidP="003F59AA">
            <w:pPr>
              <w:jc w:val="center"/>
            </w:pPr>
            <w:r w:rsidRPr="00B907CA">
              <w:t>71</w:t>
            </w:r>
          </w:p>
        </w:tc>
        <w:tc>
          <w:tcPr>
            <w:tcW w:w="1835" w:type="dxa"/>
            <w:tcBorders>
              <w:top w:val="nil"/>
              <w:left w:val="nil"/>
              <w:bottom w:val="nil"/>
              <w:right w:val="single" w:sz="8" w:space="0" w:color="auto"/>
            </w:tcBorders>
            <w:shd w:val="clear" w:color="000000" w:fill="FFFFFF"/>
          </w:tcPr>
          <w:p w14:paraId="1405199E" w14:textId="67C587AF" w:rsidR="003F59AA" w:rsidRPr="00733E21" w:rsidRDefault="003F59AA" w:rsidP="003F59AA">
            <w:pPr>
              <w:jc w:val="center"/>
            </w:pPr>
            <w:r w:rsidRPr="008C258F">
              <w:t>43.6%</w:t>
            </w:r>
          </w:p>
        </w:tc>
      </w:tr>
      <w:tr w:rsidR="003F59AA" w:rsidRPr="0070451B" w14:paraId="34D5A615" w14:textId="77777777" w:rsidTr="00382D30">
        <w:trPr>
          <w:trHeight w:val="432"/>
          <w:jc w:val="center"/>
        </w:trPr>
        <w:tc>
          <w:tcPr>
            <w:tcW w:w="1585" w:type="dxa"/>
            <w:vMerge/>
            <w:shd w:val="clear" w:color="auto" w:fill="auto"/>
            <w:vAlign w:val="center"/>
          </w:tcPr>
          <w:p w14:paraId="00F55A39" w14:textId="77777777" w:rsidR="003F59AA" w:rsidRPr="00733E21" w:rsidRDefault="003F59AA" w:rsidP="003F59AA">
            <w:pPr>
              <w:jc w:val="center"/>
              <w:rPr>
                <w:b/>
                <w:sz w:val="18"/>
                <w:szCs w:val="18"/>
              </w:rPr>
            </w:pPr>
          </w:p>
        </w:tc>
        <w:tc>
          <w:tcPr>
            <w:tcW w:w="4838" w:type="dxa"/>
            <w:shd w:val="clear" w:color="auto" w:fill="auto"/>
            <w:vAlign w:val="center"/>
          </w:tcPr>
          <w:p w14:paraId="5F92E970" w14:textId="50DF5CF7" w:rsidR="003F59AA" w:rsidRPr="00733E21" w:rsidRDefault="003F59AA" w:rsidP="003F59AA">
            <w:pPr>
              <w:ind w:left="144"/>
            </w:pPr>
            <w:r w:rsidRPr="00733E21">
              <w:t>Female</w:t>
            </w:r>
          </w:p>
        </w:tc>
        <w:tc>
          <w:tcPr>
            <w:tcW w:w="1812" w:type="dxa"/>
            <w:tcBorders>
              <w:top w:val="single" w:sz="4" w:space="0" w:color="auto"/>
              <w:left w:val="nil"/>
              <w:bottom w:val="single" w:sz="8" w:space="0" w:color="auto"/>
              <w:right w:val="single" w:sz="4" w:space="0" w:color="auto"/>
            </w:tcBorders>
            <w:shd w:val="clear" w:color="auto" w:fill="auto"/>
          </w:tcPr>
          <w:p w14:paraId="2F98823B" w14:textId="213AAFE0" w:rsidR="003F59AA" w:rsidRPr="00733E21" w:rsidRDefault="003F59AA" w:rsidP="003F59AA">
            <w:pPr>
              <w:jc w:val="center"/>
            </w:pPr>
            <w:r w:rsidRPr="00B907CA">
              <w:t>92</w:t>
            </w:r>
          </w:p>
        </w:tc>
        <w:tc>
          <w:tcPr>
            <w:tcW w:w="1835" w:type="dxa"/>
            <w:tcBorders>
              <w:top w:val="single" w:sz="4" w:space="0" w:color="auto"/>
              <w:left w:val="nil"/>
              <w:bottom w:val="single" w:sz="8" w:space="0" w:color="auto"/>
              <w:right w:val="single" w:sz="8" w:space="0" w:color="auto"/>
            </w:tcBorders>
            <w:shd w:val="clear" w:color="auto" w:fill="auto"/>
          </w:tcPr>
          <w:p w14:paraId="22125864" w14:textId="52D335C4" w:rsidR="003F59AA" w:rsidRPr="00733E21" w:rsidRDefault="003F59AA" w:rsidP="003F59AA">
            <w:pPr>
              <w:jc w:val="center"/>
            </w:pPr>
            <w:r w:rsidRPr="008C258F">
              <w:t>56.4%</w:t>
            </w:r>
          </w:p>
        </w:tc>
      </w:tr>
      <w:tr w:rsidR="003F59AA" w:rsidRPr="0070451B" w14:paraId="1791FE78" w14:textId="77777777" w:rsidTr="009C032A">
        <w:trPr>
          <w:trHeight w:val="432"/>
          <w:jc w:val="center"/>
        </w:trPr>
        <w:tc>
          <w:tcPr>
            <w:tcW w:w="1585" w:type="dxa"/>
            <w:vMerge w:val="restart"/>
            <w:shd w:val="clear" w:color="auto" w:fill="auto"/>
            <w:vAlign w:val="center"/>
          </w:tcPr>
          <w:p w14:paraId="64F428D8" w14:textId="7F9F0063" w:rsidR="003F59AA" w:rsidRPr="00733E21" w:rsidRDefault="003F59AA" w:rsidP="003F59AA">
            <w:pPr>
              <w:jc w:val="center"/>
              <w:rPr>
                <w:b/>
                <w:sz w:val="18"/>
                <w:szCs w:val="18"/>
              </w:rPr>
            </w:pPr>
            <w:r w:rsidRPr="00733E21">
              <w:rPr>
                <w:b/>
                <w:sz w:val="18"/>
                <w:szCs w:val="18"/>
              </w:rPr>
              <w:t>Age</w:t>
            </w:r>
          </w:p>
        </w:tc>
        <w:tc>
          <w:tcPr>
            <w:tcW w:w="4838" w:type="dxa"/>
            <w:shd w:val="clear" w:color="auto" w:fill="auto"/>
            <w:vAlign w:val="center"/>
          </w:tcPr>
          <w:p w14:paraId="05CFC568" w14:textId="036BFC3E" w:rsidR="003F59AA" w:rsidRPr="00733E21" w:rsidRDefault="003F59AA" w:rsidP="003F59AA">
            <w:r w:rsidRPr="00733E21">
              <w:t xml:space="preserve">  18</w:t>
            </w:r>
          </w:p>
        </w:tc>
        <w:tc>
          <w:tcPr>
            <w:tcW w:w="1812" w:type="dxa"/>
            <w:tcBorders>
              <w:top w:val="nil"/>
              <w:left w:val="nil"/>
              <w:bottom w:val="nil"/>
              <w:right w:val="single" w:sz="4" w:space="0" w:color="auto"/>
            </w:tcBorders>
            <w:shd w:val="clear" w:color="auto" w:fill="auto"/>
          </w:tcPr>
          <w:p w14:paraId="4EE5B851" w14:textId="26013400" w:rsidR="003F59AA" w:rsidRPr="00733E21" w:rsidRDefault="003F59AA" w:rsidP="003F59AA">
            <w:pPr>
              <w:jc w:val="center"/>
            </w:pPr>
            <w:r w:rsidRPr="00774248">
              <w:t>18</w:t>
            </w:r>
          </w:p>
        </w:tc>
        <w:tc>
          <w:tcPr>
            <w:tcW w:w="1835" w:type="dxa"/>
            <w:tcBorders>
              <w:top w:val="nil"/>
              <w:left w:val="nil"/>
              <w:bottom w:val="nil"/>
              <w:right w:val="single" w:sz="8" w:space="0" w:color="auto"/>
            </w:tcBorders>
            <w:shd w:val="clear" w:color="auto" w:fill="auto"/>
          </w:tcPr>
          <w:p w14:paraId="0ED4DF95" w14:textId="69930410" w:rsidR="003F59AA" w:rsidRPr="00733E21" w:rsidRDefault="003F59AA" w:rsidP="003F59AA">
            <w:pPr>
              <w:jc w:val="center"/>
            </w:pPr>
            <w:r w:rsidRPr="008342E2">
              <w:t>11.0%</w:t>
            </w:r>
          </w:p>
        </w:tc>
      </w:tr>
      <w:tr w:rsidR="003F59AA" w:rsidRPr="0070451B" w14:paraId="17EB0A77" w14:textId="77777777" w:rsidTr="009C032A">
        <w:trPr>
          <w:trHeight w:val="432"/>
          <w:jc w:val="center"/>
        </w:trPr>
        <w:tc>
          <w:tcPr>
            <w:tcW w:w="1585" w:type="dxa"/>
            <w:vMerge/>
            <w:shd w:val="clear" w:color="auto" w:fill="auto"/>
            <w:vAlign w:val="center"/>
          </w:tcPr>
          <w:p w14:paraId="56DC02EE" w14:textId="77777777" w:rsidR="003F59AA" w:rsidRPr="00733E21" w:rsidRDefault="003F59AA" w:rsidP="003F59AA">
            <w:pPr>
              <w:jc w:val="center"/>
              <w:rPr>
                <w:b/>
                <w:sz w:val="18"/>
                <w:szCs w:val="18"/>
              </w:rPr>
            </w:pPr>
          </w:p>
        </w:tc>
        <w:tc>
          <w:tcPr>
            <w:tcW w:w="4838" w:type="dxa"/>
            <w:shd w:val="clear" w:color="auto" w:fill="auto"/>
            <w:vAlign w:val="center"/>
          </w:tcPr>
          <w:p w14:paraId="51694D49" w14:textId="2E8BE6F1" w:rsidR="003F59AA" w:rsidRPr="00733E21" w:rsidRDefault="003F59AA" w:rsidP="003F59AA">
            <w:r w:rsidRPr="00733E21">
              <w:t xml:space="preserve">  19 – 20</w:t>
            </w:r>
          </w:p>
        </w:tc>
        <w:tc>
          <w:tcPr>
            <w:tcW w:w="1812" w:type="dxa"/>
            <w:tcBorders>
              <w:top w:val="single" w:sz="4" w:space="0" w:color="auto"/>
              <w:left w:val="nil"/>
              <w:bottom w:val="single" w:sz="8" w:space="0" w:color="auto"/>
              <w:right w:val="single" w:sz="4" w:space="0" w:color="auto"/>
            </w:tcBorders>
            <w:shd w:val="clear" w:color="auto" w:fill="auto"/>
          </w:tcPr>
          <w:p w14:paraId="7EFC4032" w14:textId="58CC07AC" w:rsidR="003F59AA" w:rsidRPr="00733E21" w:rsidRDefault="003F59AA" w:rsidP="003F59AA">
            <w:pPr>
              <w:jc w:val="center"/>
            </w:pPr>
            <w:r w:rsidRPr="00774248">
              <w:t>55</w:t>
            </w:r>
          </w:p>
        </w:tc>
        <w:tc>
          <w:tcPr>
            <w:tcW w:w="1835" w:type="dxa"/>
            <w:tcBorders>
              <w:top w:val="single" w:sz="4" w:space="0" w:color="auto"/>
              <w:left w:val="nil"/>
              <w:bottom w:val="single" w:sz="8" w:space="0" w:color="auto"/>
              <w:right w:val="single" w:sz="8" w:space="0" w:color="auto"/>
            </w:tcBorders>
            <w:shd w:val="clear" w:color="auto" w:fill="auto"/>
          </w:tcPr>
          <w:p w14:paraId="4FC6C7C7" w14:textId="2256E6B2" w:rsidR="003F59AA" w:rsidRPr="00733E21" w:rsidRDefault="003F59AA" w:rsidP="003F59AA">
            <w:pPr>
              <w:jc w:val="center"/>
            </w:pPr>
            <w:r w:rsidRPr="008342E2">
              <w:t>33.7%</w:t>
            </w:r>
          </w:p>
        </w:tc>
      </w:tr>
      <w:tr w:rsidR="003F59AA" w:rsidRPr="0070451B" w14:paraId="03EFCCA9" w14:textId="77777777" w:rsidTr="009C032A">
        <w:trPr>
          <w:trHeight w:val="432"/>
          <w:jc w:val="center"/>
        </w:trPr>
        <w:tc>
          <w:tcPr>
            <w:tcW w:w="1585" w:type="dxa"/>
            <w:vMerge/>
            <w:shd w:val="clear" w:color="auto" w:fill="auto"/>
            <w:vAlign w:val="center"/>
          </w:tcPr>
          <w:p w14:paraId="2EFD43A9" w14:textId="77777777" w:rsidR="003F59AA" w:rsidRPr="00733E21" w:rsidRDefault="003F59AA" w:rsidP="003F59AA">
            <w:pPr>
              <w:jc w:val="center"/>
              <w:rPr>
                <w:b/>
                <w:sz w:val="18"/>
                <w:szCs w:val="18"/>
              </w:rPr>
            </w:pPr>
          </w:p>
        </w:tc>
        <w:tc>
          <w:tcPr>
            <w:tcW w:w="4838" w:type="dxa"/>
            <w:shd w:val="clear" w:color="auto" w:fill="auto"/>
            <w:vAlign w:val="center"/>
          </w:tcPr>
          <w:p w14:paraId="4519685C" w14:textId="2D609415" w:rsidR="003F59AA" w:rsidRPr="00733E21" w:rsidRDefault="003F59AA" w:rsidP="003F59AA">
            <w:r w:rsidRPr="00733E21">
              <w:t xml:space="preserve">  21 – 24</w:t>
            </w:r>
          </w:p>
        </w:tc>
        <w:tc>
          <w:tcPr>
            <w:tcW w:w="1812" w:type="dxa"/>
            <w:tcBorders>
              <w:top w:val="nil"/>
              <w:left w:val="nil"/>
              <w:bottom w:val="nil"/>
              <w:right w:val="single" w:sz="4" w:space="0" w:color="auto"/>
            </w:tcBorders>
            <w:shd w:val="clear" w:color="auto" w:fill="auto"/>
          </w:tcPr>
          <w:p w14:paraId="2A3BBD28" w14:textId="45CDC5DE" w:rsidR="003F59AA" w:rsidRPr="00733E21" w:rsidRDefault="003F59AA" w:rsidP="003F59AA">
            <w:pPr>
              <w:jc w:val="center"/>
            </w:pPr>
            <w:r w:rsidRPr="00774248">
              <w:t>79</w:t>
            </w:r>
          </w:p>
        </w:tc>
        <w:tc>
          <w:tcPr>
            <w:tcW w:w="1835" w:type="dxa"/>
            <w:tcBorders>
              <w:top w:val="nil"/>
              <w:left w:val="nil"/>
              <w:bottom w:val="nil"/>
              <w:right w:val="single" w:sz="8" w:space="0" w:color="auto"/>
            </w:tcBorders>
            <w:shd w:val="clear" w:color="auto" w:fill="auto"/>
          </w:tcPr>
          <w:p w14:paraId="7AC57393" w14:textId="0E0C6EAD" w:rsidR="003F59AA" w:rsidRPr="00733E21" w:rsidRDefault="003F59AA" w:rsidP="003F59AA">
            <w:pPr>
              <w:jc w:val="center"/>
            </w:pPr>
            <w:r w:rsidRPr="008342E2">
              <w:t>48.5%</w:t>
            </w:r>
          </w:p>
        </w:tc>
      </w:tr>
      <w:tr w:rsidR="003F59AA" w:rsidRPr="0070451B" w14:paraId="5312C8EC" w14:textId="77777777" w:rsidTr="009C032A">
        <w:trPr>
          <w:trHeight w:val="432"/>
          <w:jc w:val="center"/>
        </w:trPr>
        <w:tc>
          <w:tcPr>
            <w:tcW w:w="1585" w:type="dxa"/>
            <w:vMerge/>
            <w:shd w:val="clear" w:color="auto" w:fill="auto"/>
            <w:vAlign w:val="center"/>
          </w:tcPr>
          <w:p w14:paraId="218B256C" w14:textId="77777777" w:rsidR="003F59AA" w:rsidRPr="00733E21" w:rsidRDefault="003F59AA" w:rsidP="003F59AA">
            <w:pPr>
              <w:jc w:val="center"/>
              <w:rPr>
                <w:b/>
                <w:sz w:val="18"/>
                <w:szCs w:val="18"/>
              </w:rPr>
            </w:pPr>
          </w:p>
        </w:tc>
        <w:tc>
          <w:tcPr>
            <w:tcW w:w="4838" w:type="dxa"/>
            <w:shd w:val="clear" w:color="auto" w:fill="auto"/>
            <w:vAlign w:val="center"/>
          </w:tcPr>
          <w:p w14:paraId="72275249" w14:textId="1C4F6573" w:rsidR="003F59AA" w:rsidRPr="00733E21" w:rsidRDefault="003F59AA" w:rsidP="003F59AA">
            <w:r w:rsidRPr="00733E21">
              <w:t xml:space="preserve">  25</w:t>
            </w:r>
          </w:p>
        </w:tc>
        <w:tc>
          <w:tcPr>
            <w:tcW w:w="1812" w:type="dxa"/>
            <w:tcBorders>
              <w:top w:val="single" w:sz="4" w:space="0" w:color="auto"/>
              <w:left w:val="nil"/>
              <w:bottom w:val="single" w:sz="8" w:space="0" w:color="auto"/>
              <w:right w:val="single" w:sz="4" w:space="0" w:color="auto"/>
            </w:tcBorders>
            <w:shd w:val="clear" w:color="auto" w:fill="auto"/>
          </w:tcPr>
          <w:p w14:paraId="0290D568" w14:textId="085AB451" w:rsidR="003F59AA" w:rsidRPr="00733E21" w:rsidRDefault="003F59AA" w:rsidP="003F59AA">
            <w:pPr>
              <w:jc w:val="center"/>
            </w:pPr>
            <w:r w:rsidRPr="00774248">
              <w:t>11</w:t>
            </w:r>
          </w:p>
        </w:tc>
        <w:tc>
          <w:tcPr>
            <w:tcW w:w="1835" w:type="dxa"/>
            <w:tcBorders>
              <w:top w:val="single" w:sz="4" w:space="0" w:color="auto"/>
              <w:left w:val="nil"/>
              <w:bottom w:val="single" w:sz="8" w:space="0" w:color="auto"/>
              <w:right w:val="single" w:sz="8" w:space="0" w:color="auto"/>
            </w:tcBorders>
            <w:shd w:val="clear" w:color="auto" w:fill="auto"/>
          </w:tcPr>
          <w:p w14:paraId="698CA13E" w14:textId="7D52235E" w:rsidR="003F59AA" w:rsidRPr="00733E21" w:rsidRDefault="003F59AA" w:rsidP="003F59AA">
            <w:pPr>
              <w:jc w:val="center"/>
            </w:pPr>
            <w:r w:rsidRPr="008342E2">
              <w:t>6.7%</w:t>
            </w:r>
          </w:p>
        </w:tc>
      </w:tr>
      <w:tr w:rsidR="003F59AA" w:rsidRPr="0070451B" w14:paraId="2F52A974" w14:textId="77777777" w:rsidTr="00B333E5">
        <w:trPr>
          <w:trHeight w:val="432"/>
          <w:jc w:val="center"/>
        </w:trPr>
        <w:tc>
          <w:tcPr>
            <w:tcW w:w="1585" w:type="dxa"/>
            <w:vMerge w:val="restart"/>
            <w:shd w:val="clear" w:color="auto" w:fill="auto"/>
            <w:vAlign w:val="center"/>
          </w:tcPr>
          <w:p w14:paraId="12B2FA2D" w14:textId="34CC875C" w:rsidR="003F59AA" w:rsidRPr="00733E21" w:rsidRDefault="003F59AA" w:rsidP="003F59AA">
            <w:pPr>
              <w:jc w:val="center"/>
              <w:rPr>
                <w:b/>
                <w:sz w:val="18"/>
                <w:szCs w:val="18"/>
              </w:rPr>
            </w:pPr>
            <w:r w:rsidRPr="00733E21">
              <w:rPr>
                <w:b/>
                <w:sz w:val="18"/>
                <w:szCs w:val="18"/>
              </w:rPr>
              <w:t>Race</w:t>
            </w:r>
            <w:r>
              <w:rPr>
                <w:b/>
                <w:sz w:val="18"/>
                <w:szCs w:val="18"/>
              </w:rPr>
              <w:t>/Ethnicity</w:t>
            </w:r>
          </w:p>
        </w:tc>
        <w:tc>
          <w:tcPr>
            <w:tcW w:w="4838" w:type="dxa"/>
            <w:shd w:val="clear" w:color="auto" w:fill="auto"/>
            <w:vAlign w:val="center"/>
          </w:tcPr>
          <w:p w14:paraId="77344E29" w14:textId="3ED58831" w:rsidR="003F59AA" w:rsidRPr="00733E21" w:rsidRDefault="003F59AA" w:rsidP="003F59AA">
            <w:pPr>
              <w:ind w:left="144"/>
            </w:pPr>
            <w:r w:rsidRPr="00733E21">
              <w:t>Hispanic/Latino</w:t>
            </w:r>
          </w:p>
        </w:tc>
        <w:tc>
          <w:tcPr>
            <w:tcW w:w="1812" w:type="dxa"/>
            <w:tcBorders>
              <w:top w:val="nil"/>
              <w:left w:val="nil"/>
              <w:bottom w:val="single" w:sz="8" w:space="0" w:color="auto"/>
              <w:right w:val="single" w:sz="4" w:space="0" w:color="auto"/>
            </w:tcBorders>
            <w:shd w:val="clear" w:color="auto" w:fill="auto"/>
          </w:tcPr>
          <w:p w14:paraId="00263A72" w14:textId="4B11F210" w:rsidR="003F59AA" w:rsidRPr="00733E21" w:rsidRDefault="003F59AA" w:rsidP="003F59AA">
            <w:pPr>
              <w:jc w:val="center"/>
            </w:pPr>
            <w:r w:rsidRPr="0049770D">
              <w:t>3</w:t>
            </w:r>
          </w:p>
        </w:tc>
        <w:tc>
          <w:tcPr>
            <w:tcW w:w="1835" w:type="dxa"/>
            <w:tcBorders>
              <w:top w:val="nil"/>
              <w:left w:val="nil"/>
              <w:bottom w:val="single" w:sz="8" w:space="0" w:color="auto"/>
              <w:right w:val="single" w:sz="8" w:space="0" w:color="auto"/>
            </w:tcBorders>
            <w:shd w:val="clear" w:color="000000" w:fill="FFFFFF"/>
          </w:tcPr>
          <w:p w14:paraId="2CA7757B" w14:textId="69AE35D4" w:rsidR="003F59AA" w:rsidRPr="00733E21" w:rsidRDefault="003F59AA" w:rsidP="003F59AA">
            <w:pPr>
              <w:jc w:val="center"/>
            </w:pPr>
            <w:r w:rsidRPr="004E43DB">
              <w:t>1.8%</w:t>
            </w:r>
          </w:p>
        </w:tc>
      </w:tr>
      <w:tr w:rsidR="003F59AA" w:rsidRPr="0070451B" w14:paraId="00D7AD2C" w14:textId="77777777" w:rsidTr="009C032A">
        <w:trPr>
          <w:trHeight w:val="432"/>
          <w:jc w:val="center"/>
        </w:trPr>
        <w:tc>
          <w:tcPr>
            <w:tcW w:w="1585" w:type="dxa"/>
            <w:vMerge/>
            <w:shd w:val="clear" w:color="auto" w:fill="auto"/>
            <w:vAlign w:val="center"/>
          </w:tcPr>
          <w:p w14:paraId="113BA2B5" w14:textId="238EB543" w:rsidR="003F59AA" w:rsidRPr="00733E21" w:rsidRDefault="003F59AA" w:rsidP="003F59AA">
            <w:pPr>
              <w:jc w:val="center"/>
              <w:rPr>
                <w:b/>
                <w:sz w:val="18"/>
                <w:szCs w:val="18"/>
              </w:rPr>
            </w:pPr>
          </w:p>
        </w:tc>
        <w:tc>
          <w:tcPr>
            <w:tcW w:w="4838" w:type="dxa"/>
            <w:shd w:val="clear" w:color="auto" w:fill="auto"/>
            <w:vAlign w:val="center"/>
          </w:tcPr>
          <w:p w14:paraId="37DDABE2" w14:textId="176E258F" w:rsidR="003F59AA" w:rsidRPr="00733E21" w:rsidRDefault="003F59AA" w:rsidP="003F59AA">
            <w:pPr>
              <w:ind w:left="144"/>
            </w:pPr>
            <w:r w:rsidRPr="00733E21">
              <w:t xml:space="preserve">American Indian or </w:t>
            </w:r>
            <w:smartTag w:uri="urn:schemas-microsoft-com:office:smarttags" w:element="place">
              <w:smartTag w:uri="urn:schemas-microsoft-com:office:smarttags" w:element="State">
                <w:r w:rsidRPr="00733E21">
                  <w:t>Alaska</w:t>
                </w:r>
              </w:smartTag>
            </w:smartTag>
            <w:r w:rsidRPr="00733E21">
              <w:t xml:space="preserve"> Native</w:t>
            </w:r>
          </w:p>
        </w:tc>
        <w:tc>
          <w:tcPr>
            <w:tcW w:w="1812" w:type="dxa"/>
            <w:tcBorders>
              <w:top w:val="nil"/>
              <w:left w:val="nil"/>
              <w:bottom w:val="single" w:sz="8" w:space="0" w:color="auto"/>
              <w:right w:val="single" w:sz="4" w:space="0" w:color="auto"/>
            </w:tcBorders>
            <w:shd w:val="clear" w:color="000000" w:fill="FFFFFF"/>
          </w:tcPr>
          <w:p w14:paraId="7A8EF4A8" w14:textId="0209E6C8" w:rsidR="003F59AA" w:rsidRPr="00733E21" w:rsidRDefault="003F59AA" w:rsidP="003F59AA">
            <w:pPr>
              <w:jc w:val="center"/>
            </w:pPr>
            <w:r w:rsidRPr="0049770D">
              <w:t>2</w:t>
            </w:r>
          </w:p>
        </w:tc>
        <w:tc>
          <w:tcPr>
            <w:tcW w:w="1835" w:type="dxa"/>
            <w:tcBorders>
              <w:top w:val="nil"/>
              <w:left w:val="nil"/>
              <w:bottom w:val="single" w:sz="8" w:space="0" w:color="auto"/>
              <w:right w:val="single" w:sz="8" w:space="0" w:color="auto"/>
            </w:tcBorders>
            <w:shd w:val="clear" w:color="000000" w:fill="FFFFFF"/>
          </w:tcPr>
          <w:p w14:paraId="4E17C46F" w14:textId="40854F44" w:rsidR="003F59AA" w:rsidRPr="00733E21" w:rsidRDefault="003F59AA" w:rsidP="003F59AA">
            <w:pPr>
              <w:jc w:val="center"/>
            </w:pPr>
            <w:r w:rsidRPr="004E43DB">
              <w:t>1.2%</w:t>
            </w:r>
          </w:p>
        </w:tc>
      </w:tr>
      <w:tr w:rsidR="003F59AA" w:rsidRPr="0070451B" w14:paraId="1B27EC2F" w14:textId="77777777" w:rsidTr="009C032A">
        <w:trPr>
          <w:trHeight w:val="432"/>
          <w:jc w:val="center"/>
        </w:trPr>
        <w:tc>
          <w:tcPr>
            <w:tcW w:w="1585" w:type="dxa"/>
            <w:vMerge/>
            <w:shd w:val="clear" w:color="auto" w:fill="auto"/>
            <w:vAlign w:val="center"/>
          </w:tcPr>
          <w:p w14:paraId="6D1B121A" w14:textId="77777777" w:rsidR="003F59AA" w:rsidRPr="00733E21" w:rsidRDefault="003F59AA" w:rsidP="003F59AA">
            <w:pPr>
              <w:jc w:val="center"/>
              <w:rPr>
                <w:b/>
                <w:sz w:val="18"/>
                <w:szCs w:val="18"/>
              </w:rPr>
            </w:pPr>
          </w:p>
        </w:tc>
        <w:tc>
          <w:tcPr>
            <w:tcW w:w="4838" w:type="dxa"/>
            <w:shd w:val="clear" w:color="auto" w:fill="auto"/>
            <w:vAlign w:val="center"/>
          </w:tcPr>
          <w:p w14:paraId="4292543A" w14:textId="22D4F2E0" w:rsidR="003F59AA" w:rsidRPr="00733E21" w:rsidRDefault="003F59AA" w:rsidP="003F59AA">
            <w:r w:rsidRPr="00733E21">
              <w:t xml:space="preserve">  Asian</w:t>
            </w:r>
          </w:p>
        </w:tc>
        <w:tc>
          <w:tcPr>
            <w:tcW w:w="1812" w:type="dxa"/>
            <w:tcBorders>
              <w:top w:val="single" w:sz="4" w:space="0" w:color="auto"/>
              <w:left w:val="nil"/>
              <w:bottom w:val="single" w:sz="8" w:space="0" w:color="auto"/>
              <w:right w:val="single" w:sz="4" w:space="0" w:color="auto"/>
            </w:tcBorders>
            <w:shd w:val="clear" w:color="auto" w:fill="auto"/>
          </w:tcPr>
          <w:p w14:paraId="7237A5A6" w14:textId="2194EFE8" w:rsidR="003F59AA" w:rsidRPr="00733E21" w:rsidRDefault="003F59AA" w:rsidP="003F59AA">
            <w:pPr>
              <w:jc w:val="center"/>
            </w:pPr>
            <w:r>
              <w:t>2</w:t>
            </w:r>
          </w:p>
        </w:tc>
        <w:tc>
          <w:tcPr>
            <w:tcW w:w="1835" w:type="dxa"/>
            <w:tcBorders>
              <w:top w:val="single" w:sz="4" w:space="0" w:color="auto"/>
              <w:left w:val="nil"/>
              <w:bottom w:val="single" w:sz="8" w:space="0" w:color="auto"/>
              <w:right w:val="single" w:sz="8" w:space="0" w:color="auto"/>
            </w:tcBorders>
            <w:shd w:val="clear" w:color="000000" w:fill="FFFFFF"/>
          </w:tcPr>
          <w:p w14:paraId="02B5FFEE" w14:textId="64E5D90D" w:rsidR="003F59AA" w:rsidRPr="00733E21" w:rsidRDefault="003F59AA" w:rsidP="003F59AA">
            <w:pPr>
              <w:jc w:val="center"/>
            </w:pPr>
            <w:r w:rsidRPr="004E43DB">
              <w:t>1.2%</w:t>
            </w:r>
          </w:p>
        </w:tc>
      </w:tr>
      <w:tr w:rsidR="003F59AA" w:rsidRPr="0070451B" w14:paraId="0CC595DC" w14:textId="77777777" w:rsidTr="009C032A">
        <w:trPr>
          <w:trHeight w:val="432"/>
          <w:jc w:val="center"/>
        </w:trPr>
        <w:tc>
          <w:tcPr>
            <w:tcW w:w="1585" w:type="dxa"/>
            <w:vMerge/>
            <w:shd w:val="clear" w:color="auto" w:fill="auto"/>
            <w:vAlign w:val="center"/>
          </w:tcPr>
          <w:p w14:paraId="659C8CAF" w14:textId="77777777" w:rsidR="003F59AA" w:rsidRPr="00733E21" w:rsidRDefault="003F59AA" w:rsidP="003F59AA">
            <w:pPr>
              <w:jc w:val="center"/>
              <w:rPr>
                <w:b/>
                <w:sz w:val="18"/>
                <w:szCs w:val="18"/>
              </w:rPr>
            </w:pPr>
          </w:p>
        </w:tc>
        <w:tc>
          <w:tcPr>
            <w:tcW w:w="4838" w:type="dxa"/>
            <w:shd w:val="clear" w:color="auto" w:fill="auto"/>
            <w:vAlign w:val="center"/>
          </w:tcPr>
          <w:p w14:paraId="41CDFC9A" w14:textId="00FCBA5E" w:rsidR="003F59AA" w:rsidRPr="00733E21" w:rsidRDefault="003F59AA" w:rsidP="003F59AA">
            <w:pPr>
              <w:ind w:left="144"/>
            </w:pPr>
            <w:r w:rsidRPr="00733E21">
              <w:t>Black or African American</w:t>
            </w:r>
          </w:p>
        </w:tc>
        <w:tc>
          <w:tcPr>
            <w:tcW w:w="1812" w:type="dxa"/>
            <w:tcBorders>
              <w:top w:val="single" w:sz="4" w:space="0" w:color="auto"/>
              <w:left w:val="nil"/>
              <w:bottom w:val="single" w:sz="8" w:space="0" w:color="auto"/>
              <w:right w:val="single" w:sz="4" w:space="0" w:color="auto"/>
            </w:tcBorders>
            <w:shd w:val="clear" w:color="auto" w:fill="auto"/>
          </w:tcPr>
          <w:p w14:paraId="726DF386" w14:textId="0CCF91AB" w:rsidR="003F59AA" w:rsidRPr="00733E21" w:rsidRDefault="003F59AA" w:rsidP="003F59AA">
            <w:pPr>
              <w:jc w:val="center"/>
            </w:pPr>
            <w:r w:rsidRPr="0049770D">
              <w:t>1</w:t>
            </w:r>
            <w:r>
              <w:t>40</w:t>
            </w:r>
          </w:p>
        </w:tc>
        <w:tc>
          <w:tcPr>
            <w:tcW w:w="1835" w:type="dxa"/>
            <w:tcBorders>
              <w:top w:val="single" w:sz="4" w:space="0" w:color="auto"/>
              <w:left w:val="nil"/>
              <w:bottom w:val="single" w:sz="8" w:space="0" w:color="auto"/>
              <w:right w:val="single" w:sz="8" w:space="0" w:color="auto"/>
            </w:tcBorders>
            <w:shd w:val="clear" w:color="000000" w:fill="FFFFFF"/>
          </w:tcPr>
          <w:p w14:paraId="1660706C" w14:textId="760619FC" w:rsidR="003F59AA" w:rsidRPr="00733E21" w:rsidRDefault="003F59AA" w:rsidP="003F59AA">
            <w:pPr>
              <w:jc w:val="center"/>
            </w:pPr>
            <w:r w:rsidRPr="004E43DB">
              <w:t>85.9%</w:t>
            </w:r>
          </w:p>
        </w:tc>
      </w:tr>
      <w:tr w:rsidR="003F59AA" w:rsidRPr="0070451B" w14:paraId="63CBA4C8" w14:textId="77777777" w:rsidTr="009C032A">
        <w:trPr>
          <w:trHeight w:val="432"/>
          <w:jc w:val="center"/>
        </w:trPr>
        <w:tc>
          <w:tcPr>
            <w:tcW w:w="1585" w:type="dxa"/>
            <w:vMerge/>
            <w:shd w:val="clear" w:color="auto" w:fill="auto"/>
            <w:vAlign w:val="center"/>
          </w:tcPr>
          <w:p w14:paraId="1312DC5C" w14:textId="77777777" w:rsidR="003F59AA" w:rsidRPr="00733E21" w:rsidRDefault="003F59AA" w:rsidP="003F59AA">
            <w:pPr>
              <w:jc w:val="center"/>
              <w:rPr>
                <w:b/>
                <w:sz w:val="18"/>
                <w:szCs w:val="18"/>
              </w:rPr>
            </w:pPr>
          </w:p>
        </w:tc>
        <w:tc>
          <w:tcPr>
            <w:tcW w:w="4838" w:type="dxa"/>
            <w:shd w:val="clear" w:color="auto" w:fill="auto"/>
            <w:vAlign w:val="center"/>
          </w:tcPr>
          <w:p w14:paraId="559C7B2E" w14:textId="342DA83A" w:rsidR="003F59AA" w:rsidRPr="00733E21" w:rsidRDefault="003F59AA" w:rsidP="003F59AA">
            <w:pPr>
              <w:ind w:left="144"/>
            </w:pPr>
            <w:r w:rsidRPr="00733E21">
              <w:t>Hawaiian Native or Pacific Islander</w:t>
            </w:r>
          </w:p>
        </w:tc>
        <w:tc>
          <w:tcPr>
            <w:tcW w:w="1812" w:type="dxa"/>
            <w:tcBorders>
              <w:top w:val="single" w:sz="4" w:space="0" w:color="auto"/>
              <w:left w:val="nil"/>
              <w:bottom w:val="single" w:sz="8" w:space="0" w:color="auto"/>
              <w:right w:val="single" w:sz="4" w:space="0" w:color="auto"/>
            </w:tcBorders>
            <w:shd w:val="clear" w:color="auto" w:fill="auto"/>
          </w:tcPr>
          <w:p w14:paraId="2E19FF20" w14:textId="49DA9CD7" w:rsidR="003F59AA" w:rsidRPr="00733E21" w:rsidRDefault="003F59AA" w:rsidP="003F59AA">
            <w:pPr>
              <w:jc w:val="center"/>
            </w:pPr>
            <w:r w:rsidRPr="0049770D">
              <w:t>0</w:t>
            </w:r>
          </w:p>
        </w:tc>
        <w:tc>
          <w:tcPr>
            <w:tcW w:w="1835" w:type="dxa"/>
            <w:tcBorders>
              <w:top w:val="single" w:sz="4" w:space="0" w:color="auto"/>
              <w:left w:val="nil"/>
              <w:bottom w:val="single" w:sz="8" w:space="0" w:color="auto"/>
              <w:right w:val="single" w:sz="8" w:space="0" w:color="auto"/>
            </w:tcBorders>
            <w:shd w:val="clear" w:color="auto" w:fill="auto"/>
          </w:tcPr>
          <w:p w14:paraId="6F2E71AB" w14:textId="576C33D7" w:rsidR="003F59AA" w:rsidRPr="00733E21" w:rsidRDefault="003F59AA" w:rsidP="003F59AA">
            <w:pPr>
              <w:jc w:val="center"/>
            </w:pPr>
            <w:r w:rsidRPr="004E43DB">
              <w:t>0.0%</w:t>
            </w:r>
          </w:p>
        </w:tc>
      </w:tr>
      <w:tr w:rsidR="003F59AA" w:rsidRPr="0070451B" w14:paraId="348F2F9F" w14:textId="77777777" w:rsidTr="009C032A">
        <w:trPr>
          <w:trHeight w:val="432"/>
          <w:jc w:val="center"/>
        </w:trPr>
        <w:tc>
          <w:tcPr>
            <w:tcW w:w="1585" w:type="dxa"/>
            <w:vMerge/>
            <w:shd w:val="clear" w:color="auto" w:fill="auto"/>
            <w:vAlign w:val="center"/>
          </w:tcPr>
          <w:p w14:paraId="3F645865" w14:textId="77777777" w:rsidR="003F59AA" w:rsidRPr="00733E21" w:rsidRDefault="003F59AA" w:rsidP="003F59AA">
            <w:pPr>
              <w:jc w:val="center"/>
              <w:rPr>
                <w:b/>
                <w:sz w:val="18"/>
                <w:szCs w:val="18"/>
              </w:rPr>
            </w:pPr>
          </w:p>
        </w:tc>
        <w:tc>
          <w:tcPr>
            <w:tcW w:w="4838" w:type="dxa"/>
            <w:shd w:val="clear" w:color="auto" w:fill="auto"/>
            <w:vAlign w:val="center"/>
          </w:tcPr>
          <w:p w14:paraId="079FF38F" w14:textId="2E6962BF" w:rsidR="003F59AA" w:rsidRPr="00733E21" w:rsidRDefault="003F59AA" w:rsidP="003F59AA">
            <w:pPr>
              <w:ind w:left="144"/>
            </w:pPr>
            <w:r w:rsidRPr="00733E21">
              <w:t>Multiracial</w:t>
            </w:r>
          </w:p>
        </w:tc>
        <w:tc>
          <w:tcPr>
            <w:tcW w:w="1812" w:type="dxa"/>
            <w:tcBorders>
              <w:top w:val="single" w:sz="4" w:space="0" w:color="auto"/>
              <w:left w:val="nil"/>
              <w:bottom w:val="single" w:sz="8" w:space="0" w:color="auto"/>
              <w:right w:val="single" w:sz="4" w:space="0" w:color="auto"/>
            </w:tcBorders>
            <w:shd w:val="clear" w:color="auto" w:fill="auto"/>
          </w:tcPr>
          <w:p w14:paraId="1E4F78C3" w14:textId="4201FE28" w:rsidR="003F59AA" w:rsidRPr="00733E21" w:rsidRDefault="003F59AA" w:rsidP="003F59AA">
            <w:pPr>
              <w:jc w:val="center"/>
            </w:pPr>
            <w:r w:rsidRPr="0049770D">
              <w:t>4</w:t>
            </w:r>
          </w:p>
        </w:tc>
        <w:tc>
          <w:tcPr>
            <w:tcW w:w="1835" w:type="dxa"/>
            <w:tcBorders>
              <w:top w:val="single" w:sz="4" w:space="0" w:color="auto"/>
              <w:left w:val="nil"/>
              <w:bottom w:val="single" w:sz="8" w:space="0" w:color="auto"/>
              <w:right w:val="single" w:sz="8" w:space="0" w:color="auto"/>
            </w:tcBorders>
            <w:shd w:val="clear" w:color="000000" w:fill="FFFFFF"/>
          </w:tcPr>
          <w:p w14:paraId="69D89313" w14:textId="3D18F471" w:rsidR="003F59AA" w:rsidRPr="00733E21" w:rsidRDefault="003F59AA" w:rsidP="003F59AA">
            <w:pPr>
              <w:jc w:val="center"/>
            </w:pPr>
            <w:r w:rsidRPr="004E43DB">
              <w:t>2.5%</w:t>
            </w:r>
          </w:p>
        </w:tc>
      </w:tr>
      <w:tr w:rsidR="003F59AA" w:rsidRPr="0070451B" w14:paraId="679D2ADC" w14:textId="77777777" w:rsidTr="009C032A">
        <w:trPr>
          <w:trHeight w:val="432"/>
          <w:jc w:val="center"/>
        </w:trPr>
        <w:tc>
          <w:tcPr>
            <w:tcW w:w="1585" w:type="dxa"/>
            <w:vMerge/>
            <w:shd w:val="clear" w:color="auto" w:fill="auto"/>
            <w:vAlign w:val="center"/>
          </w:tcPr>
          <w:p w14:paraId="62A71AD1" w14:textId="77777777" w:rsidR="003F59AA" w:rsidRPr="00733E21" w:rsidRDefault="003F59AA" w:rsidP="003F59AA">
            <w:pPr>
              <w:jc w:val="center"/>
              <w:rPr>
                <w:b/>
                <w:sz w:val="18"/>
                <w:szCs w:val="18"/>
              </w:rPr>
            </w:pPr>
          </w:p>
        </w:tc>
        <w:tc>
          <w:tcPr>
            <w:tcW w:w="4838" w:type="dxa"/>
            <w:shd w:val="clear" w:color="auto" w:fill="auto"/>
            <w:vAlign w:val="center"/>
          </w:tcPr>
          <w:p w14:paraId="3FBCBF2F" w14:textId="5562126A" w:rsidR="003F59AA" w:rsidRPr="00733E21" w:rsidRDefault="003F59AA" w:rsidP="003F59AA">
            <w:pPr>
              <w:ind w:left="144"/>
            </w:pPr>
            <w:r w:rsidRPr="00733E21">
              <w:t>White</w:t>
            </w:r>
          </w:p>
        </w:tc>
        <w:tc>
          <w:tcPr>
            <w:tcW w:w="1812" w:type="dxa"/>
            <w:tcBorders>
              <w:top w:val="single" w:sz="4" w:space="0" w:color="auto"/>
              <w:left w:val="nil"/>
              <w:bottom w:val="single" w:sz="8" w:space="0" w:color="auto"/>
              <w:right w:val="single" w:sz="4" w:space="0" w:color="auto"/>
            </w:tcBorders>
            <w:shd w:val="clear" w:color="auto" w:fill="auto"/>
          </w:tcPr>
          <w:p w14:paraId="46FF4032" w14:textId="27787BF3" w:rsidR="003F59AA" w:rsidRPr="00733E21" w:rsidRDefault="003F59AA" w:rsidP="003F59AA">
            <w:pPr>
              <w:jc w:val="center"/>
            </w:pPr>
            <w:r w:rsidRPr="0049770D">
              <w:t>1</w:t>
            </w:r>
            <w:r>
              <w:t>2</w:t>
            </w:r>
          </w:p>
        </w:tc>
        <w:tc>
          <w:tcPr>
            <w:tcW w:w="1835" w:type="dxa"/>
            <w:tcBorders>
              <w:top w:val="single" w:sz="4" w:space="0" w:color="auto"/>
              <w:left w:val="nil"/>
              <w:bottom w:val="single" w:sz="8" w:space="0" w:color="auto"/>
              <w:right w:val="single" w:sz="8" w:space="0" w:color="auto"/>
            </w:tcBorders>
            <w:shd w:val="clear" w:color="auto" w:fill="auto"/>
          </w:tcPr>
          <w:p w14:paraId="494E9B00" w14:textId="4F9A8D73" w:rsidR="003F59AA" w:rsidRPr="00733E21" w:rsidRDefault="003F59AA" w:rsidP="003F59AA">
            <w:pPr>
              <w:jc w:val="center"/>
            </w:pPr>
            <w:r w:rsidRPr="004E43DB">
              <w:t>7.4%</w:t>
            </w:r>
          </w:p>
        </w:tc>
      </w:tr>
      <w:tr w:rsidR="003F59AA" w:rsidRPr="0070451B" w14:paraId="4BED2598" w14:textId="77777777" w:rsidTr="00285BAB">
        <w:trPr>
          <w:trHeight w:val="432"/>
          <w:jc w:val="center"/>
        </w:trPr>
        <w:tc>
          <w:tcPr>
            <w:tcW w:w="1585" w:type="dxa"/>
            <w:vMerge w:val="restart"/>
            <w:shd w:val="clear" w:color="auto" w:fill="auto"/>
            <w:vAlign w:val="center"/>
          </w:tcPr>
          <w:p w14:paraId="7EB56AE0" w14:textId="3F28439F" w:rsidR="003F59AA" w:rsidRPr="00733E21" w:rsidRDefault="003F59AA" w:rsidP="003F59AA">
            <w:pPr>
              <w:jc w:val="center"/>
              <w:rPr>
                <w:sz w:val="18"/>
                <w:szCs w:val="18"/>
              </w:rPr>
            </w:pPr>
            <w:r w:rsidRPr="00733E21">
              <w:rPr>
                <w:b/>
                <w:sz w:val="18"/>
                <w:szCs w:val="18"/>
              </w:rPr>
              <w:t>Education Level</w:t>
            </w:r>
          </w:p>
        </w:tc>
        <w:tc>
          <w:tcPr>
            <w:tcW w:w="4838" w:type="dxa"/>
            <w:shd w:val="clear" w:color="auto" w:fill="auto"/>
            <w:vAlign w:val="center"/>
          </w:tcPr>
          <w:p w14:paraId="10D216A7" w14:textId="36CA0A7C" w:rsidR="003F59AA" w:rsidRPr="00733E21" w:rsidRDefault="003F59AA" w:rsidP="003F59AA">
            <w:pPr>
              <w:ind w:left="144"/>
            </w:pPr>
            <w:r w:rsidRPr="00733E21">
              <w:t>High School diploma or GED</w:t>
            </w:r>
          </w:p>
        </w:tc>
        <w:tc>
          <w:tcPr>
            <w:tcW w:w="1812" w:type="dxa"/>
            <w:tcBorders>
              <w:top w:val="single" w:sz="4" w:space="0" w:color="auto"/>
              <w:left w:val="nil"/>
              <w:bottom w:val="single" w:sz="8" w:space="0" w:color="auto"/>
              <w:right w:val="single" w:sz="4" w:space="0" w:color="auto"/>
            </w:tcBorders>
            <w:shd w:val="clear" w:color="auto" w:fill="auto"/>
          </w:tcPr>
          <w:p w14:paraId="4031E878" w14:textId="31932679" w:rsidR="003F59AA" w:rsidRPr="00733E21" w:rsidRDefault="003F59AA" w:rsidP="003F59AA">
            <w:pPr>
              <w:jc w:val="center"/>
            </w:pPr>
            <w:r w:rsidRPr="00386F0A">
              <w:t>110</w:t>
            </w:r>
          </w:p>
        </w:tc>
        <w:tc>
          <w:tcPr>
            <w:tcW w:w="1835" w:type="dxa"/>
            <w:tcBorders>
              <w:top w:val="single" w:sz="4" w:space="0" w:color="auto"/>
              <w:left w:val="nil"/>
              <w:bottom w:val="single" w:sz="8" w:space="0" w:color="auto"/>
              <w:right w:val="single" w:sz="8" w:space="0" w:color="auto"/>
            </w:tcBorders>
            <w:shd w:val="clear" w:color="auto" w:fill="auto"/>
          </w:tcPr>
          <w:p w14:paraId="66BBC122" w14:textId="785110B3" w:rsidR="003F59AA" w:rsidRPr="00733E21" w:rsidRDefault="003F59AA" w:rsidP="003F59AA">
            <w:pPr>
              <w:jc w:val="center"/>
            </w:pPr>
            <w:r w:rsidRPr="0013583F">
              <w:t>67.5%</w:t>
            </w:r>
          </w:p>
        </w:tc>
      </w:tr>
      <w:tr w:rsidR="003F59AA" w:rsidRPr="0070451B" w14:paraId="5275F808" w14:textId="77777777" w:rsidTr="00285BAB">
        <w:trPr>
          <w:trHeight w:val="432"/>
          <w:jc w:val="center"/>
        </w:trPr>
        <w:tc>
          <w:tcPr>
            <w:tcW w:w="1585" w:type="dxa"/>
            <w:vMerge/>
            <w:shd w:val="clear" w:color="auto" w:fill="auto"/>
            <w:vAlign w:val="center"/>
          </w:tcPr>
          <w:p w14:paraId="63C815CD" w14:textId="7EABC416" w:rsidR="003F59AA" w:rsidRPr="00733E21" w:rsidRDefault="003F59AA" w:rsidP="003F59AA">
            <w:pPr>
              <w:jc w:val="center"/>
              <w:rPr>
                <w:sz w:val="18"/>
                <w:szCs w:val="18"/>
              </w:rPr>
            </w:pPr>
          </w:p>
        </w:tc>
        <w:tc>
          <w:tcPr>
            <w:tcW w:w="4838" w:type="dxa"/>
            <w:shd w:val="clear" w:color="auto" w:fill="auto"/>
            <w:vAlign w:val="center"/>
          </w:tcPr>
          <w:p w14:paraId="0DF954A8" w14:textId="7231D628" w:rsidR="003F59AA" w:rsidRPr="00733E21" w:rsidRDefault="003F59AA" w:rsidP="003F59AA">
            <w:pPr>
              <w:ind w:left="144"/>
            </w:pPr>
            <w:r w:rsidRPr="00733E21">
              <w:t>Post-Secondary Education</w:t>
            </w:r>
          </w:p>
        </w:tc>
        <w:tc>
          <w:tcPr>
            <w:tcW w:w="1812" w:type="dxa"/>
            <w:tcBorders>
              <w:top w:val="single" w:sz="4" w:space="0" w:color="auto"/>
              <w:left w:val="nil"/>
              <w:bottom w:val="single" w:sz="8" w:space="0" w:color="auto"/>
              <w:right w:val="single" w:sz="4" w:space="0" w:color="auto"/>
            </w:tcBorders>
            <w:shd w:val="clear" w:color="auto" w:fill="auto"/>
          </w:tcPr>
          <w:p w14:paraId="5F97064E" w14:textId="779EB047" w:rsidR="003F59AA" w:rsidRPr="00733E21" w:rsidRDefault="003F59AA" w:rsidP="003F59AA">
            <w:pPr>
              <w:jc w:val="center"/>
            </w:pPr>
            <w:r w:rsidRPr="00386F0A">
              <w:t>52</w:t>
            </w:r>
          </w:p>
        </w:tc>
        <w:tc>
          <w:tcPr>
            <w:tcW w:w="1835" w:type="dxa"/>
            <w:tcBorders>
              <w:top w:val="single" w:sz="4" w:space="0" w:color="auto"/>
              <w:left w:val="nil"/>
              <w:bottom w:val="single" w:sz="8" w:space="0" w:color="auto"/>
              <w:right w:val="single" w:sz="8" w:space="0" w:color="auto"/>
            </w:tcBorders>
            <w:shd w:val="clear" w:color="auto" w:fill="auto"/>
          </w:tcPr>
          <w:p w14:paraId="31317C30" w14:textId="2171CA53" w:rsidR="003F59AA" w:rsidRPr="00733E21" w:rsidRDefault="003F59AA" w:rsidP="003F59AA">
            <w:pPr>
              <w:jc w:val="center"/>
            </w:pPr>
            <w:r w:rsidRPr="0013583F">
              <w:t>31.9%</w:t>
            </w:r>
          </w:p>
        </w:tc>
      </w:tr>
      <w:tr w:rsidR="003F59AA" w:rsidRPr="0070451B" w14:paraId="6F4FFE61" w14:textId="77777777" w:rsidTr="00285BAB">
        <w:trPr>
          <w:trHeight w:val="432"/>
          <w:jc w:val="center"/>
        </w:trPr>
        <w:tc>
          <w:tcPr>
            <w:tcW w:w="1585" w:type="dxa"/>
            <w:vMerge w:val="restart"/>
            <w:shd w:val="clear" w:color="auto" w:fill="auto"/>
            <w:vAlign w:val="center"/>
          </w:tcPr>
          <w:p w14:paraId="5876A9C0" w14:textId="08C36CF6" w:rsidR="003F59AA" w:rsidRPr="00733E21" w:rsidRDefault="003F59AA" w:rsidP="003F59AA">
            <w:pPr>
              <w:jc w:val="center"/>
              <w:rPr>
                <w:b/>
                <w:sz w:val="18"/>
                <w:szCs w:val="18"/>
              </w:rPr>
            </w:pPr>
            <w:r w:rsidRPr="00733E21">
              <w:rPr>
                <w:b/>
                <w:sz w:val="18"/>
                <w:szCs w:val="18"/>
              </w:rPr>
              <w:t>Other Demographics</w:t>
            </w:r>
          </w:p>
        </w:tc>
        <w:tc>
          <w:tcPr>
            <w:tcW w:w="4838" w:type="dxa"/>
            <w:shd w:val="clear" w:color="auto" w:fill="auto"/>
          </w:tcPr>
          <w:p w14:paraId="5B5AFDC5" w14:textId="5EEB37D1" w:rsidR="003F59AA" w:rsidRPr="00733E21" w:rsidRDefault="003F59AA" w:rsidP="003F59AA">
            <w:pPr>
              <w:ind w:left="144"/>
            </w:pPr>
            <w:r w:rsidRPr="00733E21">
              <w:t>Limited English Proficient</w:t>
            </w:r>
          </w:p>
        </w:tc>
        <w:tc>
          <w:tcPr>
            <w:tcW w:w="1812" w:type="dxa"/>
            <w:tcBorders>
              <w:top w:val="single" w:sz="4" w:space="0" w:color="auto"/>
              <w:left w:val="nil"/>
              <w:bottom w:val="single" w:sz="8" w:space="0" w:color="auto"/>
              <w:right w:val="single" w:sz="4" w:space="0" w:color="auto"/>
            </w:tcBorders>
            <w:shd w:val="clear" w:color="auto" w:fill="auto"/>
          </w:tcPr>
          <w:p w14:paraId="5AB3E780" w14:textId="10AB616B" w:rsidR="003F59AA" w:rsidRPr="00733E21" w:rsidRDefault="003F59AA" w:rsidP="003F59AA">
            <w:pPr>
              <w:jc w:val="center"/>
            </w:pPr>
            <w:r w:rsidRPr="007468D9">
              <w:t>14</w:t>
            </w:r>
          </w:p>
        </w:tc>
        <w:tc>
          <w:tcPr>
            <w:tcW w:w="1835" w:type="dxa"/>
            <w:tcBorders>
              <w:top w:val="single" w:sz="4" w:space="0" w:color="auto"/>
              <w:left w:val="nil"/>
              <w:bottom w:val="single" w:sz="8" w:space="0" w:color="auto"/>
              <w:right w:val="single" w:sz="8" w:space="0" w:color="auto"/>
            </w:tcBorders>
            <w:shd w:val="clear" w:color="auto" w:fill="auto"/>
          </w:tcPr>
          <w:p w14:paraId="4CC6524C" w14:textId="4E85C29F" w:rsidR="003F59AA" w:rsidRPr="00733E21" w:rsidRDefault="003F59AA" w:rsidP="003F59AA">
            <w:pPr>
              <w:jc w:val="center"/>
            </w:pPr>
            <w:r w:rsidRPr="009903B0">
              <w:t>8.6%</w:t>
            </w:r>
          </w:p>
        </w:tc>
      </w:tr>
      <w:tr w:rsidR="003F59AA" w:rsidRPr="0070451B" w14:paraId="6FCD26C5" w14:textId="77777777" w:rsidTr="00285BAB">
        <w:trPr>
          <w:trHeight w:val="432"/>
          <w:jc w:val="center"/>
        </w:trPr>
        <w:tc>
          <w:tcPr>
            <w:tcW w:w="1585" w:type="dxa"/>
            <w:vMerge/>
            <w:shd w:val="clear" w:color="auto" w:fill="auto"/>
            <w:vAlign w:val="center"/>
          </w:tcPr>
          <w:p w14:paraId="6ADEC818" w14:textId="77777777" w:rsidR="003F59AA" w:rsidRPr="00733E21" w:rsidRDefault="003F59AA" w:rsidP="003F59AA">
            <w:pPr>
              <w:rPr>
                <w:sz w:val="18"/>
                <w:szCs w:val="18"/>
              </w:rPr>
            </w:pPr>
          </w:p>
        </w:tc>
        <w:tc>
          <w:tcPr>
            <w:tcW w:w="4838" w:type="dxa"/>
            <w:shd w:val="clear" w:color="auto" w:fill="auto"/>
          </w:tcPr>
          <w:p w14:paraId="7FAF4078" w14:textId="44C6467D" w:rsidR="003F59AA" w:rsidRPr="00733E21" w:rsidRDefault="003F59AA" w:rsidP="003F59AA">
            <w:pPr>
              <w:ind w:left="144"/>
            </w:pPr>
            <w:r w:rsidRPr="00733E21">
              <w:t>Receiving Public Assistance</w:t>
            </w:r>
          </w:p>
        </w:tc>
        <w:tc>
          <w:tcPr>
            <w:tcW w:w="1812" w:type="dxa"/>
            <w:tcBorders>
              <w:top w:val="single" w:sz="4" w:space="0" w:color="auto"/>
              <w:left w:val="nil"/>
              <w:bottom w:val="single" w:sz="8" w:space="0" w:color="auto"/>
              <w:right w:val="single" w:sz="4" w:space="0" w:color="auto"/>
            </w:tcBorders>
            <w:shd w:val="clear" w:color="auto" w:fill="auto"/>
          </w:tcPr>
          <w:p w14:paraId="1C8F360D" w14:textId="3317AE98" w:rsidR="003F59AA" w:rsidRPr="00733E21" w:rsidRDefault="003F59AA" w:rsidP="003F59AA">
            <w:pPr>
              <w:jc w:val="center"/>
            </w:pPr>
            <w:r w:rsidRPr="007468D9">
              <w:t>71</w:t>
            </w:r>
          </w:p>
        </w:tc>
        <w:tc>
          <w:tcPr>
            <w:tcW w:w="1835" w:type="dxa"/>
            <w:tcBorders>
              <w:top w:val="single" w:sz="4" w:space="0" w:color="auto"/>
              <w:left w:val="nil"/>
              <w:bottom w:val="single" w:sz="8" w:space="0" w:color="auto"/>
              <w:right w:val="single" w:sz="8" w:space="0" w:color="auto"/>
            </w:tcBorders>
            <w:shd w:val="clear" w:color="auto" w:fill="auto"/>
          </w:tcPr>
          <w:p w14:paraId="01493043" w14:textId="11B9CA36" w:rsidR="003F59AA" w:rsidRPr="00733E21" w:rsidRDefault="003F59AA" w:rsidP="003F59AA">
            <w:pPr>
              <w:jc w:val="center"/>
            </w:pPr>
            <w:r w:rsidRPr="009903B0">
              <w:t>43.6%</w:t>
            </w:r>
          </w:p>
        </w:tc>
      </w:tr>
      <w:tr w:rsidR="003F59AA" w:rsidRPr="0070451B" w14:paraId="16326BCE" w14:textId="77777777" w:rsidTr="00285BAB">
        <w:trPr>
          <w:trHeight w:val="432"/>
          <w:jc w:val="center"/>
        </w:trPr>
        <w:tc>
          <w:tcPr>
            <w:tcW w:w="1585" w:type="dxa"/>
            <w:vMerge/>
            <w:shd w:val="clear" w:color="auto" w:fill="auto"/>
            <w:vAlign w:val="center"/>
          </w:tcPr>
          <w:p w14:paraId="2C5548C2" w14:textId="77777777" w:rsidR="003F59AA" w:rsidRPr="00733E21" w:rsidRDefault="003F59AA" w:rsidP="003F59AA">
            <w:pPr>
              <w:rPr>
                <w:sz w:val="18"/>
                <w:szCs w:val="18"/>
              </w:rPr>
            </w:pPr>
          </w:p>
        </w:tc>
        <w:tc>
          <w:tcPr>
            <w:tcW w:w="4838" w:type="dxa"/>
            <w:shd w:val="clear" w:color="auto" w:fill="auto"/>
          </w:tcPr>
          <w:p w14:paraId="5ED4FCC9" w14:textId="41E8C14C" w:rsidR="003F59AA" w:rsidRPr="00733E21" w:rsidRDefault="003F59AA" w:rsidP="003F59AA">
            <w:pPr>
              <w:ind w:left="144"/>
            </w:pPr>
            <w:r w:rsidRPr="00733E21">
              <w:t xml:space="preserve">Foster Youth (or aged out of foster care) </w:t>
            </w:r>
          </w:p>
        </w:tc>
        <w:tc>
          <w:tcPr>
            <w:tcW w:w="1812" w:type="dxa"/>
            <w:tcBorders>
              <w:top w:val="single" w:sz="4" w:space="0" w:color="auto"/>
              <w:left w:val="nil"/>
              <w:bottom w:val="single" w:sz="8" w:space="0" w:color="auto"/>
              <w:right w:val="single" w:sz="4" w:space="0" w:color="auto"/>
            </w:tcBorders>
            <w:shd w:val="clear" w:color="auto" w:fill="auto"/>
          </w:tcPr>
          <w:p w14:paraId="0ECA19A6" w14:textId="29A406C4" w:rsidR="003F59AA" w:rsidRPr="00733E21" w:rsidRDefault="003F59AA" w:rsidP="003F59AA">
            <w:pPr>
              <w:jc w:val="center"/>
            </w:pPr>
            <w:r w:rsidRPr="007468D9">
              <w:t>1</w:t>
            </w:r>
          </w:p>
        </w:tc>
        <w:tc>
          <w:tcPr>
            <w:tcW w:w="1835" w:type="dxa"/>
            <w:tcBorders>
              <w:top w:val="single" w:sz="4" w:space="0" w:color="auto"/>
              <w:left w:val="nil"/>
              <w:bottom w:val="single" w:sz="8" w:space="0" w:color="auto"/>
              <w:right w:val="single" w:sz="8" w:space="0" w:color="auto"/>
            </w:tcBorders>
            <w:shd w:val="clear" w:color="000000" w:fill="FFFFFF"/>
          </w:tcPr>
          <w:p w14:paraId="2BF2A1B5" w14:textId="53403DB3" w:rsidR="003F59AA" w:rsidRPr="00733E21" w:rsidRDefault="003F59AA" w:rsidP="003F59AA">
            <w:pPr>
              <w:jc w:val="center"/>
            </w:pPr>
            <w:r w:rsidRPr="009903B0">
              <w:t>0.6%</w:t>
            </w:r>
          </w:p>
        </w:tc>
      </w:tr>
      <w:tr w:rsidR="003F59AA" w:rsidRPr="0070451B" w14:paraId="31C523A8" w14:textId="77777777" w:rsidTr="00285BAB">
        <w:trPr>
          <w:trHeight w:val="432"/>
          <w:jc w:val="center"/>
        </w:trPr>
        <w:tc>
          <w:tcPr>
            <w:tcW w:w="1585" w:type="dxa"/>
            <w:vMerge/>
            <w:shd w:val="clear" w:color="auto" w:fill="auto"/>
            <w:vAlign w:val="center"/>
          </w:tcPr>
          <w:p w14:paraId="275E8984" w14:textId="77777777" w:rsidR="003F59AA" w:rsidRPr="00733E21" w:rsidRDefault="003F59AA" w:rsidP="003F59AA">
            <w:pPr>
              <w:rPr>
                <w:sz w:val="18"/>
                <w:szCs w:val="18"/>
              </w:rPr>
            </w:pPr>
          </w:p>
        </w:tc>
        <w:tc>
          <w:tcPr>
            <w:tcW w:w="4838" w:type="dxa"/>
            <w:shd w:val="clear" w:color="auto" w:fill="auto"/>
          </w:tcPr>
          <w:p w14:paraId="70CE51F6" w14:textId="238404F0" w:rsidR="003F59AA" w:rsidRPr="00733E21" w:rsidRDefault="003F59AA" w:rsidP="003F59AA">
            <w:r w:rsidRPr="00733E21">
              <w:t>Participant with a Disability</w:t>
            </w:r>
          </w:p>
        </w:tc>
        <w:tc>
          <w:tcPr>
            <w:tcW w:w="1812" w:type="dxa"/>
            <w:tcBorders>
              <w:top w:val="single" w:sz="4" w:space="0" w:color="auto"/>
              <w:left w:val="nil"/>
              <w:bottom w:val="single" w:sz="8" w:space="0" w:color="auto"/>
              <w:right w:val="single" w:sz="4" w:space="0" w:color="auto"/>
            </w:tcBorders>
            <w:shd w:val="clear" w:color="auto" w:fill="auto"/>
          </w:tcPr>
          <w:p w14:paraId="0524828E" w14:textId="7CFE9D1F" w:rsidR="003F59AA" w:rsidRPr="00733E21" w:rsidRDefault="003F59AA" w:rsidP="003F59AA">
            <w:pPr>
              <w:jc w:val="center"/>
            </w:pPr>
            <w:r w:rsidRPr="007468D9">
              <w:t>2</w:t>
            </w:r>
          </w:p>
        </w:tc>
        <w:tc>
          <w:tcPr>
            <w:tcW w:w="1835" w:type="dxa"/>
            <w:tcBorders>
              <w:top w:val="single" w:sz="4" w:space="0" w:color="auto"/>
              <w:left w:val="nil"/>
              <w:bottom w:val="single" w:sz="8" w:space="0" w:color="auto"/>
              <w:right w:val="single" w:sz="8" w:space="0" w:color="auto"/>
            </w:tcBorders>
            <w:shd w:val="clear" w:color="000000" w:fill="FFFFFF"/>
          </w:tcPr>
          <w:p w14:paraId="362B2F5F" w14:textId="2B19A5FE" w:rsidR="003F59AA" w:rsidRPr="00733E21" w:rsidRDefault="003F59AA" w:rsidP="003F59AA">
            <w:pPr>
              <w:jc w:val="center"/>
            </w:pPr>
            <w:r w:rsidRPr="009903B0">
              <w:t>1.2%</w:t>
            </w:r>
          </w:p>
        </w:tc>
      </w:tr>
      <w:tr w:rsidR="003F59AA" w:rsidRPr="0070451B" w14:paraId="66713700" w14:textId="77777777" w:rsidTr="00285BAB">
        <w:trPr>
          <w:trHeight w:val="432"/>
          <w:jc w:val="center"/>
        </w:trPr>
        <w:tc>
          <w:tcPr>
            <w:tcW w:w="1585" w:type="dxa"/>
            <w:vMerge/>
            <w:shd w:val="clear" w:color="auto" w:fill="auto"/>
            <w:vAlign w:val="center"/>
          </w:tcPr>
          <w:p w14:paraId="72F5BD31" w14:textId="77777777" w:rsidR="003F59AA" w:rsidRPr="00733E21" w:rsidRDefault="003F59AA" w:rsidP="003F59AA">
            <w:pPr>
              <w:rPr>
                <w:sz w:val="18"/>
                <w:szCs w:val="18"/>
              </w:rPr>
            </w:pPr>
          </w:p>
        </w:tc>
        <w:tc>
          <w:tcPr>
            <w:tcW w:w="4838" w:type="dxa"/>
            <w:shd w:val="clear" w:color="auto" w:fill="auto"/>
          </w:tcPr>
          <w:p w14:paraId="586806D9" w14:textId="103A116B" w:rsidR="003F59AA" w:rsidRPr="00733E21" w:rsidRDefault="003F59AA" w:rsidP="003F59AA">
            <w:r w:rsidRPr="00733E21">
              <w:t>School Dropout</w:t>
            </w:r>
          </w:p>
        </w:tc>
        <w:tc>
          <w:tcPr>
            <w:tcW w:w="1812" w:type="dxa"/>
            <w:tcBorders>
              <w:top w:val="single" w:sz="4" w:space="0" w:color="auto"/>
              <w:left w:val="nil"/>
              <w:bottom w:val="single" w:sz="8" w:space="0" w:color="auto"/>
              <w:right w:val="single" w:sz="4" w:space="0" w:color="auto"/>
            </w:tcBorders>
            <w:shd w:val="clear" w:color="auto" w:fill="auto"/>
          </w:tcPr>
          <w:p w14:paraId="7CA1003E" w14:textId="4D373B3D" w:rsidR="003F59AA" w:rsidRPr="00733E21" w:rsidRDefault="003F59AA" w:rsidP="003F59AA">
            <w:pPr>
              <w:jc w:val="center"/>
            </w:pPr>
            <w:r w:rsidRPr="007468D9">
              <w:t>0</w:t>
            </w:r>
          </w:p>
        </w:tc>
        <w:tc>
          <w:tcPr>
            <w:tcW w:w="1835" w:type="dxa"/>
            <w:tcBorders>
              <w:top w:val="single" w:sz="4" w:space="0" w:color="auto"/>
              <w:left w:val="nil"/>
              <w:bottom w:val="single" w:sz="8" w:space="0" w:color="auto"/>
              <w:right w:val="single" w:sz="8" w:space="0" w:color="auto"/>
            </w:tcBorders>
            <w:shd w:val="clear" w:color="auto" w:fill="auto"/>
          </w:tcPr>
          <w:p w14:paraId="29DB8B06" w14:textId="69E9D41B" w:rsidR="003F59AA" w:rsidRPr="00733E21" w:rsidRDefault="003F59AA" w:rsidP="003F59AA">
            <w:pPr>
              <w:jc w:val="center"/>
            </w:pPr>
            <w:r w:rsidRPr="009903B0">
              <w:t>0.0%</w:t>
            </w:r>
          </w:p>
        </w:tc>
      </w:tr>
      <w:tr w:rsidR="003F59AA" w:rsidRPr="0070451B" w14:paraId="6909C04C" w14:textId="77777777" w:rsidTr="00285BAB">
        <w:trPr>
          <w:trHeight w:val="432"/>
          <w:jc w:val="center"/>
        </w:trPr>
        <w:tc>
          <w:tcPr>
            <w:tcW w:w="1585" w:type="dxa"/>
            <w:vMerge/>
            <w:shd w:val="clear" w:color="auto" w:fill="auto"/>
            <w:vAlign w:val="center"/>
          </w:tcPr>
          <w:p w14:paraId="2057E254" w14:textId="77777777" w:rsidR="003F59AA" w:rsidRPr="00733E21" w:rsidRDefault="003F59AA" w:rsidP="003F59AA">
            <w:pPr>
              <w:rPr>
                <w:sz w:val="18"/>
                <w:szCs w:val="18"/>
              </w:rPr>
            </w:pPr>
          </w:p>
        </w:tc>
        <w:tc>
          <w:tcPr>
            <w:tcW w:w="4838" w:type="dxa"/>
            <w:shd w:val="clear" w:color="auto" w:fill="auto"/>
          </w:tcPr>
          <w:p w14:paraId="6692767F" w14:textId="0B0358D8" w:rsidR="003F59AA" w:rsidRPr="00733E21" w:rsidRDefault="003F59AA" w:rsidP="003F59AA">
            <w:r w:rsidRPr="00733E21">
              <w:t>Offender (previous juvenile justice involvement)</w:t>
            </w:r>
          </w:p>
        </w:tc>
        <w:tc>
          <w:tcPr>
            <w:tcW w:w="1812" w:type="dxa"/>
            <w:tcBorders>
              <w:top w:val="single" w:sz="4" w:space="0" w:color="auto"/>
              <w:left w:val="nil"/>
              <w:bottom w:val="single" w:sz="8" w:space="0" w:color="auto"/>
              <w:right w:val="single" w:sz="4" w:space="0" w:color="auto"/>
            </w:tcBorders>
            <w:shd w:val="clear" w:color="auto" w:fill="auto"/>
          </w:tcPr>
          <w:p w14:paraId="7564F8D2" w14:textId="236DB65F" w:rsidR="003F59AA" w:rsidRPr="00733E21" w:rsidRDefault="003F59AA" w:rsidP="003F59AA">
            <w:pPr>
              <w:jc w:val="center"/>
            </w:pPr>
            <w:r w:rsidRPr="007468D9">
              <w:t>9</w:t>
            </w:r>
          </w:p>
        </w:tc>
        <w:tc>
          <w:tcPr>
            <w:tcW w:w="1835" w:type="dxa"/>
            <w:tcBorders>
              <w:top w:val="single" w:sz="4" w:space="0" w:color="auto"/>
              <w:left w:val="nil"/>
              <w:bottom w:val="single" w:sz="8" w:space="0" w:color="auto"/>
              <w:right w:val="single" w:sz="8" w:space="0" w:color="auto"/>
            </w:tcBorders>
            <w:shd w:val="clear" w:color="auto" w:fill="auto"/>
          </w:tcPr>
          <w:p w14:paraId="1BD8D901" w14:textId="6A4B00FD" w:rsidR="003F59AA" w:rsidRPr="00733E21" w:rsidRDefault="003F59AA" w:rsidP="003F59AA">
            <w:pPr>
              <w:jc w:val="center"/>
            </w:pPr>
            <w:r w:rsidRPr="009903B0">
              <w:t>5.5%</w:t>
            </w:r>
          </w:p>
        </w:tc>
      </w:tr>
      <w:tr w:rsidR="003F59AA" w:rsidRPr="0070451B" w14:paraId="3D589247" w14:textId="77777777" w:rsidTr="00285BAB">
        <w:trPr>
          <w:trHeight w:val="432"/>
          <w:jc w:val="center"/>
        </w:trPr>
        <w:tc>
          <w:tcPr>
            <w:tcW w:w="1585" w:type="dxa"/>
            <w:vMerge/>
            <w:shd w:val="clear" w:color="auto" w:fill="auto"/>
            <w:vAlign w:val="center"/>
          </w:tcPr>
          <w:p w14:paraId="362301A5" w14:textId="77777777" w:rsidR="003F59AA" w:rsidRPr="00733E21" w:rsidRDefault="003F59AA" w:rsidP="003F59AA">
            <w:pPr>
              <w:rPr>
                <w:sz w:val="18"/>
                <w:szCs w:val="18"/>
              </w:rPr>
            </w:pPr>
          </w:p>
        </w:tc>
        <w:tc>
          <w:tcPr>
            <w:tcW w:w="4838" w:type="dxa"/>
            <w:shd w:val="clear" w:color="auto" w:fill="auto"/>
          </w:tcPr>
          <w:p w14:paraId="7802EF34" w14:textId="3D2A8F14" w:rsidR="003F59AA" w:rsidRPr="00733E21" w:rsidRDefault="003F59AA" w:rsidP="003F59AA">
            <w:r w:rsidRPr="00733E21">
              <w:t>Pregnant or Parenting</w:t>
            </w:r>
          </w:p>
        </w:tc>
        <w:tc>
          <w:tcPr>
            <w:tcW w:w="1812" w:type="dxa"/>
            <w:tcBorders>
              <w:top w:val="single" w:sz="4" w:space="0" w:color="auto"/>
              <w:left w:val="nil"/>
              <w:bottom w:val="single" w:sz="8" w:space="0" w:color="auto"/>
              <w:right w:val="single" w:sz="4" w:space="0" w:color="auto"/>
            </w:tcBorders>
            <w:shd w:val="clear" w:color="auto" w:fill="auto"/>
          </w:tcPr>
          <w:p w14:paraId="4F909052" w14:textId="0EAC8C70" w:rsidR="003F59AA" w:rsidRPr="00733E21" w:rsidRDefault="003F59AA" w:rsidP="003F59AA">
            <w:pPr>
              <w:jc w:val="center"/>
            </w:pPr>
            <w:r w:rsidRPr="007468D9">
              <w:t>11</w:t>
            </w:r>
          </w:p>
        </w:tc>
        <w:tc>
          <w:tcPr>
            <w:tcW w:w="1835" w:type="dxa"/>
            <w:tcBorders>
              <w:top w:val="single" w:sz="4" w:space="0" w:color="auto"/>
              <w:left w:val="nil"/>
              <w:bottom w:val="single" w:sz="8" w:space="0" w:color="auto"/>
              <w:right w:val="single" w:sz="8" w:space="0" w:color="auto"/>
            </w:tcBorders>
            <w:shd w:val="clear" w:color="auto" w:fill="auto"/>
          </w:tcPr>
          <w:p w14:paraId="239F9D0C" w14:textId="5D9CBE50" w:rsidR="003F59AA" w:rsidRPr="00733E21" w:rsidRDefault="003F59AA" w:rsidP="003F59AA">
            <w:pPr>
              <w:jc w:val="center"/>
            </w:pPr>
            <w:r w:rsidRPr="009903B0">
              <w:t>6.7%</w:t>
            </w:r>
          </w:p>
        </w:tc>
      </w:tr>
      <w:tr w:rsidR="003F59AA" w:rsidRPr="0070451B" w14:paraId="2D941FE7" w14:textId="77777777" w:rsidTr="00285BAB">
        <w:trPr>
          <w:trHeight w:val="432"/>
          <w:jc w:val="center"/>
        </w:trPr>
        <w:tc>
          <w:tcPr>
            <w:tcW w:w="1585" w:type="dxa"/>
            <w:vMerge/>
            <w:shd w:val="clear" w:color="auto" w:fill="auto"/>
            <w:vAlign w:val="center"/>
          </w:tcPr>
          <w:p w14:paraId="09F07B1F" w14:textId="77777777" w:rsidR="003F59AA" w:rsidRPr="00733E21" w:rsidRDefault="003F59AA" w:rsidP="003F59AA">
            <w:pPr>
              <w:rPr>
                <w:sz w:val="18"/>
                <w:szCs w:val="18"/>
              </w:rPr>
            </w:pPr>
          </w:p>
        </w:tc>
        <w:tc>
          <w:tcPr>
            <w:tcW w:w="4838" w:type="dxa"/>
            <w:tcBorders>
              <w:bottom w:val="single" w:sz="4" w:space="0" w:color="auto"/>
            </w:tcBorders>
            <w:shd w:val="clear" w:color="auto" w:fill="auto"/>
          </w:tcPr>
          <w:p w14:paraId="69B0191E" w14:textId="6CC0FC95" w:rsidR="003F59AA" w:rsidRPr="00733E21" w:rsidRDefault="003F59AA" w:rsidP="003F59AA">
            <w:r w:rsidRPr="00733E21">
              <w:t xml:space="preserve">Basic Skills Deficient </w:t>
            </w:r>
          </w:p>
        </w:tc>
        <w:tc>
          <w:tcPr>
            <w:tcW w:w="1812" w:type="dxa"/>
            <w:tcBorders>
              <w:top w:val="single" w:sz="4" w:space="0" w:color="auto"/>
              <w:left w:val="nil"/>
              <w:bottom w:val="single" w:sz="8" w:space="0" w:color="auto"/>
              <w:right w:val="single" w:sz="4" w:space="0" w:color="auto"/>
            </w:tcBorders>
            <w:shd w:val="clear" w:color="auto" w:fill="auto"/>
          </w:tcPr>
          <w:p w14:paraId="52CDC7B3" w14:textId="334BE651" w:rsidR="003F59AA" w:rsidRPr="00733E21" w:rsidRDefault="003F59AA" w:rsidP="003F59AA">
            <w:pPr>
              <w:jc w:val="center"/>
            </w:pPr>
            <w:r w:rsidRPr="007468D9">
              <w:t>9</w:t>
            </w:r>
          </w:p>
        </w:tc>
        <w:tc>
          <w:tcPr>
            <w:tcW w:w="1835" w:type="dxa"/>
            <w:tcBorders>
              <w:top w:val="single" w:sz="4" w:space="0" w:color="auto"/>
              <w:left w:val="nil"/>
              <w:bottom w:val="single" w:sz="8" w:space="0" w:color="auto"/>
              <w:right w:val="single" w:sz="8" w:space="0" w:color="auto"/>
            </w:tcBorders>
            <w:shd w:val="clear" w:color="auto" w:fill="auto"/>
          </w:tcPr>
          <w:p w14:paraId="23C09155" w14:textId="1D7899C8" w:rsidR="003F59AA" w:rsidRPr="00733E21" w:rsidRDefault="003F59AA" w:rsidP="003F59AA">
            <w:pPr>
              <w:jc w:val="center"/>
            </w:pPr>
            <w:r w:rsidRPr="009903B0">
              <w:t>5.5%</w:t>
            </w:r>
          </w:p>
        </w:tc>
      </w:tr>
      <w:tr w:rsidR="003F59AA" w:rsidRPr="0070451B" w14:paraId="304C7D8A" w14:textId="77777777" w:rsidTr="00285BAB">
        <w:trPr>
          <w:trHeight w:val="432"/>
          <w:jc w:val="center"/>
        </w:trPr>
        <w:tc>
          <w:tcPr>
            <w:tcW w:w="1585" w:type="dxa"/>
            <w:vMerge/>
            <w:shd w:val="clear" w:color="auto" w:fill="auto"/>
            <w:vAlign w:val="center"/>
          </w:tcPr>
          <w:p w14:paraId="2698B956" w14:textId="77777777" w:rsidR="003F59AA" w:rsidRPr="00733E21" w:rsidRDefault="003F59AA" w:rsidP="003F59AA">
            <w:pPr>
              <w:rPr>
                <w:sz w:val="18"/>
                <w:szCs w:val="18"/>
              </w:rPr>
            </w:pPr>
          </w:p>
        </w:tc>
        <w:tc>
          <w:tcPr>
            <w:tcW w:w="4838" w:type="dxa"/>
            <w:tcBorders>
              <w:bottom w:val="single" w:sz="4" w:space="0" w:color="auto"/>
            </w:tcBorders>
            <w:shd w:val="clear" w:color="auto" w:fill="auto"/>
          </w:tcPr>
          <w:p w14:paraId="4C0AD89B" w14:textId="147ACB57" w:rsidR="003F59AA" w:rsidRPr="00733E21" w:rsidRDefault="003F59AA" w:rsidP="003F59AA">
            <w:r w:rsidRPr="00733E21">
              <w:t>Homeless</w:t>
            </w:r>
          </w:p>
        </w:tc>
        <w:tc>
          <w:tcPr>
            <w:tcW w:w="1812" w:type="dxa"/>
            <w:tcBorders>
              <w:top w:val="single" w:sz="4" w:space="0" w:color="auto"/>
              <w:left w:val="nil"/>
              <w:bottom w:val="single" w:sz="8" w:space="0" w:color="auto"/>
              <w:right w:val="single" w:sz="4" w:space="0" w:color="auto"/>
            </w:tcBorders>
            <w:shd w:val="clear" w:color="auto" w:fill="auto"/>
          </w:tcPr>
          <w:p w14:paraId="476A70FD" w14:textId="11412B56" w:rsidR="003F59AA" w:rsidRPr="00733E21" w:rsidRDefault="003F59AA" w:rsidP="003F59AA">
            <w:pPr>
              <w:jc w:val="center"/>
            </w:pPr>
            <w:r w:rsidRPr="007468D9">
              <w:t>14</w:t>
            </w:r>
          </w:p>
        </w:tc>
        <w:tc>
          <w:tcPr>
            <w:tcW w:w="1835" w:type="dxa"/>
            <w:tcBorders>
              <w:top w:val="single" w:sz="4" w:space="0" w:color="auto"/>
              <w:left w:val="nil"/>
              <w:bottom w:val="single" w:sz="8" w:space="0" w:color="auto"/>
              <w:right w:val="single" w:sz="8" w:space="0" w:color="auto"/>
            </w:tcBorders>
            <w:shd w:val="clear" w:color="auto" w:fill="auto"/>
          </w:tcPr>
          <w:p w14:paraId="57248D45" w14:textId="258866F4" w:rsidR="003F59AA" w:rsidRPr="00733E21" w:rsidRDefault="003F59AA" w:rsidP="003F59AA">
            <w:pPr>
              <w:jc w:val="center"/>
            </w:pPr>
            <w:r w:rsidRPr="009903B0">
              <w:t>8.6%</w:t>
            </w:r>
          </w:p>
        </w:tc>
      </w:tr>
      <w:tr w:rsidR="003F59AA" w:rsidRPr="0070451B" w14:paraId="06EF9349" w14:textId="77777777" w:rsidTr="00285BAB">
        <w:trPr>
          <w:trHeight w:val="432"/>
          <w:jc w:val="center"/>
        </w:trPr>
        <w:tc>
          <w:tcPr>
            <w:tcW w:w="1585" w:type="dxa"/>
            <w:vMerge/>
            <w:shd w:val="clear" w:color="auto" w:fill="auto"/>
            <w:vAlign w:val="center"/>
          </w:tcPr>
          <w:p w14:paraId="0178D913" w14:textId="77777777" w:rsidR="003F59AA" w:rsidRPr="00733E21" w:rsidRDefault="003F59AA" w:rsidP="003F59AA">
            <w:pPr>
              <w:rPr>
                <w:sz w:val="18"/>
                <w:szCs w:val="18"/>
              </w:rPr>
            </w:pPr>
          </w:p>
        </w:tc>
        <w:tc>
          <w:tcPr>
            <w:tcW w:w="4838" w:type="dxa"/>
            <w:tcBorders>
              <w:bottom w:val="single" w:sz="4" w:space="0" w:color="auto"/>
            </w:tcBorders>
            <w:shd w:val="clear" w:color="auto" w:fill="auto"/>
          </w:tcPr>
          <w:p w14:paraId="142C5B63" w14:textId="76D9E222" w:rsidR="003F59AA" w:rsidRPr="00733E21" w:rsidRDefault="003F59AA" w:rsidP="003F59AA">
            <w:r w:rsidRPr="00733E21">
              <w:t>Not Employed at Program Enrollment</w:t>
            </w:r>
          </w:p>
        </w:tc>
        <w:tc>
          <w:tcPr>
            <w:tcW w:w="1812" w:type="dxa"/>
            <w:tcBorders>
              <w:top w:val="single" w:sz="4" w:space="0" w:color="auto"/>
              <w:left w:val="nil"/>
              <w:bottom w:val="single" w:sz="8" w:space="0" w:color="auto"/>
              <w:right w:val="single" w:sz="4" w:space="0" w:color="auto"/>
            </w:tcBorders>
            <w:shd w:val="clear" w:color="auto" w:fill="auto"/>
          </w:tcPr>
          <w:p w14:paraId="3D91D5A1" w14:textId="7F200B51" w:rsidR="003F59AA" w:rsidRPr="00733E21" w:rsidRDefault="003F59AA" w:rsidP="003F59AA">
            <w:pPr>
              <w:jc w:val="center"/>
            </w:pPr>
            <w:r w:rsidRPr="007468D9">
              <w:t>99</w:t>
            </w:r>
          </w:p>
        </w:tc>
        <w:tc>
          <w:tcPr>
            <w:tcW w:w="1835" w:type="dxa"/>
            <w:tcBorders>
              <w:top w:val="single" w:sz="4" w:space="0" w:color="auto"/>
              <w:left w:val="nil"/>
              <w:bottom w:val="single" w:sz="8" w:space="0" w:color="auto"/>
              <w:right w:val="single" w:sz="8" w:space="0" w:color="auto"/>
            </w:tcBorders>
            <w:shd w:val="clear" w:color="auto" w:fill="auto"/>
          </w:tcPr>
          <w:p w14:paraId="04BAA243" w14:textId="1374C38E" w:rsidR="003F59AA" w:rsidRPr="00733E21" w:rsidRDefault="003F59AA" w:rsidP="003F59AA">
            <w:pPr>
              <w:jc w:val="center"/>
            </w:pPr>
            <w:r w:rsidRPr="009903B0">
              <w:t>60.7%</w:t>
            </w:r>
          </w:p>
        </w:tc>
      </w:tr>
      <w:tr w:rsidR="003F59AA" w:rsidRPr="00C34F31" w14:paraId="19A1718B" w14:textId="77777777" w:rsidTr="00285BAB">
        <w:trPr>
          <w:trHeight w:val="432"/>
          <w:jc w:val="center"/>
        </w:trPr>
        <w:tc>
          <w:tcPr>
            <w:tcW w:w="1585" w:type="dxa"/>
            <w:vMerge/>
            <w:shd w:val="clear" w:color="auto" w:fill="auto"/>
            <w:vAlign w:val="center"/>
          </w:tcPr>
          <w:p w14:paraId="2FF2166C" w14:textId="77777777" w:rsidR="003F59AA" w:rsidRPr="00733E21" w:rsidRDefault="003F59AA" w:rsidP="003F59AA">
            <w:pPr>
              <w:rPr>
                <w:sz w:val="18"/>
                <w:szCs w:val="18"/>
              </w:rPr>
            </w:pPr>
          </w:p>
        </w:tc>
        <w:tc>
          <w:tcPr>
            <w:tcW w:w="4838" w:type="dxa"/>
            <w:tcBorders>
              <w:bottom w:val="single" w:sz="4" w:space="0" w:color="auto"/>
            </w:tcBorders>
            <w:shd w:val="clear" w:color="auto" w:fill="auto"/>
          </w:tcPr>
          <w:p w14:paraId="75530695" w14:textId="6B50E1FC" w:rsidR="003F59AA" w:rsidRPr="00733E21" w:rsidRDefault="003F59AA" w:rsidP="003F59AA">
            <w:r w:rsidRPr="00733E21">
              <w:t>Veteran</w:t>
            </w:r>
          </w:p>
        </w:tc>
        <w:tc>
          <w:tcPr>
            <w:tcW w:w="1812" w:type="dxa"/>
            <w:tcBorders>
              <w:top w:val="single" w:sz="4" w:space="0" w:color="auto"/>
              <w:left w:val="nil"/>
              <w:bottom w:val="single" w:sz="8" w:space="0" w:color="auto"/>
              <w:right w:val="single" w:sz="4" w:space="0" w:color="auto"/>
            </w:tcBorders>
            <w:shd w:val="clear" w:color="auto" w:fill="auto"/>
          </w:tcPr>
          <w:p w14:paraId="5F93CC23" w14:textId="58ACAFAB" w:rsidR="003F59AA" w:rsidRPr="00733E21" w:rsidRDefault="003F59AA" w:rsidP="003F59AA">
            <w:pPr>
              <w:jc w:val="center"/>
            </w:pPr>
            <w:r w:rsidRPr="007468D9">
              <w:t>0</w:t>
            </w:r>
          </w:p>
        </w:tc>
        <w:tc>
          <w:tcPr>
            <w:tcW w:w="1835" w:type="dxa"/>
            <w:tcBorders>
              <w:top w:val="single" w:sz="4" w:space="0" w:color="auto"/>
              <w:left w:val="nil"/>
              <w:bottom w:val="single" w:sz="8" w:space="0" w:color="auto"/>
              <w:right w:val="single" w:sz="8" w:space="0" w:color="auto"/>
            </w:tcBorders>
            <w:shd w:val="clear" w:color="auto" w:fill="auto"/>
          </w:tcPr>
          <w:p w14:paraId="0D30866B" w14:textId="788A0A46" w:rsidR="003F59AA" w:rsidRPr="00733E21" w:rsidRDefault="003F59AA" w:rsidP="003F59AA">
            <w:pPr>
              <w:jc w:val="center"/>
            </w:pPr>
            <w:r w:rsidRPr="009903B0">
              <w:t>0.0%</w:t>
            </w:r>
          </w:p>
        </w:tc>
      </w:tr>
      <w:tr w:rsidR="003F59AA" w:rsidRPr="00C34F31" w14:paraId="5C7A7B94" w14:textId="77777777" w:rsidTr="00285BAB">
        <w:trPr>
          <w:trHeight w:val="432"/>
          <w:jc w:val="center"/>
        </w:trPr>
        <w:tc>
          <w:tcPr>
            <w:tcW w:w="1585" w:type="dxa"/>
            <w:vMerge/>
            <w:shd w:val="clear" w:color="auto" w:fill="auto"/>
            <w:vAlign w:val="center"/>
          </w:tcPr>
          <w:p w14:paraId="3CAB813F" w14:textId="77777777" w:rsidR="003F59AA" w:rsidRPr="00733E21" w:rsidRDefault="003F59AA" w:rsidP="003F59AA">
            <w:pPr>
              <w:rPr>
                <w:sz w:val="18"/>
                <w:szCs w:val="18"/>
              </w:rPr>
            </w:pPr>
          </w:p>
        </w:tc>
        <w:tc>
          <w:tcPr>
            <w:tcW w:w="4838" w:type="dxa"/>
            <w:shd w:val="clear" w:color="auto" w:fill="FFFFFF" w:themeFill="background1"/>
          </w:tcPr>
          <w:p w14:paraId="1A8A3118" w14:textId="58646E89" w:rsidR="003F59AA" w:rsidRPr="00733E21" w:rsidRDefault="003F59AA" w:rsidP="003F59AA">
            <w:r w:rsidRPr="00733E21">
              <w:t>Economically Disadvantaged</w:t>
            </w:r>
          </w:p>
        </w:tc>
        <w:tc>
          <w:tcPr>
            <w:tcW w:w="1812" w:type="dxa"/>
            <w:tcBorders>
              <w:top w:val="single" w:sz="4" w:space="0" w:color="auto"/>
              <w:left w:val="nil"/>
              <w:bottom w:val="single" w:sz="8" w:space="0" w:color="auto"/>
              <w:right w:val="single" w:sz="4" w:space="0" w:color="auto"/>
            </w:tcBorders>
            <w:shd w:val="clear" w:color="auto" w:fill="auto"/>
          </w:tcPr>
          <w:p w14:paraId="428A2C14" w14:textId="5F624313" w:rsidR="003F59AA" w:rsidRPr="00733E21" w:rsidRDefault="003F59AA" w:rsidP="003F59AA">
            <w:pPr>
              <w:jc w:val="center"/>
            </w:pPr>
            <w:r w:rsidRPr="007468D9">
              <w:t>118</w:t>
            </w:r>
          </w:p>
        </w:tc>
        <w:tc>
          <w:tcPr>
            <w:tcW w:w="1835" w:type="dxa"/>
            <w:tcBorders>
              <w:top w:val="single" w:sz="4" w:space="0" w:color="auto"/>
              <w:left w:val="nil"/>
              <w:bottom w:val="single" w:sz="8" w:space="0" w:color="auto"/>
              <w:right w:val="single" w:sz="8" w:space="0" w:color="auto"/>
            </w:tcBorders>
            <w:shd w:val="clear" w:color="000000" w:fill="FFFFFF"/>
          </w:tcPr>
          <w:p w14:paraId="49C9C43F" w14:textId="74AE93BC" w:rsidR="003F59AA" w:rsidRPr="00733E21" w:rsidRDefault="003F59AA" w:rsidP="003F59AA">
            <w:pPr>
              <w:jc w:val="center"/>
            </w:pPr>
            <w:r w:rsidRPr="009903B0">
              <w:t>72.4%</w:t>
            </w:r>
          </w:p>
        </w:tc>
      </w:tr>
      <w:tr w:rsidR="009C032A" w:rsidRPr="00FD2BFB" w14:paraId="0D11BCA1" w14:textId="77777777" w:rsidTr="009C032A">
        <w:trPr>
          <w:trHeight w:val="432"/>
          <w:jc w:val="center"/>
        </w:trPr>
        <w:tc>
          <w:tcPr>
            <w:tcW w:w="6423" w:type="dxa"/>
            <w:gridSpan w:val="2"/>
            <w:shd w:val="clear" w:color="auto" w:fill="DDDDDA" w:themeFill="background2"/>
            <w:vAlign w:val="center"/>
          </w:tcPr>
          <w:p w14:paraId="057A4977" w14:textId="7F397DFA" w:rsidR="009C032A" w:rsidRPr="00733E21" w:rsidRDefault="009C032A" w:rsidP="009C032A">
            <w:pPr>
              <w:jc w:val="center"/>
            </w:pPr>
            <w:r w:rsidRPr="00733E21">
              <w:rPr>
                <w:rFonts w:ascii="Calibri-Bold" w:hAnsi="Calibri-Bold" w:cs="Calibri-Bold"/>
                <w:b/>
                <w:bCs/>
                <w:sz w:val="28"/>
                <w:szCs w:val="28"/>
                <w:lang w:bidi="ar-SA"/>
              </w:rPr>
              <w:t>Program Services and Activities Data</w:t>
            </w:r>
          </w:p>
        </w:tc>
        <w:tc>
          <w:tcPr>
            <w:tcW w:w="1812" w:type="dxa"/>
            <w:shd w:val="clear" w:color="auto" w:fill="DDDDDA" w:themeFill="background2"/>
            <w:vAlign w:val="center"/>
          </w:tcPr>
          <w:p w14:paraId="3F610C95" w14:textId="5E3B931C" w:rsidR="009C032A" w:rsidRPr="00733E21" w:rsidRDefault="009C032A" w:rsidP="009C032A">
            <w:pPr>
              <w:jc w:val="center"/>
              <w:rPr>
                <w:b/>
                <w:bCs/>
              </w:rPr>
            </w:pPr>
            <w:r w:rsidRPr="00733E21">
              <w:rPr>
                <w:b/>
                <w:bCs/>
              </w:rPr>
              <w:t>Total</w:t>
            </w:r>
          </w:p>
        </w:tc>
        <w:tc>
          <w:tcPr>
            <w:tcW w:w="1835" w:type="dxa"/>
            <w:shd w:val="clear" w:color="auto" w:fill="DDDDDA" w:themeFill="background2"/>
            <w:vAlign w:val="center"/>
          </w:tcPr>
          <w:p w14:paraId="092C8C5F" w14:textId="2E87891E" w:rsidR="009C032A" w:rsidRPr="00733E21" w:rsidRDefault="009C032A" w:rsidP="009C032A">
            <w:pPr>
              <w:jc w:val="center"/>
              <w:rPr>
                <w:b/>
                <w:bCs/>
              </w:rPr>
            </w:pPr>
            <w:r w:rsidRPr="00733E21">
              <w:rPr>
                <w:b/>
                <w:bCs/>
              </w:rPr>
              <w:t>Percentage</w:t>
            </w:r>
          </w:p>
        </w:tc>
      </w:tr>
      <w:tr w:rsidR="00322DF3" w:rsidRPr="00C34F31" w14:paraId="19AFB6CC" w14:textId="77777777" w:rsidTr="00285BAB">
        <w:trPr>
          <w:trHeight w:val="432"/>
          <w:jc w:val="center"/>
        </w:trPr>
        <w:tc>
          <w:tcPr>
            <w:tcW w:w="6423" w:type="dxa"/>
            <w:gridSpan w:val="2"/>
            <w:shd w:val="clear" w:color="auto" w:fill="auto"/>
          </w:tcPr>
          <w:p w14:paraId="59180289" w14:textId="18ECD40F" w:rsidR="00322DF3" w:rsidRPr="00733E21" w:rsidRDefault="00322DF3" w:rsidP="00322DF3">
            <w:pPr>
              <w:spacing w:before="0" w:line="240" w:lineRule="auto"/>
              <w:ind w:left="240"/>
            </w:pPr>
            <w:r w:rsidRPr="00733E21">
              <w:t xml:space="preserve">Received Employment Preparation, or Work Readiness/Job Training Activities </w:t>
            </w:r>
          </w:p>
        </w:tc>
        <w:tc>
          <w:tcPr>
            <w:tcW w:w="1812" w:type="dxa"/>
            <w:tcBorders>
              <w:top w:val="single" w:sz="4" w:space="0" w:color="auto"/>
              <w:left w:val="nil"/>
              <w:bottom w:val="single" w:sz="8" w:space="0" w:color="auto"/>
              <w:right w:val="single" w:sz="4" w:space="0" w:color="auto"/>
            </w:tcBorders>
            <w:shd w:val="clear" w:color="auto" w:fill="auto"/>
          </w:tcPr>
          <w:p w14:paraId="5B0293A5" w14:textId="6919D4B2" w:rsidR="00322DF3" w:rsidRPr="00733E21" w:rsidRDefault="00322DF3" w:rsidP="00322DF3">
            <w:pPr>
              <w:jc w:val="center"/>
            </w:pPr>
            <w:r w:rsidRPr="006D3539">
              <w:t>159</w:t>
            </w:r>
          </w:p>
        </w:tc>
        <w:tc>
          <w:tcPr>
            <w:tcW w:w="1835" w:type="dxa"/>
            <w:tcBorders>
              <w:top w:val="single" w:sz="4" w:space="0" w:color="auto"/>
              <w:left w:val="nil"/>
              <w:bottom w:val="single" w:sz="8" w:space="0" w:color="auto"/>
              <w:right w:val="single" w:sz="8" w:space="0" w:color="auto"/>
            </w:tcBorders>
            <w:shd w:val="clear" w:color="000000" w:fill="FFFFFF"/>
          </w:tcPr>
          <w:p w14:paraId="09263443" w14:textId="2FEC96EE" w:rsidR="00322DF3" w:rsidRPr="00733E21" w:rsidRDefault="00322DF3" w:rsidP="00322DF3">
            <w:pPr>
              <w:jc w:val="center"/>
            </w:pPr>
            <w:r w:rsidRPr="003759CD">
              <w:t>97.5%</w:t>
            </w:r>
          </w:p>
        </w:tc>
      </w:tr>
      <w:tr w:rsidR="00322DF3" w:rsidRPr="00C34F31" w14:paraId="53C16575" w14:textId="77777777" w:rsidTr="00285BAB">
        <w:trPr>
          <w:trHeight w:val="432"/>
          <w:jc w:val="center"/>
        </w:trPr>
        <w:tc>
          <w:tcPr>
            <w:tcW w:w="6423" w:type="dxa"/>
            <w:gridSpan w:val="2"/>
            <w:shd w:val="clear" w:color="auto" w:fill="auto"/>
          </w:tcPr>
          <w:p w14:paraId="05047C64" w14:textId="508FF07B" w:rsidR="00322DF3" w:rsidRPr="00733E21" w:rsidRDefault="00322DF3" w:rsidP="00322DF3">
            <w:pPr>
              <w:spacing w:before="0" w:line="240" w:lineRule="auto"/>
              <w:ind w:left="240"/>
            </w:pPr>
            <w:r w:rsidRPr="00733E21">
              <w:t>Received Work Experience, Internship, or Apprenticeship Activities</w:t>
            </w:r>
          </w:p>
        </w:tc>
        <w:tc>
          <w:tcPr>
            <w:tcW w:w="1812" w:type="dxa"/>
            <w:tcBorders>
              <w:top w:val="single" w:sz="4" w:space="0" w:color="auto"/>
              <w:left w:val="nil"/>
              <w:bottom w:val="single" w:sz="8" w:space="0" w:color="auto"/>
              <w:right w:val="single" w:sz="4" w:space="0" w:color="auto"/>
            </w:tcBorders>
            <w:shd w:val="clear" w:color="auto" w:fill="auto"/>
          </w:tcPr>
          <w:p w14:paraId="13F33F0C" w14:textId="1F07C508" w:rsidR="00322DF3" w:rsidRPr="00733E21" w:rsidRDefault="00322DF3" w:rsidP="00322DF3">
            <w:pPr>
              <w:jc w:val="center"/>
            </w:pPr>
            <w:r w:rsidRPr="006D3539">
              <w:t>121</w:t>
            </w:r>
          </w:p>
        </w:tc>
        <w:tc>
          <w:tcPr>
            <w:tcW w:w="1835" w:type="dxa"/>
            <w:tcBorders>
              <w:top w:val="single" w:sz="4" w:space="0" w:color="auto"/>
              <w:left w:val="nil"/>
              <w:bottom w:val="single" w:sz="8" w:space="0" w:color="auto"/>
              <w:right w:val="single" w:sz="8" w:space="0" w:color="auto"/>
            </w:tcBorders>
            <w:shd w:val="clear" w:color="auto" w:fill="auto"/>
          </w:tcPr>
          <w:p w14:paraId="1824B85C" w14:textId="63FB5F36" w:rsidR="00322DF3" w:rsidRPr="00733E21" w:rsidRDefault="00322DF3" w:rsidP="00322DF3">
            <w:pPr>
              <w:jc w:val="center"/>
            </w:pPr>
            <w:r w:rsidRPr="003759CD">
              <w:t>74.2%</w:t>
            </w:r>
          </w:p>
        </w:tc>
      </w:tr>
      <w:tr w:rsidR="00322DF3" w:rsidRPr="00C34F31" w14:paraId="1DBAD0E8" w14:textId="77777777" w:rsidTr="00285BAB">
        <w:trPr>
          <w:trHeight w:val="432"/>
          <w:jc w:val="center"/>
        </w:trPr>
        <w:tc>
          <w:tcPr>
            <w:tcW w:w="6423" w:type="dxa"/>
            <w:gridSpan w:val="2"/>
            <w:shd w:val="clear" w:color="auto" w:fill="auto"/>
          </w:tcPr>
          <w:p w14:paraId="3D5E10A5" w14:textId="3D097EE4" w:rsidR="00322DF3" w:rsidRPr="00733E21" w:rsidRDefault="00322DF3" w:rsidP="00322DF3">
            <w:pPr>
              <w:spacing w:before="0" w:line="240" w:lineRule="auto"/>
              <w:ind w:left="240"/>
            </w:pPr>
            <w:r w:rsidRPr="00733E21">
              <w:t>Received Post-Secondary Exploration, Career Guidance and Planning Activities</w:t>
            </w:r>
          </w:p>
        </w:tc>
        <w:tc>
          <w:tcPr>
            <w:tcW w:w="1812" w:type="dxa"/>
            <w:tcBorders>
              <w:top w:val="single" w:sz="4" w:space="0" w:color="auto"/>
              <w:left w:val="nil"/>
              <w:bottom w:val="single" w:sz="8" w:space="0" w:color="auto"/>
              <w:right w:val="single" w:sz="4" w:space="0" w:color="auto"/>
            </w:tcBorders>
            <w:shd w:val="clear" w:color="auto" w:fill="auto"/>
          </w:tcPr>
          <w:p w14:paraId="5831CD3F" w14:textId="135841F7" w:rsidR="00322DF3" w:rsidRPr="00733E21" w:rsidRDefault="00322DF3" w:rsidP="00322DF3">
            <w:pPr>
              <w:jc w:val="center"/>
            </w:pPr>
            <w:r w:rsidRPr="006D3539">
              <w:t>159</w:t>
            </w:r>
          </w:p>
        </w:tc>
        <w:tc>
          <w:tcPr>
            <w:tcW w:w="1835" w:type="dxa"/>
            <w:tcBorders>
              <w:top w:val="single" w:sz="4" w:space="0" w:color="auto"/>
              <w:left w:val="nil"/>
              <w:bottom w:val="single" w:sz="8" w:space="0" w:color="auto"/>
              <w:right w:val="single" w:sz="8" w:space="0" w:color="auto"/>
            </w:tcBorders>
            <w:shd w:val="clear" w:color="auto" w:fill="auto"/>
          </w:tcPr>
          <w:p w14:paraId="5CB16D4B" w14:textId="0964401A" w:rsidR="00322DF3" w:rsidRPr="00733E21" w:rsidRDefault="00322DF3" w:rsidP="00322DF3">
            <w:pPr>
              <w:jc w:val="center"/>
            </w:pPr>
            <w:r w:rsidRPr="003759CD">
              <w:t>97.5%</w:t>
            </w:r>
          </w:p>
        </w:tc>
      </w:tr>
      <w:tr w:rsidR="00322DF3" w:rsidRPr="00C34F31" w14:paraId="131714D8" w14:textId="77777777" w:rsidTr="00285BAB">
        <w:trPr>
          <w:trHeight w:val="432"/>
          <w:jc w:val="center"/>
        </w:trPr>
        <w:tc>
          <w:tcPr>
            <w:tcW w:w="6423" w:type="dxa"/>
            <w:gridSpan w:val="2"/>
            <w:shd w:val="clear" w:color="auto" w:fill="auto"/>
          </w:tcPr>
          <w:p w14:paraId="22ED1505" w14:textId="3055D35C" w:rsidR="00322DF3" w:rsidRPr="00733E21" w:rsidRDefault="00322DF3" w:rsidP="00322DF3">
            <w:pPr>
              <w:spacing w:before="0" w:line="240" w:lineRule="auto"/>
              <w:ind w:left="240"/>
            </w:pPr>
            <w:r w:rsidRPr="00733E21">
              <w:t>Received Case Management</w:t>
            </w:r>
          </w:p>
        </w:tc>
        <w:tc>
          <w:tcPr>
            <w:tcW w:w="1812" w:type="dxa"/>
            <w:tcBorders>
              <w:top w:val="single" w:sz="4" w:space="0" w:color="auto"/>
              <w:left w:val="nil"/>
              <w:bottom w:val="single" w:sz="8" w:space="0" w:color="auto"/>
              <w:right w:val="single" w:sz="4" w:space="0" w:color="auto"/>
            </w:tcBorders>
            <w:shd w:val="clear" w:color="auto" w:fill="auto"/>
          </w:tcPr>
          <w:p w14:paraId="3AEC62FF" w14:textId="38B25798" w:rsidR="00322DF3" w:rsidRPr="00733E21" w:rsidRDefault="00322DF3" w:rsidP="00322DF3">
            <w:pPr>
              <w:jc w:val="center"/>
            </w:pPr>
            <w:r w:rsidRPr="006D3539">
              <w:t>159</w:t>
            </w:r>
          </w:p>
        </w:tc>
        <w:tc>
          <w:tcPr>
            <w:tcW w:w="1835" w:type="dxa"/>
            <w:tcBorders>
              <w:top w:val="single" w:sz="4" w:space="0" w:color="auto"/>
              <w:left w:val="nil"/>
              <w:bottom w:val="single" w:sz="8" w:space="0" w:color="auto"/>
              <w:right w:val="single" w:sz="8" w:space="0" w:color="auto"/>
            </w:tcBorders>
            <w:shd w:val="clear" w:color="auto" w:fill="auto"/>
          </w:tcPr>
          <w:p w14:paraId="7C4C3841" w14:textId="0C304B37" w:rsidR="00322DF3" w:rsidRPr="00733E21" w:rsidRDefault="00322DF3" w:rsidP="00322DF3">
            <w:pPr>
              <w:jc w:val="center"/>
            </w:pPr>
            <w:r w:rsidRPr="003759CD">
              <w:t>97.5%</w:t>
            </w:r>
          </w:p>
        </w:tc>
      </w:tr>
      <w:tr w:rsidR="00322DF3" w:rsidRPr="00C34F31" w14:paraId="379BB1FA" w14:textId="77777777" w:rsidTr="00285BAB">
        <w:trPr>
          <w:trHeight w:val="432"/>
          <w:jc w:val="center"/>
        </w:trPr>
        <w:tc>
          <w:tcPr>
            <w:tcW w:w="6423" w:type="dxa"/>
            <w:gridSpan w:val="2"/>
            <w:shd w:val="clear" w:color="auto" w:fill="auto"/>
          </w:tcPr>
          <w:p w14:paraId="7787666D" w14:textId="679A44CA" w:rsidR="00322DF3" w:rsidRPr="00733E21" w:rsidRDefault="00322DF3" w:rsidP="00322DF3">
            <w:pPr>
              <w:spacing w:before="0" w:line="240" w:lineRule="auto"/>
              <w:ind w:left="240"/>
            </w:pPr>
            <w:r w:rsidRPr="00733E21">
              <w:t>Received Support Services</w:t>
            </w:r>
          </w:p>
        </w:tc>
        <w:tc>
          <w:tcPr>
            <w:tcW w:w="1812" w:type="dxa"/>
            <w:tcBorders>
              <w:top w:val="single" w:sz="4" w:space="0" w:color="auto"/>
              <w:left w:val="nil"/>
              <w:bottom w:val="single" w:sz="8" w:space="0" w:color="auto"/>
              <w:right w:val="single" w:sz="4" w:space="0" w:color="auto"/>
            </w:tcBorders>
            <w:shd w:val="clear" w:color="auto" w:fill="auto"/>
          </w:tcPr>
          <w:p w14:paraId="774998A0" w14:textId="5644F2D9" w:rsidR="00322DF3" w:rsidRPr="00733E21" w:rsidRDefault="00322DF3" w:rsidP="00322DF3">
            <w:pPr>
              <w:jc w:val="center"/>
            </w:pPr>
            <w:r w:rsidRPr="006D3539">
              <w:t>90</w:t>
            </w:r>
          </w:p>
        </w:tc>
        <w:tc>
          <w:tcPr>
            <w:tcW w:w="1835" w:type="dxa"/>
            <w:tcBorders>
              <w:top w:val="single" w:sz="4" w:space="0" w:color="auto"/>
              <w:left w:val="nil"/>
              <w:bottom w:val="single" w:sz="8" w:space="0" w:color="auto"/>
              <w:right w:val="single" w:sz="8" w:space="0" w:color="auto"/>
            </w:tcBorders>
            <w:shd w:val="clear" w:color="auto" w:fill="auto"/>
          </w:tcPr>
          <w:p w14:paraId="20715A23" w14:textId="3F11246A" w:rsidR="00322DF3" w:rsidRPr="00733E21" w:rsidRDefault="00322DF3" w:rsidP="00322DF3">
            <w:pPr>
              <w:jc w:val="center"/>
            </w:pPr>
            <w:r w:rsidRPr="003759CD">
              <w:t>55.2%</w:t>
            </w:r>
          </w:p>
        </w:tc>
      </w:tr>
      <w:tr w:rsidR="009C032A" w:rsidRPr="00FD2BFB" w14:paraId="76266175" w14:textId="77777777" w:rsidTr="009C032A">
        <w:trPr>
          <w:trHeight w:val="432"/>
          <w:jc w:val="center"/>
        </w:trPr>
        <w:tc>
          <w:tcPr>
            <w:tcW w:w="6423" w:type="dxa"/>
            <w:gridSpan w:val="2"/>
            <w:shd w:val="clear" w:color="auto" w:fill="DDDDDA" w:themeFill="background2"/>
            <w:vAlign w:val="center"/>
          </w:tcPr>
          <w:p w14:paraId="384AD600" w14:textId="6FE0D8FB" w:rsidR="009C032A" w:rsidRPr="00733E21" w:rsidRDefault="009C032A" w:rsidP="009C032A">
            <w:pPr>
              <w:jc w:val="center"/>
            </w:pPr>
            <w:r w:rsidRPr="00733E21">
              <w:rPr>
                <w:rFonts w:ascii="Calibri-Bold" w:hAnsi="Calibri-Bold" w:cs="Calibri-Bold"/>
                <w:b/>
                <w:bCs/>
                <w:sz w:val="28"/>
                <w:szCs w:val="28"/>
                <w:lang w:bidi="ar-SA"/>
              </w:rPr>
              <w:t>Performance and Outcome Data</w:t>
            </w:r>
          </w:p>
        </w:tc>
        <w:tc>
          <w:tcPr>
            <w:tcW w:w="1812" w:type="dxa"/>
            <w:shd w:val="clear" w:color="auto" w:fill="DDDDDA" w:themeFill="background2"/>
            <w:vAlign w:val="center"/>
          </w:tcPr>
          <w:p w14:paraId="2A008E66" w14:textId="4C6410ED" w:rsidR="009C032A" w:rsidRPr="00733E21" w:rsidRDefault="009C032A" w:rsidP="009C032A">
            <w:pPr>
              <w:jc w:val="center"/>
              <w:rPr>
                <w:b/>
                <w:bCs/>
              </w:rPr>
            </w:pPr>
            <w:r w:rsidRPr="00733E21">
              <w:rPr>
                <w:b/>
                <w:bCs/>
              </w:rPr>
              <w:t>Total</w:t>
            </w:r>
          </w:p>
        </w:tc>
        <w:tc>
          <w:tcPr>
            <w:tcW w:w="1835" w:type="dxa"/>
            <w:shd w:val="clear" w:color="auto" w:fill="DDDDDA" w:themeFill="background2"/>
            <w:vAlign w:val="center"/>
          </w:tcPr>
          <w:p w14:paraId="7263B512" w14:textId="35EA2253" w:rsidR="009C032A" w:rsidRPr="00733E21" w:rsidRDefault="009C032A" w:rsidP="009C032A">
            <w:pPr>
              <w:jc w:val="center"/>
              <w:rPr>
                <w:b/>
                <w:bCs/>
              </w:rPr>
            </w:pPr>
            <w:r w:rsidRPr="00733E21">
              <w:rPr>
                <w:b/>
                <w:bCs/>
              </w:rPr>
              <w:t>Percentage</w:t>
            </w:r>
          </w:p>
        </w:tc>
      </w:tr>
      <w:tr w:rsidR="00322DF3" w:rsidRPr="00C34F31" w14:paraId="09B595E9" w14:textId="77777777" w:rsidTr="00285BAB">
        <w:trPr>
          <w:trHeight w:val="432"/>
          <w:jc w:val="center"/>
        </w:trPr>
        <w:tc>
          <w:tcPr>
            <w:tcW w:w="6423" w:type="dxa"/>
            <w:gridSpan w:val="2"/>
            <w:shd w:val="clear" w:color="auto" w:fill="auto"/>
          </w:tcPr>
          <w:p w14:paraId="66D5880F" w14:textId="4A747514" w:rsidR="00322DF3" w:rsidRPr="00733E21" w:rsidRDefault="00322DF3" w:rsidP="00322DF3">
            <w:pPr>
              <w:spacing w:before="0" w:line="240" w:lineRule="auto"/>
              <w:ind w:left="240"/>
            </w:pPr>
            <w:r w:rsidRPr="00733E21">
              <w:t>Work Readiness - Attained Work Readiness skills</w:t>
            </w:r>
          </w:p>
        </w:tc>
        <w:tc>
          <w:tcPr>
            <w:tcW w:w="1812" w:type="dxa"/>
            <w:tcBorders>
              <w:top w:val="single" w:sz="4" w:space="0" w:color="auto"/>
              <w:left w:val="nil"/>
              <w:bottom w:val="single" w:sz="8" w:space="0" w:color="auto"/>
              <w:right w:val="single" w:sz="4" w:space="0" w:color="auto"/>
            </w:tcBorders>
            <w:shd w:val="clear" w:color="auto" w:fill="auto"/>
          </w:tcPr>
          <w:p w14:paraId="3896323A" w14:textId="72DD9C98" w:rsidR="00322DF3" w:rsidRPr="00733E21" w:rsidRDefault="00322DF3" w:rsidP="00322DF3">
            <w:pPr>
              <w:jc w:val="center"/>
            </w:pPr>
            <w:r w:rsidRPr="00B13608">
              <w:t>159</w:t>
            </w:r>
          </w:p>
        </w:tc>
        <w:tc>
          <w:tcPr>
            <w:tcW w:w="1835" w:type="dxa"/>
            <w:tcBorders>
              <w:top w:val="single" w:sz="4" w:space="0" w:color="auto"/>
              <w:left w:val="nil"/>
              <w:bottom w:val="single" w:sz="8" w:space="0" w:color="auto"/>
              <w:right w:val="single" w:sz="8" w:space="0" w:color="auto"/>
            </w:tcBorders>
            <w:shd w:val="clear" w:color="auto" w:fill="auto"/>
          </w:tcPr>
          <w:p w14:paraId="28D18A5B" w14:textId="2AFCF57C" w:rsidR="00322DF3" w:rsidRPr="00733E21" w:rsidRDefault="00322DF3" w:rsidP="00322DF3">
            <w:pPr>
              <w:jc w:val="center"/>
            </w:pPr>
            <w:r w:rsidRPr="00A44212">
              <w:t>97.5%</w:t>
            </w:r>
          </w:p>
        </w:tc>
      </w:tr>
      <w:tr w:rsidR="00322DF3" w:rsidRPr="00C34F31" w14:paraId="1EA96DC3" w14:textId="77777777" w:rsidTr="00285BAB">
        <w:trPr>
          <w:trHeight w:val="432"/>
          <w:jc w:val="center"/>
        </w:trPr>
        <w:tc>
          <w:tcPr>
            <w:tcW w:w="6423" w:type="dxa"/>
            <w:gridSpan w:val="2"/>
            <w:shd w:val="clear" w:color="auto" w:fill="auto"/>
          </w:tcPr>
          <w:p w14:paraId="1644BEC0" w14:textId="70BC4E30" w:rsidR="00322DF3" w:rsidRPr="00733E21" w:rsidRDefault="00322DF3" w:rsidP="00322DF3">
            <w:pPr>
              <w:spacing w:before="0" w:line="240" w:lineRule="auto"/>
              <w:ind w:left="240"/>
            </w:pPr>
            <w:r w:rsidRPr="00733E21">
              <w:t>Work Readiness - Attained Education Goals</w:t>
            </w:r>
          </w:p>
        </w:tc>
        <w:tc>
          <w:tcPr>
            <w:tcW w:w="1812" w:type="dxa"/>
            <w:tcBorders>
              <w:top w:val="single" w:sz="4" w:space="0" w:color="auto"/>
              <w:left w:val="nil"/>
              <w:bottom w:val="single" w:sz="8" w:space="0" w:color="auto"/>
              <w:right w:val="single" w:sz="4" w:space="0" w:color="auto"/>
            </w:tcBorders>
            <w:shd w:val="clear" w:color="auto" w:fill="auto"/>
          </w:tcPr>
          <w:p w14:paraId="3FFAA6FC" w14:textId="7564B854" w:rsidR="00322DF3" w:rsidRPr="00733E21" w:rsidRDefault="00322DF3" w:rsidP="00322DF3">
            <w:pPr>
              <w:jc w:val="center"/>
            </w:pPr>
            <w:r w:rsidRPr="00B13608">
              <w:t>105</w:t>
            </w:r>
          </w:p>
        </w:tc>
        <w:tc>
          <w:tcPr>
            <w:tcW w:w="1835" w:type="dxa"/>
            <w:tcBorders>
              <w:top w:val="single" w:sz="4" w:space="0" w:color="auto"/>
              <w:left w:val="nil"/>
              <w:bottom w:val="single" w:sz="8" w:space="0" w:color="auto"/>
              <w:right w:val="single" w:sz="8" w:space="0" w:color="auto"/>
            </w:tcBorders>
            <w:shd w:val="clear" w:color="auto" w:fill="auto"/>
          </w:tcPr>
          <w:p w14:paraId="66567A94" w14:textId="68B0D412" w:rsidR="00322DF3" w:rsidRPr="00733E21" w:rsidRDefault="00322DF3" w:rsidP="00322DF3">
            <w:pPr>
              <w:jc w:val="center"/>
            </w:pPr>
            <w:r w:rsidRPr="00A44212">
              <w:t>64.4%</w:t>
            </w:r>
          </w:p>
        </w:tc>
      </w:tr>
      <w:tr w:rsidR="00322DF3" w:rsidRPr="00C34F31" w14:paraId="536E5A2C" w14:textId="77777777" w:rsidTr="00285BAB">
        <w:trPr>
          <w:trHeight w:val="432"/>
          <w:jc w:val="center"/>
        </w:trPr>
        <w:tc>
          <w:tcPr>
            <w:tcW w:w="6423" w:type="dxa"/>
            <w:gridSpan w:val="2"/>
            <w:shd w:val="clear" w:color="auto" w:fill="auto"/>
          </w:tcPr>
          <w:p w14:paraId="64E49E31" w14:textId="0310840C" w:rsidR="00322DF3" w:rsidRPr="00733E21" w:rsidRDefault="00322DF3" w:rsidP="00322DF3">
            <w:pPr>
              <w:spacing w:before="0" w:line="240" w:lineRule="auto"/>
              <w:ind w:left="240"/>
            </w:pPr>
            <w:r w:rsidRPr="00733E21">
              <w:t>Placement - Entered Post-Secondary Education, Vocational/Occupational Skills Training, Apprenticeship, or Military</w:t>
            </w:r>
          </w:p>
        </w:tc>
        <w:tc>
          <w:tcPr>
            <w:tcW w:w="1812" w:type="dxa"/>
            <w:tcBorders>
              <w:top w:val="single" w:sz="4" w:space="0" w:color="auto"/>
              <w:left w:val="nil"/>
              <w:bottom w:val="single" w:sz="8" w:space="0" w:color="auto"/>
              <w:right w:val="single" w:sz="4" w:space="0" w:color="auto"/>
            </w:tcBorders>
            <w:shd w:val="clear" w:color="auto" w:fill="auto"/>
          </w:tcPr>
          <w:p w14:paraId="22C7FF66" w14:textId="0D85131D" w:rsidR="00322DF3" w:rsidRPr="00733E21" w:rsidRDefault="00322DF3" w:rsidP="00322DF3">
            <w:pPr>
              <w:jc w:val="center"/>
            </w:pPr>
            <w:r w:rsidRPr="00B13608">
              <w:t>57</w:t>
            </w:r>
          </w:p>
        </w:tc>
        <w:tc>
          <w:tcPr>
            <w:tcW w:w="1835" w:type="dxa"/>
            <w:tcBorders>
              <w:top w:val="single" w:sz="4" w:space="0" w:color="auto"/>
              <w:left w:val="nil"/>
              <w:bottom w:val="single" w:sz="8" w:space="0" w:color="auto"/>
              <w:right w:val="single" w:sz="8" w:space="0" w:color="auto"/>
            </w:tcBorders>
            <w:shd w:val="clear" w:color="auto" w:fill="auto"/>
          </w:tcPr>
          <w:p w14:paraId="31959B2A" w14:textId="2DA3BFB7" w:rsidR="00322DF3" w:rsidRPr="00733E21" w:rsidRDefault="00322DF3" w:rsidP="00322DF3">
            <w:pPr>
              <w:jc w:val="center"/>
            </w:pPr>
            <w:r w:rsidRPr="00A44212">
              <w:t>35.0%</w:t>
            </w:r>
          </w:p>
        </w:tc>
      </w:tr>
      <w:tr w:rsidR="00322DF3" w:rsidRPr="00C34F31" w14:paraId="297FA1EF" w14:textId="77777777" w:rsidTr="00285BAB">
        <w:trPr>
          <w:trHeight w:val="432"/>
          <w:jc w:val="center"/>
        </w:trPr>
        <w:tc>
          <w:tcPr>
            <w:tcW w:w="6423" w:type="dxa"/>
            <w:gridSpan w:val="2"/>
            <w:shd w:val="clear" w:color="auto" w:fill="auto"/>
          </w:tcPr>
          <w:p w14:paraId="4B862180" w14:textId="2BA67689" w:rsidR="00322DF3" w:rsidRPr="00733E21" w:rsidRDefault="00322DF3" w:rsidP="00322DF3">
            <w:pPr>
              <w:spacing w:before="0" w:line="240" w:lineRule="auto"/>
              <w:ind w:left="240"/>
            </w:pPr>
            <w:r w:rsidRPr="00733E21">
              <w:t>Placement - Entered employment</w:t>
            </w:r>
          </w:p>
        </w:tc>
        <w:tc>
          <w:tcPr>
            <w:tcW w:w="1812" w:type="dxa"/>
            <w:tcBorders>
              <w:top w:val="single" w:sz="4" w:space="0" w:color="auto"/>
              <w:left w:val="nil"/>
              <w:bottom w:val="single" w:sz="8" w:space="0" w:color="auto"/>
              <w:right w:val="single" w:sz="4" w:space="0" w:color="auto"/>
            </w:tcBorders>
            <w:shd w:val="clear" w:color="auto" w:fill="auto"/>
          </w:tcPr>
          <w:p w14:paraId="52D5B7E3" w14:textId="7F8CC2A6" w:rsidR="00322DF3" w:rsidRPr="00733E21" w:rsidRDefault="00322DF3" w:rsidP="00322DF3">
            <w:pPr>
              <w:jc w:val="center"/>
            </w:pPr>
            <w:r w:rsidRPr="00B13608">
              <w:t>111</w:t>
            </w:r>
          </w:p>
        </w:tc>
        <w:tc>
          <w:tcPr>
            <w:tcW w:w="1835" w:type="dxa"/>
            <w:tcBorders>
              <w:top w:val="single" w:sz="4" w:space="0" w:color="auto"/>
              <w:left w:val="nil"/>
              <w:bottom w:val="single" w:sz="8" w:space="0" w:color="auto"/>
              <w:right w:val="single" w:sz="8" w:space="0" w:color="auto"/>
            </w:tcBorders>
            <w:shd w:val="clear" w:color="auto" w:fill="auto"/>
          </w:tcPr>
          <w:p w14:paraId="73C00B55" w14:textId="2E537938" w:rsidR="00322DF3" w:rsidRPr="00733E21" w:rsidRDefault="00322DF3" w:rsidP="00322DF3">
            <w:pPr>
              <w:jc w:val="center"/>
            </w:pPr>
            <w:r w:rsidRPr="00A44212">
              <w:t>68.1%</w:t>
            </w:r>
          </w:p>
        </w:tc>
      </w:tr>
      <w:tr w:rsidR="00322DF3" w:rsidRPr="00C34F31" w14:paraId="4F6ECD07" w14:textId="77777777" w:rsidTr="00285BAB">
        <w:trPr>
          <w:trHeight w:val="432"/>
          <w:jc w:val="center"/>
        </w:trPr>
        <w:tc>
          <w:tcPr>
            <w:tcW w:w="6423" w:type="dxa"/>
            <w:gridSpan w:val="2"/>
            <w:shd w:val="clear" w:color="auto" w:fill="auto"/>
          </w:tcPr>
          <w:p w14:paraId="20741096" w14:textId="2C1E25C3" w:rsidR="00322DF3" w:rsidRPr="00733E21" w:rsidRDefault="00322DF3" w:rsidP="00322DF3">
            <w:pPr>
              <w:spacing w:before="0" w:line="240" w:lineRule="auto"/>
              <w:ind w:left="240"/>
            </w:pPr>
            <w:r w:rsidRPr="00733E21">
              <w:t>Credential – Earned occupational certificates/licenses, industry recognized credentials</w:t>
            </w:r>
          </w:p>
        </w:tc>
        <w:tc>
          <w:tcPr>
            <w:tcW w:w="1812" w:type="dxa"/>
            <w:tcBorders>
              <w:top w:val="single" w:sz="4" w:space="0" w:color="auto"/>
              <w:left w:val="nil"/>
              <w:bottom w:val="single" w:sz="8" w:space="0" w:color="auto"/>
              <w:right w:val="single" w:sz="4" w:space="0" w:color="auto"/>
            </w:tcBorders>
            <w:shd w:val="clear" w:color="auto" w:fill="auto"/>
          </w:tcPr>
          <w:p w14:paraId="4DCF366B" w14:textId="65E3DEC4" w:rsidR="00322DF3" w:rsidRPr="00733E21" w:rsidRDefault="00322DF3" w:rsidP="00322DF3">
            <w:pPr>
              <w:jc w:val="center"/>
            </w:pPr>
            <w:r w:rsidRPr="00B13608">
              <w:t>69</w:t>
            </w:r>
          </w:p>
        </w:tc>
        <w:tc>
          <w:tcPr>
            <w:tcW w:w="1835" w:type="dxa"/>
            <w:tcBorders>
              <w:top w:val="single" w:sz="4" w:space="0" w:color="auto"/>
              <w:left w:val="nil"/>
              <w:bottom w:val="single" w:sz="8" w:space="0" w:color="auto"/>
              <w:right w:val="single" w:sz="8" w:space="0" w:color="auto"/>
            </w:tcBorders>
            <w:shd w:val="clear" w:color="auto" w:fill="auto"/>
          </w:tcPr>
          <w:p w14:paraId="1FAD1E44" w14:textId="5FBBE54C" w:rsidR="00322DF3" w:rsidRPr="00733E21" w:rsidRDefault="00322DF3" w:rsidP="00322DF3">
            <w:pPr>
              <w:jc w:val="center"/>
            </w:pPr>
            <w:r w:rsidRPr="00A44212">
              <w:t>42.3%</w:t>
            </w:r>
          </w:p>
        </w:tc>
      </w:tr>
      <w:tr w:rsidR="00322DF3" w:rsidRPr="00C34F31" w14:paraId="3A890634" w14:textId="77777777" w:rsidTr="00285BAB">
        <w:trPr>
          <w:trHeight w:val="432"/>
          <w:jc w:val="center"/>
        </w:trPr>
        <w:tc>
          <w:tcPr>
            <w:tcW w:w="6423" w:type="dxa"/>
            <w:gridSpan w:val="2"/>
            <w:shd w:val="clear" w:color="auto" w:fill="auto"/>
          </w:tcPr>
          <w:p w14:paraId="68BC5377" w14:textId="1B9B78F7" w:rsidR="00322DF3" w:rsidRPr="00733E21" w:rsidRDefault="00322DF3" w:rsidP="00322DF3">
            <w:pPr>
              <w:spacing w:before="0" w:line="240" w:lineRule="auto"/>
              <w:ind w:left="240"/>
            </w:pPr>
            <w:r w:rsidRPr="00733E21">
              <w:t>Credential - Earn Post-secondary degree/diploma</w:t>
            </w:r>
          </w:p>
        </w:tc>
        <w:tc>
          <w:tcPr>
            <w:tcW w:w="1812" w:type="dxa"/>
            <w:tcBorders>
              <w:top w:val="single" w:sz="4" w:space="0" w:color="auto"/>
              <w:left w:val="nil"/>
              <w:bottom w:val="single" w:sz="8" w:space="0" w:color="auto"/>
              <w:right w:val="single" w:sz="4" w:space="0" w:color="auto"/>
            </w:tcBorders>
            <w:shd w:val="clear" w:color="auto" w:fill="auto"/>
          </w:tcPr>
          <w:p w14:paraId="1A4E9CF7" w14:textId="1FBAE058" w:rsidR="00322DF3" w:rsidRPr="00733E21" w:rsidRDefault="00322DF3" w:rsidP="00322DF3">
            <w:pPr>
              <w:jc w:val="center"/>
            </w:pPr>
            <w:r w:rsidRPr="00B13608">
              <w:t>13</w:t>
            </w:r>
          </w:p>
        </w:tc>
        <w:tc>
          <w:tcPr>
            <w:tcW w:w="1835" w:type="dxa"/>
            <w:tcBorders>
              <w:top w:val="single" w:sz="4" w:space="0" w:color="auto"/>
              <w:left w:val="nil"/>
              <w:bottom w:val="single" w:sz="8" w:space="0" w:color="auto"/>
              <w:right w:val="single" w:sz="8" w:space="0" w:color="auto"/>
            </w:tcBorders>
            <w:shd w:val="clear" w:color="auto" w:fill="auto"/>
          </w:tcPr>
          <w:p w14:paraId="1BDAF8D7" w14:textId="4B2A3116" w:rsidR="00322DF3" w:rsidRPr="00733E21" w:rsidRDefault="00322DF3" w:rsidP="00322DF3">
            <w:pPr>
              <w:jc w:val="center"/>
            </w:pPr>
            <w:r w:rsidRPr="00A44212">
              <w:t>8.0%</w:t>
            </w:r>
          </w:p>
        </w:tc>
      </w:tr>
      <w:tr w:rsidR="009C032A" w:rsidRPr="00FD2BFB" w14:paraId="32760E4C" w14:textId="77777777" w:rsidTr="009C032A">
        <w:trPr>
          <w:trHeight w:val="432"/>
          <w:jc w:val="center"/>
        </w:trPr>
        <w:tc>
          <w:tcPr>
            <w:tcW w:w="6423" w:type="dxa"/>
            <w:gridSpan w:val="2"/>
            <w:shd w:val="clear" w:color="auto" w:fill="DDDDDA" w:themeFill="background2"/>
            <w:vAlign w:val="center"/>
          </w:tcPr>
          <w:p w14:paraId="349B7B4E" w14:textId="1A5136B0" w:rsidR="009C032A" w:rsidRPr="00733E21" w:rsidRDefault="009C032A" w:rsidP="009C032A">
            <w:pPr>
              <w:jc w:val="center"/>
            </w:pPr>
            <w:r w:rsidRPr="00733E21">
              <w:rPr>
                <w:rFonts w:ascii="Calibri-Bold" w:hAnsi="Calibri-Bold" w:cs="Calibri-Bold"/>
                <w:b/>
                <w:bCs/>
                <w:sz w:val="28"/>
                <w:szCs w:val="28"/>
                <w:lang w:bidi="ar-SA"/>
              </w:rPr>
              <w:t>Participant Satisfaction Data</w:t>
            </w:r>
          </w:p>
        </w:tc>
        <w:tc>
          <w:tcPr>
            <w:tcW w:w="1812" w:type="dxa"/>
            <w:shd w:val="clear" w:color="auto" w:fill="DDDDDA" w:themeFill="background2"/>
            <w:vAlign w:val="center"/>
          </w:tcPr>
          <w:p w14:paraId="4BD633A1" w14:textId="4635F899" w:rsidR="009C032A" w:rsidRPr="00733E21" w:rsidRDefault="009C032A" w:rsidP="009C032A">
            <w:pPr>
              <w:jc w:val="center"/>
              <w:rPr>
                <w:b/>
                <w:bCs/>
              </w:rPr>
            </w:pPr>
            <w:r w:rsidRPr="00733E21">
              <w:rPr>
                <w:b/>
                <w:bCs/>
              </w:rPr>
              <w:t>Total</w:t>
            </w:r>
          </w:p>
        </w:tc>
        <w:tc>
          <w:tcPr>
            <w:tcW w:w="1835" w:type="dxa"/>
            <w:shd w:val="clear" w:color="auto" w:fill="DDDDDA" w:themeFill="background2"/>
            <w:vAlign w:val="center"/>
          </w:tcPr>
          <w:p w14:paraId="73878E96" w14:textId="78297801" w:rsidR="009C032A" w:rsidRPr="00733E21" w:rsidRDefault="009C032A" w:rsidP="009C032A">
            <w:pPr>
              <w:jc w:val="center"/>
              <w:rPr>
                <w:b/>
                <w:bCs/>
              </w:rPr>
            </w:pPr>
            <w:r w:rsidRPr="00733E21">
              <w:rPr>
                <w:b/>
                <w:bCs/>
              </w:rPr>
              <w:t xml:space="preserve">Percentage </w:t>
            </w:r>
            <w:r w:rsidRPr="00733E21">
              <w:rPr>
                <w:b/>
                <w:bCs/>
              </w:rPr>
              <w:br/>
              <w:t>(of responses)</w:t>
            </w:r>
          </w:p>
        </w:tc>
      </w:tr>
      <w:tr w:rsidR="00322DF3" w:rsidRPr="00C34F31" w14:paraId="5204E4BF" w14:textId="77777777" w:rsidTr="00B450CF">
        <w:trPr>
          <w:trHeight w:val="432"/>
          <w:jc w:val="center"/>
        </w:trPr>
        <w:tc>
          <w:tcPr>
            <w:tcW w:w="6423" w:type="dxa"/>
            <w:gridSpan w:val="2"/>
            <w:shd w:val="clear" w:color="auto" w:fill="auto"/>
            <w:vAlign w:val="center"/>
          </w:tcPr>
          <w:p w14:paraId="6CB95D3D" w14:textId="77777777" w:rsidR="00322DF3" w:rsidRPr="00733E21" w:rsidRDefault="00322DF3" w:rsidP="00322DF3">
            <w:pPr>
              <w:spacing w:before="0" w:line="240" w:lineRule="auto"/>
              <w:ind w:left="240"/>
            </w:pPr>
            <w:r w:rsidRPr="00733E21">
              <w:t>Number of participants rating experience as “Excellent”</w:t>
            </w:r>
          </w:p>
        </w:tc>
        <w:tc>
          <w:tcPr>
            <w:tcW w:w="1812" w:type="dxa"/>
            <w:tcBorders>
              <w:top w:val="single" w:sz="4" w:space="0" w:color="auto"/>
              <w:left w:val="nil"/>
              <w:bottom w:val="single" w:sz="8" w:space="0" w:color="auto"/>
              <w:right w:val="single" w:sz="4" w:space="0" w:color="auto"/>
            </w:tcBorders>
            <w:shd w:val="clear" w:color="000000" w:fill="FFFFFF"/>
          </w:tcPr>
          <w:p w14:paraId="33201E55" w14:textId="7E6917F3" w:rsidR="00322DF3" w:rsidRPr="00733E21" w:rsidRDefault="00322DF3" w:rsidP="00322DF3">
            <w:pPr>
              <w:jc w:val="center"/>
            </w:pPr>
            <w:r w:rsidRPr="00E04517">
              <w:t>47</w:t>
            </w:r>
          </w:p>
        </w:tc>
        <w:tc>
          <w:tcPr>
            <w:tcW w:w="1835" w:type="dxa"/>
            <w:tcBorders>
              <w:top w:val="single" w:sz="4" w:space="0" w:color="auto"/>
              <w:left w:val="nil"/>
              <w:bottom w:val="single" w:sz="8" w:space="0" w:color="auto"/>
              <w:right w:val="single" w:sz="8" w:space="0" w:color="auto"/>
            </w:tcBorders>
            <w:shd w:val="clear" w:color="000000" w:fill="FFFFFF"/>
          </w:tcPr>
          <w:p w14:paraId="1E3AD4DD" w14:textId="314CF76C" w:rsidR="00322DF3" w:rsidRPr="00733E21" w:rsidRDefault="00322DF3" w:rsidP="00322DF3">
            <w:pPr>
              <w:jc w:val="center"/>
            </w:pPr>
            <w:r w:rsidRPr="00315E57">
              <w:t>37.9%</w:t>
            </w:r>
          </w:p>
        </w:tc>
      </w:tr>
      <w:tr w:rsidR="00322DF3" w:rsidRPr="00C34F31" w14:paraId="1E9D68F7" w14:textId="77777777" w:rsidTr="00B450CF">
        <w:trPr>
          <w:trHeight w:val="432"/>
          <w:jc w:val="center"/>
        </w:trPr>
        <w:tc>
          <w:tcPr>
            <w:tcW w:w="6423" w:type="dxa"/>
            <w:gridSpan w:val="2"/>
            <w:shd w:val="clear" w:color="auto" w:fill="auto"/>
            <w:vAlign w:val="center"/>
          </w:tcPr>
          <w:p w14:paraId="20C851A6" w14:textId="77777777" w:rsidR="00322DF3" w:rsidRPr="00733E21" w:rsidRDefault="00322DF3" w:rsidP="00322DF3">
            <w:pPr>
              <w:spacing w:before="0" w:line="240" w:lineRule="auto"/>
              <w:ind w:left="240"/>
            </w:pPr>
            <w:r w:rsidRPr="00733E21">
              <w:t>Number of participants rating experience as “Very Good”</w:t>
            </w:r>
          </w:p>
        </w:tc>
        <w:tc>
          <w:tcPr>
            <w:tcW w:w="1812" w:type="dxa"/>
            <w:tcBorders>
              <w:top w:val="single" w:sz="4" w:space="0" w:color="auto"/>
              <w:left w:val="nil"/>
              <w:bottom w:val="single" w:sz="8" w:space="0" w:color="auto"/>
              <w:right w:val="single" w:sz="4" w:space="0" w:color="auto"/>
            </w:tcBorders>
            <w:shd w:val="clear" w:color="000000" w:fill="FFFFFF"/>
          </w:tcPr>
          <w:p w14:paraId="77D6E166" w14:textId="51978E11" w:rsidR="00322DF3" w:rsidRPr="00733E21" w:rsidRDefault="00322DF3" w:rsidP="00322DF3">
            <w:pPr>
              <w:jc w:val="center"/>
            </w:pPr>
            <w:r w:rsidRPr="00E04517">
              <w:t>55</w:t>
            </w:r>
          </w:p>
        </w:tc>
        <w:tc>
          <w:tcPr>
            <w:tcW w:w="1835" w:type="dxa"/>
            <w:tcBorders>
              <w:top w:val="single" w:sz="4" w:space="0" w:color="auto"/>
              <w:left w:val="nil"/>
              <w:bottom w:val="single" w:sz="8" w:space="0" w:color="auto"/>
              <w:right w:val="single" w:sz="8" w:space="0" w:color="auto"/>
            </w:tcBorders>
            <w:shd w:val="clear" w:color="000000" w:fill="FFFFFF"/>
          </w:tcPr>
          <w:p w14:paraId="3FF1141D" w14:textId="144DA37E" w:rsidR="00322DF3" w:rsidRPr="00733E21" w:rsidRDefault="00322DF3" w:rsidP="00322DF3">
            <w:pPr>
              <w:tabs>
                <w:tab w:val="left" w:pos="225"/>
                <w:tab w:val="center" w:pos="809"/>
              </w:tabs>
              <w:jc w:val="center"/>
            </w:pPr>
            <w:r w:rsidRPr="00315E57">
              <w:t>44.4%</w:t>
            </w:r>
          </w:p>
        </w:tc>
      </w:tr>
      <w:tr w:rsidR="00322DF3" w:rsidRPr="00C34F31" w14:paraId="367F772E" w14:textId="77777777" w:rsidTr="00B450CF">
        <w:trPr>
          <w:trHeight w:val="432"/>
          <w:jc w:val="center"/>
        </w:trPr>
        <w:tc>
          <w:tcPr>
            <w:tcW w:w="6423" w:type="dxa"/>
            <w:gridSpan w:val="2"/>
            <w:shd w:val="clear" w:color="auto" w:fill="auto"/>
            <w:vAlign w:val="center"/>
          </w:tcPr>
          <w:p w14:paraId="17D089B3" w14:textId="77777777" w:rsidR="00322DF3" w:rsidRPr="00733E21" w:rsidRDefault="00322DF3" w:rsidP="00322DF3">
            <w:pPr>
              <w:spacing w:before="0" w:line="240" w:lineRule="auto"/>
              <w:ind w:left="240"/>
            </w:pPr>
            <w:r w:rsidRPr="00733E21">
              <w:t>Number of participants rating experience as “Average”</w:t>
            </w:r>
          </w:p>
        </w:tc>
        <w:tc>
          <w:tcPr>
            <w:tcW w:w="1812" w:type="dxa"/>
            <w:tcBorders>
              <w:top w:val="single" w:sz="4" w:space="0" w:color="auto"/>
              <w:left w:val="nil"/>
              <w:bottom w:val="single" w:sz="8" w:space="0" w:color="auto"/>
              <w:right w:val="single" w:sz="4" w:space="0" w:color="auto"/>
            </w:tcBorders>
            <w:shd w:val="clear" w:color="000000" w:fill="FFFFFF"/>
          </w:tcPr>
          <w:p w14:paraId="3FB0FEA0" w14:textId="20C8BE2B" w:rsidR="00322DF3" w:rsidRPr="00733E21" w:rsidRDefault="00322DF3" w:rsidP="00322DF3">
            <w:pPr>
              <w:jc w:val="center"/>
            </w:pPr>
            <w:r w:rsidRPr="00E04517">
              <w:t>16</w:t>
            </w:r>
          </w:p>
        </w:tc>
        <w:tc>
          <w:tcPr>
            <w:tcW w:w="1835" w:type="dxa"/>
            <w:tcBorders>
              <w:top w:val="single" w:sz="4" w:space="0" w:color="auto"/>
              <w:left w:val="nil"/>
              <w:bottom w:val="single" w:sz="8" w:space="0" w:color="auto"/>
              <w:right w:val="single" w:sz="8" w:space="0" w:color="auto"/>
            </w:tcBorders>
            <w:shd w:val="clear" w:color="000000" w:fill="FFFFFF"/>
          </w:tcPr>
          <w:p w14:paraId="363F53D2" w14:textId="05610045" w:rsidR="00322DF3" w:rsidRPr="00733E21" w:rsidRDefault="00322DF3" w:rsidP="00322DF3">
            <w:pPr>
              <w:jc w:val="center"/>
            </w:pPr>
            <w:r w:rsidRPr="00315E57">
              <w:t>12.9%</w:t>
            </w:r>
          </w:p>
        </w:tc>
      </w:tr>
      <w:tr w:rsidR="00322DF3" w:rsidRPr="00C34F31" w14:paraId="09BF3BFA" w14:textId="77777777" w:rsidTr="00B450CF">
        <w:trPr>
          <w:trHeight w:val="432"/>
          <w:jc w:val="center"/>
        </w:trPr>
        <w:tc>
          <w:tcPr>
            <w:tcW w:w="6423" w:type="dxa"/>
            <w:gridSpan w:val="2"/>
            <w:shd w:val="clear" w:color="auto" w:fill="auto"/>
            <w:vAlign w:val="center"/>
          </w:tcPr>
          <w:p w14:paraId="530BFC06" w14:textId="77777777" w:rsidR="00322DF3" w:rsidRPr="00733E21" w:rsidRDefault="00322DF3" w:rsidP="00322DF3">
            <w:pPr>
              <w:spacing w:before="0" w:line="240" w:lineRule="auto"/>
              <w:ind w:left="240"/>
            </w:pPr>
            <w:r w:rsidRPr="00733E21">
              <w:lastRenderedPageBreak/>
              <w:t>Number of participants rating experience as “Below Average”</w:t>
            </w:r>
          </w:p>
        </w:tc>
        <w:tc>
          <w:tcPr>
            <w:tcW w:w="1812" w:type="dxa"/>
            <w:tcBorders>
              <w:top w:val="single" w:sz="4" w:space="0" w:color="auto"/>
              <w:left w:val="nil"/>
              <w:bottom w:val="single" w:sz="8" w:space="0" w:color="auto"/>
              <w:right w:val="single" w:sz="4" w:space="0" w:color="auto"/>
            </w:tcBorders>
            <w:shd w:val="clear" w:color="000000" w:fill="FFFFFF"/>
          </w:tcPr>
          <w:p w14:paraId="1B962A9B" w14:textId="7DDEBECF" w:rsidR="00322DF3" w:rsidRPr="00733E21" w:rsidRDefault="00322DF3" w:rsidP="00322DF3">
            <w:pPr>
              <w:jc w:val="center"/>
            </w:pPr>
            <w:r w:rsidRPr="00E04517">
              <w:t>4</w:t>
            </w:r>
          </w:p>
        </w:tc>
        <w:tc>
          <w:tcPr>
            <w:tcW w:w="1835" w:type="dxa"/>
            <w:tcBorders>
              <w:top w:val="single" w:sz="4" w:space="0" w:color="auto"/>
              <w:left w:val="nil"/>
              <w:bottom w:val="single" w:sz="8" w:space="0" w:color="auto"/>
              <w:right w:val="single" w:sz="8" w:space="0" w:color="auto"/>
            </w:tcBorders>
            <w:shd w:val="clear" w:color="000000" w:fill="FFFFFF"/>
          </w:tcPr>
          <w:p w14:paraId="0DD043A1" w14:textId="34D78BA6" w:rsidR="00322DF3" w:rsidRPr="00733E21" w:rsidRDefault="00322DF3" w:rsidP="00322DF3">
            <w:pPr>
              <w:jc w:val="center"/>
            </w:pPr>
            <w:r w:rsidRPr="00315E57">
              <w:t>3.2%</w:t>
            </w:r>
          </w:p>
        </w:tc>
      </w:tr>
      <w:tr w:rsidR="00322DF3" w:rsidRPr="00C34F31" w14:paraId="4ABA2874" w14:textId="77777777" w:rsidTr="00B450CF">
        <w:trPr>
          <w:trHeight w:val="432"/>
          <w:jc w:val="center"/>
        </w:trPr>
        <w:tc>
          <w:tcPr>
            <w:tcW w:w="6423" w:type="dxa"/>
            <w:gridSpan w:val="2"/>
            <w:shd w:val="clear" w:color="auto" w:fill="auto"/>
            <w:vAlign w:val="center"/>
          </w:tcPr>
          <w:p w14:paraId="086C9A0D" w14:textId="77777777" w:rsidR="00322DF3" w:rsidRPr="00733E21" w:rsidRDefault="00322DF3" w:rsidP="00322DF3">
            <w:pPr>
              <w:spacing w:before="0" w:line="240" w:lineRule="auto"/>
              <w:ind w:left="240"/>
            </w:pPr>
            <w:r w:rsidRPr="00733E21">
              <w:t>Number of participants rating experience as “Poor”</w:t>
            </w:r>
          </w:p>
        </w:tc>
        <w:tc>
          <w:tcPr>
            <w:tcW w:w="1812" w:type="dxa"/>
            <w:tcBorders>
              <w:top w:val="single" w:sz="4" w:space="0" w:color="auto"/>
              <w:left w:val="nil"/>
              <w:bottom w:val="single" w:sz="8" w:space="0" w:color="auto"/>
              <w:right w:val="single" w:sz="4" w:space="0" w:color="auto"/>
            </w:tcBorders>
            <w:shd w:val="clear" w:color="000000" w:fill="FFFFFF"/>
          </w:tcPr>
          <w:p w14:paraId="2C8AB2F0" w14:textId="0A85A5A8" w:rsidR="00322DF3" w:rsidRPr="00733E21" w:rsidRDefault="00322DF3" w:rsidP="00322DF3">
            <w:pPr>
              <w:jc w:val="center"/>
            </w:pPr>
            <w:r w:rsidRPr="00E04517">
              <w:t>2</w:t>
            </w:r>
          </w:p>
        </w:tc>
        <w:tc>
          <w:tcPr>
            <w:tcW w:w="1835" w:type="dxa"/>
            <w:tcBorders>
              <w:top w:val="single" w:sz="4" w:space="0" w:color="auto"/>
              <w:left w:val="nil"/>
              <w:bottom w:val="single" w:sz="8" w:space="0" w:color="auto"/>
              <w:right w:val="single" w:sz="8" w:space="0" w:color="auto"/>
            </w:tcBorders>
            <w:shd w:val="clear" w:color="000000" w:fill="FFFFFF"/>
          </w:tcPr>
          <w:p w14:paraId="495E88FD" w14:textId="626F7271" w:rsidR="00322DF3" w:rsidRPr="00733E21" w:rsidRDefault="00322DF3" w:rsidP="00322DF3">
            <w:pPr>
              <w:jc w:val="center"/>
            </w:pPr>
            <w:r w:rsidRPr="00315E57">
              <w:t>1.6%</w:t>
            </w:r>
          </w:p>
        </w:tc>
      </w:tr>
      <w:tr w:rsidR="00322DF3" w:rsidRPr="00C34F31" w14:paraId="3C204D6E" w14:textId="77777777" w:rsidTr="00B450CF">
        <w:trPr>
          <w:trHeight w:val="432"/>
          <w:jc w:val="center"/>
        </w:trPr>
        <w:tc>
          <w:tcPr>
            <w:tcW w:w="6423" w:type="dxa"/>
            <w:gridSpan w:val="2"/>
            <w:shd w:val="clear" w:color="auto" w:fill="auto"/>
            <w:vAlign w:val="center"/>
          </w:tcPr>
          <w:p w14:paraId="62AEBC1C" w14:textId="34A2B46F" w:rsidR="00322DF3" w:rsidRPr="00733E21" w:rsidRDefault="00322DF3" w:rsidP="00322DF3">
            <w:pPr>
              <w:spacing w:before="0" w:line="240" w:lineRule="auto"/>
              <w:ind w:left="240"/>
            </w:pPr>
            <w:r w:rsidRPr="00733E21">
              <w:t>Total Number of Surveys Completed</w:t>
            </w:r>
          </w:p>
        </w:tc>
        <w:tc>
          <w:tcPr>
            <w:tcW w:w="1812" w:type="dxa"/>
            <w:tcBorders>
              <w:top w:val="single" w:sz="4" w:space="0" w:color="auto"/>
              <w:left w:val="nil"/>
              <w:bottom w:val="single" w:sz="4" w:space="0" w:color="auto"/>
              <w:right w:val="single" w:sz="4" w:space="0" w:color="auto"/>
            </w:tcBorders>
            <w:shd w:val="clear" w:color="000000" w:fill="FFFFFF"/>
          </w:tcPr>
          <w:p w14:paraId="64342ED6" w14:textId="1DA073E5" w:rsidR="00322DF3" w:rsidRPr="00733E21" w:rsidRDefault="00322DF3" w:rsidP="00322DF3">
            <w:pPr>
              <w:jc w:val="center"/>
            </w:pPr>
            <w:r w:rsidRPr="00E04517">
              <w:t>124</w:t>
            </w:r>
          </w:p>
        </w:tc>
        <w:tc>
          <w:tcPr>
            <w:tcW w:w="1835" w:type="dxa"/>
            <w:tcBorders>
              <w:top w:val="single" w:sz="4" w:space="0" w:color="auto"/>
              <w:left w:val="nil"/>
              <w:bottom w:val="single" w:sz="4" w:space="0" w:color="auto"/>
              <w:right w:val="single" w:sz="8" w:space="0" w:color="auto"/>
            </w:tcBorders>
            <w:shd w:val="clear" w:color="000000" w:fill="FFFFFF"/>
          </w:tcPr>
          <w:p w14:paraId="6473736F" w14:textId="0434EEA3" w:rsidR="00322DF3" w:rsidRPr="00733E21" w:rsidRDefault="00322DF3" w:rsidP="00322DF3">
            <w:pPr>
              <w:jc w:val="center"/>
            </w:pPr>
            <w:r w:rsidRPr="00315E57">
              <w:t>100.0%</w:t>
            </w:r>
          </w:p>
        </w:tc>
      </w:tr>
    </w:tbl>
    <w:p w14:paraId="2AF0920F" w14:textId="3AB540B3" w:rsidR="0094111C" w:rsidRDefault="006D1134" w:rsidP="006D1134">
      <w:pPr>
        <w:autoSpaceDE w:val="0"/>
        <w:autoSpaceDN w:val="0"/>
        <w:adjustRightInd w:val="0"/>
        <w:spacing w:before="0" w:line="240" w:lineRule="auto"/>
        <w:rPr>
          <w:rFonts w:cs="Calibri"/>
          <w:lang w:bidi="ar-SA"/>
        </w:rPr>
      </w:pPr>
      <w:bookmarkStart w:id="8" w:name="_Hlk55200724"/>
      <w:r>
        <w:rPr>
          <w:rFonts w:cs="Calibri"/>
          <w:lang w:bidi="ar-SA"/>
        </w:rPr>
        <w:t xml:space="preserve"> </w:t>
      </w:r>
    </w:p>
    <w:p w14:paraId="567FF45C" w14:textId="1A369960" w:rsidR="003356EB" w:rsidRDefault="003356EB" w:rsidP="006D1134">
      <w:pPr>
        <w:autoSpaceDE w:val="0"/>
        <w:autoSpaceDN w:val="0"/>
        <w:adjustRightInd w:val="0"/>
        <w:spacing w:before="0" w:line="240" w:lineRule="auto"/>
        <w:rPr>
          <w:rFonts w:cs="Calibri"/>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5"/>
        <w:gridCol w:w="2300"/>
      </w:tblGrid>
      <w:tr w:rsidR="009B3FA5" w:rsidRPr="00733E21" w14:paraId="4DCAE5DB" w14:textId="77777777" w:rsidTr="004C2361">
        <w:trPr>
          <w:trHeight w:val="432"/>
          <w:jc w:val="center"/>
        </w:trPr>
        <w:tc>
          <w:tcPr>
            <w:tcW w:w="8235" w:type="dxa"/>
            <w:gridSpan w:val="2"/>
            <w:shd w:val="clear" w:color="auto" w:fill="DDDDDA" w:themeFill="background2"/>
            <w:vAlign w:val="center"/>
          </w:tcPr>
          <w:p w14:paraId="7D59059F" w14:textId="6BE8D0E2" w:rsidR="009B3FA5" w:rsidRPr="00733E21" w:rsidRDefault="009B3FA5" w:rsidP="003A0148">
            <w:pPr>
              <w:jc w:val="center"/>
              <w:rPr>
                <w:b/>
                <w:bCs/>
              </w:rPr>
            </w:pPr>
            <w:r w:rsidRPr="003356EB">
              <w:rPr>
                <w:rFonts w:ascii="Calibri-Bold" w:hAnsi="Calibri-Bold" w:cs="Calibri-Bold"/>
                <w:b/>
                <w:bCs/>
                <w:sz w:val="28"/>
                <w:szCs w:val="28"/>
                <w:lang w:bidi="ar-SA"/>
              </w:rPr>
              <w:t>Employer and Wage Data for Participants that Entered Employment</w:t>
            </w:r>
          </w:p>
        </w:tc>
      </w:tr>
      <w:tr w:rsidR="009B3FA5" w:rsidRPr="00733E21" w14:paraId="2A2BCF66" w14:textId="77777777" w:rsidTr="00C23909">
        <w:trPr>
          <w:trHeight w:val="647"/>
          <w:jc w:val="center"/>
        </w:trPr>
        <w:tc>
          <w:tcPr>
            <w:tcW w:w="5935" w:type="dxa"/>
            <w:shd w:val="clear" w:color="auto" w:fill="auto"/>
            <w:vAlign w:val="center"/>
          </w:tcPr>
          <w:p w14:paraId="2ADAEB5D" w14:textId="77777777" w:rsidR="009B3FA5" w:rsidRDefault="009B3FA5" w:rsidP="003356EB">
            <w:pPr>
              <w:spacing w:before="0" w:line="240" w:lineRule="auto"/>
            </w:pPr>
            <w:r>
              <w:t>Average Starting Wage</w:t>
            </w:r>
          </w:p>
          <w:p w14:paraId="17834185" w14:textId="05274C36" w:rsidR="009B3FA5" w:rsidRPr="00733E21" w:rsidRDefault="009B3FA5" w:rsidP="009B3FA5">
            <w:pPr>
              <w:spacing w:before="0" w:line="240" w:lineRule="auto"/>
              <w:ind w:left="720"/>
            </w:pPr>
            <w:r>
              <w:t>Range: $12.00 - $25.00</w:t>
            </w:r>
          </w:p>
        </w:tc>
        <w:tc>
          <w:tcPr>
            <w:tcW w:w="2300" w:type="dxa"/>
            <w:tcBorders>
              <w:top w:val="single" w:sz="4" w:space="0" w:color="auto"/>
              <w:left w:val="nil"/>
              <w:bottom w:val="single" w:sz="4" w:space="0" w:color="auto"/>
              <w:right w:val="single" w:sz="4" w:space="0" w:color="auto"/>
            </w:tcBorders>
            <w:shd w:val="clear" w:color="auto" w:fill="auto"/>
            <w:vAlign w:val="center"/>
          </w:tcPr>
          <w:p w14:paraId="2175367A" w14:textId="22B6B519" w:rsidR="009B3FA5" w:rsidRPr="00733E21" w:rsidRDefault="009B3FA5" w:rsidP="003A0148">
            <w:pPr>
              <w:jc w:val="center"/>
            </w:pPr>
            <w:r>
              <w:t>$16.</w:t>
            </w:r>
            <w:r w:rsidR="00A81E2C">
              <w:t>57</w:t>
            </w:r>
          </w:p>
        </w:tc>
      </w:tr>
      <w:tr w:rsidR="00F452DB" w:rsidRPr="00733E21" w14:paraId="2506B08F" w14:textId="77777777" w:rsidTr="00C23909">
        <w:trPr>
          <w:trHeight w:val="350"/>
          <w:jc w:val="center"/>
        </w:trPr>
        <w:tc>
          <w:tcPr>
            <w:tcW w:w="5935" w:type="dxa"/>
            <w:shd w:val="clear" w:color="auto" w:fill="auto"/>
            <w:vAlign w:val="center"/>
          </w:tcPr>
          <w:p w14:paraId="3DCB05FD" w14:textId="276E703C" w:rsidR="00F452DB" w:rsidRDefault="00F452DB" w:rsidP="003356EB">
            <w:pPr>
              <w:spacing w:before="0" w:line="240" w:lineRule="auto"/>
            </w:pPr>
            <w:r>
              <w:t>Total Number of Reported Employers</w:t>
            </w:r>
          </w:p>
        </w:tc>
        <w:tc>
          <w:tcPr>
            <w:tcW w:w="2300" w:type="dxa"/>
            <w:tcBorders>
              <w:top w:val="single" w:sz="4" w:space="0" w:color="auto"/>
              <w:left w:val="nil"/>
              <w:bottom w:val="single" w:sz="4" w:space="0" w:color="auto"/>
              <w:right w:val="single" w:sz="4" w:space="0" w:color="auto"/>
            </w:tcBorders>
            <w:shd w:val="clear" w:color="auto" w:fill="auto"/>
            <w:vAlign w:val="center"/>
          </w:tcPr>
          <w:p w14:paraId="30B1834B" w14:textId="3E5E8A25" w:rsidR="00F452DB" w:rsidRDefault="004B6FC0" w:rsidP="003A0148">
            <w:pPr>
              <w:jc w:val="center"/>
            </w:pPr>
            <w:r>
              <w:t>5</w:t>
            </w:r>
            <w:r w:rsidR="00A81E2C">
              <w:t>7</w:t>
            </w:r>
          </w:p>
        </w:tc>
      </w:tr>
      <w:tr w:rsidR="00F452DB" w:rsidRPr="00733E21" w14:paraId="110E4235" w14:textId="77777777" w:rsidTr="00066202">
        <w:trPr>
          <w:trHeight w:val="440"/>
          <w:jc w:val="center"/>
        </w:trPr>
        <w:tc>
          <w:tcPr>
            <w:tcW w:w="5935" w:type="dxa"/>
            <w:shd w:val="clear" w:color="auto" w:fill="D9D9D9" w:themeFill="background1" w:themeFillShade="D9"/>
            <w:vAlign w:val="center"/>
          </w:tcPr>
          <w:p w14:paraId="2E68A661" w14:textId="338E50EB" w:rsidR="00F452DB" w:rsidRPr="00F452DB" w:rsidRDefault="00F452DB" w:rsidP="00066202">
            <w:pPr>
              <w:spacing w:before="0" w:line="240" w:lineRule="auto"/>
              <w:jc w:val="center"/>
              <w:rPr>
                <w:b/>
                <w:bCs/>
              </w:rPr>
            </w:pPr>
            <w:r w:rsidRPr="00F452DB">
              <w:rPr>
                <w:b/>
                <w:bCs/>
              </w:rPr>
              <w:t>Top</w:t>
            </w:r>
            <w:r>
              <w:rPr>
                <w:b/>
                <w:bCs/>
              </w:rPr>
              <w:t xml:space="preserve"> 5</w:t>
            </w:r>
            <w:r w:rsidRPr="00F452DB">
              <w:rPr>
                <w:b/>
                <w:bCs/>
              </w:rPr>
              <w:t xml:space="preserve"> Employers</w:t>
            </w:r>
            <w:r w:rsidR="008E0064">
              <w:rPr>
                <w:b/>
                <w:bCs/>
              </w:rPr>
              <w:t xml:space="preserve"> </w:t>
            </w:r>
            <w:r w:rsidR="008E0064" w:rsidRPr="008E0064">
              <w:t xml:space="preserve">(Complete List </w:t>
            </w:r>
            <w:r w:rsidR="008E0064">
              <w:t xml:space="preserve">see </w:t>
            </w:r>
            <w:r w:rsidR="008E0064" w:rsidRPr="008E0064">
              <w:t>Appendix A)</w:t>
            </w:r>
          </w:p>
        </w:tc>
        <w:tc>
          <w:tcPr>
            <w:tcW w:w="2300" w:type="dxa"/>
            <w:tcBorders>
              <w:top w:val="single" w:sz="4" w:space="0" w:color="auto"/>
              <w:left w:val="nil"/>
              <w:bottom w:val="single" w:sz="4" w:space="0" w:color="auto"/>
              <w:right w:val="single" w:sz="4" w:space="0" w:color="auto"/>
            </w:tcBorders>
            <w:shd w:val="clear" w:color="auto" w:fill="D9D9D9" w:themeFill="background1" w:themeFillShade="D9"/>
          </w:tcPr>
          <w:p w14:paraId="7FC3AE9A" w14:textId="2A5E8384" w:rsidR="00F452DB" w:rsidRPr="00F452DB" w:rsidRDefault="00F452DB" w:rsidP="00066202">
            <w:pPr>
              <w:jc w:val="center"/>
              <w:rPr>
                <w:b/>
                <w:bCs/>
              </w:rPr>
            </w:pPr>
            <w:r w:rsidRPr="00F452DB">
              <w:rPr>
                <w:b/>
                <w:bCs/>
              </w:rPr>
              <w:t>Participants Employed</w:t>
            </w:r>
          </w:p>
        </w:tc>
      </w:tr>
      <w:tr w:rsidR="00F452DB" w:rsidRPr="00733E21" w14:paraId="17E78E8E" w14:textId="77777777" w:rsidTr="00F452DB">
        <w:trPr>
          <w:trHeight w:val="332"/>
          <w:jc w:val="center"/>
        </w:trPr>
        <w:tc>
          <w:tcPr>
            <w:tcW w:w="5935" w:type="dxa"/>
            <w:shd w:val="clear" w:color="auto" w:fill="auto"/>
            <w:vAlign w:val="center"/>
          </w:tcPr>
          <w:p w14:paraId="64B45575" w14:textId="5939D084" w:rsidR="00F452DB" w:rsidRDefault="00F452DB" w:rsidP="00066202">
            <w:pPr>
              <w:spacing w:before="0" w:line="240" w:lineRule="auto"/>
              <w:jc w:val="center"/>
            </w:pPr>
            <w:r w:rsidRPr="00F452DB">
              <w:t>Medtronic</w:t>
            </w:r>
          </w:p>
        </w:tc>
        <w:tc>
          <w:tcPr>
            <w:tcW w:w="2300" w:type="dxa"/>
            <w:tcBorders>
              <w:top w:val="single" w:sz="4" w:space="0" w:color="auto"/>
              <w:left w:val="nil"/>
              <w:bottom w:val="single" w:sz="4" w:space="0" w:color="auto"/>
              <w:right w:val="single" w:sz="4" w:space="0" w:color="auto"/>
            </w:tcBorders>
            <w:shd w:val="clear" w:color="auto" w:fill="auto"/>
          </w:tcPr>
          <w:p w14:paraId="753F492F" w14:textId="3AF42983" w:rsidR="00F452DB" w:rsidRDefault="00F452DB" w:rsidP="003A0148">
            <w:pPr>
              <w:jc w:val="center"/>
            </w:pPr>
            <w:r>
              <w:t>12</w:t>
            </w:r>
          </w:p>
        </w:tc>
      </w:tr>
      <w:tr w:rsidR="00F452DB" w:rsidRPr="00733E21" w14:paraId="6C2DB580" w14:textId="77777777" w:rsidTr="00F452DB">
        <w:trPr>
          <w:trHeight w:val="332"/>
          <w:jc w:val="center"/>
        </w:trPr>
        <w:tc>
          <w:tcPr>
            <w:tcW w:w="5935" w:type="dxa"/>
            <w:shd w:val="clear" w:color="auto" w:fill="auto"/>
            <w:vAlign w:val="center"/>
          </w:tcPr>
          <w:p w14:paraId="1948B07B" w14:textId="71AFF212" w:rsidR="00F452DB" w:rsidRPr="00F452DB" w:rsidRDefault="00F452DB" w:rsidP="00066202">
            <w:pPr>
              <w:spacing w:before="0" w:line="240" w:lineRule="auto"/>
              <w:jc w:val="center"/>
            </w:pPr>
            <w:r w:rsidRPr="00F452DB">
              <w:t>Nice Guys Corporation</w:t>
            </w:r>
          </w:p>
        </w:tc>
        <w:tc>
          <w:tcPr>
            <w:tcW w:w="2300" w:type="dxa"/>
            <w:tcBorders>
              <w:top w:val="single" w:sz="4" w:space="0" w:color="auto"/>
              <w:left w:val="nil"/>
              <w:bottom w:val="single" w:sz="8" w:space="0" w:color="auto"/>
              <w:right w:val="single" w:sz="4" w:space="0" w:color="auto"/>
            </w:tcBorders>
            <w:shd w:val="clear" w:color="auto" w:fill="auto"/>
          </w:tcPr>
          <w:p w14:paraId="14A72B1D" w14:textId="2CEAE586" w:rsidR="00F452DB" w:rsidRDefault="00F452DB" w:rsidP="003A0148">
            <w:pPr>
              <w:jc w:val="center"/>
            </w:pPr>
            <w:r>
              <w:t>9</w:t>
            </w:r>
          </w:p>
        </w:tc>
      </w:tr>
      <w:tr w:rsidR="00F452DB" w:rsidRPr="00733E21" w14:paraId="38F90423" w14:textId="77777777" w:rsidTr="00F452DB">
        <w:trPr>
          <w:trHeight w:val="332"/>
          <w:jc w:val="center"/>
        </w:trPr>
        <w:tc>
          <w:tcPr>
            <w:tcW w:w="5935" w:type="dxa"/>
            <w:shd w:val="clear" w:color="auto" w:fill="auto"/>
            <w:vAlign w:val="center"/>
          </w:tcPr>
          <w:p w14:paraId="36EE6128" w14:textId="6B4105B4" w:rsidR="00F452DB" w:rsidRPr="00F452DB" w:rsidRDefault="00F452DB" w:rsidP="00066202">
            <w:pPr>
              <w:spacing w:before="0" w:line="240" w:lineRule="auto"/>
              <w:jc w:val="center"/>
            </w:pPr>
            <w:r w:rsidRPr="00F452DB">
              <w:t>BB Home Health</w:t>
            </w:r>
          </w:p>
        </w:tc>
        <w:tc>
          <w:tcPr>
            <w:tcW w:w="2300" w:type="dxa"/>
            <w:tcBorders>
              <w:top w:val="single" w:sz="4" w:space="0" w:color="auto"/>
              <w:left w:val="nil"/>
              <w:bottom w:val="single" w:sz="8" w:space="0" w:color="auto"/>
              <w:right w:val="single" w:sz="4" w:space="0" w:color="auto"/>
            </w:tcBorders>
            <w:shd w:val="clear" w:color="auto" w:fill="auto"/>
          </w:tcPr>
          <w:p w14:paraId="7212093B" w14:textId="3884BA8F" w:rsidR="00F452DB" w:rsidRDefault="00F452DB" w:rsidP="003A0148">
            <w:pPr>
              <w:jc w:val="center"/>
            </w:pPr>
            <w:r>
              <w:t>5</w:t>
            </w:r>
          </w:p>
        </w:tc>
      </w:tr>
      <w:tr w:rsidR="00F452DB" w:rsidRPr="00733E21" w14:paraId="347D33CB" w14:textId="77777777" w:rsidTr="00F452DB">
        <w:trPr>
          <w:trHeight w:val="332"/>
          <w:jc w:val="center"/>
        </w:trPr>
        <w:tc>
          <w:tcPr>
            <w:tcW w:w="5935" w:type="dxa"/>
            <w:shd w:val="clear" w:color="auto" w:fill="auto"/>
            <w:vAlign w:val="center"/>
          </w:tcPr>
          <w:p w14:paraId="3B2DF9D1" w14:textId="3B324BA7" w:rsidR="00F452DB" w:rsidRPr="00F452DB" w:rsidRDefault="00F452DB" w:rsidP="00066202">
            <w:pPr>
              <w:spacing w:before="0" w:line="240" w:lineRule="auto"/>
              <w:jc w:val="center"/>
            </w:pPr>
            <w:r w:rsidRPr="00F452DB">
              <w:t>Target</w:t>
            </w:r>
          </w:p>
        </w:tc>
        <w:tc>
          <w:tcPr>
            <w:tcW w:w="2300" w:type="dxa"/>
            <w:tcBorders>
              <w:top w:val="single" w:sz="4" w:space="0" w:color="auto"/>
              <w:left w:val="nil"/>
              <w:bottom w:val="single" w:sz="8" w:space="0" w:color="auto"/>
              <w:right w:val="single" w:sz="4" w:space="0" w:color="auto"/>
            </w:tcBorders>
            <w:shd w:val="clear" w:color="auto" w:fill="auto"/>
          </w:tcPr>
          <w:p w14:paraId="6DD58C88" w14:textId="138D1BB0" w:rsidR="00F452DB" w:rsidRDefault="00F452DB" w:rsidP="00F452DB">
            <w:pPr>
              <w:jc w:val="center"/>
            </w:pPr>
            <w:r>
              <w:t>4</w:t>
            </w:r>
          </w:p>
        </w:tc>
      </w:tr>
      <w:tr w:rsidR="00F452DB" w:rsidRPr="00733E21" w14:paraId="70553FD6" w14:textId="77777777" w:rsidTr="00F452DB">
        <w:trPr>
          <w:trHeight w:val="332"/>
          <w:jc w:val="center"/>
        </w:trPr>
        <w:tc>
          <w:tcPr>
            <w:tcW w:w="5935" w:type="dxa"/>
            <w:shd w:val="clear" w:color="auto" w:fill="auto"/>
            <w:vAlign w:val="center"/>
          </w:tcPr>
          <w:p w14:paraId="0EE6FCAC" w14:textId="76CF4F11" w:rsidR="00F452DB" w:rsidRPr="00F452DB" w:rsidRDefault="00F452DB" w:rsidP="00066202">
            <w:pPr>
              <w:spacing w:before="0" w:line="240" w:lineRule="auto"/>
              <w:jc w:val="center"/>
            </w:pPr>
            <w:r w:rsidRPr="00F452DB">
              <w:t>Amazon</w:t>
            </w:r>
          </w:p>
        </w:tc>
        <w:tc>
          <w:tcPr>
            <w:tcW w:w="2300" w:type="dxa"/>
            <w:tcBorders>
              <w:top w:val="single" w:sz="4" w:space="0" w:color="auto"/>
              <w:left w:val="nil"/>
              <w:bottom w:val="single" w:sz="8" w:space="0" w:color="auto"/>
              <w:right w:val="single" w:sz="4" w:space="0" w:color="auto"/>
            </w:tcBorders>
            <w:shd w:val="clear" w:color="auto" w:fill="auto"/>
          </w:tcPr>
          <w:p w14:paraId="4E78189E" w14:textId="0A192408" w:rsidR="00F452DB" w:rsidRDefault="00F452DB" w:rsidP="00F452DB">
            <w:pPr>
              <w:jc w:val="center"/>
            </w:pPr>
            <w:r>
              <w:t>3</w:t>
            </w:r>
          </w:p>
        </w:tc>
      </w:tr>
    </w:tbl>
    <w:p w14:paraId="4ED1B345" w14:textId="3E5EA041" w:rsidR="00890C9F" w:rsidRPr="00CD2693" w:rsidRDefault="00890C9F" w:rsidP="00890C9F">
      <w:pPr>
        <w:pStyle w:val="Heading2"/>
      </w:pPr>
      <w:bookmarkStart w:id="9" w:name="_Toc103152347"/>
      <w:r w:rsidRPr="00CD2693">
        <w:t>Expenditures</w:t>
      </w:r>
      <w:bookmarkEnd w:id="9"/>
      <w:bookmarkEnd w:id="6"/>
    </w:p>
    <w:p w14:paraId="5DD74CA9" w14:textId="24940A74" w:rsidR="00890C9F" w:rsidRPr="006A475B" w:rsidRDefault="00890C9F" w:rsidP="00890C9F">
      <w:r w:rsidRPr="00CD2693">
        <w:t xml:space="preserve">Contracts for the </w:t>
      </w:r>
      <w:r w:rsidR="00B02C45" w:rsidRPr="009D7471">
        <w:t>Minnesota Economic Recovery Jobs Program</w:t>
      </w:r>
      <w:r w:rsidR="00B02C45">
        <w:t xml:space="preserve"> </w:t>
      </w:r>
      <w:r w:rsidRPr="006A475B">
        <w:t>were executed in</w:t>
      </w:r>
      <w:r w:rsidR="00B02C45">
        <w:t xml:space="preserve"> mid-February 2021</w:t>
      </w:r>
      <w:r w:rsidRPr="006A475B">
        <w:t xml:space="preserve">. </w:t>
      </w:r>
      <w:r w:rsidR="00085027">
        <w:t>Final e</w:t>
      </w:r>
      <w:r w:rsidRPr="006A475B">
        <w:t>xpenditures</w:t>
      </w:r>
      <w:r w:rsidR="00085027">
        <w:t>,</w:t>
      </w:r>
      <w:r w:rsidRPr="006A475B">
        <w:t xml:space="preserve"> reported through</w:t>
      </w:r>
      <w:r>
        <w:t xml:space="preserve"> </w:t>
      </w:r>
      <w:r w:rsidR="00085027">
        <w:t>March</w:t>
      </w:r>
      <w:r w:rsidRPr="00B140C7">
        <w:t xml:space="preserve"> 3</w:t>
      </w:r>
      <w:r w:rsidR="00970973">
        <w:t>1</w:t>
      </w:r>
      <w:r w:rsidRPr="00B140C7">
        <w:t xml:space="preserve">, </w:t>
      </w:r>
      <w:r w:rsidR="00F452DB" w:rsidRPr="00B140C7">
        <w:t>20</w:t>
      </w:r>
      <w:r w:rsidR="00F452DB">
        <w:t>22,</w:t>
      </w:r>
      <w:r w:rsidRPr="006A475B">
        <w:t xml:space="preserve"> are in </w:t>
      </w:r>
      <w:bookmarkEnd w:id="8"/>
      <w:r w:rsidRPr="006A475B">
        <w:t>the following table</w:t>
      </w:r>
      <w:r w:rsidR="00E07E20">
        <w:t xml:space="preserve">. </w:t>
      </w:r>
    </w:p>
    <w:tbl>
      <w:tblPr>
        <w:tblStyle w:val="TableGrid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FY 2018 Expenditures for Support Services Competitive Grant Program"/>
        <w:tblDescription w:val="Provides name of entity (DEED or subgrantees), allocation, expenditure level, and percent of allocation expended."/>
      </w:tblPr>
      <w:tblGrid>
        <w:gridCol w:w="2513"/>
        <w:gridCol w:w="2513"/>
        <w:gridCol w:w="2514"/>
        <w:gridCol w:w="2514"/>
      </w:tblGrid>
      <w:tr w:rsidR="00890C9F" w:rsidRPr="006A475B" w14:paraId="09025BBF" w14:textId="77777777" w:rsidTr="001E509C">
        <w:trPr>
          <w:cnfStyle w:val="100000000000" w:firstRow="1" w:lastRow="0" w:firstColumn="0" w:lastColumn="0" w:oddVBand="0" w:evenVBand="0" w:oddHBand="0" w:evenHBand="0" w:firstRowFirstColumn="0" w:firstRowLastColumn="0" w:lastRowFirstColumn="0" w:lastRowLastColumn="0"/>
          <w:cantSplit/>
          <w:trHeight w:val="755"/>
          <w:tblHeader/>
        </w:trPr>
        <w:tc>
          <w:tcPr>
            <w:tcW w:w="2513" w:type="dxa"/>
            <w:vAlign w:val="center"/>
          </w:tcPr>
          <w:p w14:paraId="27A4CD22" w14:textId="77777777" w:rsidR="00890C9F" w:rsidRPr="006A475B" w:rsidRDefault="00890C9F" w:rsidP="0094111C">
            <w:pPr>
              <w:spacing w:before="0"/>
              <w:rPr>
                <w:b w:val="0"/>
              </w:rPr>
            </w:pPr>
            <w:r w:rsidRPr="006A475B">
              <w:t>Entity</w:t>
            </w:r>
          </w:p>
        </w:tc>
        <w:tc>
          <w:tcPr>
            <w:tcW w:w="2513" w:type="dxa"/>
            <w:vAlign w:val="center"/>
          </w:tcPr>
          <w:p w14:paraId="785E4DBE" w14:textId="3B982EAD" w:rsidR="00890C9F" w:rsidRPr="006A475B" w:rsidRDefault="00890C9F" w:rsidP="0094111C">
            <w:pPr>
              <w:spacing w:before="0"/>
              <w:rPr>
                <w:b w:val="0"/>
              </w:rPr>
            </w:pPr>
            <w:r w:rsidRPr="006A475B">
              <w:t>Allocation</w:t>
            </w:r>
          </w:p>
        </w:tc>
        <w:tc>
          <w:tcPr>
            <w:tcW w:w="2514" w:type="dxa"/>
            <w:vAlign w:val="center"/>
          </w:tcPr>
          <w:p w14:paraId="5982EC5E" w14:textId="77777777" w:rsidR="00B02C45" w:rsidRDefault="00890C9F" w:rsidP="0094111C">
            <w:pPr>
              <w:spacing w:before="0"/>
              <w:rPr>
                <w:b w:val="0"/>
              </w:rPr>
            </w:pPr>
            <w:r w:rsidRPr="006A475B">
              <w:t>Expenditures</w:t>
            </w:r>
            <w:r w:rsidR="00B02C45">
              <w:t xml:space="preserve"> </w:t>
            </w:r>
          </w:p>
          <w:p w14:paraId="54D95B4C" w14:textId="2D58ED6B" w:rsidR="00890C9F" w:rsidRPr="006A475B" w:rsidRDefault="00B02C45" w:rsidP="0094111C">
            <w:pPr>
              <w:spacing w:before="0"/>
              <w:rPr>
                <w:b w:val="0"/>
              </w:rPr>
            </w:pPr>
            <w:r>
              <w:t>(</w:t>
            </w:r>
            <w:r w:rsidR="000A50D0">
              <w:t>through</w:t>
            </w:r>
            <w:r>
              <w:t xml:space="preserve"> </w:t>
            </w:r>
            <w:r w:rsidR="00085027">
              <w:t>3</w:t>
            </w:r>
            <w:r>
              <w:t>/3</w:t>
            </w:r>
            <w:r w:rsidR="00970973">
              <w:t>1</w:t>
            </w:r>
            <w:r>
              <w:t>/2</w:t>
            </w:r>
            <w:r w:rsidR="00174C10">
              <w:t>2</w:t>
            </w:r>
            <w:r>
              <w:t>)</w:t>
            </w:r>
          </w:p>
        </w:tc>
        <w:tc>
          <w:tcPr>
            <w:tcW w:w="2514" w:type="dxa"/>
            <w:vAlign w:val="center"/>
          </w:tcPr>
          <w:p w14:paraId="7141C888" w14:textId="1E1ACA5A" w:rsidR="00B02C45" w:rsidRDefault="00890C9F" w:rsidP="0094111C">
            <w:pPr>
              <w:spacing w:before="0"/>
              <w:rPr>
                <w:b w:val="0"/>
              </w:rPr>
            </w:pPr>
            <w:r w:rsidRPr="006A475B">
              <w:t>Percent Expended</w:t>
            </w:r>
            <w:r w:rsidR="00B02C45">
              <w:t xml:space="preserve"> </w:t>
            </w:r>
          </w:p>
          <w:p w14:paraId="31905464" w14:textId="4FB5EC8D" w:rsidR="00890C9F" w:rsidRPr="00C94054" w:rsidRDefault="00B02C45" w:rsidP="0094111C">
            <w:pPr>
              <w:spacing w:before="0"/>
            </w:pPr>
            <w:r>
              <w:t xml:space="preserve">(through </w:t>
            </w:r>
            <w:r w:rsidR="00085027">
              <w:t>3</w:t>
            </w:r>
            <w:r>
              <w:t>/3</w:t>
            </w:r>
            <w:r w:rsidR="00970973">
              <w:t>1</w:t>
            </w:r>
            <w:r>
              <w:t>/2</w:t>
            </w:r>
            <w:r w:rsidR="000A50D0">
              <w:t>2</w:t>
            </w:r>
            <w:r>
              <w:t>)</w:t>
            </w:r>
          </w:p>
        </w:tc>
      </w:tr>
      <w:tr w:rsidR="003F59AA" w:rsidRPr="006A475B" w14:paraId="47EF649A" w14:textId="77777777" w:rsidTr="001E509C">
        <w:trPr>
          <w:cnfStyle w:val="000000100000" w:firstRow="0" w:lastRow="0" w:firstColumn="0" w:lastColumn="0" w:oddVBand="0" w:evenVBand="0" w:oddHBand="1" w:evenHBand="0" w:firstRowFirstColumn="0" w:firstRowLastColumn="0" w:lastRowFirstColumn="0" w:lastRowLastColumn="0"/>
          <w:cantSplit/>
          <w:trHeight w:val="548"/>
        </w:trPr>
        <w:tc>
          <w:tcPr>
            <w:tcW w:w="251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B5B89B1" w14:textId="0CE1410C" w:rsidR="003F59AA" w:rsidRPr="006A475B" w:rsidRDefault="003F59AA" w:rsidP="003F59AA">
            <w:r w:rsidRPr="00C8573F">
              <w:t>HIRED</w:t>
            </w:r>
          </w:p>
        </w:tc>
        <w:tc>
          <w:tcPr>
            <w:tcW w:w="251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71BE0751" w14:textId="411AFB07" w:rsidR="003F59AA" w:rsidRPr="006A475B" w:rsidRDefault="003F59AA" w:rsidP="003F59AA">
            <w:pPr>
              <w:jc w:val="right"/>
            </w:pPr>
            <w:r>
              <w:t>$200,000.00</w:t>
            </w:r>
          </w:p>
        </w:tc>
        <w:tc>
          <w:tcPr>
            <w:tcW w:w="251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22B9B39" w14:textId="4800225C" w:rsidR="003F59AA" w:rsidRPr="00B140C7" w:rsidRDefault="003F59AA" w:rsidP="003F59AA">
            <w:pPr>
              <w:jc w:val="right"/>
            </w:pPr>
            <w:r w:rsidRPr="00237D58">
              <w:t xml:space="preserve"> $199,995.13 </w:t>
            </w:r>
          </w:p>
        </w:tc>
        <w:tc>
          <w:tcPr>
            <w:tcW w:w="251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7DEEA9A7" w14:textId="1044711B" w:rsidR="003F59AA" w:rsidRPr="00B140C7" w:rsidRDefault="003F59AA" w:rsidP="003F59AA">
            <w:pPr>
              <w:jc w:val="right"/>
            </w:pPr>
            <w:r w:rsidRPr="004F1EED">
              <w:t>100.0%</w:t>
            </w:r>
          </w:p>
        </w:tc>
      </w:tr>
      <w:tr w:rsidR="003F59AA" w:rsidRPr="006A475B" w14:paraId="32C9D664" w14:textId="77777777" w:rsidTr="001E509C">
        <w:trPr>
          <w:cnfStyle w:val="000000010000" w:firstRow="0" w:lastRow="0" w:firstColumn="0" w:lastColumn="0" w:oddVBand="0" w:evenVBand="0" w:oddHBand="0" w:evenHBand="1" w:firstRowFirstColumn="0" w:firstRowLastColumn="0" w:lastRowFirstColumn="0" w:lastRowLastColumn="0"/>
          <w:cantSplit/>
          <w:trHeight w:val="548"/>
        </w:trPr>
        <w:tc>
          <w:tcPr>
            <w:tcW w:w="2513" w:type="dxa"/>
            <w:tcBorders>
              <w:top w:val="none" w:sz="0" w:space="0" w:color="auto"/>
              <w:left w:val="none" w:sz="0" w:space="0" w:color="auto"/>
              <w:bottom w:val="none" w:sz="0" w:space="0" w:color="auto"/>
              <w:right w:val="none" w:sz="0" w:space="0" w:color="auto"/>
            </w:tcBorders>
            <w:shd w:val="clear" w:color="auto" w:fill="auto"/>
          </w:tcPr>
          <w:p w14:paraId="28EA52DD" w14:textId="434221E2" w:rsidR="003F59AA" w:rsidRDefault="003F59AA" w:rsidP="003F59AA">
            <w:r w:rsidRPr="00C8573F">
              <w:t>Tree Trust*</w:t>
            </w:r>
          </w:p>
        </w:tc>
        <w:tc>
          <w:tcPr>
            <w:tcW w:w="2513" w:type="dxa"/>
            <w:tcBorders>
              <w:top w:val="none" w:sz="0" w:space="0" w:color="auto"/>
              <w:left w:val="none" w:sz="0" w:space="0" w:color="auto"/>
              <w:bottom w:val="none" w:sz="0" w:space="0" w:color="auto"/>
              <w:right w:val="none" w:sz="0" w:space="0" w:color="auto"/>
            </w:tcBorders>
            <w:shd w:val="clear" w:color="auto" w:fill="auto"/>
          </w:tcPr>
          <w:p w14:paraId="4079B65C" w14:textId="0EB8E659" w:rsidR="003F59AA" w:rsidRDefault="003F59AA" w:rsidP="003F59AA">
            <w:pPr>
              <w:jc w:val="right"/>
            </w:pPr>
            <w:r>
              <w:t>$151,500.00</w:t>
            </w:r>
          </w:p>
        </w:tc>
        <w:tc>
          <w:tcPr>
            <w:tcW w:w="2514" w:type="dxa"/>
            <w:tcBorders>
              <w:top w:val="none" w:sz="0" w:space="0" w:color="auto"/>
              <w:left w:val="none" w:sz="0" w:space="0" w:color="auto"/>
              <w:bottom w:val="none" w:sz="0" w:space="0" w:color="auto"/>
              <w:right w:val="none" w:sz="0" w:space="0" w:color="auto"/>
            </w:tcBorders>
            <w:shd w:val="clear" w:color="auto" w:fill="auto"/>
          </w:tcPr>
          <w:p w14:paraId="1855CB9B" w14:textId="68F3D072" w:rsidR="003F59AA" w:rsidRPr="00B140C7" w:rsidRDefault="003F59AA" w:rsidP="003F59AA">
            <w:pPr>
              <w:jc w:val="right"/>
            </w:pPr>
            <w:r w:rsidRPr="00237D58">
              <w:t xml:space="preserve"> $124,768.27 </w:t>
            </w:r>
          </w:p>
        </w:tc>
        <w:tc>
          <w:tcPr>
            <w:tcW w:w="2514" w:type="dxa"/>
            <w:tcBorders>
              <w:top w:val="none" w:sz="0" w:space="0" w:color="auto"/>
              <w:left w:val="none" w:sz="0" w:space="0" w:color="auto"/>
              <w:bottom w:val="none" w:sz="0" w:space="0" w:color="auto"/>
              <w:right w:val="none" w:sz="0" w:space="0" w:color="auto"/>
            </w:tcBorders>
            <w:shd w:val="clear" w:color="auto" w:fill="auto"/>
          </w:tcPr>
          <w:p w14:paraId="2E70A72B" w14:textId="09BC322B" w:rsidR="003F59AA" w:rsidRDefault="003F59AA" w:rsidP="003F59AA">
            <w:pPr>
              <w:jc w:val="right"/>
            </w:pPr>
            <w:r w:rsidRPr="004F1EED">
              <w:t>82.4%</w:t>
            </w:r>
          </w:p>
        </w:tc>
      </w:tr>
      <w:tr w:rsidR="003F59AA" w:rsidRPr="006A475B" w14:paraId="2729E0E5" w14:textId="77777777" w:rsidTr="001E509C">
        <w:trPr>
          <w:cnfStyle w:val="000000100000" w:firstRow="0" w:lastRow="0" w:firstColumn="0" w:lastColumn="0" w:oddVBand="0" w:evenVBand="0" w:oddHBand="1" w:evenHBand="0" w:firstRowFirstColumn="0" w:firstRowLastColumn="0" w:lastRowFirstColumn="0" w:lastRowLastColumn="0"/>
          <w:cantSplit/>
          <w:trHeight w:val="548"/>
        </w:trPr>
        <w:tc>
          <w:tcPr>
            <w:tcW w:w="251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28FEC4B" w14:textId="67BCE2EE" w:rsidR="003F59AA" w:rsidRDefault="003F59AA" w:rsidP="003F59AA">
            <w:r w:rsidRPr="00C8573F">
              <w:t>African Immigrants Community Services</w:t>
            </w:r>
          </w:p>
        </w:tc>
        <w:tc>
          <w:tcPr>
            <w:tcW w:w="251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668B7AA" w14:textId="3CF2EA66" w:rsidR="003F59AA" w:rsidRDefault="003F59AA" w:rsidP="003F59AA">
            <w:pPr>
              <w:jc w:val="right"/>
            </w:pPr>
            <w:r>
              <w:t>$233,336.00</w:t>
            </w:r>
          </w:p>
        </w:tc>
        <w:tc>
          <w:tcPr>
            <w:tcW w:w="251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7A5AB3FE" w14:textId="03A75627" w:rsidR="003F59AA" w:rsidRPr="00B140C7" w:rsidRDefault="003F59AA" w:rsidP="003F59AA">
            <w:pPr>
              <w:jc w:val="right"/>
            </w:pPr>
            <w:r w:rsidRPr="00237D58">
              <w:t xml:space="preserve"> $206,814.07 </w:t>
            </w:r>
          </w:p>
        </w:tc>
        <w:tc>
          <w:tcPr>
            <w:tcW w:w="251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4B8232B" w14:textId="2C2D63E2" w:rsidR="003F59AA" w:rsidRDefault="003F59AA" w:rsidP="003F59AA">
            <w:pPr>
              <w:jc w:val="right"/>
            </w:pPr>
            <w:r w:rsidRPr="004F1EED">
              <w:t>88.6%</w:t>
            </w:r>
          </w:p>
        </w:tc>
      </w:tr>
      <w:tr w:rsidR="003F59AA" w:rsidRPr="006A475B" w14:paraId="20190C95" w14:textId="77777777" w:rsidTr="001E509C">
        <w:trPr>
          <w:cnfStyle w:val="000000010000" w:firstRow="0" w:lastRow="0" w:firstColumn="0" w:lastColumn="0" w:oddVBand="0" w:evenVBand="0" w:oddHBand="0" w:evenHBand="1" w:firstRowFirstColumn="0" w:firstRowLastColumn="0" w:lastRowFirstColumn="0" w:lastRowLastColumn="0"/>
          <w:cantSplit/>
          <w:trHeight w:val="548"/>
        </w:trPr>
        <w:tc>
          <w:tcPr>
            <w:tcW w:w="2513" w:type="dxa"/>
            <w:tcBorders>
              <w:top w:val="none" w:sz="0" w:space="0" w:color="auto"/>
              <w:left w:val="none" w:sz="0" w:space="0" w:color="auto"/>
              <w:bottom w:val="none" w:sz="0" w:space="0" w:color="auto"/>
              <w:right w:val="none" w:sz="0" w:space="0" w:color="auto"/>
            </w:tcBorders>
          </w:tcPr>
          <w:p w14:paraId="684DCE29" w14:textId="198855E9" w:rsidR="003F59AA" w:rsidRDefault="003F59AA" w:rsidP="003F59AA">
            <w:r w:rsidRPr="00C8573F">
              <w:t>Somali Community Resettlement Services</w:t>
            </w:r>
          </w:p>
        </w:tc>
        <w:tc>
          <w:tcPr>
            <w:tcW w:w="2513" w:type="dxa"/>
            <w:tcBorders>
              <w:top w:val="none" w:sz="0" w:space="0" w:color="auto"/>
              <w:left w:val="none" w:sz="0" w:space="0" w:color="auto"/>
              <w:bottom w:val="none" w:sz="0" w:space="0" w:color="auto"/>
              <w:right w:val="none" w:sz="0" w:space="0" w:color="auto"/>
            </w:tcBorders>
          </w:tcPr>
          <w:p w14:paraId="0BEAE094" w14:textId="6783D7F0" w:rsidR="003F59AA" w:rsidRDefault="003F59AA" w:rsidP="003F59AA">
            <w:pPr>
              <w:jc w:val="right"/>
            </w:pPr>
            <w:r>
              <w:t>$267,332.00</w:t>
            </w:r>
          </w:p>
        </w:tc>
        <w:tc>
          <w:tcPr>
            <w:tcW w:w="2514" w:type="dxa"/>
            <w:tcBorders>
              <w:top w:val="none" w:sz="0" w:space="0" w:color="auto"/>
              <w:left w:val="none" w:sz="0" w:space="0" w:color="auto"/>
              <w:bottom w:val="none" w:sz="0" w:space="0" w:color="auto"/>
              <w:right w:val="none" w:sz="0" w:space="0" w:color="auto"/>
            </w:tcBorders>
          </w:tcPr>
          <w:p w14:paraId="4CB63900" w14:textId="449E0E07" w:rsidR="003F59AA" w:rsidRPr="00B140C7" w:rsidRDefault="003F59AA" w:rsidP="003F59AA">
            <w:pPr>
              <w:jc w:val="right"/>
            </w:pPr>
            <w:r w:rsidRPr="00237D58">
              <w:t xml:space="preserve"> $255,268.00 </w:t>
            </w:r>
          </w:p>
        </w:tc>
        <w:tc>
          <w:tcPr>
            <w:tcW w:w="2514" w:type="dxa"/>
            <w:tcBorders>
              <w:top w:val="none" w:sz="0" w:space="0" w:color="auto"/>
              <w:left w:val="none" w:sz="0" w:space="0" w:color="auto"/>
              <w:bottom w:val="none" w:sz="0" w:space="0" w:color="auto"/>
              <w:right w:val="none" w:sz="0" w:space="0" w:color="auto"/>
            </w:tcBorders>
          </w:tcPr>
          <w:p w14:paraId="05B5876D" w14:textId="7999FEE2" w:rsidR="003F59AA" w:rsidRDefault="003F59AA" w:rsidP="003F59AA">
            <w:pPr>
              <w:jc w:val="right"/>
            </w:pPr>
            <w:r w:rsidRPr="004F1EED">
              <w:t>95.5%</w:t>
            </w:r>
          </w:p>
        </w:tc>
      </w:tr>
      <w:tr w:rsidR="003F59AA" w:rsidRPr="006A475B" w14:paraId="5D924A91" w14:textId="77777777" w:rsidTr="001E509C">
        <w:trPr>
          <w:cnfStyle w:val="000000100000" w:firstRow="0" w:lastRow="0" w:firstColumn="0" w:lastColumn="0" w:oddVBand="0" w:evenVBand="0" w:oddHBand="1" w:evenHBand="0" w:firstRowFirstColumn="0" w:firstRowLastColumn="0" w:lastRowFirstColumn="0" w:lastRowLastColumn="0"/>
          <w:cantSplit/>
          <w:trHeight w:val="548"/>
        </w:trPr>
        <w:tc>
          <w:tcPr>
            <w:tcW w:w="251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D8FC5D8" w14:textId="0CD97446" w:rsidR="003F59AA" w:rsidRPr="00C8573F" w:rsidRDefault="003F59AA" w:rsidP="003F59AA">
            <w:pPr>
              <w:rPr>
                <w:b/>
                <w:bCs/>
              </w:rPr>
            </w:pPr>
            <w:r w:rsidRPr="00C8573F">
              <w:rPr>
                <w:b/>
                <w:bCs/>
              </w:rPr>
              <w:t>Grantee Total</w:t>
            </w:r>
          </w:p>
        </w:tc>
        <w:tc>
          <w:tcPr>
            <w:tcW w:w="251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FA5AEDC" w14:textId="1F54609F" w:rsidR="003F59AA" w:rsidRPr="00C8573F" w:rsidRDefault="003F59AA" w:rsidP="003F59AA">
            <w:pPr>
              <w:jc w:val="right"/>
              <w:rPr>
                <w:b/>
                <w:bCs/>
              </w:rPr>
            </w:pPr>
            <w:r w:rsidRPr="00C8573F">
              <w:rPr>
                <w:b/>
                <w:bCs/>
              </w:rPr>
              <w:t>$852,168.00</w:t>
            </w:r>
          </w:p>
        </w:tc>
        <w:tc>
          <w:tcPr>
            <w:tcW w:w="251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231FB07" w14:textId="00CF57E2" w:rsidR="003F59AA" w:rsidRPr="003F59AA" w:rsidRDefault="003F59AA" w:rsidP="003F59AA">
            <w:pPr>
              <w:jc w:val="right"/>
              <w:rPr>
                <w:b/>
                <w:bCs/>
              </w:rPr>
            </w:pPr>
            <w:r w:rsidRPr="003F59AA">
              <w:rPr>
                <w:b/>
                <w:bCs/>
              </w:rPr>
              <w:t xml:space="preserve"> $786,845.47 </w:t>
            </w:r>
          </w:p>
        </w:tc>
        <w:tc>
          <w:tcPr>
            <w:tcW w:w="251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277EB7F" w14:textId="1AEC4865" w:rsidR="003F59AA" w:rsidRPr="003F59AA" w:rsidRDefault="003F59AA" w:rsidP="003F59AA">
            <w:pPr>
              <w:jc w:val="right"/>
              <w:rPr>
                <w:b/>
                <w:bCs/>
              </w:rPr>
            </w:pPr>
            <w:r w:rsidRPr="003F59AA">
              <w:rPr>
                <w:b/>
                <w:bCs/>
              </w:rPr>
              <w:t>92.3%</w:t>
            </w:r>
          </w:p>
        </w:tc>
      </w:tr>
    </w:tbl>
    <w:p w14:paraId="72229D4F" w14:textId="26A2069D" w:rsidR="00B02C45" w:rsidRPr="00B02C45" w:rsidRDefault="00B02C45" w:rsidP="00B02C45">
      <w:pPr>
        <w:autoSpaceDE w:val="0"/>
        <w:autoSpaceDN w:val="0"/>
        <w:adjustRightInd w:val="0"/>
        <w:spacing w:before="0" w:line="240" w:lineRule="auto"/>
        <w:rPr>
          <w:rFonts w:cs="Calibri"/>
          <w:lang w:bidi="ar-SA"/>
        </w:rPr>
      </w:pPr>
      <w:bookmarkStart w:id="10" w:name="_Toc26346379"/>
      <w:r>
        <w:rPr>
          <w:rFonts w:cs="Calibri"/>
          <w:lang w:bidi="ar-SA"/>
        </w:rPr>
        <w:t xml:space="preserve"> </w:t>
      </w:r>
      <w:r w:rsidR="00596AB6">
        <w:rPr>
          <w:rFonts w:cs="Calibri"/>
          <w:lang w:bidi="ar-SA"/>
        </w:rPr>
        <w:t>*</w:t>
      </w:r>
      <w:r w:rsidR="00596AB6" w:rsidRPr="00596AB6">
        <w:rPr>
          <w:rFonts w:cs="Calibri"/>
          <w:lang w:bidi="ar-SA"/>
        </w:rPr>
        <w:t xml:space="preserve">Tree Trust's original contract was for $249,332 but </w:t>
      </w:r>
      <w:r w:rsidR="00596AB6">
        <w:rPr>
          <w:rFonts w:cs="Calibri"/>
          <w:lang w:bidi="ar-SA"/>
        </w:rPr>
        <w:t>in September 2021 they</w:t>
      </w:r>
      <w:r w:rsidR="00596AB6" w:rsidRPr="00596AB6">
        <w:rPr>
          <w:rFonts w:cs="Calibri"/>
          <w:lang w:bidi="ar-SA"/>
        </w:rPr>
        <w:t xml:space="preserve"> de</w:t>
      </w:r>
      <w:r w:rsidR="004126CC">
        <w:rPr>
          <w:rFonts w:cs="Calibri"/>
          <w:lang w:bidi="ar-SA"/>
        </w:rPr>
        <w:t>-</w:t>
      </w:r>
      <w:r w:rsidR="00596AB6" w:rsidRPr="00596AB6">
        <w:rPr>
          <w:rFonts w:cs="Calibri"/>
          <w:lang w:bidi="ar-SA"/>
        </w:rPr>
        <w:t xml:space="preserve">obligated $97,832. </w:t>
      </w:r>
      <w:r w:rsidR="00596AB6">
        <w:rPr>
          <w:rFonts w:cs="Calibri"/>
          <w:lang w:bidi="ar-SA"/>
        </w:rPr>
        <w:t>The e</w:t>
      </w:r>
      <w:r w:rsidR="00596AB6" w:rsidRPr="00596AB6">
        <w:rPr>
          <w:rFonts w:cs="Calibri"/>
          <w:lang w:bidi="ar-SA"/>
        </w:rPr>
        <w:t>xpenditure</w:t>
      </w:r>
      <w:r w:rsidR="00596AB6">
        <w:rPr>
          <w:rFonts w:cs="Calibri"/>
          <w:lang w:bidi="ar-SA"/>
        </w:rPr>
        <w:t xml:space="preserve"> table</w:t>
      </w:r>
      <w:r w:rsidR="00596AB6" w:rsidRPr="00596AB6">
        <w:rPr>
          <w:rFonts w:cs="Calibri"/>
          <w:lang w:bidi="ar-SA"/>
        </w:rPr>
        <w:t xml:space="preserve"> reflects </w:t>
      </w:r>
      <w:r w:rsidR="00596AB6">
        <w:rPr>
          <w:rFonts w:cs="Calibri"/>
          <w:lang w:bidi="ar-SA"/>
        </w:rPr>
        <w:t xml:space="preserve">the </w:t>
      </w:r>
      <w:r w:rsidR="00596AB6" w:rsidRPr="00596AB6">
        <w:rPr>
          <w:rFonts w:cs="Calibri"/>
          <w:lang w:bidi="ar-SA"/>
        </w:rPr>
        <w:t xml:space="preserve">new </w:t>
      </w:r>
      <w:r w:rsidR="00596AB6">
        <w:rPr>
          <w:rFonts w:cs="Calibri"/>
          <w:lang w:bidi="ar-SA"/>
        </w:rPr>
        <w:t xml:space="preserve">grant </w:t>
      </w:r>
      <w:r w:rsidR="00596AB6" w:rsidRPr="00596AB6">
        <w:rPr>
          <w:rFonts w:cs="Calibri"/>
          <w:lang w:bidi="ar-SA"/>
        </w:rPr>
        <w:t>amount</w:t>
      </w:r>
      <w:r w:rsidR="00596AB6">
        <w:rPr>
          <w:rFonts w:cs="Calibri"/>
          <w:lang w:bidi="ar-SA"/>
        </w:rPr>
        <w:t xml:space="preserve"> that is under contract</w:t>
      </w:r>
      <w:r w:rsidR="00970973">
        <w:rPr>
          <w:rFonts w:cs="Calibri"/>
          <w:lang w:bidi="ar-SA"/>
        </w:rPr>
        <w:t>.</w:t>
      </w:r>
    </w:p>
    <w:p w14:paraId="0DFD0C1C" w14:textId="45D2A83D" w:rsidR="009A2CC0" w:rsidRPr="0078742B" w:rsidRDefault="00C23909" w:rsidP="009A2CC0">
      <w:pPr>
        <w:pStyle w:val="Heading2"/>
      </w:pPr>
      <w:bookmarkStart w:id="11" w:name="_Toc103152348"/>
      <w:r>
        <w:lastRenderedPageBreak/>
        <w:t xml:space="preserve">Highlights and </w:t>
      </w:r>
      <w:r w:rsidR="009A2CC0" w:rsidRPr="006A475B">
        <w:t>Success Stories</w:t>
      </w:r>
      <w:bookmarkEnd w:id="10"/>
      <w:bookmarkEnd w:id="11"/>
    </w:p>
    <w:p w14:paraId="3C80BED6" w14:textId="186FF970" w:rsidR="00C66EAA" w:rsidRDefault="00C66EAA" w:rsidP="00C66EAA">
      <w:pPr>
        <w:pStyle w:val="Heading4"/>
      </w:pPr>
      <w:r>
        <w:t>HIRED</w:t>
      </w:r>
    </w:p>
    <w:p w14:paraId="3EEBD429" w14:textId="03527C5F" w:rsidR="00C23909" w:rsidRDefault="00C23909" w:rsidP="00C23909">
      <w:pPr>
        <w:pStyle w:val="BodyText"/>
      </w:pPr>
      <w:r>
        <w:t xml:space="preserve">The Hired Training for Tomorrow team successfully implemented training classes through virtual and hybrid delivery with three participant cohorts. A total of 39 participants attended the trainings. The training elements were consistent with each class while the structure was adapted to meet the needs of each cohort. </w:t>
      </w:r>
      <w:r w:rsidRPr="009E50F9">
        <w:t>All participants in the Training for Tomorrow Program attained their NorthStar Digital Literacy Certification.</w:t>
      </w:r>
      <w:r>
        <w:t xml:space="preserve"> </w:t>
      </w:r>
      <w:r w:rsidRPr="00AC17AC">
        <w:t xml:space="preserve">Participants were supported by their employment counselor to develop their goals for employment, life skills, and education. </w:t>
      </w:r>
      <w:r>
        <w:t>C</w:t>
      </w:r>
      <w:r w:rsidRPr="00AC17AC">
        <w:t>ase manager worked one-on-one with each participant to address any barriers to their success: technology, hot spots, rent support, transportation, food support, and clothing support.</w:t>
      </w:r>
      <w:r>
        <w:t xml:space="preserve"> </w:t>
      </w:r>
      <w:r w:rsidRPr="005B4BE0">
        <w:t xml:space="preserve">Medtronic </w:t>
      </w:r>
      <w:r>
        <w:t>was</w:t>
      </w:r>
      <w:r w:rsidRPr="005B4BE0">
        <w:t xml:space="preserve"> a key partner since the onset of Training for Tomorrow</w:t>
      </w:r>
      <w:r>
        <w:t xml:space="preserve"> program</w:t>
      </w:r>
      <w:r w:rsidRPr="005B4BE0">
        <w:t>. Based on this success, Hired built relationships with additional community partners: Success Computer Consultants, Ebenezer, and Endeavor Airlines. These employers attended online sessions with Training for Tomorrow participants and offered interviews and then employment opportunities</w:t>
      </w:r>
      <w:r>
        <w:t xml:space="preserve">. </w:t>
      </w:r>
    </w:p>
    <w:p w14:paraId="2C10A6F5" w14:textId="509DB344" w:rsidR="007508AA" w:rsidRPr="00C66EAA" w:rsidRDefault="00C94D8E" w:rsidP="00C94D8E">
      <w:pPr>
        <w:pStyle w:val="BodyText"/>
      </w:pPr>
      <w:r>
        <w:t>Participant “</w:t>
      </w:r>
      <w:r w:rsidR="007508AA">
        <w:t>KL</w:t>
      </w:r>
      <w:r>
        <w:t>”</w:t>
      </w:r>
      <w:r w:rsidR="007508AA">
        <w:t xml:space="preserve"> - </w:t>
      </w:r>
      <w:r w:rsidR="007508AA" w:rsidRPr="007508AA">
        <w:t xml:space="preserve">I am so freaking excited. My family struggled with instability and extreme poverty for 7 years, we’ve faced and overcome things most people couldn’t imagine. This is the final step to us escaping those circumstances and the first step towards creating new ones. I wanted you to know exactly how important this opportunity is to me and to thank you for your part in it. You literally saved my life. Two months </w:t>
      </w:r>
      <w:r w:rsidR="00AC17B1" w:rsidRPr="007508AA">
        <w:t>ago,</w:t>
      </w:r>
      <w:r w:rsidR="007508AA" w:rsidRPr="007508AA">
        <w:t xml:space="preserve"> I was struggling with crippling depression and anxiety fighting thoughts of self-harm and was this close to giving up. After a year of struggling to survive here and all we went through in Phoenix I was just so dang tired. This program changed my life for the better. It gave me the leg up that I needed to keep going and the ability to provide for my family in a meaningful way. It’s an act of service that I will never forget. So, from me to you as a woman thank you truly for what you have done here.</w:t>
      </w:r>
    </w:p>
    <w:p w14:paraId="67A3B680" w14:textId="5A51E9DC" w:rsidR="00C66EAA" w:rsidRPr="00F93629" w:rsidRDefault="00C66EAA" w:rsidP="00C66EAA">
      <w:pPr>
        <w:pStyle w:val="Heading4"/>
      </w:pPr>
      <w:r>
        <w:t>Tree Trust</w:t>
      </w:r>
    </w:p>
    <w:p w14:paraId="3A3FDA0B" w14:textId="31226A81" w:rsidR="00A81E2C" w:rsidRDefault="00365AF8" w:rsidP="00C94D8E">
      <w:pPr>
        <w:pStyle w:val="List"/>
        <w:numPr>
          <w:ilvl w:val="0"/>
          <w:numId w:val="0"/>
        </w:numPr>
        <w:spacing w:before="200" w:after="200" w:line="271" w:lineRule="auto"/>
      </w:pPr>
      <w:r w:rsidRPr="00A81E2C">
        <w:rPr>
          <w:noProof/>
        </w:rPr>
        <w:drawing>
          <wp:anchor distT="0" distB="0" distL="114300" distR="114300" simplePos="0" relativeHeight="251658240" behindDoc="0" locked="0" layoutInCell="1" allowOverlap="1" wp14:anchorId="2A7E3875" wp14:editId="319F4FE6">
            <wp:simplePos x="0" y="0"/>
            <wp:positionH relativeFrom="margin">
              <wp:align>left</wp:align>
            </wp:positionH>
            <wp:positionV relativeFrom="paragraph">
              <wp:posOffset>13970</wp:posOffset>
            </wp:positionV>
            <wp:extent cx="1685925" cy="1905000"/>
            <wp:effectExtent l="0" t="0" r="9525" b="0"/>
            <wp:wrapThrough wrapText="bothSides">
              <wp:wrapPolygon edited="0">
                <wp:start x="0" y="0"/>
                <wp:lineTo x="0" y="21384"/>
                <wp:lineTo x="21478" y="21384"/>
                <wp:lineTo x="21478" y="0"/>
                <wp:lineTo x="0" y="0"/>
              </wp:wrapPolygon>
            </wp:wrapThrough>
            <wp:docPr id="2" name="Picture 2" descr="Participant, Minh, making progress on building the Lake Phalen d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articipant, Minh, making progress on building the Lake Phalen deck"/>
                    <pic:cNvPicPr>
                      <a:picLocks noChangeAspect="1" noChangeArrowheads="1"/>
                    </pic:cNvPicPr>
                  </pic:nvPicPr>
                  <pic:blipFill rotWithShape="1">
                    <a:blip r:embed="rId21">
                      <a:extLst>
                        <a:ext uri="{28A0092B-C50C-407E-A947-70E740481C1C}">
                          <a14:useLocalDpi xmlns:a14="http://schemas.microsoft.com/office/drawing/2010/main" val="0"/>
                        </a:ext>
                      </a:extLst>
                    </a:blip>
                    <a:srcRect b="14733"/>
                    <a:stretch/>
                  </pic:blipFill>
                  <pic:spPr bwMode="auto">
                    <a:xfrm>
                      <a:off x="0" y="0"/>
                      <a:ext cx="1685925" cy="1905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1E2C" w:rsidRPr="00A81E2C">
        <w:t xml:space="preserve">One </w:t>
      </w:r>
      <w:r w:rsidR="00215D3D">
        <w:t>highlight</w:t>
      </w:r>
      <w:r w:rsidR="00A81E2C" w:rsidRPr="00A81E2C">
        <w:t xml:space="preserve"> was in the growth and success of a Tree Trust project to rebuild a community deck at Lake Phalen in St. Paul. Having landscape construction projects such as decking at Lake Phalen maximized the program effectiveness and maintained participant satisfaction with the program, even in cold months where landscaping work was minimal.</w:t>
      </w:r>
      <w:r w:rsidR="00A81E2C">
        <w:t xml:space="preserve"> </w:t>
      </w:r>
      <w:r>
        <w:t>The photo is of B</w:t>
      </w:r>
      <w:r w:rsidR="00A81E2C" w:rsidRPr="00A81E2C">
        <w:t xml:space="preserve">ranches spring participant, Minh, making progress on the Lake Phalen deck. </w:t>
      </w:r>
      <w:r w:rsidR="00A81E2C">
        <w:t xml:space="preserve">Participating in the </w:t>
      </w:r>
      <w:r w:rsidR="00A81E2C" w:rsidRPr="00A81E2C">
        <w:t>spring cohort</w:t>
      </w:r>
      <w:r w:rsidR="00A81E2C">
        <w:t>,</w:t>
      </w:r>
      <w:r w:rsidR="00A81E2C" w:rsidRPr="00A81E2C">
        <w:t xml:space="preserve"> Minh obtained certification in First Aid/CPR, as well as OSHA-10 Construction.</w:t>
      </w:r>
    </w:p>
    <w:p w14:paraId="192BF546" w14:textId="77777777" w:rsidR="00A81E2C" w:rsidRDefault="00A81E2C" w:rsidP="00C94D8E">
      <w:pPr>
        <w:pStyle w:val="List"/>
        <w:numPr>
          <w:ilvl w:val="0"/>
          <w:numId w:val="0"/>
        </w:numPr>
        <w:spacing w:before="200" w:after="200" w:line="271" w:lineRule="auto"/>
      </w:pPr>
    </w:p>
    <w:p w14:paraId="6ACF94E4" w14:textId="77777777" w:rsidR="00A81E2C" w:rsidRDefault="00A81E2C" w:rsidP="00C94D8E">
      <w:pPr>
        <w:pStyle w:val="List"/>
        <w:numPr>
          <w:ilvl w:val="0"/>
          <w:numId w:val="0"/>
        </w:numPr>
        <w:spacing w:before="200" w:after="200" w:line="271" w:lineRule="auto"/>
      </w:pPr>
    </w:p>
    <w:p w14:paraId="03144AA8" w14:textId="6398750E" w:rsidR="00C66EAA" w:rsidRDefault="00C66EAA" w:rsidP="00C94D8E">
      <w:pPr>
        <w:pStyle w:val="List"/>
        <w:numPr>
          <w:ilvl w:val="0"/>
          <w:numId w:val="0"/>
        </w:numPr>
        <w:spacing w:before="200" w:after="200" w:line="271" w:lineRule="auto"/>
      </w:pPr>
      <w:r w:rsidRPr="00AC4ABB">
        <w:t xml:space="preserve">Mar’kel joined our Branches cohort just two months after sustaining serious burns on his hands due to a tragic house fire. Mar’kel started the cohort with limits on what he was able to do with his hands, but his resilience and determination to heal never wavered. </w:t>
      </w:r>
      <w:r>
        <w:t xml:space="preserve">Mar’kel is an outstanding worker. His Crew Leader reports that “Mar’kel has shown a high aptitude for leadership, team building and organizational skills. He continuously shows he can work hard and maintain punctuality—even when the environment and conditions are tough. He </w:t>
      </w:r>
      <w:r>
        <w:lastRenderedPageBreak/>
        <w:t>makes a difference in our crew and brings out the best in everyone.” Mar’kel is passionate about tree care skill development and working outside, and we look forward to connecting him with our employer partners for successful, long-term employment in the tree care industry.</w:t>
      </w:r>
    </w:p>
    <w:p w14:paraId="435609C1" w14:textId="79185F06" w:rsidR="00B55065" w:rsidRDefault="00B55065" w:rsidP="00C94D8E">
      <w:pPr>
        <w:pStyle w:val="List"/>
        <w:numPr>
          <w:ilvl w:val="0"/>
          <w:numId w:val="0"/>
        </w:numPr>
        <w:spacing w:before="200" w:after="200" w:line="271" w:lineRule="auto"/>
      </w:pPr>
    </w:p>
    <w:p w14:paraId="5AAA94E3" w14:textId="5953DB59" w:rsidR="00A81E2C" w:rsidRDefault="00B55065" w:rsidP="00C94D8E">
      <w:pPr>
        <w:pStyle w:val="List"/>
        <w:numPr>
          <w:ilvl w:val="0"/>
          <w:numId w:val="0"/>
        </w:numPr>
        <w:spacing w:before="200" w:after="200" w:line="271" w:lineRule="auto"/>
      </w:pPr>
      <w:r>
        <w:t>Another</w:t>
      </w:r>
      <w:r w:rsidRPr="00B55065">
        <w:t xml:space="preserve"> success story </w:t>
      </w:r>
      <w:r w:rsidR="005D3A0E">
        <w:t xml:space="preserve">comes from </w:t>
      </w:r>
      <w:r w:rsidRPr="00B55065">
        <w:t>summer Branches participant, Natha</w:t>
      </w:r>
      <w:r w:rsidR="005D3A0E">
        <w:t>n</w:t>
      </w:r>
      <w:r w:rsidRPr="00B55065">
        <w:t>. In high school, Nathan participated in the Summer Youth Employment Program at Tree Trust. This experience called him back to Tree Trust after graduating high school, to further advance his interest and professional development for green careers. By the end of the summer Branches cohort, Nathan progressed towards earning three different industry recognized certifications: Tree Care Apprentice, OSHA-10 construction, and First Aid/CPR certification. Nathan achieved all three certifications and gained a wealth of field competency experience in tree care and property maintenance. This gave Nathan a competitive edge over other applicants for long term employment, securing him a full-time landscaping job at Organic Bob Lawn Care in the Minneapolis area. Nathan started the Branches program without a clear sense of his employment goals or long-term career plan. Through Branches, Nathan received extensive employment readiness training, and worked with his Tree Trust case manager and crew leader to explore his career options. We are grateful for Nathan’s presence in the program, and that Branches could help him prepare for a fulfilling career in the green industry.</w:t>
      </w:r>
    </w:p>
    <w:p w14:paraId="3FC65188" w14:textId="5026FF13" w:rsidR="009A2CC0" w:rsidRPr="00F93629" w:rsidRDefault="00762F4B" w:rsidP="007E38D9">
      <w:pPr>
        <w:pStyle w:val="Heading4"/>
      </w:pPr>
      <w:r w:rsidRPr="00762F4B">
        <w:t>African Immigrants Community Services</w:t>
      </w:r>
    </w:p>
    <w:p w14:paraId="11C02BF5" w14:textId="321A6A8B" w:rsidR="00B92B49" w:rsidRDefault="00B92B49" w:rsidP="00C94D8E">
      <w:pPr>
        <w:spacing w:before="200" w:after="200"/>
      </w:pPr>
      <w:r>
        <w:t xml:space="preserve">A </w:t>
      </w:r>
      <w:r w:rsidR="00AC17B1">
        <w:t>highlight</w:t>
      </w:r>
      <w:r>
        <w:t xml:space="preserve"> from the AICS</w:t>
      </w:r>
      <w:r w:rsidRPr="00B92B49">
        <w:t xml:space="preserve"> program was connecting the youth in </w:t>
      </w:r>
      <w:r>
        <w:t>their</w:t>
      </w:r>
      <w:r w:rsidRPr="00B92B49">
        <w:t xml:space="preserve"> community to provide them with the opportunity to gain skills around employment and education. Additionally, </w:t>
      </w:r>
      <w:r>
        <w:t xml:space="preserve">they </w:t>
      </w:r>
      <w:r w:rsidRPr="00B92B49">
        <w:t>were able to connect with training schools and employers to give</w:t>
      </w:r>
      <w:r>
        <w:t xml:space="preserve"> the participants</w:t>
      </w:r>
      <w:r w:rsidRPr="00B92B49">
        <w:t xml:space="preserve"> the opportunity to attend boot camps and internships that they might not have been able to do without th</w:t>
      </w:r>
      <w:r>
        <w:t>e</w:t>
      </w:r>
      <w:r w:rsidRPr="00B92B49">
        <w:t xml:space="preserve"> support</w:t>
      </w:r>
      <w:r>
        <w:t xml:space="preserve"> of the program</w:t>
      </w:r>
      <w:r w:rsidR="00FE6717">
        <w:t xml:space="preserve">. Specifically noted was the importance of providing the </w:t>
      </w:r>
      <w:r w:rsidR="00AC17B1">
        <w:t>one-on-one</w:t>
      </w:r>
      <w:r w:rsidR="00FE6717">
        <w:t xml:space="preserve"> mentorship. </w:t>
      </w:r>
      <w:r>
        <w:t>A</w:t>
      </w:r>
      <w:r w:rsidRPr="00B92B49">
        <w:t>nother major success of this program was the support services provided</w:t>
      </w:r>
      <w:r>
        <w:t xml:space="preserve"> to help participants </w:t>
      </w:r>
      <w:r w:rsidRPr="00B92B49">
        <w:t>with housing</w:t>
      </w:r>
      <w:r w:rsidR="00FE6717">
        <w:t>, transportation,</w:t>
      </w:r>
      <w:r>
        <w:t xml:space="preserve"> </w:t>
      </w:r>
      <w:r w:rsidRPr="00B92B49">
        <w:t>and other social services they needed</w:t>
      </w:r>
      <w:r w:rsidR="00FE6717">
        <w:t xml:space="preserve">, allowing more complete engagement with the program. </w:t>
      </w:r>
    </w:p>
    <w:p w14:paraId="353A19AD" w14:textId="105C99ED" w:rsidR="00215A10" w:rsidRDefault="00762F4B" w:rsidP="00C94D8E">
      <w:pPr>
        <w:spacing w:before="200" w:after="200"/>
      </w:pPr>
      <w:r w:rsidRPr="00762F4B">
        <w:t xml:space="preserve">One success story is from a participant that completed the </w:t>
      </w:r>
      <w:r w:rsidR="00560A76">
        <w:t>p</w:t>
      </w:r>
      <w:r w:rsidRPr="00762F4B">
        <w:t xml:space="preserve">hlebotomy </w:t>
      </w:r>
      <w:r w:rsidR="00560A76">
        <w:t>c</w:t>
      </w:r>
      <w:r w:rsidRPr="00762F4B">
        <w:t xml:space="preserve">ourse and became certified. This </w:t>
      </w:r>
      <w:r w:rsidR="00664C7B" w:rsidRPr="00762F4B">
        <w:t>student</w:t>
      </w:r>
      <w:r w:rsidRPr="00762F4B">
        <w:t xml:space="preserve"> is bilingual with English being her second language. Although there were some language barriers, she was able to successfully complete the course and pass the exam on her first try. This student came into the office consistently for mentorship, case management, and career readiness such as resume building and interview prep and was able to find a job just a few weeks after completion of her course.</w:t>
      </w:r>
    </w:p>
    <w:p w14:paraId="3BC6117A" w14:textId="26F6F448" w:rsidR="00215D3D" w:rsidRDefault="00215D3D" w:rsidP="00C94D8E">
      <w:pPr>
        <w:spacing w:before="200" w:after="200"/>
      </w:pPr>
      <w:r>
        <w:t>Another success story is of Sagal; she moved to the United States in 2019 and was interested in IT. She reached out to us after hearing about our program, but unfortunately didn’t qualify after she informed us that she didn’t have her driver’s license yet and only had her permit. Sagal continued to contact us and expressed the willingness to get her driver’s license. We connected her with a driving school so she could join the class. After her hard work and two failed attempts on her road tests, she was successfully able to get her driver's licenses and continued to complete her training program as well as her paid internship. Sagal then landed her first IT job as an IT tech support at Trinity Tech and she was really proud!</w:t>
      </w:r>
    </w:p>
    <w:p w14:paraId="40F302FF" w14:textId="35BC0D80" w:rsidR="00C66EAA" w:rsidRPr="00F93629" w:rsidRDefault="00C66EAA" w:rsidP="00C66EAA">
      <w:pPr>
        <w:pStyle w:val="Heading4"/>
      </w:pPr>
      <w:r w:rsidRPr="00C8573F">
        <w:lastRenderedPageBreak/>
        <w:t>Somali Community Resettlement Services</w:t>
      </w:r>
    </w:p>
    <w:p w14:paraId="201B2F5B" w14:textId="4CC7EE22" w:rsidR="008E0064" w:rsidRDefault="007660D5" w:rsidP="00C94D8E">
      <w:pPr>
        <w:spacing w:before="200" w:after="200"/>
      </w:pPr>
      <w:r>
        <w:t>One of the PCA companies that partnered with</w:t>
      </w:r>
      <w:r w:rsidR="00BF73BB">
        <w:t xml:space="preserve"> SCRS</w:t>
      </w:r>
      <w:r>
        <w:t xml:space="preserve"> </w:t>
      </w:r>
      <w:r w:rsidR="00BF73BB">
        <w:t>shared</w:t>
      </w:r>
      <w:r>
        <w:t xml:space="preserve"> that they </w:t>
      </w:r>
      <w:r w:rsidR="00BF73BB">
        <w:t>were</w:t>
      </w:r>
      <w:r>
        <w:t xml:space="preserve"> now at full staff, something that they were struggling to be at for most of the pandemic. They were very grateful for </w:t>
      </w:r>
      <w:r w:rsidR="00BF73BB">
        <w:t>the</w:t>
      </w:r>
      <w:r>
        <w:t xml:space="preserve"> help </w:t>
      </w:r>
      <w:r w:rsidR="00BF73BB">
        <w:t xml:space="preserve">of the program </w:t>
      </w:r>
      <w:r>
        <w:t xml:space="preserve">to fill all their positions. </w:t>
      </w:r>
    </w:p>
    <w:p w14:paraId="3C7B3F80" w14:textId="32835CED" w:rsidR="000A50D0" w:rsidRPr="002524A2" w:rsidRDefault="00BF73BB" w:rsidP="002524A2">
      <w:pPr>
        <w:spacing w:before="200" w:after="200"/>
      </w:pPr>
      <w:r>
        <w:t xml:space="preserve">The SCRS program provided </w:t>
      </w:r>
      <w:r w:rsidRPr="00BF73BB">
        <w:t xml:space="preserve">career readiness training with Microsoft applications and fundamental IT skills. </w:t>
      </w:r>
      <w:r>
        <w:t xml:space="preserve">They saw </w:t>
      </w:r>
      <w:r w:rsidRPr="00BF73BB">
        <w:t>lot of improvement in IT skills after</w:t>
      </w:r>
      <w:r>
        <w:t xml:space="preserve"> their</w:t>
      </w:r>
      <w:r w:rsidRPr="00BF73BB">
        <w:t xml:space="preserve"> training. </w:t>
      </w:r>
      <w:r>
        <w:t>They shared that w</w:t>
      </w:r>
      <w:r w:rsidRPr="00BF73BB">
        <w:t>ith Microsoft applications, p</w:t>
      </w:r>
      <w:r>
        <w:t>articipants did not</w:t>
      </w:r>
      <w:r w:rsidRPr="00BF73BB">
        <w:t xml:space="preserve"> need to be experts with it but having a base understanding help</w:t>
      </w:r>
      <w:r>
        <w:t xml:space="preserve">ed </w:t>
      </w:r>
      <w:r w:rsidRPr="00BF73BB">
        <w:t>open doors for them in the</w:t>
      </w:r>
      <w:r>
        <w:t>ir</w:t>
      </w:r>
      <w:r w:rsidRPr="00BF73BB">
        <w:t xml:space="preserve"> future of employment or education.</w:t>
      </w:r>
    </w:p>
    <w:p w14:paraId="61ECEBF9" w14:textId="2EDF02CD" w:rsidR="000A50D0" w:rsidRPr="0078742B" w:rsidRDefault="000A50D0" w:rsidP="000A50D0">
      <w:pPr>
        <w:pStyle w:val="Heading2"/>
      </w:pPr>
      <w:bookmarkStart w:id="12" w:name="_Toc103152349"/>
      <w:r>
        <w:t>Appendix A</w:t>
      </w:r>
      <w:bookmarkEnd w:id="12"/>
    </w:p>
    <w:p w14:paraId="53BAC35F" w14:textId="0F0A0FD1" w:rsidR="000A50D0" w:rsidRDefault="000A50D0" w:rsidP="000A50D0">
      <w:pPr>
        <w:pStyle w:val="Heading4"/>
      </w:pPr>
      <w:r w:rsidRPr="008E0064">
        <w:t xml:space="preserve">Employer </w:t>
      </w:r>
      <w:r w:rsidR="00766237">
        <w:t>List</w:t>
      </w:r>
      <w:r w:rsidRPr="008E0064">
        <w:t xml:space="preserve"> for Participants that Entered Employment</w:t>
      </w:r>
      <w:r>
        <w:t xml:space="preserve"> </w:t>
      </w:r>
    </w:p>
    <w:p w14:paraId="2FDA39EC" w14:textId="31F76277" w:rsidR="000A50D0" w:rsidRDefault="000A50D0" w:rsidP="000A50D0">
      <w:pPr>
        <w:pStyle w:val="BodyText"/>
        <w:rPr>
          <w:i/>
          <w:iCs/>
        </w:rPr>
      </w:pPr>
      <w:r w:rsidRPr="008E0064">
        <w:t xml:space="preserve">Includes </w:t>
      </w:r>
      <w:r>
        <w:t>reported e</w:t>
      </w:r>
      <w:r w:rsidRPr="008E0064">
        <w:t>mployer</w:t>
      </w:r>
      <w:r>
        <w:t>s</w:t>
      </w:r>
      <w:r w:rsidRPr="008E0064">
        <w:t xml:space="preserve"> for participants that entered employment </w:t>
      </w:r>
      <w:r>
        <w:t xml:space="preserve">by </w:t>
      </w:r>
      <w:r w:rsidR="00000DE7">
        <w:t xml:space="preserve">March 31, </w:t>
      </w:r>
      <w:r w:rsidRPr="000A50D0">
        <w:t>2022</w:t>
      </w:r>
      <w:r w:rsidRPr="008E0064">
        <w:rPr>
          <w:i/>
          <w:iCs/>
        </w:rPr>
        <w:t xml:space="preserve"> </w:t>
      </w:r>
    </w:p>
    <w:tbl>
      <w:tblPr>
        <w:tblW w:w="7180" w:type="dxa"/>
        <w:tblInd w:w="1445" w:type="dxa"/>
        <w:tblLook w:val="04A0" w:firstRow="1" w:lastRow="0" w:firstColumn="1" w:lastColumn="0" w:noHBand="0" w:noVBand="1"/>
      </w:tblPr>
      <w:tblGrid>
        <w:gridCol w:w="4880"/>
        <w:gridCol w:w="2300"/>
      </w:tblGrid>
      <w:tr w:rsidR="00000DE7" w:rsidRPr="00000DE7" w14:paraId="1EADC2F1" w14:textId="77777777" w:rsidTr="00000DE7">
        <w:trPr>
          <w:trHeight w:val="728"/>
        </w:trPr>
        <w:tc>
          <w:tcPr>
            <w:tcW w:w="4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F84447A" w14:textId="77777777" w:rsidR="00000DE7" w:rsidRPr="00000DE7" w:rsidRDefault="00000DE7" w:rsidP="00000DE7">
            <w:pPr>
              <w:spacing w:before="0" w:line="240" w:lineRule="auto"/>
              <w:jc w:val="center"/>
              <w:rPr>
                <w:rFonts w:cs="Calibri"/>
                <w:b/>
                <w:bCs/>
                <w:color w:val="000000"/>
                <w:lang w:bidi="ar-SA"/>
              </w:rPr>
            </w:pPr>
            <w:r w:rsidRPr="00000DE7">
              <w:rPr>
                <w:rFonts w:cs="Calibri"/>
                <w:b/>
                <w:bCs/>
                <w:color w:val="000000"/>
                <w:lang w:bidi="ar-SA"/>
              </w:rPr>
              <w:t>Employer</w:t>
            </w:r>
          </w:p>
        </w:tc>
        <w:tc>
          <w:tcPr>
            <w:tcW w:w="23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043A8C0" w14:textId="77777777" w:rsidR="00000DE7" w:rsidRPr="00000DE7" w:rsidRDefault="00000DE7" w:rsidP="00000DE7">
            <w:pPr>
              <w:spacing w:before="0" w:line="240" w:lineRule="auto"/>
              <w:jc w:val="center"/>
              <w:rPr>
                <w:rFonts w:cs="Calibri"/>
                <w:b/>
                <w:bCs/>
                <w:color w:val="000000"/>
                <w:lang w:bidi="ar-SA"/>
              </w:rPr>
            </w:pPr>
            <w:r w:rsidRPr="00000DE7">
              <w:rPr>
                <w:rFonts w:cs="Calibri"/>
                <w:b/>
                <w:bCs/>
                <w:color w:val="000000"/>
                <w:lang w:bidi="ar-SA"/>
              </w:rPr>
              <w:t>Number of Participants</w:t>
            </w:r>
          </w:p>
        </w:tc>
      </w:tr>
      <w:tr w:rsidR="00000DE7" w:rsidRPr="00000DE7" w14:paraId="03C2D390" w14:textId="77777777" w:rsidTr="00000DE7">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0B1C4E54" w14:textId="77777777" w:rsidR="00000DE7" w:rsidRPr="00000DE7" w:rsidRDefault="00000DE7" w:rsidP="00000DE7">
            <w:pPr>
              <w:spacing w:before="0" w:line="240" w:lineRule="auto"/>
              <w:rPr>
                <w:rFonts w:cs="Calibri"/>
                <w:color w:val="000000"/>
                <w:lang w:bidi="ar-SA"/>
              </w:rPr>
            </w:pPr>
            <w:r w:rsidRPr="00000DE7">
              <w:rPr>
                <w:rFonts w:cs="Calibri"/>
                <w:color w:val="000000"/>
                <w:lang w:bidi="ar-SA"/>
              </w:rPr>
              <w:t>Medtronic</w:t>
            </w:r>
          </w:p>
        </w:tc>
        <w:tc>
          <w:tcPr>
            <w:tcW w:w="2300" w:type="dxa"/>
            <w:tcBorders>
              <w:top w:val="nil"/>
              <w:left w:val="nil"/>
              <w:bottom w:val="single" w:sz="4" w:space="0" w:color="auto"/>
              <w:right w:val="single" w:sz="4" w:space="0" w:color="auto"/>
            </w:tcBorders>
            <w:shd w:val="clear" w:color="auto" w:fill="auto"/>
            <w:noWrap/>
            <w:vAlign w:val="bottom"/>
            <w:hideMark/>
          </w:tcPr>
          <w:p w14:paraId="57F59786" w14:textId="77777777" w:rsidR="00000DE7" w:rsidRPr="00000DE7" w:rsidRDefault="00000DE7" w:rsidP="00000DE7">
            <w:pPr>
              <w:spacing w:before="0" w:line="240" w:lineRule="auto"/>
              <w:jc w:val="center"/>
              <w:rPr>
                <w:rFonts w:cs="Calibri"/>
                <w:color w:val="000000"/>
                <w:lang w:bidi="ar-SA"/>
              </w:rPr>
            </w:pPr>
            <w:r w:rsidRPr="00000DE7">
              <w:rPr>
                <w:rFonts w:cs="Calibri"/>
                <w:color w:val="000000"/>
                <w:lang w:bidi="ar-SA"/>
              </w:rPr>
              <w:t>12</w:t>
            </w:r>
          </w:p>
        </w:tc>
      </w:tr>
      <w:tr w:rsidR="00000DE7" w:rsidRPr="00000DE7" w14:paraId="24FC0E5F" w14:textId="77777777" w:rsidTr="00000DE7">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643AF3A8" w14:textId="77777777" w:rsidR="00000DE7" w:rsidRPr="00000DE7" w:rsidRDefault="00000DE7" w:rsidP="00000DE7">
            <w:pPr>
              <w:spacing w:before="0" w:line="240" w:lineRule="auto"/>
              <w:rPr>
                <w:rFonts w:cs="Calibri"/>
                <w:color w:val="000000"/>
                <w:lang w:bidi="ar-SA"/>
              </w:rPr>
            </w:pPr>
            <w:r w:rsidRPr="00000DE7">
              <w:rPr>
                <w:rFonts w:cs="Calibri"/>
                <w:color w:val="000000"/>
                <w:lang w:bidi="ar-SA"/>
              </w:rPr>
              <w:t>Nice Guys Corporation</w:t>
            </w:r>
          </w:p>
        </w:tc>
        <w:tc>
          <w:tcPr>
            <w:tcW w:w="2300" w:type="dxa"/>
            <w:tcBorders>
              <w:top w:val="nil"/>
              <w:left w:val="nil"/>
              <w:bottom w:val="single" w:sz="4" w:space="0" w:color="auto"/>
              <w:right w:val="single" w:sz="4" w:space="0" w:color="auto"/>
            </w:tcBorders>
            <w:shd w:val="clear" w:color="auto" w:fill="auto"/>
            <w:noWrap/>
            <w:vAlign w:val="bottom"/>
            <w:hideMark/>
          </w:tcPr>
          <w:p w14:paraId="44A264A6" w14:textId="77777777" w:rsidR="00000DE7" w:rsidRPr="00000DE7" w:rsidRDefault="00000DE7" w:rsidP="00000DE7">
            <w:pPr>
              <w:spacing w:before="0" w:line="240" w:lineRule="auto"/>
              <w:jc w:val="center"/>
              <w:rPr>
                <w:rFonts w:cs="Calibri"/>
                <w:color w:val="000000"/>
                <w:lang w:bidi="ar-SA"/>
              </w:rPr>
            </w:pPr>
            <w:r w:rsidRPr="00000DE7">
              <w:rPr>
                <w:rFonts w:cs="Calibri"/>
                <w:color w:val="000000"/>
                <w:lang w:bidi="ar-SA"/>
              </w:rPr>
              <w:t>9</w:t>
            </w:r>
          </w:p>
        </w:tc>
      </w:tr>
      <w:tr w:rsidR="00000DE7" w:rsidRPr="00000DE7" w14:paraId="688A5AEE" w14:textId="77777777" w:rsidTr="00000DE7">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74C012B9" w14:textId="77777777" w:rsidR="00000DE7" w:rsidRPr="00000DE7" w:rsidRDefault="00000DE7" w:rsidP="00000DE7">
            <w:pPr>
              <w:spacing w:before="0" w:line="240" w:lineRule="auto"/>
              <w:rPr>
                <w:rFonts w:cs="Calibri"/>
                <w:color w:val="000000"/>
                <w:lang w:bidi="ar-SA"/>
              </w:rPr>
            </w:pPr>
            <w:r w:rsidRPr="00000DE7">
              <w:rPr>
                <w:rFonts w:cs="Calibri"/>
                <w:color w:val="000000"/>
                <w:lang w:bidi="ar-SA"/>
              </w:rPr>
              <w:t>BB Home Health</w:t>
            </w:r>
          </w:p>
        </w:tc>
        <w:tc>
          <w:tcPr>
            <w:tcW w:w="2300" w:type="dxa"/>
            <w:tcBorders>
              <w:top w:val="nil"/>
              <w:left w:val="nil"/>
              <w:bottom w:val="single" w:sz="4" w:space="0" w:color="auto"/>
              <w:right w:val="single" w:sz="4" w:space="0" w:color="auto"/>
            </w:tcBorders>
            <w:shd w:val="clear" w:color="auto" w:fill="auto"/>
            <w:noWrap/>
            <w:vAlign w:val="bottom"/>
            <w:hideMark/>
          </w:tcPr>
          <w:p w14:paraId="079B369A" w14:textId="77777777" w:rsidR="00000DE7" w:rsidRPr="00000DE7" w:rsidRDefault="00000DE7" w:rsidP="00000DE7">
            <w:pPr>
              <w:spacing w:before="0" w:line="240" w:lineRule="auto"/>
              <w:jc w:val="center"/>
              <w:rPr>
                <w:rFonts w:cs="Calibri"/>
                <w:color w:val="000000"/>
                <w:lang w:bidi="ar-SA"/>
              </w:rPr>
            </w:pPr>
            <w:r w:rsidRPr="00000DE7">
              <w:rPr>
                <w:rFonts w:cs="Calibri"/>
                <w:color w:val="000000"/>
                <w:lang w:bidi="ar-SA"/>
              </w:rPr>
              <w:t>5</w:t>
            </w:r>
          </w:p>
        </w:tc>
      </w:tr>
      <w:tr w:rsidR="00000DE7" w:rsidRPr="00000DE7" w14:paraId="5A65BA52" w14:textId="77777777" w:rsidTr="00000DE7">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1ECF4404" w14:textId="77777777" w:rsidR="00000DE7" w:rsidRPr="00000DE7" w:rsidRDefault="00000DE7" w:rsidP="00000DE7">
            <w:pPr>
              <w:spacing w:before="0" w:line="240" w:lineRule="auto"/>
              <w:rPr>
                <w:rFonts w:cs="Calibri"/>
                <w:color w:val="000000"/>
                <w:lang w:bidi="ar-SA"/>
              </w:rPr>
            </w:pPr>
            <w:r w:rsidRPr="00000DE7">
              <w:rPr>
                <w:rFonts w:cs="Calibri"/>
                <w:color w:val="000000"/>
                <w:lang w:bidi="ar-SA"/>
              </w:rPr>
              <w:t>Target</w:t>
            </w:r>
          </w:p>
        </w:tc>
        <w:tc>
          <w:tcPr>
            <w:tcW w:w="2300" w:type="dxa"/>
            <w:tcBorders>
              <w:top w:val="nil"/>
              <w:left w:val="nil"/>
              <w:bottom w:val="single" w:sz="4" w:space="0" w:color="auto"/>
              <w:right w:val="single" w:sz="4" w:space="0" w:color="auto"/>
            </w:tcBorders>
            <w:shd w:val="clear" w:color="auto" w:fill="auto"/>
            <w:noWrap/>
            <w:vAlign w:val="bottom"/>
            <w:hideMark/>
          </w:tcPr>
          <w:p w14:paraId="107101FB" w14:textId="77777777" w:rsidR="00000DE7" w:rsidRPr="00000DE7" w:rsidRDefault="00000DE7" w:rsidP="00000DE7">
            <w:pPr>
              <w:spacing w:before="0" w:line="240" w:lineRule="auto"/>
              <w:jc w:val="center"/>
              <w:rPr>
                <w:rFonts w:cs="Calibri"/>
                <w:color w:val="000000"/>
                <w:lang w:bidi="ar-SA"/>
              </w:rPr>
            </w:pPr>
            <w:r w:rsidRPr="00000DE7">
              <w:rPr>
                <w:rFonts w:cs="Calibri"/>
                <w:color w:val="000000"/>
                <w:lang w:bidi="ar-SA"/>
              </w:rPr>
              <w:t>4</w:t>
            </w:r>
          </w:p>
        </w:tc>
      </w:tr>
      <w:tr w:rsidR="00000DE7" w:rsidRPr="00000DE7" w14:paraId="45819A2B" w14:textId="77777777" w:rsidTr="00000DE7">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0BA9C837" w14:textId="77777777" w:rsidR="00000DE7" w:rsidRPr="00000DE7" w:rsidRDefault="00000DE7" w:rsidP="00000DE7">
            <w:pPr>
              <w:spacing w:before="0" w:line="240" w:lineRule="auto"/>
              <w:rPr>
                <w:rFonts w:cs="Calibri"/>
                <w:color w:val="000000"/>
                <w:lang w:bidi="ar-SA"/>
              </w:rPr>
            </w:pPr>
            <w:r w:rsidRPr="00000DE7">
              <w:rPr>
                <w:rFonts w:cs="Calibri"/>
                <w:color w:val="000000"/>
                <w:lang w:bidi="ar-SA"/>
              </w:rPr>
              <w:t>Amazon</w:t>
            </w:r>
          </w:p>
        </w:tc>
        <w:tc>
          <w:tcPr>
            <w:tcW w:w="2300" w:type="dxa"/>
            <w:tcBorders>
              <w:top w:val="nil"/>
              <w:left w:val="nil"/>
              <w:bottom w:val="single" w:sz="4" w:space="0" w:color="auto"/>
              <w:right w:val="single" w:sz="4" w:space="0" w:color="auto"/>
            </w:tcBorders>
            <w:shd w:val="clear" w:color="auto" w:fill="auto"/>
            <w:noWrap/>
            <w:vAlign w:val="bottom"/>
            <w:hideMark/>
          </w:tcPr>
          <w:p w14:paraId="0B729317" w14:textId="77777777" w:rsidR="00000DE7" w:rsidRPr="00000DE7" w:rsidRDefault="00000DE7" w:rsidP="00000DE7">
            <w:pPr>
              <w:spacing w:before="0" w:line="240" w:lineRule="auto"/>
              <w:jc w:val="center"/>
              <w:rPr>
                <w:rFonts w:cs="Calibri"/>
                <w:color w:val="000000"/>
                <w:lang w:bidi="ar-SA"/>
              </w:rPr>
            </w:pPr>
            <w:r w:rsidRPr="00000DE7">
              <w:rPr>
                <w:rFonts w:cs="Calibri"/>
                <w:color w:val="000000"/>
                <w:lang w:bidi="ar-SA"/>
              </w:rPr>
              <w:t>3</w:t>
            </w:r>
          </w:p>
        </w:tc>
      </w:tr>
      <w:tr w:rsidR="00000DE7" w:rsidRPr="00000DE7" w14:paraId="425A27DA" w14:textId="77777777" w:rsidTr="00000DE7">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18044209" w14:textId="77777777" w:rsidR="00000DE7" w:rsidRPr="00000DE7" w:rsidRDefault="00000DE7" w:rsidP="00000DE7">
            <w:pPr>
              <w:spacing w:before="0" w:line="240" w:lineRule="auto"/>
              <w:rPr>
                <w:rFonts w:cs="Calibri"/>
                <w:color w:val="000000"/>
                <w:lang w:bidi="ar-SA"/>
              </w:rPr>
            </w:pPr>
            <w:r w:rsidRPr="00000DE7">
              <w:rPr>
                <w:rFonts w:cs="Calibri"/>
                <w:color w:val="000000"/>
                <w:lang w:bidi="ar-SA"/>
              </w:rPr>
              <w:t>Allina Health</w:t>
            </w:r>
          </w:p>
        </w:tc>
        <w:tc>
          <w:tcPr>
            <w:tcW w:w="2300" w:type="dxa"/>
            <w:tcBorders>
              <w:top w:val="nil"/>
              <w:left w:val="nil"/>
              <w:bottom w:val="single" w:sz="4" w:space="0" w:color="auto"/>
              <w:right w:val="single" w:sz="4" w:space="0" w:color="auto"/>
            </w:tcBorders>
            <w:shd w:val="clear" w:color="auto" w:fill="auto"/>
            <w:noWrap/>
            <w:vAlign w:val="bottom"/>
            <w:hideMark/>
          </w:tcPr>
          <w:p w14:paraId="766601A6" w14:textId="77777777" w:rsidR="00000DE7" w:rsidRPr="00000DE7" w:rsidRDefault="00000DE7" w:rsidP="00000DE7">
            <w:pPr>
              <w:spacing w:before="0" w:line="240" w:lineRule="auto"/>
              <w:jc w:val="center"/>
              <w:rPr>
                <w:rFonts w:cs="Calibri"/>
                <w:color w:val="000000"/>
                <w:lang w:bidi="ar-SA"/>
              </w:rPr>
            </w:pPr>
            <w:r w:rsidRPr="00000DE7">
              <w:rPr>
                <w:rFonts w:cs="Calibri"/>
                <w:color w:val="000000"/>
                <w:lang w:bidi="ar-SA"/>
              </w:rPr>
              <w:t>2</w:t>
            </w:r>
          </w:p>
        </w:tc>
      </w:tr>
      <w:tr w:rsidR="00000DE7" w:rsidRPr="00000DE7" w14:paraId="0F8A4853" w14:textId="77777777" w:rsidTr="00000DE7">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17B7BB6D" w14:textId="77777777" w:rsidR="00000DE7" w:rsidRPr="00000DE7" w:rsidRDefault="00000DE7" w:rsidP="00000DE7">
            <w:pPr>
              <w:spacing w:before="0" w:line="240" w:lineRule="auto"/>
              <w:rPr>
                <w:rFonts w:cs="Calibri"/>
                <w:color w:val="000000"/>
                <w:lang w:bidi="ar-SA"/>
              </w:rPr>
            </w:pPr>
            <w:r w:rsidRPr="00000DE7">
              <w:rPr>
                <w:rFonts w:cs="Calibri"/>
                <w:color w:val="000000"/>
                <w:lang w:bidi="ar-SA"/>
              </w:rPr>
              <w:t>American Security</w:t>
            </w:r>
          </w:p>
        </w:tc>
        <w:tc>
          <w:tcPr>
            <w:tcW w:w="2300" w:type="dxa"/>
            <w:tcBorders>
              <w:top w:val="nil"/>
              <w:left w:val="nil"/>
              <w:bottom w:val="single" w:sz="4" w:space="0" w:color="auto"/>
              <w:right w:val="single" w:sz="4" w:space="0" w:color="auto"/>
            </w:tcBorders>
            <w:shd w:val="clear" w:color="auto" w:fill="auto"/>
            <w:noWrap/>
            <w:vAlign w:val="bottom"/>
            <w:hideMark/>
          </w:tcPr>
          <w:p w14:paraId="7E9E0748" w14:textId="77777777" w:rsidR="00000DE7" w:rsidRPr="00000DE7" w:rsidRDefault="00000DE7" w:rsidP="00000DE7">
            <w:pPr>
              <w:spacing w:before="0" w:line="240" w:lineRule="auto"/>
              <w:jc w:val="center"/>
              <w:rPr>
                <w:rFonts w:cs="Calibri"/>
                <w:color w:val="000000"/>
                <w:lang w:bidi="ar-SA"/>
              </w:rPr>
            </w:pPr>
            <w:r w:rsidRPr="00000DE7">
              <w:rPr>
                <w:rFonts w:cs="Calibri"/>
                <w:color w:val="000000"/>
                <w:lang w:bidi="ar-SA"/>
              </w:rPr>
              <w:t>2</w:t>
            </w:r>
          </w:p>
        </w:tc>
      </w:tr>
      <w:tr w:rsidR="00000DE7" w:rsidRPr="00000DE7" w14:paraId="11CCAD02" w14:textId="77777777" w:rsidTr="00000DE7">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470552AC" w14:textId="77777777" w:rsidR="00000DE7" w:rsidRPr="00000DE7" w:rsidRDefault="00000DE7" w:rsidP="00000DE7">
            <w:pPr>
              <w:spacing w:before="0" w:line="240" w:lineRule="auto"/>
              <w:rPr>
                <w:rFonts w:cs="Calibri"/>
                <w:color w:val="000000"/>
                <w:lang w:bidi="ar-SA"/>
              </w:rPr>
            </w:pPr>
            <w:r w:rsidRPr="00000DE7">
              <w:rPr>
                <w:rFonts w:cs="Calibri"/>
                <w:color w:val="000000"/>
                <w:lang w:bidi="ar-SA"/>
              </w:rPr>
              <w:t>Best Choice Home Care</w:t>
            </w:r>
          </w:p>
        </w:tc>
        <w:tc>
          <w:tcPr>
            <w:tcW w:w="2300" w:type="dxa"/>
            <w:tcBorders>
              <w:top w:val="nil"/>
              <w:left w:val="nil"/>
              <w:bottom w:val="single" w:sz="4" w:space="0" w:color="auto"/>
              <w:right w:val="single" w:sz="4" w:space="0" w:color="auto"/>
            </w:tcBorders>
            <w:shd w:val="clear" w:color="auto" w:fill="auto"/>
            <w:noWrap/>
            <w:vAlign w:val="bottom"/>
            <w:hideMark/>
          </w:tcPr>
          <w:p w14:paraId="32416501" w14:textId="77777777" w:rsidR="00000DE7" w:rsidRPr="00000DE7" w:rsidRDefault="00000DE7" w:rsidP="00000DE7">
            <w:pPr>
              <w:spacing w:before="0" w:line="240" w:lineRule="auto"/>
              <w:jc w:val="center"/>
              <w:rPr>
                <w:rFonts w:cs="Calibri"/>
                <w:color w:val="000000"/>
                <w:lang w:bidi="ar-SA"/>
              </w:rPr>
            </w:pPr>
            <w:r w:rsidRPr="00000DE7">
              <w:rPr>
                <w:rFonts w:cs="Calibri"/>
                <w:color w:val="000000"/>
                <w:lang w:bidi="ar-SA"/>
              </w:rPr>
              <w:t>2</w:t>
            </w:r>
          </w:p>
        </w:tc>
      </w:tr>
      <w:tr w:rsidR="00000DE7" w:rsidRPr="00000DE7" w14:paraId="5EC7C656" w14:textId="77777777" w:rsidTr="00000DE7">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7415F0CD" w14:textId="77777777" w:rsidR="00000DE7" w:rsidRPr="00000DE7" w:rsidRDefault="00000DE7" w:rsidP="00000DE7">
            <w:pPr>
              <w:spacing w:before="0" w:line="240" w:lineRule="auto"/>
              <w:rPr>
                <w:rFonts w:cs="Calibri"/>
                <w:color w:val="000000"/>
                <w:lang w:bidi="ar-SA"/>
              </w:rPr>
            </w:pPr>
            <w:r w:rsidRPr="00000DE7">
              <w:rPr>
                <w:rFonts w:cs="Calibri"/>
                <w:color w:val="000000"/>
                <w:lang w:bidi="ar-SA"/>
              </w:rPr>
              <w:t>Boston Scientific</w:t>
            </w:r>
          </w:p>
        </w:tc>
        <w:tc>
          <w:tcPr>
            <w:tcW w:w="2300" w:type="dxa"/>
            <w:tcBorders>
              <w:top w:val="nil"/>
              <w:left w:val="nil"/>
              <w:bottom w:val="single" w:sz="4" w:space="0" w:color="auto"/>
              <w:right w:val="single" w:sz="4" w:space="0" w:color="auto"/>
            </w:tcBorders>
            <w:shd w:val="clear" w:color="auto" w:fill="auto"/>
            <w:noWrap/>
            <w:vAlign w:val="bottom"/>
            <w:hideMark/>
          </w:tcPr>
          <w:p w14:paraId="08C3E8D4" w14:textId="77777777" w:rsidR="00000DE7" w:rsidRPr="00000DE7" w:rsidRDefault="00000DE7" w:rsidP="00000DE7">
            <w:pPr>
              <w:spacing w:before="0" w:line="240" w:lineRule="auto"/>
              <w:jc w:val="center"/>
              <w:rPr>
                <w:rFonts w:cs="Calibri"/>
                <w:color w:val="000000"/>
                <w:lang w:bidi="ar-SA"/>
              </w:rPr>
            </w:pPr>
            <w:r w:rsidRPr="00000DE7">
              <w:rPr>
                <w:rFonts w:cs="Calibri"/>
                <w:color w:val="000000"/>
                <w:lang w:bidi="ar-SA"/>
              </w:rPr>
              <w:t>2</w:t>
            </w:r>
          </w:p>
        </w:tc>
      </w:tr>
      <w:tr w:rsidR="00000DE7" w:rsidRPr="00000DE7" w14:paraId="4F90DDE0" w14:textId="77777777" w:rsidTr="00000DE7">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3110A95C" w14:textId="77777777" w:rsidR="00000DE7" w:rsidRPr="00000DE7" w:rsidRDefault="00000DE7" w:rsidP="00000DE7">
            <w:pPr>
              <w:spacing w:before="0" w:line="240" w:lineRule="auto"/>
              <w:rPr>
                <w:rFonts w:cs="Calibri"/>
                <w:color w:val="000000"/>
                <w:lang w:bidi="ar-SA"/>
              </w:rPr>
            </w:pPr>
            <w:r w:rsidRPr="00000DE7">
              <w:rPr>
                <w:rFonts w:cs="Calibri"/>
                <w:color w:val="000000"/>
                <w:lang w:bidi="ar-SA"/>
              </w:rPr>
              <w:t>Endeavor Airlines</w:t>
            </w:r>
          </w:p>
        </w:tc>
        <w:tc>
          <w:tcPr>
            <w:tcW w:w="2300" w:type="dxa"/>
            <w:tcBorders>
              <w:top w:val="nil"/>
              <w:left w:val="nil"/>
              <w:bottom w:val="single" w:sz="4" w:space="0" w:color="auto"/>
              <w:right w:val="single" w:sz="4" w:space="0" w:color="auto"/>
            </w:tcBorders>
            <w:shd w:val="clear" w:color="auto" w:fill="auto"/>
            <w:noWrap/>
            <w:vAlign w:val="bottom"/>
            <w:hideMark/>
          </w:tcPr>
          <w:p w14:paraId="673DF946" w14:textId="77777777" w:rsidR="00000DE7" w:rsidRPr="00000DE7" w:rsidRDefault="00000DE7" w:rsidP="00000DE7">
            <w:pPr>
              <w:spacing w:before="0" w:line="240" w:lineRule="auto"/>
              <w:jc w:val="center"/>
              <w:rPr>
                <w:rFonts w:cs="Calibri"/>
                <w:color w:val="000000"/>
                <w:lang w:bidi="ar-SA"/>
              </w:rPr>
            </w:pPr>
            <w:r w:rsidRPr="00000DE7">
              <w:rPr>
                <w:rFonts w:cs="Calibri"/>
                <w:color w:val="000000"/>
                <w:lang w:bidi="ar-SA"/>
              </w:rPr>
              <w:t>2</w:t>
            </w:r>
          </w:p>
        </w:tc>
      </w:tr>
      <w:tr w:rsidR="00000DE7" w:rsidRPr="00000DE7" w14:paraId="2383C09A" w14:textId="77777777" w:rsidTr="00000DE7">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039CC65A" w14:textId="77777777" w:rsidR="00000DE7" w:rsidRPr="00000DE7" w:rsidRDefault="00000DE7" w:rsidP="00000DE7">
            <w:pPr>
              <w:spacing w:before="0" w:line="240" w:lineRule="auto"/>
              <w:rPr>
                <w:rFonts w:cs="Calibri"/>
                <w:color w:val="000000"/>
                <w:lang w:bidi="ar-SA"/>
              </w:rPr>
            </w:pPr>
            <w:r w:rsidRPr="00000DE7">
              <w:rPr>
                <w:rFonts w:cs="Calibri"/>
                <w:color w:val="000000"/>
                <w:lang w:bidi="ar-SA"/>
              </w:rPr>
              <w:t>FedEx</w:t>
            </w:r>
          </w:p>
        </w:tc>
        <w:tc>
          <w:tcPr>
            <w:tcW w:w="2300" w:type="dxa"/>
            <w:tcBorders>
              <w:top w:val="nil"/>
              <w:left w:val="nil"/>
              <w:bottom w:val="single" w:sz="4" w:space="0" w:color="auto"/>
              <w:right w:val="single" w:sz="4" w:space="0" w:color="auto"/>
            </w:tcBorders>
            <w:shd w:val="clear" w:color="auto" w:fill="auto"/>
            <w:noWrap/>
            <w:vAlign w:val="bottom"/>
            <w:hideMark/>
          </w:tcPr>
          <w:p w14:paraId="3072145B" w14:textId="77777777" w:rsidR="00000DE7" w:rsidRPr="00000DE7" w:rsidRDefault="00000DE7" w:rsidP="00000DE7">
            <w:pPr>
              <w:spacing w:before="0" w:line="240" w:lineRule="auto"/>
              <w:jc w:val="center"/>
              <w:rPr>
                <w:rFonts w:cs="Calibri"/>
                <w:color w:val="000000"/>
                <w:lang w:bidi="ar-SA"/>
              </w:rPr>
            </w:pPr>
            <w:r w:rsidRPr="00000DE7">
              <w:rPr>
                <w:rFonts w:cs="Calibri"/>
                <w:color w:val="000000"/>
                <w:lang w:bidi="ar-SA"/>
              </w:rPr>
              <w:t>2</w:t>
            </w:r>
          </w:p>
        </w:tc>
      </w:tr>
      <w:tr w:rsidR="00000DE7" w:rsidRPr="00000DE7" w14:paraId="2ED46F48" w14:textId="77777777" w:rsidTr="00000DE7">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108089BF" w14:textId="77777777" w:rsidR="00000DE7" w:rsidRPr="00000DE7" w:rsidRDefault="00000DE7" w:rsidP="00000DE7">
            <w:pPr>
              <w:spacing w:before="0" w:line="240" w:lineRule="auto"/>
              <w:rPr>
                <w:rFonts w:cs="Calibri"/>
                <w:color w:val="000000"/>
                <w:lang w:bidi="ar-SA"/>
              </w:rPr>
            </w:pPr>
            <w:r w:rsidRPr="00000DE7">
              <w:rPr>
                <w:rFonts w:cs="Calibri"/>
                <w:color w:val="000000"/>
                <w:lang w:bidi="ar-SA"/>
              </w:rPr>
              <w:t>Kalkaal Homecare</w:t>
            </w:r>
          </w:p>
        </w:tc>
        <w:tc>
          <w:tcPr>
            <w:tcW w:w="2300" w:type="dxa"/>
            <w:tcBorders>
              <w:top w:val="nil"/>
              <w:left w:val="nil"/>
              <w:bottom w:val="single" w:sz="4" w:space="0" w:color="auto"/>
              <w:right w:val="single" w:sz="4" w:space="0" w:color="auto"/>
            </w:tcBorders>
            <w:shd w:val="clear" w:color="auto" w:fill="auto"/>
            <w:noWrap/>
            <w:vAlign w:val="bottom"/>
            <w:hideMark/>
          </w:tcPr>
          <w:p w14:paraId="2E3127E6" w14:textId="77777777" w:rsidR="00000DE7" w:rsidRPr="00000DE7" w:rsidRDefault="00000DE7" w:rsidP="00000DE7">
            <w:pPr>
              <w:spacing w:before="0" w:line="240" w:lineRule="auto"/>
              <w:jc w:val="center"/>
              <w:rPr>
                <w:rFonts w:cs="Calibri"/>
                <w:color w:val="000000"/>
                <w:lang w:bidi="ar-SA"/>
              </w:rPr>
            </w:pPr>
            <w:r w:rsidRPr="00000DE7">
              <w:rPr>
                <w:rFonts w:cs="Calibri"/>
                <w:color w:val="000000"/>
                <w:lang w:bidi="ar-SA"/>
              </w:rPr>
              <w:t>2</w:t>
            </w:r>
          </w:p>
        </w:tc>
      </w:tr>
      <w:tr w:rsidR="00000DE7" w:rsidRPr="00000DE7" w14:paraId="4396BE17" w14:textId="77777777" w:rsidTr="00000DE7">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26BDF6FF" w14:textId="77777777" w:rsidR="00000DE7" w:rsidRPr="00000DE7" w:rsidRDefault="00000DE7" w:rsidP="00000DE7">
            <w:pPr>
              <w:spacing w:before="0" w:line="240" w:lineRule="auto"/>
              <w:rPr>
                <w:rFonts w:cs="Calibri"/>
                <w:color w:val="000000"/>
                <w:lang w:bidi="ar-SA"/>
              </w:rPr>
            </w:pPr>
            <w:r w:rsidRPr="00000DE7">
              <w:rPr>
                <w:rFonts w:cs="Calibri"/>
                <w:color w:val="000000"/>
                <w:lang w:bidi="ar-SA"/>
              </w:rPr>
              <w:t>Knife River</w:t>
            </w:r>
          </w:p>
        </w:tc>
        <w:tc>
          <w:tcPr>
            <w:tcW w:w="2300" w:type="dxa"/>
            <w:tcBorders>
              <w:top w:val="nil"/>
              <w:left w:val="nil"/>
              <w:bottom w:val="single" w:sz="4" w:space="0" w:color="auto"/>
              <w:right w:val="single" w:sz="4" w:space="0" w:color="auto"/>
            </w:tcBorders>
            <w:shd w:val="clear" w:color="auto" w:fill="auto"/>
            <w:noWrap/>
            <w:vAlign w:val="bottom"/>
            <w:hideMark/>
          </w:tcPr>
          <w:p w14:paraId="60B9664F" w14:textId="77777777" w:rsidR="00000DE7" w:rsidRPr="00000DE7" w:rsidRDefault="00000DE7" w:rsidP="00000DE7">
            <w:pPr>
              <w:spacing w:before="0" w:line="240" w:lineRule="auto"/>
              <w:jc w:val="center"/>
              <w:rPr>
                <w:rFonts w:cs="Calibri"/>
                <w:color w:val="000000"/>
                <w:lang w:bidi="ar-SA"/>
              </w:rPr>
            </w:pPr>
            <w:r w:rsidRPr="00000DE7">
              <w:rPr>
                <w:rFonts w:cs="Calibri"/>
                <w:color w:val="000000"/>
                <w:lang w:bidi="ar-SA"/>
              </w:rPr>
              <w:t>2</w:t>
            </w:r>
          </w:p>
        </w:tc>
      </w:tr>
      <w:tr w:rsidR="00000DE7" w:rsidRPr="00000DE7" w14:paraId="5CEEE314" w14:textId="77777777" w:rsidTr="00000DE7">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09074696" w14:textId="77777777" w:rsidR="00000DE7" w:rsidRPr="00000DE7" w:rsidRDefault="00000DE7" w:rsidP="00000DE7">
            <w:pPr>
              <w:spacing w:before="0" w:line="240" w:lineRule="auto"/>
              <w:rPr>
                <w:rFonts w:cs="Calibri"/>
                <w:color w:val="000000"/>
                <w:lang w:bidi="ar-SA"/>
              </w:rPr>
            </w:pPr>
            <w:r w:rsidRPr="00000DE7">
              <w:rPr>
                <w:rFonts w:cs="Calibri"/>
                <w:color w:val="000000"/>
                <w:lang w:bidi="ar-SA"/>
              </w:rPr>
              <w:t>Medical Assembly at CPC</w:t>
            </w:r>
          </w:p>
        </w:tc>
        <w:tc>
          <w:tcPr>
            <w:tcW w:w="2300" w:type="dxa"/>
            <w:tcBorders>
              <w:top w:val="nil"/>
              <w:left w:val="nil"/>
              <w:bottom w:val="single" w:sz="4" w:space="0" w:color="auto"/>
              <w:right w:val="single" w:sz="4" w:space="0" w:color="auto"/>
            </w:tcBorders>
            <w:shd w:val="clear" w:color="auto" w:fill="auto"/>
            <w:noWrap/>
            <w:vAlign w:val="bottom"/>
            <w:hideMark/>
          </w:tcPr>
          <w:p w14:paraId="772B8DE1" w14:textId="77777777" w:rsidR="00000DE7" w:rsidRPr="00000DE7" w:rsidRDefault="00000DE7" w:rsidP="00000DE7">
            <w:pPr>
              <w:spacing w:before="0" w:line="240" w:lineRule="auto"/>
              <w:jc w:val="center"/>
              <w:rPr>
                <w:rFonts w:cs="Calibri"/>
                <w:color w:val="000000"/>
                <w:lang w:bidi="ar-SA"/>
              </w:rPr>
            </w:pPr>
            <w:r w:rsidRPr="00000DE7">
              <w:rPr>
                <w:rFonts w:cs="Calibri"/>
                <w:color w:val="000000"/>
                <w:lang w:bidi="ar-SA"/>
              </w:rPr>
              <w:t>2</w:t>
            </w:r>
          </w:p>
        </w:tc>
      </w:tr>
      <w:tr w:rsidR="00000DE7" w:rsidRPr="00000DE7" w14:paraId="301E1694" w14:textId="77777777" w:rsidTr="00000DE7">
        <w:trPr>
          <w:trHeight w:val="300"/>
        </w:trPr>
        <w:tc>
          <w:tcPr>
            <w:tcW w:w="4880" w:type="dxa"/>
            <w:tcBorders>
              <w:top w:val="nil"/>
              <w:left w:val="single" w:sz="4" w:space="0" w:color="auto"/>
              <w:bottom w:val="single" w:sz="4" w:space="0" w:color="auto"/>
              <w:right w:val="single" w:sz="4" w:space="0" w:color="auto"/>
            </w:tcBorders>
            <w:shd w:val="clear" w:color="auto" w:fill="auto"/>
            <w:vAlign w:val="bottom"/>
            <w:hideMark/>
          </w:tcPr>
          <w:p w14:paraId="538A574C" w14:textId="77777777" w:rsidR="00000DE7" w:rsidRPr="00000DE7" w:rsidRDefault="00000DE7" w:rsidP="00000DE7">
            <w:pPr>
              <w:spacing w:before="0" w:line="240" w:lineRule="auto"/>
              <w:rPr>
                <w:rFonts w:cs="Calibri"/>
                <w:color w:val="000000"/>
                <w:lang w:bidi="ar-SA"/>
              </w:rPr>
            </w:pPr>
            <w:r w:rsidRPr="00000DE7">
              <w:rPr>
                <w:rFonts w:cs="Calibri"/>
                <w:color w:val="000000"/>
                <w:lang w:bidi="ar-SA"/>
              </w:rPr>
              <w:t xml:space="preserve">Rainbow Treecare </w:t>
            </w:r>
          </w:p>
        </w:tc>
        <w:tc>
          <w:tcPr>
            <w:tcW w:w="2300" w:type="dxa"/>
            <w:tcBorders>
              <w:top w:val="nil"/>
              <w:left w:val="nil"/>
              <w:bottom w:val="single" w:sz="4" w:space="0" w:color="auto"/>
              <w:right w:val="single" w:sz="4" w:space="0" w:color="auto"/>
            </w:tcBorders>
            <w:shd w:val="clear" w:color="auto" w:fill="auto"/>
            <w:noWrap/>
            <w:vAlign w:val="bottom"/>
            <w:hideMark/>
          </w:tcPr>
          <w:p w14:paraId="7D43E110" w14:textId="77777777" w:rsidR="00000DE7" w:rsidRPr="00000DE7" w:rsidRDefault="00000DE7" w:rsidP="00000DE7">
            <w:pPr>
              <w:spacing w:before="0" w:line="240" w:lineRule="auto"/>
              <w:jc w:val="center"/>
              <w:rPr>
                <w:rFonts w:cs="Calibri"/>
                <w:color w:val="000000"/>
                <w:lang w:bidi="ar-SA"/>
              </w:rPr>
            </w:pPr>
            <w:r w:rsidRPr="00000DE7">
              <w:rPr>
                <w:rFonts w:cs="Calibri"/>
                <w:color w:val="000000"/>
                <w:lang w:bidi="ar-SA"/>
              </w:rPr>
              <w:t>2</w:t>
            </w:r>
          </w:p>
        </w:tc>
      </w:tr>
      <w:tr w:rsidR="00000DE7" w:rsidRPr="00000DE7" w14:paraId="293572E9" w14:textId="77777777" w:rsidTr="00000DE7">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0D54F7AC" w14:textId="77777777" w:rsidR="00000DE7" w:rsidRPr="00000DE7" w:rsidRDefault="00000DE7" w:rsidP="00000DE7">
            <w:pPr>
              <w:spacing w:before="0" w:line="240" w:lineRule="auto"/>
              <w:rPr>
                <w:rFonts w:cs="Calibri"/>
                <w:color w:val="000000"/>
                <w:lang w:bidi="ar-SA"/>
              </w:rPr>
            </w:pPr>
            <w:r w:rsidRPr="00000DE7">
              <w:rPr>
                <w:rFonts w:cs="Calibri"/>
                <w:color w:val="000000"/>
                <w:lang w:bidi="ar-SA"/>
              </w:rPr>
              <w:t>Salama Child Care Center</w:t>
            </w:r>
          </w:p>
        </w:tc>
        <w:tc>
          <w:tcPr>
            <w:tcW w:w="2300" w:type="dxa"/>
            <w:tcBorders>
              <w:top w:val="nil"/>
              <w:left w:val="nil"/>
              <w:bottom w:val="single" w:sz="4" w:space="0" w:color="auto"/>
              <w:right w:val="single" w:sz="4" w:space="0" w:color="auto"/>
            </w:tcBorders>
            <w:shd w:val="clear" w:color="auto" w:fill="auto"/>
            <w:noWrap/>
            <w:vAlign w:val="bottom"/>
            <w:hideMark/>
          </w:tcPr>
          <w:p w14:paraId="0FAE350A" w14:textId="77777777" w:rsidR="00000DE7" w:rsidRPr="00000DE7" w:rsidRDefault="00000DE7" w:rsidP="00000DE7">
            <w:pPr>
              <w:spacing w:before="0" w:line="240" w:lineRule="auto"/>
              <w:jc w:val="center"/>
              <w:rPr>
                <w:rFonts w:cs="Calibri"/>
                <w:color w:val="000000"/>
                <w:lang w:bidi="ar-SA"/>
              </w:rPr>
            </w:pPr>
            <w:r w:rsidRPr="00000DE7">
              <w:rPr>
                <w:rFonts w:cs="Calibri"/>
                <w:color w:val="000000"/>
                <w:lang w:bidi="ar-SA"/>
              </w:rPr>
              <w:t>2</w:t>
            </w:r>
          </w:p>
        </w:tc>
      </w:tr>
      <w:tr w:rsidR="00000DE7" w:rsidRPr="00000DE7" w14:paraId="353D5CE8" w14:textId="77777777" w:rsidTr="00000DE7">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028629EB" w14:textId="77777777" w:rsidR="00000DE7" w:rsidRPr="00000DE7" w:rsidRDefault="00000DE7" w:rsidP="00000DE7">
            <w:pPr>
              <w:spacing w:before="0" w:line="240" w:lineRule="auto"/>
              <w:rPr>
                <w:rFonts w:cs="Calibri"/>
                <w:color w:val="000000"/>
                <w:lang w:bidi="ar-SA"/>
              </w:rPr>
            </w:pPr>
            <w:r w:rsidRPr="00000DE7">
              <w:rPr>
                <w:rFonts w:cs="Calibri"/>
                <w:color w:val="000000"/>
                <w:lang w:bidi="ar-SA"/>
              </w:rPr>
              <w:t>Serenity Group Homes</w:t>
            </w:r>
          </w:p>
        </w:tc>
        <w:tc>
          <w:tcPr>
            <w:tcW w:w="2300" w:type="dxa"/>
            <w:tcBorders>
              <w:top w:val="nil"/>
              <w:left w:val="nil"/>
              <w:bottom w:val="single" w:sz="4" w:space="0" w:color="auto"/>
              <w:right w:val="single" w:sz="4" w:space="0" w:color="auto"/>
            </w:tcBorders>
            <w:shd w:val="clear" w:color="auto" w:fill="auto"/>
            <w:noWrap/>
            <w:vAlign w:val="bottom"/>
            <w:hideMark/>
          </w:tcPr>
          <w:p w14:paraId="7002C49B" w14:textId="77777777" w:rsidR="00000DE7" w:rsidRPr="00000DE7" w:rsidRDefault="00000DE7" w:rsidP="00000DE7">
            <w:pPr>
              <w:spacing w:before="0" w:line="240" w:lineRule="auto"/>
              <w:jc w:val="center"/>
              <w:rPr>
                <w:rFonts w:cs="Calibri"/>
                <w:color w:val="000000"/>
                <w:lang w:bidi="ar-SA"/>
              </w:rPr>
            </w:pPr>
            <w:r w:rsidRPr="00000DE7">
              <w:rPr>
                <w:rFonts w:cs="Calibri"/>
                <w:color w:val="000000"/>
                <w:lang w:bidi="ar-SA"/>
              </w:rPr>
              <w:t>2</w:t>
            </w:r>
          </w:p>
        </w:tc>
      </w:tr>
      <w:tr w:rsidR="00000DE7" w:rsidRPr="00000DE7" w14:paraId="3E5982D5" w14:textId="77777777" w:rsidTr="00000DE7">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0E21FEBC" w14:textId="77777777" w:rsidR="00000DE7" w:rsidRPr="00000DE7" w:rsidRDefault="00000DE7" w:rsidP="00000DE7">
            <w:pPr>
              <w:spacing w:before="0" w:line="240" w:lineRule="auto"/>
              <w:rPr>
                <w:rFonts w:cs="Calibri"/>
                <w:color w:val="000000"/>
                <w:lang w:bidi="ar-SA"/>
              </w:rPr>
            </w:pPr>
            <w:r w:rsidRPr="00000DE7">
              <w:rPr>
                <w:rFonts w:cs="Calibri"/>
                <w:color w:val="000000"/>
                <w:lang w:bidi="ar-SA"/>
              </w:rPr>
              <w:t>Surad</w:t>
            </w:r>
          </w:p>
        </w:tc>
        <w:tc>
          <w:tcPr>
            <w:tcW w:w="2300" w:type="dxa"/>
            <w:tcBorders>
              <w:top w:val="nil"/>
              <w:left w:val="nil"/>
              <w:bottom w:val="single" w:sz="4" w:space="0" w:color="auto"/>
              <w:right w:val="single" w:sz="4" w:space="0" w:color="auto"/>
            </w:tcBorders>
            <w:shd w:val="clear" w:color="auto" w:fill="auto"/>
            <w:noWrap/>
            <w:vAlign w:val="bottom"/>
            <w:hideMark/>
          </w:tcPr>
          <w:p w14:paraId="49362C97" w14:textId="77777777" w:rsidR="00000DE7" w:rsidRPr="00000DE7" w:rsidRDefault="00000DE7" w:rsidP="00000DE7">
            <w:pPr>
              <w:spacing w:before="0" w:line="240" w:lineRule="auto"/>
              <w:jc w:val="center"/>
              <w:rPr>
                <w:rFonts w:cs="Calibri"/>
                <w:color w:val="000000"/>
                <w:lang w:bidi="ar-SA"/>
              </w:rPr>
            </w:pPr>
            <w:r w:rsidRPr="00000DE7">
              <w:rPr>
                <w:rFonts w:cs="Calibri"/>
                <w:color w:val="000000"/>
                <w:lang w:bidi="ar-SA"/>
              </w:rPr>
              <w:t>2</w:t>
            </w:r>
          </w:p>
        </w:tc>
      </w:tr>
      <w:tr w:rsidR="00000DE7" w:rsidRPr="00000DE7" w14:paraId="35A85DED" w14:textId="77777777" w:rsidTr="00000DE7">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0AFD0764" w14:textId="77777777" w:rsidR="00000DE7" w:rsidRPr="00000DE7" w:rsidRDefault="00000DE7" w:rsidP="00000DE7">
            <w:pPr>
              <w:spacing w:before="0" w:line="240" w:lineRule="auto"/>
              <w:rPr>
                <w:rFonts w:cs="Calibri"/>
                <w:color w:val="000000"/>
                <w:lang w:bidi="ar-SA"/>
              </w:rPr>
            </w:pPr>
            <w:r w:rsidRPr="00000DE7">
              <w:rPr>
                <w:rFonts w:cs="Calibri"/>
                <w:color w:val="000000"/>
                <w:lang w:bidi="ar-SA"/>
              </w:rPr>
              <w:t>Walmart</w:t>
            </w:r>
          </w:p>
        </w:tc>
        <w:tc>
          <w:tcPr>
            <w:tcW w:w="2300" w:type="dxa"/>
            <w:tcBorders>
              <w:top w:val="nil"/>
              <w:left w:val="nil"/>
              <w:bottom w:val="single" w:sz="4" w:space="0" w:color="auto"/>
              <w:right w:val="single" w:sz="4" w:space="0" w:color="auto"/>
            </w:tcBorders>
            <w:shd w:val="clear" w:color="auto" w:fill="auto"/>
            <w:noWrap/>
            <w:vAlign w:val="bottom"/>
            <w:hideMark/>
          </w:tcPr>
          <w:p w14:paraId="28112AEC" w14:textId="77777777" w:rsidR="00000DE7" w:rsidRPr="00000DE7" w:rsidRDefault="00000DE7" w:rsidP="00000DE7">
            <w:pPr>
              <w:spacing w:before="0" w:line="240" w:lineRule="auto"/>
              <w:jc w:val="center"/>
              <w:rPr>
                <w:rFonts w:cs="Calibri"/>
                <w:color w:val="000000"/>
                <w:lang w:bidi="ar-SA"/>
              </w:rPr>
            </w:pPr>
            <w:r w:rsidRPr="00000DE7">
              <w:rPr>
                <w:rFonts w:cs="Calibri"/>
                <w:color w:val="000000"/>
                <w:lang w:bidi="ar-SA"/>
              </w:rPr>
              <w:t>2</w:t>
            </w:r>
          </w:p>
        </w:tc>
      </w:tr>
      <w:tr w:rsidR="00000DE7" w:rsidRPr="00000DE7" w14:paraId="589BD8A6" w14:textId="77777777" w:rsidTr="00000DE7">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17281DCC" w14:textId="77777777" w:rsidR="00000DE7" w:rsidRPr="00000DE7" w:rsidRDefault="00000DE7" w:rsidP="00000DE7">
            <w:pPr>
              <w:spacing w:before="0" w:line="240" w:lineRule="auto"/>
              <w:rPr>
                <w:rFonts w:cs="Calibri"/>
                <w:color w:val="000000"/>
                <w:lang w:bidi="ar-SA"/>
              </w:rPr>
            </w:pPr>
            <w:r w:rsidRPr="00000DE7">
              <w:rPr>
                <w:rFonts w:cs="Calibri"/>
                <w:color w:val="000000"/>
                <w:lang w:bidi="ar-SA"/>
              </w:rPr>
              <w:t>Adult Rehabilitative Mental Health Services</w:t>
            </w:r>
          </w:p>
        </w:tc>
        <w:tc>
          <w:tcPr>
            <w:tcW w:w="2300" w:type="dxa"/>
            <w:tcBorders>
              <w:top w:val="nil"/>
              <w:left w:val="nil"/>
              <w:bottom w:val="single" w:sz="4" w:space="0" w:color="auto"/>
              <w:right w:val="single" w:sz="4" w:space="0" w:color="auto"/>
            </w:tcBorders>
            <w:shd w:val="clear" w:color="auto" w:fill="auto"/>
            <w:noWrap/>
            <w:vAlign w:val="bottom"/>
            <w:hideMark/>
          </w:tcPr>
          <w:p w14:paraId="790BE6A2" w14:textId="77777777" w:rsidR="00000DE7" w:rsidRPr="00000DE7" w:rsidRDefault="00000DE7" w:rsidP="00000DE7">
            <w:pPr>
              <w:spacing w:before="0" w:line="240" w:lineRule="auto"/>
              <w:jc w:val="center"/>
              <w:rPr>
                <w:rFonts w:cs="Calibri"/>
                <w:color w:val="000000"/>
                <w:lang w:bidi="ar-SA"/>
              </w:rPr>
            </w:pPr>
            <w:r w:rsidRPr="00000DE7">
              <w:rPr>
                <w:rFonts w:cs="Calibri"/>
                <w:color w:val="000000"/>
                <w:lang w:bidi="ar-SA"/>
              </w:rPr>
              <w:t>1</w:t>
            </w:r>
          </w:p>
        </w:tc>
      </w:tr>
      <w:tr w:rsidR="00000DE7" w:rsidRPr="00000DE7" w14:paraId="1ECAC8A6" w14:textId="77777777" w:rsidTr="00000DE7">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6DD3459F" w14:textId="77777777" w:rsidR="00000DE7" w:rsidRPr="00000DE7" w:rsidRDefault="00000DE7" w:rsidP="00000DE7">
            <w:pPr>
              <w:spacing w:before="0" w:line="240" w:lineRule="auto"/>
              <w:rPr>
                <w:rFonts w:cs="Calibri"/>
                <w:color w:val="000000"/>
                <w:lang w:bidi="ar-SA"/>
              </w:rPr>
            </w:pPr>
            <w:r w:rsidRPr="00000DE7">
              <w:rPr>
                <w:rFonts w:cs="Calibri"/>
                <w:color w:val="000000"/>
                <w:lang w:bidi="ar-SA"/>
              </w:rPr>
              <w:t>All Over Media Marketing</w:t>
            </w:r>
          </w:p>
        </w:tc>
        <w:tc>
          <w:tcPr>
            <w:tcW w:w="2300" w:type="dxa"/>
            <w:tcBorders>
              <w:top w:val="nil"/>
              <w:left w:val="nil"/>
              <w:bottom w:val="single" w:sz="4" w:space="0" w:color="auto"/>
              <w:right w:val="single" w:sz="4" w:space="0" w:color="auto"/>
            </w:tcBorders>
            <w:shd w:val="clear" w:color="auto" w:fill="auto"/>
            <w:noWrap/>
            <w:vAlign w:val="bottom"/>
            <w:hideMark/>
          </w:tcPr>
          <w:p w14:paraId="5D22E57D" w14:textId="77777777" w:rsidR="00000DE7" w:rsidRPr="00000DE7" w:rsidRDefault="00000DE7" w:rsidP="00000DE7">
            <w:pPr>
              <w:spacing w:before="0" w:line="240" w:lineRule="auto"/>
              <w:jc w:val="center"/>
              <w:rPr>
                <w:rFonts w:cs="Calibri"/>
                <w:color w:val="000000"/>
                <w:lang w:bidi="ar-SA"/>
              </w:rPr>
            </w:pPr>
            <w:r w:rsidRPr="00000DE7">
              <w:rPr>
                <w:rFonts w:cs="Calibri"/>
                <w:color w:val="000000"/>
                <w:lang w:bidi="ar-SA"/>
              </w:rPr>
              <w:t>1</w:t>
            </w:r>
          </w:p>
        </w:tc>
      </w:tr>
      <w:tr w:rsidR="00000DE7" w:rsidRPr="00000DE7" w14:paraId="2B4F2157" w14:textId="77777777" w:rsidTr="00000DE7">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648052C8" w14:textId="77777777" w:rsidR="00000DE7" w:rsidRPr="00000DE7" w:rsidRDefault="00000DE7" w:rsidP="00000DE7">
            <w:pPr>
              <w:spacing w:before="0" w:line="240" w:lineRule="auto"/>
              <w:rPr>
                <w:rFonts w:cs="Calibri"/>
                <w:color w:val="000000"/>
                <w:lang w:bidi="ar-SA"/>
              </w:rPr>
            </w:pPr>
            <w:r w:rsidRPr="00000DE7">
              <w:rPr>
                <w:rFonts w:cs="Calibri"/>
                <w:color w:val="000000"/>
                <w:lang w:bidi="ar-SA"/>
              </w:rPr>
              <w:t>AT&amp;T</w:t>
            </w:r>
          </w:p>
        </w:tc>
        <w:tc>
          <w:tcPr>
            <w:tcW w:w="2300" w:type="dxa"/>
            <w:tcBorders>
              <w:top w:val="nil"/>
              <w:left w:val="nil"/>
              <w:bottom w:val="single" w:sz="4" w:space="0" w:color="auto"/>
              <w:right w:val="single" w:sz="4" w:space="0" w:color="auto"/>
            </w:tcBorders>
            <w:shd w:val="clear" w:color="auto" w:fill="auto"/>
            <w:noWrap/>
            <w:vAlign w:val="bottom"/>
            <w:hideMark/>
          </w:tcPr>
          <w:p w14:paraId="29F4B1A0" w14:textId="77777777" w:rsidR="00000DE7" w:rsidRPr="00000DE7" w:rsidRDefault="00000DE7" w:rsidP="00000DE7">
            <w:pPr>
              <w:spacing w:before="0" w:line="240" w:lineRule="auto"/>
              <w:jc w:val="center"/>
              <w:rPr>
                <w:rFonts w:cs="Calibri"/>
                <w:color w:val="000000"/>
                <w:lang w:bidi="ar-SA"/>
              </w:rPr>
            </w:pPr>
            <w:r w:rsidRPr="00000DE7">
              <w:rPr>
                <w:rFonts w:cs="Calibri"/>
                <w:color w:val="000000"/>
                <w:lang w:bidi="ar-SA"/>
              </w:rPr>
              <w:t>1</w:t>
            </w:r>
          </w:p>
        </w:tc>
      </w:tr>
      <w:tr w:rsidR="00000DE7" w:rsidRPr="00000DE7" w14:paraId="508C6970" w14:textId="77777777" w:rsidTr="00000DE7">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15BED4C2" w14:textId="77777777" w:rsidR="00000DE7" w:rsidRPr="00000DE7" w:rsidRDefault="00000DE7" w:rsidP="00000DE7">
            <w:pPr>
              <w:spacing w:before="0" w:line="240" w:lineRule="auto"/>
              <w:rPr>
                <w:rFonts w:cs="Calibri"/>
                <w:color w:val="000000"/>
                <w:lang w:bidi="ar-SA"/>
              </w:rPr>
            </w:pPr>
            <w:r w:rsidRPr="00000DE7">
              <w:rPr>
                <w:rFonts w:cs="Calibri"/>
                <w:color w:val="000000"/>
                <w:lang w:bidi="ar-SA"/>
              </w:rPr>
              <w:t>Autism Bright Star</w:t>
            </w:r>
          </w:p>
        </w:tc>
        <w:tc>
          <w:tcPr>
            <w:tcW w:w="2300" w:type="dxa"/>
            <w:tcBorders>
              <w:top w:val="nil"/>
              <w:left w:val="nil"/>
              <w:bottom w:val="single" w:sz="4" w:space="0" w:color="auto"/>
              <w:right w:val="single" w:sz="4" w:space="0" w:color="auto"/>
            </w:tcBorders>
            <w:shd w:val="clear" w:color="auto" w:fill="auto"/>
            <w:noWrap/>
            <w:vAlign w:val="bottom"/>
            <w:hideMark/>
          </w:tcPr>
          <w:p w14:paraId="54F4DB43" w14:textId="77777777" w:rsidR="00000DE7" w:rsidRPr="00000DE7" w:rsidRDefault="00000DE7" w:rsidP="00000DE7">
            <w:pPr>
              <w:spacing w:before="0" w:line="240" w:lineRule="auto"/>
              <w:jc w:val="center"/>
              <w:rPr>
                <w:rFonts w:cs="Calibri"/>
                <w:color w:val="000000"/>
                <w:lang w:bidi="ar-SA"/>
              </w:rPr>
            </w:pPr>
            <w:r w:rsidRPr="00000DE7">
              <w:rPr>
                <w:rFonts w:cs="Calibri"/>
                <w:color w:val="000000"/>
                <w:lang w:bidi="ar-SA"/>
              </w:rPr>
              <w:t>1</w:t>
            </w:r>
          </w:p>
        </w:tc>
      </w:tr>
      <w:tr w:rsidR="00000DE7" w:rsidRPr="00000DE7" w14:paraId="0D10B124" w14:textId="77777777" w:rsidTr="00000DE7">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35B5CE32" w14:textId="77777777" w:rsidR="00000DE7" w:rsidRPr="00000DE7" w:rsidRDefault="00000DE7" w:rsidP="00000DE7">
            <w:pPr>
              <w:spacing w:before="0" w:line="240" w:lineRule="auto"/>
              <w:rPr>
                <w:rFonts w:cs="Calibri"/>
                <w:color w:val="000000"/>
                <w:lang w:bidi="ar-SA"/>
              </w:rPr>
            </w:pPr>
            <w:r w:rsidRPr="00000DE7">
              <w:rPr>
                <w:rFonts w:cs="Calibri"/>
                <w:color w:val="000000"/>
                <w:lang w:bidi="ar-SA"/>
              </w:rPr>
              <w:lastRenderedPageBreak/>
              <w:t>Best Buy</w:t>
            </w:r>
          </w:p>
        </w:tc>
        <w:tc>
          <w:tcPr>
            <w:tcW w:w="2300" w:type="dxa"/>
            <w:tcBorders>
              <w:top w:val="nil"/>
              <w:left w:val="nil"/>
              <w:bottom w:val="single" w:sz="4" w:space="0" w:color="auto"/>
              <w:right w:val="single" w:sz="4" w:space="0" w:color="auto"/>
            </w:tcBorders>
            <w:shd w:val="clear" w:color="auto" w:fill="auto"/>
            <w:noWrap/>
            <w:vAlign w:val="bottom"/>
            <w:hideMark/>
          </w:tcPr>
          <w:p w14:paraId="1AB42C35" w14:textId="77777777" w:rsidR="00000DE7" w:rsidRPr="00000DE7" w:rsidRDefault="00000DE7" w:rsidP="00000DE7">
            <w:pPr>
              <w:spacing w:before="0" w:line="240" w:lineRule="auto"/>
              <w:jc w:val="center"/>
              <w:rPr>
                <w:rFonts w:cs="Calibri"/>
                <w:color w:val="000000"/>
                <w:lang w:bidi="ar-SA"/>
              </w:rPr>
            </w:pPr>
            <w:r w:rsidRPr="00000DE7">
              <w:rPr>
                <w:rFonts w:cs="Calibri"/>
                <w:color w:val="000000"/>
                <w:lang w:bidi="ar-SA"/>
              </w:rPr>
              <w:t>1</w:t>
            </w:r>
          </w:p>
        </w:tc>
      </w:tr>
      <w:tr w:rsidR="00000DE7" w:rsidRPr="00000DE7" w14:paraId="257C13A9" w14:textId="77777777" w:rsidTr="00000DE7">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54687B48" w14:textId="77777777" w:rsidR="00000DE7" w:rsidRPr="00000DE7" w:rsidRDefault="00000DE7" w:rsidP="00000DE7">
            <w:pPr>
              <w:spacing w:before="0" w:line="240" w:lineRule="auto"/>
              <w:rPr>
                <w:rFonts w:cs="Calibri"/>
                <w:color w:val="000000"/>
                <w:lang w:bidi="ar-SA"/>
              </w:rPr>
            </w:pPr>
            <w:r w:rsidRPr="00000DE7">
              <w:rPr>
                <w:rFonts w:cs="Calibri"/>
                <w:color w:val="000000"/>
                <w:lang w:bidi="ar-SA"/>
              </w:rPr>
              <w:t>Bethesda</w:t>
            </w:r>
          </w:p>
        </w:tc>
        <w:tc>
          <w:tcPr>
            <w:tcW w:w="2300" w:type="dxa"/>
            <w:tcBorders>
              <w:top w:val="nil"/>
              <w:left w:val="nil"/>
              <w:bottom w:val="single" w:sz="4" w:space="0" w:color="auto"/>
              <w:right w:val="single" w:sz="4" w:space="0" w:color="auto"/>
            </w:tcBorders>
            <w:shd w:val="clear" w:color="auto" w:fill="auto"/>
            <w:noWrap/>
            <w:vAlign w:val="bottom"/>
            <w:hideMark/>
          </w:tcPr>
          <w:p w14:paraId="474E64C1" w14:textId="77777777" w:rsidR="00000DE7" w:rsidRPr="00000DE7" w:rsidRDefault="00000DE7" w:rsidP="00000DE7">
            <w:pPr>
              <w:spacing w:before="0" w:line="240" w:lineRule="auto"/>
              <w:jc w:val="center"/>
              <w:rPr>
                <w:rFonts w:cs="Calibri"/>
                <w:color w:val="000000"/>
                <w:lang w:bidi="ar-SA"/>
              </w:rPr>
            </w:pPr>
            <w:r w:rsidRPr="00000DE7">
              <w:rPr>
                <w:rFonts w:cs="Calibri"/>
                <w:color w:val="000000"/>
                <w:lang w:bidi="ar-SA"/>
              </w:rPr>
              <w:t>1</w:t>
            </w:r>
          </w:p>
        </w:tc>
      </w:tr>
      <w:tr w:rsidR="00000DE7" w:rsidRPr="00000DE7" w14:paraId="44F20C55" w14:textId="77777777" w:rsidTr="00000DE7">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240B022E" w14:textId="77777777" w:rsidR="00000DE7" w:rsidRPr="00000DE7" w:rsidRDefault="00000DE7" w:rsidP="00000DE7">
            <w:pPr>
              <w:spacing w:before="0" w:line="240" w:lineRule="auto"/>
              <w:rPr>
                <w:rFonts w:cs="Calibri"/>
                <w:color w:val="000000"/>
                <w:lang w:bidi="ar-SA"/>
              </w:rPr>
            </w:pPr>
            <w:r w:rsidRPr="00000DE7">
              <w:rPr>
                <w:rFonts w:cs="Calibri"/>
                <w:color w:val="000000"/>
                <w:lang w:bidi="ar-SA"/>
              </w:rPr>
              <w:t xml:space="preserve">Birch Tree Care </w:t>
            </w:r>
          </w:p>
        </w:tc>
        <w:tc>
          <w:tcPr>
            <w:tcW w:w="2300" w:type="dxa"/>
            <w:tcBorders>
              <w:top w:val="nil"/>
              <w:left w:val="nil"/>
              <w:bottom w:val="single" w:sz="4" w:space="0" w:color="auto"/>
              <w:right w:val="single" w:sz="4" w:space="0" w:color="auto"/>
            </w:tcBorders>
            <w:shd w:val="clear" w:color="auto" w:fill="auto"/>
            <w:noWrap/>
            <w:vAlign w:val="bottom"/>
            <w:hideMark/>
          </w:tcPr>
          <w:p w14:paraId="555F52A3" w14:textId="77777777" w:rsidR="00000DE7" w:rsidRPr="00000DE7" w:rsidRDefault="00000DE7" w:rsidP="00000DE7">
            <w:pPr>
              <w:spacing w:before="0" w:line="240" w:lineRule="auto"/>
              <w:jc w:val="center"/>
              <w:rPr>
                <w:rFonts w:cs="Calibri"/>
                <w:color w:val="000000"/>
                <w:lang w:bidi="ar-SA"/>
              </w:rPr>
            </w:pPr>
            <w:r w:rsidRPr="00000DE7">
              <w:rPr>
                <w:rFonts w:cs="Calibri"/>
                <w:color w:val="000000"/>
                <w:lang w:bidi="ar-SA"/>
              </w:rPr>
              <w:t>1</w:t>
            </w:r>
          </w:p>
        </w:tc>
      </w:tr>
      <w:tr w:rsidR="00000DE7" w:rsidRPr="00000DE7" w14:paraId="32FCC41A" w14:textId="77777777" w:rsidTr="00000DE7">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14CFFFE9" w14:textId="77777777" w:rsidR="00000DE7" w:rsidRPr="00000DE7" w:rsidRDefault="00000DE7" w:rsidP="00000DE7">
            <w:pPr>
              <w:spacing w:before="0" w:line="240" w:lineRule="auto"/>
              <w:rPr>
                <w:rFonts w:cs="Calibri"/>
                <w:color w:val="000000"/>
                <w:lang w:bidi="ar-SA"/>
              </w:rPr>
            </w:pPr>
            <w:r w:rsidRPr="00000DE7">
              <w:rPr>
                <w:rFonts w:cs="Calibri"/>
                <w:color w:val="000000"/>
                <w:lang w:bidi="ar-SA"/>
              </w:rPr>
              <w:t>Chipotle</w:t>
            </w:r>
          </w:p>
        </w:tc>
        <w:tc>
          <w:tcPr>
            <w:tcW w:w="2300" w:type="dxa"/>
            <w:tcBorders>
              <w:top w:val="nil"/>
              <w:left w:val="nil"/>
              <w:bottom w:val="single" w:sz="4" w:space="0" w:color="auto"/>
              <w:right w:val="single" w:sz="4" w:space="0" w:color="auto"/>
            </w:tcBorders>
            <w:shd w:val="clear" w:color="auto" w:fill="auto"/>
            <w:noWrap/>
            <w:vAlign w:val="bottom"/>
            <w:hideMark/>
          </w:tcPr>
          <w:p w14:paraId="0A9937C2" w14:textId="77777777" w:rsidR="00000DE7" w:rsidRPr="00000DE7" w:rsidRDefault="00000DE7" w:rsidP="00000DE7">
            <w:pPr>
              <w:spacing w:before="0" w:line="240" w:lineRule="auto"/>
              <w:jc w:val="center"/>
              <w:rPr>
                <w:rFonts w:cs="Calibri"/>
                <w:color w:val="000000"/>
                <w:lang w:bidi="ar-SA"/>
              </w:rPr>
            </w:pPr>
            <w:r w:rsidRPr="00000DE7">
              <w:rPr>
                <w:rFonts w:cs="Calibri"/>
                <w:color w:val="000000"/>
                <w:lang w:bidi="ar-SA"/>
              </w:rPr>
              <w:t>1</w:t>
            </w:r>
          </w:p>
        </w:tc>
      </w:tr>
      <w:tr w:rsidR="00000DE7" w:rsidRPr="00000DE7" w14:paraId="4F7CC8E2" w14:textId="77777777" w:rsidTr="00000DE7">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25FBDCE2" w14:textId="77777777" w:rsidR="00000DE7" w:rsidRPr="00000DE7" w:rsidRDefault="00000DE7" w:rsidP="00000DE7">
            <w:pPr>
              <w:spacing w:before="0" w:line="240" w:lineRule="auto"/>
              <w:rPr>
                <w:rFonts w:cs="Calibri"/>
                <w:color w:val="000000"/>
                <w:lang w:bidi="ar-SA"/>
              </w:rPr>
            </w:pPr>
            <w:r w:rsidRPr="00000DE7">
              <w:rPr>
                <w:rFonts w:cs="Calibri"/>
                <w:color w:val="000000"/>
                <w:lang w:bidi="ar-SA"/>
              </w:rPr>
              <w:t xml:space="preserve">City of St Paul </w:t>
            </w:r>
          </w:p>
        </w:tc>
        <w:tc>
          <w:tcPr>
            <w:tcW w:w="2300" w:type="dxa"/>
            <w:tcBorders>
              <w:top w:val="nil"/>
              <w:left w:val="nil"/>
              <w:bottom w:val="single" w:sz="4" w:space="0" w:color="auto"/>
              <w:right w:val="single" w:sz="4" w:space="0" w:color="auto"/>
            </w:tcBorders>
            <w:shd w:val="clear" w:color="auto" w:fill="auto"/>
            <w:noWrap/>
            <w:vAlign w:val="bottom"/>
            <w:hideMark/>
          </w:tcPr>
          <w:p w14:paraId="4A558FDC" w14:textId="77777777" w:rsidR="00000DE7" w:rsidRPr="00000DE7" w:rsidRDefault="00000DE7" w:rsidP="00000DE7">
            <w:pPr>
              <w:spacing w:before="0" w:line="240" w:lineRule="auto"/>
              <w:jc w:val="center"/>
              <w:rPr>
                <w:rFonts w:cs="Calibri"/>
                <w:color w:val="000000"/>
                <w:lang w:bidi="ar-SA"/>
              </w:rPr>
            </w:pPr>
            <w:r w:rsidRPr="00000DE7">
              <w:rPr>
                <w:rFonts w:cs="Calibri"/>
                <w:color w:val="000000"/>
                <w:lang w:bidi="ar-SA"/>
              </w:rPr>
              <w:t>1</w:t>
            </w:r>
          </w:p>
        </w:tc>
      </w:tr>
      <w:tr w:rsidR="00000DE7" w:rsidRPr="00000DE7" w14:paraId="6373A68F" w14:textId="77777777" w:rsidTr="00000DE7">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01335767" w14:textId="77777777" w:rsidR="00000DE7" w:rsidRPr="00000DE7" w:rsidRDefault="00000DE7" w:rsidP="00000DE7">
            <w:pPr>
              <w:spacing w:before="0" w:line="240" w:lineRule="auto"/>
              <w:rPr>
                <w:rFonts w:cs="Calibri"/>
                <w:color w:val="000000"/>
                <w:lang w:bidi="ar-SA"/>
              </w:rPr>
            </w:pPr>
            <w:r w:rsidRPr="00000DE7">
              <w:rPr>
                <w:rFonts w:cs="Calibri"/>
                <w:color w:val="000000"/>
                <w:lang w:bidi="ar-SA"/>
              </w:rPr>
              <w:t>CVS</w:t>
            </w:r>
          </w:p>
        </w:tc>
        <w:tc>
          <w:tcPr>
            <w:tcW w:w="2300" w:type="dxa"/>
            <w:tcBorders>
              <w:top w:val="nil"/>
              <w:left w:val="nil"/>
              <w:bottom w:val="single" w:sz="4" w:space="0" w:color="auto"/>
              <w:right w:val="single" w:sz="4" w:space="0" w:color="auto"/>
            </w:tcBorders>
            <w:shd w:val="clear" w:color="auto" w:fill="auto"/>
            <w:noWrap/>
            <w:vAlign w:val="bottom"/>
            <w:hideMark/>
          </w:tcPr>
          <w:p w14:paraId="29ACC0F8" w14:textId="77777777" w:rsidR="00000DE7" w:rsidRPr="00000DE7" w:rsidRDefault="00000DE7" w:rsidP="00000DE7">
            <w:pPr>
              <w:spacing w:before="0" w:line="240" w:lineRule="auto"/>
              <w:jc w:val="center"/>
              <w:rPr>
                <w:rFonts w:cs="Calibri"/>
                <w:color w:val="000000"/>
                <w:lang w:bidi="ar-SA"/>
              </w:rPr>
            </w:pPr>
            <w:r w:rsidRPr="00000DE7">
              <w:rPr>
                <w:rFonts w:cs="Calibri"/>
                <w:color w:val="000000"/>
                <w:lang w:bidi="ar-SA"/>
              </w:rPr>
              <w:t>1</w:t>
            </w:r>
          </w:p>
        </w:tc>
      </w:tr>
      <w:tr w:rsidR="00000DE7" w:rsidRPr="00000DE7" w14:paraId="7CDC0610" w14:textId="77777777" w:rsidTr="00000DE7">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66C9B7B1" w14:textId="77777777" w:rsidR="00000DE7" w:rsidRPr="00000DE7" w:rsidRDefault="00000DE7" w:rsidP="00000DE7">
            <w:pPr>
              <w:spacing w:before="0" w:line="240" w:lineRule="auto"/>
              <w:rPr>
                <w:rFonts w:cs="Calibri"/>
                <w:color w:val="000000"/>
                <w:lang w:bidi="ar-SA"/>
              </w:rPr>
            </w:pPr>
            <w:r w:rsidRPr="00000DE7">
              <w:rPr>
                <w:rFonts w:cs="Calibri"/>
                <w:color w:val="000000"/>
                <w:lang w:bidi="ar-SA"/>
              </w:rPr>
              <w:t>Genesys Works </w:t>
            </w:r>
          </w:p>
        </w:tc>
        <w:tc>
          <w:tcPr>
            <w:tcW w:w="2300" w:type="dxa"/>
            <w:tcBorders>
              <w:top w:val="nil"/>
              <w:left w:val="nil"/>
              <w:bottom w:val="single" w:sz="4" w:space="0" w:color="auto"/>
              <w:right w:val="single" w:sz="4" w:space="0" w:color="auto"/>
            </w:tcBorders>
            <w:shd w:val="clear" w:color="auto" w:fill="auto"/>
            <w:noWrap/>
            <w:vAlign w:val="bottom"/>
            <w:hideMark/>
          </w:tcPr>
          <w:p w14:paraId="6398ED7F" w14:textId="77777777" w:rsidR="00000DE7" w:rsidRPr="00000DE7" w:rsidRDefault="00000DE7" w:rsidP="00000DE7">
            <w:pPr>
              <w:spacing w:before="0" w:line="240" w:lineRule="auto"/>
              <w:jc w:val="center"/>
              <w:rPr>
                <w:rFonts w:cs="Calibri"/>
                <w:color w:val="000000"/>
                <w:lang w:bidi="ar-SA"/>
              </w:rPr>
            </w:pPr>
            <w:r w:rsidRPr="00000DE7">
              <w:rPr>
                <w:rFonts w:cs="Calibri"/>
                <w:color w:val="000000"/>
                <w:lang w:bidi="ar-SA"/>
              </w:rPr>
              <w:t>1</w:t>
            </w:r>
          </w:p>
        </w:tc>
      </w:tr>
      <w:tr w:rsidR="00000DE7" w:rsidRPr="00000DE7" w14:paraId="1EBE903C" w14:textId="77777777" w:rsidTr="00000DE7">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1FE1875B" w14:textId="77777777" w:rsidR="00000DE7" w:rsidRPr="00000DE7" w:rsidRDefault="00000DE7" w:rsidP="00000DE7">
            <w:pPr>
              <w:spacing w:before="0" w:line="240" w:lineRule="auto"/>
              <w:rPr>
                <w:rFonts w:cs="Calibri"/>
                <w:color w:val="000000"/>
                <w:lang w:bidi="ar-SA"/>
              </w:rPr>
            </w:pPr>
            <w:r w:rsidRPr="00000DE7">
              <w:rPr>
                <w:rFonts w:cs="Calibri"/>
                <w:color w:val="000000"/>
                <w:lang w:bidi="ar-SA"/>
              </w:rPr>
              <w:t>Gopuff</w:t>
            </w:r>
          </w:p>
        </w:tc>
        <w:tc>
          <w:tcPr>
            <w:tcW w:w="2300" w:type="dxa"/>
            <w:tcBorders>
              <w:top w:val="nil"/>
              <w:left w:val="nil"/>
              <w:bottom w:val="single" w:sz="4" w:space="0" w:color="auto"/>
              <w:right w:val="single" w:sz="4" w:space="0" w:color="auto"/>
            </w:tcBorders>
            <w:shd w:val="clear" w:color="auto" w:fill="auto"/>
            <w:noWrap/>
            <w:vAlign w:val="bottom"/>
            <w:hideMark/>
          </w:tcPr>
          <w:p w14:paraId="2A126522" w14:textId="77777777" w:rsidR="00000DE7" w:rsidRPr="00000DE7" w:rsidRDefault="00000DE7" w:rsidP="00000DE7">
            <w:pPr>
              <w:spacing w:before="0" w:line="240" w:lineRule="auto"/>
              <w:jc w:val="center"/>
              <w:rPr>
                <w:rFonts w:cs="Calibri"/>
                <w:color w:val="000000"/>
                <w:lang w:bidi="ar-SA"/>
              </w:rPr>
            </w:pPr>
            <w:r w:rsidRPr="00000DE7">
              <w:rPr>
                <w:rFonts w:cs="Calibri"/>
                <w:color w:val="000000"/>
                <w:lang w:bidi="ar-SA"/>
              </w:rPr>
              <w:t>1</w:t>
            </w:r>
          </w:p>
        </w:tc>
      </w:tr>
      <w:tr w:rsidR="00000DE7" w:rsidRPr="00000DE7" w14:paraId="6A5C7041" w14:textId="77777777" w:rsidTr="00000DE7">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0FB02132" w14:textId="77777777" w:rsidR="00000DE7" w:rsidRPr="00000DE7" w:rsidRDefault="00000DE7" w:rsidP="00000DE7">
            <w:pPr>
              <w:spacing w:before="0" w:line="240" w:lineRule="auto"/>
              <w:rPr>
                <w:rFonts w:cs="Calibri"/>
                <w:color w:val="000000"/>
                <w:lang w:bidi="ar-SA"/>
              </w:rPr>
            </w:pPr>
            <w:r w:rsidRPr="00000DE7">
              <w:rPr>
                <w:rFonts w:cs="Calibri"/>
                <w:color w:val="000000"/>
                <w:lang w:bidi="ar-SA"/>
              </w:rPr>
              <w:t>Great Wolf Lodge</w:t>
            </w:r>
          </w:p>
        </w:tc>
        <w:tc>
          <w:tcPr>
            <w:tcW w:w="2300" w:type="dxa"/>
            <w:tcBorders>
              <w:top w:val="nil"/>
              <w:left w:val="nil"/>
              <w:bottom w:val="single" w:sz="4" w:space="0" w:color="auto"/>
              <w:right w:val="single" w:sz="4" w:space="0" w:color="auto"/>
            </w:tcBorders>
            <w:shd w:val="clear" w:color="auto" w:fill="auto"/>
            <w:noWrap/>
            <w:vAlign w:val="bottom"/>
            <w:hideMark/>
          </w:tcPr>
          <w:p w14:paraId="72F63502" w14:textId="77777777" w:rsidR="00000DE7" w:rsidRPr="00000DE7" w:rsidRDefault="00000DE7" w:rsidP="00000DE7">
            <w:pPr>
              <w:spacing w:before="0" w:line="240" w:lineRule="auto"/>
              <w:jc w:val="center"/>
              <w:rPr>
                <w:rFonts w:cs="Calibri"/>
                <w:color w:val="000000"/>
                <w:lang w:bidi="ar-SA"/>
              </w:rPr>
            </w:pPr>
            <w:r w:rsidRPr="00000DE7">
              <w:rPr>
                <w:rFonts w:cs="Calibri"/>
                <w:color w:val="000000"/>
                <w:lang w:bidi="ar-SA"/>
              </w:rPr>
              <w:t>1</w:t>
            </w:r>
          </w:p>
        </w:tc>
      </w:tr>
      <w:tr w:rsidR="00000DE7" w:rsidRPr="00000DE7" w14:paraId="30424AFF" w14:textId="77777777" w:rsidTr="00000DE7">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774B686B" w14:textId="77777777" w:rsidR="00000DE7" w:rsidRPr="00000DE7" w:rsidRDefault="00000DE7" w:rsidP="00000DE7">
            <w:pPr>
              <w:spacing w:before="0" w:line="240" w:lineRule="auto"/>
              <w:rPr>
                <w:rFonts w:cs="Calibri"/>
                <w:color w:val="000000"/>
                <w:lang w:bidi="ar-SA"/>
              </w:rPr>
            </w:pPr>
            <w:r w:rsidRPr="00000DE7">
              <w:rPr>
                <w:rFonts w:cs="Calibri"/>
                <w:color w:val="000000"/>
                <w:lang w:bidi="ar-SA"/>
              </w:rPr>
              <w:t>GS Labs</w:t>
            </w:r>
          </w:p>
        </w:tc>
        <w:tc>
          <w:tcPr>
            <w:tcW w:w="2300" w:type="dxa"/>
            <w:tcBorders>
              <w:top w:val="nil"/>
              <w:left w:val="nil"/>
              <w:bottom w:val="single" w:sz="4" w:space="0" w:color="auto"/>
              <w:right w:val="single" w:sz="4" w:space="0" w:color="auto"/>
            </w:tcBorders>
            <w:shd w:val="clear" w:color="auto" w:fill="auto"/>
            <w:noWrap/>
            <w:vAlign w:val="bottom"/>
            <w:hideMark/>
          </w:tcPr>
          <w:p w14:paraId="22F1C5E9" w14:textId="77777777" w:rsidR="00000DE7" w:rsidRPr="00000DE7" w:rsidRDefault="00000DE7" w:rsidP="00000DE7">
            <w:pPr>
              <w:spacing w:before="0" w:line="240" w:lineRule="auto"/>
              <w:jc w:val="center"/>
              <w:rPr>
                <w:rFonts w:cs="Calibri"/>
                <w:color w:val="000000"/>
                <w:lang w:bidi="ar-SA"/>
              </w:rPr>
            </w:pPr>
            <w:r w:rsidRPr="00000DE7">
              <w:rPr>
                <w:rFonts w:cs="Calibri"/>
                <w:color w:val="000000"/>
                <w:lang w:bidi="ar-SA"/>
              </w:rPr>
              <w:t>1</w:t>
            </w:r>
          </w:p>
        </w:tc>
      </w:tr>
      <w:tr w:rsidR="00000DE7" w:rsidRPr="00000DE7" w14:paraId="11B9EAB6" w14:textId="77777777" w:rsidTr="00000DE7">
        <w:trPr>
          <w:trHeight w:val="300"/>
        </w:trPr>
        <w:tc>
          <w:tcPr>
            <w:tcW w:w="4880" w:type="dxa"/>
            <w:tcBorders>
              <w:top w:val="nil"/>
              <w:left w:val="single" w:sz="4" w:space="0" w:color="auto"/>
              <w:bottom w:val="single" w:sz="4" w:space="0" w:color="auto"/>
              <w:right w:val="single" w:sz="4" w:space="0" w:color="auto"/>
            </w:tcBorders>
            <w:shd w:val="clear" w:color="auto" w:fill="auto"/>
            <w:vAlign w:val="bottom"/>
            <w:hideMark/>
          </w:tcPr>
          <w:p w14:paraId="7A43D9D2" w14:textId="77777777" w:rsidR="00000DE7" w:rsidRPr="00000DE7" w:rsidRDefault="00000DE7" w:rsidP="00000DE7">
            <w:pPr>
              <w:spacing w:before="0" w:line="240" w:lineRule="auto"/>
              <w:rPr>
                <w:rFonts w:cs="Calibri"/>
                <w:color w:val="000000"/>
                <w:lang w:bidi="ar-SA"/>
              </w:rPr>
            </w:pPr>
            <w:r w:rsidRPr="00000DE7">
              <w:rPr>
                <w:rFonts w:cs="Calibri"/>
                <w:color w:val="000000"/>
                <w:lang w:bidi="ar-SA"/>
              </w:rPr>
              <w:t>Hamline University</w:t>
            </w:r>
          </w:p>
        </w:tc>
        <w:tc>
          <w:tcPr>
            <w:tcW w:w="2300" w:type="dxa"/>
            <w:tcBorders>
              <w:top w:val="nil"/>
              <w:left w:val="nil"/>
              <w:bottom w:val="single" w:sz="4" w:space="0" w:color="auto"/>
              <w:right w:val="single" w:sz="4" w:space="0" w:color="auto"/>
            </w:tcBorders>
            <w:shd w:val="clear" w:color="auto" w:fill="auto"/>
            <w:noWrap/>
            <w:vAlign w:val="bottom"/>
            <w:hideMark/>
          </w:tcPr>
          <w:p w14:paraId="18084E8B" w14:textId="77777777" w:rsidR="00000DE7" w:rsidRPr="00000DE7" w:rsidRDefault="00000DE7" w:rsidP="00000DE7">
            <w:pPr>
              <w:spacing w:before="0" w:line="240" w:lineRule="auto"/>
              <w:jc w:val="center"/>
              <w:rPr>
                <w:rFonts w:cs="Calibri"/>
                <w:color w:val="000000"/>
                <w:lang w:bidi="ar-SA"/>
              </w:rPr>
            </w:pPr>
            <w:r w:rsidRPr="00000DE7">
              <w:rPr>
                <w:rFonts w:cs="Calibri"/>
                <w:color w:val="000000"/>
                <w:lang w:bidi="ar-SA"/>
              </w:rPr>
              <w:t>1</w:t>
            </w:r>
          </w:p>
        </w:tc>
      </w:tr>
      <w:tr w:rsidR="00000DE7" w:rsidRPr="00000DE7" w14:paraId="35215BEF" w14:textId="77777777" w:rsidTr="00000DE7">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246E1525" w14:textId="77777777" w:rsidR="00000DE7" w:rsidRPr="00000DE7" w:rsidRDefault="00000DE7" w:rsidP="00000DE7">
            <w:pPr>
              <w:spacing w:before="0" w:line="240" w:lineRule="auto"/>
              <w:rPr>
                <w:rFonts w:cs="Calibri"/>
                <w:color w:val="000000"/>
                <w:lang w:bidi="ar-SA"/>
              </w:rPr>
            </w:pPr>
            <w:r w:rsidRPr="00000DE7">
              <w:rPr>
                <w:rFonts w:cs="Calibri"/>
                <w:color w:val="000000"/>
                <w:lang w:bidi="ar-SA"/>
              </w:rPr>
              <w:t>Hilton</w:t>
            </w:r>
          </w:p>
        </w:tc>
        <w:tc>
          <w:tcPr>
            <w:tcW w:w="2300" w:type="dxa"/>
            <w:tcBorders>
              <w:top w:val="nil"/>
              <w:left w:val="nil"/>
              <w:bottom w:val="single" w:sz="4" w:space="0" w:color="auto"/>
              <w:right w:val="single" w:sz="4" w:space="0" w:color="auto"/>
            </w:tcBorders>
            <w:shd w:val="clear" w:color="auto" w:fill="auto"/>
            <w:noWrap/>
            <w:vAlign w:val="bottom"/>
            <w:hideMark/>
          </w:tcPr>
          <w:p w14:paraId="2E2DFBCB" w14:textId="77777777" w:rsidR="00000DE7" w:rsidRPr="00000DE7" w:rsidRDefault="00000DE7" w:rsidP="00000DE7">
            <w:pPr>
              <w:spacing w:before="0" w:line="240" w:lineRule="auto"/>
              <w:jc w:val="center"/>
              <w:rPr>
                <w:rFonts w:cs="Calibri"/>
                <w:color w:val="000000"/>
                <w:lang w:bidi="ar-SA"/>
              </w:rPr>
            </w:pPr>
            <w:r w:rsidRPr="00000DE7">
              <w:rPr>
                <w:rFonts w:cs="Calibri"/>
                <w:color w:val="000000"/>
                <w:lang w:bidi="ar-SA"/>
              </w:rPr>
              <w:t>1</w:t>
            </w:r>
          </w:p>
        </w:tc>
      </w:tr>
      <w:tr w:rsidR="00000DE7" w:rsidRPr="00000DE7" w14:paraId="65789FD1" w14:textId="77777777" w:rsidTr="00000DE7">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5BD0BAB6" w14:textId="77777777" w:rsidR="00000DE7" w:rsidRPr="00000DE7" w:rsidRDefault="00000DE7" w:rsidP="00000DE7">
            <w:pPr>
              <w:spacing w:before="0" w:line="240" w:lineRule="auto"/>
              <w:rPr>
                <w:rFonts w:cs="Calibri"/>
                <w:color w:val="000000"/>
                <w:lang w:bidi="ar-SA"/>
              </w:rPr>
            </w:pPr>
            <w:r w:rsidRPr="00000DE7">
              <w:rPr>
                <w:rFonts w:cs="Calibri"/>
                <w:color w:val="000000"/>
                <w:lang w:bidi="ar-SA"/>
              </w:rPr>
              <w:t>IMI</w:t>
            </w:r>
          </w:p>
        </w:tc>
        <w:tc>
          <w:tcPr>
            <w:tcW w:w="2300" w:type="dxa"/>
            <w:tcBorders>
              <w:top w:val="nil"/>
              <w:left w:val="nil"/>
              <w:bottom w:val="single" w:sz="4" w:space="0" w:color="auto"/>
              <w:right w:val="single" w:sz="4" w:space="0" w:color="auto"/>
            </w:tcBorders>
            <w:shd w:val="clear" w:color="auto" w:fill="auto"/>
            <w:noWrap/>
            <w:vAlign w:val="bottom"/>
            <w:hideMark/>
          </w:tcPr>
          <w:p w14:paraId="7197BE9E" w14:textId="77777777" w:rsidR="00000DE7" w:rsidRPr="00000DE7" w:rsidRDefault="00000DE7" w:rsidP="00000DE7">
            <w:pPr>
              <w:spacing w:before="0" w:line="240" w:lineRule="auto"/>
              <w:jc w:val="center"/>
              <w:rPr>
                <w:rFonts w:cs="Calibri"/>
                <w:color w:val="000000"/>
                <w:lang w:bidi="ar-SA"/>
              </w:rPr>
            </w:pPr>
            <w:r w:rsidRPr="00000DE7">
              <w:rPr>
                <w:rFonts w:cs="Calibri"/>
                <w:color w:val="000000"/>
                <w:lang w:bidi="ar-SA"/>
              </w:rPr>
              <w:t>1</w:t>
            </w:r>
          </w:p>
        </w:tc>
      </w:tr>
      <w:tr w:rsidR="00000DE7" w:rsidRPr="00000DE7" w14:paraId="655AC1F7" w14:textId="77777777" w:rsidTr="00000DE7">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5F980ED5" w14:textId="77777777" w:rsidR="00000DE7" w:rsidRPr="00000DE7" w:rsidRDefault="00000DE7" w:rsidP="00000DE7">
            <w:pPr>
              <w:spacing w:before="0" w:line="240" w:lineRule="auto"/>
              <w:rPr>
                <w:rFonts w:cs="Calibri"/>
                <w:color w:val="000000"/>
                <w:lang w:bidi="ar-SA"/>
              </w:rPr>
            </w:pPr>
            <w:r w:rsidRPr="00000DE7">
              <w:rPr>
                <w:rFonts w:cs="Calibri"/>
                <w:color w:val="000000"/>
                <w:lang w:bidi="ar-SA"/>
              </w:rPr>
              <w:t>Lumen</w:t>
            </w:r>
          </w:p>
        </w:tc>
        <w:tc>
          <w:tcPr>
            <w:tcW w:w="2300" w:type="dxa"/>
            <w:tcBorders>
              <w:top w:val="nil"/>
              <w:left w:val="nil"/>
              <w:bottom w:val="single" w:sz="4" w:space="0" w:color="auto"/>
              <w:right w:val="single" w:sz="4" w:space="0" w:color="auto"/>
            </w:tcBorders>
            <w:shd w:val="clear" w:color="auto" w:fill="auto"/>
            <w:noWrap/>
            <w:vAlign w:val="bottom"/>
            <w:hideMark/>
          </w:tcPr>
          <w:p w14:paraId="677DEF85" w14:textId="77777777" w:rsidR="00000DE7" w:rsidRPr="00000DE7" w:rsidRDefault="00000DE7" w:rsidP="00000DE7">
            <w:pPr>
              <w:spacing w:before="0" w:line="240" w:lineRule="auto"/>
              <w:jc w:val="center"/>
              <w:rPr>
                <w:rFonts w:cs="Calibri"/>
                <w:color w:val="000000"/>
                <w:lang w:bidi="ar-SA"/>
              </w:rPr>
            </w:pPr>
            <w:r w:rsidRPr="00000DE7">
              <w:rPr>
                <w:rFonts w:cs="Calibri"/>
                <w:color w:val="000000"/>
                <w:lang w:bidi="ar-SA"/>
              </w:rPr>
              <w:t>1</w:t>
            </w:r>
          </w:p>
        </w:tc>
      </w:tr>
      <w:tr w:rsidR="00000DE7" w:rsidRPr="00000DE7" w14:paraId="088BCC6B" w14:textId="77777777" w:rsidTr="00000DE7">
        <w:trPr>
          <w:trHeight w:val="300"/>
        </w:trPr>
        <w:tc>
          <w:tcPr>
            <w:tcW w:w="4880" w:type="dxa"/>
            <w:tcBorders>
              <w:top w:val="nil"/>
              <w:left w:val="single" w:sz="4" w:space="0" w:color="auto"/>
              <w:bottom w:val="single" w:sz="4" w:space="0" w:color="auto"/>
              <w:right w:val="single" w:sz="4" w:space="0" w:color="auto"/>
            </w:tcBorders>
            <w:shd w:val="clear" w:color="auto" w:fill="auto"/>
            <w:vAlign w:val="bottom"/>
            <w:hideMark/>
          </w:tcPr>
          <w:p w14:paraId="65D01C36" w14:textId="77777777" w:rsidR="00000DE7" w:rsidRPr="00000DE7" w:rsidRDefault="00000DE7" w:rsidP="00000DE7">
            <w:pPr>
              <w:spacing w:before="0" w:line="240" w:lineRule="auto"/>
              <w:rPr>
                <w:rFonts w:cs="Calibri"/>
                <w:color w:val="000000"/>
                <w:lang w:bidi="ar-SA"/>
              </w:rPr>
            </w:pPr>
            <w:r w:rsidRPr="00000DE7">
              <w:rPr>
                <w:rFonts w:cs="Calibri"/>
                <w:color w:val="000000"/>
                <w:lang w:bidi="ar-SA"/>
              </w:rPr>
              <w:t>Mall of America</w:t>
            </w:r>
          </w:p>
        </w:tc>
        <w:tc>
          <w:tcPr>
            <w:tcW w:w="2300" w:type="dxa"/>
            <w:tcBorders>
              <w:top w:val="nil"/>
              <w:left w:val="nil"/>
              <w:bottom w:val="single" w:sz="4" w:space="0" w:color="auto"/>
              <w:right w:val="single" w:sz="4" w:space="0" w:color="auto"/>
            </w:tcBorders>
            <w:shd w:val="clear" w:color="auto" w:fill="auto"/>
            <w:noWrap/>
            <w:vAlign w:val="bottom"/>
            <w:hideMark/>
          </w:tcPr>
          <w:p w14:paraId="7BD72AA4" w14:textId="77777777" w:rsidR="00000DE7" w:rsidRPr="00000DE7" w:rsidRDefault="00000DE7" w:rsidP="00000DE7">
            <w:pPr>
              <w:spacing w:before="0" w:line="240" w:lineRule="auto"/>
              <w:jc w:val="center"/>
              <w:rPr>
                <w:rFonts w:cs="Calibri"/>
                <w:color w:val="000000"/>
                <w:lang w:bidi="ar-SA"/>
              </w:rPr>
            </w:pPr>
            <w:r w:rsidRPr="00000DE7">
              <w:rPr>
                <w:rFonts w:cs="Calibri"/>
                <w:color w:val="000000"/>
                <w:lang w:bidi="ar-SA"/>
              </w:rPr>
              <w:t>1</w:t>
            </w:r>
          </w:p>
        </w:tc>
      </w:tr>
      <w:tr w:rsidR="00000DE7" w:rsidRPr="00000DE7" w14:paraId="140E5318" w14:textId="77777777" w:rsidTr="00000DE7">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762DDBA4" w14:textId="77777777" w:rsidR="00000DE7" w:rsidRPr="00000DE7" w:rsidRDefault="00000DE7" w:rsidP="00000DE7">
            <w:pPr>
              <w:spacing w:before="0" w:line="240" w:lineRule="auto"/>
              <w:rPr>
                <w:rFonts w:cs="Calibri"/>
                <w:color w:val="000000"/>
                <w:lang w:bidi="ar-SA"/>
              </w:rPr>
            </w:pPr>
            <w:r w:rsidRPr="00000DE7">
              <w:rPr>
                <w:rFonts w:cs="Calibri"/>
                <w:color w:val="000000"/>
                <w:lang w:bidi="ar-SA"/>
              </w:rPr>
              <w:t>Mental Health Care Counseling</w:t>
            </w:r>
          </w:p>
        </w:tc>
        <w:tc>
          <w:tcPr>
            <w:tcW w:w="2300" w:type="dxa"/>
            <w:tcBorders>
              <w:top w:val="nil"/>
              <w:left w:val="nil"/>
              <w:bottom w:val="single" w:sz="4" w:space="0" w:color="auto"/>
              <w:right w:val="single" w:sz="4" w:space="0" w:color="auto"/>
            </w:tcBorders>
            <w:shd w:val="clear" w:color="auto" w:fill="auto"/>
            <w:noWrap/>
            <w:vAlign w:val="bottom"/>
            <w:hideMark/>
          </w:tcPr>
          <w:p w14:paraId="58501A50" w14:textId="77777777" w:rsidR="00000DE7" w:rsidRPr="00000DE7" w:rsidRDefault="00000DE7" w:rsidP="00000DE7">
            <w:pPr>
              <w:spacing w:before="0" w:line="240" w:lineRule="auto"/>
              <w:jc w:val="center"/>
              <w:rPr>
                <w:rFonts w:cs="Calibri"/>
                <w:color w:val="000000"/>
                <w:lang w:bidi="ar-SA"/>
              </w:rPr>
            </w:pPr>
            <w:r w:rsidRPr="00000DE7">
              <w:rPr>
                <w:rFonts w:cs="Calibri"/>
                <w:color w:val="000000"/>
                <w:lang w:bidi="ar-SA"/>
              </w:rPr>
              <w:t>1</w:t>
            </w:r>
          </w:p>
        </w:tc>
      </w:tr>
      <w:tr w:rsidR="00000DE7" w:rsidRPr="00000DE7" w14:paraId="0E58BBB1" w14:textId="77777777" w:rsidTr="00000DE7">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04968601" w14:textId="77777777" w:rsidR="00000DE7" w:rsidRPr="00000DE7" w:rsidRDefault="00000DE7" w:rsidP="00000DE7">
            <w:pPr>
              <w:spacing w:before="0" w:line="240" w:lineRule="auto"/>
              <w:rPr>
                <w:rFonts w:cs="Calibri"/>
                <w:color w:val="000000"/>
                <w:lang w:bidi="ar-SA"/>
              </w:rPr>
            </w:pPr>
            <w:r w:rsidRPr="00000DE7">
              <w:rPr>
                <w:rFonts w:cs="Calibri"/>
                <w:color w:val="000000"/>
                <w:lang w:bidi="ar-SA"/>
              </w:rPr>
              <w:t>Metropolitan State University</w:t>
            </w:r>
          </w:p>
        </w:tc>
        <w:tc>
          <w:tcPr>
            <w:tcW w:w="2300" w:type="dxa"/>
            <w:tcBorders>
              <w:top w:val="nil"/>
              <w:left w:val="nil"/>
              <w:bottom w:val="single" w:sz="4" w:space="0" w:color="auto"/>
              <w:right w:val="single" w:sz="4" w:space="0" w:color="auto"/>
            </w:tcBorders>
            <w:shd w:val="clear" w:color="auto" w:fill="auto"/>
            <w:noWrap/>
            <w:vAlign w:val="bottom"/>
            <w:hideMark/>
          </w:tcPr>
          <w:p w14:paraId="1D9F9661" w14:textId="77777777" w:rsidR="00000DE7" w:rsidRPr="00000DE7" w:rsidRDefault="00000DE7" w:rsidP="00000DE7">
            <w:pPr>
              <w:spacing w:before="0" w:line="240" w:lineRule="auto"/>
              <w:jc w:val="center"/>
              <w:rPr>
                <w:rFonts w:cs="Calibri"/>
                <w:color w:val="000000"/>
                <w:lang w:bidi="ar-SA"/>
              </w:rPr>
            </w:pPr>
            <w:r w:rsidRPr="00000DE7">
              <w:rPr>
                <w:rFonts w:cs="Calibri"/>
                <w:color w:val="000000"/>
                <w:lang w:bidi="ar-SA"/>
              </w:rPr>
              <w:t>1</w:t>
            </w:r>
          </w:p>
        </w:tc>
      </w:tr>
      <w:tr w:rsidR="00000DE7" w:rsidRPr="00000DE7" w14:paraId="137CEBF7" w14:textId="77777777" w:rsidTr="00000DE7">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7D252E78" w14:textId="77777777" w:rsidR="00000DE7" w:rsidRPr="00000DE7" w:rsidRDefault="00000DE7" w:rsidP="00000DE7">
            <w:pPr>
              <w:spacing w:before="0" w:line="240" w:lineRule="auto"/>
              <w:rPr>
                <w:rFonts w:cs="Calibri"/>
                <w:color w:val="000000"/>
                <w:lang w:bidi="ar-SA"/>
              </w:rPr>
            </w:pPr>
            <w:r w:rsidRPr="00000DE7">
              <w:rPr>
                <w:rFonts w:cs="Calibri"/>
                <w:color w:val="000000"/>
                <w:lang w:bidi="ar-SA"/>
              </w:rPr>
              <w:t>North Side Day Service</w:t>
            </w:r>
          </w:p>
        </w:tc>
        <w:tc>
          <w:tcPr>
            <w:tcW w:w="2300" w:type="dxa"/>
            <w:tcBorders>
              <w:top w:val="nil"/>
              <w:left w:val="nil"/>
              <w:bottom w:val="single" w:sz="4" w:space="0" w:color="auto"/>
              <w:right w:val="single" w:sz="4" w:space="0" w:color="auto"/>
            </w:tcBorders>
            <w:shd w:val="clear" w:color="auto" w:fill="auto"/>
            <w:noWrap/>
            <w:vAlign w:val="bottom"/>
            <w:hideMark/>
          </w:tcPr>
          <w:p w14:paraId="1674A224" w14:textId="77777777" w:rsidR="00000DE7" w:rsidRPr="00000DE7" w:rsidRDefault="00000DE7" w:rsidP="00000DE7">
            <w:pPr>
              <w:spacing w:before="0" w:line="240" w:lineRule="auto"/>
              <w:jc w:val="center"/>
              <w:rPr>
                <w:rFonts w:cs="Calibri"/>
                <w:color w:val="000000"/>
                <w:lang w:bidi="ar-SA"/>
              </w:rPr>
            </w:pPr>
            <w:r w:rsidRPr="00000DE7">
              <w:rPr>
                <w:rFonts w:cs="Calibri"/>
                <w:color w:val="000000"/>
                <w:lang w:bidi="ar-SA"/>
              </w:rPr>
              <w:t>1</w:t>
            </w:r>
          </w:p>
        </w:tc>
      </w:tr>
      <w:tr w:rsidR="00000DE7" w:rsidRPr="00000DE7" w14:paraId="45EB5688" w14:textId="77777777" w:rsidTr="00000DE7">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3A750EA4" w14:textId="77777777" w:rsidR="00000DE7" w:rsidRPr="00000DE7" w:rsidRDefault="00000DE7" w:rsidP="00000DE7">
            <w:pPr>
              <w:spacing w:before="0" w:line="240" w:lineRule="auto"/>
              <w:rPr>
                <w:rFonts w:cs="Calibri"/>
                <w:color w:val="000000"/>
                <w:lang w:bidi="ar-SA"/>
              </w:rPr>
            </w:pPr>
            <w:r w:rsidRPr="00000DE7">
              <w:rPr>
                <w:rFonts w:cs="Calibri"/>
                <w:color w:val="000000"/>
                <w:lang w:bidi="ar-SA"/>
              </w:rPr>
              <w:t>Old Navy</w:t>
            </w:r>
          </w:p>
        </w:tc>
        <w:tc>
          <w:tcPr>
            <w:tcW w:w="2300" w:type="dxa"/>
            <w:tcBorders>
              <w:top w:val="nil"/>
              <w:left w:val="nil"/>
              <w:bottom w:val="single" w:sz="4" w:space="0" w:color="auto"/>
              <w:right w:val="single" w:sz="4" w:space="0" w:color="auto"/>
            </w:tcBorders>
            <w:shd w:val="clear" w:color="auto" w:fill="auto"/>
            <w:noWrap/>
            <w:vAlign w:val="bottom"/>
            <w:hideMark/>
          </w:tcPr>
          <w:p w14:paraId="37BF6DFD" w14:textId="77777777" w:rsidR="00000DE7" w:rsidRPr="00000DE7" w:rsidRDefault="00000DE7" w:rsidP="00000DE7">
            <w:pPr>
              <w:spacing w:before="0" w:line="240" w:lineRule="auto"/>
              <w:jc w:val="center"/>
              <w:rPr>
                <w:rFonts w:cs="Calibri"/>
                <w:color w:val="000000"/>
                <w:lang w:bidi="ar-SA"/>
              </w:rPr>
            </w:pPr>
            <w:r w:rsidRPr="00000DE7">
              <w:rPr>
                <w:rFonts w:cs="Calibri"/>
                <w:color w:val="000000"/>
                <w:lang w:bidi="ar-SA"/>
              </w:rPr>
              <w:t>1</w:t>
            </w:r>
          </w:p>
        </w:tc>
      </w:tr>
      <w:tr w:rsidR="00000DE7" w:rsidRPr="00000DE7" w14:paraId="74BE0AAB" w14:textId="77777777" w:rsidTr="00000DE7">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70636E27" w14:textId="77777777" w:rsidR="00000DE7" w:rsidRPr="00000DE7" w:rsidRDefault="00000DE7" w:rsidP="00000DE7">
            <w:pPr>
              <w:spacing w:before="0" w:line="240" w:lineRule="auto"/>
              <w:rPr>
                <w:rFonts w:cs="Calibri"/>
                <w:color w:val="000000"/>
                <w:lang w:bidi="ar-SA"/>
              </w:rPr>
            </w:pPr>
            <w:r w:rsidRPr="00000DE7">
              <w:rPr>
                <w:rFonts w:cs="Calibri"/>
                <w:color w:val="000000"/>
                <w:lang w:bidi="ar-SA"/>
              </w:rPr>
              <w:t>Organic Bob</w:t>
            </w:r>
          </w:p>
        </w:tc>
        <w:tc>
          <w:tcPr>
            <w:tcW w:w="2300" w:type="dxa"/>
            <w:tcBorders>
              <w:top w:val="nil"/>
              <w:left w:val="nil"/>
              <w:bottom w:val="single" w:sz="4" w:space="0" w:color="auto"/>
              <w:right w:val="single" w:sz="4" w:space="0" w:color="auto"/>
            </w:tcBorders>
            <w:shd w:val="clear" w:color="auto" w:fill="auto"/>
            <w:noWrap/>
            <w:vAlign w:val="bottom"/>
            <w:hideMark/>
          </w:tcPr>
          <w:p w14:paraId="3185CAB3" w14:textId="77777777" w:rsidR="00000DE7" w:rsidRPr="00000DE7" w:rsidRDefault="00000DE7" w:rsidP="00000DE7">
            <w:pPr>
              <w:spacing w:before="0" w:line="240" w:lineRule="auto"/>
              <w:jc w:val="center"/>
              <w:rPr>
                <w:rFonts w:cs="Calibri"/>
                <w:color w:val="000000"/>
                <w:lang w:bidi="ar-SA"/>
              </w:rPr>
            </w:pPr>
            <w:r w:rsidRPr="00000DE7">
              <w:rPr>
                <w:rFonts w:cs="Calibri"/>
                <w:color w:val="000000"/>
                <w:lang w:bidi="ar-SA"/>
              </w:rPr>
              <w:t>1</w:t>
            </w:r>
          </w:p>
        </w:tc>
      </w:tr>
      <w:tr w:rsidR="00000DE7" w:rsidRPr="00000DE7" w14:paraId="09CF2A53" w14:textId="77777777" w:rsidTr="00000DE7">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39AC3390" w14:textId="77777777" w:rsidR="00000DE7" w:rsidRPr="00000DE7" w:rsidRDefault="00000DE7" w:rsidP="00000DE7">
            <w:pPr>
              <w:spacing w:before="0" w:line="240" w:lineRule="auto"/>
              <w:rPr>
                <w:rFonts w:cs="Calibri"/>
                <w:color w:val="000000"/>
                <w:lang w:bidi="ar-SA"/>
              </w:rPr>
            </w:pPr>
            <w:r w:rsidRPr="00000DE7">
              <w:rPr>
                <w:rFonts w:cs="Calibri"/>
                <w:color w:val="000000"/>
                <w:lang w:bidi="ar-SA"/>
              </w:rPr>
              <w:t>Rahma Home Care</w:t>
            </w:r>
          </w:p>
        </w:tc>
        <w:tc>
          <w:tcPr>
            <w:tcW w:w="2300" w:type="dxa"/>
            <w:tcBorders>
              <w:top w:val="nil"/>
              <w:left w:val="nil"/>
              <w:bottom w:val="single" w:sz="4" w:space="0" w:color="auto"/>
              <w:right w:val="single" w:sz="4" w:space="0" w:color="auto"/>
            </w:tcBorders>
            <w:shd w:val="clear" w:color="auto" w:fill="auto"/>
            <w:noWrap/>
            <w:vAlign w:val="bottom"/>
            <w:hideMark/>
          </w:tcPr>
          <w:p w14:paraId="1E42F574" w14:textId="77777777" w:rsidR="00000DE7" w:rsidRPr="00000DE7" w:rsidRDefault="00000DE7" w:rsidP="00000DE7">
            <w:pPr>
              <w:spacing w:before="0" w:line="240" w:lineRule="auto"/>
              <w:jc w:val="center"/>
              <w:rPr>
                <w:rFonts w:cs="Calibri"/>
                <w:color w:val="000000"/>
                <w:lang w:bidi="ar-SA"/>
              </w:rPr>
            </w:pPr>
            <w:r w:rsidRPr="00000DE7">
              <w:rPr>
                <w:rFonts w:cs="Calibri"/>
                <w:color w:val="000000"/>
                <w:lang w:bidi="ar-SA"/>
              </w:rPr>
              <w:t>1</w:t>
            </w:r>
          </w:p>
        </w:tc>
      </w:tr>
      <w:tr w:rsidR="00000DE7" w:rsidRPr="00000DE7" w14:paraId="40848204" w14:textId="77777777" w:rsidTr="00000DE7">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6B977B0E" w14:textId="77777777" w:rsidR="00000DE7" w:rsidRPr="00000DE7" w:rsidRDefault="00000DE7" w:rsidP="00000DE7">
            <w:pPr>
              <w:spacing w:before="0" w:line="240" w:lineRule="auto"/>
              <w:rPr>
                <w:rFonts w:cs="Calibri"/>
                <w:color w:val="000000"/>
                <w:lang w:bidi="ar-SA"/>
              </w:rPr>
            </w:pPr>
            <w:r w:rsidRPr="00000DE7">
              <w:rPr>
                <w:rFonts w:cs="Calibri"/>
                <w:color w:val="000000"/>
                <w:lang w:bidi="ar-SA"/>
              </w:rPr>
              <w:t>Safeway Home Medica</w:t>
            </w:r>
          </w:p>
        </w:tc>
        <w:tc>
          <w:tcPr>
            <w:tcW w:w="2300" w:type="dxa"/>
            <w:tcBorders>
              <w:top w:val="nil"/>
              <w:left w:val="nil"/>
              <w:bottom w:val="single" w:sz="4" w:space="0" w:color="auto"/>
              <w:right w:val="single" w:sz="4" w:space="0" w:color="auto"/>
            </w:tcBorders>
            <w:shd w:val="clear" w:color="auto" w:fill="auto"/>
            <w:noWrap/>
            <w:vAlign w:val="bottom"/>
            <w:hideMark/>
          </w:tcPr>
          <w:p w14:paraId="2D58BE2D" w14:textId="77777777" w:rsidR="00000DE7" w:rsidRPr="00000DE7" w:rsidRDefault="00000DE7" w:rsidP="00000DE7">
            <w:pPr>
              <w:spacing w:before="0" w:line="240" w:lineRule="auto"/>
              <w:jc w:val="center"/>
              <w:rPr>
                <w:rFonts w:cs="Calibri"/>
                <w:color w:val="000000"/>
                <w:lang w:bidi="ar-SA"/>
              </w:rPr>
            </w:pPr>
            <w:r w:rsidRPr="00000DE7">
              <w:rPr>
                <w:rFonts w:cs="Calibri"/>
                <w:color w:val="000000"/>
                <w:lang w:bidi="ar-SA"/>
              </w:rPr>
              <w:t>1</w:t>
            </w:r>
          </w:p>
        </w:tc>
      </w:tr>
      <w:tr w:rsidR="00000DE7" w:rsidRPr="00000DE7" w14:paraId="7DD4064B" w14:textId="77777777" w:rsidTr="00000DE7">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367C99BD" w14:textId="77777777" w:rsidR="00000DE7" w:rsidRPr="00000DE7" w:rsidRDefault="00000DE7" w:rsidP="00000DE7">
            <w:pPr>
              <w:spacing w:before="0" w:line="240" w:lineRule="auto"/>
              <w:rPr>
                <w:rFonts w:cs="Calibri"/>
                <w:color w:val="000000"/>
                <w:lang w:bidi="ar-SA"/>
              </w:rPr>
            </w:pPr>
            <w:r w:rsidRPr="00000DE7">
              <w:rPr>
                <w:rFonts w:cs="Calibri"/>
                <w:color w:val="000000"/>
                <w:lang w:bidi="ar-SA"/>
              </w:rPr>
              <w:t>ScribeAmerica</w:t>
            </w:r>
          </w:p>
        </w:tc>
        <w:tc>
          <w:tcPr>
            <w:tcW w:w="2300" w:type="dxa"/>
            <w:tcBorders>
              <w:top w:val="nil"/>
              <w:left w:val="nil"/>
              <w:bottom w:val="single" w:sz="4" w:space="0" w:color="auto"/>
              <w:right w:val="single" w:sz="4" w:space="0" w:color="auto"/>
            </w:tcBorders>
            <w:shd w:val="clear" w:color="auto" w:fill="auto"/>
            <w:noWrap/>
            <w:vAlign w:val="bottom"/>
            <w:hideMark/>
          </w:tcPr>
          <w:p w14:paraId="6522A9AC" w14:textId="77777777" w:rsidR="00000DE7" w:rsidRPr="00000DE7" w:rsidRDefault="00000DE7" w:rsidP="00000DE7">
            <w:pPr>
              <w:spacing w:before="0" w:line="240" w:lineRule="auto"/>
              <w:jc w:val="center"/>
              <w:rPr>
                <w:rFonts w:cs="Calibri"/>
                <w:color w:val="000000"/>
                <w:lang w:bidi="ar-SA"/>
              </w:rPr>
            </w:pPr>
            <w:r w:rsidRPr="00000DE7">
              <w:rPr>
                <w:rFonts w:cs="Calibri"/>
                <w:color w:val="000000"/>
                <w:lang w:bidi="ar-SA"/>
              </w:rPr>
              <w:t>1</w:t>
            </w:r>
          </w:p>
        </w:tc>
      </w:tr>
      <w:tr w:rsidR="00000DE7" w:rsidRPr="00000DE7" w14:paraId="61C620BA" w14:textId="77777777" w:rsidTr="00000DE7">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4A027125" w14:textId="77777777" w:rsidR="00000DE7" w:rsidRPr="00000DE7" w:rsidRDefault="00000DE7" w:rsidP="00000DE7">
            <w:pPr>
              <w:spacing w:before="0" w:line="240" w:lineRule="auto"/>
              <w:rPr>
                <w:rFonts w:cs="Calibri"/>
                <w:color w:val="000000"/>
                <w:lang w:bidi="ar-SA"/>
              </w:rPr>
            </w:pPr>
            <w:r w:rsidRPr="00000DE7">
              <w:rPr>
                <w:rFonts w:cs="Calibri"/>
                <w:color w:val="000000"/>
                <w:lang w:bidi="ar-SA"/>
              </w:rPr>
              <w:t>Skyline Math &amp; Science Academy</w:t>
            </w:r>
          </w:p>
        </w:tc>
        <w:tc>
          <w:tcPr>
            <w:tcW w:w="2300" w:type="dxa"/>
            <w:tcBorders>
              <w:top w:val="nil"/>
              <w:left w:val="nil"/>
              <w:bottom w:val="single" w:sz="4" w:space="0" w:color="auto"/>
              <w:right w:val="single" w:sz="4" w:space="0" w:color="auto"/>
            </w:tcBorders>
            <w:shd w:val="clear" w:color="auto" w:fill="auto"/>
            <w:noWrap/>
            <w:vAlign w:val="bottom"/>
            <w:hideMark/>
          </w:tcPr>
          <w:p w14:paraId="5ABB62B2" w14:textId="77777777" w:rsidR="00000DE7" w:rsidRPr="00000DE7" w:rsidRDefault="00000DE7" w:rsidP="00000DE7">
            <w:pPr>
              <w:spacing w:before="0" w:line="240" w:lineRule="auto"/>
              <w:jc w:val="center"/>
              <w:rPr>
                <w:rFonts w:cs="Calibri"/>
                <w:color w:val="000000"/>
                <w:lang w:bidi="ar-SA"/>
              </w:rPr>
            </w:pPr>
            <w:r w:rsidRPr="00000DE7">
              <w:rPr>
                <w:rFonts w:cs="Calibri"/>
                <w:color w:val="000000"/>
                <w:lang w:bidi="ar-SA"/>
              </w:rPr>
              <w:t>1</w:t>
            </w:r>
          </w:p>
        </w:tc>
      </w:tr>
      <w:tr w:rsidR="00000DE7" w:rsidRPr="00000DE7" w14:paraId="68A896BA" w14:textId="77777777" w:rsidTr="00000DE7">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08E26627" w14:textId="77777777" w:rsidR="00000DE7" w:rsidRPr="00000DE7" w:rsidRDefault="00000DE7" w:rsidP="00000DE7">
            <w:pPr>
              <w:spacing w:before="0" w:line="240" w:lineRule="auto"/>
              <w:rPr>
                <w:rFonts w:cs="Calibri"/>
                <w:color w:val="000000"/>
                <w:lang w:bidi="ar-SA"/>
              </w:rPr>
            </w:pPr>
            <w:r w:rsidRPr="00000DE7">
              <w:rPr>
                <w:rFonts w:cs="Calibri"/>
                <w:color w:val="000000"/>
                <w:lang w:bidi="ar-SA"/>
              </w:rPr>
              <w:t xml:space="preserve">Spantek </w:t>
            </w:r>
          </w:p>
        </w:tc>
        <w:tc>
          <w:tcPr>
            <w:tcW w:w="2300" w:type="dxa"/>
            <w:tcBorders>
              <w:top w:val="nil"/>
              <w:left w:val="nil"/>
              <w:bottom w:val="single" w:sz="4" w:space="0" w:color="auto"/>
              <w:right w:val="single" w:sz="4" w:space="0" w:color="auto"/>
            </w:tcBorders>
            <w:shd w:val="clear" w:color="auto" w:fill="auto"/>
            <w:noWrap/>
            <w:vAlign w:val="bottom"/>
            <w:hideMark/>
          </w:tcPr>
          <w:p w14:paraId="70758CD4" w14:textId="77777777" w:rsidR="00000DE7" w:rsidRPr="00000DE7" w:rsidRDefault="00000DE7" w:rsidP="00000DE7">
            <w:pPr>
              <w:spacing w:before="0" w:line="240" w:lineRule="auto"/>
              <w:jc w:val="center"/>
              <w:rPr>
                <w:rFonts w:cs="Calibri"/>
                <w:color w:val="000000"/>
                <w:lang w:bidi="ar-SA"/>
              </w:rPr>
            </w:pPr>
            <w:r w:rsidRPr="00000DE7">
              <w:rPr>
                <w:rFonts w:cs="Calibri"/>
                <w:color w:val="000000"/>
                <w:lang w:bidi="ar-SA"/>
              </w:rPr>
              <w:t>1</w:t>
            </w:r>
          </w:p>
        </w:tc>
      </w:tr>
      <w:tr w:rsidR="00000DE7" w:rsidRPr="00000DE7" w14:paraId="411EAF33" w14:textId="77777777" w:rsidTr="00000DE7">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26AB4533" w14:textId="77777777" w:rsidR="00000DE7" w:rsidRPr="00000DE7" w:rsidRDefault="00000DE7" w:rsidP="00000DE7">
            <w:pPr>
              <w:spacing w:before="0" w:line="240" w:lineRule="auto"/>
              <w:rPr>
                <w:rFonts w:cs="Calibri"/>
                <w:color w:val="000000"/>
                <w:lang w:bidi="ar-SA"/>
              </w:rPr>
            </w:pPr>
            <w:r w:rsidRPr="00000DE7">
              <w:rPr>
                <w:rFonts w:cs="Calibri"/>
                <w:color w:val="000000"/>
                <w:lang w:bidi="ar-SA"/>
              </w:rPr>
              <w:t xml:space="preserve">Star Home Health </w:t>
            </w:r>
          </w:p>
        </w:tc>
        <w:tc>
          <w:tcPr>
            <w:tcW w:w="2300" w:type="dxa"/>
            <w:tcBorders>
              <w:top w:val="nil"/>
              <w:left w:val="nil"/>
              <w:bottom w:val="single" w:sz="4" w:space="0" w:color="auto"/>
              <w:right w:val="single" w:sz="4" w:space="0" w:color="auto"/>
            </w:tcBorders>
            <w:shd w:val="clear" w:color="auto" w:fill="auto"/>
            <w:noWrap/>
            <w:vAlign w:val="bottom"/>
            <w:hideMark/>
          </w:tcPr>
          <w:p w14:paraId="138A7106" w14:textId="77777777" w:rsidR="00000DE7" w:rsidRPr="00000DE7" w:rsidRDefault="00000DE7" w:rsidP="00000DE7">
            <w:pPr>
              <w:spacing w:before="0" w:line="240" w:lineRule="auto"/>
              <w:jc w:val="center"/>
              <w:rPr>
                <w:rFonts w:cs="Calibri"/>
                <w:color w:val="000000"/>
                <w:lang w:bidi="ar-SA"/>
              </w:rPr>
            </w:pPr>
            <w:r w:rsidRPr="00000DE7">
              <w:rPr>
                <w:rFonts w:cs="Calibri"/>
                <w:color w:val="000000"/>
                <w:lang w:bidi="ar-SA"/>
              </w:rPr>
              <w:t>1</w:t>
            </w:r>
          </w:p>
        </w:tc>
      </w:tr>
      <w:tr w:rsidR="00000DE7" w:rsidRPr="00000DE7" w14:paraId="426D73FF" w14:textId="77777777" w:rsidTr="00000DE7">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5133FDF6" w14:textId="77777777" w:rsidR="00000DE7" w:rsidRPr="00000DE7" w:rsidRDefault="00000DE7" w:rsidP="00000DE7">
            <w:pPr>
              <w:spacing w:before="0" w:line="240" w:lineRule="auto"/>
              <w:rPr>
                <w:rFonts w:cs="Calibri"/>
                <w:color w:val="000000"/>
                <w:lang w:bidi="ar-SA"/>
              </w:rPr>
            </w:pPr>
            <w:r w:rsidRPr="00000DE7">
              <w:rPr>
                <w:rFonts w:cs="Calibri"/>
                <w:color w:val="000000"/>
                <w:lang w:bidi="ar-SA"/>
              </w:rPr>
              <w:t>Starbucks</w:t>
            </w:r>
          </w:p>
        </w:tc>
        <w:tc>
          <w:tcPr>
            <w:tcW w:w="2300" w:type="dxa"/>
            <w:tcBorders>
              <w:top w:val="nil"/>
              <w:left w:val="nil"/>
              <w:bottom w:val="single" w:sz="4" w:space="0" w:color="auto"/>
              <w:right w:val="single" w:sz="4" w:space="0" w:color="auto"/>
            </w:tcBorders>
            <w:shd w:val="clear" w:color="auto" w:fill="auto"/>
            <w:noWrap/>
            <w:vAlign w:val="bottom"/>
            <w:hideMark/>
          </w:tcPr>
          <w:p w14:paraId="52A29651" w14:textId="77777777" w:rsidR="00000DE7" w:rsidRPr="00000DE7" w:rsidRDefault="00000DE7" w:rsidP="00000DE7">
            <w:pPr>
              <w:spacing w:before="0" w:line="240" w:lineRule="auto"/>
              <w:jc w:val="center"/>
              <w:rPr>
                <w:rFonts w:cs="Calibri"/>
                <w:color w:val="000000"/>
                <w:lang w:bidi="ar-SA"/>
              </w:rPr>
            </w:pPr>
            <w:r w:rsidRPr="00000DE7">
              <w:rPr>
                <w:rFonts w:cs="Calibri"/>
                <w:color w:val="000000"/>
                <w:lang w:bidi="ar-SA"/>
              </w:rPr>
              <w:t>1</w:t>
            </w:r>
          </w:p>
        </w:tc>
      </w:tr>
      <w:tr w:rsidR="00000DE7" w:rsidRPr="00000DE7" w14:paraId="33BF6043" w14:textId="77777777" w:rsidTr="00000DE7">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7C07DDEB" w14:textId="77777777" w:rsidR="00000DE7" w:rsidRPr="00000DE7" w:rsidRDefault="00000DE7" w:rsidP="00000DE7">
            <w:pPr>
              <w:spacing w:before="0" w:line="240" w:lineRule="auto"/>
              <w:rPr>
                <w:rFonts w:cs="Calibri"/>
                <w:color w:val="000000"/>
                <w:lang w:bidi="ar-SA"/>
              </w:rPr>
            </w:pPr>
            <w:r w:rsidRPr="00000DE7">
              <w:rPr>
                <w:rFonts w:cs="Calibri"/>
                <w:color w:val="000000"/>
                <w:lang w:bidi="ar-SA"/>
              </w:rPr>
              <w:t>Success Computer Consulting</w:t>
            </w:r>
          </w:p>
        </w:tc>
        <w:tc>
          <w:tcPr>
            <w:tcW w:w="2300" w:type="dxa"/>
            <w:tcBorders>
              <w:top w:val="nil"/>
              <w:left w:val="nil"/>
              <w:bottom w:val="single" w:sz="4" w:space="0" w:color="auto"/>
              <w:right w:val="single" w:sz="4" w:space="0" w:color="auto"/>
            </w:tcBorders>
            <w:shd w:val="clear" w:color="auto" w:fill="auto"/>
            <w:noWrap/>
            <w:vAlign w:val="bottom"/>
            <w:hideMark/>
          </w:tcPr>
          <w:p w14:paraId="54D969DF" w14:textId="77777777" w:rsidR="00000DE7" w:rsidRPr="00000DE7" w:rsidRDefault="00000DE7" w:rsidP="00000DE7">
            <w:pPr>
              <w:spacing w:before="0" w:line="240" w:lineRule="auto"/>
              <w:jc w:val="center"/>
              <w:rPr>
                <w:rFonts w:cs="Calibri"/>
                <w:color w:val="000000"/>
                <w:lang w:bidi="ar-SA"/>
              </w:rPr>
            </w:pPr>
            <w:r w:rsidRPr="00000DE7">
              <w:rPr>
                <w:rFonts w:cs="Calibri"/>
                <w:color w:val="000000"/>
                <w:lang w:bidi="ar-SA"/>
              </w:rPr>
              <w:t>1</w:t>
            </w:r>
          </w:p>
        </w:tc>
      </w:tr>
      <w:tr w:rsidR="00000DE7" w:rsidRPr="00000DE7" w14:paraId="342282E8" w14:textId="77777777" w:rsidTr="00000DE7">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4FDCB26C" w14:textId="77777777" w:rsidR="00000DE7" w:rsidRPr="00000DE7" w:rsidRDefault="00000DE7" w:rsidP="00000DE7">
            <w:pPr>
              <w:spacing w:before="0" w:line="240" w:lineRule="auto"/>
              <w:rPr>
                <w:rFonts w:cs="Calibri"/>
                <w:color w:val="000000"/>
                <w:lang w:bidi="ar-SA"/>
              </w:rPr>
            </w:pPr>
            <w:r w:rsidRPr="00000DE7">
              <w:rPr>
                <w:rFonts w:cs="Calibri"/>
                <w:color w:val="000000"/>
                <w:lang w:bidi="ar-SA"/>
              </w:rPr>
              <w:t>Threebridge</w:t>
            </w:r>
          </w:p>
        </w:tc>
        <w:tc>
          <w:tcPr>
            <w:tcW w:w="2300" w:type="dxa"/>
            <w:tcBorders>
              <w:top w:val="nil"/>
              <w:left w:val="nil"/>
              <w:bottom w:val="single" w:sz="4" w:space="0" w:color="auto"/>
              <w:right w:val="single" w:sz="4" w:space="0" w:color="auto"/>
            </w:tcBorders>
            <w:shd w:val="clear" w:color="auto" w:fill="auto"/>
            <w:noWrap/>
            <w:vAlign w:val="bottom"/>
            <w:hideMark/>
          </w:tcPr>
          <w:p w14:paraId="60B5A908" w14:textId="77777777" w:rsidR="00000DE7" w:rsidRPr="00000DE7" w:rsidRDefault="00000DE7" w:rsidP="00000DE7">
            <w:pPr>
              <w:spacing w:before="0" w:line="240" w:lineRule="auto"/>
              <w:jc w:val="center"/>
              <w:rPr>
                <w:rFonts w:cs="Calibri"/>
                <w:color w:val="000000"/>
                <w:lang w:bidi="ar-SA"/>
              </w:rPr>
            </w:pPr>
            <w:r w:rsidRPr="00000DE7">
              <w:rPr>
                <w:rFonts w:cs="Calibri"/>
                <w:color w:val="000000"/>
                <w:lang w:bidi="ar-SA"/>
              </w:rPr>
              <w:t>1</w:t>
            </w:r>
          </w:p>
        </w:tc>
      </w:tr>
      <w:tr w:rsidR="00000DE7" w:rsidRPr="00000DE7" w14:paraId="6B676AC3" w14:textId="77777777" w:rsidTr="00000DE7">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2B04C072" w14:textId="77777777" w:rsidR="00000DE7" w:rsidRPr="00000DE7" w:rsidRDefault="00000DE7" w:rsidP="00000DE7">
            <w:pPr>
              <w:spacing w:before="0" w:line="240" w:lineRule="auto"/>
              <w:rPr>
                <w:rFonts w:cs="Calibri"/>
                <w:color w:val="000000"/>
                <w:lang w:bidi="ar-SA"/>
              </w:rPr>
            </w:pPr>
            <w:r w:rsidRPr="00000DE7">
              <w:rPr>
                <w:rFonts w:cs="Calibri"/>
                <w:color w:val="000000"/>
                <w:lang w:bidi="ar-SA"/>
              </w:rPr>
              <w:t>Trinity Tech</w:t>
            </w:r>
          </w:p>
        </w:tc>
        <w:tc>
          <w:tcPr>
            <w:tcW w:w="2300" w:type="dxa"/>
            <w:tcBorders>
              <w:top w:val="nil"/>
              <w:left w:val="nil"/>
              <w:bottom w:val="single" w:sz="4" w:space="0" w:color="auto"/>
              <w:right w:val="single" w:sz="4" w:space="0" w:color="auto"/>
            </w:tcBorders>
            <w:shd w:val="clear" w:color="auto" w:fill="auto"/>
            <w:noWrap/>
            <w:vAlign w:val="bottom"/>
            <w:hideMark/>
          </w:tcPr>
          <w:p w14:paraId="705797CC" w14:textId="77777777" w:rsidR="00000DE7" w:rsidRPr="00000DE7" w:rsidRDefault="00000DE7" w:rsidP="00000DE7">
            <w:pPr>
              <w:spacing w:before="0" w:line="240" w:lineRule="auto"/>
              <w:jc w:val="center"/>
              <w:rPr>
                <w:rFonts w:cs="Calibri"/>
                <w:color w:val="000000"/>
                <w:lang w:bidi="ar-SA"/>
              </w:rPr>
            </w:pPr>
            <w:r w:rsidRPr="00000DE7">
              <w:rPr>
                <w:rFonts w:cs="Calibri"/>
                <w:color w:val="000000"/>
                <w:lang w:bidi="ar-SA"/>
              </w:rPr>
              <w:t>1</w:t>
            </w:r>
          </w:p>
        </w:tc>
      </w:tr>
      <w:tr w:rsidR="00000DE7" w:rsidRPr="00000DE7" w14:paraId="13AF811C" w14:textId="77777777" w:rsidTr="00000DE7">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7977AC34" w14:textId="77777777" w:rsidR="00000DE7" w:rsidRPr="00000DE7" w:rsidRDefault="00000DE7" w:rsidP="00000DE7">
            <w:pPr>
              <w:spacing w:before="0" w:line="240" w:lineRule="auto"/>
              <w:rPr>
                <w:rFonts w:cs="Calibri"/>
                <w:color w:val="000000"/>
                <w:lang w:bidi="ar-SA"/>
              </w:rPr>
            </w:pPr>
            <w:r w:rsidRPr="00000DE7">
              <w:rPr>
                <w:rFonts w:cs="Calibri"/>
                <w:color w:val="000000"/>
                <w:lang w:bidi="ar-SA"/>
              </w:rPr>
              <w:t>UMN</w:t>
            </w:r>
          </w:p>
        </w:tc>
        <w:tc>
          <w:tcPr>
            <w:tcW w:w="2300" w:type="dxa"/>
            <w:tcBorders>
              <w:top w:val="nil"/>
              <w:left w:val="nil"/>
              <w:bottom w:val="single" w:sz="4" w:space="0" w:color="auto"/>
              <w:right w:val="single" w:sz="4" w:space="0" w:color="auto"/>
            </w:tcBorders>
            <w:shd w:val="clear" w:color="auto" w:fill="auto"/>
            <w:noWrap/>
            <w:vAlign w:val="bottom"/>
            <w:hideMark/>
          </w:tcPr>
          <w:p w14:paraId="7F164059" w14:textId="77777777" w:rsidR="00000DE7" w:rsidRPr="00000DE7" w:rsidRDefault="00000DE7" w:rsidP="00000DE7">
            <w:pPr>
              <w:spacing w:before="0" w:line="240" w:lineRule="auto"/>
              <w:jc w:val="center"/>
              <w:rPr>
                <w:rFonts w:cs="Calibri"/>
                <w:color w:val="000000"/>
                <w:lang w:bidi="ar-SA"/>
              </w:rPr>
            </w:pPr>
            <w:r w:rsidRPr="00000DE7">
              <w:rPr>
                <w:rFonts w:cs="Calibri"/>
                <w:color w:val="000000"/>
                <w:lang w:bidi="ar-SA"/>
              </w:rPr>
              <w:t>1</w:t>
            </w:r>
          </w:p>
        </w:tc>
      </w:tr>
      <w:tr w:rsidR="00000DE7" w:rsidRPr="00000DE7" w14:paraId="2426042D" w14:textId="77777777" w:rsidTr="00000DE7">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4EF8BC81" w14:textId="77777777" w:rsidR="00000DE7" w:rsidRPr="00000DE7" w:rsidRDefault="00000DE7" w:rsidP="00000DE7">
            <w:pPr>
              <w:spacing w:before="0" w:line="240" w:lineRule="auto"/>
              <w:rPr>
                <w:rFonts w:cs="Calibri"/>
                <w:color w:val="000000"/>
                <w:lang w:bidi="ar-SA"/>
              </w:rPr>
            </w:pPr>
            <w:r w:rsidRPr="00000DE7">
              <w:rPr>
                <w:rFonts w:cs="Calibri"/>
                <w:color w:val="000000"/>
                <w:lang w:bidi="ar-SA"/>
              </w:rPr>
              <w:t>UPS</w:t>
            </w:r>
          </w:p>
        </w:tc>
        <w:tc>
          <w:tcPr>
            <w:tcW w:w="2300" w:type="dxa"/>
            <w:tcBorders>
              <w:top w:val="nil"/>
              <w:left w:val="nil"/>
              <w:bottom w:val="single" w:sz="4" w:space="0" w:color="auto"/>
              <w:right w:val="single" w:sz="4" w:space="0" w:color="auto"/>
            </w:tcBorders>
            <w:shd w:val="clear" w:color="auto" w:fill="auto"/>
            <w:noWrap/>
            <w:vAlign w:val="bottom"/>
            <w:hideMark/>
          </w:tcPr>
          <w:p w14:paraId="37647695" w14:textId="77777777" w:rsidR="00000DE7" w:rsidRPr="00000DE7" w:rsidRDefault="00000DE7" w:rsidP="00000DE7">
            <w:pPr>
              <w:spacing w:before="0" w:line="240" w:lineRule="auto"/>
              <w:jc w:val="center"/>
              <w:rPr>
                <w:rFonts w:cs="Calibri"/>
                <w:color w:val="000000"/>
                <w:lang w:bidi="ar-SA"/>
              </w:rPr>
            </w:pPr>
            <w:r w:rsidRPr="00000DE7">
              <w:rPr>
                <w:rFonts w:cs="Calibri"/>
                <w:color w:val="000000"/>
                <w:lang w:bidi="ar-SA"/>
              </w:rPr>
              <w:t>1</w:t>
            </w:r>
          </w:p>
        </w:tc>
      </w:tr>
      <w:tr w:rsidR="00000DE7" w:rsidRPr="00000DE7" w14:paraId="6AACA25B" w14:textId="77777777" w:rsidTr="00000DE7">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617B0837" w14:textId="77777777" w:rsidR="00000DE7" w:rsidRPr="00000DE7" w:rsidRDefault="00000DE7" w:rsidP="00000DE7">
            <w:pPr>
              <w:spacing w:before="0" w:line="240" w:lineRule="auto"/>
              <w:rPr>
                <w:rFonts w:cs="Calibri"/>
                <w:color w:val="000000"/>
                <w:lang w:bidi="ar-SA"/>
              </w:rPr>
            </w:pPr>
            <w:r w:rsidRPr="00000DE7">
              <w:rPr>
                <w:rFonts w:cs="Calibri"/>
                <w:color w:val="000000"/>
                <w:lang w:bidi="ar-SA"/>
              </w:rPr>
              <w:t xml:space="preserve">Volt Workforce Solutions </w:t>
            </w:r>
          </w:p>
        </w:tc>
        <w:tc>
          <w:tcPr>
            <w:tcW w:w="2300" w:type="dxa"/>
            <w:tcBorders>
              <w:top w:val="nil"/>
              <w:left w:val="nil"/>
              <w:bottom w:val="single" w:sz="4" w:space="0" w:color="auto"/>
              <w:right w:val="single" w:sz="4" w:space="0" w:color="auto"/>
            </w:tcBorders>
            <w:shd w:val="clear" w:color="auto" w:fill="auto"/>
            <w:noWrap/>
            <w:vAlign w:val="bottom"/>
            <w:hideMark/>
          </w:tcPr>
          <w:p w14:paraId="47F705F7" w14:textId="77777777" w:rsidR="00000DE7" w:rsidRPr="00000DE7" w:rsidRDefault="00000DE7" w:rsidP="00000DE7">
            <w:pPr>
              <w:spacing w:before="0" w:line="240" w:lineRule="auto"/>
              <w:jc w:val="center"/>
              <w:rPr>
                <w:rFonts w:cs="Calibri"/>
                <w:color w:val="000000"/>
                <w:lang w:bidi="ar-SA"/>
              </w:rPr>
            </w:pPr>
            <w:r w:rsidRPr="00000DE7">
              <w:rPr>
                <w:rFonts w:cs="Calibri"/>
                <w:color w:val="000000"/>
                <w:lang w:bidi="ar-SA"/>
              </w:rPr>
              <w:t>1</w:t>
            </w:r>
          </w:p>
        </w:tc>
      </w:tr>
      <w:tr w:rsidR="00000DE7" w:rsidRPr="00000DE7" w14:paraId="74ADA38C" w14:textId="77777777" w:rsidTr="00000DE7">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7BDD5DCA" w14:textId="77777777" w:rsidR="00000DE7" w:rsidRPr="00000DE7" w:rsidRDefault="00000DE7" w:rsidP="00000DE7">
            <w:pPr>
              <w:spacing w:before="0" w:line="240" w:lineRule="auto"/>
              <w:rPr>
                <w:rFonts w:cs="Calibri"/>
                <w:color w:val="000000"/>
                <w:lang w:bidi="ar-SA"/>
              </w:rPr>
            </w:pPr>
            <w:r w:rsidRPr="00000DE7">
              <w:rPr>
                <w:rFonts w:cs="Calibri"/>
                <w:color w:val="000000"/>
                <w:lang w:bidi="ar-SA"/>
              </w:rPr>
              <w:t>Wells Fargo</w:t>
            </w:r>
          </w:p>
        </w:tc>
        <w:tc>
          <w:tcPr>
            <w:tcW w:w="2300" w:type="dxa"/>
            <w:tcBorders>
              <w:top w:val="nil"/>
              <w:left w:val="nil"/>
              <w:bottom w:val="single" w:sz="4" w:space="0" w:color="auto"/>
              <w:right w:val="single" w:sz="4" w:space="0" w:color="auto"/>
            </w:tcBorders>
            <w:shd w:val="clear" w:color="auto" w:fill="auto"/>
            <w:noWrap/>
            <w:vAlign w:val="bottom"/>
            <w:hideMark/>
          </w:tcPr>
          <w:p w14:paraId="7663FB53" w14:textId="77777777" w:rsidR="00000DE7" w:rsidRPr="00000DE7" w:rsidRDefault="00000DE7" w:rsidP="00000DE7">
            <w:pPr>
              <w:spacing w:before="0" w:line="240" w:lineRule="auto"/>
              <w:jc w:val="center"/>
              <w:rPr>
                <w:rFonts w:cs="Calibri"/>
                <w:color w:val="000000"/>
                <w:lang w:bidi="ar-SA"/>
              </w:rPr>
            </w:pPr>
            <w:r w:rsidRPr="00000DE7">
              <w:rPr>
                <w:rFonts w:cs="Calibri"/>
                <w:color w:val="000000"/>
                <w:lang w:bidi="ar-SA"/>
              </w:rPr>
              <w:t>1</w:t>
            </w:r>
          </w:p>
        </w:tc>
      </w:tr>
      <w:tr w:rsidR="00000DE7" w:rsidRPr="00000DE7" w14:paraId="050C457F" w14:textId="77777777" w:rsidTr="00000DE7">
        <w:trPr>
          <w:trHeight w:val="600"/>
        </w:trPr>
        <w:tc>
          <w:tcPr>
            <w:tcW w:w="4880" w:type="dxa"/>
            <w:tcBorders>
              <w:top w:val="nil"/>
              <w:left w:val="single" w:sz="4" w:space="0" w:color="auto"/>
              <w:bottom w:val="single" w:sz="4" w:space="0" w:color="auto"/>
              <w:right w:val="single" w:sz="4" w:space="0" w:color="auto"/>
            </w:tcBorders>
            <w:shd w:val="clear" w:color="auto" w:fill="auto"/>
            <w:vAlign w:val="bottom"/>
            <w:hideMark/>
          </w:tcPr>
          <w:p w14:paraId="44683090" w14:textId="77777777" w:rsidR="00000DE7" w:rsidRPr="00000DE7" w:rsidRDefault="00000DE7" w:rsidP="00000DE7">
            <w:pPr>
              <w:spacing w:before="0" w:line="240" w:lineRule="auto"/>
              <w:rPr>
                <w:rFonts w:cs="Calibri"/>
                <w:color w:val="000000"/>
                <w:lang w:bidi="ar-SA"/>
              </w:rPr>
            </w:pPr>
            <w:r w:rsidRPr="00000DE7">
              <w:rPr>
                <w:rFonts w:cs="Calibri"/>
                <w:color w:val="000000"/>
                <w:lang w:bidi="ar-SA"/>
              </w:rPr>
              <w:t>Others: food service, call center, PCA, social services, transportation, and event planning</w:t>
            </w:r>
          </w:p>
        </w:tc>
        <w:tc>
          <w:tcPr>
            <w:tcW w:w="2300" w:type="dxa"/>
            <w:tcBorders>
              <w:top w:val="nil"/>
              <w:left w:val="nil"/>
              <w:bottom w:val="single" w:sz="4" w:space="0" w:color="auto"/>
              <w:right w:val="single" w:sz="4" w:space="0" w:color="auto"/>
            </w:tcBorders>
            <w:shd w:val="clear" w:color="auto" w:fill="auto"/>
            <w:noWrap/>
            <w:vAlign w:val="bottom"/>
            <w:hideMark/>
          </w:tcPr>
          <w:p w14:paraId="6C1BE425" w14:textId="77777777" w:rsidR="00000DE7" w:rsidRPr="00000DE7" w:rsidRDefault="00000DE7" w:rsidP="00000DE7">
            <w:pPr>
              <w:spacing w:before="0" w:line="240" w:lineRule="auto"/>
              <w:jc w:val="center"/>
              <w:rPr>
                <w:rFonts w:cs="Calibri"/>
                <w:color w:val="000000"/>
                <w:lang w:bidi="ar-SA"/>
              </w:rPr>
            </w:pPr>
            <w:r w:rsidRPr="00000DE7">
              <w:rPr>
                <w:rFonts w:cs="Calibri"/>
                <w:color w:val="000000"/>
                <w:lang w:bidi="ar-SA"/>
              </w:rPr>
              <w:t>12</w:t>
            </w:r>
          </w:p>
        </w:tc>
      </w:tr>
      <w:tr w:rsidR="00000DE7" w:rsidRPr="00000DE7" w14:paraId="08A67ED8" w14:textId="77777777" w:rsidTr="00000DE7">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14:paraId="42D2DBE6" w14:textId="77777777" w:rsidR="00000DE7" w:rsidRPr="00000DE7" w:rsidRDefault="00000DE7" w:rsidP="00000DE7">
            <w:pPr>
              <w:spacing w:before="0" w:line="240" w:lineRule="auto"/>
              <w:rPr>
                <w:rFonts w:cs="Calibri"/>
                <w:b/>
                <w:bCs/>
                <w:color w:val="000000"/>
                <w:lang w:bidi="ar-SA"/>
              </w:rPr>
            </w:pPr>
            <w:r w:rsidRPr="00000DE7">
              <w:rPr>
                <w:rFonts w:cs="Calibri"/>
                <w:b/>
                <w:bCs/>
                <w:color w:val="000000"/>
                <w:lang w:bidi="ar-SA"/>
              </w:rPr>
              <w:t>Total</w:t>
            </w:r>
          </w:p>
        </w:tc>
        <w:tc>
          <w:tcPr>
            <w:tcW w:w="2300" w:type="dxa"/>
            <w:tcBorders>
              <w:top w:val="nil"/>
              <w:left w:val="nil"/>
              <w:bottom w:val="single" w:sz="4" w:space="0" w:color="auto"/>
              <w:right w:val="single" w:sz="4" w:space="0" w:color="auto"/>
            </w:tcBorders>
            <w:shd w:val="clear" w:color="auto" w:fill="auto"/>
            <w:noWrap/>
            <w:vAlign w:val="bottom"/>
            <w:hideMark/>
          </w:tcPr>
          <w:p w14:paraId="2E4ADA53" w14:textId="77777777" w:rsidR="00000DE7" w:rsidRPr="00000DE7" w:rsidRDefault="00000DE7" w:rsidP="00000DE7">
            <w:pPr>
              <w:spacing w:before="0" w:line="240" w:lineRule="auto"/>
              <w:jc w:val="center"/>
              <w:rPr>
                <w:rFonts w:cs="Calibri"/>
                <w:b/>
                <w:bCs/>
                <w:color w:val="000000"/>
                <w:lang w:bidi="ar-SA"/>
              </w:rPr>
            </w:pPr>
            <w:r w:rsidRPr="00000DE7">
              <w:rPr>
                <w:rFonts w:cs="Calibri"/>
                <w:b/>
                <w:bCs/>
                <w:color w:val="000000"/>
                <w:lang w:bidi="ar-SA"/>
              </w:rPr>
              <w:t>111</w:t>
            </w:r>
          </w:p>
        </w:tc>
      </w:tr>
    </w:tbl>
    <w:p w14:paraId="18701689" w14:textId="1173442D" w:rsidR="00C66EAA" w:rsidRPr="00EA7158" w:rsidRDefault="00C66EAA" w:rsidP="00F62A2C">
      <w:pPr>
        <w:pStyle w:val="BodyText"/>
      </w:pPr>
    </w:p>
    <w:sectPr w:rsidR="00C66EAA" w:rsidRPr="00EA7158" w:rsidSect="00C61688">
      <w:headerReference w:type="even" r:id="rId22"/>
      <w:headerReference w:type="default" r:id="rId23"/>
      <w:headerReference w:type="first" r:id="rId24"/>
      <w:type w:val="continuous"/>
      <w:pgSz w:w="12240" w:h="15840" w:code="1"/>
      <w:pgMar w:top="1728" w:right="1080" w:bottom="108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0FA81" w14:textId="77777777" w:rsidR="00285BAB" w:rsidRDefault="00285BAB">
      <w:r>
        <w:separator/>
      </w:r>
    </w:p>
  </w:endnote>
  <w:endnote w:type="continuationSeparator" w:id="0">
    <w:p w14:paraId="2C9351FF" w14:textId="77777777" w:rsidR="00285BAB" w:rsidRDefault="0028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1B4C" w14:textId="6657B3D4" w:rsidR="00285BAB" w:rsidRPr="005B2DDF" w:rsidRDefault="00285BAB" w:rsidP="005B2DDF">
    <w:pPr>
      <w:pStyle w:val="Footer"/>
      <w:pBdr>
        <w:top w:val="single" w:sz="4" w:space="10" w:color="BFBFBF" w:themeColor="background1" w:themeShade="BF"/>
      </w:pBdr>
      <w:tabs>
        <w:tab w:val="clear" w:pos="4320"/>
        <w:tab w:val="clear" w:pos="8640"/>
        <w:tab w:val="right" w:pos="10080"/>
      </w:tabs>
      <w:jc w:val="left"/>
      <w:rPr>
        <w:rFonts w:asciiTheme="minorHAnsi" w:hAnsiTheme="minorHAnsi"/>
        <w:sz w:val="18"/>
        <w:szCs w:val="18"/>
      </w:rPr>
    </w:pPr>
    <w:r w:rsidRPr="00A256B4">
      <w:rPr>
        <w:rFonts w:asciiTheme="minorHAnsi" w:hAnsiTheme="minorHAnsi"/>
        <w:sz w:val="18"/>
        <w:szCs w:val="18"/>
      </w:rPr>
      <w:t xml:space="preserve">SFY 2021 </w:t>
    </w:r>
    <w:r w:rsidR="00B140C7">
      <w:rPr>
        <w:rFonts w:asciiTheme="minorHAnsi" w:hAnsiTheme="minorHAnsi"/>
        <w:sz w:val="18"/>
        <w:szCs w:val="18"/>
      </w:rPr>
      <w:t>Minnesota Economic Recovery Jobs Program</w:t>
    </w:r>
    <w:r w:rsidRPr="00AF5107">
      <w:rPr>
        <w:rFonts w:asciiTheme="minorHAnsi" w:hAnsiTheme="minorHAnsi"/>
        <w:sz w:val="18"/>
        <w:szCs w:val="18"/>
      </w:rPr>
      <w:tab/>
    </w:r>
    <w:r w:rsidRPr="00AF5107">
      <w:rPr>
        <w:rFonts w:asciiTheme="minorHAnsi" w:hAnsiTheme="minorHAnsi"/>
        <w:sz w:val="18"/>
        <w:szCs w:val="18"/>
      </w:rPr>
      <w:fldChar w:fldCharType="begin"/>
    </w:r>
    <w:r w:rsidRPr="00AF5107">
      <w:rPr>
        <w:rFonts w:asciiTheme="minorHAnsi" w:hAnsiTheme="minorHAnsi"/>
        <w:sz w:val="18"/>
        <w:szCs w:val="18"/>
      </w:rPr>
      <w:instrText xml:space="preserve"> PAGE   \* MERGEFORMAT </w:instrText>
    </w:r>
    <w:r w:rsidRPr="00AF5107">
      <w:rPr>
        <w:rFonts w:asciiTheme="minorHAnsi" w:hAnsiTheme="minorHAnsi"/>
        <w:sz w:val="18"/>
        <w:szCs w:val="18"/>
      </w:rPr>
      <w:fldChar w:fldCharType="separate"/>
    </w:r>
    <w:r>
      <w:rPr>
        <w:rFonts w:asciiTheme="minorHAnsi" w:hAnsiTheme="minorHAnsi"/>
        <w:noProof/>
        <w:sz w:val="18"/>
        <w:szCs w:val="18"/>
      </w:rPr>
      <w:t>5</w:t>
    </w:r>
    <w:r w:rsidRPr="00AF5107">
      <w:rPr>
        <w:rFonts w:asciiTheme="minorHAnsi" w:hAnsiTheme="minorHAns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AF8BD" w14:textId="5FEB1EAD" w:rsidR="00285BAB" w:rsidRPr="00AF5107" w:rsidRDefault="00285BAB" w:rsidP="00B275D4">
    <w:pPr>
      <w:pStyle w:val="Footer"/>
      <w:pBdr>
        <w:top w:val="single" w:sz="4" w:space="10" w:color="BFBFBF" w:themeColor="background1" w:themeShade="BF"/>
      </w:pBdr>
      <w:tabs>
        <w:tab w:val="clear" w:pos="4320"/>
        <w:tab w:val="clear" w:pos="8640"/>
        <w:tab w:val="right" w:pos="10080"/>
      </w:tabs>
      <w:jc w:val="left"/>
      <w:rPr>
        <w:rFonts w:asciiTheme="minorHAnsi" w:hAnsiTheme="minorHAnsi"/>
        <w:sz w:val="18"/>
        <w:szCs w:val="18"/>
      </w:rPr>
    </w:pPr>
    <w:r w:rsidRPr="00AF5107">
      <w:rPr>
        <w:rFonts w:asciiTheme="minorHAnsi" w:hAnsiTheme="minorHAns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744EB" w14:textId="77777777" w:rsidR="00285BAB" w:rsidRDefault="00285BAB">
      <w:r>
        <w:separator/>
      </w:r>
    </w:p>
  </w:footnote>
  <w:footnote w:type="continuationSeparator" w:id="0">
    <w:p w14:paraId="7F91C2E1" w14:textId="77777777" w:rsidR="00285BAB" w:rsidRDefault="00285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4250E" w14:textId="4E489773" w:rsidR="00285BAB" w:rsidRPr="005666F2" w:rsidRDefault="00285BAB">
    <w:pPr>
      <w:rPr>
        <w:color w:val="003865" w:themeColor="text1"/>
      </w:rPr>
    </w:pPr>
    <w:r>
      <w:rPr>
        <w:noProof/>
        <w:color w:val="003865" w:themeColor="text1"/>
        <w:lang w:bidi="ar-SA"/>
      </w:rPr>
      <w:drawing>
        <wp:inline distT="0" distB="0" distL="0" distR="0" wp14:anchorId="51A01EC5" wp14:editId="06C941BD">
          <wp:extent cx="5266944" cy="457200"/>
          <wp:effectExtent l="0" t="0" r="0" b="0"/>
          <wp:docPr id="3" name="Picture 3" title="Minnesota 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ED Logo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66944" cy="4572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37DB7" w14:textId="0F9341E8" w:rsidR="00285BAB" w:rsidRDefault="00285B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A68A1" w14:textId="1F540912" w:rsidR="00285BAB" w:rsidRDefault="00285B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111D" w14:textId="77804991" w:rsidR="00285BAB" w:rsidRPr="005666F2" w:rsidRDefault="00285BAB">
    <w:pPr>
      <w:rPr>
        <w:color w:val="003865"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24.7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A03F9"/>
    <w:multiLevelType w:val="hybridMultilevel"/>
    <w:tmpl w:val="1E1C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C24BA4"/>
    <w:multiLevelType w:val="hybridMultilevel"/>
    <w:tmpl w:val="700CF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984917"/>
    <w:multiLevelType w:val="hybridMultilevel"/>
    <w:tmpl w:val="19A2B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A31A0E"/>
    <w:multiLevelType w:val="multilevel"/>
    <w:tmpl w:val="7AF2294E"/>
    <w:lvl w:ilvl="0">
      <w:start w:val="1"/>
      <w:numFmt w:val="decimal"/>
      <w:pStyle w:val="Table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13A2051"/>
    <w:multiLevelType w:val="hybridMultilevel"/>
    <w:tmpl w:val="E9E6C3D8"/>
    <w:lvl w:ilvl="0" w:tplc="135E8020">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8"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DE1BE5"/>
    <w:multiLevelType w:val="hybridMultilevel"/>
    <w:tmpl w:val="7656603C"/>
    <w:lvl w:ilvl="0" w:tplc="6406D7A2">
      <w:start w:val="1"/>
      <w:numFmt w:val="bullet"/>
      <w:pStyle w:val="Lis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6B4FEC"/>
    <w:multiLevelType w:val="hybridMultilevel"/>
    <w:tmpl w:val="95F08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274188D"/>
    <w:multiLevelType w:val="hybridMultilevel"/>
    <w:tmpl w:val="B0D68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9A7567"/>
    <w:multiLevelType w:val="hybridMultilevel"/>
    <w:tmpl w:val="4B764E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2F63A3"/>
    <w:multiLevelType w:val="hybridMultilevel"/>
    <w:tmpl w:val="2F5A061A"/>
    <w:lvl w:ilvl="0" w:tplc="78885EA6">
      <w:start w:val="28"/>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abstractNumId w:val="3"/>
  </w:num>
  <w:num w:numId="2">
    <w:abstractNumId w:val="6"/>
  </w:num>
  <w:num w:numId="3">
    <w:abstractNumId w:val="23"/>
  </w:num>
  <w:num w:numId="4">
    <w:abstractNumId w:val="20"/>
  </w:num>
  <w:num w:numId="5">
    <w:abstractNumId w:val="18"/>
  </w:num>
  <w:num w:numId="6">
    <w:abstractNumId w:val="4"/>
  </w:num>
  <w:num w:numId="7">
    <w:abstractNumId w:val="13"/>
  </w:num>
  <w:num w:numId="8">
    <w:abstractNumId w:val="7"/>
  </w:num>
  <w:num w:numId="9">
    <w:abstractNumId w:val="11"/>
  </w:num>
  <w:num w:numId="10">
    <w:abstractNumId w:val="2"/>
  </w:num>
  <w:num w:numId="11">
    <w:abstractNumId w:val="2"/>
  </w:num>
  <w:num w:numId="12">
    <w:abstractNumId w:val="24"/>
  </w:num>
  <w:num w:numId="13">
    <w:abstractNumId w:val="27"/>
  </w:num>
  <w:num w:numId="14">
    <w:abstractNumId w:val="16"/>
  </w:num>
  <w:num w:numId="15">
    <w:abstractNumId w:val="2"/>
  </w:num>
  <w:num w:numId="16">
    <w:abstractNumId w:val="27"/>
  </w:num>
  <w:num w:numId="17">
    <w:abstractNumId w:val="16"/>
  </w:num>
  <w:num w:numId="18">
    <w:abstractNumId w:val="9"/>
  </w:num>
  <w:num w:numId="19">
    <w:abstractNumId w:val="5"/>
  </w:num>
  <w:num w:numId="20">
    <w:abstractNumId w:val="1"/>
  </w:num>
  <w:num w:numId="21">
    <w:abstractNumId w:val="0"/>
  </w:num>
  <w:num w:numId="22">
    <w:abstractNumId w:val="8"/>
  </w:num>
  <w:num w:numId="23">
    <w:abstractNumId w:val="19"/>
  </w:num>
  <w:num w:numId="24">
    <w:abstractNumId w:val="21"/>
  </w:num>
  <w:num w:numId="25">
    <w:abstractNumId w:val="10"/>
  </w:num>
  <w:num w:numId="26">
    <w:abstractNumId w:val="22"/>
  </w:num>
  <w:num w:numId="27">
    <w:abstractNumId w:val="28"/>
  </w:num>
  <w:num w:numId="28">
    <w:abstractNumId w:val="12"/>
  </w:num>
  <w:num w:numId="29">
    <w:abstractNumId w:val="15"/>
  </w:num>
  <w:num w:numId="30">
    <w:abstractNumId w:val="26"/>
  </w:num>
  <w:num w:numId="31">
    <w:abstractNumId w:val="14"/>
  </w:num>
  <w:num w:numId="32">
    <w:abstractNumId w:val="25"/>
  </w:num>
  <w:num w:numId="3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54C"/>
    <w:rsid w:val="00000DE7"/>
    <w:rsid w:val="00002DEC"/>
    <w:rsid w:val="000065AC"/>
    <w:rsid w:val="00006A0A"/>
    <w:rsid w:val="00010523"/>
    <w:rsid w:val="0001318A"/>
    <w:rsid w:val="000152B0"/>
    <w:rsid w:val="0003123B"/>
    <w:rsid w:val="00034EC6"/>
    <w:rsid w:val="00046EC1"/>
    <w:rsid w:val="00055CD5"/>
    <w:rsid w:val="00057FD1"/>
    <w:rsid w:val="0006003C"/>
    <w:rsid w:val="00064B90"/>
    <w:rsid w:val="00066202"/>
    <w:rsid w:val="00067411"/>
    <w:rsid w:val="0007374A"/>
    <w:rsid w:val="0007512E"/>
    <w:rsid w:val="00080404"/>
    <w:rsid w:val="00084742"/>
    <w:rsid w:val="00085027"/>
    <w:rsid w:val="000A50D0"/>
    <w:rsid w:val="000B2E68"/>
    <w:rsid w:val="000B4A71"/>
    <w:rsid w:val="000B51FB"/>
    <w:rsid w:val="000C3708"/>
    <w:rsid w:val="000C3761"/>
    <w:rsid w:val="000C3B9E"/>
    <w:rsid w:val="000C55DC"/>
    <w:rsid w:val="000C5B2D"/>
    <w:rsid w:val="000C7373"/>
    <w:rsid w:val="000E2ACF"/>
    <w:rsid w:val="000E313B"/>
    <w:rsid w:val="000E3E9D"/>
    <w:rsid w:val="000F4BB1"/>
    <w:rsid w:val="001114A6"/>
    <w:rsid w:val="00120FF2"/>
    <w:rsid w:val="0012499F"/>
    <w:rsid w:val="001263C2"/>
    <w:rsid w:val="00126C8D"/>
    <w:rsid w:val="00135082"/>
    <w:rsid w:val="00135DC7"/>
    <w:rsid w:val="00146E00"/>
    <w:rsid w:val="00147ED1"/>
    <w:rsid w:val="001500D6"/>
    <w:rsid w:val="0015790C"/>
    <w:rsid w:val="00157C41"/>
    <w:rsid w:val="001661D9"/>
    <w:rsid w:val="001708EC"/>
    <w:rsid w:val="00174C10"/>
    <w:rsid w:val="001925A8"/>
    <w:rsid w:val="0019673D"/>
    <w:rsid w:val="0019696B"/>
    <w:rsid w:val="001A46BB"/>
    <w:rsid w:val="001B1BD1"/>
    <w:rsid w:val="001C02D5"/>
    <w:rsid w:val="001C4B91"/>
    <w:rsid w:val="001C55E0"/>
    <w:rsid w:val="001E0724"/>
    <w:rsid w:val="001E509C"/>
    <w:rsid w:val="001E5CA5"/>
    <w:rsid w:val="001E5ECF"/>
    <w:rsid w:val="001F278F"/>
    <w:rsid w:val="00211147"/>
    <w:rsid w:val="00211CA3"/>
    <w:rsid w:val="00215A10"/>
    <w:rsid w:val="00215D3D"/>
    <w:rsid w:val="002214BA"/>
    <w:rsid w:val="00222A49"/>
    <w:rsid w:val="0022552E"/>
    <w:rsid w:val="002317D5"/>
    <w:rsid w:val="00231EEB"/>
    <w:rsid w:val="002346B8"/>
    <w:rsid w:val="002349B2"/>
    <w:rsid w:val="0023652A"/>
    <w:rsid w:val="00237E1A"/>
    <w:rsid w:val="002524A2"/>
    <w:rsid w:val="00253D39"/>
    <w:rsid w:val="00261247"/>
    <w:rsid w:val="00264652"/>
    <w:rsid w:val="002702CA"/>
    <w:rsid w:val="002714D0"/>
    <w:rsid w:val="00282084"/>
    <w:rsid w:val="00285BAB"/>
    <w:rsid w:val="002871B5"/>
    <w:rsid w:val="0029049E"/>
    <w:rsid w:val="00291052"/>
    <w:rsid w:val="002A006D"/>
    <w:rsid w:val="002A4875"/>
    <w:rsid w:val="002A5894"/>
    <w:rsid w:val="002B5E79"/>
    <w:rsid w:val="002C0859"/>
    <w:rsid w:val="002C5826"/>
    <w:rsid w:val="002E12E4"/>
    <w:rsid w:val="002E613A"/>
    <w:rsid w:val="002F1947"/>
    <w:rsid w:val="002F65CC"/>
    <w:rsid w:val="00304557"/>
    <w:rsid w:val="00304DCA"/>
    <w:rsid w:val="00306D94"/>
    <w:rsid w:val="003125DF"/>
    <w:rsid w:val="0031746E"/>
    <w:rsid w:val="00317BED"/>
    <w:rsid w:val="00322DF3"/>
    <w:rsid w:val="00324068"/>
    <w:rsid w:val="003356EB"/>
    <w:rsid w:val="00335736"/>
    <w:rsid w:val="0034554C"/>
    <w:rsid w:val="003471E0"/>
    <w:rsid w:val="003563D2"/>
    <w:rsid w:val="00361A74"/>
    <w:rsid w:val="00365AF8"/>
    <w:rsid w:val="00375070"/>
    <w:rsid w:val="00376FA5"/>
    <w:rsid w:val="003A1479"/>
    <w:rsid w:val="003A1813"/>
    <w:rsid w:val="003B7D82"/>
    <w:rsid w:val="003C4644"/>
    <w:rsid w:val="003C5BE3"/>
    <w:rsid w:val="003C76A6"/>
    <w:rsid w:val="003F4EAE"/>
    <w:rsid w:val="003F59AA"/>
    <w:rsid w:val="00404EB9"/>
    <w:rsid w:val="004126CC"/>
    <w:rsid w:val="00413A7C"/>
    <w:rsid w:val="004141DD"/>
    <w:rsid w:val="0041463F"/>
    <w:rsid w:val="00417FE4"/>
    <w:rsid w:val="00434342"/>
    <w:rsid w:val="004379E9"/>
    <w:rsid w:val="00451242"/>
    <w:rsid w:val="00456FB3"/>
    <w:rsid w:val="004571EE"/>
    <w:rsid w:val="00461804"/>
    <w:rsid w:val="00466810"/>
    <w:rsid w:val="004816B5"/>
    <w:rsid w:val="00483DD2"/>
    <w:rsid w:val="00494819"/>
    <w:rsid w:val="00494E6F"/>
    <w:rsid w:val="004A1B4D"/>
    <w:rsid w:val="004A58DD"/>
    <w:rsid w:val="004A6119"/>
    <w:rsid w:val="004B47DC"/>
    <w:rsid w:val="004B6FC0"/>
    <w:rsid w:val="004D5320"/>
    <w:rsid w:val="004D5A67"/>
    <w:rsid w:val="004E0F76"/>
    <w:rsid w:val="004E1B92"/>
    <w:rsid w:val="004E5BDC"/>
    <w:rsid w:val="004E75B3"/>
    <w:rsid w:val="004F04BA"/>
    <w:rsid w:val="004F0EFF"/>
    <w:rsid w:val="004F33A6"/>
    <w:rsid w:val="0050093F"/>
    <w:rsid w:val="00502727"/>
    <w:rsid w:val="00504805"/>
    <w:rsid w:val="005066EA"/>
    <w:rsid w:val="00514788"/>
    <w:rsid w:val="00527BE0"/>
    <w:rsid w:val="00534643"/>
    <w:rsid w:val="005421C2"/>
    <w:rsid w:val="0054371B"/>
    <w:rsid w:val="00560941"/>
    <w:rsid w:val="00560A76"/>
    <w:rsid w:val="005628FF"/>
    <w:rsid w:val="0056615E"/>
    <w:rsid w:val="005666F2"/>
    <w:rsid w:val="0056769E"/>
    <w:rsid w:val="0057173F"/>
    <w:rsid w:val="00575EFD"/>
    <w:rsid w:val="00584CD1"/>
    <w:rsid w:val="00596AB6"/>
    <w:rsid w:val="005B2DDF"/>
    <w:rsid w:val="005B4AE7"/>
    <w:rsid w:val="005B4BE0"/>
    <w:rsid w:val="005B5399"/>
    <w:rsid w:val="005B53B0"/>
    <w:rsid w:val="005D3A0E"/>
    <w:rsid w:val="005D4207"/>
    <w:rsid w:val="005D45B3"/>
    <w:rsid w:val="005E0D13"/>
    <w:rsid w:val="005F0CD6"/>
    <w:rsid w:val="005F3400"/>
    <w:rsid w:val="005F3EAE"/>
    <w:rsid w:val="005F6005"/>
    <w:rsid w:val="006064AB"/>
    <w:rsid w:val="00607B72"/>
    <w:rsid w:val="00614E0F"/>
    <w:rsid w:val="00615A58"/>
    <w:rsid w:val="006229CF"/>
    <w:rsid w:val="00622BB5"/>
    <w:rsid w:val="0063021C"/>
    <w:rsid w:val="00632ADB"/>
    <w:rsid w:val="00643342"/>
    <w:rsid w:val="00655345"/>
    <w:rsid w:val="0066486C"/>
    <w:rsid w:val="00664C7B"/>
    <w:rsid w:val="00665241"/>
    <w:rsid w:val="006655C0"/>
    <w:rsid w:val="00672536"/>
    <w:rsid w:val="00681EDC"/>
    <w:rsid w:val="0068649F"/>
    <w:rsid w:val="00686705"/>
    <w:rsid w:val="00686E90"/>
    <w:rsid w:val="00687189"/>
    <w:rsid w:val="00694157"/>
    <w:rsid w:val="00694162"/>
    <w:rsid w:val="0069682B"/>
    <w:rsid w:val="00697CCC"/>
    <w:rsid w:val="006A4271"/>
    <w:rsid w:val="006B054A"/>
    <w:rsid w:val="006B13B7"/>
    <w:rsid w:val="006B21F2"/>
    <w:rsid w:val="006B2942"/>
    <w:rsid w:val="006B3994"/>
    <w:rsid w:val="006B4FF7"/>
    <w:rsid w:val="006C0E45"/>
    <w:rsid w:val="006D1134"/>
    <w:rsid w:val="006D4829"/>
    <w:rsid w:val="006F3655"/>
    <w:rsid w:val="006F3B38"/>
    <w:rsid w:val="00703543"/>
    <w:rsid w:val="007137A4"/>
    <w:rsid w:val="00715BC0"/>
    <w:rsid w:val="00720C26"/>
    <w:rsid w:val="00720D3F"/>
    <w:rsid w:val="007225DF"/>
    <w:rsid w:val="007250F7"/>
    <w:rsid w:val="00731650"/>
    <w:rsid w:val="00733E21"/>
    <w:rsid w:val="007346DB"/>
    <w:rsid w:val="0074778B"/>
    <w:rsid w:val="007508AA"/>
    <w:rsid w:val="00754E2C"/>
    <w:rsid w:val="00762F4B"/>
    <w:rsid w:val="00763FC7"/>
    <w:rsid w:val="007660D5"/>
    <w:rsid w:val="00766237"/>
    <w:rsid w:val="00770636"/>
    <w:rsid w:val="0077225E"/>
    <w:rsid w:val="007867D8"/>
    <w:rsid w:val="00793F48"/>
    <w:rsid w:val="007B038E"/>
    <w:rsid w:val="007B35B2"/>
    <w:rsid w:val="007C166B"/>
    <w:rsid w:val="007C2430"/>
    <w:rsid w:val="007D1FFF"/>
    <w:rsid w:val="007D425A"/>
    <w:rsid w:val="007D42A0"/>
    <w:rsid w:val="007E3026"/>
    <w:rsid w:val="007E38D9"/>
    <w:rsid w:val="007E6733"/>
    <w:rsid w:val="007E685C"/>
    <w:rsid w:val="007E766D"/>
    <w:rsid w:val="007F1928"/>
    <w:rsid w:val="007F6108"/>
    <w:rsid w:val="007F7097"/>
    <w:rsid w:val="008067A6"/>
    <w:rsid w:val="00814C62"/>
    <w:rsid w:val="00817D4A"/>
    <w:rsid w:val="00820878"/>
    <w:rsid w:val="008251B3"/>
    <w:rsid w:val="00837E5B"/>
    <w:rsid w:val="008441C1"/>
    <w:rsid w:val="00844F1D"/>
    <w:rsid w:val="0084749F"/>
    <w:rsid w:val="00852C93"/>
    <w:rsid w:val="008537C3"/>
    <w:rsid w:val="00861E5C"/>
    <w:rsid w:val="00864202"/>
    <w:rsid w:val="00890C9F"/>
    <w:rsid w:val="008925DA"/>
    <w:rsid w:val="008A0B72"/>
    <w:rsid w:val="008B5443"/>
    <w:rsid w:val="008C7EEB"/>
    <w:rsid w:val="008D0DEF"/>
    <w:rsid w:val="008D2256"/>
    <w:rsid w:val="008D5E3D"/>
    <w:rsid w:val="008E0064"/>
    <w:rsid w:val="008E2741"/>
    <w:rsid w:val="008F5E0A"/>
    <w:rsid w:val="0090737A"/>
    <w:rsid w:val="00911F9B"/>
    <w:rsid w:val="00927118"/>
    <w:rsid w:val="00932B9D"/>
    <w:rsid w:val="0094111C"/>
    <w:rsid w:val="00952EFD"/>
    <w:rsid w:val="0096108C"/>
    <w:rsid w:val="00963BA0"/>
    <w:rsid w:val="00967764"/>
    <w:rsid w:val="00970973"/>
    <w:rsid w:val="009720F2"/>
    <w:rsid w:val="009810EE"/>
    <w:rsid w:val="00983E32"/>
    <w:rsid w:val="00984CC9"/>
    <w:rsid w:val="0099233F"/>
    <w:rsid w:val="009A05FB"/>
    <w:rsid w:val="009A2CC0"/>
    <w:rsid w:val="009A32CA"/>
    <w:rsid w:val="009B3FA5"/>
    <w:rsid w:val="009B54A0"/>
    <w:rsid w:val="009C032A"/>
    <w:rsid w:val="009C6405"/>
    <w:rsid w:val="009D7471"/>
    <w:rsid w:val="009E42A5"/>
    <w:rsid w:val="009E50F9"/>
    <w:rsid w:val="00A02EA3"/>
    <w:rsid w:val="00A053AE"/>
    <w:rsid w:val="00A06A05"/>
    <w:rsid w:val="00A10A58"/>
    <w:rsid w:val="00A14B5F"/>
    <w:rsid w:val="00A209BA"/>
    <w:rsid w:val="00A256B4"/>
    <w:rsid w:val="00A27790"/>
    <w:rsid w:val="00A30799"/>
    <w:rsid w:val="00A47DC5"/>
    <w:rsid w:val="00A56076"/>
    <w:rsid w:val="00A57FE8"/>
    <w:rsid w:val="00A6471A"/>
    <w:rsid w:val="00A64ECE"/>
    <w:rsid w:val="00A6554C"/>
    <w:rsid w:val="00A66185"/>
    <w:rsid w:val="00A66E53"/>
    <w:rsid w:val="00A71CAD"/>
    <w:rsid w:val="00A731A2"/>
    <w:rsid w:val="00A73319"/>
    <w:rsid w:val="00A81130"/>
    <w:rsid w:val="00A81E2C"/>
    <w:rsid w:val="00A827C1"/>
    <w:rsid w:val="00A920CF"/>
    <w:rsid w:val="00A93F40"/>
    <w:rsid w:val="00A9555B"/>
    <w:rsid w:val="00A96F93"/>
    <w:rsid w:val="00AB0207"/>
    <w:rsid w:val="00AC17AC"/>
    <w:rsid w:val="00AC17B1"/>
    <w:rsid w:val="00AC4ABB"/>
    <w:rsid w:val="00AC6B90"/>
    <w:rsid w:val="00AE52B2"/>
    <w:rsid w:val="00AE5772"/>
    <w:rsid w:val="00AF22AD"/>
    <w:rsid w:val="00AF5107"/>
    <w:rsid w:val="00AF6EB9"/>
    <w:rsid w:val="00B0190C"/>
    <w:rsid w:val="00B01B5A"/>
    <w:rsid w:val="00B02C45"/>
    <w:rsid w:val="00B06264"/>
    <w:rsid w:val="00B07C8F"/>
    <w:rsid w:val="00B140C7"/>
    <w:rsid w:val="00B26892"/>
    <w:rsid w:val="00B275D4"/>
    <w:rsid w:val="00B31F41"/>
    <w:rsid w:val="00B34CE4"/>
    <w:rsid w:val="00B55065"/>
    <w:rsid w:val="00B75051"/>
    <w:rsid w:val="00B82A7C"/>
    <w:rsid w:val="00B859DE"/>
    <w:rsid w:val="00B92B49"/>
    <w:rsid w:val="00B9397C"/>
    <w:rsid w:val="00BA7FC6"/>
    <w:rsid w:val="00BD0E59"/>
    <w:rsid w:val="00BE0FE1"/>
    <w:rsid w:val="00BE64B7"/>
    <w:rsid w:val="00BE6A53"/>
    <w:rsid w:val="00BF4EB7"/>
    <w:rsid w:val="00BF73BB"/>
    <w:rsid w:val="00C0153C"/>
    <w:rsid w:val="00C04BD9"/>
    <w:rsid w:val="00C12D2F"/>
    <w:rsid w:val="00C220A1"/>
    <w:rsid w:val="00C23909"/>
    <w:rsid w:val="00C277A8"/>
    <w:rsid w:val="00C309AE"/>
    <w:rsid w:val="00C33E9F"/>
    <w:rsid w:val="00C365CE"/>
    <w:rsid w:val="00C417EB"/>
    <w:rsid w:val="00C47206"/>
    <w:rsid w:val="00C528AE"/>
    <w:rsid w:val="00C61688"/>
    <w:rsid w:val="00C66EAA"/>
    <w:rsid w:val="00C7298A"/>
    <w:rsid w:val="00C8573F"/>
    <w:rsid w:val="00C94D8E"/>
    <w:rsid w:val="00CA591B"/>
    <w:rsid w:val="00CA7F89"/>
    <w:rsid w:val="00CE45B0"/>
    <w:rsid w:val="00CE513C"/>
    <w:rsid w:val="00CF625F"/>
    <w:rsid w:val="00D0014D"/>
    <w:rsid w:val="00D12C10"/>
    <w:rsid w:val="00D12CC6"/>
    <w:rsid w:val="00D15907"/>
    <w:rsid w:val="00D17719"/>
    <w:rsid w:val="00D17C43"/>
    <w:rsid w:val="00D212D9"/>
    <w:rsid w:val="00D22819"/>
    <w:rsid w:val="00D511F0"/>
    <w:rsid w:val="00D51D93"/>
    <w:rsid w:val="00D54EE5"/>
    <w:rsid w:val="00D61E7E"/>
    <w:rsid w:val="00D63F82"/>
    <w:rsid w:val="00D640FC"/>
    <w:rsid w:val="00D64701"/>
    <w:rsid w:val="00D70F7D"/>
    <w:rsid w:val="00D724A0"/>
    <w:rsid w:val="00D80E52"/>
    <w:rsid w:val="00D817C7"/>
    <w:rsid w:val="00D92929"/>
    <w:rsid w:val="00D93C2E"/>
    <w:rsid w:val="00D970A5"/>
    <w:rsid w:val="00DA3332"/>
    <w:rsid w:val="00DB4967"/>
    <w:rsid w:val="00DB571D"/>
    <w:rsid w:val="00DD064D"/>
    <w:rsid w:val="00DD41DE"/>
    <w:rsid w:val="00DE50CB"/>
    <w:rsid w:val="00DF37D9"/>
    <w:rsid w:val="00E07E20"/>
    <w:rsid w:val="00E13BEF"/>
    <w:rsid w:val="00E15763"/>
    <w:rsid w:val="00E1661E"/>
    <w:rsid w:val="00E206AE"/>
    <w:rsid w:val="00E23397"/>
    <w:rsid w:val="00E32CD7"/>
    <w:rsid w:val="00E33032"/>
    <w:rsid w:val="00E36B8E"/>
    <w:rsid w:val="00E36D4E"/>
    <w:rsid w:val="00E41BD2"/>
    <w:rsid w:val="00E44EE1"/>
    <w:rsid w:val="00E5241D"/>
    <w:rsid w:val="00E5680C"/>
    <w:rsid w:val="00E61A16"/>
    <w:rsid w:val="00E76267"/>
    <w:rsid w:val="00E879C0"/>
    <w:rsid w:val="00EA1BAF"/>
    <w:rsid w:val="00EA535B"/>
    <w:rsid w:val="00EA6C9A"/>
    <w:rsid w:val="00EA7158"/>
    <w:rsid w:val="00EC02E2"/>
    <w:rsid w:val="00EC24AF"/>
    <w:rsid w:val="00EC579D"/>
    <w:rsid w:val="00ED5BDC"/>
    <w:rsid w:val="00ED61FD"/>
    <w:rsid w:val="00ED7DAC"/>
    <w:rsid w:val="00EE3646"/>
    <w:rsid w:val="00EF08AB"/>
    <w:rsid w:val="00EF7D8D"/>
    <w:rsid w:val="00F04A20"/>
    <w:rsid w:val="00F067A6"/>
    <w:rsid w:val="00F164F6"/>
    <w:rsid w:val="00F16880"/>
    <w:rsid w:val="00F20B25"/>
    <w:rsid w:val="00F212B4"/>
    <w:rsid w:val="00F452DB"/>
    <w:rsid w:val="00F575D9"/>
    <w:rsid w:val="00F62A2C"/>
    <w:rsid w:val="00F70C03"/>
    <w:rsid w:val="00F854B7"/>
    <w:rsid w:val="00F87A1B"/>
    <w:rsid w:val="00F9084A"/>
    <w:rsid w:val="00F933BD"/>
    <w:rsid w:val="00F950E4"/>
    <w:rsid w:val="00F9758E"/>
    <w:rsid w:val="00FA337F"/>
    <w:rsid w:val="00FB6E40"/>
    <w:rsid w:val="00FC19E4"/>
    <w:rsid w:val="00FD1CCB"/>
    <w:rsid w:val="00FD2BFB"/>
    <w:rsid w:val="00FD49D5"/>
    <w:rsid w:val="00FD575D"/>
    <w:rsid w:val="00FE3D75"/>
    <w:rsid w:val="00FE6717"/>
    <w:rsid w:val="00FF0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7737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07512E"/>
  </w:style>
  <w:style w:type="paragraph" w:styleId="Heading1">
    <w:name w:val="heading 1"/>
    <w:next w:val="BodyText"/>
    <w:link w:val="Heading1Char"/>
    <w:uiPriority w:val="1"/>
    <w:qFormat/>
    <w:rsid w:val="00ED5BDC"/>
    <w:pPr>
      <w:keepNext/>
      <w:keepLines/>
      <w:tabs>
        <w:tab w:val="left" w:pos="3345"/>
      </w:tabs>
      <w:spacing w:before="240" w:after="120"/>
      <w:outlineLvl w:val="0"/>
    </w:pPr>
    <w:rPr>
      <w:b/>
      <w:color w:val="003865"/>
      <w:sz w:val="40"/>
      <w:szCs w:val="40"/>
    </w:rPr>
  </w:style>
  <w:style w:type="paragraph" w:styleId="Heading2">
    <w:name w:val="heading 2"/>
    <w:next w:val="BodyText"/>
    <w:link w:val="Heading2Char"/>
    <w:uiPriority w:val="1"/>
    <w:qFormat/>
    <w:rsid w:val="00E41BD2"/>
    <w:pPr>
      <w:keepNext/>
      <w:keepLines/>
      <w:pBdr>
        <w:bottom w:val="single" w:sz="4" w:space="1" w:color="auto"/>
      </w:pBdr>
      <w:tabs>
        <w:tab w:val="left" w:pos="2400"/>
      </w:tabs>
      <w:spacing w:before="240" w:after="240"/>
      <w:outlineLvl w:val="1"/>
    </w:pPr>
    <w:rPr>
      <w:rFonts w:asciiTheme="minorHAnsi" w:eastAsiaTheme="majorEastAsia" w:hAnsiTheme="minorHAnsi" w:cstheme="majorBidi"/>
      <w:b/>
      <w:bCs/>
      <w:color w:val="003865"/>
      <w:sz w:val="40"/>
      <w:szCs w:val="32"/>
    </w:rPr>
  </w:style>
  <w:style w:type="paragraph" w:styleId="Heading3">
    <w:name w:val="heading 3"/>
    <w:basedOn w:val="Heading2"/>
    <w:next w:val="BodyText"/>
    <w:link w:val="Heading3Char"/>
    <w:uiPriority w:val="1"/>
    <w:qFormat/>
    <w:rsid w:val="00E41BD2"/>
    <w:pPr>
      <w:pBdr>
        <w:bottom w:val="none" w:sz="0" w:space="0" w:color="auto"/>
      </w:pBdr>
      <w:outlineLvl w:val="2"/>
    </w:pPr>
    <w:rPr>
      <w:sz w:val="32"/>
    </w:rPr>
  </w:style>
  <w:style w:type="paragraph" w:styleId="Heading4">
    <w:name w:val="heading 4"/>
    <w:basedOn w:val="Heading3"/>
    <w:next w:val="BodyText"/>
    <w:link w:val="Heading4Char"/>
    <w:uiPriority w:val="1"/>
    <w:qFormat/>
    <w:rsid w:val="00E41BD2"/>
    <w:pPr>
      <w:outlineLvl w:val="3"/>
    </w:pPr>
    <w:rPr>
      <w:sz w:val="24"/>
    </w:rPr>
  </w:style>
  <w:style w:type="paragraph" w:styleId="Heading5">
    <w:name w:val="heading 5"/>
    <w:basedOn w:val="Normal"/>
    <w:next w:val="Normal"/>
    <w:link w:val="Heading5Char"/>
    <w:uiPriority w:val="1"/>
    <w:semiHidden/>
    <w:unhideWhenUsed/>
    <w:qFormat/>
    <w:rsid w:val="001E5ECF"/>
    <w:pPr>
      <w:keepNext/>
      <w:keepLines/>
      <w:spacing w:before="200"/>
      <w:outlineLvl w:val="4"/>
    </w:pPr>
    <w:rPr>
      <w:rFonts w:asciiTheme="majorHAnsi" w:eastAsiaTheme="majorEastAsia" w:hAnsiTheme="majorHAnsi" w:cstheme="majorBidi"/>
      <w:color w:val="001B32" w:themeColor="accent1" w:themeShade="7F"/>
    </w:rPr>
  </w:style>
  <w:style w:type="paragraph" w:styleId="Heading6">
    <w:name w:val="heading 6"/>
    <w:basedOn w:val="Normal"/>
    <w:next w:val="Normal"/>
    <w:link w:val="Heading6Char"/>
    <w:uiPriority w:val="1"/>
    <w:semiHidden/>
    <w:unhideWhenUsed/>
    <w:qFormat/>
    <w:rsid w:val="001E5ECF"/>
    <w:pPr>
      <w:keepNext/>
      <w:keepLines/>
      <w:spacing w:before="200"/>
      <w:outlineLvl w:val="5"/>
    </w:pPr>
    <w:rPr>
      <w:rFonts w:asciiTheme="majorHAnsi" w:eastAsiaTheme="majorEastAsia" w:hAnsiTheme="majorHAnsi" w:cstheme="majorBidi"/>
      <w:i/>
      <w:iCs/>
      <w:color w:val="001B32" w:themeColor="accent1" w:themeShade="7F"/>
    </w:rPr>
  </w:style>
  <w:style w:type="paragraph" w:styleId="Heading7">
    <w:name w:val="heading 7"/>
    <w:basedOn w:val="Normal"/>
    <w:next w:val="Normal"/>
    <w:link w:val="Heading7Char"/>
    <w:uiPriority w:val="1"/>
    <w:semiHidden/>
    <w:unhideWhenUsed/>
    <w:qFormat/>
    <w:rsid w:val="001E5ECF"/>
    <w:pPr>
      <w:keepNext/>
      <w:keepLines/>
      <w:spacing w:before="200"/>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spacing w:before="200"/>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spacing w:before="200"/>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8649F"/>
    <w:pPr>
      <w:spacing w:before="200" w:after="200"/>
    </w:pPr>
    <w:rPr>
      <w:rFonts w:asciiTheme="minorHAnsi" w:hAnsiTheme="minorHAnsi"/>
    </w:rPr>
  </w:style>
  <w:style w:type="character" w:customStyle="1" w:styleId="BodyTextChar">
    <w:name w:val="Body Text Char"/>
    <w:basedOn w:val="DefaultParagraphFont"/>
    <w:link w:val="BodyText"/>
    <w:rsid w:val="0068649F"/>
    <w:rPr>
      <w:rFonts w:asciiTheme="minorHAnsi" w:hAnsiTheme="minorHAnsi"/>
      <w:sz w:val="22"/>
      <w:szCs w:val="22"/>
    </w:rPr>
  </w:style>
  <w:style w:type="character" w:customStyle="1" w:styleId="Heading1Char">
    <w:name w:val="Heading 1 Char"/>
    <w:basedOn w:val="DefaultParagraphFont"/>
    <w:link w:val="Heading1"/>
    <w:uiPriority w:val="1"/>
    <w:rsid w:val="00ED5BDC"/>
    <w:rPr>
      <w:rFonts w:ascii="Calibri" w:hAnsi="Calibri"/>
      <w:b/>
      <w:color w:val="003865"/>
      <w:sz w:val="40"/>
      <w:szCs w:val="40"/>
    </w:rPr>
  </w:style>
  <w:style w:type="character" w:customStyle="1" w:styleId="Heading2Char">
    <w:name w:val="Heading 2 Char"/>
    <w:basedOn w:val="DefaultParagraphFont"/>
    <w:link w:val="Heading2"/>
    <w:uiPriority w:val="1"/>
    <w:rsid w:val="00E41BD2"/>
    <w:rPr>
      <w:rFonts w:asciiTheme="minorHAnsi" w:eastAsiaTheme="majorEastAsia" w:hAnsiTheme="minorHAnsi" w:cstheme="majorBidi"/>
      <w:b/>
      <w:bCs/>
      <w:color w:val="003865"/>
      <w:sz w:val="40"/>
      <w:szCs w:val="32"/>
    </w:rPr>
  </w:style>
  <w:style w:type="character" w:customStyle="1" w:styleId="Heading3Char">
    <w:name w:val="Heading 3 Char"/>
    <w:basedOn w:val="DefaultParagraphFont"/>
    <w:link w:val="Heading3"/>
    <w:uiPriority w:val="1"/>
    <w:rsid w:val="00E41BD2"/>
    <w:rPr>
      <w:rFonts w:asciiTheme="minorHAnsi" w:eastAsiaTheme="majorEastAsia" w:hAnsiTheme="minorHAnsi" w:cstheme="majorBidi"/>
      <w:b/>
      <w:bCs/>
      <w:color w:val="003865"/>
      <w:sz w:val="32"/>
      <w:szCs w:val="32"/>
    </w:rPr>
  </w:style>
  <w:style w:type="character" w:customStyle="1" w:styleId="Heading4Char">
    <w:name w:val="Heading 4 Char"/>
    <w:basedOn w:val="DefaultParagraphFont"/>
    <w:link w:val="Heading4"/>
    <w:uiPriority w:val="1"/>
    <w:rsid w:val="00E41BD2"/>
    <w:rPr>
      <w:rFonts w:asciiTheme="minorHAnsi" w:eastAsiaTheme="majorEastAsia" w:hAnsiTheme="minorHAnsi" w:cstheme="majorBidi"/>
      <w:b/>
      <w:bCs/>
      <w:color w:val="003865"/>
      <w:sz w:val="24"/>
      <w:szCs w:val="32"/>
    </w:rPr>
  </w:style>
  <w:style w:type="character" w:customStyle="1" w:styleId="Heading5Char">
    <w:name w:val="Heading 5 Char"/>
    <w:basedOn w:val="DefaultParagraphFont"/>
    <w:link w:val="Heading5"/>
    <w:uiPriority w:val="1"/>
    <w:semiHidden/>
    <w:rsid w:val="001E5ECF"/>
    <w:rPr>
      <w:rFonts w:asciiTheme="majorHAnsi" w:eastAsiaTheme="majorEastAsia" w:hAnsiTheme="majorHAnsi" w:cstheme="majorBidi"/>
      <w:color w:val="001B32" w:themeColor="accent1" w:themeShade="7F"/>
    </w:rPr>
  </w:style>
  <w:style w:type="character" w:customStyle="1" w:styleId="Heading6Char">
    <w:name w:val="Heading 6 Char"/>
    <w:basedOn w:val="DefaultParagraphFont"/>
    <w:link w:val="Heading6"/>
    <w:uiPriority w:val="1"/>
    <w:semiHidden/>
    <w:rsid w:val="008D5E3D"/>
    <w:rPr>
      <w:rFonts w:asciiTheme="majorHAnsi" w:eastAsiaTheme="majorEastAsia" w:hAnsiTheme="majorHAnsi" w:cstheme="majorBidi"/>
      <w:i/>
      <w:iCs/>
      <w:color w:val="001B32" w:themeColor="accent1" w:themeShade="7F"/>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basedOn w:val="DefaultParagraphFont"/>
    <w:uiPriority w:val="3"/>
    <w:qFormat/>
    <w:rsid w:val="002F1947"/>
    <w:rPr>
      <w:i/>
      <w:iCs/>
    </w:rPr>
  </w:style>
  <w:style w:type="paragraph" w:customStyle="1" w:styleId="EmphasisItalics">
    <w:name w:val="Emphasis Italics"/>
    <w:basedOn w:val="Normal"/>
    <w:uiPriority w:val="3"/>
    <w:rsid w:val="001E5ECF"/>
    <w:pPr>
      <w:spacing w:before="240" w:line="360" w:lineRule="auto"/>
    </w:pPr>
    <w:rPr>
      <w:rFonts w:ascii="Arial Bold" w:hAnsi="Arial Bold" w:cs="Arial"/>
      <w:b/>
      <w:i/>
      <w:color w:val="000000" w:themeColor="text2"/>
      <w:szCs w:val="16"/>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rsid w:val="001E5ECF"/>
    <w:rPr>
      <w:color w:val="00A3E2" w:themeColor="hyperlink"/>
      <w:u w:val="single"/>
    </w:rPr>
  </w:style>
  <w:style w:type="character" w:styleId="IntenseEmphasis">
    <w:name w:val="Intense Emphasis"/>
    <w:basedOn w:val="DefaultParagraphFont"/>
    <w:uiPriority w:val="3"/>
    <w:qFormat/>
    <w:rsid w:val="002F1947"/>
    <w:rPr>
      <w:b/>
      <w:bCs/>
      <w:i/>
      <w:iCs/>
      <w:color w:val="auto"/>
    </w:rPr>
  </w:style>
  <w:style w:type="paragraph" w:styleId="IntenseQuote">
    <w:name w:val="Intense Quote"/>
    <w:basedOn w:val="BodyText"/>
    <w:next w:val="BodyText"/>
    <w:link w:val="IntenseQuoteChar"/>
    <w:uiPriority w:val="3"/>
    <w:qFormat/>
    <w:rsid w:val="002F1947"/>
    <w:pPr>
      <w:pBdr>
        <w:bottom w:val="single" w:sz="4" w:space="4" w:color="003865" w:themeColor="accent1"/>
      </w:pBdr>
      <w:spacing w:after="280"/>
      <w:ind w:left="936" w:right="936"/>
    </w:pPr>
    <w:rPr>
      <w:b/>
      <w:bCs/>
      <w:i/>
      <w:iCs/>
    </w:rPr>
  </w:style>
  <w:style w:type="character" w:customStyle="1" w:styleId="IntenseQuoteChar">
    <w:name w:val="Intense Quote Char"/>
    <w:basedOn w:val="DefaultParagraphFont"/>
    <w:link w:val="IntenseQuote"/>
    <w:uiPriority w:val="3"/>
    <w:rsid w:val="002F1947"/>
    <w:rPr>
      <w:b/>
      <w:bCs/>
      <w:i/>
      <w:iCs/>
      <w:sz w:val="22"/>
    </w:rPr>
  </w:style>
  <w:style w:type="character" w:styleId="IntenseReference">
    <w:name w:val="Intense Reference"/>
    <w:uiPriority w:val="3"/>
    <w:rsid w:val="001E5ECF"/>
    <w:rPr>
      <w:smallCaps/>
      <w:spacing w:val="5"/>
      <w:u w:val="single"/>
    </w:rPr>
  </w:style>
  <w:style w:type="paragraph" w:styleId="Header">
    <w:name w:val="header"/>
    <w:basedOn w:val="Normal"/>
    <w:link w:val="HeaderChar"/>
    <w:uiPriority w:val="99"/>
    <w:rsid w:val="002F194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F1947"/>
  </w:style>
  <w:style w:type="paragraph" w:styleId="ListNumber">
    <w:name w:val="List Number"/>
    <w:basedOn w:val="BodyText"/>
    <w:semiHidden/>
    <w:rsid w:val="001E5ECF"/>
    <w:pPr>
      <w:numPr>
        <w:numId w:val="15"/>
      </w:numPr>
    </w:pPr>
  </w:style>
  <w:style w:type="paragraph" w:styleId="Quote">
    <w:name w:val="Quote"/>
    <w:basedOn w:val="Normal"/>
    <w:next w:val="Normal"/>
    <w:link w:val="QuoteChar"/>
    <w:uiPriority w:val="3"/>
    <w:rsid w:val="001E5ECF"/>
    <w:pPr>
      <w:spacing w:before="200"/>
      <w:ind w:left="360" w:right="360"/>
    </w:pPr>
    <w:rPr>
      <w:rFonts w:asciiTheme="minorHAnsi" w:hAnsiTheme="minorHAnsi"/>
      <w:i/>
      <w:iCs/>
    </w:rPr>
  </w:style>
  <w:style w:type="character" w:customStyle="1" w:styleId="QuoteChar">
    <w:name w:val="Quote Char"/>
    <w:basedOn w:val="DefaultParagraphFont"/>
    <w:link w:val="Quote"/>
    <w:uiPriority w:val="3"/>
    <w:rsid w:val="002F1947"/>
    <w:rPr>
      <w:rFonts w:asciiTheme="minorHAnsi" w:hAnsiTheme="minorHAnsi"/>
      <w:i/>
      <w:iCs/>
      <w:sz w:val="22"/>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character" w:styleId="SubtleEmphasis">
    <w:name w:val="Subtle Emphasis"/>
    <w:uiPriority w:val="3"/>
    <w:rsid w:val="001E5ECF"/>
    <w:rPr>
      <w:i/>
      <w:iCs/>
    </w:rPr>
  </w:style>
  <w:style w:type="character" w:styleId="SubtleReference">
    <w:name w:val="Subtle Reference"/>
    <w:uiPriority w:val="3"/>
    <w:rsid w:val="001E5ECF"/>
    <w:rPr>
      <w:smallCaps/>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customStyle="1" w:styleId="Tableparagraph">
    <w:name w:val="Table paragraph"/>
    <w:next w:val="Normal"/>
    <w:rsid w:val="001E5ECF"/>
    <w:pPr>
      <w:tabs>
        <w:tab w:val="left" w:pos="3734"/>
      </w:tabs>
      <w:autoSpaceDE w:val="0"/>
      <w:autoSpaceDN w:val="0"/>
      <w:adjustRightInd w:val="0"/>
      <w:ind w:left="29"/>
      <w:textAlignment w:val="center"/>
    </w:pPr>
    <w:rPr>
      <w:rFonts w:cs="Arial"/>
      <w:color w:val="000000"/>
      <w:sz w:val="18"/>
      <w:szCs w:val="18"/>
    </w:rPr>
  </w:style>
  <w:style w:type="paragraph" w:customStyle="1" w:styleId="Tablelist">
    <w:name w:val="Table list"/>
    <w:basedOn w:val="Tableparagraph"/>
    <w:rsid w:val="001E5ECF"/>
    <w:pPr>
      <w:numPr>
        <w:numId w:val="17"/>
      </w:numPr>
      <w:spacing w:before="60"/>
    </w:pPr>
    <w:rPr>
      <w:lang w:bidi="ar-SA"/>
    </w:rPr>
  </w:style>
  <w:style w:type="paragraph" w:customStyle="1" w:styleId="TableFiguretitle">
    <w:name w:val="Table/Figure title"/>
    <w:basedOn w:val="Heading3"/>
    <w:next w:val="Normal"/>
    <w:qFormat/>
    <w:rsid w:val="00E41BD2"/>
    <w:pPr>
      <w:spacing w:after="120" w:line="240" w:lineRule="auto"/>
      <w:jc w:val="center"/>
    </w:pPr>
    <w:rPr>
      <w:rFonts w:eastAsia="Times New Roman"/>
      <w:iCs/>
      <w:sz w:val="22"/>
      <w:szCs w:val="28"/>
    </w:rPr>
  </w:style>
  <w:style w:type="paragraph" w:styleId="Title">
    <w:name w:val="Title"/>
    <w:basedOn w:val="Normal"/>
    <w:next w:val="Normal"/>
    <w:link w:val="TitleChar"/>
    <w:qFormat/>
    <w:rsid w:val="00EF7D8D"/>
    <w:pPr>
      <w:pBdr>
        <w:top w:val="single" w:sz="4" w:space="6" w:color="auto"/>
      </w:pBdr>
      <w:spacing w:line="240" w:lineRule="auto"/>
      <w:contextualSpacing/>
      <w:jc w:val="right"/>
    </w:pPr>
    <w:rPr>
      <w:rFonts w:eastAsiaTheme="majorEastAsia" w:cstheme="majorBidi"/>
      <w:spacing w:val="5"/>
      <w:sz w:val="72"/>
      <w:szCs w:val="52"/>
    </w:rPr>
  </w:style>
  <w:style w:type="character" w:customStyle="1" w:styleId="TitleChar">
    <w:name w:val="Title Char"/>
    <w:basedOn w:val="DefaultParagraphFont"/>
    <w:link w:val="Title"/>
    <w:rsid w:val="00EF7D8D"/>
    <w:rPr>
      <w:rFonts w:eastAsiaTheme="majorEastAsia" w:cstheme="majorBidi"/>
      <w:spacing w:val="5"/>
      <w:sz w:val="72"/>
      <w:szCs w:val="52"/>
    </w:rPr>
  </w:style>
  <w:style w:type="paragraph" w:styleId="TOC1">
    <w:name w:val="toc 1"/>
    <w:basedOn w:val="Normal"/>
    <w:uiPriority w:val="39"/>
    <w:unhideWhenUsed/>
    <w:rsid w:val="001E5ECF"/>
    <w:pPr>
      <w:autoSpaceDE w:val="0"/>
      <w:autoSpaceDN w:val="0"/>
      <w:adjustRightInd w:val="0"/>
      <w:spacing w:after="100" w:line="360" w:lineRule="auto"/>
      <w:textAlignment w:val="center"/>
    </w:pPr>
    <w:rPr>
      <w:rFonts w:cs="Arial"/>
      <w:b/>
      <w:bCs/>
    </w:rPr>
  </w:style>
  <w:style w:type="paragraph" w:styleId="TOC2">
    <w:name w:val="toc 2"/>
    <w:basedOn w:val="Normal"/>
    <w:next w:val="Normal"/>
    <w:uiPriority w:val="39"/>
    <w:unhideWhenUsed/>
    <w:rsid w:val="001E5ECF"/>
    <w:pPr>
      <w:spacing w:after="100"/>
      <w:ind w:left="200"/>
    </w:pPr>
  </w:style>
  <w:style w:type="paragraph" w:styleId="TOCHeading">
    <w:name w:val="TOC Heading"/>
    <w:next w:val="Normal"/>
    <w:uiPriority w:val="39"/>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basedOn w:val="Normal"/>
    <w:link w:val="FooterChar"/>
    <w:uiPriority w:val="99"/>
    <w:qFormat/>
    <w:rsid w:val="002F1947"/>
    <w:pPr>
      <w:tabs>
        <w:tab w:val="center" w:pos="4320"/>
        <w:tab w:val="right" w:pos="8640"/>
      </w:tabs>
      <w:spacing w:before="0" w:line="336" w:lineRule="auto"/>
      <w:jc w:val="right"/>
    </w:pPr>
  </w:style>
  <w:style w:type="character" w:customStyle="1" w:styleId="FooterChar">
    <w:name w:val="Footer Char"/>
    <w:basedOn w:val="DefaultParagraphFont"/>
    <w:link w:val="Footer"/>
    <w:uiPriority w:val="99"/>
    <w:rsid w:val="002F1947"/>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List">
    <w:name w:val="List"/>
    <w:basedOn w:val="Normal"/>
    <w:qFormat/>
    <w:rsid w:val="005666F2"/>
    <w:pPr>
      <w:numPr>
        <w:numId w:val="24"/>
      </w:numPr>
      <w:spacing w:line="300" w:lineRule="auto"/>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customStyle="1" w:styleId="Tablebodytext">
    <w:name w:val="Table body text"/>
    <w:next w:val="Normal"/>
    <w:link w:val="TablebodytextChar"/>
    <w:uiPriority w:val="3"/>
    <w:qFormat/>
    <w:rsid w:val="00D640FC"/>
    <w:pPr>
      <w:framePr w:hSpace="187" w:wrap="around" w:vAnchor="text" w:hAnchor="margin" w:x="170" w:y="132"/>
      <w:autoSpaceDE w:val="0"/>
      <w:autoSpaceDN w:val="0"/>
      <w:adjustRightInd w:val="0"/>
      <w:spacing w:line="240" w:lineRule="auto"/>
      <w:ind w:left="29"/>
      <w:suppressOverlap/>
      <w:jc w:val="center"/>
      <w:textAlignment w:val="center"/>
    </w:pPr>
    <w:rPr>
      <w:rFonts w:cs="Arial"/>
      <w:color w:val="000000"/>
      <w:szCs w:val="18"/>
    </w:rPr>
  </w:style>
  <w:style w:type="character" w:customStyle="1" w:styleId="TablebodytextChar">
    <w:name w:val="Table body text Char"/>
    <w:basedOn w:val="DefaultParagraphFont"/>
    <w:link w:val="Tablebodytext"/>
    <w:uiPriority w:val="3"/>
    <w:rsid w:val="00D640FC"/>
    <w:rPr>
      <w:rFonts w:ascii="Calibri" w:hAnsi="Calibri" w:cs="Arial"/>
      <w:color w:val="000000"/>
      <w:sz w:val="22"/>
      <w:szCs w:val="18"/>
    </w:rPr>
  </w:style>
  <w:style w:type="paragraph" w:customStyle="1" w:styleId="TableH1">
    <w:name w:val="Table H1"/>
    <w:next w:val="BodyText"/>
    <w:link w:val="TableH1Char"/>
    <w:uiPriority w:val="4"/>
    <w:qFormat/>
    <w:rsid w:val="0007512E"/>
    <w:pPr>
      <w:spacing w:before="60" w:after="60" w:line="240" w:lineRule="auto"/>
      <w:jc w:val="center"/>
    </w:pPr>
    <w:rPr>
      <w:rFonts w:asciiTheme="minorHAnsi" w:eastAsiaTheme="majorEastAsia" w:hAnsiTheme="minorHAnsi" w:cstheme="majorBidi"/>
      <w:b/>
      <w:bCs/>
      <w:szCs w:val="32"/>
    </w:rPr>
  </w:style>
  <w:style w:type="character" w:customStyle="1" w:styleId="TableH1Char">
    <w:name w:val="Table H1 Char"/>
    <w:basedOn w:val="TablebodytextChar"/>
    <w:link w:val="TableH1"/>
    <w:uiPriority w:val="4"/>
    <w:rsid w:val="0007512E"/>
    <w:rPr>
      <w:rFonts w:asciiTheme="minorHAnsi" w:eastAsiaTheme="majorEastAsia" w:hAnsiTheme="minorHAnsi" w:cstheme="majorBidi"/>
      <w:b/>
      <w:bCs/>
      <w:color w:val="000000"/>
      <w:sz w:val="22"/>
      <w:szCs w:val="32"/>
    </w:rPr>
  </w:style>
  <w:style w:type="character" w:styleId="PlaceholderText">
    <w:name w:val="Placeholder Text"/>
    <w:basedOn w:val="DefaultParagraphFont"/>
    <w:uiPriority w:val="99"/>
    <w:semiHidden/>
    <w:rsid w:val="00E76267"/>
    <w:rPr>
      <w:color w:val="808080"/>
    </w:rPr>
  </w:style>
  <w:style w:type="paragraph" w:styleId="NoSpacing">
    <w:name w:val="No Spacing"/>
    <w:uiPriority w:val="1"/>
    <w:qFormat/>
    <w:rsid w:val="00D640FC"/>
    <w:pPr>
      <w:spacing w:before="0" w:line="240" w:lineRule="auto"/>
    </w:pPr>
    <w:rPr>
      <w:rFonts w:asciiTheme="minorHAnsi" w:eastAsiaTheme="minorHAnsi" w:hAnsiTheme="minorHAnsi" w:cstheme="minorBidi"/>
      <w:color w:val="000000" w:themeColor="text2"/>
      <w:lang w:bidi="ar-SA"/>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D640FC"/>
    <w:pPr>
      <w:ind w:left="720"/>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itle2">
    <w:name w:val="Title 2"/>
    <w:basedOn w:val="Title"/>
    <w:qFormat/>
    <w:rsid w:val="00EF7D8D"/>
    <w:pPr>
      <w:pBdr>
        <w:top w:val="none" w:sz="0" w:space="0" w:color="auto"/>
        <w:bottom w:val="single" w:sz="4" w:space="14" w:color="auto"/>
      </w:pBdr>
      <w:spacing w:before="600" w:after="600"/>
    </w:pPr>
    <w:rPr>
      <w:rFonts w:ascii="Arial" w:hAnsi="Arial"/>
      <w:sz w:val="24"/>
      <w:szCs w:val="20"/>
    </w:rPr>
  </w:style>
  <w:style w:type="paragraph" w:styleId="TOC3">
    <w:name w:val="toc 3"/>
    <w:basedOn w:val="Normal"/>
    <w:next w:val="Normal"/>
    <w:autoRedefine/>
    <w:uiPriority w:val="39"/>
    <w:unhideWhenUsed/>
    <w:rsid w:val="001C4B91"/>
    <w:pPr>
      <w:spacing w:after="100"/>
      <w:ind w:left="440"/>
    </w:pPr>
  </w:style>
  <w:style w:type="paragraph" w:customStyle="1" w:styleId="TableofContentsHeader">
    <w:name w:val="Table of Contents Header"/>
    <w:basedOn w:val="Heading1"/>
    <w:link w:val="TableofContentsHeaderChar"/>
    <w:qFormat/>
    <w:rsid w:val="00EC24AF"/>
    <w:rPr>
      <w:rFonts w:eastAsiaTheme="minorEastAsia"/>
      <w:noProof/>
      <w:lang w:bidi="ar-SA"/>
    </w:rPr>
  </w:style>
  <w:style w:type="character" w:customStyle="1" w:styleId="TableofContentsHeaderChar">
    <w:name w:val="Table of Contents Header Char"/>
    <w:basedOn w:val="Heading1Char"/>
    <w:link w:val="TableofContentsHeader"/>
    <w:rsid w:val="00EC24AF"/>
    <w:rPr>
      <w:rFonts w:ascii="Calibri" w:eastAsiaTheme="minorEastAsia" w:hAnsi="Calibri"/>
      <w:b/>
      <w:noProof/>
      <w:color w:val="003865"/>
      <w:sz w:val="40"/>
      <w:szCs w:val="40"/>
      <w:lang w:bidi="ar-SA"/>
    </w:rPr>
  </w:style>
  <w:style w:type="character" w:styleId="UnresolvedMention">
    <w:name w:val="Unresolved Mention"/>
    <w:basedOn w:val="DefaultParagraphFont"/>
    <w:uiPriority w:val="99"/>
    <w:semiHidden/>
    <w:unhideWhenUsed/>
    <w:rsid w:val="00211147"/>
    <w:rPr>
      <w:color w:val="605E5C"/>
      <w:shd w:val="clear" w:color="auto" w:fill="E1DFDD"/>
    </w:rPr>
  </w:style>
  <w:style w:type="character" w:styleId="FollowedHyperlink">
    <w:name w:val="FollowedHyperlink"/>
    <w:basedOn w:val="DefaultParagraphFont"/>
    <w:semiHidden/>
    <w:unhideWhenUsed/>
    <w:rsid w:val="00046EC1"/>
    <w:rPr>
      <w:color w:val="007AA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48506633">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64425832">
      <w:bodyDiv w:val="1"/>
      <w:marLeft w:val="0"/>
      <w:marRight w:val="0"/>
      <w:marTop w:val="0"/>
      <w:marBottom w:val="0"/>
      <w:divBdr>
        <w:top w:val="none" w:sz="0" w:space="0" w:color="auto"/>
        <w:left w:val="none" w:sz="0" w:space="0" w:color="auto"/>
        <w:bottom w:val="none" w:sz="0" w:space="0" w:color="auto"/>
        <w:right w:val="none" w:sz="0" w:space="0" w:color="auto"/>
      </w:divBdr>
    </w:div>
    <w:div w:id="316500892">
      <w:bodyDiv w:val="1"/>
      <w:marLeft w:val="0"/>
      <w:marRight w:val="0"/>
      <w:marTop w:val="0"/>
      <w:marBottom w:val="0"/>
      <w:divBdr>
        <w:top w:val="none" w:sz="0" w:space="0" w:color="auto"/>
        <w:left w:val="none" w:sz="0" w:space="0" w:color="auto"/>
        <w:bottom w:val="none" w:sz="0" w:space="0" w:color="auto"/>
        <w:right w:val="none" w:sz="0" w:space="0" w:color="auto"/>
      </w:divBdr>
    </w:div>
    <w:div w:id="336927522">
      <w:bodyDiv w:val="1"/>
      <w:marLeft w:val="0"/>
      <w:marRight w:val="0"/>
      <w:marTop w:val="0"/>
      <w:marBottom w:val="0"/>
      <w:divBdr>
        <w:top w:val="none" w:sz="0" w:space="0" w:color="auto"/>
        <w:left w:val="none" w:sz="0" w:space="0" w:color="auto"/>
        <w:bottom w:val="none" w:sz="0" w:space="0" w:color="auto"/>
        <w:right w:val="none" w:sz="0" w:space="0" w:color="auto"/>
      </w:divBdr>
      <w:divsChild>
        <w:div w:id="1509753390">
          <w:marLeft w:val="0"/>
          <w:marRight w:val="0"/>
          <w:marTop w:val="0"/>
          <w:marBottom w:val="0"/>
          <w:divBdr>
            <w:top w:val="none" w:sz="0" w:space="0" w:color="auto"/>
            <w:left w:val="none" w:sz="0" w:space="0" w:color="auto"/>
            <w:bottom w:val="none" w:sz="0" w:space="0" w:color="auto"/>
            <w:right w:val="none" w:sz="0" w:space="0" w:color="auto"/>
          </w:divBdr>
        </w:div>
      </w:divsChild>
    </w:div>
    <w:div w:id="539392457">
      <w:bodyDiv w:val="1"/>
      <w:marLeft w:val="0"/>
      <w:marRight w:val="0"/>
      <w:marTop w:val="0"/>
      <w:marBottom w:val="0"/>
      <w:divBdr>
        <w:top w:val="none" w:sz="0" w:space="0" w:color="auto"/>
        <w:left w:val="none" w:sz="0" w:space="0" w:color="auto"/>
        <w:bottom w:val="none" w:sz="0" w:space="0" w:color="auto"/>
        <w:right w:val="none" w:sz="0" w:space="0" w:color="auto"/>
      </w:divBdr>
    </w:div>
    <w:div w:id="539976320">
      <w:bodyDiv w:val="1"/>
      <w:marLeft w:val="0"/>
      <w:marRight w:val="0"/>
      <w:marTop w:val="0"/>
      <w:marBottom w:val="0"/>
      <w:divBdr>
        <w:top w:val="none" w:sz="0" w:space="0" w:color="auto"/>
        <w:left w:val="none" w:sz="0" w:space="0" w:color="auto"/>
        <w:bottom w:val="none" w:sz="0" w:space="0" w:color="auto"/>
        <w:right w:val="none" w:sz="0" w:space="0" w:color="auto"/>
      </w:divBdr>
    </w:div>
    <w:div w:id="1012613454">
      <w:bodyDiv w:val="1"/>
      <w:marLeft w:val="0"/>
      <w:marRight w:val="0"/>
      <w:marTop w:val="0"/>
      <w:marBottom w:val="0"/>
      <w:divBdr>
        <w:top w:val="none" w:sz="0" w:space="0" w:color="auto"/>
        <w:left w:val="none" w:sz="0" w:space="0" w:color="auto"/>
        <w:bottom w:val="none" w:sz="0" w:space="0" w:color="auto"/>
        <w:right w:val="none" w:sz="0" w:space="0" w:color="auto"/>
      </w:divBdr>
    </w:div>
    <w:div w:id="1208104694">
      <w:bodyDiv w:val="1"/>
      <w:marLeft w:val="0"/>
      <w:marRight w:val="0"/>
      <w:marTop w:val="0"/>
      <w:marBottom w:val="0"/>
      <w:divBdr>
        <w:top w:val="none" w:sz="0" w:space="0" w:color="auto"/>
        <w:left w:val="none" w:sz="0" w:space="0" w:color="auto"/>
        <w:bottom w:val="none" w:sz="0" w:space="0" w:color="auto"/>
        <w:right w:val="none" w:sz="0" w:space="0" w:color="auto"/>
      </w:divBdr>
    </w:div>
    <w:div w:id="1218279755">
      <w:bodyDiv w:val="1"/>
      <w:marLeft w:val="0"/>
      <w:marRight w:val="0"/>
      <w:marTop w:val="0"/>
      <w:marBottom w:val="0"/>
      <w:divBdr>
        <w:top w:val="none" w:sz="0" w:space="0" w:color="auto"/>
        <w:left w:val="none" w:sz="0" w:space="0" w:color="auto"/>
        <w:bottom w:val="none" w:sz="0" w:space="0" w:color="auto"/>
        <w:right w:val="none" w:sz="0" w:space="0" w:color="auto"/>
      </w:divBdr>
    </w:div>
    <w:div w:id="1234896942">
      <w:bodyDiv w:val="1"/>
      <w:marLeft w:val="0"/>
      <w:marRight w:val="0"/>
      <w:marTop w:val="0"/>
      <w:marBottom w:val="0"/>
      <w:divBdr>
        <w:top w:val="none" w:sz="0" w:space="0" w:color="auto"/>
        <w:left w:val="none" w:sz="0" w:space="0" w:color="auto"/>
        <w:bottom w:val="none" w:sz="0" w:space="0" w:color="auto"/>
        <w:right w:val="none" w:sz="0" w:space="0" w:color="auto"/>
      </w:divBdr>
    </w:div>
    <w:div w:id="1271358242">
      <w:bodyDiv w:val="1"/>
      <w:marLeft w:val="0"/>
      <w:marRight w:val="0"/>
      <w:marTop w:val="0"/>
      <w:marBottom w:val="0"/>
      <w:divBdr>
        <w:top w:val="none" w:sz="0" w:space="0" w:color="auto"/>
        <w:left w:val="none" w:sz="0" w:space="0" w:color="auto"/>
        <w:bottom w:val="none" w:sz="0" w:space="0" w:color="auto"/>
        <w:right w:val="none" w:sz="0" w:space="0" w:color="auto"/>
      </w:divBdr>
    </w:div>
    <w:div w:id="1327827123">
      <w:bodyDiv w:val="1"/>
      <w:marLeft w:val="0"/>
      <w:marRight w:val="0"/>
      <w:marTop w:val="0"/>
      <w:marBottom w:val="0"/>
      <w:divBdr>
        <w:top w:val="none" w:sz="0" w:space="0" w:color="auto"/>
        <w:left w:val="none" w:sz="0" w:space="0" w:color="auto"/>
        <w:bottom w:val="none" w:sz="0" w:space="0" w:color="auto"/>
        <w:right w:val="none" w:sz="0" w:space="0" w:color="auto"/>
      </w:divBdr>
    </w:div>
    <w:div w:id="1603605257">
      <w:bodyDiv w:val="1"/>
      <w:marLeft w:val="0"/>
      <w:marRight w:val="0"/>
      <w:marTop w:val="0"/>
      <w:marBottom w:val="0"/>
      <w:divBdr>
        <w:top w:val="none" w:sz="0" w:space="0" w:color="auto"/>
        <w:left w:val="none" w:sz="0" w:space="0" w:color="auto"/>
        <w:bottom w:val="none" w:sz="0" w:space="0" w:color="auto"/>
        <w:right w:val="none" w:sz="0" w:space="0" w:color="auto"/>
      </w:divBdr>
    </w:div>
    <w:div w:id="1721973814">
      <w:bodyDiv w:val="1"/>
      <w:marLeft w:val="0"/>
      <w:marRight w:val="0"/>
      <w:marTop w:val="0"/>
      <w:marBottom w:val="0"/>
      <w:divBdr>
        <w:top w:val="none" w:sz="0" w:space="0" w:color="auto"/>
        <w:left w:val="none" w:sz="0" w:space="0" w:color="auto"/>
        <w:bottom w:val="none" w:sz="0" w:space="0" w:color="auto"/>
        <w:right w:val="none" w:sz="0" w:space="0" w:color="auto"/>
      </w:divBdr>
    </w:div>
    <w:div w:id="1788698161">
      <w:bodyDiv w:val="1"/>
      <w:marLeft w:val="0"/>
      <w:marRight w:val="0"/>
      <w:marTop w:val="0"/>
      <w:marBottom w:val="0"/>
      <w:divBdr>
        <w:top w:val="none" w:sz="0" w:space="0" w:color="auto"/>
        <w:left w:val="none" w:sz="0" w:space="0" w:color="auto"/>
        <w:bottom w:val="none" w:sz="0" w:space="0" w:color="auto"/>
        <w:right w:val="none" w:sz="0" w:space="0" w:color="auto"/>
      </w:divBdr>
    </w:div>
    <w:div w:id="194946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y.Tracy@state.mn.us" TargetMode="External"/><Relationship Id="rId13" Type="http://schemas.openxmlformats.org/officeDocument/2006/relationships/hyperlink" Target="http://www.hired.org" TargetMode="External"/><Relationship Id="rId18" Type="http://schemas.openxmlformats.org/officeDocument/2006/relationships/hyperlink" Target="mailto:m.ahmed@aicsmn.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https://mn.gov/deed/about/contracts/" TargetMode="External"/><Relationship Id="rId17" Type="http://schemas.openxmlformats.org/officeDocument/2006/relationships/hyperlink" Target="http://www.aicsmn.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areds@treetrust.org" TargetMode="External"/><Relationship Id="rId20" Type="http://schemas.openxmlformats.org/officeDocument/2006/relationships/hyperlink" Target="mailto:anhared@somalcrs.org"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treetrust.org" TargetMode="External"/><Relationship Id="rId23" Type="http://schemas.openxmlformats.org/officeDocument/2006/relationships/header" Target="header3.xml"/><Relationship Id="rId28"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hyperlink" Target="http://www.somalcrs.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ulie.brekke@hired.org" TargetMode="External"/><Relationship Id="rId22" Type="http://schemas.openxmlformats.org/officeDocument/2006/relationships/header" Target="header2.xml"/><Relationship Id="rId27"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innesota Brand Colors">
      <a:dk1>
        <a:srgbClr val="003865"/>
      </a:dk1>
      <a:lt1>
        <a:srgbClr val="FFFFFF"/>
      </a:lt1>
      <a:dk2>
        <a:srgbClr val="000000"/>
      </a:dk2>
      <a:lt2>
        <a:srgbClr val="DDDDDA"/>
      </a:lt2>
      <a:accent1>
        <a:srgbClr val="003865"/>
      </a:accent1>
      <a:accent2>
        <a:srgbClr val="78BE20"/>
      </a:accent2>
      <a:accent3>
        <a:srgbClr val="009BBB"/>
      </a:accent3>
      <a:accent4>
        <a:srgbClr val="8B422F"/>
      </a:accent4>
      <a:accent5>
        <a:srgbClr val="12525B"/>
      </a:accent5>
      <a:accent6>
        <a:srgbClr val="62295C"/>
      </a:accent6>
      <a:hlink>
        <a:srgbClr val="00A3E2"/>
      </a:hlink>
      <a:folHlink>
        <a:srgbClr val="007AA9"/>
      </a:folHlink>
    </a:clrScheme>
    <a:fontScheme name="MN Secondary Fonts">
      <a:majorFont>
        <a:latin typeface="Calibri"/>
        <a:ea typeface=""/>
        <a:cs typeface=""/>
      </a:majorFont>
      <a:minorFont>
        <a:latin typeface="Calibri"/>
        <a:ea typeface=""/>
        <a:cs typeface=""/>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D30645-7110-4137-8C7E-BCD4764C584D}">
  <ds:schemaRefs>
    <ds:schemaRef ds:uri="http://schemas.openxmlformats.org/officeDocument/2006/bibliography"/>
  </ds:schemaRefs>
</ds:datastoreItem>
</file>

<file path=customXml/itemProps2.xml><?xml version="1.0" encoding="utf-8"?>
<ds:datastoreItem xmlns:ds="http://schemas.openxmlformats.org/officeDocument/2006/customXml" ds:itemID="{11FFF203-6965-44DE-A456-3D888A471CDD}"/>
</file>

<file path=customXml/itemProps3.xml><?xml version="1.0" encoding="utf-8"?>
<ds:datastoreItem xmlns:ds="http://schemas.openxmlformats.org/officeDocument/2006/customXml" ds:itemID="{1C518B11-7AA9-49FA-844D-BC8DE94323AE}"/>
</file>

<file path=customXml/itemProps4.xml><?xml version="1.0" encoding="utf-8"?>
<ds:datastoreItem xmlns:ds="http://schemas.openxmlformats.org/officeDocument/2006/customXml" ds:itemID="{10013BDB-20E9-4412-A0C4-5DD51B736137}"/>
</file>

<file path=docProps/app.xml><?xml version="1.0" encoding="utf-8"?>
<Properties xmlns="http://schemas.openxmlformats.org/officeDocument/2006/extended-properties" xmlns:vt="http://schemas.openxmlformats.org/officeDocument/2006/docPropsVTypes">
  <Template>Normal</Template>
  <TotalTime>0</TotalTime>
  <Pages>13</Pages>
  <Words>2909</Words>
  <Characters>17967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Report template</vt:lpstr>
    </vt:vector>
  </TitlesOfParts>
  <Manager/>
  <Company/>
  <LinksUpToDate>false</LinksUpToDate>
  <CharactersWithSpaces>20835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template</dc:subject>
  <dc:creator/>
  <cp:keywords>template, report</cp:keywords>
  <cp:lastModifiedBy/>
  <cp:revision>1</cp:revision>
  <dcterms:created xsi:type="dcterms:W3CDTF">2022-05-09T13:27:00Z</dcterms:created>
  <dcterms:modified xsi:type="dcterms:W3CDTF">2022-05-11T14:55:00Z</dcterms:modified>
  <cp:category>template</cp:category>
  <cp:contentStatus>active</cp:contentStatus>
</cp:coreProperties>
</file>