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F2048" w14:textId="02573C1B" w:rsidR="007F45A4" w:rsidRDefault="00FC6CB2">
      <w:pPr>
        <w:rPr>
          <w:noProof/>
        </w:rPr>
      </w:pPr>
      <w:r>
        <w:rPr>
          <w:noProof/>
        </w:rPr>
        <w:drawing>
          <wp:inline distT="0" distB="0" distL="0" distR="0" wp14:anchorId="67A98E81" wp14:editId="6C87DFF5">
            <wp:extent cx="5886450" cy="13620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886450" cy="1362075"/>
                    </a:xfrm>
                    <a:prstGeom prst="rect">
                      <a:avLst/>
                    </a:prstGeom>
                  </pic:spPr>
                </pic:pic>
              </a:graphicData>
            </a:graphic>
          </wp:inline>
        </w:drawing>
      </w:r>
    </w:p>
    <w:p w14:paraId="41AF098F" w14:textId="77777777" w:rsidR="00FC6CB2" w:rsidRPr="00FC6CB2" w:rsidRDefault="00FC6CB2" w:rsidP="00FC6CB2"/>
    <w:p w14:paraId="10F9AA86" w14:textId="77777777" w:rsidR="00FC6CB2" w:rsidRDefault="00FC6CB2" w:rsidP="00FC6CB2">
      <w:pPr>
        <w:rPr>
          <w:noProof/>
        </w:rPr>
      </w:pPr>
    </w:p>
    <w:p w14:paraId="4F9E78ED" w14:textId="13BA3D21" w:rsidR="00FC6CB2" w:rsidRDefault="00FC6CB2" w:rsidP="00FC6CB2">
      <w:pPr>
        <w:jc w:val="center"/>
        <w:rPr>
          <w:b/>
          <w:bCs/>
          <w:sz w:val="56"/>
          <w:szCs w:val="56"/>
        </w:rPr>
      </w:pPr>
      <w:r>
        <w:rPr>
          <w:b/>
          <w:bCs/>
          <w:sz w:val="56"/>
          <w:szCs w:val="56"/>
        </w:rPr>
        <w:t>Community Energy Transition Grant</w:t>
      </w:r>
      <w:r w:rsidR="00C95441">
        <w:rPr>
          <w:b/>
          <w:bCs/>
          <w:sz w:val="56"/>
          <w:szCs w:val="56"/>
        </w:rPr>
        <w:t xml:space="preserve"> Program</w:t>
      </w:r>
    </w:p>
    <w:p w14:paraId="6586BBF5" w14:textId="0E6B905B" w:rsidR="00FC6CB2" w:rsidRDefault="00FC6CB2" w:rsidP="00FC6CB2">
      <w:pPr>
        <w:jc w:val="center"/>
        <w:rPr>
          <w:b/>
          <w:bCs/>
          <w:sz w:val="56"/>
          <w:szCs w:val="56"/>
        </w:rPr>
      </w:pPr>
    </w:p>
    <w:p w14:paraId="08C4A13D" w14:textId="49F4E2B0" w:rsidR="00FC6CB2" w:rsidRDefault="00FC6CB2" w:rsidP="00FC6CB2">
      <w:pPr>
        <w:jc w:val="center"/>
        <w:rPr>
          <w:b/>
          <w:bCs/>
          <w:sz w:val="56"/>
          <w:szCs w:val="56"/>
        </w:rPr>
      </w:pPr>
      <w:r>
        <w:rPr>
          <w:b/>
          <w:bCs/>
          <w:sz w:val="56"/>
          <w:szCs w:val="56"/>
        </w:rPr>
        <w:t>Application</w:t>
      </w:r>
      <w:r w:rsidR="00C900DA">
        <w:rPr>
          <w:b/>
          <w:bCs/>
          <w:sz w:val="56"/>
          <w:szCs w:val="56"/>
        </w:rPr>
        <w:t xml:space="preserve"> Packet</w:t>
      </w:r>
    </w:p>
    <w:p w14:paraId="13565B52" w14:textId="1726A601" w:rsidR="005311B2" w:rsidRPr="005311B2" w:rsidRDefault="005311B2" w:rsidP="00FC6CB2">
      <w:pPr>
        <w:jc w:val="center"/>
        <w:rPr>
          <w:b/>
          <w:bCs/>
          <w:sz w:val="32"/>
          <w:szCs w:val="32"/>
        </w:rPr>
      </w:pPr>
      <w:r>
        <w:rPr>
          <w:b/>
          <w:bCs/>
          <w:sz w:val="32"/>
          <w:szCs w:val="32"/>
        </w:rPr>
        <w:t>SFY 24</w:t>
      </w:r>
    </w:p>
    <w:p w14:paraId="0D6E06BC" w14:textId="77777777" w:rsidR="00C95441" w:rsidRDefault="00C95441" w:rsidP="00FC6CB2">
      <w:pPr>
        <w:jc w:val="center"/>
        <w:rPr>
          <w:b/>
          <w:bCs/>
          <w:sz w:val="56"/>
          <w:szCs w:val="56"/>
        </w:rPr>
      </w:pPr>
    </w:p>
    <w:p w14:paraId="48B2A296" w14:textId="74758463" w:rsidR="00C95441" w:rsidRDefault="00C95441" w:rsidP="00C95441">
      <w:pPr>
        <w:pStyle w:val="Title"/>
        <w:rPr>
          <w:rFonts w:ascii="Calibri" w:hAnsi="Calibri"/>
          <w:sz w:val="52"/>
        </w:rPr>
      </w:pPr>
      <w:r w:rsidRPr="00F332C6">
        <w:rPr>
          <w:rFonts w:ascii="Calibri" w:hAnsi="Calibri"/>
          <w:sz w:val="52"/>
        </w:rPr>
        <w:t>Minnesota Statute 116J.</w:t>
      </w:r>
      <w:r>
        <w:rPr>
          <w:rFonts w:ascii="Calibri" w:hAnsi="Calibri"/>
          <w:sz w:val="52"/>
        </w:rPr>
        <w:t>55</w:t>
      </w:r>
    </w:p>
    <w:p w14:paraId="41488C6D" w14:textId="77777777" w:rsidR="00C95441" w:rsidRDefault="00C95441" w:rsidP="00C95441">
      <w:pPr>
        <w:pStyle w:val="Title"/>
        <w:rPr>
          <w:rFonts w:ascii="Calibri" w:hAnsi="Calibri"/>
          <w:sz w:val="52"/>
        </w:rPr>
      </w:pPr>
    </w:p>
    <w:p w14:paraId="0CC79319" w14:textId="77777777" w:rsidR="00C95441" w:rsidRDefault="00C95441" w:rsidP="00C95441">
      <w:pPr>
        <w:pStyle w:val="Title"/>
        <w:rPr>
          <w:rFonts w:ascii="Calibri" w:hAnsi="Calibri"/>
          <w:sz w:val="52"/>
        </w:rPr>
      </w:pPr>
    </w:p>
    <w:p w14:paraId="705A9C6F" w14:textId="77777777" w:rsidR="00C95441" w:rsidRDefault="00C95441" w:rsidP="00C95441">
      <w:pPr>
        <w:pStyle w:val="Title"/>
        <w:rPr>
          <w:rFonts w:ascii="Calibri" w:hAnsi="Calibri"/>
          <w:sz w:val="52"/>
        </w:rPr>
      </w:pPr>
    </w:p>
    <w:p w14:paraId="5AAEC94F" w14:textId="77777777" w:rsidR="00C95441" w:rsidRDefault="00C95441" w:rsidP="00C95441">
      <w:pPr>
        <w:pStyle w:val="Title"/>
        <w:rPr>
          <w:rFonts w:ascii="Calibri" w:hAnsi="Calibri"/>
          <w:sz w:val="52"/>
        </w:rPr>
      </w:pPr>
    </w:p>
    <w:p w14:paraId="548941E5" w14:textId="77777777" w:rsidR="00C95441" w:rsidRDefault="00C95441" w:rsidP="00C95441">
      <w:pPr>
        <w:pStyle w:val="Title"/>
        <w:rPr>
          <w:rFonts w:ascii="Calibri" w:hAnsi="Calibri"/>
          <w:sz w:val="52"/>
        </w:rPr>
      </w:pPr>
    </w:p>
    <w:p w14:paraId="4EFE66C1" w14:textId="77777777" w:rsidR="00C95441" w:rsidRDefault="00C95441" w:rsidP="00D0465E">
      <w:pPr>
        <w:pStyle w:val="Title"/>
        <w:jc w:val="left"/>
        <w:rPr>
          <w:rFonts w:ascii="Calibri" w:hAnsi="Calibri"/>
          <w:sz w:val="24"/>
        </w:rPr>
      </w:pPr>
    </w:p>
    <w:p w14:paraId="09FD4387" w14:textId="39E584AE" w:rsidR="00DF51CD" w:rsidRPr="003054ED" w:rsidRDefault="00DF51CD" w:rsidP="00DF51CD">
      <w:pPr>
        <w:pStyle w:val="Heading1"/>
        <w:rPr>
          <w:rFonts w:eastAsia="Times New Roman"/>
          <w:b/>
          <w:bCs/>
        </w:rPr>
      </w:pPr>
      <w:r w:rsidRPr="003054ED">
        <w:rPr>
          <w:rFonts w:eastAsia="Times New Roman"/>
          <w:b/>
          <w:bCs/>
        </w:rPr>
        <w:lastRenderedPageBreak/>
        <w:t>Authoriz</w:t>
      </w:r>
      <w:r w:rsidR="003054ED">
        <w:rPr>
          <w:rFonts w:eastAsia="Times New Roman"/>
          <w:b/>
          <w:bCs/>
        </w:rPr>
        <w:t>ing Legislation</w:t>
      </w:r>
    </w:p>
    <w:p w14:paraId="0F1EF0EA" w14:textId="1747E006" w:rsidR="00DF51CD" w:rsidRPr="004D6DB9" w:rsidRDefault="00DF51CD" w:rsidP="004D6DB9">
      <w:pPr>
        <w:spacing w:after="0" w:line="240" w:lineRule="auto"/>
        <w:rPr>
          <w:rFonts w:eastAsia="Times New Roman" w:cstheme="minorHAnsi"/>
          <w:kern w:val="0"/>
          <w:sz w:val="24"/>
          <w:szCs w:val="24"/>
          <w14:ligatures w14:val="none"/>
        </w:rPr>
      </w:pPr>
      <w:r w:rsidRPr="00DF51CD">
        <w:rPr>
          <w:rFonts w:eastAsia="Times New Roman" w:cstheme="minorHAnsi"/>
          <w:kern w:val="0"/>
          <w14:ligatures w14:val="none"/>
        </w:rPr>
        <w:t xml:space="preserve">The Energy Transition Office is accepting applications for grant funding for energy transition projects through the Community Energy Transition grant program under </w:t>
      </w:r>
      <w:hyperlink r:id="rId8" w:history="1">
        <w:r w:rsidRPr="007A1894">
          <w:rPr>
            <w:rFonts w:ascii="Calibri" w:eastAsia="Times New Roman" w:hAnsi="Calibri" w:cs="Times New Roman"/>
            <w:snapToGrid w:val="0"/>
            <w:color w:val="0000FF"/>
            <w:kern w:val="0"/>
            <w:u w:val="single"/>
            <w14:ligatures w14:val="none"/>
          </w:rPr>
          <w:t>Minnesota Statutes 116J.55</w:t>
        </w:r>
      </w:hyperlink>
      <w:r w:rsidRPr="00DF51CD">
        <w:rPr>
          <w:rFonts w:eastAsia="Times New Roman" w:cstheme="minorHAnsi"/>
          <w:kern w:val="0"/>
          <w:sz w:val="24"/>
          <w:szCs w:val="24"/>
          <w14:ligatures w14:val="none"/>
        </w:rPr>
        <w:t>.</w:t>
      </w:r>
    </w:p>
    <w:p w14:paraId="5A147ED2" w14:textId="24CD816B" w:rsidR="00DF51CD" w:rsidRPr="003054ED" w:rsidRDefault="00DF51CD" w:rsidP="00DF51CD">
      <w:pPr>
        <w:pStyle w:val="Heading1"/>
        <w:rPr>
          <w:b/>
          <w:bCs/>
        </w:rPr>
      </w:pPr>
      <w:r w:rsidRPr="003054ED">
        <w:rPr>
          <w:rFonts w:eastAsia="Times New Roman"/>
          <w:b/>
          <w:bCs/>
        </w:rPr>
        <w:t xml:space="preserve">Funds Available </w:t>
      </w:r>
    </w:p>
    <w:p w14:paraId="71755625" w14:textId="3D76B111" w:rsidR="0085062B" w:rsidRPr="007A1894" w:rsidRDefault="0085062B" w:rsidP="0085062B">
      <w:pPr>
        <w:spacing w:after="0" w:line="240" w:lineRule="auto"/>
        <w:rPr>
          <w:rFonts w:eastAsia="Times New Roman" w:cstheme="minorHAnsi"/>
          <w:kern w:val="0"/>
          <w14:ligatures w14:val="none"/>
        </w:rPr>
      </w:pPr>
      <w:r w:rsidRPr="0085062B">
        <w:rPr>
          <w:rFonts w:eastAsia="Times New Roman" w:cstheme="minorHAnsi"/>
          <w:kern w:val="0"/>
          <w14:ligatures w14:val="none"/>
        </w:rPr>
        <w:t xml:space="preserve">Approximately $10 million is available for distribution for the Community Energy Transition grant program. </w:t>
      </w:r>
    </w:p>
    <w:p w14:paraId="0E8CE8A1" w14:textId="75A30E01" w:rsidR="0085062B" w:rsidRPr="0085062B" w:rsidRDefault="0085062B" w:rsidP="0085062B">
      <w:pPr>
        <w:spacing w:after="0" w:line="240" w:lineRule="auto"/>
        <w:rPr>
          <w:rFonts w:eastAsia="Times New Roman" w:cstheme="minorHAnsi"/>
          <w:kern w:val="0"/>
          <w14:ligatures w14:val="none"/>
        </w:rPr>
      </w:pPr>
      <w:r w:rsidRPr="0085062B">
        <w:rPr>
          <w:rFonts w:eastAsia="Times New Roman" w:cstheme="minorHAnsi"/>
          <w:kern w:val="0"/>
          <w14:ligatures w14:val="none"/>
        </w:rPr>
        <w:t>SFY 24 - $</w:t>
      </w:r>
      <w:r w:rsidRPr="007A1894">
        <w:rPr>
          <w:rFonts w:eastAsia="Times New Roman" w:cstheme="minorHAnsi"/>
          <w:kern w:val="0"/>
          <w14:ligatures w14:val="none"/>
        </w:rPr>
        <w:t>4,750,000</w:t>
      </w:r>
      <w:r w:rsidRPr="0085062B">
        <w:rPr>
          <w:rFonts w:eastAsia="Times New Roman" w:cstheme="minorHAnsi"/>
          <w:kern w:val="0"/>
          <w14:ligatures w14:val="none"/>
        </w:rPr>
        <w:t xml:space="preserve"> million</w:t>
      </w:r>
    </w:p>
    <w:p w14:paraId="57A64E44" w14:textId="2861112F" w:rsidR="00C95441" w:rsidRPr="007A1894" w:rsidRDefault="0085062B" w:rsidP="0085062B">
      <w:pPr>
        <w:pStyle w:val="Title"/>
        <w:jc w:val="left"/>
        <w:rPr>
          <w:rFonts w:asciiTheme="minorHAnsi" w:hAnsiTheme="minorHAnsi" w:cstheme="minorHAnsi"/>
          <w:sz w:val="22"/>
          <w:szCs w:val="22"/>
        </w:rPr>
      </w:pPr>
      <w:r w:rsidRPr="007A1894">
        <w:rPr>
          <w:rFonts w:asciiTheme="minorHAnsi" w:hAnsiTheme="minorHAnsi" w:cstheme="minorHAnsi"/>
          <w:b w:val="0"/>
          <w:sz w:val="22"/>
          <w:szCs w:val="22"/>
          <w14:ligatures w14:val="none"/>
        </w:rPr>
        <w:t>SFY 25 - $4,750,000 million</w:t>
      </w:r>
    </w:p>
    <w:p w14:paraId="4AD42C41" w14:textId="5797A1CB" w:rsidR="00C95441" w:rsidRPr="007A1894" w:rsidRDefault="0085062B" w:rsidP="00DF51CD">
      <w:r w:rsidRPr="007A1894">
        <w:t xml:space="preserve">A portion of State Fiscal Year 24 funding has been awarded. Call </w:t>
      </w:r>
      <w:r w:rsidR="003054ED" w:rsidRPr="007A1894">
        <w:t>DEED if interested and a current amount funds available will be provided.</w:t>
      </w:r>
    </w:p>
    <w:p w14:paraId="2400B646" w14:textId="6C370FC7" w:rsidR="003054ED" w:rsidRDefault="003054ED" w:rsidP="003054ED">
      <w:pPr>
        <w:pStyle w:val="Heading1"/>
        <w:rPr>
          <w:b/>
          <w:bCs/>
        </w:rPr>
      </w:pPr>
      <w:r w:rsidRPr="003054ED">
        <w:rPr>
          <w:b/>
          <w:bCs/>
        </w:rPr>
        <w:t>Background/Purpose</w:t>
      </w:r>
    </w:p>
    <w:p w14:paraId="211A225D" w14:textId="27607F54" w:rsidR="00AE4D39" w:rsidRPr="00AE4D39" w:rsidRDefault="00AE4D39" w:rsidP="00AE4D39">
      <w:r w:rsidRPr="00AE4D39">
        <w:t>The Department of Employment and Economic Development, through its Office of Energy Transition, is seeking proposals</w:t>
      </w:r>
      <w:r w:rsidR="004A0E38" w:rsidRPr="007A1894">
        <w:t>/applications</w:t>
      </w:r>
      <w:r w:rsidRPr="00AE4D39">
        <w:t xml:space="preserve"> from qualified responders, as defined in </w:t>
      </w:r>
      <w:hyperlink r:id="rId9" w:history="1">
        <w:r w:rsidRPr="00AE4D39">
          <w:rPr>
            <w:rStyle w:val="Hyperlink"/>
          </w:rPr>
          <w:t>Minnesota Statutes 116J.55</w:t>
        </w:r>
      </w:hyperlink>
      <w:r w:rsidRPr="00AE4D39">
        <w:t xml:space="preserve">, to assist eligible communities to address the economic dislocation and social impact associated with the closing of a local electric generating plant.  </w:t>
      </w:r>
    </w:p>
    <w:p w14:paraId="238F663B" w14:textId="60ABAA2C" w:rsidR="003054ED" w:rsidRDefault="00182CEA" w:rsidP="00182CEA">
      <w:pPr>
        <w:pStyle w:val="Heading1"/>
        <w:rPr>
          <w:b/>
          <w:bCs/>
        </w:rPr>
      </w:pPr>
      <w:r w:rsidRPr="00182CEA">
        <w:rPr>
          <w:b/>
          <w:bCs/>
        </w:rPr>
        <w:t>Eligible Applicants</w:t>
      </w:r>
    </w:p>
    <w:p w14:paraId="4F5CF92F" w14:textId="77777777" w:rsidR="006256BF" w:rsidRPr="006256BF" w:rsidRDefault="006256BF" w:rsidP="006256BF">
      <w:r w:rsidRPr="006256BF">
        <w:t>A County, Municipality (including township), or Tribal government located in Minnesota in which an electric generating plant owned by a public utility, as defined in section 216B.02, that is powered by coal, nuclear energy, or natural gas:</w:t>
      </w:r>
    </w:p>
    <w:p w14:paraId="3CD05A83" w14:textId="77777777" w:rsidR="006256BF" w:rsidRPr="006256BF" w:rsidRDefault="006256BF" w:rsidP="006256BF">
      <w:r w:rsidRPr="006256BF">
        <w:t>(1) is currently operating and (</w:t>
      </w:r>
      <w:proofErr w:type="spellStart"/>
      <w:r w:rsidRPr="006256BF">
        <w:t>i</w:t>
      </w:r>
      <w:proofErr w:type="spellEnd"/>
      <w:r w:rsidRPr="006256BF">
        <w:t xml:space="preserve">) is scheduled to cease operations or, (ii) whose cessation of operations has been proposed in an integrated resource plan filed with the commission under section </w:t>
      </w:r>
      <w:hyperlink r:id="rId10" w:history="1">
        <w:r w:rsidRPr="006256BF">
          <w:rPr>
            <w:rStyle w:val="Hyperlink"/>
          </w:rPr>
          <w:t>216B.2422</w:t>
        </w:r>
      </w:hyperlink>
      <w:r w:rsidRPr="006256BF">
        <w:t>, or (iii) whose current operating license expires within 15 years of the effective date of this section; or</w:t>
      </w:r>
    </w:p>
    <w:p w14:paraId="202D36A6" w14:textId="77777777" w:rsidR="006256BF" w:rsidRPr="007A1894" w:rsidRDefault="006256BF" w:rsidP="006256BF">
      <w:r w:rsidRPr="006256BF">
        <w:t>(2) ceased operations or was removed from the local property tax base no earlier than five years before the date an application is made for a grant under this section.</w:t>
      </w:r>
    </w:p>
    <w:p w14:paraId="4F52605F" w14:textId="28D91FB9" w:rsidR="0005089E" w:rsidRDefault="0005089E" w:rsidP="0005089E">
      <w:pPr>
        <w:pStyle w:val="Heading1"/>
        <w:rPr>
          <w:b/>
          <w:bCs/>
        </w:rPr>
      </w:pPr>
      <w:r w:rsidRPr="0005089E">
        <w:rPr>
          <w:b/>
          <w:bCs/>
        </w:rPr>
        <w:t>Eligible Projects</w:t>
      </w:r>
    </w:p>
    <w:p w14:paraId="1124026D" w14:textId="77777777" w:rsidR="008949E4" w:rsidRPr="008949E4" w:rsidRDefault="008949E4" w:rsidP="008949E4">
      <w:r w:rsidRPr="008949E4">
        <w:t xml:space="preserve">An eligible community awarded a grant under this section may use the grant to plan for or address​ the economic and social impacts on the eligible community of the electric generating plants cessation of​ operations, including but not limited to </w:t>
      </w:r>
      <w:r w:rsidRPr="008949E4">
        <w:rPr>
          <w:b/>
          <w:bCs/>
        </w:rPr>
        <w:t>land use studies, economic planning, researching, planning, and implementing activities, capital costs of public infrastructure necessary for economic development, and impact studies and other planning activities enabling communities to become shovel-ready and support the transition from power plants to other economic activities to minimize the negative impacts of power plant closures on tax revenues and jobs</w:t>
      </w:r>
      <w:r w:rsidRPr="008949E4">
        <w:t xml:space="preserve"> designed to:​ </w:t>
      </w:r>
    </w:p>
    <w:p w14:paraId="2D7DDA4D" w14:textId="77777777" w:rsidR="008949E4" w:rsidRPr="008949E4" w:rsidRDefault="008949E4" w:rsidP="008949E4">
      <w:pPr>
        <w:numPr>
          <w:ilvl w:val="0"/>
          <w:numId w:val="1"/>
        </w:numPr>
      </w:pPr>
      <w:r w:rsidRPr="008949E4">
        <w:t>assist workers at the plant find new employment, including worker retraining and developing small​ business start-up skills.</w:t>
      </w:r>
    </w:p>
    <w:p w14:paraId="502C997C" w14:textId="77777777" w:rsidR="008949E4" w:rsidRPr="008949E4" w:rsidRDefault="008949E4" w:rsidP="008949E4">
      <w:pPr>
        <w:numPr>
          <w:ilvl w:val="0"/>
          <w:numId w:val="1"/>
        </w:numPr>
      </w:pPr>
      <w:r w:rsidRPr="008949E4">
        <w:t xml:space="preserve">increase the eligible community's property tax base; and​ </w:t>
      </w:r>
    </w:p>
    <w:p w14:paraId="406F34C9" w14:textId="60731E5F" w:rsidR="00584519" w:rsidRDefault="008949E4" w:rsidP="00584519">
      <w:pPr>
        <w:pStyle w:val="ListParagraph"/>
        <w:numPr>
          <w:ilvl w:val="0"/>
          <w:numId w:val="1"/>
        </w:numPr>
      </w:pPr>
      <w:r w:rsidRPr="007A1894">
        <w:lastRenderedPageBreak/>
        <w:t xml:space="preserve">develop alternative economic development strategies to attract new employers to </w:t>
      </w:r>
      <w:r w:rsidR="00A86C59" w:rsidRPr="007A1894">
        <w:t>the eligible​</w:t>
      </w:r>
      <w:r w:rsidRPr="007A1894">
        <w:t xml:space="preserve"> community.</w:t>
      </w:r>
    </w:p>
    <w:p w14:paraId="08E41B2C" w14:textId="77777777" w:rsidR="00584519" w:rsidRPr="00F21F52" w:rsidRDefault="00584519" w:rsidP="00584519">
      <w:pPr>
        <w:pStyle w:val="Heading3"/>
        <w:rPr>
          <w:rFonts w:eastAsia="Times New Roman"/>
          <w:b/>
          <w:bCs/>
        </w:rPr>
      </w:pPr>
      <w:bookmarkStart w:id="0" w:name="_Toc157088485"/>
      <w:r w:rsidRPr="00F21F52">
        <w:rPr>
          <w:rFonts w:eastAsia="Times New Roman"/>
          <w:b/>
          <w:bCs/>
        </w:rPr>
        <w:t>Collaboration</w:t>
      </w:r>
      <w:bookmarkEnd w:id="0"/>
    </w:p>
    <w:p w14:paraId="72B436AC" w14:textId="6C7F144D" w:rsidR="00584519" w:rsidRPr="007A1894" w:rsidRDefault="00584519" w:rsidP="00584519">
      <w:r w:rsidRPr="00F21F52">
        <w:t>Partnership, collaborations, and community engagement are required between entities with similar strategies, linked to comprehensive plans, to address the impacts of plant closure in the community. Joint agreement and letters of support provide evidence of strong partnerships toward a common goal. Impacted communities must engage with stakeholders (for example:  regional planning councils, economic development organizations, educational institutions, organizations representing workers, sovereign nations, non-profits, etc.). Successful applications will also include minutes from at least one public meeting that allowed for public input, with public discussion, of the proposed use of the Community Energy Transition Grant funds and how it relates to the community’s transition planning.</w:t>
      </w:r>
    </w:p>
    <w:p w14:paraId="5879BA68" w14:textId="0CC70006" w:rsidR="00100C13" w:rsidRPr="001C29F9" w:rsidRDefault="001C29F9" w:rsidP="00100C13">
      <w:pPr>
        <w:pStyle w:val="Heading1"/>
        <w:rPr>
          <w:b/>
          <w:bCs/>
        </w:rPr>
      </w:pPr>
      <w:r w:rsidRPr="001C29F9">
        <w:rPr>
          <w:b/>
          <w:bCs/>
        </w:rPr>
        <w:t>Max Grant Amount</w:t>
      </w:r>
    </w:p>
    <w:p w14:paraId="3DE9ADD7" w14:textId="4CB86E55" w:rsidR="00C76648" w:rsidRPr="007A1894" w:rsidRDefault="00C76648" w:rsidP="00C76648">
      <w:pPr>
        <w:rPr>
          <w:color w:val="000000"/>
        </w:rPr>
      </w:pPr>
      <w:r w:rsidRPr="007A1894">
        <w:t xml:space="preserve">The maximum award is up to $1m per fiscal year. All </w:t>
      </w:r>
      <w:r w:rsidR="00D9698A" w:rsidRPr="007A1894">
        <w:t>applications</w:t>
      </w:r>
      <w:r w:rsidRPr="007A1894">
        <w:t xml:space="preserve"> will be scored based on the Scoring Methodology outlined in the Proposal Evaluation and Selection section. </w:t>
      </w:r>
      <w:r w:rsidRPr="007A1894">
        <w:rPr>
          <w:color w:val="000000"/>
        </w:rPr>
        <w:t xml:space="preserve">Based on the number of eligible applications, funding availability and award amounts will be determined solely by DEED.  </w:t>
      </w:r>
    </w:p>
    <w:p w14:paraId="60BAE6E7" w14:textId="62F13A1E" w:rsidR="00C76648" w:rsidRPr="007A1894" w:rsidRDefault="00C76648" w:rsidP="00C76648">
      <w:r w:rsidRPr="007A1894">
        <w:rPr>
          <w:b/>
          <w:bCs/>
          <w:lang w:val="en"/>
        </w:rPr>
        <w:t>Public Infrastructure</w:t>
      </w:r>
      <w:r w:rsidRPr="007A1894">
        <w:rPr>
          <w:lang w:val="en"/>
        </w:rPr>
        <w:t xml:space="preserve"> means publicly owned physical infrastructure, including, but not limited to, wastewater collection and treatment systems, drinking water systems, storm sewers, utility extensions, telecommunications infrastructure, streets, roads, bridges, parking ramps, facilities that support basic science technology and clinical research, and research infrastructure. Funds may also be used to acquire and prepare land on which public infrastructure required to support an eligible project will be located, including demolition of structures and remediation of any hazardous conditions on the land, or to predesign, design, acquire, construct, furnish, and equip public infrastructure required to support an eligible project.</w:t>
      </w:r>
    </w:p>
    <w:p w14:paraId="7D390AC6" w14:textId="77777777" w:rsidR="00C76648" w:rsidRDefault="00C76648" w:rsidP="00C76648">
      <w:pPr>
        <w:rPr>
          <w:color w:val="000000"/>
          <w:sz w:val="24"/>
          <w:szCs w:val="24"/>
        </w:rPr>
      </w:pPr>
      <w:r w:rsidRPr="007A1894">
        <w:rPr>
          <w:b/>
          <w:bCs/>
          <w:color w:val="000000"/>
        </w:rPr>
        <w:t>Capital Costs</w:t>
      </w:r>
      <w:r w:rsidRPr="007A1894">
        <w:rPr>
          <w:color w:val="000000"/>
        </w:rPr>
        <w:t xml:space="preserve"> are defined as an expenditure associated with the improvements to the land, (land costs can be capital costs) made as part of the activities for which application funds are being requested. Capital Costs cannot include feasibility studies, platting, or project administration.</w:t>
      </w:r>
    </w:p>
    <w:p w14:paraId="34E10D6F" w14:textId="40F507E9" w:rsidR="003A76F3" w:rsidRDefault="003A76F3" w:rsidP="003A76F3">
      <w:pPr>
        <w:pStyle w:val="Heading1"/>
        <w:rPr>
          <w:b/>
          <w:bCs/>
        </w:rPr>
      </w:pPr>
      <w:r w:rsidRPr="003A76F3">
        <w:rPr>
          <w:b/>
          <w:bCs/>
        </w:rPr>
        <w:t>Match Requirement</w:t>
      </w:r>
    </w:p>
    <w:p w14:paraId="0B7A1815" w14:textId="099CAB06" w:rsidR="00307B54" w:rsidRPr="007A1894" w:rsidRDefault="00307B54" w:rsidP="00307B54">
      <w:pPr>
        <w:rPr>
          <w:rFonts w:eastAsia="Calibri"/>
        </w:rPr>
      </w:pPr>
      <w:r w:rsidRPr="007A1894">
        <w:rPr>
          <w:rFonts w:eastAsia="Calibri"/>
        </w:rPr>
        <w:t xml:space="preserve">The Community Energy Transition Grant does not have a match requirement.  However, it is important for the grant program and for public education to know all the work and investments that the community has completed and will be investing and completing for this project.  This is an opportunity to educate and explain the work your community/county has done to get to this point and to propel you forward.  Other resources/investments can include but are not limited </w:t>
      </w:r>
      <w:r w:rsidR="00415F3C" w:rsidRPr="007A1894">
        <w:rPr>
          <w:rFonts w:eastAsia="Calibri"/>
        </w:rPr>
        <w:t>to in</w:t>
      </w:r>
      <w:r w:rsidRPr="007A1894">
        <w:rPr>
          <w:rFonts w:eastAsia="Calibri"/>
        </w:rPr>
        <w:t>-kind time; cash; work and costs associated to other studies and planning to support this project; surveys; developer work including platting, environmental work, easement acquisition, topos, design work; and other that you have worked on not listed. </w:t>
      </w:r>
    </w:p>
    <w:p w14:paraId="3CC650F5" w14:textId="4B9AEDAF" w:rsidR="00415F3C" w:rsidRDefault="007129D9" w:rsidP="007129D9">
      <w:pPr>
        <w:pStyle w:val="Heading1"/>
        <w:rPr>
          <w:rFonts w:eastAsia="Calibri"/>
          <w:b/>
          <w:bCs/>
        </w:rPr>
      </w:pPr>
      <w:r w:rsidRPr="007129D9">
        <w:rPr>
          <w:rFonts w:eastAsia="Calibri"/>
          <w:b/>
          <w:bCs/>
        </w:rPr>
        <w:t>Application Requirement/Timetable</w:t>
      </w:r>
    </w:p>
    <w:p w14:paraId="117030A3" w14:textId="79F9CA4B" w:rsidR="003B13FA" w:rsidRPr="007A1894" w:rsidRDefault="003B13FA" w:rsidP="003B13FA">
      <w:pPr>
        <w:tabs>
          <w:tab w:val="left" w:pos="1080"/>
        </w:tabs>
      </w:pPr>
      <w:r w:rsidRPr="007A1894">
        <w:rPr>
          <w:bCs/>
          <w:color w:val="000000"/>
        </w:rPr>
        <w:t>Applications will be accepted and awarded on a</w:t>
      </w:r>
      <w:r w:rsidR="00793571" w:rsidRPr="007A1894">
        <w:rPr>
          <w:bCs/>
          <w:color w:val="000000"/>
        </w:rPr>
        <w:t xml:space="preserve"> </w:t>
      </w:r>
      <w:r w:rsidR="00682614" w:rsidRPr="007A1894">
        <w:rPr>
          <w:bCs/>
          <w:color w:val="000000"/>
        </w:rPr>
        <w:t>rolling</w:t>
      </w:r>
      <w:r w:rsidRPr="007A1894">
        <w:rPr>
          <w:bCs/>
          <w:color w:val="000000"/>
        </w:rPr>
        <w:t xml:space="preserve"> application basis until all funds are committed.  </w:t>
      </w:r>
      <w:r w:rsidRPr="007A1894">
        <w:t xml:space="preserve">Eligible applicants must email their application to </w:t>
      </w:r>
      <w:hyperlink r:id="rId11" w:history="1">
        <w:r w:rsidR="006243DA" w:rsidRPr="007A1894">
          <w:rPr>
            <w:rStyle w:val="Hyperlink"/>
          </w:rPr>
          <w:t>CETGP.DEED@state.mn.us</w:t>
        </w:r>
      </w:hyperlink>
      <w:r w:rsidRPr="007A1894">
        <w:t xml:space="preserve">. </w:t>
      </w:r>
      <w:r w:rsidR="001F643F">
        <w:t xml:space="preserve">Application for State Fiscal </w:t>
      </w:r>
      <w:r w:rsidR="001F643F">
        <w:lastRenderedPageBreak/>
        <w:t xml:space="preserve">Year 24 is open until June 30, 2024. Application for State Fiscal Year 25 will open on July 1, 2024. </w:t>
      </w:r>
      <w:r w:rsidRPr="007A1894">
        <w:t>Application format should meet the following requirements:</w:t>
      </w:r>
    </w:p>
    <w:p w14:paraId="18068681" w14:textId="77777777" w:rsidR="003B13FA" w:rsidRPr="007A1894" w:rsidRDefault="003B13FA" w:rsidP="003B13FA">
      <w:pPr>
        <w:pStyle w:val="ListParagraph"/>
        <w:numPr>
          <w:ilvl w:val="0"/>
          <w:numId w:val="2"/>
        </w:numPr>
        <w:tabs>
          <w:tab w:val="left" w:pos="1080"/>
        </w:tabs>
        <w:spacing w:after="0" w:line="240" w:lineRule="auto"/>
        <w:ind w:firstLine="0"/>
        <w:contextualSpacing w:val="0"/>
        <w:jc w:val="both"/>
      </w:pPr>
      <w:r w:rsidRPr="007A1894">
        <w:t>One PDF file for application and attachments</w:t>
      </w:r>
    </w:p>
    <w:p w14:paraId="4D62B98F" w14:textId="77777777" w:rsidR="003B13FA" w:rsidRPr="007A1894" w:rsidRDefault="003B13FA" w:rsidP="003B13FA">
      <w:pPr>
        <w:pStyle w:val="ListParagraph"/>
        <w:numPr>
          <w:ilvl w:val="0"/>
          <w:numId w:val="2"/>
        </w:numPr>
        <w:tabs>
          <w:tab w:val="left" w:pos="1080"/>
        </w:tabs>
        <w:spacing w:after="0" w:line="240" w:lineRule="auto"/>
        <w:ind w:firstLine="0"/>
        <w:contextualSpacing w:val="0"/>
        <w:jc w:val="both"/>
      </w:pPr>
      <w:r w:rsidRPr="007A1894">
        <w:t>All pages in application should be 8.5” x 11”</w:t>
      </w:r>
    </w:p>
    <w:p w14:paraId="63153C04" w14:textId="4FD315EC" w:rsidR="003B13FA" w:rsidRDefault="00C81AE0" w:rsidP="00C81AE0">
      <w:pPr>
        <w:pStyle w:val="ListParagraph"/>
        <w:numPr>
          <w:ilvl w:val="0"/>
          <w:numId w:val="2"/>
        </w:numPr>
        <w:tabs>
          <w:tab w:val="left" w:pos="1080"/>
        </w:tabs>
        <w:spacing w:after="0" w:line="240" w:lineRule="auto"/>
        <w:ind w:firstLine="0"/>
        <w:contextualSpacing w:val="0"/>
        <w:jc w:val="both"/>
      </w:pPr>
      <w:r w:rsidRPr="007A1894">
        <w:t>Separate PDF file of the Pre-Award Risk Assessment</w:t>
      </w:r>
    </w:p>
    <w:p w14:paraId="1EC5D550" w14:textId="78466137" w:rsidR="000C335F" w:rsidRDefault="00B749E1" w:rsidP="00C81AE0">
      <w:pPr>
        <w:pStyle w:val="ListParagraph"/>
        <w:numPr>
          <w:ilvl w:val="0"/>
          <w:numId w:val="2"/>
        </w:numPr>
        <w:tabs>
          <w:tab w:val="left" w:pos="1080"/>
        </w:tabs>
        <w:spacing w:after="0" w:line="240" w:lineRule="auto"/>
        <w:ind w:firstLine="0"/>
        <w:contextualSpacing w:val="0"/>
        <w:jc w:val="both"/>
      </w:pPr>
      <w:r>
        <w:t>12-point</w:t>
      </w:r>
      <w:r w:rsidR="000C335F">
        <w:t xml:space="preserve"> font (Arial or Calibri preferred)</w:t>
      </w:r>
    </w:p>
    <w:p w14:paraId="54B3B28D" w14:textId="77777777" w:rsidR="00C81AE0" w:rsidRPr="007A1894" w:rsidRDefault="00C81AE0" w:rsidP="00B749E1">
      <w:pPr>
        <w:tabs>
          <w:tab w:val="left" w:pos="1080"/>
        </w:tabs>
        <w:spacing w:after="0" w:line="240" w:lineRule="auto"/>
        <w:jc w:val="both"/>
      </w:pPr>
    </w:p>
    <w:p w14:paraId="40AC5998" w14:textId="77777777" w:rsidR="003B13FA" w:rsidRPr="007A1894" w:rsidRDefault="003B13FA" w:rsidP="003B13FA">
      <w:pPr>
        <w:tabs>
          <w:tab w:val="left" w:pos="1080"/>
        </w:tabs>
      </w:pPr>
      <w:r w:rsidRPr="007A1894">
        <w:t>Applicants will get an email confirmation the application was received. If you do not get a confirmation, assume your application was not received.</w:t>
      </w:r>
    </w:p>
    <w:p w14:paraId="52713B73" w14:textId="1A4CD3A3" w:rsidR="00A95715" w:rsidRDefault="00A95715" w:rsidP="00A95715">
      <w:pPr>
        <w:pStyle w:val="Heading1"/>
        <w:rPr>
          <w:b/>
          <w:bCs/>
        </w:rPr>
      </w:pPr>
      <w:r w:rsidRPr="00AE22E5">
        <w:rPr>
          <w:b/>
          <w:bCs/>
        </w:rPr>
        <w:t>Resolution</w:t>
      </w:r>
    </w:p>
    <w:p w14:paraId="7C8BE740" w14:textId="7EEFF493" w:rsidR="00CD03E2" w:rsidRDefault="00CD03E2" w:rsidP="00CD03E2">
      <w:pPr>
        <w:rPr>
          <w:color w:val="000000"/>
        </w:rPr>
      </w:pPr>
      <w:r w:rsidRPr="00E83EC8">
        <w:rPr>
          <w:color w:val="000000"/>
        </w:rPr>
        <w:t xml:space="preserve">A resolution indicating </w:t>
      </w:r>
      <w:r w:rsidRPr="00E83EC8">
        <w:t xml:space="preserve">applicant eligibility, </w:t>
      </w:r>
      <w:r w:rsidR="007976AA">
        <w:t xml:space="preserve">and </w:t>
      </w:r>
      <w:r w:rsidRPr="00E83EC8">
        <w:t>approval of the project</w:t>
      </w:r>
      <w:r w:rsidRPr="00E83EC8">
        <w:rPr>
          <w:color w:val="000000"/>
        </w:rPr>
        <w:t xml:space="preserve"> must be completed </w:t>
      </w:r>
      <w:r w:rsidRPr="00E83EC8">
        <w:t xml:space="preserve">and submitted with the application.  </w:t>
      </w:r>
      <w:r w:rsidRPr="00E83EC8">
        <w:rPr>
          <w:color w:val="000000"/>
        </w:rPr>
        <w:t xml:space="preserve">(A sample resolution has been </w:t>
      </w:r>
      <w:r w:rsidRPr="00E83EC8">
        <w:t>provided</w:t>
      </w:r>
      <w:r w:rsidR="007976AA">
        <w:t xml:space="preserve"> in the application</w:t>
      </w:r>
      <w:r w:rsidRPr="00E83EC8">
        <w:rPr>
          <w:color w:val="000000"/>
        </w:rPr>
        <w:t xml:space="preserve">).  You may choose to re-format this resolution but make sure to include </w:t>
      </w:r>
      <w:r w:rsidR="007976AA" w:rsidRPr="00E83EC8">
        <w:rPr>
          <w:color w:val="000000"/>
        </w:rPr>
        <w:t>all</w:t>
      </w:r>
      <w:r w:rsidRPr="00E83EC8">
        <w:rPr>
          <w:color w:val="000000"/>
        </w:rPr>
        <w:t xml:space="preserve"> the statements that appear in the sample resolution.</w:t>
      </w:r>
    </w:p>
    <w:p w14:paraId="27BFF3DA" w14:textId="4173ED7C" w:rsidR="00DF6215" w:rsidRPr="002E0C87" w:rsidRDefault="004C775F" w:rsidP="004C775F">
      <w:pPr>
        <w:pStyle w:val="Heading1"/>
        <w:rPr>
          <w:b/>
          <w:bCs/>
        </w:rPr>
      </w:pPr>
      <w:r w:rsidRPr="002E0C87">
        <w:rPr>
          <w:b/>
          <w:bCs/>
        </w:rPr>
        <w:t>Application Evaluation Cr</w:t>
      </w:r>
      <w:r w:rsidR="002E0C87" w:rsidRPr="002E0C87">
        <w:rPr>
          <w:b/>
          <w:bCs/>
        </w:rPr>
        <w:t>iteria</w:t>
      </w:r>
    </w:p>
    <w:p w14:paraId="590B152C" w14:textId="77777777" w:rsidR="00AD05E7" w:rsidRPr="00193615" w:rsidRDefault="00AD05E7" w:rsidP="00AD05E7">
      <w:r w:rsidRPr="00193615">
        <w:t>The review committee will be reviewing each proposal on a 100-point scale. The scoring factors and weight that applications will be judged on are:</w:t>
      </w:r>
    </w:p>
    <w:p w14:paraId="19380E55" w14:textId="77777777" w:rsidR="00AD05E7" w:rsidRPr="00193615" w:rsidRDefault="00AD05E7" w:rsidP="00AD05E7">
      <w:pPr>
        <w:pStyle w:val="ListParagraph"/>
        <w:numPr>
          <w:ilvl w:val="0"/>
          <w:numId w:val="3"/>
        </w:numPr>
        <w:spacing w:after="240" w:line="240" w:lineRule="auto"/>
        <w:rPr>
          <w:i/>
          <w:iCs/>
        </w:rPr>
      </w:pPr>
      <w:r w:rsidRPr="00193615">
        <w:rPr>
          <w:i/>
          <w:iCs/>
        </w:rPr>
        <w:t>Project Scope: 10 points</w:t>
      </w:r>
    </w:p>
    <w:p w14:paraId="168A8216" w14:textId="77777777" w:rsidR="00AD05E7" w:rsidRPr="00193615" w:rsidRDefault="00AD05E7" w:rsidP="00AD05E7">
      <w:pPr>
        <w:pStyle w:val="ListParagraph"/>
        <w:numPr>
          <w:ilvl w:val="0"/>
          <w:numId w:val="3"/>
        </w:numPr>
        <w:spacing w:after="240" w:line="240" w:lineRule="auto"/>
        <w:rPr>
          <w:i/>
          <w:iCs/>
        </w:rPr>
      </w:pPr>
      <w:r w:rsidRPr="00193615">
        <w:rPr>
          <w:i/>
          <w:iCs/>
        </w:rPr>
        <w:t>Timing: 10 points</w:t>
      </w:r>
    </w:p>
    <w:p w14:paraId="5AAD4A1A" w14:textId="77777777" w:rsidR="00AD05E7" w:rsidRPr="00193615" w:rsidRDefault="00AD05E7" w:rsidP="00AD05E7">
      <w:pPr>
        <w:pStyle w:val="ListParagraph"/>
        <w:numPr>
          <w:ilvl w:val="0"/>
          <w:numId w:val="3"/>
        </w:numPr>
        <w:spacing w:after="240" w:line="240" w:lineRule="auto"/>
        <w:rPr>
          <w:i/>
          <w:iCs/>
        </w:rPr>
      </w:pPr>
      <w:r w:rsidRPr="00193615">
        <w:rPr>
          <w:i/>
          <w:iCs/>
        </w:rPr>
        <w:t>Financing/Budget: 10 points</w:t>
      </w:r>
    </w:p>
    <w:p w14:paraId="4500A58E" w14:textId="77777777" w:rsidR="00AD05E7" w:rsidRPr="00193615" w:rsidRDefault="00AD05E7" w:rsidP="00AD05E7">
      <w:pPr>
        <w:pStyle w:val="ListParagraph"/>
        <w:numPr>
          <w:ilvl w:val="0"/>
          <w:numId w:val="3"/>
        </w:numPr>
        <w:spacing w:after="240" w:line="240" w:lineRule="auto"/>
        <w:rPr>
          <w:i/>
          <w:iCs/>
        </w:rPr>
      </w:pPr>
      <w:r w:rsidRPr="00193615">
        <w:rPr>
          <w:i/>
          <w:iCs/>
        </w:rPr>
        <w:t>Economic Impact: 25 points</w:t>
      </w:r>
    </w:p>
    <w:p w14:paraId="44DC17D2" w14:textId="77777777" w:rsidR="00AD05E7" w:rsidRPr="00193615" w:rsidRDefault="00AD05E7" w:rsidP="00AD05E7">
      <w:pPr>
        <w:pStyle w:val="ListParagraph"/>
        <w:numPr>
          <w:ilvl w:val="0"/>
          <w:numId w:val="3"/>
        </w:numPr>
        <w:spacing w:after="240" w:line="240" w:lineRule="auto"/>
        <w:rPr>
          <w:i/>
          <w:iCs/>
        </w:rPr>
      </w:pPr>
      <w:r w:rsidRPr="00193615">
        <w:rPr>
          <w:i/>
          <w:iCs/>
        </w:rPr>
        <w:t>Community Impact: 25 points</w:t>
      </w:r>
    </w:p>
    <w:p w14:paraId="4A8AA7F5" w14:textId="77777777" w:rsidR="00AD05E7" w:rsidRPr="00193615" w:rsidRDefault="00AD05E7" w:rsidP="00AD05E7">
      <w:pPr>
        <w:pStyle w:val="ListParagraph"/>
        <w:numPr>
          <w:ilvl w:val="0"/>
          <w:numId w:val="3"/>
        </w:numPr>
        <w:spacing w:after="240" w:line="240" w:lineRule="auto"/>
        <w:rPr>
          <w:i/>
          <w:iCs/>
        </w:rPr>
      </w:pPr>
      <w:r w:rsidRPr="00193615">
        <w:rPr>
          <w:i/>
          <w:iCs/>
        </w:rPr>
        <w:t>Partnership, Collaboration and Community Engagements: 20 points</w:t>
      </w:r>
    </w:p>
    <w:p w14:paraId="445A4595" w14:textId="77777777" w:rsidR="00AD05E7" w:rsidRPr="00193615" w:rsidRDefault="00AD05E7" w:rsidP="00AD05E7">
      <w:pPr>
        <w:rPr>
          <w:b/>
          <w:bCs/>
          <w:i/>
          <w:iCs/>
        </w:rPr>
      </w:pPr>
      <w:r w:rsidRPr="00193615">
        <w:rPr>
          <w:b/>
          <w:bCs/>
          <w:i/>
          <w:iCs/>
        </w:rPr>
        <w:t>Total points – 100 points.</w:t>
      </w:r>
    </w:p>
    <w:tbl>
      <w:tblPr>
        <w:tblStyle w:val="TableGrid"/>
        <w:tblW w:w="9540" w:type="dxa"/>
        <w:tblInd w:w="-5" w:type="dxa"/>
        <w:tblLook w:val="04A0" w:firstRow="1" w:lastRow="0" w:firstColumn="1" w:lastColumn="0" w:noHBand="0" w:noVBand="1"/>
      </w:tblPr>
      <w:tblGrid>
        <w:gridCol w:w="4725"/>
        <w:gridCol w:w="2475"/>
        <w:gridCol w:w="2340"/>
      </w:tblGrid>
      <w:tr w:rsidR="001A51AA" w:rsidRPr="00193615" w14:paraId="1BF6485B" w14:textId="77777777" w:rsidTr="00851200">
        <w:tc>
          <w:tcPr>
            <w:tcW w:w="7200" w:type="dxa"/>
            <w:gridSpan w:val="2"/>
            <w:tcBorders>
              <w:bottom w:val="single" w:sz="4" w:space="0" w:color="auto"/>
            </w:tcBorders>
            <w:shd w:val="clear" w:color="auto" w:fill="D9D9D9" w:themeFill="background1" w:themeFillShade="D9"/>
          </w:tcPr>
          <w:p w14:paraId="35D31B9C" w14:textId="77777777" w:rsidR="001A51AA" w:rsidRPr="00193615" w:rsidRDefault="001A51AA" w:rsidP="00851200">
            <w:pPr>
              <w:rPr>
                <w:rFonts w:asciiTheme="minorHAnsi" w:hAnsiTheme="minorHAnsi" w:cstheme="minorHAnsi"/>
                <w:b/>
                <w:sz w:val="22"/>
                <w:szCs w:val="22"/>
              </w:rPr>
            </w:pPr>
            <w:r w:rsidRPr="00193615">
              <w:rPr>
                <w:rFonts w:asciiTheme="minorHAnsi" w:hAnsiTheme="minorHAnsi" w:cstheme="minorHAnsi"/>
                <w:b/>
                <w:sz w:val="22"/>
                <w:szCs w:val="22"/>
              </w:rPr>
              <w:t>Section 1: Executive Summary</w:t>
            </w:r>
          </w:p>
        </w:tc>
        <w:tc>
          <w:tcPr>
            <w:tcW w:w="2340" w:type="dxa"/>
            <w:shd w:val="clear" w:color="auto" w:fill="D9D9D9" w:themeFill="background1" w:themeFillShade="D9"/>
            <w:vAlign w:val="bottom"/>
          </w:tcPr>
          <w:p w14:paraId="7ED712B9" w14:textId="77777777" w:rsidR="001A51AA" w:rsidRPr="00193615" w:rsidRDefault="001A51AA" w:rsidP="00851200">
            <w:pPr>
              <w:jc w:val="right"/>
              <w:rPr>
                <w:rFonts w:asciiTheme="minorHAnsi" w:hAnsiTheme="minorHAnsi" w:cstheme="minorHAnsi"/>
                <w:b/>
                <w:sz w:val="22"/>
                <w:szCs w:val="22"/>
              </w:rPr>
            </w:pPr>
            <w:r w:rsidRPr="00193615">
              <w:rPr>
                <w:rFonts w:asciiTheme="minorHAnsi" w:hAnsiTheme="minorHAnsi" w:cstheme="minorHAnsi"/>
                <w:b/>
                <w:sz w:val="22"/>
                <w:szCs w:val="22"/>
              </w:rPr>
              <w:t>Total points: 0</w:t>
            </w:r>
          </w:p>
        </w:tc>
      </w:tr>
      <w:tr w:rsidR="001A51AA" w:rsidRPr="00193615" w14:paraId="60752BF8" w14:textId="77777777" w:rsidTr="00851200">
        <w:trPr>
          <w:trHeight w:val="512"/>
        </w:trPr>
        <w:tc>
          <w:tcPr>
            <w:tcW w:w="9540" w:type="dxa"/>
            <w:gridSpan w:val="3"/>
            <w:shd w:val="clear" w:color="auto" w:fill="auto"/>
            <w:vAlign w:val="bottom"/>
          </w:tcPr>
          <w:p w14:paraId="52429C5B" w14:textId="77777777" w:rsidR="001A51AA" w:rsidRPr="00193615" w:rsidRDefault="001A51AA" w:rsidP="00851200">
            <w:pPr>
              <w:rPr>
                <w:b/>
                <w:sz w:val="22"/>
                <w:szCs w:val="22"/>
              </w:rPr>
            </w:pPr>
            <w:r w:rsidRPr="00193615">
              <w:rPr>
                <w:rFonts w:asciiTheme="minorHAnsi" w:hAnsiTheme="minorHAnsi" w:cstheme="minorHAnsi"/>
                <w:color w:val="000000"/>
                <w:sz w:val="22"/>
                <w:szCs w:val="22"/>
              </w:rPr>
              <w:t xml:space="preserve">Provide a summary of your </w:t>
            </w:r>
            <w:r w:rsidRPr="00193615">
              <w:rPr>
                <w:rFonts w:asciiTheme="minorHAnsi" w:hAnsiTheme="minorHAnsi" w:cstheme="minorHAnsi"/>
                <w:sz w:val="22"/>
                <w:szCs w:val="22"/>
              </w:rPr>
              <w:t xml:space="preserve">proposal/plan </w:t>
            </w:r>
            <w:r w:rsidRPr="00193615">
              <w:rPr>
                <w:rFonts w:asciiTheme="minorHAnsi" w:hAnsiTheme="minorHAnsi" w:cstheme="minorHAnsi"/>
                <w:bCs/>
                <w:sz w:val="22"/>
                <w:szCs w:val="22"/>
              </w:rPr>
              <w:t>(limit to one page)</w:t>
            </w:r>
            <w:r w:rsidRPr="00193615">
              <w:rPr>
                <w:rFonts w:asciiTheme="minorHAnsi" w:hAnsiTheme="minorHAnsi" w:cstheme="minorHAnsi"/>
                <w:sz w:val="22"/>
                <w:szCs w:val="22"/>
              </w:rPr>
              <w:t xml:space="preserve">. </w:t>
            </w:r>
            <w:r w:rsidRPr="00193615">
              <w:rPr>
                <w:rFonts w:asciiTheme="minorHAnsi" w:hAnsiTheme="minorHAnsi" w:cstheme="minorHAnsi"/>
                <w:color w:val="000000"/>
                <w:sz w:val="22"/>
                <w:szCs w:val="22"/>
              </w:rPr>
              <w:t xml:space="preserve">Include your organization’s history, purpose, and mission as well as your organizational structure, unique strengths, and capacity to deliver services to the impacted community. </w:t>
            </w:r>
          </w:p>
        </w:tc>
      </w:tr>
      <w:tr w:rsidR="001A51AA" w:rsidRPr="00193615" w14:paraId="45359068" w14:textId="77777777" w:rsidTr="00851200">
        <w:tc>
          <w:tcPr>
            <w:tcW w:w="7200" w:type="dxa"/>
            <w:gridSpan w:val="2"/>
            <w:shd w:val="clear" w:color="auto" w:fill="D9D9D9" w:themeFill="background1" w:themeFillShade="D9"/>
          </w:tcPr>
          <w:p w14:paraId="0A24ABEE" w14:textId="77777777" w:rsidR="001A51AA" w:rsidRPr="00193615" w:rsidRDefault="001A51AA" w:rsidP="00851200">
            <w:pPr>
              <w:rPr>
                <w:rFonts w:asciiTheme="minorHAnsi" w:hAnsiTheme="minorHAnsi"/>
                <w:b/>
                <w:sz w:val="22"/>
                <w:szCs w:val="22"/>
              </w:rPr>
            </w:pPr>
            <w:r w:rsidRPr="00193615">
              <w:rPr>
                <w:rFonts w:asciiTheme="minorHAnsi" w:hAnsiTheme="minorHAnsi"/>
                <w:b/>
                <w:sz w:val="22"/>
                <w:szCs w:val="22"/>
              </w:rPr>
              <w:t>Section 2: Project Scope</w:t>
            </w:r>
          </w:p>
        </w:tc>
        <w:tc>
          <w:tcPr>
            <w:tcW w:w="2340" w:type="dxa"/>
            <w:shd w:val="clear" w:color="auto" w:fill="D9D9D9" w:themeFill="background1" w:themeFillShade="D9"/>
            <w:vAlign w:val="bottom"/>
          </w:tcPr>
          <w:p w14:paraId="3BE46CFA" w14:textId="77777777" w:rsidR="001A51AA" w:rsidRPr="00193615" w:rsidRDefault="001A51AA" w:rsidP="00851200">
            <w:pPr>
              <w:jc w:val="right"/>
              <w:rPr>
                <w:rFonts w:asciiTheme="minorHAnsi" w:hAnsiTheme="minorHAnsi"/>
                <w:b/>
                <w:sz w:val="22"/>
                <w:szCs w:val="22"/>
              </w:rPr>
            </w:pPr>
            <w:r w:rsidRPr="00193615">
              <w:rPr>
                <w:rFonts w:asciiTheme="minorHAnsi" w:hAnsiTheme="minorHAnsi"/>
                <w:b/>
                <w:sz w:val="22"/>
                <w:szCs w:val="22"/>
              </w:rPr>
              <w:t xml:space="preserve">Total points: 10 </w:t>
            </w:r>
          </w:p>
        </w:tc>
      </w:tr>
      <w:tr w:rsidR="001A51AA" w:rsidRPr="00193615" w14:paraId="08F399FA" w14:textId="77777777" w:rsidTr="00851200">
        <w:trPr>
          <w:trHeight w:val="170"/>
        </w:trPr>
        <w:tc>
          <w:tcPr>
            <w:tcW w:w="9540" w:type="dxa"/>
            <w:gridSpan w:val="3"/>
          </w:tcPr>
          <w:p w14:paraId="32F1BA9A" w14:textId="77777777" w:rsidR="001A51AA" w:rsidRPr="00193615" w:rsidRDefault="001A51AA" w:rsidP="00851200">
            <w:pPr>
              <w:rPr>
                <w:rFonts w:asciiTheme="minorHAnsi" w:hAnsiTheme="minorHAnsi"/>
                <w:b/>
                <w:i/>
                <w:sz w:val="22"/>
                <w:szCs w:val="22"/>
              </w:rPr>
            </w:pPr>
            <w:r w:rsidRPr="00193615">
              <w:rPr>
                <w:rFonts w:asciiTheme="minorHAnsi" w:hAnsiTheme="minorHAnsi"/>
                <w:b/>
                <w:i/>
                <w:sz w:val="22"/>
                <w:szCs w:val="22"/>
              </w:rPr>
              <w:t>Clearly Defined Statement</w:t>
            </w:r>
          </w:p>
          <w:p w14:paraId="7E907118" w14:textId="77777777" w:rsidR="001A51AA" w:rsidRPr="00193615" w:rsidRDefault="001A51AA" w:rsidP="00851200">
            <w:pPr>
              <w:rPr>
                <w:rFonts w:asciiTheme="minorHAnsi" w:hAnsiTheme="minorHAnsi"/>
                <w:sz w:val="22"/>
                <w:szCs w:val="22"/>
              </w:rPr>
            </w:pPr>
            <w:r w:rsidRPr="00193615">
              <w:rPr>
                <w:rFonts w:asciiTheme="minorHAnsi" w:hAnsiTheme="minorHAnsi"/>
                <w:sz w:val="22"/>
                <w:szCs w:val="22"/>
              </w:rPr>
              <w:t>Provide a summary of your organization’s plan, base your summary on the following</w:t>
            </w:r>
            <w:r w:rsidRPr="00193615">
              <w:rPr>
                <w:rFonts w:asciiTheme="minorHAnsi" w:eastAsiaTheme="majorEastAsia" w:hAnsiTheme="minorHAnsi"/>
                <w:sz w:val="22"/>
                <w:szCs w:val="22"/>
              </w:rPr>
              <w:t>:</w:t>
            </w:r>
          </w:p>
          <w:p w14:paraId="064FAD0B" w14:textId="77777777" w:rsidR="001A51AA" w:rsidRPr="00193615" w:rsidRDefault="001A51AA" w:rsidP="001A51AA">
            <w:pPr>
              <w:pStyle w:val="ListParagraph"/>
              <w:numPr>
                <w:ilvl w:val="0"/>
                <w:numId w:val="4"/>
              </w:numPr>
              <w:spacing w:before="120" w:after="240"/>
              <w:rPr>
                <w:rFonts w:asciiTheme="minorHAnsi" w:eastAsia="Calibri,Arial" w:hAnsiTheme="minorHAnsi" w:cs="Calibri,Arial"/>
                <w:sz w:val="22"/>
                <w:szCs w:val="22"/>
              </w:rPr>
            </w:pPr>
            <w:r w:rsidRPr="00193615">
              <w:rPr>
                <w:rFonts w:asciiTheme="minorHAnsi" w:hAnsiTheme="minorHAnsi"/>
                <w:sz w:val="22"/>
                <w:szCs w:val="22"/>
              </w:rPr>
              <w:t xml:space="preserve">Is the plan clearly defined, relevant, and attainable? </w:t>
            </w:r>
          </w:p>
          <w:p w14:paraId="39AE3445" w14:textId="77777777" w:rsidR="001A51AA" w:rsidRPr="00193615" w:rsidRDefault="001A51AA" w:rsidP="001A51AA">
            <w:pPr>
              <w:pStyle w:val="ListParagraph"/>
              <w:numPr>
                <w:ilvl w:val="0"/>
                <w:numId w:val="4"/>
              </w:numPr>
              <w:spacing w:before="120" w:after="240"/>
              <w:rPr>
                <w:rFonts w:asciiTheme="minorHAnsi" w:eastAsia="Calibri,Arial" w:hAnsiTheme="minorHAnsi" w:cs="Calibri,Arial"/>
                <w:sz w:val="22"/>
                <w:szCs w:val="22"/>
              </w:rPr>
            </w:pPr>
            <w:r w:rsidRPr="00193615">
              <w:rPr>
                <w:rFonts w:asciiTheme="minorHAnsi" w:eastAsia="Calibri,Arial" w:hAnsiTheme="minorHAnsi" w:cs="Calibri,Arial"/>
                <w:sz w:val="22"/>
                <w:szCs w:val="22"/>
              </w:rPr>
              <w:t>Are the outcomes detailed, relevant and attainable?</w:t>
            </w:r>
          </w:p>
          <w:p w14:paraId="6B181A86" w14:textId="77777777" w:rsidR="001A51AA" w:rsidRPr="00193615" w:rsidRDefault="001A51AA" w:rsidP="001A51AA">
            <w:pPr>
              <w:pStyle w:val="ListParagraph"/>
              <w:numPr>
                <w:ilvl w:val="0"/>
                <w:numId w:val="4"/>
              </w:numPr>
              <w:spacing w:before="120"/>
              <w:rPr>
                <w:rFonts w:asciiTheme="minorHAnsi" w:eastAsia="Calibri,Arial" w:hAnsiTheme="minorHAnsi" w:cstheme="minorHAnsi"/>
                <w:sz w:val="22"/>
                <w:szCs w:val="22"/>
              </w:rPr>
            </w:pPr>
            <w:r w:rsidRPr="00193615">
              <w:rPr>
                <w:rFonts w:asciiTheme="minorHAnsi" w:eastAsia="Calibri,Arial" w:hAnsiTheme="minorHAnsi" w:cstheme="minorHAnsi"/>
                <w:sz w:val="22"/>
                <w:szCs w:val="22"/>
              </w:rPr>
              <w:t>Is there a clear correlation between the plan and the plant closing?</w:t>
            </w:r>
          </w:p>
          <w:p w14:paraId="16BE7042" w14:textId="77777777" w:rsidR="001A51AA" w:rsidRPr="00193615" w:rsidRDefault="001A51AA" w:rsidP="001A51AA">
            <w:pPr>
              <w:pStyle w:val="ListParagraph"/>
              <w:numPr>
                <w:ilvl w:val="0"/>
                <w:numId w:val="4"/>
              </w:numPr>
              <w:spacing w:before="120"/>
              <w:rPr>
                <w:rFonts w:asciiTheme="minorHAnsi" w:eastAsia="Calibri,Arial" w:hAnsiTheme="minorHAnsi" w:cstheme="minorHAnsi"/>
                <w:sz w:val="22"/>
                <w:szCs w:val="22"/>
              </w:rPr>
            </w:pPr>
            <w:r w:rsidRPr="00193615">
              <w:rPr>
                <w:rFonts w:asciiTheme="minorHAnsi" w:eastAsia="Calibri,Arial" w:hAnsiTheme="minorHAnsi" w:cstheme="minorHAnsi"/>
                <w:sz w:val="22"/>
                <w:szCs w:val="22"/>
              </w:rPr>
              <w:t>Anticipated impact of the project on the community, including workers.</w:t>
            </w:r>
          </w:p>
          <w:p w14:paraId="22E544E8" w14:textId="77777777" w:rsidR="001A51AA" w:rsidRPr="00193615" w:rsidRDefault="001A51AA" w:rsidP="001A51AA">
            <w:pPr>
              <w:pStyle w:val="ListParagraph"/>
              <w:numPr>
                <w:ilvl w:val="0"/>
                <w:numId w:val="4"/>
              </w:numPr>
              <w:spacing w:before="120"/>
              <w:rPr>
                <w:rFonts w:asciiTheme="minorHAnsi" w:eastAsia="Calibri,Arial" w:hAnsiTheme="minorHAnsi" w:cstheme="minorHAnsi"/>
                <w:sz w:val="22"/>
                <w:szCs w:val="22"/>
              </w:rPr>
            </w:pPr>
            <w:r w:rsidRPr="00193615">
              <w:rPr>
                <w:rFonts w:asciiTheme="minorHAnsi" w:eastAsia="Calibri,Arial" w:hAnsiTheme="minorHAnsi" w:cstheme="minorHAnsi"/>
                <w:sz w:val="22"/>
                <w:szCs w:val="22"/>
              </w:rPr>
              <w:t xml:space="preserve">Map of the project location, if applicable.  </w:t>
            </w:r>
          </w:p>
          <w:p w14:paraId="50914335" w14:textId="77777777" w:rsidR="001A51AA" w:rsidRPr="00193615" w:rsidRDefault="001A51AA" w:rsidP="00851200">
            <w:pPr>
              <w:pStyle w:val="ListParagraph"/>
              <w:rPr>
                <w:rFonts w:asciiTheme="minorHAnsi" w:hAnsiTheme="minorHAnsi"/>
                <w:sz w:val="22"/>
                <w:szCs w:val="22"/>
              </w:rPr>
            </w:pPr>
          </w:p>
          <w:p w14:paraId="6FCC3AAB" w14:textId="77777777" w:rsidR="001A51AA" w:rsidRPr="00193615" w:rsidRDefault="001A51AA" w:rsidP="00851200">
            <w:pPr>
              <w:pStyle w:val="ListParagraph"/>
              <w:rPr>
                <w:rFonts w:asciiTheme="minorHAnsi" w:hAnsiTheme="minorHAnsi"/>
                <w:sz w:val="22"/>
                <w:szCs w:val="22"/>
              </w:rPr>
            </w:pPr>
          </w:p>
        </w:tc>
      </w:tr>
      <w:tr w:rsidR="001A51AA" w:rsidRPr="00193615" w14:paraId="7154911A" w14:textId="77777777" w:rsidTr="00851200">
        <w:tc>
          <w:tcPr>
            <w:tcW w:w="7200" w:type="dxa"/>
            <w:gridSpan w:val="2"/>
            <w:shd w:val="clear" w:color="auto" w:fill="D9D9D9" w:themeFill="background1" w:themeFillShade="D9"/>
          </w:tcPr>
          <w:p w14:paraId="0466B602" w14:textId="77777777" w:rsidR="001A51AA" w:rsidRPr="00193615" w:rsidRDefault="001A51AA" w:rsidP="00851200">
            <w:pPr>
              <w:rPr>
                <w:rFonts w:asciiTheme="minorHAnsi" w:hAnsiTheme="minorHAnsi"/>
                <w:b/>
                <w:sz w:val="22"/>
                <w:szCs w:val="22"/>
              </w:rPr>
            </w:pPr>
            <w:r w:rsidRPr="00193615">
              <w:rPr>
                <w:rFonts w:asciiTheme="minorHAnsi" w:hAnsiTheme="minorHAnsi"/>
                <w:b/>
                <w:sz w:val="22"/>
                <w:szCs w:val="22"/>
              </w:rPr>
              <w:t>Section 3: Timing</w:t>
            </w:r>
          </w:p>
        </w:tc>
        <w:tc>
          <w:tcPr>
            <w:tcW w:w="2340" w:type="dxa"/>
            <w:shd w:val="clear" w:color="auto" w:fill="D9D9D9" w:themeFill="background1" w:themeFillShade="D9"/>
          </w:tcPr>
          <w:p w14:paraId="73612851" w14:textId="77777777" w:rsidR="001A51AA" w:rsidRPr="00193615" w:rsidRDefault="001A51AA" w:rsidP="00851200">
            <w:pPr>
              <w:jc w:val="right"/>
              <w:rPr>
                <w:rFonts w:asciiTheme="minorHAnsi" w:hAnsiTheme="minorHAnsi"/>
                <w:b/>
                <w:sz w:val="22"/>
                <w:szCs w:val="22"/>
              </w:rPr>
            </w:pPr>
            <w:r w:rsidRPr="00193615">
              <w:rPr>
                <w:rFonts w:asciiTheme="minorHAnsi" w:hAnsiTheme="minorHAnsi"/>
                <w:b/>
                <w:sz w:val="22"/>
                <w:szCs w:val="22"/>
              </w:rPr>
              <w:t>Total points: 10</w:t>
            </w:r>
          </w:p>
        </w:tc>
      </w:tr>
      <w:tr w:rsidR="001A51AA" w:rsidRPr="00193615" w14:paraId="64C51531" w14:textId="77777777" w:rsidTr="00851200">
        <w:tc>
          <w:tcPr>
            <w:tcW w:w="9540" w:type="dxa"/>
            <w:gridSpan w:val="3"/>
          </w:tcPr>
          <w:p w14:paraId="544F7F04" w14:textId="77777777" w:rsidR="001A51AA" w:rsidRPr="00193615" w:rsidRDefault="001A51AA" w:rsidP="00851200">
            <w:pPr>
              <w:rPr>
                <w:rFonts w:asciiTheme="minorHAnsi" w:hAnsiTheme="minorHAnsi"/>
                <w:b/>
                <w:sz w:val="22"/>
                <w:szCs w:val="22"/>
              </w:rPr>
            </w:pPr>
            <w:r w:rsidRPr="00193615">
              <w:rPr>
                <w:rFonts w:asciiTheme="minorHAnsi" w:hAnsiTheme="minorHAnsi"/>
                <w:b/>
                <w:i/>
                <w:sz w:val="22"/>
                <w:szCs w:val="22"/>
              </w:rPr>
              <w:t xml:space="preserve">Plants scheduled to close soonest or are closed are highest priority. </w:t>
            </w:r>
          </w:p>
          <w:p w14:paraId="08C89DF0" w14:textId="77777777" w:rsidR="001A51AA" w:rsidRPr="00193615" w:rsidRDefault="001A51AA" w:rsidP="001A51AA">
            <w:pPr>
              <w:pStyle w:val="ListParagraph"/>
              <w:numPr>
                <w:ilvl w:val="0"/>
                <w:numId w:val="5"/>
              </w:numPr>
              <w:spacing w:after="240"/>
              <w:rPr>
                <w:rFonts w:asciiTheme="minorHAnsi" w:hAnsiTheme="minorHAnsi"/>
                <w:sz w:val="22"/>
                <w:szCs w:val="22"/>
              </w:rPr>
            </w:pPr>
            <w:r w:rsidRPr="00193615">
              <w:rPr>
                <w:rFonts w:asciiTheme="minorHAnsi" w:hAnsiTheme="minorHAnsi"/>
                <w:sz w:val="22"/>
                <w:szCs w:val="22"/>
              </w:rPr>
              <w:lastRenderedPageBreak/>
              <w:t>Date plant closed/will close.</w:t>
            </w:r>
          </w:p>
          <w:p w14:paraId="135FBFBB" w14:textId="77777777" w:rsidR="001A51AA" w:rsidRPr="00193615" w:rsidRDefault="001A51AA" w:rsidP="001A51AA">
            <w:pPr>
              <w:pStyle w:val="ListParagraph"/>
              <w:numPr>
                <w:ilvl w:val="0"/>
                <w:numId w:val="5"/>
              </w:numPr>
              <w:spacing w:after="240"/>
              <w:rPr>
                <w:rFonts w:asciiTheme="minorHAnsi" w:hAnsiTheme="minorHAnsi"/>
                <w:sz w:val="22"/>
                <w:szCs w:val="22"/>
              </w:rPr>
            </w:pPr>
            <w:r w:rsidRPr="00193615">
              <w:rPr>
                <w:rFonts w:asciiTheme="minorHAnsi" w:hAnsiTheme="minorHAnsi"/>
                <w:sz w:val="22"/>
                <w:szCs w:val="22"/>
              </w:rPr>
              <w:t>Date project is scheduled to begin.</w:t>
            </w:r>
          </w:p>
          <w:p w14:paraId="5B4B1D9B" w14:textId="77777777" w:rsidR="001A51AA" w:rsidRPr="00193615" w:rsidRDefault="001A51AA" w:rsidP="001A51AA">
            <w:pPr>
              <w:pStyle w:val="ListParagraph"/>
              <w:numPr>
                <w:ilvl w:val="0"/>
                <w:numId w:val="5"/>
              </w:numPr>
              <w:spacing w:after="240"/>
              <w:rPr>
                <w:rFonts w:asciiTheme="minorHAnsi" w:hAnsiTheme="minorHAnsi"/>
                <w:sz w:val="22"/>
                <w:szCs w:val="22"/>
              </w:rPr>
            </w:pPr>
            <w:r w:rsidRPr="00193615">
              <w:rPr>
                <w:rFonts w:asciiTheme="minorHAnsi" w:hAnsiTheme="minorHAnsi"/>
                <w:sz w:val="22"/>
                <w:szCs w:val="22"/>
              </w:rPr>
              <w:t>Date project is scheduled to be completed or plan implemented.</w:t>
            </w:r>
          </w:p>
          <w:p w14:paraId="6BBBB7BF" w14:textId="77777777" w:rsidR="001A51AA" w:rsidRPr="00193615" w:rsidRDefault="001A51AA" w:rsidP="001A51AA">
            <w:pPr>
              <w:pStyle w:val="ListParagraph"/>
              <w:numPr>
                <w:ilvl w:val="0"/>
                <w:numId w:val="5"/>
              </w:numPr>
              <w:spacing w:after="240"/>
              <w:rPr>
                <w:rFonts w:asciiTheme="minorHAnsi" w:hAnsiTheme="minorHAnsi"/>
                <w:sz w:val="22"/>
                <w:szCs w:val="22"/>
              </w:rPr>
            </w:pPr>
            <w:r w:rsidRPr="00193615">
              <w:rPr>
                <w:rFonts w:asciiTheme="minorHAnsi" w:hAnsiTheme="minorHAnsi"/>
                <w:sz w:val="22"/>
                <w:szCs w:val="22"/>
              </w:rPr>
              <w:t>Is the timeline and project schedule logical?</w:t>
            </w:r>
          </w:p>
          <w:p w14:paraId="1B84FE92" w14:textId="77777777" w:rsidR="001A51AA" w:rsidRPr="00193615" w:rsidRDefault="001A51AA" w:rsidP="001A51AA">
            <w:pPr>
              <w:pStyle w:val="ListParagraph"/>
              <w:numPr>
                <w:ilvl w:val="0"/>
                <w:numId w:val="5"/>
              </w:numPr>
              <w:spacing w:after="240"/>
              <w:rPr>
                <w:rFonts w:asciiTheme="minorHAnsi" w:hAnsiTheme="minorHAnsi"/>
                <w:sz w:val="22"/>
                <w:szCs w:val="22"/>
              </w:rPr>
            </w:pPr>
            <w:r w:rsidRPr="00193615">
              <w:rPr>
                <w:rFonts w:asciiTheme="minorHAnsi" w:hAnsiTheme="minorHAnsi"/>
                <w:sz w:val="22"/>
                <w:szCs w:val="22"/>
              </w:rPr>
              <w:t>Will the activities be completed within the grant term.</w:t>
            </w:r>
          </w:p>
          <w:p w14:paraId="5826D4F8" w14:textId="77777777" w:rsidR="001A51AA" w:rsidRPr="00193615" w:rsidRDefault="001A51AA" w:rsidP="001A51AA">
            <w:pPr>
              <w:pStyle w:val="ListParagraph"/>
              <w:numPr>
                <w:ilvl w:val="0"/>
                <w:numId w:val="5"/>
              </w:numPr>
              <w:spacing w:after="240"/>
              <w:rPr>
                <w:rFonts w:asciiTheme="minorHAnsi" w:hAnsiTheme="minorHAnsi"/>
                <w:sz w:val="22"/>
                <w:szCs w:val="22"/>
              </w:rPr>
            </w:pPr>
            <w:r w:rsidRPr="00193615">
              <w:rPr>
                <w:rFonts w:asciiTheme="minorHAnsi" w:hAnsiTheme="minorHAnsi"/>
                <w:sz w:val="22"/>
                <w:szCs w:val="22"/>
              </w:rPr>
              <w:t>Is the project/plan ready to begin (financing, partnership, agreements)?</w:t>
            </w:r>
          </w:p>
        </w:tc>
      </w:tr>
      <w:tr w:rsidR="001A51AA" w:rsidRPr="00193615" w14:paraId="41F98F4F" w14:textId="77777777" w:rsidTr="00851200">
        <w:tc>
          <w:tcPr>
            <w:tcW w:w="4725" w:type="dxa"/>
            <w:shd w:val="clear" w:color="auto" w:fill="D9D9D9" w:themeFill="background1" w:themeFillShade="D9"/>
            <w:vAlign w:val="bottom"/>
          </w:tcPr>
          <w:p w14:paraId="77CAF69A" w14:textId="77777777" w:rsidR="001A51AA" w:rsidRPr="00193615" w:rsidRDefault="001A51AA" w:rsidP="00851200">
            <w:pPr>
              <w:rPr>
                <w:b/>
                <w:sz w:val="22"/>
                <w:szCs w:val="22"/>
              </w:rPr>
            </w:pPr>
            <w:r w:rsidRPr="00193615">
              <w:rPr>
                <w:sz w:val="22"/>
                <w:szCs w:val="22"/>
              </w:rPr>
              <w:lastRenderedPageBreak/>
              <w:br w:type="page"/>
            </w:r>
            <w:r w:rsidRPr="00193615">
              <w:rPr>
                <w:rFonts w:asciiTheme="minorHAnsi" w:hAnsiTheme="minorHAnsi"/>
                <w:b/>
                <w:sz w:val="22"/>
                <w:szCs w:val="22"/>
              </w:rPr>
              <w:t>Section 4: Financing/Budget</w:t>
            </w:r>
          </w:p>
        </w:tc>
        <w:tc>
          <w:tcPr>
            <w:tcW w:w="4815" w:type="dxa"/>
            <w:gridSpan w:val="2"/>
            <w:shd w:val="clear" w:color="auto" w:fill="D9D9D9" w:themeFill="background1" w:themeFillShade="D9"/>
            <w:vAlign w:val="bottom"/>
          </w:tcPr>
          <w:p w14:paraId="4063712D" w14:textId="77777777" w:rsidR="001A51AA" w:rsidRPr="00193615" w:rsidRDefault="001A51AA" w:rsidP="00851200">
            <w:pPr>
              <w:jc w:val="right"/>
              <w:rPr>
                <w:rFonts w:eastAsiaTheme="majorEastAsia"/>
                <w:sz w:val="22"/>
                <w:szCs w:val="22"/>
              </w:rPr>
            </w:pPr>
            <w:r w:rsidRPr="00193615">
              <w:rPr>
                <w:rFonts w:asciiTheme="minorHAnsi" w:hAnsiTheme="minorHAnsi"/>
                <w:b/>
                <w:sz w:val="22"/>
                <w:szCs w:val="22"/>
              </w:rPr>
              <w:t>Total points: 10</w:t>
            </w:r>
          </w:p>
        </w:tc>
      </w:tr>
      <w:tr w:rsidR="001A51AA" w:rsidRPr="00193615" w14:paraId="21AFFCD5" w14:textId="77777777" w:rsidTr="00851200">
        <w:tc>
          <w:tcPr>
            <w:tcW w:w="9540" w:type="dxa"/>
            <w:gridSpan w:val="3"/>
            <w:vAlign w:val="bottom"/>
          </w:tcPr>
          <w:p w14:paraId="1DFB99E0" w14:textId="77777777" w:rsidR="001A51AA" w:rsidRPr="00193615" w:rsidRDefault="001A51AA" w:rsidP="00851200">
            <w:pPr>
              <w:rPr>
                <w:rFonts w:asciiTheme="minorHAnsi" w:hAnsiTheme="minorHAnsi" w:cstheme="minorHAnsi"/>
                <w:b/>
                <w:sz w:val="22"/>
                <w:szCs w:val="22"/>
              </w:rPr>
            </w:pPr>
            <w:r w:rsidRPr="00193615">
              <w:rPr>
                <w:rFonts w:asciiTheme="minorHAnsi" w:hAnsiTheme="minorHAnsi" w:cstheme="minorHAnsi"/>
                <w:b/>
                <w:i/>
                <w:sz w:val="22"/>
                <w:szCs w:val="22"/>
              </w:rPr>
              <w:t>Project with comprehensive budgets and full financing are highest priority</w:t>
            </w:r>
            <w:r w:rsidRPr="00193615">
              <w:rPr>
                <w:rFonts w:asciiTheme="minorHAnsi" w:hAnsiTheme="minorHAnsi" w:cstheme="minorHAnsi"/>
                <w:b/>
                <w:sz w:val="22"/>
                <w:szCs w:val="22"/>
              </w:rPr>
              <w:t xml:space="preserve"> (5 points)</w:t>
            </w:r>
          </w:p>
          <w:p w14:paraId="584AE77D" w14:textId="77777777" w:rsidR="001A51AA" w:rsidRPr="00193615" w:rsidRDefault="001A51AA" w:rsidP="001A51AA">
            <w:pPr>
              <w:pStyle w:val="ListParagraph"/>
              <w:numPr>
                <w:ilvl w:val="0"/>
                <w:numId w:val="6"/>
              </w:numPr>
              <w:spacing w:after="240"/>
              <w:ind w:left="699" w:hanging="270"/>
              <w:rPr>
                <w:rFonts w:asciiTheme="minorHAnsi" w:hAnsiTheme="minorHAnsi" w:cstheme="minorHAnsi"/>
                <w:sz w:val="22"/>
                <w:szCs w:val="22"/>
              </w:rPr>
            </w:pPr>
            <w:r w:rsidRPr="00193615">
              <w:rPr>
                <w:rFonts w:asciiTheme="minorHAnsi" w:hAnsiTheme="minorHAnsi" w:cstheme="minorHAnsi"/>
                <w:sz w:val="22"/>
                <w:szCs w:val="22"/>
              </w:rPr>
              <w:t>Is the budget detailed, clear, and logical? Is there a bid proposal included with costs broken out?</w:t>
            </w:r>
          </w:p>
          <w:p w14:paraId="4C9F7A54" w14:textId="77777777" w:rsidR="001A51AA" w:rsidRPr="00193615" w:rsidRDefault="001A51AA" w:rsidP="001A51AA">
            <w:pPr>
              <w:pStyle w:val="ListParagraph"/>
              <w:numPr>
                <w:ilvl w:val="0"/>
                <w:numId w:val="6"/>
              </w:numPr>
              <w:spacing w:after="240"/>
              <w:ind w:left="699" w:hanging="270"/>
              <w:rPr>
                <w:rFonts w:asciiTheme="minorHAnsi" w:hAnsiTheme="minorHAnsi" w:cstheme="minorHAnsi"/>
                <w:sz w:val="22"/>
                <w:szCs w:val="22"/>
              </w:rPr>
            </w:pPr>
            <w:r w:rsidRPr="00193615">
              <w:rPr>
                <w:rFonts w:asciiTheme="minorHAnsi" w:hAnsiTheme="minorHAnsi" w:cstheme="minorHAnsi"/>
                <w:sz w:val="22"/>
                <w:szCs w:val="22"/>
              </w:rPr>
              <w:t>Are the costs reasonable and necessary for the implementation of the plan?</w:t>
            </w:r>
          </w:p>
          <w:p w14:paraId="1D24D324" w14:textId="77777777" w:rsidR="001A51AA" w:rsidRPr="00193615" w:rsidRDefault="001A51AA" w:rsidP="001A51AA">
            <w:pPr>
              <w:pStyle w:val="ListParagraph"/>
              <w:numPr>
                <w:ilvl w:val="0"/>
                <w:numId w:val="6"/>
              </w:numPr>
              <w:spacing w:after="240"/>
              <w:ind w:left="699" w:hanging="270"/>
              <w:rPr>
                <w:rFonts w:asciiTheme="minorHAnsi" w:hAnsiTheme="minorHAnsi" w:cstheme="minorHAnsi"/>
                <w:sz w:val="22"/>
                <w:szCs w:val="22"/>
              </w:rPr>
            </w:pPr>
            <w:r w:rsidRPr="00193615">
              <w:rPr>
                <w:rFonts w:asciiTheme="minorHAnsi" w:hAnsiTheme="minorHAnsi" w:cstheme="minorHAnsi"/>
                <w:sz w:val="22"/>
                <w:szCs w:val="22"/>
              </w:rPr>
              <w:t xml:space="preserve">Is the project fully financed? </w:t>
            </w:r>
          </w:p>
          <w:p w14:paraId="28C4D1C3" w14:textId="77777777" w:rsidR="001A51AA" w:rsidRPr="00193615" w:rsidRDefault="001A51AA" w:rsidP="001A51AA">
            <w:pPr>
              <w:pStyle w:val="ListParagraph"/>
              <w:numPr>
                <w:ilvl w:val="0"/>
                <w:numId w:val="6"/>
              </w:numPr>
              <w:spacing w:after="240"/>
              <w:ind w:left="699" w:hanging="270"/>
              <w:rPr>
                <w:rFonts w:asciiTheme="minorHAnsi" w:hAnsiTheme="minorHAnsi" w:cstheme="minorHAnsi"/>
                <w:sz w:val="22"/>
                <w:szCs w:val="22"/>
              </w:rPr>
            </w:pPr>
            <w:r w:rsidRPr="00193615">
              <w:rPr>
                <w:rFonts w:asciiTheme="minorHAnsi" w:hAnsiTheme="minorHAnsi" w:cstheme="minorHAnsi"/>
                <w:sz w:val="22"/>
                <w:szCs w:val="22"/>
              </w:rPr>
              <w:t>What other funding sources are being leveraged?  By whom?  How much?</w:t>
            </w:r>
          </w:p>
        </w:tc>
      </w:tr>
      <w:tr w:rsidR="001A51AA" w:rsidRPr="00193615" w14:paraId="6573425E" w14:textId="77777777" w:rsidTr="00851200">
        <w:tc>
          <w:tcPr>
            <w:tcW w:w="7200" w:type="dxa"/>
            <w:gridSpan w:val="2"/>
            <w:shd w:val="clear" w:color="auto" w:fill="D9D9D9" w:themeFill="background1" w:themeFillShade="D9"/>
          </w:tcPr>
          <w:p w14:paraId="77834CCB" w14:textId="77777777" w:rsidR="001A51AA" w:rsidRPr="00193615" w:rsidRDefault="001A51AA" w:rsidP="00851200">
            <w:pPr>
              <w:rPr>
                <w:rFonts w:asciiTheme="minorHAnsi" w:hAnsiTheme="minorHAnsi"/>
                <w:b/>
                <w:sz w:val="22"/>
                <w:szCs w:val="22"/>
              </w:rPr>
            </w:pPr>
            <w:r w:rsidRPr="00193615">
              <w:rPr>
                <w:rFonts w:asciiTheme="minorHAnsi" w:hAnsiTheme="minorHAnsi"/>
                <w:b/>
                <w:sz w:val="22"/>
                <w:szCs w:val="22"/>
              </w:rPr>
              <w:t>Section 5: Economic Impact</w:t>
            </w:r>
          </w:p>
        </w:tc>
        <w:tc>
          <w:tcPr>
            <w:tcW w:w="2340" w:type="dxa"/>
            <w:shd w:val="clear" w:color="auto" w:fill="D9D9D9" w:themeFill="background1" w:themeFillShade="D9"/>
          </w:tcPr>
          <w:p w14:paraId="03260AA6" w14:textId="77777777" w:rsidR="001A51AA" w:rsidRPr="00193615" w:rsidRDefault="001A51AA" w:rsidP="00851200">
            <w:pPr>
              <w:jc w:val="right"/>
              <w:rPr>
                <w:rFonts w:asciiTheme="minorHAnsi" w:hAnsiTheme="minorHAnsi"/>
                <w:b/>
                <w:sz w:val="22"/>
                <w:szCs w:val="22"/>
              </w:rPr>
            </w:pPr>
            <w:r w:rsidRPr="00193615">
              <w:rPr>
                <w:rFonts w:asciiTheme="minorHAnsi" w:hAnsiTheme="minorHAnsi"/>
                <w:b/>
                <w:sz w:val="22"/>
                <w:szCs w:val="22"/>
              </w:rPr>
              <w:t xml:space="preserve">Total points: 25 </w:t>
            </w:r>
          </w:p>
        </w:tc>
      </w:tr>
      <w:tr w:rsidR="001A51AA" w:rsidRPr="00193615" w14:paraId="54E5F12C" w14:textId="77777777" w:rsidTr="001A51AA">
        <w:trPr>
          <w:trHeight w:val="2897"/>
        </w:trPr>
        <w:tc>
          <w:tcPr>
            <w:tcW w:w="9540" w:type="dxa"/>
            <w:gridSpan w:val="3"/>
          </w:tcPr>
          <w:p w14:paraId="11C5F59B" w14:textId="77777777" w:rsidR="001A51AA" w:rsidRPr="00193615" w:rsidRDefault="001A51AA" w:rsidP="00851200">
            <w:pPr>
              <w:rPr>
                <w:rFonts w:asciiTheme="minorHAnsi" w:hAnsiTheme="minorHAnsi"/>
                <w:b/>
                <w:bCs/>
                <w:i/>
                <w:iCs/>
                <w:sz w:val="22"/>
                <w:szCs w:val="22"/>
              </w:rPr>
            </w:pPr>
            <w:r w:rsidRPr="00193615">
              <w:rPr>
                <w:rFonts w:asciiTheme="minorHAnsi" w:eastAsiaTheme="majorEastAsia" w:hAnsiTheme="minorHAnsi"/>
                <w:b/>
                <w:bCs/>
                <w:i/>
                <w:iCs/>
                <w:sz w:val="22"/>
                <w:szCs w:val="22"/>
              </w:rPr>
              <w:t>Project with the highest tax and job loss are highest priority.</w:t>
            </w:r>
          </w:p>
          <w:p w14:paraId="726C0389" w14:textId="77777777" w:rsidR="001A51AA" w:rsidRPr="00193615" w:rsidRDefault="001A51AA" w:rsidP="001A51AA">
            <w:pPr>
              <w:pStyle w:val="NoSpacing"/>
              <w:numPr>
                <w:ilvl w:val="0"/>
                <w:numId w:val="7"/>
              </w:numPr>
              <w:rPr>
                <w:rFonts w:asciiTheme="minorHAnsi" w:eastAsiaTheme="majorEastAsia" w:hAnsiTheme="minorHAnsi"/>
                <w:sz w:val="22"/>
                <w:szCs w:val="22"/>
              </w:rPr>
            </w:pPr>
            <w:r w:rsidRPr="00193615">
              <w:rPr>
                <w:rFonts w:asciiTheme="minorHAnsi" w:eastAsiaTheme="majorEastAsia" w:hAnsiTheme="minorHAnsi"/>
                <w:sz w:val="22"/>
                <w:szCs w:val="22"/>
              </w:rPr>
              <w:t>Provide the dollar amount of tax loss from plant closure.</w:t>
            </w:r>
          </w:p>
          <w:p w14:paraId="34D0A2DE" w14:textId="77777777" w:rsidR="001A51AA" w:rsidRPr="00193615" w:rsidRDefault="001A51AA" w:rsidP="001A51AA">
            <w:pPr>
              <w:pStyle w:val="NoSpacing"/>
              <w:numPr>
                <w:ilvl w:val="0"/>
                <w:numId w:val="7"/>
              </w:numPr>
              <w:rPr>
                <w:rFonts w:asciiTheme="minorHAnsi" w:eastAsiaTheme="majorEastAsia" w:hAnsiTheme="minorHAnsi"/>
                <w:sz w:val="22"/>
                <w:szCs w:val="22"/>
              </w:rPr>
            </w:pPr>
            <w:r w:rsidRPr="00193615">
              <w:rPr>
                <w:rFonts w:asciiTheme="minorHAnsi" w:eastAsiaTheme="majorEastAsia" w:hAnsiTheme="minorHAnsi"/>
                <w:sz w:val="22"/>
                <w:szCs w:val="22"/>
              </w:rPr>
              <w:t>Impact of tax loss on the community.</w:t>
            </w:r>
          </w:p>
          <w:p w14:paraId="4305017B" w14:textId="77777777" w:rsidR="001A51AA" w:rsidRPr="00193615" w:rsidRDefault="001A51AA" w:rsidP="001A51AA">
            <w:pPr>
              <w:pStyle w:val="NoSpacing"/>
              <w:numPr>
                <w:ilvl w:val="0"/>
                <w:numId w:val="7"/>
              </w:numPr>
              <w:rPr>
                <w:rFonts w:asciiTheme="minorHAnsi" w:eastAsiaTheme="majorEastAsia" w:hAnsiTheme="minorHAnsi"/>
                <w:sz w:val="22"/>
                <w:szCs w:val="22"/>
              </w:rPr>
            </w:pPr>
            <w:r w:rsidRPr="00193615">
              <w:rPr>
                <w:rFonts w:asciiTheme="minorHAnsi" w:eastAsiaTheme="majorEastAsia" w:hAnsiTheme="minorHAnsi"/>
                <w:sz w:val="22"/>
                <w:szCs w:val="22"/>
              </w:rPr>
              <w:t>Effect of project on tax base.</w:t>
            </w:r>
          </w:p>
          <w:p w14:paraId="32169590" w14:textId="77777777" w:rsidR="001A51AA" w:rsidRPr="00193615" w:rsidRDefault="001A51AA" w:rsidP="001A51AA">
            <w:pPr>
              <w:pStyle w:val="NoSpacing"/>
              <w:numPr>
                <w:ilvl w:val="0"/>
                <w:numId w:val="7"/>
              </w:numPr>
              <w:rPr>
                <w:rFonts w:asciiTheme="minorHAnsi" w:eastAsiaTheme="majorEastAsia" w:hAnsiTheme="minorHAnsi"/>
                <w:sz w:val="22"/>
                <w:szCs w:val="22"/>
              </w:rPr>
            </w:pPr>
            <w:r w:rsidRPr="00193615">
              <w:rPr>
                <w:rFonts w:asciiTheme="minorHAnsi" w:eastAsiaTheme="majorEastAsia" w:hAnsiTheme="minorHAnsi"/>
                <w:sz w:val="22"/>
                <w:szCs w:val="22"/>
              </w:rPr>
              <w:t>Job loss from plant closure.</w:t>
            </w:r>
          </w:p>
          <w:p w14:paraId="277492E6" w14:textId="77777777" w:rsidR="001A51AA" w:rsidRPr="00193615" w:rsidRDefault="001A51AA" w:rsidP="001A51AA">
            <w:pPr>
              <w:pStyle w:val="NoSpacing"/>
              <w:numPr>
                <w:ilvl w:val="0"/>
                <w:numId w:val="7"/>
              </w:numPr>
              <w:rPr>
                <w:rFonts w:asciiTheme="minorHAnsi" w:eastAsiaTheme="majorEastAsia" w:hAnsiTheme="minorHAnsi"/>
                <w:sz w:val="22"/>
                <w:szCs w:val="22"/>
              </w:rPr>
            </w:pPr>
            <w:r w:rsidRPr="00193615">
              <w:rPr>
                <w:rFonts w:asciiTheme="minorHAnsi" w:eastAsiaTheme="majorEastAsia" w:hAnsiTheme="minorHAnsi"/>
                <w:sz w:val="22"/>
                <w:szCs w:val="22"/>
              </w:rPr>
              <w:t>County unemployment rate.</w:t>
            </w:r>
          </w:p>
          <w:p w14:paraId="3E345660" w14:textId="77777777" w:rsidR="001A51AA" w:rsidRPr="00193615" w:rsidRDefault="001A51AA" w:rsidP="001A51AA">
            <w:pPr>
              <w:pStyle w:val="NoSpacing"/>
              <w:numPr>
                <w:ilvl w:val="0"/>
                <w:numId w:val="7"/>
              </w:numPr>
              <w:rPr>
                <w:rFonts w:asciiTheme="minorHAnsi" w:eastAsiaTheme="majorEastAsia" w:hAnsiTheme="minorHAnsi"/>
                <w:sz w:val="22"/>
                <w:szCs w:val="22"/>
              </w:rPr>
            </w:pPr>
            <w:r w:rsidRPr="00193615">
              <w:rPr>
                <w:rFonts w:asciiTheme="minorHAnsi" w:eastAsiaTheme="majorEastAsia" w:hAnsiTheme="minorHAnsi"/>
                <w:sz w:val="22"/>
                <w:szCs w:val="22"/>
              </w:rPr>
              <w:t>Impact of job loss on the community.</w:t>
            </w:r>
          </w:p>
          <w:p w14:paraId="78E26C06" w14:textId="77777777" w:rsidR="001A51AA" w:rsidRPr="00193615" w:rsidRDefault="001A51AA" w:rsidP="001A51AA">
            <w:pPr>
              <w:pStyle w:val="NoSpacing"/>
              <w:numPr>
                <w:ilvl w:val="0"/>
                <w:numId w:val="7"/>
              </w:numPr>
              <w:rPr>
                <w:rFonts w:asciiTheme="minorHAnsi" w:eastAsiaTheme="majorEastAsia" w:hAnsiTheme="minorHAnsi"/>
                <w:sz w:val="22"/>
                <w:szCs w:val="22"/>
              </w:rPr>
            </w:pPr>
            <w:r w:rsidRPr="00193615">
              <w:rPr>
                <w:rFonts w:asciiTheme="minorHAnsi" w:eastAsiaTheme="majorEastAsia" w:hAnsiTheme="minorHAnsi"/>
                <w:sz w:val="22"/>
                <w:szCs w:val="22"/>
              </w:rPr>
              <w:t>Project’s effect on job loss.</w:t>
            </w:r>
          </w:p>
          <w:p w14:paraId="21572981" w14:textId="77777777" w:rsidR="001A51AA" w:rsidRPr="00193615" w:rsidRDefault="001A51AA" w:rsidP="001A51AA">
            <w:pPr>
              <w:pStyle w:val="NoSpacing"/>
              <w:numPr>
                <w:ilvl w:val="0"/>
                <w:numId w:val="7"/>
              </w:numPr>
              <w:rPr>
                <w:rFonts w:asciiTheme="minorHAnsi" w:eastAsiaTheme="majorEastAsia" w:hAnsiTheme="minorHAnsi"/>
                <w:sz w:val="22"/>
                <w:szCs w:val="22"/>
              </w:rPr>
            </w:pPr>
            <w:r w:rsidRPr="00193615">
              <w:rPr>
                <w:rFonts w:asciiTheme="minorHAnsi" w:eastAsiaTheme="majorEastAsia" w:hAnsiTheme="minorHAnsi"/>
                <w:sz w:val="22"/>
                <w:szCs w:val="22"/>
              </w:rPr>
              <w:t>Other economic impacts.</w:t>
            </w:r>
          </w:p>
          <w:p w14:paraId="27DFEF24" w14:textId="77777777" w:rsidR="001A51AA" w:rsidRPr="00193615" w:rsidRDefault="001A51AA" w:rsidP="00851200">
            <w:pPr>
              <w:pStyle w:val="NoSpacing"/>
              <w:spacing w:before="120"/>
              <w:rPr>
                <w:rFonts w:asciiTheme="minorHAnsi" w:hAnsiTheme="minorHAnsi"/>
                <w:sz w:val="22"/>
                <w:szCs w:val="22"/>
              </w:rPr>
            </w:pPr>
          </w:p>
        </w:tc>
      </w:tr>
      <w:tr w:rsidR="001A51AA" w:rsidRPr="00193615" w14:paraId="64174494" w14:textId="77777777" w:rsidTr="00851200">
        <w:tc>
          <w:tcPr>
            <w:tcW w:w="7200" w:type="dxa"/>
            <w:gridSpan w:val="2"/>
            <w:shd w:val="clear" w:color="auto" w:fill="D9D9D9" w:themeFill="background1" w:themeFillShade="D9"/>
          </w:tcPr>
          <w:p w14:paraId="14620E90" w14:textId="77777777" w:rsidR="001A51AA" w:rsidRPr="00193615" w:rsidRDefault="001A51AA" w:rsidP="00851200">
            <w:pPr>
              <w:rPr>
                <w:rFonts w:asciiTheme="minorHAnsi" w:hAnsiTheme="minorHAnsi"/>
                <w:b/>
                <w:sz w:val="22"/>
                <w:szCs w:val="22"/>
              </w:rPr>
            </w:pPr>
            <w:r w:rsidRPr="00193615">
              <w:rPr>
                <w:rFonts w:asciiTheme="minorHAnsi" w:hAnsiTheme="minorHAnsi"/>
                <w:b/>
                <w:sz w:val="22"/>
                <w:szCs w:val="22"/>
              </w:rPr>
              <w:t>Section 6: Community Impact</w:t>
            </w:r>
          </w:p>
        </w:tc>
        <w:tc>
          <w:tcPr>
            <w:tcW w:w="2340" w:type="dxa"/>
            <w:shd w:val="clear" w:color="auto" w:fill="D9D9D9" w:themeFill="background1" w:themeFillShade="D9"/>
          </w:tcPr>
          <w:p w14:paraId="10D55B2B" w14:textId="77777777" w:rsidR="001A51AA" w:rsidRPr="00193615" w:rsidRDefault="001A51AA" w:rsidP="00851200">
            <w:pPr>
              <w:jc w:val="right"/>
              <w:rPr>
                <w:rFonts w:asciiTheme="minorHAnsi" w:hAnsiTheme="minorHAnsi"/>
                <w:b/>
                <w:sz w:val="22"/>
                <w:szCs w:val="22"/>
              </w:rPr>
            </w:pPr>
            <w:r w:rsidRPr="00193615">
              <w:rPr>
                <w:rFonts w:asciiTheme="minorHAnsi" w:hAnsiTheme="minorHAnsi"/>
                <w:b/>
                <w:sz w:val="22"/>
                <w:szCs w:val="22"/>
              </w:rPr>
              <w:t>Total points: 25</w:t>
            </w:r>
          </w:p>
        </w:tc>
      </w:tr>
      <w:tr w:rsidR="001A51AA" w:rsidRPr="00193615" w14:paraId="5DB9E968" w14:textId="77777777" w:rsidTr="001A51AA">
        <w:trPr>
          <w:trHeight w:hRule="exact" w:val="1720"/>
        </w:trPr>
        <w:tc>
          <w:tcPr>
            <w:tcW w:w="9540" w:type="dxa"/>
            <w:gridSpan w:val="3"/>
          </w:tcPr>
          <w:p w14:paraId="6BAED84D" w14:textId="77777777" w:rsidR="001A51AA" w:rsidRPr="00193615" w:rsidRDefault="001A51AA" w:rsidP="00851200">
            <w:pPr>
              <w:rPr>
                <w:rFonts w:asciiTheme="minorHAnsi" w:hAnsiTheme="minorHAnsi" w:cstheme="minorHAnsi"/>
                <w:b/>
                <w:i/>
                <w:sz w:val="22"/>
                <w:szCs w:val="22"/>
              </w:rPr>
            </w:pPr>
            <w:r w:rsidRPr="00193615">
              <w:rPr>
                <w:rFonts w:asciiTheme="minorHAnsi" w:hAnsiTheme="minorHAnsi" w:cstheme="minorHAnsi"/>
                <w:b/>
                <w:i/>
                <w:sz w:val="22"/>
                <w:szCs w:val="22"/>
              </w:rPr>
              <w:t>Projects that effectively address challenges are highest priority.</w:t>
            </w:r>
          </w:p>
          <w:p w14:paraId="2DACE973" w14:textId="77777777" w:rsidR="001A51AA" w:rsidRPr="00193615" w:rsidRDefault="001A51AA" w:rsidP="001A51AA">
            <w:pPr>
              <w:pStyle w:val="ListParagraph"/>
              <w:numPr>
                <w:ilvl w:val="0"/>
                <w:numId w:val="8"/>
              </w:numPr>
              <w:spacing w:after="240"/>
              <w:rPr>
                <w:rFonts w:asciiTheme="minorHAnsi" w:hAnsiTheme="minorHAnsi" w:cstheme="minorHAnsi"/>
                <w:bCs/>
                <w:sz w:val="22"/>
                <w:szCs w:val="22"/>
              </w:rPr>
            </w:pPr>
            <w:r w:rsidRPr="00193615">
              <w:rPr>
                <w:rFonts w:asciiTheme="minorHAnsi" w:hAnsiTheme="minorHAnsi" w:cstheme="minorHAnsi"/>
                <w:bCs/>
                <w:sz w:val="22"/>
                <w:szCs w:val="22"/>
              </w:rPr>
              <w:t>Provide relevant challenges to community due to plant closure.</w:t>
            </w:r>
          </w:p>
          <w:p w14:paraId="5D84B4C5" w14:textId="77777777" w:rsidR="001A51AA" w:rsidRPr="00193615" w:rsidRDefault="001A51AA" w:rsidP="001A51AA">
            <w:pPr>
              <w:pStyle w:val="ListParagraph"/>
              <w:numPr>
                <w:ilvl w:val="0"/>
                <w:numId w:val="8"/>
              </w:numPr>
              <w:spacing w:after="240"/>
              <w:rPr>
                <w:rFonts w:asciiTheme="minorHAnsi" w:hAnsiTheme="minorHAnsi" w:cstheme="minorHAnsi"/>
                <w:bCs/>
                <w:sz w:val="22"/>
                <w:szCs w:val="22"/>
              </w:rPr>
            </w:pPr>
            <w:r w:rsidRPr="00193615">
              <w:rPr>
                <w:rFonts w:asciiTheme="minorHAnsi" w:hAnsiTheme="minorHAnsi" w:cstheme="minorHAnsi"/>
                <w:bCs/>
                <w:sz w:val="22"/>
                <w:szCs w:val="22"/>
              </w:rPr>
              <w:t>Challenges to community outside of plant closure. working together with others – neighboring communities, Tribal government, etc.</w:t>
            </w:r>
          </w:p>
          <w:p w14:paraId="4717DB28" w14:textId="77777777" w:rsidR="001A51AA" w:rsidRPr="00193615" w:rsidRDefault="001A51AA" w:rsidP="001A51AA">
            <w:pPr>
              <w:pStyle w:val="ListParagraph"/>
              <w:numPr>
                <w:ilvl w:val="0"/>
                <w:numId w:val="8"/>
              </w:numPr>
              <w:spacing w:after="240"/>
              <w:rPr>
                <w:rFonts w:asciiTheme="minorHAnsi" w:hAnsiTheme="minorHAnsi" w:cstheme="minorHAnsi"/>
                <w:bCs/>
                <w:sz w:val="22"/>
                <w:szCs w:val="22"/>
              </w:rPr>
            </w:pPr>
            <w:r w:rsidRPr="00193615">
              <w:rPr>
                <w:rFonts w:asciiTheme="minorHAnsi" w:hAnsiTheme="minorHAnsi" w:cstheme="minorHAnsi"/>
                <w:bCs/>
                <w:sz w:val="22"/>
                <w:szCs w:val="22"/>
              </w:rPr>
              <w:t>How does the plan address these challenges?</w:t>
            </w:r>
          </w:p>
          <w:p w14:paraId="793F7574" w14:textId="77777777" w:rsidR="001A51AA" w:rsidRPr="00193615" w:rsidRDefault="001A51AA" w:rsidP="00851200">
            <w:pPr>
              <w:rPr>
                <w:rFonts w:cstheme="minorHAnsi"/>
                <w:bCs/>
                <w:sz w:val="22"/>
                <w:szCs w:val="22"/>
              </w:rPr>
            </w:pPr>
          </w:p>
          <w:p w14:paraId="1289E0E0" w14:textId="77777777" w:rsidR="001A51AA" w:rsidRPr="00193615" w:rsidRDefault="001A51AA" w:rsidP="00851200">
            <w:pPr>
              <w:rPr>
                <w:rFonts w:cstheme="minorHAnsi"/>
                <w:bCs/>
                <w:sz w:val="22"/>
                <w:szCs w:val="22"/>
              </w:rPr>
            </w:pPr>
          </w:p>
          <w:p w14:paraId="4E849D0F" w14:textId="77777777" w:rsidR="001A51AA" w:rsidRPr="00193615" w:rsidRDefault="001A51AA" w:rsidP="00851200">
            <w:pPr>
              <w:rPr>
                <w:rFonts w:cstheme="minorHAnsi"/>
                <w:bCs/>
                <w:sz w:val="22"/>
                <w:szCs w:val="22"/>
              </w:rPr>
            </w:pPr>
          </w:p>
          <w:p w14:paraId="508A1E51" w14:textId="77777777" w:rsidR="001A51AA" w:rsidRPr="00193615" w:rsidRDefault="001A51AA" w:rsidP="00851200">
            <w:pPr>
              <w:rPr>
                <w:rFonts w:cstheme="minorHAnsi"/>
                <w:bCs/>
                <w:sz w:val="22"/>
                <w:szCs w:val="22"/>
              </w:rPr>
            </w:pPr>
          </w:p>
        </w:tc>
      </w:tr>
      <w:tr w:rsidR="001A51AA" w:rsidRPr="00193615" w14:paraId="73D97C8D" w14:textId="77777777" w:rsidTr="00851200">
        <w:tc>
          <w:tcPr>
            <w:tcW w:w="7200" w:type="dxa"/>
            <w:gridSpan w:val="2"/>
            <w:shd w:val="clear" w:color="auto" w:fill="D0CECE" w:themeFill="background2" w:themeFillShade="E6"/>
          </w:tcPr>
          <w:p w14:paraId="403C2EC5" w14:textId="77777777" w:rsidR="001A51AA" w:rsidRPr="00193615" w:rsidRDefault="001A51AA" w:rsidP="00851200">
            <w:pPr>
              <w:rPr>
                <w:rFonts w:asciiTheme="minorHAnsi" w:hAnsiTheme="minorHAnsi"/>
                <w:b/>
                <w:bCs/>
                <w:sz w:val="22"/>
                <w:szCs w:val="22"/>
              </w:rPr>
            </w:pPr>
            <w:r w:rsidRPr="00193615">
              <w:rPr>
                <w:rFonts w:asciiTheme="minorHAnsi" w:hAnsiTheme="minorHAnsi"/>
                <w:b/>
                <w:bCs/>
                <w:sz w:val="22"/>
                <w:szCs w:val="22"/>
              </w:rPr>
              <w:t>Section 7: Partnership, Collaboration and Community Engagements</w:t>
            </w:r>
          </w:p>
        </w:tc>
        <w:tc>
          <w:tcPr>
            <w:tcW w:w="2340" w:type="dxa"/>
            <w:shd w:val="clear" w:color="auto" w:fill="D0CECE" w:themeFill="background2" w:themeFillShade="E6"/>
          </w:tcPr>
          <w:p w14:paraId="5FDB1C4C" w14:textId="77777777" w:rsidR="001A51AA" w:rsidRPr="00193615" w:rsidRDefault="001A51AA" w:rsidP="00851200">
            <w:pPr>
              <w:jc w:val="right"/>
              <w:rPr>
                <w:rFonts w:asciiTheme="minorHAnsi" w:hAnsiTheme="minorHAnsi"/>
                <w:sz w:val="22"/>
                <w:szCs w:val="22"/>
              </w:rPr>
            </w:pPr>
            <w:r w:rsidRPr="00193615">
              <w:rPr>
                <w:rFonts w:asciiTheme="minorHAnsi" w:hAnsiTheme="minorHAnsi"/>
                <w:b/>
                <w:sz w:val="22"/>
                <w:szCs w:val="22"/>
              </w:rPr>
              <w:t>Total points: 20</w:t>
            </w:r>
          </w:p>
        </w:tc>
      </w:tr>
      <w:tr w:rsidR="001A51AA" w:rsidRPr="00193615" w14:paraId="0D293424" w14:textId="77777777" w:rsidTr="00396BC3">
        <w:trPr>
          <w:trHeight w:val="54"/>
        </w:trPr>
        <w:tc>
          <w:tcPr>
            <w:tcW w:w="9540" w:type="dxa"/>
            <w:gridSpan w:val="3"/>
            <w:shd w:val="clear" w:color="auto" w:fill="auto"/>
          </w:tcPr>
          <w:p w14:paraId="798C3178" w14:textId="77777777" w:rsidR="001A51AA" w:rsidRPr="00193615" w:rsidRDefault="001A51AA" w:rsidP="00851200">
            <w:pPr>
              <w:rPr>
                <w:rFonts w:asciiTheme="minorHAnsi" w:hAnsiTheme="minorHAnsi" w:cstheme="minorHAnsi"/>
                <w:b/>
                <w:i/>
                <w:iCs/>
                <w:sz w:val="22"/>
                <w:szCs w:val="22"/>
              </w:rPr>
            </w:pPr>
            <w:r w:rsidRPr="00193615">
              <w:rPr>
                <w:rFonts w:asciiTheme="minorHAnsi" w:hAnsiTheme="minorHAnsi" w:cstheme="minorHAnsi"/>
                <w:b/>
                <w:i/>
                <w:iCs/>
                <w:sz w:val="22"/>
                <w:szCs w:val="22"/>
              </w:rPr>
              <w:t>Projects with greatest partnerships and collaboration are high priority.</w:t>
            </w:r>
          </w:p>
          <w:p w14:paraId="1252B95D" w14:textId="77777777" w:rsidR="001A51AA" w:rsidRPr="00193615" w:rsidRDefault="001A51AA" w:rsidP="001A51AA">
            <w:pPr>
              <w:pStyle w:val="ListParagraph"/>
              <w:numPr>
                <w:ilvl w:val="0"/>
                <w:numId w:val="9"/>
              </w:numPr>
              <w:rPr>
                <w:rFonts w:asciiTheme="minorHAnsi" w:hAnsiTheme="minorHAnsi" w:cstheme="minorHAnsi"/>
                <w:bCs/>
                <w:sz w:val="22"/>
                <w:szCs w:val="22"/>
              </w:rPr>
            </w:pPr>
            <w:r w:rsidRPr="00193615">
              <w:rPr>
                <w:rFonts w:asciiTheme="minorHAnsi" w:hAnsiTheme="minorHAnsi" w:cstheme="minorHAnsi"/>
                <w:bCs/>
                <w:sz w:val="22"/>
                <w:szCs w:val="22"/>
              </w:rPr>
              <w:t>List other partnerships or collaborations within the community, region, etc. Include non-profits, education, utility, unions, sovereign nations, neighboring governmental entities, disenfranchised groups in the community and outside the communities that will/ feel the impact of the closure List them.</w:t>
            </w:r>
          </w:p>
          <w:p w14:paraId="0A9DE680" w14:textId="77777777" w:rsidR="001A51AA" w:rsidRPr="00193615" w:rsidRDefault="001A51AA" w:rsidP="001A51AA">
            <w:pPr>
              <w:pStyle w:val="ListParagraph"/>
              <w:numPr>
                <w:ilvl w:val="0"/>
                <w:numId w:val="9"/>
              </w:numPr>
              <w:rPr>
                <w:rFonts w:asciiTheme="minorHAnsi" w:hAnsiTheme="minorHAnsi" w:cstheme="minorHAnsi"/>
                <w:bCs/>
                <w:sz w:val="22"/>
                <w:szCs w:val="22"/>
              </w:rPr>
            </w:pPr>
            <w:r w:rsidRPr="00193615">
              <w:rPr>
                <w:rFonts w:asciiTheme="minorHAnsi" w:hAnsiTheme="minorHAnsi" w:cstheme="minorHAnsi"/>
                <w:bCs/>
                <w:sz w:val="22"/>
                <w:szCs w:val="22"/>
              </w:rPr>
              <w:t xml:space="preserve">Are joint agreements or letters of support attached to the proposal?  If so, from whom and how many letters?  How current are the letters? </w:t>
            </w:r>
          </w:p>
          <w:p w14:paraId="66A07B70" w14:textId="77777777" w:rsidR="001A51AA" w:rsidRPr="00193615" w:rsidRDefault="001A51AA" w:rsidP="001A51AA">
            <w:pPr>
              <w:pStyle w:val="ListParagraph"/>
              <w:numPr>
                <w:ilvl w:val="0"/>
                <w:numId w:val="9"/>
              </w:numPr>
              <w:rPr>
                <w:rFonts w:asciiTheme="minorHAnsi" w:hAnsiTheme="minorHAnsi" w:cstheme="minorHAnsi"/>
                <w:bCs/>
                <w:sz w:val="22"/>
                <w:szCs w:val="22"/>
              </w:rPr>
            </w:pPr>
            <w:r w:rsidRPr="00193615">
              <w:rPr>
                <w:rFonts w:asciiTheme="minorHAnsi" w:hAnsiTheme="minorHAnsi" w:cstheme="minorHAnsi"/>
                <w:bCs/>
                <w:sz w:val="22"/>
                <w:szCs w:val="22"/>
              </w:rPr>
              <w:t xml:space="preserve">Is the project consistent with the community’s comprehensive plan? City &amp;/or County Comprehensive Economic Development Strategy (CEDS) plan?  Other regional planning and economic development efforts?  If so, educate on how.  How current is the planning?  Who was involved in the planning efforts?  </w:t>
            </w:r>
          </w:p>
          <w:p w14:paraId="35AC67B5" w14:textId="77777777" w:rsidR="001A51AA" w:rsidRPr="00193615" w:rsidRDefault="001A51AA" w:rsidP="001A51AA">
            <w:pPr>
              <w:pStyle w:val="ListParagraph"/>
              <w:numPr>
                <w:ilvl w:val="0"/>
                <w:numId w:val="9"/>
              </w:numPr>
              <w:rPr>
                <w:rFonts w:asciiTheme="minorHAnsi" w:hAnsiTheme="minorHAnsi" w:cstheme="minorHAnsi"/>
                <w:bCs/>
                <w:sz w:val="22"/>
                <w:szCs w:val="22"/>
              </w:rPr>
            </w:pPr>
            <w:r w:rsidRPr="00193615">
              <w:rPr>
                <w:rFonts w:asciiTheme="minorHAnsi" w:hAnsiTheme="minorHAnsi" w:cstheme="minorHAnsi"/>
                <w:bCs/>
                <w:sz w:val="22"/>
                <w:szCs w:val="22"/>
              </w:rPr>
              <w:t xml:space="preserve">Describe the public engagements with the community?  Proposed public engagements?  </w:t>
            </w:r>
          </w:p>
          <w:p w14:paraId="3213536F" w14:textId="77777777" w:rsidR="001A51AA" w:rsidRPr="00193615" w:rsidRDefault="001A51AA" w:rsidP="001A51AA">
            <w:pPr>
              <w:pStyle w:val="ListParagraph"/>
              <w:numPr>
                <w:ilvl w:val="0"/>
                <w:numId w:val="9"/>
              </w:numPr>
              <w:rPr>
                <w:rFonts w:asciiTheme="minorHAnsi" w:hAnsiTheme="minorHAnsi" w:cstheme="minorHAnsi"/>
                <w:bCs/>
                <w:sz w:val="22"/>
                <w:szCs w:val="22"/>
              </w:rPr>
            </w:pPr>
            <w:r w:rsidRPr="00193615">
              <w:rPr>
                <w:rFonts w:asciiTheme="minorHAnsi" w:hAnsiTheme="minorHAnsi" w:cstheme="minorHAnsi"/>
                <w:bCs/>
                <w:sz w:val="22"/>
                <w:szCs w:val="22"/>
              </w:rPr>
              <w:t xml:space="preserve">What strategies are being used AND will be used to strength partnerships and collaboration? </w:t>
            </w:r>
          </w:p>
          <w:p w14:paraId="58BE0741" w14:textId="2EB8DC64" w:rsidR="001A51AA" w:rsidRPr="00193615" w:rsidRDefault="001A51AA" w:rsidP="00AF366D">
            <w:pPr>
              <w:pStyle w:val="ListParagraph"/>
              <w:numPr>
                <w:ilvl w:val="0"/>
                <w:numId w:val="9"/>
              </w:numPr>
              <w:rPr>
                <w:rFonts w:asciiTheme="minorHAnsi" w:hAnsiTheme="minorHAnsi" w:cstheme="minorHAnsi"/>
                <w:bCs/>
                <w:sz w:val="22"/>
                <w:szCs w:val="22"/>
              </w:rPr>
            </w:pPr>
            <w:r w:rsidRPr="00193615">
              <w:rPr>
                <w:rFonts w:asciiTheme="minorHAnsi" w:hAnsiTheme="minorHAnsi" w:cstheme="minorHAnsi"/>
                <w:bCs/>
                <w:sz w:val="22"/>
                <w:szCs w:val="22"/>
              </w:rPr>
              <w:lastRenderedPageBreak/>
              <w:t xml:space="preserve">If applicable, do you have control of the subject property?  If so, please attach proof.  If not, what is the plan to ensure that the property owner will cooperate with the proposed project?  Documentation to the fact shall be attached.  </w:t>
            </w:r>
          </w:p>
        </w:tc>
      </w:tr>
    </w:tbl>
    <w:p w14:paraId="6A7B9F6D" w14:textId="77777777" w:rsidR="00A16828" w:rsidRDefault="009E4730" w:rsidP="00AE22E5">
      <w:r>
        <w:lastRenderedPageBreak/>
        <w:t>All applications should address</w:t>
      </w:r>
      <w:r w:rsidR="00AF68E3">
        <w:t xml:space="preserve"> the evaluation criteria</w:t>
      </w:r>
      <w:r w:rsidR="00A7309B">
        <w:t xml:space="preserve">. </w:t>
      </w:r>
      <w:r w:rsidR="002C199F">
        <w:t>A detailed narrative corresponding to the e</w:t>
      </w:r>
      <w:r w:rsidR="00DB1C76">
        <w:t>valuation criteria listed above should be attached to the application form</w:t>
      </w:r>
      <w:r w:rsidR="00A8293F">
        <w:t>. All portion</w:t>
      </w:r>
      <w:r w:rsidR="0074229C">
        <w:t>s</w:t>
      </w:r>
      <w:r w:rsidR="00A8293F">
        <w:t xml:space="preserve"> and questions in the application form should be </w:t>
      </w:r>
      <w:r w:rsidR="00E6478B">
        <w:t xml:space="preserve">completed and answered </w:t>
      </w:r>
      <w:r w:rsidR="0074229C">
        <w:t>fully</w:t>
      </w:r>
      <w:r w:rsidR="00E6478B">
        <w:t>.</w:t>
      </w:r>
    </w:p>
    <w:p w14:paraId="0B8BB5B6" w14:textId="31192A28" w:rsidR="00AE22E5" w:rsidRPr="009C0581" w:rsidRDefault="00A16828" w:rsidP="00A16828">
      <w:pPr>
        <w:pStyle w:val="Heading1"/>
        <w:rPr>
          <w:b/>
          <w:bCs/>
        </w:rPr>
      </w:pPr>
      <w:r w:rsidRPr="009C0581">
        <w:rPr>
          <w:b/>
          <w:bCs/>
        </w:rPr>
        <w:t>C</w:t>
      </w:r>
      <w:r w:rsidR="009C0581" w:rsidRPr="009C0581">
        <w:rPr>
          <w:b/>
          <w:bCs/>
        </w:rPr>
        <w:t>onflict of Interest Disclosure Form</w:t>
      </w:r>
      <w:r w:rsidR="00E6478B" w:rsidRPr="009C0581">
        <w:rPr>
          <w:b/>
          <w:bCs/>
        </w:rPr>
        <w:t xml:space="preserve"> </w:t>
      </w:r>
      <w:r w:rsidR="00A8293F" w:rsidRPr="009C0581">
        <w:rPr>
          <w:b/>
          <w:bCs/>
        </w:rPr>
        <w:t xml:space="preserve"> </w:t>
      </w:r>
    </w:p>
    <w:p w14:paraId="2237AC0F" w14:textId="57FDEB3F" w:rsidR="00444BFB" w:rsidRDefault="00444BFB" w:rsidP="00444BFB">
      <w:pPr>
        <w:tabs>
          <w:tab w:val="left" w:pos="1080"/>
        </w:tabs>
      </w:pPr>
      <w:r w:rsidRPr="00E83EC8">
        <w:t>The “Conflict of Interest Disclosure Form” provided</w:t>
      </w:r>
      <w:r w:rsidR="007C1183">
        <w:t xml:space="preserve"> in the application form</w:t>
      </w:r>
      <w:r w:rsidRPr="00E83EC8">
        <w:t xml:space="preserve"> must be completed, signed, and s</w:t>
      </w:r>
      <w:r>
        <w:t xml:space="preserve">ubmitted. </w:t>
      </w:r>
      <w:r w:rsidR="007430E5">
        <w:t xml:space="preserve">The form can also be found here: </w:t>
      </w:r>
      <w:hyperlink r:id="rId12" w:history="1">
        <w:r w:rsidR="001533AE" w:rsidRPr="001533AE">
          <w:rPr>
            <w:rStyle w:val="Hyperlink"/>
          </w:rPr>
          <w:t>Conflict of Interest Disclosure</w:t>
        </w:r>
      </w:hyperlink>
    </w:p>
    <w:p w14:paraId="24772DBB" w14:textId="35EDD179" w:rsidR="00A53302" w:rsidRPr="008945A6" w:rsidRDefault="00394682" w:rsidP="00394682">
      <w:pPr>
        <w:pStyle w:val="Heading1"/>
        <w:rPr>
          <w:b/>
          <w:bCs/>
        </w:rPr>
      </w:pPr>
      <w:r w:rsidRPr="008945A6">
        <w:rPr>
          <w:b/>
          <w:bCs/>
        </w:rPr>
        <w:t>Pre-award Risk Assessment</w:t>
      </w:r>
    </w:p>
    <w:p w14:paraId="4A6EC976" w14:textId="2D120FAB" w:rsidR="008945A6" w:rsidRDefault="008945A6" w:rsidP="008945A6">
      <w:pPr>
        <w:tabs>
          <w:tab w:val="left" w:pos="1080"/>
        </w:tabs>
        <w:rPr>
          <w:rStyle w:val="Hyperlink"/>
          <w:rFonts w:cstheme="minorHAnsi"/>
        </w:rPr>
      </w:pPr>
      <w:r>
        <w:t>All applicants must complete the Pre-Award Risk Assessment for</w:t>
      </w:r>
      <w:r w:rsidR="00D44E51">
        <w:t xml:space="preserve"> local </w:t>
      </w:r>
      <w:r w:rsidR="00582D5A">
        <w:t xml:space="preserve">units of </w:t>
      </w:r>
      <w:r w:rsidR="00D44E51">
        <w:t>government</w:t>
      </w:r>
      <w:r>
        <w:t xml:space="preserve">. The risk assessment should be </w:t>
      </w:r>
      <w:r w:rsidR="004F42AB">
        <w:t>submitted</w:t>
      </w:r>
      <w:r>
        <w:t xml:space="preserve"> with the completed application. The Pre-Award Risk Assessment is available on the DEED website. </w:t>
      </w:r>
      <w:hyperlink r:id="rId13" w:history="1">
        <w:r w:rsidRPr="00BC1B49">
          <w:rPr>
            <w:rStyle w:val="Hyperlink"/>
            <w:rFonts w:cstheme="minorHAnsi"/>
          </w:rPr>
          <w:t>https://mn.gov/deed/assets/pre-award-risk-assessment-bdpi_tcm1045-606210.pdf</w:t>
        </w:r>
      </w:hyperlink>
    </w:p>
    <w:p w14:paraId="27EF8CB7" w14:textId="59454D1E" w:rsidR="004124B9" w:rsidRDefault="00A14B4D" w:rsidP="004124B9">
      <w:pPr>
        <w:pStyle w:val="Heading1"/>
        <w:rPr>
          <w:b/>
          <w:bCs/>
        </w:rPr>
      </w:pPr>
      <w:r>
        <w:rPr>
          <w:b/>
          <w:bCs/>
        </w:rPr>
        <w:t>Program Requirements</w:t>
      </w:r>
    </w:p>
    <w:p w14:paraId="3726C1CB" w14:textId="29E50E1B" w:rsidR="0035360F" w:rsidRPr="008249FB" w:rsidRDefault="008249FB" w:rsidP="008249FB">
      <w:pPr>
        <w:spacing w:after="0"/>
        <w:rPr>
          <w:rStyle w:val="ui-provider"/>
        </w:rPr>
      </w:pPr>
      <w:r w:rsidRPr="008249FB">
        <w:t>Successful applicants will be required to:</w:t>
      </w:r>
    </w:p>
    <w:p w14:paraId="6F12647B" w14:textId="27F683B0" w:rsidR="00070600" w:rsidRPr="0035360F" w:rsidRDefault="00070600" w:rsidP="0035360F">
      <w:pPr>
        <w:pStyle w:val="ListParagraph"/>
        <w:numPr>
          <w:ilvl w:val="0"/>
          <w:numId w:val="10"/>
        </w:numPr>
        <w:autoSpaceDE w:val="0"/>
        <w:autoSpaceDN w:val="0"/>
        <w:adjustRightInd w:val="0"/>
        <w:spacing w:after="0"/>
        <w:rPr>
          <w:rStyle w:val="ui-provider"/>
          <w:rFonts w:ascii="Calibri" w:hAnsi="Calibri" w:cs="Arial"/>
          <w:sz w:val="24"/>
          <w:szCs w:val="24"/>
        </w:rPr>
      </w:pPr>
      <w:r>
        <w:rPr>
          <w:rStyle w:val="ui-provider"/>
        </w:rPr>
        <w:t>Prior to the contacts being signed, an implementation meeting will be scheduled in the community.  The meeting will cover the terms, conditions, and scope of the project among other items.</w:t>
      </w:r>
    </w:p>
    <w:p w14:paraId="7AC5B354" w14:textId="77777777" w:rsidR="00EF6AB6" w:rsidRPr="00EF6AB6" w:rsidRDefault="00EF6AB6" w:rsidP="00EF6AB6">
      <w:pPr>
        <w:pStyle w:val="ListParagraph"/>
        <w:numPr>
          <w:ilvl w:val="0"/>
          <w:numId w:val="10"/>
        </w:numPr>
        <w:spacing w:after="240" w:line="240" w:lineRule="auto"/>
      </w:pPr>
      <w:r w:rsidRPr="00EF6AB6">
        <w:t>Annual monitoring (on-site) visits during the grant period on all grants of $250,000 and higher</w:t>
      </w:r>
    </w:p>
    <w:p w14:paraId="0D7DA8E3" w14:textId="77777777" w:rsidR="00EF6AB6" w:rsidRPr="00EF6AB6" w:rsidRDefault="00EF6AB6" w:rsidP="00EF6AB6">
      <w:pPr>
        <w:pStyle w:val="ListParagraph"/>
        <w:numPr>
          <w:ilvl w:val="0"/>
          <w:numId w:val="10"/>
        </w:numPr>
        <w:spacing w:after="240" w:line="240" w:lineRule="auto"/>
      </w:pPr>
      <w:r w:rsidRPr="00EF6AB6">
        <w:t xml:space="preserve">Conducting a financial reconciliation of grantee’s expenditures at least once before final payment on grants of $50,000 and higher. For this purpose, the grantee must make expense receipts, employee timesheets, invoices, and any other supporting documents available upon request by the State. </w:t>
      </w:r>
    </w:p>
    <w:p w14:paraId="4E44AC90" w14:textId="77777777" w:rsidR="00E76942" w:rsidRDefault="00E76942" w:rsidP="00E76942">
      <w:pPr>
        <w:pStyle w:val="ListParagraph"/>
        <w:numPr>
          <w:ilvl w:val="0"/>
          <w:numId w:val="10"/>
        </w:numPr>
        <w:spacing w:after="0" w:line="240" w:lineRule="auto"/>
      </w:pPr>
      <w:r w:rsidRPr="00E76942">
        <w:t>Submit quarterly progress reports (with photos etc.). The quarterly narrative should describe progress of the grant (due the 30</w:t>
      </w:r>
      <w:r w:rsidRPr="00E76942">
        <w:rPr>
          <w:vertAlign w:val="superscript"/>
        </w:rPr>
        <w:t>th</w:t>
      </w:r>
      <w:r w:rsidRPr="00E76942">
        <w:t xml:space="preserve"> of the month following the end of the quarter).</w:t>
      </w:r>
    </w:p>
    <w:p w14:paraId="1E41BFB2" w14:textId="020DBC93" w:rsidR="00584519" w:rsidRPr="003025F2" w:rsidRDefault="00034013" w:rsidP="00584519">
      <w:pPr>
        <w:pStyle w:val="ListParagraph"/>
        <w:numPr>
          <w:ilvl w:val="0"/>
          <w:numId w:val="10"/>
        </w:numPr>
        <w:spacing w:after="240" w:line="240" w:lineRule="auto"/>
      </w:pPr>
      <w:r w:rsidRPr="0023159E">
        <w:t xml:space="preserve">Submit end of year report (due at the end of the State Fiscal Year). </w:t>
      </w:r>
      <w:r w:rsidR="0023159E" w:rsidRPr="0023159E">
        <w:t xml:space="preserve">Submit monthly Reimbursement Payment Request Forms (RPRs) or Financial Status Reports (FSRs) with receipts and invoices to designated contact within DEED. RPRs or FSRs must accurately reflect actual grant expenditures and obligations consistent with rates which grant administrators will be able to track. </w:t>
      </w:r>
    </w:p>
    <w:p w14:paraId="4B720F40" w14:textId="77777777" w:rsidR="00584519" w:rsidRPr="00844B67" w:rsidRDefault="00584519" w:rsidP="00584519">
      <w:pPr>
        <w:pStyle w:val="Heading1"/>
        <w:spacing w:before="0" w:after="120"/>
      </w:pPr>
      <w:bookmarkStart w:id="1" w:name="_Toc157088509"/>
      <w:r>
        <w:t xml:space="preserve">Checklist: </w:t>
      </w:r>
      <w:r w:rsidRPr="00BB4FA1">
        <w:t>Application Content and Instructions</w:t>
      </w:r>
      <w:bookmarkEnd w:id="1"/>
    </w:p>
    <w:p w14:paraId="71BFE955" w14:textId="43A3E36F" w:rsidR="00584519" w:rsidRPr="00065558" w:rsidRDefault="00584519" w:rsidP="0045042D">
      <w:pPr>
        <w:pStyle w:val="NoSpacing"/>
        <w:numPr>
          <w:ilvl w:val="0"/>
          <w:numId w:val="16"/>
        </w:numPr>
        <w:rPr>
          <w:rStyle w:val="Strong"/>
          <w:sz w:val="24"/>
          <w:szCs w:val="24"/>
        </w:rPr>
      </w:pPr>
      <w:r w:rsidRPr="00065558">
        <w:rPr>
          <w:rStyle w:val="Strong"/>
          <w:sz w:val="24"/>
          <w:szCs w:val="24"/>
        </w:rPr>
        <w:t>Executive Summary</w:t>
      </w:r>
    </w:p>
    <w:p w14:paraId="6A674EF9" w14:textId="7E677631" w:rsidR="00584519" w:rsidRPr="00065558" w:rsidRDefault="0045042D" w:rsidP="00584519">
      <w:pPr>
        <w:rPr>
          <w:color w:val="C00000"/>
          <w:sz w:val="24"/>
          <w:szCs w:val="24"/>
        </w:rPr>
      </w:pPr>
      <w:r>
        <w:rPr>
          <w:color w:val="000000"/>
          <w:sz w:val="24"/>
          <w:szCs w:val="24"/>
        </w:rPr>
        <w:t xml:space="preserve">             </w:t>
      </w:r>
      <w:r w:rsidR="00584519" w:rsidRPr="00065558">
        <w:rPr>
          <w:color w:val="000000"/>
          <w:sz w:val="24"/>
          <w:szCs w:val="24"/>
        </w:rPr>
        <w:t>Provide a one-page overview of the proposed project.</w:t>
      </w:r>
    </w:p>
    <w:p w14:paraId="184D9248" w14:textId="2EC0FDAA" w:rsidR="00584519" w:rsidRPr="00065558" w:rsidRDefault="00584519" w:rsidP="0045042D">
      <w:pPr>
        <w:pStyle w:val="NoSpacing"/>
        <w:numPr>
          <w:ilvl w:val="0"/>
          <w:numId w:val="14"/>
        </w:numPr>
        <w:rPr>
          <w:b/>
          <w:sz w:val="24"/>
          <w:szCs w:val="24"/>
        </w:rPr>
      </w:pPr>
      <w:r w:rsidRPr="00065558">
        <w:rPr>
          <w:b/>
          <w:bCs/>
          <w:sz w:val="24"/>
          <w:szCs w:val="24"/>
        </w:rPr>
        <w:t>Application Form</w:t>
      </w:r>
    </w:p>
    <w:p w14:paraId="72F1963D" w14:textId="77777777" w:rsidR="00584519" w:rsidRPr="00B003DE" w:rsidRDefault="00584519" w:rsidP="00584519">
      <w:pPr>
        <w:pStyle w:val="NoSpacing"/>
        <w:rPr>
          <w:b/>
          <w:sz w:val="24"/>
          <w:szCs w:val="24"/>
        </w:rPr>
      </w:pPr>
    </w:p>
    <w:p w14:paraId="391DAA4E" w14:textId="63EAF76F" w:rsidR="00584519" w:rsidRPr="00065558" w:rsidRDefault="00584519" w:rsidP="0045042D">
      <w:pPr>
        <w:pStyle w:val="NoSpacing"/>
        <w:numPr>
          <w:ilvl w:val="0"/>
          <w:numId w:val="14"/>
        </w:numPr>
        <w:rPr>
          <w:b/>
          <w:sz w:val="24"/>
          <w:szCs w:val="24"/>
        </w:rPr>
      </w:pPr>
      <w:r w:rsidRPr="00065558">
        <w:rPr>
          <w:b/>
          <w:sz w:val="24"/>
          <w:szCs w:val="24"/>
        </w:rPr>
        <w:t>Work Plan/Work Schedule and Timeline</w:t>
      </w:r>
    </w:p>
    <w:p w14:paraId="421B4DD3" w14:textId="496269ED" w:rsidR="00584519" w:rsidRPr="00065558" w:rsidRDefault="0045042D" w:rsidP="00584519">
      <w:pPr>
        <w:rPr>
          <w:color w:val="000000"/>
          <w:sz w:val="24"/>
          <w:szCs w:val="24"/>
        </w:rPr>
      </w:pPr>
      <w:r>
        <w:rPr>
          <w:color w:val="000000"/>
          <w:sz w:val="24"/>
          <w:szCs w:val="24"/>
        </w:rPr>
        <w:t xml:space="preserve">             </w:t>
      </w:r>
      <w:r w:rsidR="00584519" w:rsidRPr="00065558">
        <w:rPr>
          <w:color w:val="000000"/>
          <w:sz w:val="24"/>
          <w:szCs w:val="24"/>
        </w:rPr>
        <w:t>Describe the goals for the funding. The plan MUST include measurable outcomes.</w:t>
      </w:r>
    </w:p>
    <w:p w14:paraId="2C85692D" w14:textId="329357B4" w:rsidR="00584519" w:rsidRPr="00065558" w:rsidRDefault="00584519" w:rsidP="0045042D">
      <w:pPr>
        <w:pStyle w:val="NoSpacing"/>
        <w:numPr>
          <w:ilvl w:val="0"/>
          <w:numId w:val="15"/>
        </w:numPr>
        <w:rPr>
          <w:b/>
          <w:sz w:val="24"/>
          <w:szCs w:val="24"/>
        </w:rPr>
      </w:pPr>
      <w:r w:rsidRPr="00065558">
        <w:rPr>
          <w:b/>
          <w:sz w:val="24"/>
          <w:szCs w:val="24"/>
        </w:rPr>
        <w:lastRenderedPageBreak/>
        <w:t xml:space="preserve">Budget Information Summary </w:t>
      </w:r>
    </w:p>
    <w:p w14:paraId="1520AECE" w14:textId="2E8A8509" w:rsidR="00584519" w:rsidRPr="008C1E67" w:rsidRDefault="0045042D" w:rsidP="00584519">
      <w:pPr>
        <w:rPr>
          <w:rStyle w:val="Hyperlink"/>
          <w:color w:val="000000"/>
          <w:sz w:val="24"/>
          <w:szCs w:val="24"/>
        </w:rPr>
      </w:pPr>
      <w:r>
        <w:rPr>
          <w:color w:val="000000"/>
          <w:sz w:val="24"/>
          <w:szCs w:val="24"/>
        </w:rPr>
        <w:t xml:space="preserve">             </w:t>
      </w:r>
      <w:r w:rsidR="00584519">
        <w:rPr>
          <w:color w:val="000000"/>
          <w:sz w:val="24"/>
          <w:szCs w:val="24"/>
        </w:rPr>
        <w:t>Provide a summary of the budget of the proposal/plan.</w:t>
      </w:r>
    </w:p>
    <w:p w14:paraId="21DEC4F1" w14:textId="6DABEBCC" w:rsidR="00584519" w:rsidRPr="0045042D" w:rsidRDefault="001F643F" w:rsidP="0045042D">
      <w:pPr>
        <w:pStyle w:val="ListParagraph"/>
        <w:numPr>
          <w:ilvl w:val="0"/>
          <w:numId w:val="15"/>
        </w:numPr>
        <w:rPr>
          <w:sz w:val="24"/>
          <w:szCs w:val="24"/>
        </w:rPr>
      </w:pPr>
      <w:hyperlink r:id="rId14" w:history="1">
        <w:r w:rsidR="00584519" w:rsidRPr="0045042D">
          <w:rPr>
            <w:rStyle w:val="Hyperlink"/>
            <w:b/>
            <w:sz w:val="24"/>
            <w:szCs w:val="24"/>
          </w:rPr>
          <w:t>Conflict of Interest Disclosure</w:t>
        </w:r>
      </w:hyperlink>
    </w:p>
    <w:p w14:paraId="7A361C8D" w14:textId="611C5CBE" w:rsidR="00584519" w:rsidRPr="001F37C1" w:rsidRDefault="00584519" w:rsidP="0045042D">
      <w:pPr>
        <w:pStyle w:val="ListParagraph"/>
        <w:numPr>
          <w:ilvl w:val="0"/>
          <w:numId w:val="15"/>
        </w:numPr>
        <w:rPr>
          <w:rFonts w:ascii="MS Gothic" w:eastAsia="MS Gothic" w:hAnsi="MS Gothic"/>
          <w:b/>
          <w:sz w:val="24"/>
          <w:szCs w:val="24"/>
        </w:rPr>
      </w:pPr>
      <w:r w:rsidRPr="0045042D">
        <w:rPr>
          <w:b/>
          <w:sz w:val="24"/>
          <w:szCs w:val="24"/>
        </w:rPr>
        <w:t>Resolution from local government in support of the project</w:t>
      </w:r>
      <w:r w:rsidRPr="0045042D">
        <w:rPr>
          <w:b/>
          <w:sz w:val="24"/>
          <w:szCs w:val="24"/>
          <w:u w:val="single"/>
        </w:rPr>
        <w:t xml:space="preserve"> </w:t>
      </w:r>
    </w:p>
    <w:p w14:paraId="4C5B3CE6" w14:textId="6A40003D" w:rsidR="00584519" w:rsidRPr="000C335F" w:rsidRDefault="001F37C1" w:rsidP="00BA10C9">
      <w:pPr>
        <w:pStyle w:val="ListParagraph"/>
        <w:numPr>
          <w:ilvl w:val="0"/>
          <w:numId w:val="15"/>
        </w:numPr>
        <w:rPr>
          <w:rFonts w:ascii="MS Gothic" w:eastAsia="MS Gothic" w:hAnsi="MS Gothic"/>
          <w:b/>
          <w:sz w:val="24"/>
          <w:szCs w:val="24"/>
        </w:rPr>
      </w:pPr>
      <w:r w:rsidRPr="001F37C1">
        <w:rPr>
          <w:b/>
          <w:sz w:val="24"/>
          <w:szCs w:val="24"/>
        </w:rPr>
        <w:t>Pre-award Risk Assessment</w:t>
      </w:r>
    </w:p>
    <w:p w14:paraId="4DCC69A2" w14:textId="75AB4514" w:rsidR="004124B9" w:rsidRDefault="00630E09" w:rsidP="00630E09">
      <w:pPr>
        <w:pStyle w:val="Heading1"/>
        <w:rPr>
          <w:b/>
          <w:bCs/>
        </w:rPr>
      </w:pPr>
      <w:r w:rsidRPr="00630E09">
        <w:rPr>
          <w:b/>
          <w:bCs/>
        </w:rPr>
        <w:t>Contacts</w:t>
      </w:r>
    </w:p>
    <w:p w14:paraId="77E650BC" w14:textId="77777777" w:rsidR="000C1240" w:rsidRPr="000C1240" w:rsidRDefault="000C1240" w:rsidP="000C1240">
      <w:pPr>
        <w:rPr>
          <w:rFonts w:ascii="Calibri" w:hAnsi="Calibri" w:cs="Arial"/>
        </w:rPr>
      </w:pPr>
      <w:r w:rsidRPr="000C1240">
        <w:rPr>
          <w:rFonts w:ascii="Calibri" w:hAnsi="Calibri" w:cs="Arial"/>
        </w:rPr>
        <w:t xml:space="preserve">For technical assistance in interpreting instructions and to submit questions, please email, Mike McCrownsey email, </w:t>
      </w:r>
      <w:hyperlink r:id="rId15" w:history="1">
        <w:r w:rsidRPr="000C1240">
          <w:rPr>
            <w:rStyle w:val="Hyperlink"/>
            <w:rFonts w:ascii="Calibri" w:hAnsi="Calibri" w:cs="Arial"/>
          </w:rPr>
          <w:t>mike.mccrownsey@state.mn.us</w:t>
        </w:r>
      </w:hyperlink>
      <w:r w:rsidRPr="000C1240">
        <w:rPr>
          <w:rFonts w:ascii="Calibri" w:hAnsi="Calibri" w:cs="Arial"/>
        </w:rPr>
        <w:t xml:space="preserve"> or Carla Vita, </w:t>
      </w:r>
      <w:hyperlink r:id="rId16" w:history="1">
        <w:r w:rsidRPr="000C1240">
          <w:rPr>
            <w:rStyle w:val="Hyperlink"/>
            <w:rFonts w:ascii="Calibri" w:hAnsi="Calibri" w:cs="Arial"/>
          </w:rPr>
          <w:t>carla.vita@state.mn.us</w:t>
        </w:r>
      </w:hyperlink>
      <w:r w:rsidRPr="000C1240">
        <w:rPr>
          <w:rFonts w:ascii="Calibri" w:hAnsi="Calibri" w:cs="Arial"/>
        </w:rPr>
        <w:t xml:space="preserve"> Questions can also be submitted through the Community Energy Transition Grant Program email box </w:t>
      </w:r>
      <w:hyperlink r:id="rId17" w:history="1">
        <w:r w:rsidRPr="000C1240">
          <w:rPr>
            <w:rStyle w:val="Hyperlink"/>
            <w:rFonts w:ascii="Calibri" w:hAnsi="Calibri" w:cs="Arial"/>
          </w:rPr>
          <w:t>CETGP.DEED@state.mn.us</w:t>
        </w:r>
      </w:hyperlink>
      <w:r w:rsidRPr="000C1240">
        <w:rPr>
          <w:rFonts w:ascii="Calibri" w:hAnsi="Calibri" w:cs="Arial"/>
        </w:rPr>
        <w:t>.</w:t>
      </w:r>
      <w:r w:rsidRPr="000C1240">
        <w:t xml:space="preserve"> </w:t>
      </w:r>
    </w:p>
    <w:p w14:paraId="59B433CE" w14:textId="77777777" w:rsidR="000C1240" w:rsidRPr="000C1240" w:rsidRDefault="000C1240" w:rsidP="000C1240">
      <w:pPr>
        <w:rPr>
          <w:rFonts w:ascii="Calibri" w:hAnsi="Calibri" w:cs="Arial"/>
        </w:rPr>
      </w:pPr>
      <w:r w:rsidRPr="000C1240">
        <w:t>Individuals with disabilities who need alternative formats can contact DEED at 651-802-2238.</w:t>
      </w:r>
    </w:p>
    <w:p w14:paraId="1F01EB0D" w14:textId="77777777" w:rsidR="00630E09" w:rsidRPr="00630E09" w:rsidRDefault="00630E09" w:rsidP="00630E09"/>
    <w:p w14:paraId="54594037" w14:textId="77777777" w:rsidR="007129D9" w:rsidRPr="007129D9" w:rsidRDefault="007129D9" w:rsidP="007129D9"/>
    <w:p w14:paraId="5EC1376A" w14:textId="77777777" w:rsidR="00415F3C" w:rsidRDefault="00415F3C" w:rsidP="00307B54">
      <w:pPr>
        <w:rPr>
          <w:rFonts w:eastAsia="Calibri"/>
          <w:sz w:val="24"/>
          <w:szCs w:val="24"/>
        </w:rPr>
      </w:pPr>
    </w:p>
    <w:p w14:paraId="32E42ED5" w14:textId="77777777" w:rsidR="00415F3C" w:rsidRPr="007E464A" w:rsidRDefault="00415F3C" w:rsidP="00307B54">
      <w:pPr>
        <w:rPr>
          <w:rFonts w:ascii="Open Sans" w:hAnsi="Open Sans" w:cs="Open Sans"/>
          <w:sz w:val="24"/>
          <w:szCs w:val="24"/>
        </w:rPr>
      </w:pPr>
    </w:p>
    <w:p w14:paraId="338F092B" w14:textId="77777777" w:rsidR="003A76F3" w:rsidRPr="003A76F3" w:rsidRDefault="003A76F3" w:rsidP="003A76F3"/>
    <w:p w14:paraId="7D3404F4" w14:textId="77777777" w:rsidR="0005089E" w:rsidRPr="0005089E" w:rsidRDefault="0005089E" w:rsidP="0005089E"/>
    <w:p w14:paraId="4F6C3EE2" w14:textId="77777777" w:rsidR="00182CEA" w:rsidRPr="00182CEA" w:rsidRDefault="00182CEA" w:rsidP="00182CEA"/>
    <w:sectPr w:rsidR="00182CEA" w:rsidRPr="00182CEA">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5D840" w14:textId="77777777" w:rsidR="005A78CE" w:rsidRDefault="005A78CE" w:rsidP="005A78CE">
      <w:pPr>
        <w:spacing w:after="0" w:line="240" w:lineRule="auto"/>
      </w:pPr>
      <w:r>
        <w:separator/>
      </w:r>
    </w:p>
  </w:endnote>
  <w:endnote w:type="continuationSeparator" w:id="0">
    <w:p w14:paraId="51126021" w14:textId="77777777" w:rsidR="005A78CE" w:rsidRDefault="005A78CE" w:rsidP="005A78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Arial">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0614509"/>
      <w:docPartObj>
        <w:docPartGallery w:val="Page Numbers (Bottom of Page)"/>
        <w:docPartUnique/>
      </w:docPartObj>
    </w:sdtPr>
    <w:sdtEndPr>
      <w:rPr>
        <w:noProof/>
      </w:rPr>
    </w:sdtEndPr>
    <w:sdtContent>
      <w:p w14:paraId="1D664953" w14:textId="22295982" w:rsidR="005A78CE" w:rsidRDefault="005A78C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A433B08" w14:textId="77777777" w:rsidR="005A78CE" w:rsidRDefault="005A78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EB347" w14:textId="77777777" w:rsidR="005A78CE" w:rsidRDefault="005A78CE" w:rsidP="005A78CE">
      <w:pPr>
        <w:spacing w:after="0" w:line="240" w:lineRule="auto"/>
      </w:pPr>
      <w:r>
        <w:separator/>
      </w:r>
    </w:p>
  </w:footnote>
  <w:footnote w:type="continuationSeparator" w:id="0">
    <w:p w14:paraId="46F33C97" w14:textId="77777777" w:rsidR="005A78CE" w:rsidRDefault="005A78CE" w:rsidP="005A78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32784"/>
    <w:multiLevelType w:val="hybridMultilevel"/>
    <w:tmpl w:val="26C48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C801FE"/>
    <w:multiLevelType w:val="hybridMultilevel"/>
    <w:tmpl w:val="2E2A5A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106CC1"/>
    <w:multiLevelType w:val="hybridMultilevel"/>
    <w:tmpl w:val="E86E87C8"/>
    <w:lvl w:ilvl="0" w:tplc="70FC06FC">
      <w:start w:val="1"/>
      <w:numFmt w:val="decimal"/>
      <w:lvlText w:val="%1."/>
      <w:lvlJc w:val="left"/>
      <w:pPr>
        <w:ind w:left="360" w:hanging="360"/>
      </w:pPr>
      <w:rPr>
        <w:rFonts w:hint="default"/>
        <w:b w:val="0"/>
        <w:bCs/>
        <w:i w:val="0"/>
        <w:iCs/>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3C2033D"/>
    <w:multiLevelType w:val="hybridMultilevel"/>
    <w:tmpl w:val="E3723D4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15:restartNumberingAfterBreak="0">
    <w:nsid w:val="24522851"/>
    <w:multiLevelType w:val="hybridMultilevel"/>
    <w:tmpl w:val="41747108"/>
    <w:lvl w:ilvl="0" w:tplc="AE7E9B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E151F1"/>
    <w:multiLevelType w:val="hybridMultilevel"/>
    <w:tmpl w:val="50AC4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A22CA8"/>
    <w:multiLevelType w:val="hybridMultilevel"/>
    <w:tmpl w:val="E506AFB4"/>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CAC5EB4"/>
    <w:multiLevelType w:val="hybridMultilevel"/>
    <w:tmpl w:val="C6C64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C41576"/>
    <w:multiLevelType w:val="hybridMultilevel"/>
    <w:tmpl w:val="ED8E143A"/>
    <w:lvl w:ilvl="0" w:tplc="3CAC24B2">
      <w:start w:val="1"/>
      <w:numFmt w:val="decimal"/>
      <w:lvlText w:val="%1."/>
      <w:lvlJc w:val="left"/>
      <w:pPr>
        <w:ind w:left="720" w:hanging="360"/>
      </w:pPr>
      <w:rPr>
        <w:rFonts w:hint="default"/>
        <w:i w:val="0"/>
        <w:iCs/>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B16627"/>
    <w:multiLevelType w:val="hybridMultilevel"/>
    <w:tmpl w:val="5B705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A82AF1"/>
    <w:multiLevelType w:val="hybridMultilevel"/>
    <w:tmpl w:val="36327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5E5EA2"/>
    <w:multiLevelType w:val="hybridMultilevel"/>
    <w:tmpl w:val="56987EDC"/>
    <w:lvl w:ilvl="0" w:tplc="70FC06FC">
      <w:start w:val="1"/>
      <w:numFmt w:val="decimal"/>
      <w:lvlText w:val="%1."/>
      <w:lvlJc w:val="left"/>
      <w:pPr>
        <w:ind w:left="720" w:hanging="360"/>
      </w:pPr>
      <w:rPr>
        <w:rFonts w:hint="default"/>
        <w:b w:val="0"/>
        <w:bCs/>
        <w:i w:val="0"/>
        <w:i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BE53A6"/>
    <w:multiLevelType w:val="hybridMultilevel"/>
    <w:tmpl w:val="94E21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BF7910"/>
    <w:multiLevelType w:val="hybridMultilevel"/>
    <w:tmpl w:val="3AA65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A66251"/>
    <w:multiLevelType w:val="hybridMultilevel"/>
    <w:tmpl w:val="279CE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525E30"/>
    <w:multiLevelType w:val="hybridMultilevel"/>
    <w:tmpl w:val="2D3244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22467105">
    <w:abstractNumId w:val="4"/>
  </w:num>
  <w:num w:numId="2" w16cid:durableId="363025483">
    <w:abstractNumId w:val="13"/>
  </w:num>
  <w:num w:numId="3" w16cid:durableId="1567647070">
    <w:abstractNumId w:val="15"/>
  </w:num>
  <w:num w:numId="4" w16cid:durableId="731319591">
    <w:abstractNumId w:val="1"/>
  </w:num>
  <w:num w:numId="5" w16cid:durableId="1385566410">
    <w:abstractNumId w:val="8"/>
  </w:num>
  <w:num w:numId="6" w16cid:durableId="1244492613">
    <w:abstractNumId w:val="2"/>
  </w:num>
  <w:num w:numId="7" w16cid:durableId="1949237393">
    <w:abstractNumId w:val="11"/>
  </w:num>
  <w:num w:numId="8" w16cid:durableId="2010021150">
    <w:abstractNumId w:val="6"/>
  </w:num>
  <w:num w:numId="9" w16cid:durableId="873157343">
    <w:abstractNumId w:val="0"/>
  </w:num>
  <w:num w:numId="10" w16cid:durableId="301428054">
    <w:abstractNumId w:val="9"/>
  </w:num>
  <w:num w:numId="11" w16cid:durableId="1127158254">
    <w:abstractNumId w:val="12"/>
  </w:num>
  <w:num w:numId="12" w16cid:durableId="1081679302">
    <w:abstractNumId w:val="14"/>
  </w:num>
  <w:num w:numId="13" w16cid:durableId="385223982">
    <w:abstractNumId w:val="3"/>
  </w:num>
  <w:num w:numId="14" w16cid:durableId="1119759540">
    <w:abstractNumId w:val="5"/>
  </w:num>
  <w:num w:numId="15" w16cid:durableId="629093988">
    <w:abstractNumId w:val="10"/>
  </w:num>
  <w:num w:numId="16" w16cid:durableId="70071475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CB2"/>
    <w:rsid w:val="00034013"/>
    <w:rsid w:val="0005089E"/>
    <w:rsid w:val="0005409C"/>
    <w:rsid w:val="00070600"/>
    <w:rsid w:val="000C1240"/>
    <w:rsid w:val="000C335F"/>
    <w:rsid w:val="00100C13"/>
    <w:rsid w:val="001533AE"/>
    <w:rsid w:val="00182CEA"/>
    <w:rsid w:val="00191FF6"/>
    <w:rsid w:val="00193615"/>
    <w:rsid w:val="001A51AA"/>
    <w:rsid w:val="001C29F9"/>
    <w:rsid w:val="001F37C1"/>
    <w:rsid w:val="001F643F"/>
    <w:rsid w:val="0023159E"/>
    <w:rsid w:val="002B218B"/>
    <w:rsid w:val="002C199F"/>
    <w:rsid w:val="002C3306"/>
    <w:rsid w:val="002E0C87"/>
    <w:rsid w:val="003025F2"/>
    <w:rsid w:val="003054ED"/>
    <w:rsid w:val="00307B54"/>
    <w:rsid w:val="0035360F"/>
    <w:rsid w:val="003772BB"/>
    <w:rsid w:val="00394682"/>
    <w:rsid w:val="00396BC3"/>
    <w:rsid w:val="003A76F3"/>
    <w:rsid w:val="003B13FA"/>
    <w:rsid w:val="004124B9"/>
    <w:rsid w:val="00415F3C"/>
    <w:rsid w:val="00437B17"/>
    <w:rsid w:val="00444BFB"/>
    <w:rsid w:val="0045042D"/>
    <w:rsid w:val="004A0E38"/>
    <w:rsid w:val="004C775F"/>
    <w:rsid w:val="004D6DB9"/>
    <w:rsid w:val="004F42AB"/>
    <w:rsid w:val="00513D60"/>
    <w:rsid w:val="005311B2"/>
    <w:rsid w:val="00582D5A"/>
    <w:rsid w:val="00584519"/>
    <w:rsid w:val="005A78CE"/>
    <w:rsid w:val="005B02D1"/>
    <w:rsid w:val="00620478"/>
    <w:rsid w:val="006243DA"/>
    <w:rsid w:val="00624C47"/>
    <w:rsid w:val="006256BF"/>
    <w:rsid w:val="00630E09"/>
    <w:rsid w:val="00682614"/>
    <w:rsid w:val="007129D9"/>
    <w:rsid w:val="0074229C"/>
    <w:rsid w:val="007430E5"/>
    <w:rsid w:val="00793571"/>
    <w:rsid w:val="007976AA"/>
    <w:rsid w:val="007A1894"/>
    <w:rsid w:val="007C1183"/>
    <w:rsid w:val="007F45A4"/>
    <w:rsid w:val="008249FB"/>
    <w:rsid w:val="0085062B"/>
    <w:rsid w:val="008945A6"/>
    <w:rsid w:val="008949E4"/>
    <w:rsid w:val="009A55EC"/>
    <w:rsid w:val="009C0581"/>
    <w:rsid w:val="009E4730"/>
    <w:rsid w:val="00A14B4D"/>
    <w:rsid w:val="00A16828"/>
    <w:rsid w:val="00A53302"/>
    <w:rsid w:val="00A7309B"/>
    <w:rsid w:val="00A8293F"/>
    <w:rsid w:val="00A86C59"/>
    <w:rsid w:val="00A95715"/>
    <w:rsid w:val="00AD05E7"/>
    <w:rsid w:val="00AE22E5"/>
    <w:rsid w:val="00AE4D39"/>
    <w:rsid w:val="00AF366D"/>
    <w:rsid w:val="00AF68E3"/>
    <w:rsid w:val="00B21959"/>
    <w:rsid w:val="00B749E1"/>
    <w:rsid w:val="00BA10C9"/>
    <w:rsid w:val="00C5663B"/>
    <w:rsid w:val="00C76648"/>
    <w:rsid w:val="00C81AE0"/>
    <w:rsid w:val="00C900DA"/>
    <w:rsid w:val="00C94540"/>
    <w:rsid w:val="00C95441"/>
    <w:rsid w:val="00CD03E2"/>
    <w:rsid w:val="00D0465E"/>
    <w:rsid w:val="00D44E51"/>
    <w:rsid w:val="00D9698A"/>
    <w:rsid w:val="00DB1C76"/>
    <w:rsid w:val="00DF51CD"/>
    <w:rsid w:val="00DF6215"/>
    <w:rsid w:val="00E06015"/>
    <w:rsid w:val="00E6478B"/>
    <w:rsid w:val="00E76942"/>
    <w:rsid w:val="00EF6AB6"/>
    <w:rsid w:val="00F21F52"/>
    <w:rsid w:val="00F66B3A"/>
    <w:rsid w:val="00F83EDE"/>
    <w:rsid w:val="00FC6C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7973B"/>
  <w15:chartTrackingRefBased/>
  <w15:docId w15:val="{19A5F275-913C-4384-B911-9A72A898D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F51C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58451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58451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95441"/>
    <w:pPr>
      <w:spacing w:after="0" w:line="240" w:lineRule="auto"/>
      <w:jc w:val="center"/>
    </w:pPr>
    <w:rPr>
      <w:rFonts w:ascii="Times" w:eastAsia="Times New Roman" w:hAnsi="Times" w:cs="Times New Roman"/>
      <w:b/>
      <w:kern w:val="0"/>
      <w:sz w:val="28"/>
      <w:szCs w:val="24"/>
    </w:rPr>
  </w:style>
  <w:style w:type="character" w:customStyle="1" w:styleId="TitleChar">
    <w:name w:val="Title Char"/>
    <w:basedOn w:val="DefaultParagraphFont"/>
    <w:link w:val="Title"/>
    <w:rsid w:val="00C95441"/>
    <w:rPr>
      <w:rFonts w:ascii="Times" w:eastAsia="Times New Roman" w:hAnsi="Times" w:cs="Times New Roman"/>
      <w:b/>
      <w:kern w:val="0"/>
      <w:sz w:val="28"/>
      <w:szCs w:val="24"/>
    </w:rPr>
  </w:style>
  <w:style w:type="character" w:customStyle="1" w:styleId="Heading1Char">
    <w:name w:val="Heading 1 Char"/>
    <w:basedOn w:val="DefaultParagraphFont"/>
    <w:link w:val="Heading1"/>
    <w:uiPriority w:val="9"/>
    <w:rsid w:val="00DF51CD"/>
    <w:rPr>
      <w:rFonts w:asciiTheme="majorHAnsi" w:eastAsiaTheme="majorEastAsia" w:hAnsiTheme="majorHAnsi" w:cstheme="majorBidi"/>
      <w:color w:val="2F5496" w:themeColor="accent1" w:themeShade="BF"/>
      <w:sz w:val="32"/>
      <w:szCs w:val="32"/>
    </w:rPr>
  </w:style>
  <w:style w:type="paragraph" w:customStyle="1" w:styleId="a">
    <w:name w:val="_"/>
    <w:rsid w:val="0085062B"/>
    <w:pPr>
      <w:widowControl w:val="0"/>
      <w:autoSpaceDE w:val="0"/>
      <w:autoSpaceDN w:val="0"/>
      <w:adjustRightInd w:val="0"/>
      <w:spacing w:after="0" w:line="240" w:lineRule="auto"/>
      <w:ind w:left="1800"/>
    </w:pPr>
    <w:rPr>
      <w:rFonts w:ascii="Courier New" w:eastAsia="Times New Roman" w:hAnsi="Courier New" w:cs="Times New Roman"/>
      <w:kern w:val="0"/>
      <w:sz w:val="24"/>
      <w:szCs w:val="24"/>
    </w:rPr>
  </w:style>
  <w:style w:type="character" w:styleId="Hyperlink">
    <w:name w:val="Hyperlink"/>
    <w:basedOn w:val="DefaultParagraphFont"/>
    <w:uiPriority w:val="99"/>
    <w:unhideWhenUsed/>
    <w:rsid w:val="00AE4D39"/>
    <w:rPr>
      <w:color w:val="0563C1" w:themeColor="hyperlink"/>
      <w:u w:val="single"/>
    </w:rPr>
  </w:style>
  <w:style w:type="character" w:styleId="UnresolvedMention">
    <w:name w:val="Unresolved Mention"/>
    <w:basedOn w:val="DefaultParagraphFont"/>
    <w:uiPriority w:val="99"/>
    <w:semiHidden/>
    <w:unhideWhenUsed/>
    <w:rsid w:val="00AE4D39"/>
    <w:rPr>
      <w:color w:val="605E5C"/>
      <w:shd w:val="clear" w:color="auto" w:fill="E1DFDD"/>
    </w:rPr>
  </w:style>
  <w:style w:type="paragraph" w:styleId="ListParagraph">
    <w:name w:val="List Paragraph"/>
    <w:aliases w:val="Indented Paragraph"/>
    <w:basedOn w:val="Normal"/>
    <w:uiPriority w:val="34"/>
    <w:qFormat/>
    <w:rsid w:val="00100C13"/>
    <w:pPr>
      <w:ind w:left="720"/>
      <w:contextualSpacing/>
    </w:pPr>
  </w:style>
  <w:style w:type="table" w:styleId="TableGrid">
    <w:name w:val="Table Grid"/>
    <w:basedOn w:val="TableNormal"/>
    <w:uiPriority w:val="39"/>
    <w:rsid w:val="001A51AA"/>
    <w:pPr>
      <w:spacing w:after="0" w:line="240" w:lineRule="auto"/>
    </w:pPr>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1A51AA"/>
    <w:pPr>
      <w:widowControl w:val="0"/>
      <w:spacing w:after="0" w:line="240" w:lineRule="auto"/>
    </w:pPr>
    <w:rPr>
      <w:rFonts w:eastAsia="Times New Roman" w:cs="Times New Roman"/>
      <w:snapToGrid w:val="0"/>
      <w:kern w:val="0"/>
      <w:szCs w:val="20"/>
      <w14:ligatures w14:val="none"/>
    </w:rPr>
  </w:style>
  <w:style w:type="character" w:customStyle="1" w:styleId="NoSpacingChar">
    <w:name w:val="No Spacing Char"/>
    <w:basedOn w:val="DefaultParagraphFont"/>
    <w:link w:val="NoSpacing"/>
    <w:uiPriority w:val="1"/>
    <w:rsid w:val="001A51AA"/>
    <w:rPr>
      <w:rFonts w:eastAsia="Times New Roman" w:cs="Times New Roman"/>
      <w:snapToGrid w:val="0"/>
      <w:kern w:val="0"/>
      <w:szCs w:val="20"/>
      <w14:ligatures w14:val="none"/>
    </w:rPr>
  </w:style>
  <w:style w:type="character" w:styleId="FollowedHyperlink">
    <w:name w:val="FollowedHyperlink"/>
    <w:basedOn w:val="DefaultParagraphFont"/>
    <w:uiPriority w:val="99"/>
    <w:semiHidden/>
    <w:unhideWhenUsed/>
    <w:rsid w:val="00D44E51"/>
    <w:rPr>
      <w:color w:val="954F72" w:themeColor="followedHyperlink"/>
      <w:u w:val="single"/>
    </w:rPr>
  </w:style>
  <w:style w:type="character" w:customStyle="1" w:styleId="ui-provider">
    <w:name w:val="ui-provider"/>
    <w:basedOn w:val="DefaultParagraphFont"/>
    <w:rsid w:val="00070600"/>
  </w:style>
  <w:style w:type="paragraph" w:styleId="Header">
    <w:name w:val="header"/>
    <w:basedOn w:val="Normal"/>
    <w:link w:val="HeaderChar"/>
    <w:uiPriority w:val="99"/>
    <w:unhideWhenUsed/>
    <w:rsid w:val="005A78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78CE"/>
  </w:style>
  <w:style w:type="paragraph" w:styleId="Footer">
    <w:name w:val="footer"/>
    <w:basedOn w:val="Normal"/>
    <w:link w:val="FooterChar"/>
    <w:uiPriority w:val="99"/>
    <w:unhideWhenUsed/>
    <w:rsid w:val="005A78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78CE"/>
  </w:style>
  <w:style w:type="paragraph" w:styleId="Revision">
    <w:name w:val="Revision"/>
    <w:hidden/>
    <w:uiPriority w:val="99"/>
    <w:semiHidden/>
    <w:rsid w:val="00584519"/>
    <w:pPr>
      <w:spacing w:after="0" w:line="240" w:lineRule="auto"/>
    </w:pPr>
  </w:style>
  <w:style w:type="character" w:customStyle="1" w:styleId="Heading3Char">
    <w:name w:val="Heading 3 Char"/>
    <w:basedOn w:val="DefaultParagraphFont"/>
    <w:link w:val="Heading3"/>
    <w:uiPriority w:val="9"/>
    <w:semiHidden/>
    <w:rsid w:val="00584519"/>
    <w:rPr>
      <w:rFonts w:asciiTheme="majorHAnsi" w:eastAsiaTheme="majorEastAsia" w:hAnsiTheme="majorHAnsi" w:cstheme="majorBidi"/>
      <w:color w:val="1F3763" w:themeColor="accent1" w:themeShade="7F"/>
      <w:sz w:val="24"/>
      <w:szCs w:val="24"/>
    </w:rPr>
  </w:style>
  <w:style w:type="character" w:customStyle="1" w:styleId="Heading2Char">
    <w:name w:val="Heading 2 Char"/>
    <w:basedOn w:val="DefaultParagraphFont"/>
    <w:link w:val="Heading2"/>
    <w:uiPriority w:val="9"/>
    <w:rsid w:val="00584519"/>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5845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visor.mn.gov/statutes/cite/116J.55" TargetMode="External"/><Relationship Id="rId13" Type="http://schemas.openxmlformats.org/officeDocument/2006/relationships/hyperlink" Target="https://mn.gov/deed/assets/pre-award-risk-assessment-bdpi_tcm1045-606210.pdf"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customXml" Target="../customXml/item1.xml"/><Relationship Id="rId7" Type="http://schemas.openxmlformats.org/officeDocument/2006/relationships/image" Target="media/image1.png"/><Relationship Id="rId12" Type="http://schemas.openxmlformats.org/officeDocument/2006/relationships/hyperlink" Target="https://mn.gov/deed/assets/applicant-conflict-of-interest-2021_tcm1045-451110.docx" TargetMode="External"/><Relationship Id="rId17" Type="http://schemas.openxmlformats.org/officeDocument/2006/relationships/hyperlink" Target="mailto:CETGP.DEED@state.mn.us" TargetMode="External"/><Relationship Id="rId2" Type="http://schemas.openxmlformats.org/officeDocument/2006/relationships/styles" Target="styles.xml"/><Relationship Id="rId16" Type="http://schemas.openxmlformats.org/officeDocument/2006/relationships/hyperlink" Target="mailto:carla.vita@state.mn.u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ETGP.DEED@state.mn.us" TargetMode="External"/><Relationship Id="rId5" Type="http://schemas.openxmlformats.org/officeDocument/2006/relationships/footnotes" Target="footnotes.xml"/><Relationship Id="rId15" Type="http://schemas.openxmlformats.org/officeDocument/2006/relationships/hyperlink" Target="mailto:mike.mccrownsey@state.mn.us" TargetMode="External"/><Relationship Id="rId23" Type="http://schemas.openxmlformats.org/officeDocument/2006/relationships/customXml" Target="../customXml/item3.xml"/><Relationship Id="rId10" Type="http://schemas.openxmlformats.org/officeDocument/2006/relationships/hyperlink" Target="https://www.revisor.mn.gov/statutes/cite/216B.2422"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revisor.mn.gov/statutes/cite/116J.55" TargetMode="External"/><Relationship Id="rId14" Type="http://schemas.openxmlformats.org/officeDocument/2006/relationships/hyperlink" Target="https://mn.gov/deed/assets/applicant-conflict-of-interest-2021_tcm1045-451110.docx" TargetMode="External"/><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9389A3-D8A2-43CB-9BB5-64A40B588AC4}"/>
</file>

<file path=customXml/itemProps2.xml><?xml version="1.0" encoding="utf-8"?>
<ds:datastoreItem xmlns:ds="http://schemas.openxmlformats.org/officeDocument/2006/customXml" ds:itemID="{F12EADB4-C970-4966-B39A-7342AE077544}"/>
</file>

<file path=customXml/itemProps3.xml><?xml version="1.0" encoding="utf-8"?>
<ds:datastoreItem xmlns:ds="http://schemas.openxmlformats.org/officeDocument/2006/customXml" ds:itemID="{C5E701FB-0F12-41AA-A99C-AF1D69619DDF}"/>
</file>

<file path=docMetadata/LabelInfo.xml><?xml version="1.0" encoding="utf-8"?>
<clbl:labelList xmlns:clbl="http://schemas.microsoft.com/office/2020/mipLabelMetadata">
  <clbl:label id="{eb14b046-24c4-4519-8f26-b89c2159828c}" enabled="0" method="" siteId="{eb14b046-24c4-4519-8f26-b89c2159828c}" removed="1"/>
</clbl:labelList>
</file>

<file path=docProps/app.xml><?xml version="1.0" encoding="utf-8"?>
<Properties xmlns="http://schemas.openxmlformats.org/officeDocument/2006/extended-properties" xmlns:vt="http://schemas.openxmlformats.org/officeDocument/2006/docPropsVTypes">
  <Template>Normal</Template>
  <TotalTime>102</TotalTime>
  <Pages>7</Pages>
  <Words>2221</Words>
  <Characters>12061</Characters>
  <Application>Microsoft Office Word</Application>
  <DocSecurity>0</DocSecurity>
  <Lines>1206</Lines>
  <Paragraphs>310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McCrownsey, Mike E (He/Him/His) (DEED)</dc:creator>
  <cp:keywords/>
  <dc:description/>
  <cp:lastModifiedBy>McCrownsey, Mike E (He/Him/His) (DEED)</cp:lastModifiedBy>
  <cp:revision>15</cp:revision>
  <dcterms:created xsi:type="dcterms:W3CDTF">2024-02-15T19:12:00Z</dcterms:created>
  <dcterms:modified xsi:type="dcterms:W3CDTF">2024-03-11T19:22:00Z</dcterms:modified>
</cp:coreProperties>
</file>