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0FA9B" w14:textId="384035E8" w:rsidR="005979C3" w:rsidRDefault="00D2676A" w:rsidP="00AB6F70">
      <w:bookmarkStart w:id="0" w:name="_GoBack"/>
      <w:r>
        <w:rPr>
          <w:noProof/>
        </w:rPr>
        <w:drawing>
          <wp:inline distT="0" distB="0" distL="0" distR="0" wp14:anchorId="4E4DA7F6" wp14:editId="3C1622C2">
            <wp:extent cx="6858000" cy="1539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539240"/>
                    </a:xfrm>
                    <a:prstGeom prst="rect">
                      <a:avLst/>
                    </a:prstGeom>
                    <a:noFill/>
                    <a:ln>
                      <a:noFill/>
                    </a:ln>
                  </pic:spPr>
                </pic:pic>
              </a:graphicData>
            </a:graphic>
          </wp:inline>
        </w:drawing>
      </w:r>
    </w:p>
    <w:bookmarkEnd w:id="0"/>
    <w:p w14:paraId="208AC448" w14:textId="77777777" w:rsidR="008B388C" w:rsidRDefault="004B0923" w:rsidP="004F00B0">
      <w:pPr>
        <w:pStyle w:val="Heading1"/>
        <w:jc w:val="center"/>
        <w:sectPr w:rsidR="008B388C" w:rsidSect="0070375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r>
        <w:t>Stability Expected</w:t>
      </w:r>
      <w:r w:rsidR="009469DB">
        <w:t xml:space="preserve"> for 2020</w:t>
      </w:r>
      <w:r w:rsidR="004F00B0">
        <w:t xml:space="preserve">  </w:t>
      </w:r>
    </w:p>
    <w:p w14:paraId="0698CBF0" w14:textId="77777777" w:rsidR="00855892" w:rsidRDefault="00855892" w:rsidP="00855892">
      <w:pPr>
        <w:spacing w:after="0" w:line="240" w:lineRule="auto"/>
      </w:pPr>
    </w:p>
    <w:p w14:paraId="2ED463A2" w14:textId="77777777" w:rsidR="00D53E18" w:rsidRPr="007C1A84" w:rsidRDefault="009B07B0" w:rsidP="00D53E18">
      <w:pPr>
        <w:spacing w:after="0" w:line="240" w:lineRule="auto"/>
      </w:pPr>
      <w:r w:rsidRPr="007C1A84">
        <w:t>A random sample survey of Minnesota manufacturer</w:t>
      </w:r>
      <w:r w:rsidR="00855892" w:rsidRPr="007C1A84">
        <w:t>s</w:t>
      </w:r>
      <w:r w:rsidR="00816311">
        <w:t xml:space="preserve"> conducted from </w:t>
      </w:r>
      <w:r w:rsidRPr="007C1A84">
        <w:t>November</w:t>
      </w:r>
      <w:r w:rsidR="00816311">
        <w:t xml:space="preserve"> 2019-</w:t>
      </w:r>
      <w:r w:rsidR="00501F63">
        <w:t xml:space="preserve"> January</w:t>
      </w:r>
      <w:r w:rsidR="00816311">
        <w:t xml:space="preserve"> 2020</w:t>
      </w:r>
      <w:r w:rsidRPr="007C1A84">
        <w:t xml:space="preserve"> by the Minnesota Department of Employment and Economic Development and the Federal Reserve Ban</w:t>
      </w:r>
      <w:r w:rsidR="006203DF" w:rsidRPr="007C1A84">
        <w:t>k of</w:t>
      </w:r>
      <w:r w:rsidR="006309E6" w:rsidRPr="007C1A84">
        <w:t xml:space="preserve"> Minne</w:t>
      </w:r>
      <w:r w:rsidR="00AD207E" w:rsidRPr="007C1A84">
        <w:t>apolis reports that</w:t>
      </w:r>
      <w:r w:rsidR="00D53E18" w:rsidRPr="007C1A84">
        <w:t xml:space="preserve"> Minnes</w:t>
      </w:r>
      <w:r w:rsidR="00F13655" w:rsidRPr="007C1A84">
        <w:t>ota manufac</w:t>
      </w:r>
      <w:r w:rsidR="009469DB">
        <w:t>turers expect conditions in 2020</w:t>
      </w:r>
      <w:r w:rsidR="00F13655" w:rsidRPr="007C1A84">
        <w:t xml:space="preserve"> to </w:t>
      </w:r>
      <w:r w:rsidR="00AD207E" w:rsidRPr="007C1A84">
        <w:t xml:space="preserve">remain </w:t>
      </w:r>
      <w:r w:rsidR="004B0923">
        <w:t xml:space="preserve">mostly </w:t>
      </w:r>
      <w:r w:rsidR="00305FF9">
        <w:t>stable</w:t>
      </w:r>
      <w:r w:rsidR="009469DB">
        <w:t xml:space="preserve">.  </w:t>
      </w:r>
      <w:r w:rsidR="009469DB" w:rsidRPr="00B57965">
        <w:t>Sixty-four</w:t>
      </w:r>
      <w:r w:rsidR="00FE36FF" w:rsidRPr="00B57965">
        <w:t xml:space="preserve"> </w:t>
      </w:r>
      <w:r w:rsidR="00DB4C1E" w:rsidRPr="00B57965">
        <w:t xml:space="preserve">percent </w:t>
      </w:r>
      <w:r w:rsidR="00AD207E" w:rsidRPr="00B57965">
        <w:t>anticipate stab</w:t>
      </w:r>
      <w:r w:rsidR="009469DB" w:rsidRPr="00B57965">
        <w:t>le employment while 56</w:t>
      </w:r>
      <w:r w:rsidR="00AD207E" w:rsidRPr="00B57965">
        <w:t xml:space="preserve"> per</w:t>
      </w:r>
      <w:r w:rsidR="009469DB" w:rsidRPr="00B57965">
        <w:t>cent expect unchanged productivity</w:t>
      </w:r>
      <w:r w:rsidR="00D53E18" w:rsidRPr="00B57965">
        <w:t>.</w:t>
      </w:r>
      <w:r w:rsidR="00D53E18" w:rsidRPr="007C1A84">
        <w:t xml:space="preserve"> </w:t>
      </w:r>
    </w:p>
    <w:p w14:paraId="24FF0AD8" w14:textId="77777777" w:rsidR="00855892" w:rsidRPr="007C1A84" w:rsidRDefault="00855892" w:rsidP="009B07B0">
      <w:pPr>
        <w:pStyle w:val="Heading2"/>
        <w:rPr>
          <w:color w:val="auto"/>
        </w:rPr>
      </w:pPr>
    </w:p>
    <w:p w14:paraId="674FB926" w14:textId="77777777" w:rsidR="001215A7" w:rsidRPr="004F7DBA" w:rsidRDefault="009B07B0" w:rsidP="004F7DBA">
      <w:pPr>
        <w:pStyle w:val="Heading2"/>
        <w:spacing w:before="0" w:line="240" w:lineRule="auto"/>
        <w:rPr>
          <w:color w:val="1F4E79" w:themeColor="accent1" w:themeShade="80"/>
          <w:sz w:val="24"/>
          <w:szCs w:val="24"/>
        </w:rPr>
      </w:pPr>
      <w:r w:rsidRPr="004F7DBA">
        <w:rPr>
          <w:color w:val="1F4E79" w:themeColor="accent1" w:themeShade="80"/>
          <w:sz w:val="24"/>
          <w:szCs w:val="24"/>
        </w:rPr>
        <w:t>The Manufact</w:t>
      </w:r>
      <w:r w:rsidR="00F13655" w:rsidRPr="004F7DBA">
        <w:rPr>
          <w:color w:val="1F4E79" w:themeColor="accent1" w:themeShade="80"/>
          <w:sz w:val="24"/>
          <w:szCs w:val="24"/>
        </w:rPr>
        <w:t xml:space="preserve">uring </w:t>
      </w:r>
      <w:r w:rsidR="00A91103">
        <w:rPr>
          <w:color w:val="1F4E79" w:themeColor="accent1" w:themeShade="80"/>
          <w:sz w:val="24"/>
          <w:szCs w:val="24"/>
        </w:rPr>
        <w:t xml:space="preserve">Industry in </w:t>
      </w:r>
      <w:r w:rsidR="00A91103" w:rsidRPr="00B57965">
        <w:rPr>
          <w:color w:val="1F4E79" w:themeColor="accent1" w:themeShade="80"/>
          <w:sz w:val="24"/>
          <w:szCs w:val="24"/>
        </w:rPr>
        <w:t>2019</w:t>
      </w:r>
      <w:r w:rsidR="00855892" w:rsidRPr="004F7DBA">
        <w:rPr>
          <w:color w:val="1F4E79" w:themeColor="accent1" w:themeShade="80"/>
          <w:sz w:val="24"/>
          <w:szCs w:val="24"/>
        </w:rPr>
        <w:br/>
      </w:r>
    </w:p>
    <w:p w14:paraId="787EE398" w14:textId="77777777" w:rsidR="00E7356E" w:rsidRDefault="001215A7" w:rsidP="004F7DBA">
      <w:pPr>
        <w:spacing w:after="0" w:line="240" w:lineRule="auto"/>
        <w:rPr>
          <w:color w:val="000000" w:themeColor="text1"/>
        </w:rPr>
      </w:pPr>
      <w:r w:rsidRPr="007C1A84">
        <w:t>Minnesota manufa</w:t>
      </w:r>
      <w:r w:rsidR="00DF2DA5" w:rsidRPr="007C1A84">
        <w:t>cturers reported</w:t>
      </w:r>
      <w:r w:rsidR="00412D7B" w:rsidRPr="007C1A84">
        <w:t xml:space="preserve"> </w:t>
      </w:r>
      <w:r w:rsidR="0090239B" w:rsidRPr="007C1A84">
        <w:t>unchanged</w:t>
      </w:r>
      <w:r w:rsidR="00EA0B8A" w:rsidRPr="007C1A84">
        <w:t xml:space="preserve"> </w:t>
      </w:r>
      <w:r w:rsidR="00DF2DA5" w:rsidRPr="007C1A84">
        <w:t xml:space="preserve">or improved </w:t>
      </w:r>
      <w:r w:rsidR="00EA0B8A" w:rsidRPr="007C1A84">
        <w:t>conditions</w:t>
      </w:r>
      <w:r w:rsidR="00A61D5F">
        <w:t xml:space="preserve"> but at a lower rate than the previous year</w:t>
      </w:r>
      <w:r w:rsidR="00DF2DA5" w:rsidRPr="007C1A84">
        <w:t>.</w:t>
      </w:r>
      <w:r w:rsidR="007739EC" w:rsidRPr="007C1A84">
        <w:t xml:space="preserve"> </w:t>
      </w:r>
      <w:r w:rsidR="00A91103" w:rsidRPr="00B57965">
        <w:t>Forty-eight</w:t>
      </w:r>
      <w:r w:rsidR="003D01A4" w:rsidRPr="00B57965">
        <w:t xml:space="preserve"> percent </w:t>
      </w:r>
      <w:r w:rsidR="00A14734" w:rsidRPr="00B57965">
        <w:t xml:space="preserve">reported </w:t>
      </w:r>
      <w:r w:rsidR="003D01A4" w:rsidRPr="00B57965">
        <w:t xml:space="preserve">unchanged productivity </w:t>
      </w:r>
      <w:r w:rsidR="00A91103" w:rsidRPr="00B57965">
        <w:t>while 44</w:t>
      </w:r>
      <w:r w:rsidRPr="00B57965">
        <w:t xml:space="preserve"> pe</w:t>
      </w:r>
      <w:r w:rsidR="00A14734" w:rsidRPr="00B57965">
        <w:t xml:space="preserve">rcent </w:t>
      </w:r>
      <w:r w:rsidR="00DF2DA5" w:rsidRPr="00B57965">
        <w:t xml:space="preserve">experienced </w:t>
      </w:r>
      <w:r w:rsidR="005B06CE" w:rsidRPr="00B57965">
        <w:t>stable employment</w:t>
      </w:r>
      <w:r w:rsidR="0090239B" w:rsidRPr="00B57965">
        <w:t>.</w:t>
      </w:r>
      <w:r w:rsidR="009D0444" w:rsidRPr="00B57965">
        <w:t xml:space="preserve"> Forty-one percent indicated increased number of orders.</w:t>
      </w:r>
      <w:r w:rsidR="007A03CB" w:rsidRPr="00B57965">
        <w:t xml:space="preserve"> </w:t>
      </w:r>
      <w:r w:rsidR="009D0444" w:rsidRPr="00B57965">
        <w:t>Nonetheless, diffusion indexes for all i</w:t>
      </w:r>
      <w:r w:rsidR="00B25C40">
        <w:t>ndicators</w:t>
      </w:r>
      <w:r w:rsidR="007D686C" w:rsidRPr="00B57965">
        <w:t xml:space="preserve"> were lower compared</w:t>
      </w:r>
      <w:r w:rsidR="009D0444" w:rsidRPr="00B57965">
        <w:t xml:space="preserve"> to the previous y</w:t>
      </w:r>
      <w:r w:rsidR="00FC78C9" w:rsidRPr="00B57965">
        <w:t>ear, indicating declining conditions.</w:t>
      </w:r>
      <w:r w:rsidR="00081ED1" w:rsidRPr="00B57965">
        <w:t xml:space="preserve"> T</w:t>
      </w:r>
      <w:r w:rsidR="009D0444" w:rsidRPr="00B57965">
        <w:t xml:space="preserve">he diffusion index for profits was </w:t>
      </w:r>
      <w:r w:rsidR="007D686C" w:rsidRPr="00B57965">
        <w:t>46, lower than 50, suggesting contraction.</w:t>
      </w:r>
      <w:r w:rsidR="00081ED1" w:rsidRPr="00B57965">
        <w:t xml:space="preserve"> </w:t>
      </w:r>
      <w:r w:rsidR="00B34DA1" w:rsidRPr="00B57965">
        <w:t>The decline was particularly</w:t>
      </w:r>
      <w:r w:rsidR="00081ED1" w:rsidRPr="00B57965">
        <w:t xml:space="preserve"> pronounced for exports with a diffusion index or 43</w:t>
      </w:r>
      <w:r w:rsidR="00B34DA1" w:rsidRPr="00B57965">
        <w:t xml:space="preserve"> compared to 58 from the previous year.</w:t>
      </w:r>
      <w:r w:rsidR="00FC78C9">
        <w:br/>
      </w:r>
      <w:r w:rsidR="00412D7B" w:rsidRPr="007C1A84">
        <w:br/>
      </w:r>
      <w:r w:rsidR="00814F86">
        <w:rPr>
          <w:noProof/>
          <w:color w:val="C00000"/>
        </w:rPr>
        <w:drawing>
          <wp:inline distT="0" distB="0" distL="0" distR="0" wp14:anchorId="477C3368" wp14:editId="02CCFA72">
            <wp:extent cx="3049270" cy="2354580"/>
            <wp:effectExtent l="0" t="0" r="0" b="7620"/>
            <wp:docPr id="1" name="Chart 1" descr="Chart description: Forty-eight percent reported unchanged productivity while 44 percent experienced stable employment. Forty-one percent indicated increased number of orders. Nonetheless, diffusion indexes for all indicators in 2018 were lower compared to the previous year, indicating declining conditions. The diffusion index for profits was 46, lower than 50, suggesting contraction. The decline was particularly pronounced for exports with a diffusion index or 43 compared to 58 from the previous year." title="Economic Performance: 2018 Compare to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t xml:space="preserve"> </w:t>
      </w:r>
      <w:r w:rsidR="00BD6BDF">
        <w:rPr>
          <w:rStyle w:val="Heading2Char"/>
        </w:rPr>
        <w:br/>
      </w:r>
      <w:r w:rsidR="00BD6BDF">
        <w:rPr>
          <w:rStyle w:val="Heading2Char"/>
        </w:rPr>
        <w:br/>
      </w:r>
      <w:r w:rsidR="00810157" w:rsidRPr="004F7DBA">
        <w:rPr>
          <w:rStyle w:val="Heading2Char"/>
          <w:color w:val="1F4E79" w:themeColor="accent1" w:themeShade="80"/>
          <w:sz w:val="24"/>
          <w:szCs w:val="24"/>
        </w:rPr>
        <w:t>Outlook on the Manufacturing Industry</w:t>
      </w:r>
      <w:r w:rsidR="00E7356E" w:rsidRPr="004F7DBA">
        <w:rPr>
          <w:rStyle w:val="Heading2Char"/>
          <w:color w:val="1F4E79" w:themeColor="accent1" w:themeShade="80"/>
          <w:sz w:val="24"/>
          <w:szCs w:val="24"/>
        </w:rPr>
        <w:br/>
      </w:r>
      <w:r w:rsidR="00E7356E" w:rsidRPr="007C1A84">
        <w:br/>
      </w:r>
      <w:r w:rsidR="00814ED5" w:rsidRPr="007C1A84">
        <w:rPr>
          <w:color w:val="000000" w:themeColor="text1"/>
        </w:rPr>
        <w:t>M</w:t>
      </w:r>
      <w:r w:rsidR="00E7356E" w:rsidRPr="007C1A84">
        <w:rPr>
          <w:color w:val="000000" w:themeColor="text1"/>
        </w:rPr>
        <w:t>anufacturers</w:t>
      </w:r>
      <w:r w:rsidR="00EB7E38" w:rsidRPr="007C1A84">
        <w:rPr>
          <w:color w:val="000000" w:themeColor="text1"/>
        </w:rPr>
        <w:t xml:space="preserve"> expect mostly unchanged </w:t>
      </w:r>
      <w:r w:rsidR="00CC408A" w:rsidRPr="007C1A84">
        <w:rPr>
          <w:color w:val="000000" w:themeColor="text1"/>
        </w:rPr>
        <w:t>conditions</w:t>
      </w:r>
      <w:r w:rsidR="0073379A" w:rsidRPr="007C1A84">
        <w:rPr>
          <w:color w:val="000000" w:themeColor="text1"/>
        </w:rPr>
        <w:t xml:space="preserve"> for the coming year</w:t>
      </w:r>
      <w:r w:rsidR="002F1C66" w:rsidRPr="007C1A84">
        <w:rPr>
          <w:color w:val="000000" w:themeColor="text1"/>
        </w:rPr>
        <w:t>.</w:t>
      </w:r>
      <w:r w:rsidR="00E7356E" w:rsidRPr="007C1A84">
        <w:rPr>
          <w:color w:val="000000" w:themeColor="text1"/>
        </w:rPr>
        <w:t xml:space="preserve"> </w:t>
      </w:r>
      <w:r w:rsidR="007009BA">
        <w:rPr>
          <w:color w:val="000000" w:themeColor="text1"/>
        </w:rPr>
        <w:t xml:space="preserve"> </w:t>
      </w:r>
      <w:r w:rsidR="007009BA" w:rsidRPr="00B57965">
        <w:rPr>
          <w:color w:val="000000" w:themeColor="text1"/>
        </w:rPr>
        <w:t>Sixty-four</w:t>
      </w:r>
      <w:r w:rsidR="008B59FF" w:rsidRPr="00B57965">
        <w:rPr>
          <w:color w:val="000000" w:themeColor="text1"/>
        </w:rPr>
        <w:t xml:space="preserve"> percent </w:t>
      </w:r>
      <w:r w:rsidR="002558DB" w:rsidRPr="00B57965">
        <w:rPr>
          <w:color w:val="000000" w:themeColor="text1"/>
        </w:rPr>
        <w:t>of respondents exp</w:t>
      </w:r>
      <w:r w:rsidR="00FD7D98" w:rsidRPr="00B57965">
        <w:rPr>
          <w:color w:val="000000" w:themeColor="text1"/>
        </w:rPr>
        <w:t>ect stable</w:t>
      </w:r>
      <w:r w:rsidR="00EB7E38" w:rsidRPr="00B57965">
        <w:rPr>
          <w:color w:val="000000" w:themeColor="text1"/>
        </w:rPr>
        <w:t xml:space="preserve"> employment</w:t>
      </w:r>
      <w:r w:rsidR="007009BA" w:rsidRPr="00B57965">
        <w:rPr>
          <w:color w:val="000000" w:themeColor="text1"/>
        </w:rPr>
        <w:t xml:space="preserve"> and 56</w:t>
      </w:r>
      <w:r w:rsidR="00B44D34" w:rsidRPr="00B57965">
        <w:rPr>
          <w:color w:val="000000" w:themeColor="text1"/>
        </w:rPr>
        <w:t xml:space="preserve"> percent</w:t>
      </w:r>
      <w:r w:rsidR="007009BA" w:rsidRPr="00B57965">
        <w:rPr>
          <w:color w:val="000000" w:themeColor="text1"/>
        </w:rPr>
        <w:t xml:space="preserve"> anticipate unchanged productivity</w:t>
      </w:r>
      <w:r w:rsidR="0073379A" w:rsidRPr="00B57965">
        <w:rPr>
          <w:color w:val="000000" w:themeColor="text1"/>
        </w:rPr>
        <w:t xml:space="preserve">.  </w:t>
      </w:r>
      <w:r w:rsidR="00BB78A4" w:rsidRPr="00B57965">
        <w:rPr>
          <w:color w:val="000000" w:themeColor="text1"/>
        </w:rPr>
        <w:t xml:space="preserve">Fifty-three percent </w:t>
      </w:r>
      <w:r w:rsidR="0098516A" w:rsidRPr="00B57965">
        <w:rPr>
          <w:color w:val="000000" w:themeColor="text1"/>
        </w:rPr>
        <w:t>expect</w:t>
      </w:r>
      <w:r w:rsidR="0049689B" w:rsidRPr="00B57965">
        <w:rPr>
          <w:color w:val="000000" w:themeColor="text1"/>
        </w:rPr>
        <w:t xml:space="preserve"> stable</w:t>
      </w:r>
      <w:r w:rsidR="00BB78A4" w:rsidRPr="00B57965">
        <w:rPr>
          <w:color w:val="000000" w:themeColor="text1"/>
        </w:rPr>
        <w:t xml:space="preserve"> prices.</w:t>
      </w:r>
      <w:r w:rsidR="009E4D2C" w:rsidRPr="00B57965">
        <w:rPr>
          <w:color w:val="000000" w:themeColor="text1"/>
        </w:rPr>
        <w:t xml:space="preserve"> </w:t>
      </w:r>
      <w:r w:rsidR="00C60E3F" w:rsidRPr="00B57965">
        <w:rPr>
          <w:color w:val="000000" w:themeColor="text1"/>
        </w:rPr>
        <w:t xml:space="preserve"> </w:t>
      </w:r>
      <w:r w:rsidR="001B1620" w:rsidRPr="00B57965">
        <w:rPr>
          <w:color w:val="000000" w:themeColor="text1"/>
        </w:rPr>
        <w:t>Manufacturers were moderately optimistic about</w:t>
      </w:r>
      <w:r w:rsidR="00B15C66" w:rsidRPr="00B57965">
        <w:rPr>
          <w:color w:val="000000" w:themeColor="text1"/>
        </w:rPr>
        <w:t xml:space="preserve"> number of orders with half </w:t>
      </w:r>
      <w:r w:rsidR="009E4D2C" w:rsidRPr="00B57965">
        <w:rPr>
          <w:color w:val="000000" w:themeColor="text1"/>
        </w:rPr>
        <w:t xml:space="preserve">expecting </w:t>
      </w:r>
      <w:r w:rsidR="00347627" w:rsidRPr="00B57965">
        <w:rPr>
          <w:color w:val="000000" w:themeColor="text1"/>
        </w:rPr>
        <w:t>expansion</w:t>
      </w:r>
      <w:r w:rsidR="009E4D2C" w:rsidRPr="00B57965">
        <w:rPr>
          <w:color w:val="000000" w:themeColor="text1"/>
        </w:rPr>
        <w:t>.</w:t>
      </w:r>
      <w:r w:rsidR="00305FF9" w:rsidRPr="00B57965">
        <w:rPr>
          <w:color w:val="000000" w:themeColor="text1"/>
        </w:rPr>
        <w:t xml:space="preserve"> </w:t>
      </w:r>
      <w:r w:rsidR="004F7DBA" w:rsidRPr="00B57965">
        <w:rPr>
          <w:color w:val="000000" w:themeColor="text1"/>
        </w:rPr>
        <w:br/>
      </w:r>
      <w:r w:rsidR="0098516A" w:rsidRPr="00B57965">
        <w:rPr>
          <w:color w:val="000000" w:themeColor="text1"/>
        </w:rPr>
        <w:br/>
      </w:r>
      <w:r w:rsidR="00305FF9" w:rsidRPr="00B57965">
        <w:rPr>
          <w:color w:val="000000" w:themeColor="text1"/>
        </w:rPr>
        <w:t xml:space="preserve">Although </w:t>
      </w:r>
      <w:r w:rsidR="009E4D2C" w:rsidRPr="00B57965">
        <w:rPr>
          <w:color w:val="000000" w:themeColor="text1"/>
        </w:rPr>
        <w:t xml:space="preserve">diffusion indexes for most indicators were higher than 50 indicating expansion, there were lower than indexes </w:t>
      </w:r>
      <w:r w:rsidR="00740281" w:rsidRPr="00B57965">
        <w:rPr>
          <w:color w:val="000000" w:themeColor="text1"/>
        </w:rPr>
        <w:t>for</w:t>
      </w:r>
      <w:r w:rsidR="009E4D2C" w:rsidRPr="00B57965">
        <w:rPr>
          <w:color w:val="000000" w:themeColor="text1"/>
        </w:rPr>
        <w:t xml:space="preserve"> the previous year, suggesting that manufacturers are less optimistic</w:t>
      </w:r>
      <w:r w:rsidR="007A48F8" w:rsidRPr="00B57965">
        <w:rPr>
          <w:color w:val="000000" w:themeColor="text1"/>
        </w:rPr>
        <w:t xml:space="preserve"> for 2020</w:t>
      </w:r>
      <w:r w:rsidR="00305FF9" w:rsidRPr="00B57965">
        <w:rPr>
          <w:color w:val="000000" w:themeColor="text1"/>
        </w:rPr>
        <w:t xml:space="preserve"> than they were for</w:t>
      </w:r>
      <w:r w:rsidR="009E4D2C" w:rsidRPr="00B57965">
        <w:rPr>
          <w:color w:val="000000" w:themeColor="text1"/>
        </w:rPr>
        <w:t xml:space="preserve"> </w:t>
      </w:r>
      <w:r w:rsidR="007A48F8" w:rsidRPr="00B57965">
        <w:rPr>
          <w:color w:val="000000" w:themeColor="text1"/>
        </w:rPr>
        <w:t>2019</w:t>
      </w:r>
      <w:r w:rsidR="00740281" w:rsidRPr="00B57965">
        <w:rPr>
          <w:color w:val="000000" w:themeColor="text1"/>
        </w:rPr>
        <w:t>.</w:t>
      </w:r>
    </w:p>
    <w:p w14:paraId="36EE3F3F" w14:textId="77777777" w:rsidR="0098516A" w:rsidRPr="009D0444" w:rsidRDefault="0098516A" w:rsidP="004F7DBA">
      <w:pPr>
        <w:spacing w:after="0" w:line="240" w:lineRule="auto"/>
      </w:pPr>
    </w:p>
    <w:p w14:paraId="6CFD25A2" w14:textId="77777777" w:rsidR="00EE48A9" w:rsidRDefault="00F10ED0" w:rsidP="00EE48A9">
      <w:pPr>
        <w:rPr>
          <w:rFonts w:asciiTheme="majorHAnsi" w:eastAsiaTheme="majorEastAsia" w:hAnsiTheme="majorHAnsi" w:cstheme="majorBidi"/>
          <w:color w:val="1F4D78" w:themeColor="accent1" w:themeShade="7F"/>
          <w:sz w:val="24"/>
          <w:szCs w:val="24"/>
        </w:rPr>
        <w:sectPr w:rsidR="00EE48A9" w:rsidSect="009B07B0">
          <w:type w:val="continuous"/>
          <w:pgSz w:w="12240" w:h="15840"/>
          <w:pgMar w:top="720" w:right="720" w:bottom="720" w:left="720" w:header="720" w:footer="720" w:gutter="0"/>
          <w:cols w:num="2" w:space="720"/>
          <w:docGrid w:linePitch="360"/>
        </w:sectPr>
      </w:pPr>
      <w:r>
        <w:rPr>
          <w:noProof/>
          <w:color w:val="C00000"/>
        </w:rPr>
        <w:drawing>
          <wp:inline distT="0" distB="0" distL="0" distR="0" wp14:anchorId="0CB09CD7" wp14:editId="6E7DAB23">
            <wp:extent cx="3055620" cy="2065020"/>
            <wp:effectExtent l="0" t="0" r="0" b="0"/>
            <wp:docPr id="5" name="Chart 5" descr="Chart description: Sixty-four percent of respondents expect stable employment and 56 percent anticipate unchanged productivity.  Fifty-three percent expect stable prices.  Manufacturers were moderately optimistic about number of orders with 50 percent expecting expansion. &#10;&#10;Although diffusion indexes for most indicators were higher than 50 indicating expansion, there were lower than indexes for the previous year, suggesting that manufacturers are less optimistic for 2020 than they were for 2019.&#10;" title="Outlook on Economic Performace, 2018 Compare to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14ED5">
        <w:br/>
      </w:r>
      <w:r w:rsidR="00814ED5" w:rsidRPr="00814ED5">
        <w:rPr>
          <w:rStyle w:val="Heading3Char"/>
        </w:rPr>
        <w:t>Outlook on the State Economy</w:t>
      </w:r>
      <w:r w:rsidR="004F7DBA">
        <w:rPr>
          <w:rStyle w:val="Heading3Char"/>
        </w:rPr>
        <w:br/>
      </w:r>
      <w:r w:rsidR="004F7DBA">
        <w:br/>
      </w:r>
      <w:r w:rsidR="00814ED5" w:rsidRPr="00B57965">
        <w:t>Manufacturers</w:t>
      </w:r>
      <w:r w:rsidR="00814ED5" w:rsidRPr="00B57965">
        <w:rPr>
          <w:rStyle w:val="Heading3Char"/>
        </w:rPr>
        <w:t xml:space="preserve"> </w:t>
      </w:r>
      <w:r w:rsidR="00F573FD" w:rsidRPr="00B57965">
        <w:t>expec</w:t>
      </w:r>
      <w:r w:rsidR="00D94F3F" w:rsidRPr="00B57965">
        <w:t>t mostly</w:t>
      </w:r>
      <w:r w:rsidR="007A0AAC" w:rsidRPr="00B57965">
        <w:t xml:space="preserve"> constant </w:t>
      </w:r>
      <w:r w:rsidR="0073379A" w:rsidRPr="00B57965">
        <w:t>conditions</w:t>
      </w:r>
      <w:r w:rsidR="00740281" w:rsidRPr="00B57965">
        <w:t xml:space="preserve"> for </w:t>
      </w:r>
      <w:r w:rsidR="00D82BFD" w:rsidRPr="00B57965">
        <w:t>next year</w:t>
      </w:r>
      <w:r w:rsidR="00A71502" w:rsidRPr="00B57965">
        <w:t>. Sixty-five</w:t>
      </w:r>
      <w:r w:rsidR="00F573FD" w:rsidRPr="00B57965">
        <w:t xml:space="preserve"> percent expe</w:t>
      </w:r>
      <w:r w:rsidR="00D94F3F" w:rsidRPr="00B57965">
        <w:t xml:space="preserve">ct </w:t>
      </w:r>
      <w:r w:rsidR="00AF0C5D" w:rsidRPr="00B57965">
        <w:t>stable employment</w:t>
      </w:r>
      <w:r w:rsidR="00A71502" w:rsidRPr="00B57965">
        <w:t xml:space="preserve"> while 61</w:t>
      </w:r>
      <w:r w:rsidR="00AF0C5D" w:rsidRPr="00B57965">
        <w:t xml:space="preserve"> percent anticipate </w:t>
      </w:r>
      <w:r w:rsidR="00A71502" w:rsidRPr="00B57965">
        <w:t>unchanged consumer spending</w:t>
      </w:r>
      <w:r w:rsidR="00F573FD" w:rsidRPr="00B57965">
        <w:t xml:space="preserve">. </w:t>
      </w:r>
      <w:r w:rsidR="00A71502" w:rsidRPr="00B57965">
        <w:t xml:space="preserve">Nearly 60 percent expect economic growth, the same percent </w:t>
      </w:r>
      <w:r w:rsidR="00DF5DFD" w:rsidRPr="00B57965">
        <w:t>expect</w:t>
      </w:r>
      <w:r w:rsidR="003F6B45" w:rsidRPr="00B57965">
        <w:t>ing</w:t>
      </w:r>
      <w:r w:rsidR="00DF5DFD" w:rsidRPr="00B57965">
        <w:t xml:space="preserve"> </w:t>
      </w:r>
      <w:r w:rsidR="00F573FD" w:rsidRPr="00B57965">
        <w:t>increased inflation.</w:t>
      </w:r>
      <w:r w:rsidR="00F573FD" w:rsidRPr="00846BD5">
        <w:t xml:space="preserve"> </w:t>
      </w:r>
      <w:r w:rsidR="00FE229F" w:rsidRPr="00846BD5">
        <w:br/>
      </w:r>
      <w:r w:rsidR="00D94F3F">
        <w:br/>
      </w:r>
      <w:r w:rsidR="00DF5DFD">
        <w:br/>
      </w:r>
      <w:r w:rsidR="00F573FD" w:rsidRPr="00B57965">
        <w:lastRenderedPageBreak/>
        <w:t xml:space="preserve">A </w:t>
      </w:r>
      <w:r w:rsidR="00FE229F" w:rsidRPr="00B57965">
        <w:t xml:space="preserve">special </w:t>
      </w:r>
      <w:r w:rsidR="00F573FD" w:rsidRPr="00B57965">
        <w:t>question inquire</w:t>
      </w:r>
      <w:r w:rsidR="006449F7" w:rsidRPr="00B57965">
        <w:t>d</w:t>
      </w:r>
      <w:r w:rsidR="00AF0C5D" w:rsidRPr="00B57965">
        <w:t xml:space="preserve"> about the effect of U.S. tariffs and/or foreign countermeasures during the past year.  </w:t>
      </w:r>
      <w:r w:rsidR="007C1A84" w:rsidRPr="00B57965">
        <w:t>The majority of manufacturers reported no effect from</w:t>
      </w:r>
      <w:r w:rsidR="001F0FDF" w:rsidRPr="00B57965">
        <w:t xml:space="preserve"> U.S. tariffs for employment (81 percent), </w:t>
      </w:r>
      <w:r w:rsidR="001F0FDF" w:rsidRPr="00B57965">
        <w:t>investment (79</w:t>
      </w:r>
      <w:r w:rsidR="007C1A84" w:rsidRPr="00B57965">
        <w:t xml:space="preserve"> perc</w:t>
      </w:r>
      <w:r w:rsidR="001F0FDF" w:rsidRPr="00B57965">
        <w:t>ent) and capital expenditure (74 percent). However, 44</w:t>
      </w:r>
      <w:r w:rsidR="007C1A84" w:rsidRPr="00B57965">
        <w:t xml:space="preserve"> percent reported ne</w:t>
      </w:r>
      <w:r w:rsidR="00CA781D" w:rsidRPr="00B57965">
        <w:t>gative effect for input cost and 42 percent for revenue.</w:t>
      </w:r>
    </w:p>
    <w:p w14:paraId="46999836" w14:textId="77777777" w:rsidR="00EE48A9" w:rsidRDefault="00EE48A9" w:rsidP="00814ED5"/>
    <w:p w14:paraId="0D7119E0" w14:textId="77777777" w:rsidR="007F61A9" w:rsidRPr="00C46B75" w:rsidRDefault="001F0FDF" w:rsidP="00C46B75">
      <w:pPr>
        <w:pStyle w:val="Title"/>
        <w:jc w:val="center"/>
        <w:rPr>
          <w:color w:val="2E74B5" w:themeColor="accent1" w:themeShade="BF"/>
          <w:sz w:val="28"/>
          <w:szCs w:val="28"/>
        </w:rPr>
      </w:pPr>
      <w:r>
        <w:rPr>
          <w:color w:val="2E74B5" w:themeColor="accent1" w:themeShade="BF"/>
          <w:sz w:val="28"/>
          <w:szCs w:val="28"/>
        </w:rPr>
        <w:t>Minnesota 2019</w:t>
      </w:r>
      <w:r w:rsidR="009969EB" w:rsidRPr="009969EB">
        <w:rPr>
          <w:color w:val="2E74B5" w:themeColor="accent1" w:themeShade="BF"/>
          <w:sz w:val="28"/>
          <w:szCs w:val="28"/>
        </w:rPr>
        <w:t xml:space="preserve"> Manufacturing Business Condition Survey</w:t>
      </w:r>
      <w:r w:rsidR="009969EB">
        <w:rPr>
          <w:color w:val="2E74B5" w:themeColor="accent1" w:themeShade="BF"/>
          <w:sz w:val="28"/>
          <w:szCs w:val="28"/>
        </w:rPr>
        <w:t xml:space="preserve"> Results</w:t>
      </w:r>
      <w:r w:rsidR="009713A3" w:rsidRPr="009713A3">
        <w:rPr>
          <w:color w:val="2E74B5" w:themeColor="accent1" w:themeShade="BF"/>
          <w:sz w:val="28"/>
          <w:szCs w:val="28"/>
          <w:vertAlign w:val="superscript"/>
        </w:rPr>
        <w:t>1</w:t>
      </w:r>
    </w:p>
    <w:tbl>
      <w:tblPr>
        <w:tblStyle w:val="PlainTable5"/>
        <w:tblW w:w="10525"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Business Comparison Indicators: 2014-2015"/>
        <w:tblDescription w:val="Table coparing business indicators between 2014 and 2015."/>
      </w:tblPr>
      <w:tblGrid>
        <w:gridCol w:w="3897"/>
        <w:gridCol w:w="1338"/>
        <w:gridCol w:w="1338"/>
        <w:gridCol w:w="1338"/>
        <w:gridCol w:w="1338"/>
        <w:gridCol w:w="1276"/>
      </w:tblGrid>
      <w:tr w:rsidR="001D0139" w:rsidRPr="00623BC4" w14:paraId="490D990A"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top w:val="single" w:sz="4" w:space="0" w:color="auto"/>
              <w:bottom w:val="single" w:sz="4" w:space="0" w:color="auto"/>
              <w:right w:val="nil"/>
            </w:tcBorders>
            <w:shd w:val="clear" w:color="auto" w:fill="BDD6EE" w:themeFill="accent1" w:themeFillTint="66"/>
            <w:noWrap/>
            <w:hideMark/>
          </w:tcPr>
          <w:p w14:paraId="46FA5A13" w14:textId="77777777" w:rsidR="00A97C01" w:rsidRPr="000A28AD" w:rsidRDefault="00722892" w:rsidP="00541E4C">
            <w:pP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Business i</w:t>
            </w:r>
            <w:r w:rsidR="0065750C">
              <w:rPr>
                <w:rFonts w:asciiTheme="minorHAnsi" w:eastAsia="Times New Roman" w:hAnsiTheme="minorHAnsi" w:cs="Times New Roman"/>
                <w:b/>
                <w:bCs/>
                <w:i w:val="0"/>
                <w:color w:val="000000"/>
                <w:sz w:val="18"/>
                <w:szCs w:val="18"/>
              </w:rPr>
              <w:t>ndicators in 2019</w:t>
            </w:r>
            <w:r w:rsidR="00EE48A9">
              <w:rPr>
                <w:rFonts w:asciiTheme="minorHAnsi" w:eastAsia="Times New Roman" w:hAnsiTheme="minorHAnsi" w:cs="Times New Roman"/>
                <w:b/>
                <w:bCs/>
                <w:i w:val="0"/>
                <w:color w:val="000000"/>
                <w:sz w:val="18"/>
                <w:szCs w:val="18"/>
              </w:rPr>
              <w:t>, compared to</w:t>
            </w:r>
            <w:r w:rsidR="007C1A84">
              <w:rPr>
                <w:rFonts w:asciiTheme="minorHAnsi" w:eastAsia="Times New Roman" w:hAnsiTheme="minorHAnsi" w:cs="Times New Roman"/>
                <w:b/>
                <w:bCs/>
                <w:i w:val="0"/>
                <w:color w:val="000000"/>
                <w:sz w:val="18"/>
                <w:szCs w:val="18"/>
              </w:rPr>
              <w:t xml:space="preserve"> 201</w:t>
            </w:r>
            <w:r w:rsidR="0065750C">
              <w:rPr>
                <w:rFonts w:asciiTheme="minorHAnsi" w:eastAsia="Times New Roman" w:hAnsiTheme="minorHAnsi" w:cs="Times New Roman"/>
                <w:b/>
                <w:bCs/>
                <w:i w:val="0"/>
                <w:color w:val="000000"/>
                <w:sz w:val="18"/>
                <w:szCs w:val="18"/>
              </w:rPr>
              <w:t>8</w:t>
            </w:r>
            <w:r w:rsidR="007B16BB" w:rsidRPr="000A28AD">
              <w:rPr>
                <w:rFonts w:asciiTheme="minorHAnsi" w:eastAsia="Times New Roman" w:hAnsiTheme="minorHAnsi" w:cs="Times New Roman"/>
                <w:b/>
                <w:bCs/>
                <w:i w:val="0"/>
                <w:color w:val="000000"/>
                <w:sz w:val="18"/>
                <w:szCs w:val="18"/>
              </w:rPr>
              <w:t>:</w:t>
            </w:r>
          </w:p>
        </w:tc>
        <w:tc>
          <w:tcPr>
            <w:tcW w:w="1338" w:type="dxa"/>
            <w:tcBorders>
              <w:top w:val="single" w:sz="4" w:space="0" w:color="auto"/>
              <w:left w:val="nil"/>
              <w:bottom w:val="single" w:sz="4" w:space="0" w:color="auto"/>
            </w:tcBorders>
            <w:shd w:val="clear" w:color="auto" w:fill="BDD6EE" w:themeFill="accent1" w:themeFillTint="66"/>
            <w:noWrap/>
            <w:hideMark/>
          </w:tcPr>
          <w:p w14:paraId="0D5E717C" w14:textId="77777777" w:rsidR="00A97C01" w:rsidRPr="000A28AD" w:rsidRDefault="00A97C01" w:rsidP="00541E4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Up</w:t>
            </w:r>
          </w:p>
        </w:tc>
        <w:tc>
          <w:tcPr>
            <w:tcW w:w="1338" w:type="dxa"/>
            <w:tcBorders>
              <w:top w:val="single" w:sz="4" w:space="0" w:color="auto"/>
              <w:bottom w:val="single" w:sz="4" w:space="0" w:color="auto"/>
            </w:tcBorders>
            <w:shd w:val="clear" w:color="auto" w:fill="BDD6EE" w:themeFill="accent1" w:themeFillTint="66"/>
            <w:noWrap/>
            <w:hideMark/>
          </w:tcPr>
          <w:p w14:paraId="7B3448B5" w14:textId="77777777" w:rsidR="00A97C01" w:rsidRPr="000A28AD" w:rsidRDefault="00A97C01" w:rsidP="00541E4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Same</w:t>
            </w:r>
          </w:p>
        </w:tc>
        <w:tc>
          <w:tcPr>
            <w:tcW w:w="1338" w:type="dxa"/>
            <w:tcBorders>
              <w:top w:val="single" w:sz="4" w:space="0" w:color="auto"/>
              <w:bottom w:val="single" w:sz="4" w:space="0" w:color="auto"/>
            </w:tcBorders>
            <w:shd w:val="clear" w:color="auto" w:fill="BDD6EE" w:themeFill="accent1" w:themeFillTint="66"/>
            <w:noWrap/>
            <w:hideMark/>
          </w:tcPr>
          <w:p w14:paraId="1FD63D78" w14:textId="77777777" w:rsidR="00A97C01" w:rsidRPr="000A28AD" w:rsidRDefault="00A97C01" w:rsidP="00541E4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Down</w:t>
            </w:r>
          </w:p>
        </w:tc>
        <w:tc>
          <w:tcPr>
            <w:tcW w:w="1338" w:type="dxa"/>
            <w:tcBorders>
              <w:top w:val="single" w:sz="4" w:space="0" w:color="auto"/>
              <w:bottom w:val="single" w:sz="4" w:space="0" w:color="auto"/>
            </w:tcBorders>
            <w:shd w:val="clear" w:color="auto" w:fill="BDD6EE" w:themeFill="accent1" w:themeFillTint="66"/>
            <w:noWrap/>
            <w:hideMark/>
          </w:tcPr>
          <w:p w14:paraId="7900E5DA" w14:textId="77777777" w:rsidR="00A97C01" w:rsidRPr="000A28AD" w:rsidRDefault="00A97C01" w:rsidP="00541E4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Diffusion Index</w:t>
            </w:r>
            <w:r w:rsidR="001430BA">
              <w:rPr>
                <w:rFonts w:asciiTheme="minorHAnsi" w:eastAsia="Times New Roman" w:hAnsiTheme="minorHAnsi" w:cs="Times New Roman"/>
                <w:b/>
                <w:bCs/>
                <w:i w:val="0"/>
                <w:color w:val="000000"/>
                <w:sz w:val="18"/>
                <w:szCs w:val="18"/>
              </w:rPr>
              <w:t xml:space="preserve"> 2019</w:t>
            </w:r>
            <w:r w:rsidR="00C80C65" w:rsidRPr="000A28AD">
              <w:rPr>
                <w:rFonts w:asciiTheme="minorHAnsi" w:eastAsia="Times New Roman" w:hAnsiTheme="minorHAnsi" w:cs="Times New Roman"/>
                <w:b/>
                <w:bCs/>
                <w:i w:val="0"/>
                <w:color w:val="000000"/>
                <w:sz w:val="18"/>
                <w:szCs w:val="18"/>
                <w:vertAlign w:val="superscript"/>
              </w:rPr>
              <w:t>2)</w:t>
            </w:r>
          </w:p>
        </w:tc>
        <w:tc>
          <w:tcPr>
            <w:tcW w:w="1276" w:type="dxa"/>
            <w:tcBorders>
              <w:top w:val="single" w:sz="4" w:space="0" w:color="auto"/>
              <w:bottom w:val="single" w:sz="4" w:space="0" w:color="auto"/>
            </w:tcBorders>
            <w:shd w:val="clear" w:color="auto" w:fill="BDD6EE" w:themeFill="accent1" w:themeFillTint="66"/>
            <w:noWrap/>
            <w:hideMark/>
          </w:tcPr>
          <w:p w14:paraId="327EE46B" w14:textId="77777777" w:rsidR="00A97C01" w:rsidRPr="000A28AD" w:rsidRDefault="001430BA" w:rsidP="00541E4C">
            <w:pPr>
              <w:jc w:val="center"/>
              <w:rPr>
                <w:rFonts w:asciiTheme="minorHAnsi" w:eastAsia="Times New Roman" w:hAnsiTheme="minorHAnsi" w:cs="Times New Roman"/>
                <w:b/>
                <w:bCs/>
                <w:i w:val="0"/>
                <w:color w:val="000000"/>
                <w:sz w:val="18"/>
                <w:szCs w:val="18"/>
              </w:rPr>
            </w:pPr>
            <w:r>
              <w:rPr>
                <w:rFonts w:asciiTheme="minorHAnsi" w:eastAsia="Times New Roman" w:hAnsiTheme="minorHAnsi" w:cs="Times New Roman"/>
                <w:b/>
                <w:bCs/>
                <w:i w:val="0"/>
                <w:color w:val="000000"/>
                <w:sz w:val="18"/>
                <w:szCs w:val="18"/>
              </w:rPr>
              <w:t>Diffusion Index 2018</w:t>
            </w:r>
            <w:r w:rsidR="00C80C65" w:rsidRPr="000A28AD">
              <w:rPr>
                <w:rFonts w:asciiTheme="minorHAnsi" w:eastAsia="Times New Roman" w:hAnsiTheme="minorHAnsi" w:cs="Times New Roman"/>
                <w:b/>
                <w:bCs/>
                <w:i w:val="0"/>
                <w:color w:val="000000"/>
                <w:sz w:val="18"/>
                <w:szCs w:val="18"/>
                <w:vertAlign w:val="superscript"/>
              </w:rPr>
              <w:t>(2)</w:t>
            </w:r>
          </w:p>
        </w:tc>
      </w:tr>
      <w:tr w:rsidR="001D0139" w:rsidRPr="00C2294E" w14:paraId="7A5ABE07"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top w:val="single" w:sz="4" w:space="0" w:color="auto"/>
              <w:bottom w:val="none" w:sz="0" w:space="0" w:color="auto"/>
              <w:right w:val="nil"/>
            </w:tcBorders>
            <w:noWrap/>
            <w:hideMark/>
          </w:tcPr>
          <w:p w14:paraId="29B4E901" w14:textId="77777777" w:rsidR="00A97C01" w:rsidRPr="000A28AD" w:rsidRDefault="00A97C01" w:rsidP="00541E4C">
            <w:pPr>
              <w:rPr>
                <w:rFonts w:asciiTheme="minorHAnsi" w:eastAsia="Times New Roman" w:hAnsiTheme="minorHAnsi" w:cs="Times New Roman"/>
                <w:i w:val="0"/>
                <w:color w:val="000000"/>
                <w:sz w:val="18"/>
                <w:szCs w:val="18"/>
              </w:rPr>
            </w:pPr>
            <w:r w:rsidRPr="000A28AD">
              <w:rPr>
                <w:rFonts w:asciiTheme="minorHAnsi" w:eastAsia="Times New Roman" w:hAnsiTheme="minorHAnsi" w:cs="Times New Roman"/>
                <w:i w:val="0"/>
                <w:color w:val="000000"/>
                <w:sz w:val="18"/>
                <w:szCs w:val="18"/>
              </w:rPr>
              <w:t>Number of orders</w:t>
            </w:r>
          </w:p>
        </w:tc>
        <w:tc>
          <w:tcPr>
            <w:tcW w:w="1338" w:type="dxa"/>
            <w:tcBorders>
              <w:top w:val="single" w:sz="4" w:space="0" w:color="auto"/>
              <w:left w:val="nil"/>
              <w:bottom w:val="none" w:sz="0" w:space="0" w:color="auto"/>
            </w:tcBorders>
            <w:noWrap/>
            <w:hideMark/>
          </w:tcPr>
          <w:p w14:paraId="1C5B9312"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41</w:t>
            </w:r>
            <w:r w:rsidR="00A97C01" w:rsidRPr="00EB0D4B">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14:paraId="0025ECDD"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29</w:t>
            </w:r>
            <w:r w:rsidR="00A97C01" w:rsidRPr="00EB0D4B">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14:paraId="49FC8D29"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31</w:t>
            </w:r>
            <w:r w:rsidR="00A97C01" w:rsidRPr="00EB0D4B">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14:paraId="78C0448B"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55</w:t>
            </w:r>
          </w:p>
        </w:tc>
        <w:tc>
          <w:tcPr>
            <w:tcW w:w="1276" w:type="dxa"/>
            <w:tcBorders>
              <w:top w:val="single" w:sz="4" w:space="0" w:color="auto"/>
              <w:bottom w:val="none" w:sz="0" w:space="0" w:color="auto"/>
            </w:tcBorders>
            <w:noWrap/>
            <w:hideMark/>
          </w:tcPr>
          <w:p w14:paraId="0312913F" w14:textId="77777777" w:rsidR="00A97C01" w:rsidRPr="00EB0D4B" w:rsidRDefault="00AE697F"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6</w:t>
            </w:r>
            <w:r w:rsidR="0083658D" w:rsidRPr="00EB0D4B">
              <w:rPr>
                <w:rFonts w:asciiTheme="minorHAnsi" w:eastAsia="Times New Roman" w:hAnsiTheme="minorHAnsi" w:cs="Times New Roman"/>
                <w:i w:val="0"/>
                <w:color w:val="000000"/>
                <w:sz w:val="18"/>
                <w:szCs w:val="18"/>
              </w:rPr>
              <w:t>9</w:t>
            </w:r>
          </w:p>
        </w:tc>
      </w:tr>
      <w:tr w:rsidR="001D0139" w:rsidRPr="00C2294E" w14:paraId="72BB460E"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06390FD4" w14:textId="77777777" w:rsidR="00A97C01" w:rsidRPr="000A28AD" w:rsidRDefault="00A97C01" w:rsidP="00541E4C">
            <w:pPr>
              <w:rPr>
                <w:rFonts w:asciiTheme="minorHAnsi" w:eastAsia="Times New Roman" w:hAnsiTheme="minorHAnsi" w:cs="Times New Roman"/>
                <w:i w:val="0"/>
                <w:color w:val="000000"/>
                <w:sz w:val="18"/>
                <w:szCs w:val="18"/>
              </w:rPr>
            </w:pPr>
            <w:r w:rsidRPr="000A28AD">
              <w:rPr>
                <w:rFonts w:asciiTheme="minorHAnsi" w:eastAsia="Times New Roman" w:hAnsiTheme="minorHAnsi" w:cs="Times New Roman"/>
                <w:i w:val="0"/>
                <w:color w:val="000000"/>
                <w:sz w:val="18"/>
                <w:szCs w:val="18"/>
              </w:rPr>
              <w:t>Product/service production level</w:t>
            </w:r>
          </w:p>
        </w:tc>
        <w:tc>
          <w:tcPr>
            <w:tcW w:w="1338" w:type="dxa"/>
            <w:tcBorders>
              <w:left w:val="nil"/>
              <w:bottom w:val="none" w:sz="0" w:space="0" w:color="auto"/>
            </w:tcBorders>
            <w:noWrap/>
            <w:hideMark/>
          </w:tcPr>
          <w:p w14:paraId="5620F72E"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37</w:t>
            </w:r>
            <w:r w:rsidR="00A97C01" w:rsidRPr="00EB0D4B">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49B77E45"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37</w:t>
            </w:r>
            <w:r w:rsidR="00A97C01" w:rsidRPr="00EB0D4B">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1F73FFC0"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26</w:t>
            </w:r>
            <w:r w:rsidR="00A97C01" w:rsidRPr="00EB0D4B">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402724B1"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56</w:t>
            </w:r>
          </w:p>
        </w:tc>
        <w:tc>
          <w:tcPr>
            <w:tcW w:w="1276" w:type="dxa"/>
            <w:tcBorders>
              <w:bottom w:val="none" w:sz="0" w:space="0" w:color="auto"/>
            </w:tcBorders>
            <w:noWrap/>
            <w:hideMark/>
          </w:tcPr>
          <w:p w14:paraId="38B78021" w14:textId="77777777" w:rsidR="00A97C01" w:rsidRPr="00EB0D4B" w:rsidRDefault="00AE697F"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7</w:t>
            </w:r>
            <w:r w:rsidR="0083658D" w:rsidRPr="00EB0D4B">
              <w:rPr>
                <w:rFonts w:asciiTheme="minorHAnsi" w:eastAsia="Times New Roman" w:hAnsiTheme="minorHAnsi" w:cs="Times New Roman"/>
                <w:i w:val="0"/>
                <w:color w:val="000000"/>
                <w:sz w:val="18"/>
                <w:szCs w:val="18"/>
              </w:rPr>
              <w:t>1</w:t>
            </w:r>
          </w:p>
        </w:tc>
      </w:tr>
      <w:tr w:rsidR="001D0139" w:rsidRPr="00C2294E" w14:paraId="226311A0"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157B7FA6" w14:textId="77777777" w:rsidR="00A97C01" w:rsidRPr="000A28AD" w:rsidRDefault="00A97C01" w:rsidP="00541E4C">
            <w:pPr>
              <w:rPr>
                <w:rFonts w:asciiTheme="minorHAnsi" w:eastAsia="Times New Roman" w:hAnsiTheme="minorHAnsi" w:cs="Times New Roman"/>
                <w:i w:val="0"/>
                <w:color w:val="000000"/>
                <w:sz w:val="18"/>
                <w:szCs w:val="18"/>
              </w:rPr>
            </w:pPr>
            <w:r w:rsidRPr="000A28AD">
              <w:rPr>
                <w:rFonts w:asciiTheme="minorHAnsi" w:eastAsia="Times New Roman" w:hAnsiTheme="minorHAnsi" w:cs="Times New Roman"/>
                <w:i w:val="0"/>
                <w:color w:val="000000"/>
                <w:sz w:val="18"/>
                <w:szCs w:val="18"/>
              </w:rPr>
              <w:t>Employment level</w:t>
            </w:r>
          </w:p>
        </w:tc>
        <w:tc>
          <w:tcPr>
            <w:tcW w:w="1338" w:type="dxa"/>
            <w:tcBorders>
              <w:left w:val="nil"/>
              <w:bottom w:val="none" w:sz="0" w:space="0" w:color="auto"/>
            </w:tcBorders>
            <w:noWrap/>
            <w:hideMark/>
          </w:tcPr>
          <w:p w14:paraId="3DDCC0D2"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29</w:t>
            </w:r>
            <w:r w:rsidR="00A97C01" w:rsidRPr="00EB0D4B">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58DE16FF"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44</w:t>
            </w:r>
            <w:r w:rsidR="00A97C01" w:rsidRPr="00EB0D4B">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5B252541"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27</w:t>
            </w:r>
            <w:r w:rsidR="00A97C01" w:rsidRPr="00EB0D4B">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3B1308AD"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51</w:t>
            </w:r>
          </w:p>
        </w:tc>
        <w:tc>
          <w:tcPr>
            <w:tcW w:w="1276" w:type="dxa"/>
            <w:tcBorders>
              <w:bottom w:val="none" w:sz="0" w:space="0" w:color="auto"/>
            </w:tcBorders>
            <w:noWrap/>
            <w:hideMark/>
          </w:tcPr>
          <w:p w14:paraId="6440BB6C" w14:textId="77777777" w:rsidR="00A97C01" w:rsidRPr="00EB0D4B" w:rsidRDefault="00AE697F"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6</w:t>
            </w:r>
            <w:r w:rsidR="001430BA" w:rsidRPr="00EB0D4B">
              <w:rPr>
                <w:rFonts w:asciiTheme="minorHAnsi" w:eastAsia="Times New Roman" w:hAnsiTheme="minorHAnsi" w:cs="Times New Roman"/>
                <w:i w:val="0"/>
                <w:color w:val="000000"/>
                <w:sz w:val="18"/>
                <w:szCs w:val="18"/>
              </w:rPr>
              <w:t>4</w:t>
            </w:r>
          </w:p>
        </w:tc>
      </w:tr>
      <w:tr w:rsidR="001D0139" w:rsidRPr="00C2294E" w14:paraId="46FDBABE"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4DA7F679" w14:textId="77777777" w:rsidR="00A97C01" w:rsidRPr="000A28AD" w:rsidRDefault="00A97C01" w:rsidP="00541E4C">
            <w:pPr>
              <w:rPr>
                <w:rFonts w:asciiTheme="minorHAnsi" w:eastAsia="Times New Roman" w:hAnsiTheme="minorHAnsi" w:cs="Times New Roman"/>
                <w:i w:val="0"/>
                <w:color w:val="000000"/>
                <w:sz w:val="18"/>
                <w:szCs w:val="18"/>
              </w:rPr>
            </w:pPr>
            <w:r w:rsidRPr="000A28AD">
              <w:rPr>
                <w:rFonts w:asciiTheme="minorHAnsi" w:eastAsia="Times New Roman" w:hAnsiTheme="minorHAnsi" w:cs="Times New Roman"/>
                <w:i w:val="0"/>
                <w:color w:val="000000"/>
                <w:sz w:val="18"/>
                <w:szCs w:val="18"/>
              </w:rPr>
              <w:t>Investment in plant/equipment</w:t>
            </w:r>
          </w:p>
        </w:tc>
        <w:tc>
          <w:tcPr>
            <w:tcW w:w="1338" w:type="dxa"/>
            <w:tcBorders>
              <w:left w:val="nil"/>
              <w:bottom w:val="none" w:sz="0" w:space="0" w:color="auto"/>
            </w:tcBorders>
            <w:noWrap/>
            <w:hideMark/>
          </w:tcPr>
          <w:p w14:paraId="3FA76782"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43</w:t>
            </w:r>
            <w:r w:rsidR="00A97C01" w:rsidRPr="00EB0D4B">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143AC11E"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37</w:t>
            </w:r>
            <w:r w:rsidR="00A97C01" w:rsidRPr="00EB0D4B">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2D0F5C0A"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20</w:t>
            </w:r>
            <w:r w:rsidR="00A97C01" w:rsidRPr="00EB0D4B">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414AB1B1"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61</w:t>
            </w:r>
          </w:p>
        </w:tc>
        <w:tc>
          <w:tcPr>
            <w:tcW w:w="1276" w:type="dxa"/>
            <w:tcBorders>
              <w:bottom w:val="none" w:sz="0" w:space="0" w:color="auto"/>
            </w:tcBorders>
            <w:noWrap/>
            <w:hideMark/>
          </w:tcPr>
          <w:p w14:paraId="698FA6C5"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67</w:t>
            </w:r>
          </w:p>
        </w:tc>
      </w:tr>
      <w:tr w:rsidR="001D0139" w:rsidRPr="00C2294E" w14:paraId="0AE942E7"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0EF1E970" w14:textId="77777777" w:rsidR="00A97C01" w:rsidRPr="000A28AD" w:rsidRDefault="00A97C01" w:rsidP="00541E4C">
            <w:pPr>
              <w:rPr>
                <w:rFonts w:asciiTheme="minorHAnsi" w:eastAsia="Times New Roman" w:hAnsiTheme="minorHAnsi" w:cs="Times New Roman"/>
                <w:i w:val="0"/>
                <w:color w:val="000000"/>
                <w:sz w:val="18"/>
                <w:szCs w:val="18"/>
              </w:rPr>
            </w:pPr>
            <w:r w:rsidRPr="000A28AD">
              <w:rPr>
                <w:rFonts w:asciiTheme="minorHAnsi" w:eastAsia="Times New Roman" w:hAnsiTheme="minorHAnsi" w:cs="Times New Roman"/>
                <w:i w:val="0"/>
                <w:color w:val="000000"/>
                <w:sz w:val="18"/>
                <w:szCs w:val="18"/>
              </w:rPr>
              <w:t>Prices</w:t>
            </w:r>
          </w:p>
        </w:tc>
        <w:tc>
          <w:tcPr>
            <w:tcW w:w="1338" w:type="dxa"/>
            <w:tcBorders>
              <w:left w:val="nil"/>
              <w:bottom w:val="none" w:sz="0" w:space="0" w:color="auto"/>
            </w:tcBorders>
            <w:noWrap/>
            <w:hideMark/>
          </w:tcPr>
          <w:p w14:paraId="71951C11"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38</w:t>
            </w:r>
            <w:r w:rsidR="00A97C01" w:rsidRPr="00EB0D4B">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0062A2BA"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52</w:t>
            </w:r>
            <w:r w:rsidR="00A97C01" w:rsidRPr="00EB0D4B">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309786F"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10</w:t>
            </w:r>
            <w:r w:rsidR="00A97C01" w:rsidRPr="00EB0D4B">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7D5E235F"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64</w:t>
            </w:r>
          </w:p>
        </w:tc>
        <w:tc>
          <w:tcPr>
            <w:tcW w:w="1276" w:type="dxa"/>
            <w:tcBorders>
              <w:bottom w:val="none" w:sz="0" w:space="0" w:color="auto"/>
            </w:tcBorders>
            <w:noWrap/>
            <w:hideMark/>
          </w:tcPr>
          <w:p w14:paraId="1F7FF511"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75</w:t>
            </w:r>
          </w:p>
        </w:tc>
      </w:tr>
      <w:tr w:rsidR="001D0139" w:rsidRPr="00C2294E" w14:paraId="185C47CD"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31B85476" w14:textId="77777777" w:rsidR="00A97C01" w:rsidRPr="000A28AD" w:rsidRDefault="00A97C01" w:rsidP="00541E4C">
            <w:pPr>
              <w:rPr>
                <w:rFonts w:asciiTheme="minorHAnsi" w:eastAsia="Times New Roman" w:hAnsiTheme="minorHAnsi" w:cs="Times New Roman"/>
                <w:i w:val="0"/>
                <w:color w:val="000000"/>
                <w:sz w:val="18"/>
                <w:szCs w:val="18"/>
              </w:rPr>
            </w:pPr>
            <w:r w:rsidRPr="000A28AD">
              <w:rPr>
                <w:rFonts w:asciiTheme="minorHAnsi" w:eastAsia="Times New Roman" w:hAnsiTheme="minorHAnsi" w:cs="Times New Roman"/>
                <w:i w:val="0"/>
                <w:color w:val="000000"/>
                <w:sz w:val="18"/>
                <w:szCs w:val="18"/>
              </w:rPr>
              <w:t>Profits</w:t>
            </w:r>
          </w:p>
        </w:tc>
        <w:tc>
          <w:tcPr>
            <w:tcW w:w="1338" w:type="dxa"/>
            <w:tcBorders>
              <w:left w:val="nil"/>
              <w:bottom w:val="none" w:sz="0" w:space="0" w:color="auto"/>
            </w:tcBorders>
            <w:noWrap/>
            <w:hideMark/>
          </w:tcPr>
          <w:p w14:paraId="078D03B8"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29</w:t>
            </w:r>
            <w:r w:rsidR="00A97C01" w:rsidRPr="00EB0D4B">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47D45CF2"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33</w:t>
            </w:r>
            <w:r w:rsidR="00A97C01" w:rsidRPr="00EB0D4B">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38FE851C" w14:textId="77777777" w:rsidR="00A97C01" w:rsidRPr="00EB0D4B" w:rsidRDefault="00AE697F" w:rsidP="001430BA">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3</w:t>
            </w:r>
            <w:r w:rsidR="001430BA" w:rsidRPr="00EB0D4B">
              <w:rPr>
                <w:rFonts w:asciiTheme="minorHAnsi" w:eastAsia="Times New Roman" w:hAnsiTheme="minorHAnsi" w:cs="Times New Roman"/>
                <w:i w:val="0"/>
                <w:color w:val="000000"/>
                <w:sz w:val="18"/>
                <w:szCs w:val="18"/>
              </w:rPr>
              <w:t>8</w:t>
            </w:r>
            <w:r w:rsidR="00A97C01" w:rsidRPr="00EB0D4B">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17454ACE"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46</w:t>
            </w:r>
          </w:p>
        </w:tc>
        <w:tc>
          <w:tcPr>
            <w:tcW w:w="1276" w:type="dxa"/>
            <w:tcBorders>
              <w:bottom w:val="none" w:sz="0" w:space="0" w:color="auto"/>
            </w:tcBorders>
            <w:noWrap/>
            <w:hideMark/>
          </w:tcPr>
          <w:p w14:paraId="58538D30"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50</w:t>
            </w:r>
          </w:p>
        </w:tc>
      </w:tr>
      <w:tr w:rsidR="001D0139" w:rsidRPr="00C2294E" w14:paraId="1CF46F9E"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273B4363" w14:textId="77777777" w:rsidR="00A97C01" w:rsidRPr="000A28AD" w:rsidRDefault="00A97C01" w:rsidP="00541E4C">
            <w:pPr>
              <w:rPr>
                <w:rFonts w:asciiTheme="minorHAnsi" w:eastAsia="Times New Roman" w:hAnsiTheme="minorHAnsi" w:cs="Times New Roman"/>
                <w:i w:val="0"/>
                <w:color w:val="000000"/>
                <w:sz w:val="18"/>
                <w:szCs w:val="18"/>
              </w:rPr>
            </w:pPr>
            <w:r w:rsidRPr="000A28AD">
              <w:rPr>
                <w:rFonts w:asciiTheme="minorHAnsi" w:eastAsia="Times New Roman" w:hAnsiTheme="minorHAnsi" w:cs="Times New Roman"/>
                <w:i w:val="0"/>
                <w:color w:val="000000"/>
                <w:sz w:val="18"/>
                <w:szCs w:val="18"/>
              </w:rPr>
              <w:t>Productivity</w:t>
            </w:r>
          </w:p>
        </w:tc>
        <w:tc>
          <w:tcPr>
            <w:tcW w:w="1338" w:type="dxa"/>
            <w:tcBorders>
              <w:left w:val="nil"/>
              <w:bottom w:val="none" w:sz="0" w:space="0" w:color="auto"/>
            </w:tcBorders>
            <w:noWrap/>
            <w:hideMark/>
          </w:tcPr>
          <w:p w14:paraId="2795047C"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35</w:t>
            </w:r>
            <w:r w:rsidR="00A97C01" w:rsidRPr="00EB0D4B">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1AD9C285"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48</w:t>
            </w:r>
            <w:r w:rsidR="00A97C01" w:rsidRPr="00EB0D4B">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2F082802"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17</w:t>
            </w:r>
            <w:r w:rsidR="00A97C01" w:rsidRPr="00EB0D4B">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6F39756"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59</w:t>
            </w:r>
          </w:p>
        </w:tc>
        <w:tc>
          <w:tcPr>
            <w:tcW w:w="1276" w:type="dxa"/>
            <w:tcBorders>
              <w:bottom w:val="none" w:sz="0" w:space="0" w:color="auto"/>
            </w:tcBorders>
            <w:noWrap/>
            <w:hideMark/>
          </w:tcPr>
          <w:p w14:paraId="2A01AA71"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63</w:t>
            </w:r>
          </w:p>
        </w:tc>
      </w:tr>
      <w:tr w:rsidR="001D0139" w:rsidRPr="009423A3" w14:paraId="5AD877FD"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single" w:sz="4" w:space="0" w:color="auto"/>
              <w:right w:val="nil"/>
            </w:tcBorders>
            <w:noWrap/>
            <w:hideMark/>
          </w:tcPr>
          <w:p w14:paraId="686ACD93" w14:textId="77777777" w:rsidR="00A97C01" w:rsidRPr="009423A3" w:rsidRDefault="00A97C01" w:rsidP="00541E4C">
            <w:pPr>
              <w:rPr>
                <w:rFonts w:asciiTheme="minorHAnsi" w:eastAsia="Times New Roman" w:hAnsiTheme="minorHAnsi" w:cs="Times New Roman"/>
                <w:b/>
                <w:i w:val="0"/>
                <w:color w:val="000000"/>
                <w:sz w:val="18"/>
                <w:szCs w:val="18"/>
              </w:rPr>
            </w:pPr>
            <w:r w:rsidRPr="009423A3">
              <w:rPr>
                <w:rFonts w:asciiTheme="minorHAnsi" w:eastAsia="Times New Roman" w:hAnsiTheme="minorHAnsi" w:cs="Times New Roman"/>
                <w:b/>
                <w:i w:val="0"/>
                <w:color w:val="000000"/>
                <w:sz w:val="18"/>
                <w:szCs w:val="18"/>
              </w:rPr>
              <w:t>Exports</w:t>
            </w:r>
          </w:p>
        </w:tc>
        <w:tc>
          <w:tcPr>
            <w:tcW w:w="1338" w:type="dxa"/>
            <w:tcBorders>
              <w:left w:val="nil"/>
              <w:bottom w:val="none" w:sz="0" w:space="0" w:color="auto"/>
            </w:tcBorders>
            <w:noWrap/>
            <w:hideMark/>
          </w:tcPr>
          <w:p w14:paraId="645D5DB0"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13</w:t>
            </w:r>
            <w:r w:rsidR="00A97C01" w:rsidRPr="00EB0D4B">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CE0083E"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59</w:t>
            </w:r>
            <w:r w:rsidR="00A97C01" w:rsidRPr="00EB0D4B">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9A93486"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28</w:t>
            </w:r>
            <w:r w:rsidR="00A97C01" w:rsidRPr="00EB0D4B">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1B50D837"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43</w:t>
            </w:r>
          </w:p>
        </w:tc>
        <w:tc>
          <w:tcPr>
            <w:tcW w:w="1276" w:type="dxa"/>
            <w:tcBorders>
              <w:bottom w:val="none" w:sz="0" w:space="0" w:color="auto"/>
            </w:tcBorders>
            <w:noWrap/>
            <w:hideMark/>
          </w:tcPr>
          <w:p w14:paraId="0783802A" w14:textId="77777777" w:rsidR="00A97C01" w:rsidRPr="00EB0D4B" w:rsidRDefault="001430BA" w:rsidP="00E647F4">
            <w:pPr>
              <w:jc w:val="center"/>
              <w:rPr>
                <w:rFonts w:asciiTheme="minorHAnsi" w:eastAsia="Times New Roman" w:hAnsiTheme="minorHAnsi" w:cs="Times New Roman"/>
                <w:i w:val="0"/>
                <w:color w:val="000000"/>
                <w:sz w:val="18"/>
                <w:szCs w:val="18"/>
              </w:rPr>
            </w:pPr>
            <w:r w:rsidRPr="00EB0D4B">
              <w:rPr>
                <w:rFonts w:asciiTheme="minorHAnsi" w:eastAsia="Times New Roman" w:hAnsiTheme="minorHAnsi" w:cs="Times New Roman"/>
                <w:i w:val="0"/>
                <w:color w:val="000000"/>
                <w:sz w:val="18"/>
                <w:szCs w:val="18"/>
              </w:rPr>
              <w:t>58</w:t>
            </w:r>
          </w:p>
        </w:tc>
      </w:tr>
    </w:tbl>
    <w:p w14:paraId="3D800F9C" w14:textId="77777777" w:rsidR="00A97C01" w:rsidRPr="009423A3" w:rsidRDefault="00A97C01" w:rsidP="000A28AD">
      <w:pPr>
        <w:spacing w:after="0" w:line="120" w:lineRule="auto"/>
        <w:contextualSpacing/>
        <w:rPr>
          <w:b/>
        </w:rPr>
      </w:pPr>
    </w:p>
    <w:tbl>
      <w:tblPr>
        <w:tblStyle w:val="PlainTable4"/>
        <w:tblW w:w="1052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Comparison Worker's Indicators, 2014-2015"/>
        <w:tblDescription w:val="Table comparing workers indicators 2014-2014-2015"/>
      </w:tblPr>
      <w:tblGrid>
        <w:gridCol w:w="2880"/>
        <w:gridCol w:w="902"/>
        <w:gridCol w:w="1334"/>
        <w:gridCol w:w="1350"/>
        <w:gridCol w:w="1350"/>
        <w:gridCol w:w="1350"/>
        <w:gridCol w:w="1355"/>
      </w:tblGrid>
      <w:tr w:rsidR="00E647F4" w:rsidRPr="000F78D4" w14:paraId="65AE797F"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right w:val="nil"/>
            </w:tcBorders>
            <w:shd w:val="clear" w:color="auto" w:fill="BDD6EE" w:themeFill="accent1" w:themeFillTint="66"/>
            <w:noWrap/>
            <w:hideMark/>
          </w:tcPr>
          <w:p w14:paraId="74E3A052" w14:textId="77777777" w:rsidR="00A97C01" w:rsidRPr="000A28AD" w:rsidRDefault="00722892"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Labor i</w:t>
            </w:r>
            <w:r w:rsidR="0065750C">
              <w:rPr>
                <w:rFonts w:ascii="Calibri" w:eastAsia="Times New Roman" w:hAnsi="Calibri" w:cs="Times New Roman"/>
                <w:color w:val="000000"/>
                <w:sz w:val="18"/>
                <w:szCs w:val="18"/>
              </w:rPr>
              <w:t>ndicators in 2019, compared to 2018</w:t>
            </w:r>
            <w:r w:rsidR="00531B2D" w:rsidRPr="000A28AD">
              <w:rPr>
                <w:rFonts w:ascii="Calibri" w:eastAsia="Times New Roman" w:hAnsi="Calibri" w:cs="Times New Roman"/>
                <w:color w:val="000000"/>
                <w:sz w:val="18"/>
                <w:szCs w:val="18"/>
              </w:rPr>
              <w:t>:</w:t>
            </w:r>
          </w:p>
        </w:tc>
        <w:tc>
          <w:tcPr>
            <w:tcW w:w="902" w:type="dxa"/>
            <w:tcBorders>
              <w:top w:val="single" w:sz="4" w:space="0" w:color="auto"/>
              <w:left w:val="nil"/>
              <w:bottom w:val="single" w:sz="4" w:space="0" w:color="auto"/>
            </w:tcBorders>
            <w:shd w:val="clear" w:color="auto" w:fill="BDD6EE" w:themeFill="accent1" w:themeFillTint="66"/>
            <w:noWrap/>
            <w:hideMark/>
          </w:tcPr>
          <w:p w14:paraId="5B8A6306"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Decrease</w:t>
            </w:r>
          </w:p>
        </w:tc>
        <w:tc>
          <w:tcPr>
            <w:tcW w:w="1334" w:type="dxa"/>
            <w:tcBorders>
              <w:top w:val="single" w:sz="4" w:space="0" w:color="auto"/>
              <w:bottom w:val="single" w:sz="4" w:space="0" w:color="auto"/>
            </w:tcBorders>
            <w:shd w:val="clear" w:color="auto" w:fill="BDD6EE" w:themeFill="accent1" w:themeFillTint="66"/>
            <w:noWrap/>
            <w:hideMark/>
          </w:tcPr>
          <w:p w14:paraId="6705B31F"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0</w:t>
            </w:r>
            <w:r w:rsidR="00FF2E6D">
              <w:rPr>
                <w:rFonts w:ascii="Calibri" w:eastAsia="Times New Roman" w:hAnsi="Calibri" w:cs="Times New Roman"/>
                <w:color w:val="000000"/>
                <w:sz w:val="18"/>
                <w:szCs w:val="18"/>
              </w:rPr>
              <w:t>%</w:t>
            </w:r>
          </w:p>
        </w:tc>
        <w:tc>
          <w:tcPr>
            <w:tcW w:w="1350" w:type="dxa"/>
            <w:tcBorders>
              <w:top w:val="single" w:sz="4" w:space="0" w:color="auto"/>
              <w:bottom w:val="single" w:sz="4" w:space="0" w:color="auto"/>
            </w:tcBorders>
            <w:shd w:val="clear" w:color="auto" w:fill="BDD6EE" w:themeFill="accent1" w:themeFillTint="66"/>
            <w:noWrap/>
            <w:hideMark/>
          </w:tcPr>
          <w:p w14:paraId="60B59336"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1-2%</w:t>
            </w:r>
          </w:p>
        </w:tc>
        <w:tc>
          <w:tcPr>
            <w:tcW w:w="1350" w:type="dxa"/>
            <w:tcBorders>
              <w:top w:val="single" w:sz="4" w:space="0" w:color="auto"/>
              <w:bottom w:val="single" w:sz="4" w:space="0" w:color="auto"/>
            </w:tcBorders>
            <w:shd w:val="clear" w:color="auto" w:fill="BDD6EE" w:themeFill="accent1" w:themeFillTint="66"/>
            <w:noWrap/>
            <w:hideMark/>
          </w:tcPr>
          <w:p w14:paraId="30DD6E7D"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3-5%</w:t>
            </w:r>
          </w:p>
        </w:tc>
        <w:tc>
          <w:tcPr>
            <w:tcW w:w="1350" w:type="dxa"/>
            <w:tcBorders>
              <w:top w:val="single" w:sz="4" w:space="0" w:color="auto"/>
              <w:bottom w:val="single" w:sz="4" w:space="0" w:color="auto"/>
            </w:tcBorders>
            <w:shd w:val="clear" w:color="auto" w:fill="BDD6EE" w:themeFill="accent1" w:themeFillTint="66"/>
            <w:noWrap/>
            <w:hideMark/>
          </w:tcPr>
          <w:p w14:paraId="39E46C28"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6-9%</w:t>
            </w:r>
          </w:p>
        </w:tc>
        <w:tc>
          <w:tcPr>
            <w:tcW w:w="1355" w:type="dxa"/>
            <w:tcBorders>
              <w:top w:val="single" w:sz="4" w:space="0" w:color="auto"/>
              <w:bottom w:val="single" w:sz="4" w:space="0" w:color="auto"/>
            </w:tcBorders>
            <w:shd w:val="clear" w:color="auto" w:fill="BDD6EE" w:themeFill="accent1" w:themeFillTint="66"/>
            <w:noWrap/>
            <w:hideMark/>
          </w:tcPr>
          <w:p w14:paraId="0B15FD98"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&gt;10%</w:t>
            </w:r>
          </w:p>
        </w:tc>
      </w:tr>
      <w:tr w:rsidR="001D0139" w:rsidRPr="000F78D4" w14:paraId="6D50DE89"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nil"/>
              <w:right w:val="nil"/>
            </w:tcBorders>
            <w:noWrap/>
            <w:hideMark/>
          </w:tcPr>
          <w:p w14:paraId="7177EFB3" w14:textId="77777777"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Wages per worker</w:t>
            </w:r>
          </w:p>
        </w:tc>
        <w:tc>
          <w:tcPr>
            <w:tcW w:w="902" w:type="dxa"/>
            <w:tcBorders>
              <w:top w:val="single" w:sz="4" w:space="0" w:color="auto"/>
              <w:left w:val="nil"/>
            </w:tcBorders>
            <w:noWrap/>
            <w:hideMark/>
          </w:tcPr>
          <w:p w14:paraId="21339BD1" w14:textId="77777777" w:rsidR="00A97C01" w:rsidRPr="00EB0D4B" w:rsidRDefault="001430BA"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EB0D4B">
              <w:rPr>
                <w:rFonts w:ascii="Calibri" w:eastAsia="Times New Roman" w:hAnsi="Calibri" w:cs="Times New Roman"/>
                <w:b w:val="0"/>
                <w:color w:val="000000"/>
                <w:sz w:val="18"/>
                <w:szCs w:val="18"/>
              </w:rPr>
              <w:t>1</w:t>
            </w:r>
            <w:r w:rsidR="00A97C01" w:rsidRPr="00EB0D4B">
              <w:rPr>
                <w:rFonts w:ascii="Calibri" w:eastAsia="Times New Roman" w:hAnsi="Calibri" w:cs="Times New Roman"/>
                <w:b w:val="0"/>
                <w:color w:val="000000"/>
                <w:sz w:val="18"/>
                <w:szCs w:val="18"/>
              </w:rPr>
              <w:t>%</w:t>
            </w:r>
          </w:p>
        </w:tc>
        <w:tc>
          <w:tcPr>
            <w:tcW w:w="1334" w:type="dxa"/>
            <w:tcBorders>
              <w:top w:val="single" w:sz="4" w:space="0" w:color="auto"/>
            </w:tcBorders>
            <w:noWrap/>
            <w:hideMark/>
          </w:tcPr>
          <w:p w14:paraId="53ED6915" w14:textId="77777777" w:rsidR="00A97C01" w:rsidRPr="00EB0D4B" w:rsidRDefault="00650F60"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EB0D4B">
              <w:rPr>
                <w:rFonts w:ascii="Calibri" w:eastAsia="Times New Roman" w:hAnsi="Calibri" w:cs="Times New Roman"/>
                <w:b w:val="0"/>
                <w:color w:val="000000"/>
                <w:sz w:val="18"/>
                <w:szCs w:val="18"/>
              </w:rPr>
              <w:t>14</w:t>
            </w:r>
            <w:r w:rsidR="00A97C01" w:rsidRPr="00EB0D4B">
              <w:rPr>
                <w:rFonts w:ascii="Calibri" w:eastAsia="Times New Roman" w:hAnsi="Calibri" w:cs="Times New Roman"/>
                <w:b w:val="0"/>
                <w:color w:val="000000"/>
                <w:sz w:val="18"/>
                <w:szCs w:val="18"/>
              </w:rPr>
              <w:t>%</w:t>
            </w:r>
          </w:p>
        </w:tc>
        <w:tc>
          <w:tcPr>
            <w:tcW w:w="1350" w:type="dxa"/>
            <w:tcBorders>
              <w:top w:val="single" w:sz="4" w:space="0" w:color="auto"/>
            </w:tcBorders>
            <w:noWrap/>
            <w:hideMark/>
          </w:tcPr>
          <w:p w14:paraId="55E52165" w14:textId="77777777" w:rsidR="00A97C01" w:rsidRPr="00EB0D4B" w:rsidRDefault="001430BA"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EB0D4B">
              <w:rPr>
                <w:rFonts w:ascii="Calibri" w:eastAsia="Times New Roman" w:hAnsi="Calibri" w:cs="Times New Roman"/>
                <w:b w:val="0"/>
                <w:color w:val="000000"/>
                <w:sz w:val="18"/>
                <w:szCs w:val="18"/>
              </w:rPr>
              <w:t>27</w:t>
            </w:r>
            <w:r w:rsidR="00A97C01" w:rsidRPr="00EB0D4B">
              <w:rPr>
                <w:rFonts w:ascii="Calibri" w:eastAsia="Times New Roman" w:hAnsi="Calibri" w:cs="Times New Roman"/>
                <w:b w:val="0"/>
                <w:color w:val="000000"/>
                <w:sz w:val="18"/>
                <w:szCs w:val="18"/>
              </w:rPr>
              <w:t>%</w:t>
            </w:r>
          </w:p>
        </w:tc>
        <w:tc>
          <w:tcPr>
            <w:tcW w:w="1350" w:type="dxa"/>
            <w:tcBorders>
              <w:top w:val="single" w:sz="4" w:space="0" w:color="auto"/>
            </w:tcBorders>
            <w:noWrap/>
            <w:hideMark/>
          </w:tcPr>
          <w:p w14:paraId="523F0691" w14:textId="77777777" w:rsidR="00A97C01" w:rsidRPr="00EB0D4B" w:rsidRDefault="001430BA"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EB0D4B">
              <w:rPr>
                <w:rFonts w:ascii="Calibri" w:eastAsia="Times New Roman" w:hAnsi="Calibri" w:cs="Times New Roman"/>
                <w:b w:val="0"/>
                <w:color w:val="000000"/>
                <w:sz w:val="18"/>
                <w:szCs w:val="18"/>
              </w:rPr>
              <w:t>47</w:t>
            </w:r>
            <w:r w:rsidR="00A97C01" w:rsidRPr="00EB0D4B">
              <w:rPr>
                <w:rFonts w:ascii="Calibri" w:eastAsia="Times New Roman" w:hAnsi="Calibri" w:cs="Times New Roman"/>
                <w:b w:val="0"/>
                <w:color w:val="000000"/>
                <w:sz w:val="18"/>
                <w:szCs w:val="18"/>
              </w:rPr>
              <w:t>%</w:t>
            </w:r>
          </w:p>
        </w:tc>
        <w:tc>
          <w:tcPr>
            <w:tcW w:w="1350" w:type="dxa"/>
            <w:tcBorders>
              <w:top w:val="single" w:sz="4" w:space="0" w:color="auto"/>
            </w:tcBorders>
            <w:noWrap/>
            <w:hideMark/>
          </w:tcPr>
          <w:p w14:paraId="56EBD193" w14:textId="77777777" w:rsidR="00A97C01" w:rsidRPr="00EB0D4B" w:rsidRDefault="00AE697F"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EB0D4B">
              <w:rPr>
                <w:rFonts w:ascii="Calibri" w:eastAsia="Times New Roman" w:hAnsi="Calibri" w:cs="Times New Roman"/>
                <w:b w:val="0"/>
                <w:color w:val="000000"/>
                <w:sz w:val="18"/>
                <w:szCs w:val="18"/>
              </w:rPr>
              <w:t>5</w:t>
            </w:r>
            <w:r w:rsidR="00A97C01" w:rsidRPr="00EB0D4B">
              <w:rPr>
                <w:rFonts w:ascii="Calibri" w:eastAsia="Times New Roman" w:hAnsi="Calibri" w:cs="Times New Roman"/>
                <w:b w:val="0"/>
                <w:color w:val="000000"/>
                <w:sz w:val="18"/>
                <w:szCs w:val="18"/>
              </w:rPr>
              <w:t>%</w:t>
            </w:r>
          </w:p>
        </w:tc>
        <w:tc>
          <w:tcPr>
            <w:tcW w:w="1355" w:type="dxa"/>
            <w:tcBorders>
              <w:top w:val="single" w:sz="4" w:space="0" w:color="auto"/>
            </w:tcBorders>
            <w:noWrap/>
            <w:hideMark/>
          </w:tcPr>
          <w:p w14:paraId="2FD3D9A2" w14:textId="77777777" w:rsidR="00A97C01" w:rsidRPr="00EB0D4B" w:rsidRDefault="001430BA"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EB0D4B">
              <w:rPr>
                <w:rFonts w:ascii="Calibri" w:eastAsia="Times New Roman" w:hAnsi="Calibri" w:cs="Times New Roman"/>
                <w:b w:val="0"/>
                <w:color w:val="000000"/>
                <w:sz w:val="18"/>
                <w:szCs w:val="18"/>
              </w:rPr>
              <w:t>6</w:t>
            </w:r>
            <w:r w:rsidR="00A97C01" w:rsidRPr="00EB0D4B">
              <w:rPr>
                <w:rFonts w:ascii="Calibri" w:eastAsia="Times New Roman" w:hAnsi="Calibri" w:cs="Times New Roman"/>
                <w:b w:val="0"/>
                <w:color w:val="000000"/>
                <w:sz w:val="18"/>
                <w:szCs w:val="18"/>
              </w:rPr>
              <w:t>%</w:t>
            </w:r>
          </w:p>
        </w:tc>
      </w:tr>
      <w:tr w:rsidR="00E647F4" w:rsidRPr="000F78D4" w14:paraId="69BF015D"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nil"/>
              <w:bottom w:val="single" w:sz="4" w:space="0" w:color="auto"/>
              <w:right w:val="nil"/>
            </w:tcBorders>
            <w:noWrap/>
            <w:hideMark/>
          </w:tcPr>
          <w:p w14:paraId="527620EF" w14:textId="77777777"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Benefits per worker</w:t>
            </w:r>
          </w:p>
        </w:tc>
        <w:tc>
          <w:tcPr>
            <w:tcW w:w="902" w:type="dxa"/>
            <w:tcBorders>
              <w:left w:val="nil"/>
            </w:tcBorders>
            <w:noWrap/>
            <w:hideMark/>
          </w:tcPr>
          <w:p w14:paraId="18DA51B6" w14:textId="77777777" w:rsidR="00A97C01" w:rsidRPr="00EB0D4B" w:rsidRDefault="001430BA"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EB0D4B">
              <w:rPr>
                <w:rFonts w:ascii="Calibri" w:eastAsia="Times New Roman" w:hAnsi="Calibri" w:cs="Times New Roman"/>
                <w:b w:val="0"/>
                <w:color w:val="000000"/>
                <w:sz w:val="18"/>
                <w:szCs w:val="18"/>
              </w:rPr>
              <w:t>4</w:t>
            </w:r>
            <w:r w:rsidR="00A97C01" w:rsidRPr="00EB0D4B">
              <w:rPr>
                <w:rFonts w:ascii="Calibri" w:eastAsia="Times New Roman" w:hAnsi="Calibri" w:cs="Times New Roman"/>
                <w:b w:val="0"/>
                <w:color w:val="000000"/>
                <w:sz w:val="18"/>
                <w:szCs w:val="18"/>
              </w:rPr>
              <w:t>%</w:t>
            </w:r>
          </w:p>
        </w:tc>
        <w:tc>
          <w:tcPr>
            <w:tcW w:w="1334" w:type="dxa"/>
            <w:noWrap/>
            <w:hideMark/>
          </w:tcPr>
          <w:p w14:paraId="0A7D6147" w14:textId="77777777" w:rsidR="00A97C01" w:rsidRPr="00EB0D4B" w:rsidRDefault="001430BA"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EB0D4B">
              <w:rPr>
                <w:rFonts w:ascii="Calibri" w:eastAsia="Times New Roman" w:hAnsi="Calibri" w:cs="Times New Roman"/>
                <w:b w:val="0"/>
                <w:color w:val="000000"/>
                <w:sz w:val="18"/>
                <w:szCs w:val="18"/>
              </w:rPr>
              <w:t>33</w:t>
            </w:r>
            <w:r w:rsidR="00A97C01" w:rsidRPr="00EB0D4B">
              <w:rPr>
                <w:rFonts w:ascii="Calibri" w:eastAsia="Times New Roman" w:hAnsi="Calibri" w:cs="Times New Roman"/>
                <w:b w:val="0"/>
                <w:color w:val="000000"/>
                <w:sz w:val="18"/>
                <w:szCs w:val="18"/>
              </w:rPr>
              <w:t>%</w:t>
            </w:r>
          </w:p>
        </w:tc>
        <w:tc>
          <w:tcPr>
            <w:tcW w:w="1350" w:type="dxa"/>
            <w:noWrap/>
            <w:hideMark/>
          </w:tcPr>
          <w:p w14:paraId="07099014" w14:textId="77777777" w:rsidR="00A97C01" w:rsidRPr="00EB0D4B" w:rsidRDefault="001430BA"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EB0D4B">
              <w:rPr>
                <w:rFonts w:ascii="Calibri" w:eastAsia="Times New Roman" w:hAnsi="Calibri" w:cs="Times New Roman"/>
                <w:b w:val="0"/>
                <w:color w:val="000000"/>
                <w:sz w:val="18"/>
                <w:szCs w:val="18"/>
              </w:rPr>
              <w:t>22</w:t>
            </w:r>
            <w:r w:rsidR="00A97C01" w:rsidRPr="00EB0D4B">
              <w:rPr>
                <w:rFonts w:ascii="Calibri" w:eastAsia="Times New Roman" w:hAnsi="Calibri" w:cs="Times New Roman"/>
                <w:b w:val="0"/>
                <w:color w:val="000000"/>
                <w:sz w:val="18"/>
                <w:szCs w:val="18"/>
              </w:rPr>
              <w:t>%</w:t>
            </w:r>
          </w:p>
        </w:tc>
        <w:tc>
          <w:tcPr>
            <w:tcW w:w="1350" w:type="dxa"/>
            <w:noWrap/>
            <w:hideMark/>
          </w:tcPr>
          <w:p w14:paraId="14E8F3FC" w14:textId="77777777" w:rsidR="00A97C01" w:rsidRPr="00EB0D4B" w:rsidRDefault="001430BA"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EB0D4B">
              <w:rPr>
                <w:rFonts w:ascii="Calibri" w:eastAsia="Times New Roman" w:hAnsi="Calibri" w:cs="Times New Roman"/>
                <w:b w:val="0"/>
                <w:color w:val="000000"/>
                <w:sz w:val="18"/>
                <w:szCs w:val="18"/>
              </w:rPr>
              <w:t>28</w:t>
            </w:r>
            <w:r w:rsidR="00A97C01" w:rsidRPr="00EB0D4B">
              <w:rPr>
                <w:rFonts w:ascii="Calibri" w:eastAsia="Times New Roman" w:hAnsi="Calibri" w:cs="Times New Roman"/>
                <w:b w:val="0"/>
                <w:color w:val="000000"/>
                <w:sz w:val="18"/>
                <w:szCs w:val="18"/>
              </w:rPr>
              <w:t>%</w:t>
            </w:r>
          </w:p>
        </w:tc>
        <w:tc>
          <w:tcPr>
            <w:tcW w:w="1350" w:type="dxa"/>
            <w:noWrap/>
            <w:hideMark/>
          </w:tcPr>
          <w:p w14:paraId="47E4BE2C" w14:textId="77777777" w:rsidR="00A97C01" w:rsidRPr="00EB0D4B" w:rsidRDefault="001430BA"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EB0D4B">
              <w:rPr>
                <w:rFonts w:ascii="Calibri" w:eastAsia="Times New Roman" w:hAnsi="Calibri" w:cs="Times New Roman"/>
                <w:b w:val="0"/>
                <w:color w:val="000000"/>
                <w:sz w:val="18"/>
                <w:szCs w:val="18"/>
              </w:rPr>
              <w:t>8</w:t>
            </w:r>
            <w:r w:rsidR="00A97C01" w:rsidRPr="00EB0D4B">
              <w:rPr>
                <w:rFonts w:ascii="Calibri" w:eastAsia="Times New Roman" w:hAnsi="Calibri" w:cs="Times New Roman"/>
                <w:b w:val="0"/>
                <w:color w:val="000000"/>
                <w:sz w:val="18"/>
                <w:szCs w:val="18"/>
              </w:rPr>
              <w:t>%</w:t>
            </w:r>
          </w:p>
        </w:tc>
        <w:tc>
          <w:tcPr>
            <w:tcW w:w="1355" w:type="dxa"/>
            <w:noWrap/>
            <w:hideMark/>
          </w:tcPr>
          <w:p w14:paraId="2D607D98" w14:textId="77777777" w:rsidR="00A97C01" w:rsidRPr="00EB0D4B" w:rsidRDefault="001430BA"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sidRPr="00EB0D4B">
              <w:rPr>
                <w:rFonts w:ascii="Calibri" w:eastAsia="Times New Roman" w:hAnsi="Calibri" w:cs="Times New Roman"/>
                <w:b w:val="0"/>
                <w:color w:val="000000"/>
                <w:sz w:val="18"/>
                <w:szCs w:val="18"/>
              </w:rPr>
              <w:t>5</w:t>
            </w:r>
            <w:r w:rsidR="00A97C01" w:rsidRPr="00EB0D4B">
              <w:rPr>
                <w:rFonts w:ascii="Calibri" w:eastAsia="Times New Roman" w:hAnsi="Calibri" w:cs="Times New Roman"/>
                <w:b w:val="0"/>
                <w:color w:val="000000"/>
                <w:sz w:val="18"/>
                <w:szCs w:val="18"/>
              </w:rPr>
              <w:t>%</w:t>
            </w:r>
          </w:p>
        </w:tc>
      </w:tr>
    </w:tbl>
    <w:p w14:paraId="5FA4421F" w14:textId="77777777" w:rsidR="00A97C01" w:rsidRDefault="00A97C01" w:rsidP="000A28AD">
      <w:pPr>
        <w:spacing w:after="0" w:line="120" w:lineRule="auto"/>
      </w:pPr>
    </w:p>
    <w:tbl>
      <w:tblPr>
        <w:tblStyle w:val="PlainTable4"/>
        <w:tblW w:w="10530" w:type="dxa"/>
        <w:jc w:val="center"/>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Caption w:val="Business Expectations for 2016"/>
        <w:tblDescription w:val="Table showing Business Expectations for 2016."/>
      </w:tblPr>
      <w:tblGrid>
        <w:gridCol w:w="3775"/>
        <w:gridCol w:w="1440"/>
        <w:gridCol w:w="1350"/>
        <w:gridCol w:w="1260"/>
        <w:gridCol w:w="1350"/>
        <w:gridCol w:w="1355"/>
      </w:tblGrid>
      <w:tr w:rsidR="00A97C01" w:rsidRPr="000A28AD" w14:paraId="693E179B"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bottom w:val="single" w:sz="4" w:space="0" w:color="auto"/>
            </w:tcBorders>
            <w:shd w:val="clear" w:color="auto" w:fill="BDD6EE" w:themeFill="accent1" w:themeFillTint="66"/>
            <w:noWrap/>
            <w:hideMark/>
          </w:tcPr>
          <w:p w14:paraId="3B898A56" w14:textId="77777777" w:rsidR="00A97C01" w:rsidRPr="000A28AD" w:rsidRDefault="00722892"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Expected business i</w:t>
            </w:r>
            <w:r w:rsidR="0065750C">
              <w:rPr>
                <w:rFonts w:ascii="Calibri" w:eastAsia="Times New Roman" w:hAnsi="Calibri" w:cs="Times New Roman"/>
                <w:color w:val="000000"/>
                <w:sz w:val="18"/>
                <w:szCs w:val="18"/>
              </w:rPr>
              <w:t>ndicators in 2020, compared to 2019</w:t>
            </w:r>
            <w:r w:rsidR="001A1D64" w:rsidRPr="000A28AD">
              <w:rPr>
                <w:rFonts w:ascii="Calibri" w:eastAsia="Times New Roman" w:hAnsi="Calibri" w:cs="Times New Roman"/>
                <w:color w:val="000000"/>
                <w:sz w:val="18"/>
                <w:szCs w:val="18"/>
              </w:rPr>
              <w:t>:</w:t>
            </w:r>
          </w:p>
        </w:tc>
        <w:tc>
          <w:tcPr>
            <w:tcW w:w="1440" w:type="dxa"/>
            <w:tcBorders>
              <w:top w:val="single" w:sz="4" w:space="0" w:color="auto"/>
              <w:bottom w:val="single" w:sz="4" w:space="0" w:color="auto"/>
            </w:tcBorders>
            <w:shd w:val="clear" w:color="auto" w:fill="BDD6EE" w:themeFill="accent1" w:themeFillTint="66"/>
            <w:noWrap/>
            <w:hideMark/>
          </w:tcPr>
          <w:p w14:paraId="268CCE60"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Up</w:t>
            </w:r>
          </w:p>
        </w:tc>
        <w:tc>
          <w:tcPr>
            <w:tcW w:w="1350" w:type="dxa"/>
            <w:tcBorders>
              <w:top w:val="single" w:sz="4" w:space="0" w:color="auto"/>
              <w:bottom w:val="single" w:sz="4" w:space="0" w:color="auto"/>
            </w:tcBorders>
            <w:shd w:val="clear" w:color="auto" w:fill="BDD6EE" w:themeFill="accent1" w:themeFillTint="66"/>
            <w:noWrap/>
            <w:hideMark/>
          </w:tcPr>
          <w:p w14:paraId="02D5F725"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Same</w:t>
            </w:r>
          </w:p>
        </w:tc>
        <w:tc>
          <w:tcPr>
            <w:tcW w:w="1260" w:type="dxa"/>
            <w:tcBorders>
              <w:top w:val="single" w:sz="4" w:space="0" w:color="auto"/>
              <w:bottom w:val="single" w:sz="4" w:space="0" w:color="auto"/>
            </w:tcBorders>
            <w:shd w:val="clear" w:color="auto" w:fill="BDD6EE" w:themeFill="accent1" w:themeFillTint="66"/>
            <w:noWrap/>
            <w:hideMark/>
          </w:tcPr>
          <w:p w14:paraId="6576F7BE" w14:textId="77777777" w:rsidR="00A97C01" w:rsidRPr="000A28AD" w:rsidRDefault="00A97C01"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Down</w:t>
            </w:r>
          </w:p>
        </w:tc>
        <w:tc>
          <w:tcPr>
            <w:tcW w:w="1350" w:type="dxa"/>
            <w:tcBorders>
              <w:top w:val="single" w:sz="4" w:space="0" w:color="auto"/>
              <w:bottom w:val="single" w:sz="4" w:space="0" w:color="auto"/>
            </w:tcBorders>
            <w:shd w:val="clear" w:color="auto" w:fill="BDD6EE" w:themeFill="accent1" w:themeFillTint="66"/>
            <w:noWrap/>
            <w:hideMark/>
          </w:tcPr>
          <w:p w14:paraId="200B21CC" w14:textId="77777777" w:rsidR="00A97C01" w:rsidRPr="000A28AD" w:rsidRDefault="009423A3"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Diffusion Index 2019</w:t>
            </w:r>
            <w:r w:rsidR="00AE0EFF" w:rsidRPr="000A28AD">
              <w:rPr>
                <w:rFonts w:ascii="Calibri" w:eastAsia="Times New Roman" w:hAnsi="Calibri" w:cs="Times New Roman"/>
                <w:color w:val="000000"/>
                <w:sz w:val="18"/>
                <w:szCs w:val="18"/>
                <w:vertAlign w:val="superscript"/>
              </w:rPr>
              <w:t>(2)</w:t>
            </w:r>
          </w:p>
        </w:tc>
        <w:tc>
          <w:tcPr>
            <w:tcW w:w="1355" w:type="dxa"/>
            <w:tcBorders>
              <w:top w:val="single" w:sz="4" w:space="0" w:color="auto"/>
              <w:bottom w:val="single" w:sz="4" w:space="0" w:color="auto"/>
            </w:tcBorders>
            <w:shd w:val="clear" w:color="auto" w:fill="BDD6EE" w:themeFill="accent1" w:themeFillTint="66"/>
            <w:noWrap/>
            <w:hideMark/>
          </w:tcPr>
          <w:p w14:paraId="661C5D8F" w14:textId="77777777" w:rsidR="00A97C01" w:rsidRPr="000A28AD" w:rsidRDefault="009423A3" w:rsidP="00541E4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Diffusion Index 2018</w:t>
            </w:r>
            <w:r w:rsidR="00AE0EFF" w:rsidRPr="000A28AD">
              <w:rPr>
                <w:rFonts w:ascii="Calibri" w:eastAsia="Times New Roman" w:hAnsi="Calibri" w:cs="Times New Roman"/>
                <w:color w:val="000000"/>
                <w:sz w:val="18"/>
                <w:szCs w:val="18"/>
                <w:vertAlign w:val="superscript"/>
              </w:rPr>
              <w:t>(2)</w:t>
            </w:r>
          </w:p>
        </w:tc>
      </w:tr>
      <w:tr w:rsidR="00A97C01" w:rsidRPr="000A28AD" w14:paraId="1414AC2F"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tcBorders>
            <w:noWrap/>
            <w:hideMark/>
          </w:tcPr>
          <w:p w14:paraId="0E1C7B4A" w14:textId="77777777"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Number of orders</w:t>
            </w:r>
          </w:p>
        </w:tc>
        <w:tc>
          <w:tcPr>
            <w:tcW w:w="1440" w:type="dxa"/>
            <w:tcBorders>
              <w:top w:val="single" w:sz="4" w:space="0" w:color="auto"/>
            </w:tcBorders>
            <w:noWrap/>
            <w:hideMark/>
          </w:tcPr>
          <w:p w14:paraId="75B28186"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50</w:t>
            </w:r>
            <w:r w:rsidR="00A97C01" w:rsidRPr="00EB0D4B">
              <w:rPr>
                <w:rFonts w:ascii="Calibri" w:eastAsia="Times New Roman" w:hAnsi="Calibri" w:cs="Times New Roman"/>
                <w:color w:val="000000"/>
                <w:sz w:val="18"/>
                <w:szCs w:val="18"/>
              </w:rPr>
              <w:t>%</w:t>
            </w:r>
          </w:p>
        </w:tc>
        <w:tc>
          <w:tcPr>
            <w:tcW w:w="1350" w:type="dxa"/>
            <w:tcBorders>
              <w:top w:val="single" w:sz="4" w:space="0" w:color="auto"/>
            </w:tcBorders>
            <w:noWrap/>
            <w:hideMark/>
          </w:tcPr>
          <w:p w14:paraId="5C1FE1FF"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37</w:t>
            </w:r>
            <w:r w:rsidR="00A97C01" w:rsidRPr="00EB0D4B">
              <w:rPr>
                <w:rFonts w:ascii="Calibri" w:eastAsia="Times New Roman" w:hAnsi="Calibri" w:cs="Times New Roman"/>
                <w:color w:val="000000"/>
                <w:sz w:val="18"/>
                <w:szCs w:val="18"/>
              </w:rPr>
              <w:t>%</w:t>
            </w:r>
          </w:p>
        </w:tc>
        <w:tc>
          <w:tcPr>
            <w:tcW w:w="1260" w:type="dxa"/>
            <w:tcBorders>
              <w:top w:val="single" w:sz="4" w:space="0" w:color="auto"/>
            </w:tcBorders>
            <w:noWrap/>
            <w:hideMark/>
          </w:tcPr>
          <w:p w14:paraId="4E2DD844"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13</w:t>
            </w:r>
            <w:r w:rsidR="00A97C01" w:rsidRPr="00EB0D4B">
              <w:rPr>
                <w:rFonts w:ascii="Calibri" w:eastAsia="Times New Roman" w:hAnsi="Calibri" w:cs="Times New Roman"/>
                <w:color w:val="000000"/>
                <w:sz w:val="18"/>
                <w:szCs w:val="18"/>
              </w:rPr>
              <w:t>%</w:t>
            </w:r>
          </w:p>
        </w:tc>
        <w:tc>
          <w:tcPr>
            <w:tcW w:w="1350" w:type="dxa"/>
            <w:tcBorders>
              <w:top w:val="single" w:sz="4" w:space="0" w:color="auto"/>
            </w:tcBorders>
            <w:noWrap/>
            <w:hideMark/>
          </w:tcPr>
          <w:p w14:paraId="4FCE805E" w14:textId="77777777" w:rsidR="00A97C01" w:rsidRPr="00EB0D4B"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69</w:t>
            </w:r>
          </w:p>
        </w:tc>
        <w:tc>
          <w:tcPr>
            <w:tcW w:w="1355" w:type="dxa"/>
            <w:tcBorders>
              <w:top w:val="single" w:sz="4" w:space="0" w:color="auto"/>
            </w:tcBorders>
            <w:noWrap/>
            <w:hideMark/>
          </w:tcPr>
          <w:p w14:paraId="401F83EB"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69</w:t>
            </w:r>
          </w:p>
        </w:tc>
      </w:tr>
      <w:tr w:rsidR="00A97C01" w:rsidRPr="000A28AD" w14:paraId="380B1F80"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781E4A6F" w14:textId="77777777"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Product/service production level</w:t>
            </w:r>
          </w:p>
        </w:tc>
        <w:tc>
          <w:tcPr>
            <w:tcW w:w="1440" w:type="dxa"/>
            <w:noWrap/>
            <w:hideMark/>
          </w:tcPr>
          <w:p w14:paraId="3D1A697A"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44</w:t>
            </w:r>
            <w:r w:rsidR="00A97C01" w:rsidRPr="00EB0D4B">
              <w:rPr>
                <w:rFonts w:ascii="Calibri" w:eastAsia="Times New Roman" w:hAnsi="Calibri" w:cs="Times New Roman"/>
                <w:color w:val="000000"/>
                <w:sz w:val="18"/>
                <w:szCs w:val="18"/>
              </w:rPr>
              <w:t>%</w:t>
            </w:r>
          </w:p>
        </w:tc>
        <w:tc>
          <w:tcPr>
            <w:tcW w:w="1350" w:type="dxa"/>
            <w:noWrap/>
            <w:hideMark/>
          </w:tcPr>
          <w:p w14:paraId="394D4F8D"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50</w:t>
            </w:r>
            <w:r w:rsidR="00A97C01" w:rsidRPr="00EB0D4B">
              <w:rPr>
                <w:rFonts w:ascii="Calibri" w:eastAsia="Times New Roman" w:hAnsi="Calibri" w:cs="Times New Roman"/>
                <w:color w:val="000000"/>
                <w:sz w:val="18"/>
                <w:szCs w:val="18"/>
              </w:rPr>
              <w:t>%</w:t>
            </w:r>
          </w:p>
        </w:tc>
        <w:tc>
          <w:tcPr>
            <w:tcW w:w="1260" w:type="dxa"/>
            <w:noWrap/>
            <w:hideMark/>
          </w:tcPr>
          <w:p w14:paraId="65F1B314"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w:t>
            </w:r>
            <w:r w:rsidR="00A97C01" w:rsidRPr="00EB0D4B">
              <w:rPr>
                <w:rFonts w:ascii="Calibri" w:eastAsia="Times New Roman" w:hAnsi="Calibri" w:cs="Times New Roman"/>
                <w:color w:val="000000"/>
                <w:sz w:val="18"/>
                <w:szCs w:val="18"/>
              </w:rPr>
              <w:t>%</w:t>
            </w:r>
          </w:p>
        </w:tc>
        <w:tc>
          <w:tcPr>
            <w:tcW w:w="1350" w:type="dxa"/>
            <w:noWrap/>
            <w:hideMark/>
          </w:tcPr>
          <w:p w14:paraId="047004D3"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69</w:t>
            </w:r>
          </w:p>
        </w:tc>
        <w:tc>
          <w:tcPr>
            <w:tcW w:w="1355" w:type="dxa"/>
            <w:noWrap/>
            <w:hideMark/>
          </w:tcPr>
          <w:p w14:paraId="5875BE1C"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71</w:t>
            </w:r>
          </w:p>
        </w:tc>
      </w:tr>
      <w:tr w:rsidR="00A97C01" w:rsidRPr="000A28AD" w14:paraId="20ED2AD0"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1DC4377C" w14:textId="77777777"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Employment level</w:t>
            </w:r>
          </w:p>
        </w:tc>
        <w:tc>
          <w:tcPr>
            <w:tcW w:w="1440" w:type="dxa"/>
            <w:noWrap/>
            <w:hideMark/>
          </w:tcPr>
          <w:p w14:paraId="0B915C8D"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30</w:t>
            </w:r>
            <w:r w:rsidR="00A97C01" w:rsidRPr="00EB0D4B">
              <w:rPr>
                <w:rFonts w:ascii="Calibri" w:eastAsia="Times New Roman" w:hAnsi="Calibri" w:cs="Times New Roman"/>
                <w:color w:val="000000"/>
                <w:sz w:val="18"/>
                <w:szCs w:val="18"/>
              </w:rPr>
              <w:t>%</w:t>
            </w:r>
          </w:p>
        </w:tc>
        <w:tc>
          <w:tcPr>
            <w:tcW w:w="1350" w:type="dxa"/>
            <w:noWrap/>
            <w:hideMark/>
          </w:tcPr>
          <w:p w14:paraId="62985228"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64</w:t>
            </w:r>
            <w:r w:rsidR="00A97C01" w:rsidRPr="00EB0D4B">
              <w:rPr>
                <w:rFonts w:ascii="Calibri" w:eastAsia="Times New Roman" w:hAnsi="Calibri" w:cs="Times New Roman"/>
                <w:color w:val="000000"/>
                <w:sz w:val="18"/>
                <w:szCs w:val="18"/>
              </w:rPr>
              <w:t>%</w:t>
            </w:r>
          </w:p>
        </w:tc>
        <w:tc>
          <w:tcPr>
            <w:tcW w:w="1260" w:type="dxa"/>
            <w:noWrap/>
            <w:hideMark/>
          </w:tcPr>
          <w:p w14:paraId="0894A692"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7</w:t>
            </w:r>
            <w:r w:rsidR="00A97C01" w:rsidRPr="00EB0D4B">
              <w:rPr>
                <w:rFonts w:ascii="Calibri" w:eastAsia="Times New Roman" w:hAnsi="Calibri" w:cs="Times New Roman"/>
                <w:color w:val="000000"/>
                <w:sz w:val="18"/>
                <w:szCs w:val="18"/>
              </w:rPr>
              <w:t>%</w:t>
            </w:r>
          </w:p>
        </w:tc>
        <w:tc>
          <w:tcPr>
            <w:tcW w:w="1350" w:type="dxa"/>
            <w:noWrap/>
            <w:hideMark/>
          </w:tcPr>
          <w:p w14:paraId="49C6E0F1"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61</w:t>
            </w:r>
          </w:p>
        </w:tc>
        <w:tc>
          <w:tcPr>
            <w:tcW w:w="1355" w:type="dxa"/>
            <w:noWrap/>
            <w:hideMark/>
          </w:tcPr>
          <w:p w14:paraId="6DB05657"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64</w:t>
            </w:r>
          </w:p>
        </w:tc>
      </w:tr>
      <w:tr w:rsidR="00A97C01" w:rsidRPr="000A28AD" w14:paraId="5C5D8925"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459033EC" w14:textId="77777777"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Investment in plant/equipment</w:t>
            </w:r>
          </w:p>
        </w:tc>
        <w:tc>
          <w:tcPr>
            <w:tcW w:w="1440" w:type="dxa"/>
            <w:noWrap/>
            <w:hideMark/>
          </w:tcPr>
          <w:p w14:paraId="4824ADB7"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37</w:t>
            </w:r>
            <w:r w:rsidR="00A97C01" w:rsidRPr="00EB0D4B">
              <w:rPr>
                <w:rFonts w:ascii="Calibri" w:eastAsia="Times New Roman" w:hAnsi="Calibri" w:cs="Times New Roman"/>
                <w:color w:val="000000"/>
                <w:sz w:val="18"/>
                <w:szCs w:val="18"/>
              </w:rPr>
              <w:t>%</w:t>
            </w:r>
          </w:p>
        </w:tc>
        <w:tc>
          <w:tcPr>
            <w:tcW w:w="1350" w:type="dxa"/>
            <w:noWrap/>
            <w:hideMark/>
          </w:tcPr>
          <w:p w14:paraId="42291C2C"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45</w:t>
            </w:r>
            <w:r w:rsidR="00A97C01" w:rsidRPr="00EB0D4B">
              <w:rPr>
                <w:rFonts w:ascii="Calibri" w:eastAsia="Times New Roman" w:hAnsi="Calibri" w:cs="Times New Roman"/>
                <w:color w:val="000000"/>
                <w:sz w:val="18"/>
                <w:szCs w:val="18"/>
              </w:rPr>
              <w:t>%</w:t>
            </w:r>
          </w:p>
        </w:tc>
        <w:tc>
          <w:tcPr>
            <w:tcW w:w="1260" w:type="dxa"/>
            <w:noWrap/>
            <w:hideMark/>
          </w:tcPr>
          <w:p w14:paraId="3E2AA3E5"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19</w:t>
            </w:r>
            <w:r w:rsidR="00A97C01" w:rsidRPr="00EB0D4B">
              <w:rPr>
                <w:rFonts w:ascii="Calibri" w:eastAsia="Times New Roman" w:hAnsi="Calibri" w:cs="Times New Roman"/>
                <w:color w:val="000000"/>
                <w:sz w:val="18"/>
                <w:szCs w:val="18"/>
              </w:rPr>
              <w:t>%</w:t>
            </w:r>
          </w:p>
        </w:tc>
        <w:tc>
          <w:tcPr>
            <w:tcW w:w="1350" w:type="dxa"/>
            <w:noWrap/>
            <w:hideMark/>
          </w:tcPr>
          <w:p w14:paraId="04DE4EDA"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59</w:t>
            </w:r>
          </w:p>
        </w:tc>
        <w:tc>
          <w:tcPr>
            <w:tcW w:w="1355" w:type="dxa"/>
            <w:noWrap/>
            <w:hideMark/>
          </w:tcPr>
          <w:p w14:paraId="5F83BFAF"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62</w:t>
            </w:r>
          </w:p>
        </w:tc>
      </w:tr>
      <w:tr w:rsidR="00A97C01" w:rsidRPr="000A28AD" w14:paraId="3653832D"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0B6331DA" w14:textId="77777777"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Prices</w:t>
            </w:r>
          </w:p>
        </w:tc>
        <w:tc>
          <w:tcPr>
            <w:tcW w:w="1440" w:type="dxa"/>
            <w:noWrap/>
            <w:hideMark/>
          </w:tcPr>
          <w:p w14:paraId="777C30C3"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42</w:t>
            </w:r>
            <w:r w:rsidR="00A97C01" w:rsidRPr="00EB0D4B">
              <w:rPr>
                <w:rFonts w:ascii="Calibri" w:eastAsia="Times New Roman" w:hAnsi="Calibri" w:cs="Times New Roman"/>
                <w:color w:val="000000"/>
                <w:sz w:val="18"/>
                <w:szCs w:val="18"/>
              </w:rPr>
              <w:t>%</w:t>
            </w:r>
          </w:p>
        </w:tc>
        <w:tc>
          <w:tcPr>
            <w:tcW w:w="1350" w:type="dxa"/>
            <w:noWrap/>
            <w:hideMark/>
          </w:tcPr>
          <w:p w14:paraId="7267AE5C"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53</w:t>
            </w:r>
            <w:r w:rsidR="00A97C01" w:rsidRPr="00EB0D4B">
              <w:rPr>
                <w:rFonts w:ascii="Calibri" w:eastAsia="Times New Roman" w:hAnsi="Calibri" w:cs="Times New Roman"/>
                <w:color w:val="000000"/>
                <w:sz w:val="18"/>
                <w:szCs w:val="18"/>
              </w:rPr>
              <w:t>%</w:t>
            </w:r>
          </w:p>
        </w:tc>
        <w:tc>
          <w:tcPr>
            <w:tcW w:w="1260" w:type="dxa"/>
            <w:noWrap/>
            <w:hideMark/>
          </w:tcPr>
          <w:p w14:paraId="0E98F3A4" w14:textId="77777777" w:rsidR="00A97C01" w:rsidRPr="00EB0D4B" w:rsidRDefault="00846BD5"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w:t>
            </w:r>
            <w:r w:rsidR="00A97C01" w:rsidRPr="00EB0D4B">
              <w:rPr>
                <w:rFonts w:ascii="Calibri" w:eastAsia="Times New Roman" w:hAnsi="Calibri" w:cs="Times New Roman"/>
                <w:color w:val="000000"/>
                <w:sz w:val="18"/>
                <w:szCs w:val="18"/>
              </w:rPr>
              <w:t>%</w:t>
            </w:r>
          </w:p>
        </w:tc>
        <w:tc>
          <w:tcPr>
            <w:tcW w:w="1350" w:type="dxa"/>
            <w:noWrap/>
            <w:hideMark/>
          </w:tcPr>
          <w:p w14:paraId="1CC78391"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68</w:t>
            </w:r>
          </w:p>
        </w:tc>
        <w:tc>
          <w:tcPr>
            <w:tcW w:w="1355" w:type="dxa"/>
            <w:noWrap/>
            <w:hideMark/>
          </w:tcPr>
          <w:p w14:paraId="2D0F12DD"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74</w:t>
            </w:r>
          </w:p>
        </w:tc>
      </w:tr>
      <w:tr w:rsidR="00A97C01" w:rsidRPr="000A28AD" w14:paraId="5ECD2EF4"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3CDC157D" w14:textId="77777777"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Profits</w:t>
            </w:r>
          </w:p>
        </w:tc>
        <w:tc>
          <w:tcPr>
            <w:tcW w:w="1440" w:type="dxa"/>
            <w:noWrap/>
            <w:hideMark/>
          </w:tcPr>
          <w:p w14:paraId="62312277"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40</w:t>
            </w:r>
            <w:r w:rsidR="00A97C01" w:rsidRPr="00EB0D4B">
              <w:rPr>
                <w:rFonts w:ascii="Calibri" w:eastAsia="Times New Roman" w:hAnsi="Calibri" w:cs="Times New Roman"/>
                <w:color w:val="000000"/>
                <w:sz w:val="18"/>
                <w:szCs w:val="18"/>
              </w:rPr>
              <w:t>%</w:t>
            </w:r>
          </w:p>
        </w:tc>
        <w:tc>
          <w:tcPr>
            <w:tcW w:w="1350" w:type="dxa"/>
            <w:noWrap/>
            <w:hideMark/>
          </w:tcPr>
          <w:p w14:paraId="12042911"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46</w:t>
            </w:r>
            <w:r w:rsidR="00A97C01" w:rsidRPr="00EB0D4B">
              <w:rPr>
                <w:rFonts w:ascii="Calibri" w:eastAsia="Times New Roman" w:hAnsi="Calibri" w:cs="Times New Roman"/>
                <w:color w:val="000000"/>
                <w:sz w:val="18"/>
                <w:szCs w:val="18"/>
              </w:rPr>
              <w:t>%</w:t>
            </w:r>
          </w:p>
        </w:tc>
        <w:tc>
          <w:tcPr>
            <w:tcW w:w="1260" w:type="dxa"/>
            <w:noWrap/>
            <w:hideMark/>
          </w:tcPr>
          <w:p w14:paraId="44A831FD"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14</w:t>
            </w:r>
            <w:r w:rsidR="00A97C01" w:rsidRPr="00EB0D4B">
              <w:rPr>
                <w:rFonts w:ascii="Calibri" w:eastAsia="Times New Roman" w:hAnsi="Calibri" w:cs="Times New Roman"/>
                <w:color w:val="000000"/>
                <w:sz w:val="18"/>
                <w:szCs w:val="18"/>
              </w:rPr>
              <w:t>%</w:t>
            </w:r>
          </w:p>
        </w:tc>
        <w:tc>
          <w:tcPr>
            <w:tcW w:w="1350" w:type="dxa"/>
            <w:noWrap/>
            <w:hideMark/>
          </w:tcPr>
          <w:p w14:paraId="03929553" w14:textId="77777777" w:rsidR="00A97C01" w:rsidRPr="00EB0D4B"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63</w:t>
            </w:r>
          </w:p>
        </w:tc>
        <w:tc>
          <w:tcPr>
            <w:tcW w:w="1355" w:type="dxa"/>
            <w:noWrap/>
            <w:hideMark/>
          </w:tcPr>
          <w:p w14:paraId="29773F89" w14:textId="77777777" w:rsidR="00A97C01" w:rsidRPr="00EB0D4B" w:rsidRDefault="009423A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63</w:t>
            </w:r>
          </w:p>
        </w:tc>
      </w:tr>
      <w:tr w:rsidR="00A97C01" w:rsidRPr="000A28AD" w14:paraId="4082D283"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008F2BB9" w14:textId="77777777"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Productivity</w:t>
            </w:r>
          </w:p>
        </w:tc>
        <w:tc>
          <w:tcPr>
            <w:tcW w:w="1440" w:type="dxa"/>
            <w:noWrap/>
            <w:hideMark/>
          </w:tcPr>
          <w:p w14:paraId="0F8D0CF6" w14:textId="77777777" w:rsidR="00A97C01" w:rsidRPr="00EB0D4B" w:rsidRDefault="00954C6A"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40</w:t>
            </w:r>
            <w:r w:rsidR="00A97C01" w:rsidRPr="00EB0D4B">
              <w:rPr>
                <w:rFonts w:ascii="Calibri" w:eastAsia="Times New Roman" w:hAnsi="Calibri" w:cs="Times New Roman"/>
                <w:color w:val="000000"/>
                <w:sz w:val="18"/>
                <w:szCs w:val="18"/>
              </w:rPr>
              <w:t>%</w:t>
            </w:r>
          </w:p>
        </w:tc>
        <w:tc>
          <w:tcPr>
            <w:tcW w:w="1350" w:type="dxa"/>
            <w:noWrap/>
            <w:hideMark/>
          </w:tcPr>
          <w:p w14:paraId="3136E80D" w14:textId="77777777" w:rsidR="00A97C01" w:rsidRPr="00EB0D4B" w:rsidRDefault="00954C6A"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56</w:t>
            </w:r>
            <w:r w:rsidR="00A97C01" w:rsidRPr="00EB0D4B">
              <w:rPr>
                <w:rFonts w:ascii="Calibri" w:eastAsia="Times New Roman" w:hAnsi="Calibri" w:cs="Times New Roman"/>
                <w:color w:val="000000"/>
                <w:sz w:val="18"/>
                <w:szCs w:val="18"/>
              </w:rPr>
              <w:t>%</w:t>
            </w:r>
          </w:p>
        </w:tc>
        <w:tc>
          <w:tcPr>
            <w:tcW w:w="1260" w:type="dxa"/>
            <w:noWrap/>
            <w:hideMark/>
          </w:tcPr>
          <w:p w14:paraId="2270FFEC" w14:textId="77777777" w:rsidR="00A97C01" w:rsidRPr="00EB0D4B" w:rsidRDefault="00954C6A"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4</w:t>
            </w:r>
            <w:r w:rsidR="00A97C01" w:rsidRPr="00EB0D4B">
              <w:rPr>
                <w:rFonts w:ascii="Calibri" w:eastAsia="Times New Roman" w:hAnsi="Calibri" w:cs="Times New Roman"/>
                <w:color w:val="000000"/>
                <w:sz w:val="18"/>
                <w:szCs w:val="18"/>
              </w:rPr>
              <w:t>%</w:t>
            </w:r>
          </w:p>
        </w:tc>
        <w:tc>
          <w:tcPr>
            <w:tcW w:w="1350" w:type="dxa"/>
            <w:noWrap/>
            <w:hideMark/>
          </w:tcPr>
          <w:p w14:paraId="6416BD9D" w14:textId="77777777" w:rsidR="00A97C01" w:rsidRPr="00EB0D4B" w:rsidRDefault="00954C6A"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68</w:t>
            </w:r>
          </w:p>
        </w:tc>
        <w:tc>
          <w:tcPr>
            <w:tcW w:w="1355" w:type="dxa"/>
            <w:noWrap/>
            <w:hideMark/>
          </w:tcPr>
          <w:p w14:paraId="57750D0F" w14:textId="77777777" w:rsidR="00A97C01" w:rsidRPr="00EB0D4B" w:rsidRDefault="00954C6A"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72</w:t>
            </w:r>
          </w:p>
        </w:tc>
      </w:tr>
      <w:tr w:rsidR="00A97C01" w:rsidRPr="000A28AD" w14:paraId="63BF4A3E"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75D2D22A" w14:textId="77777777" w:rsidR="00A97C01" w:rsidRPr="000A28AD" w:rsidRDefault="00A97C01" w:rsidP="00541E4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Exports</w:t>
            </w:r>
          </w:p>
        </w:tc>
        <w:tc>
          <w:tcPr>
            <w:tcW w:w="1440" w:type="dxa"/>
            <w:noWrap/>
            <w:hideMark/>
          </w:tcPr>
          <w:p w14:paraId="33D588A6" w14:textId="77777777" w:rsidR="00A97C01" w:rsidRPr="00EB0D4B" w:rsidRDefault="00102426"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26</w:t>
            </w:r>
            <w:r w:rsidR="00A97C01" w:rsidRPr="00EB0D4B">
              <w:rPr>
                <w:rFonts w:ascii="Calibri" w:eastAsia="Times New Roman" w:hAnsi="Calibri" w:cs="Times New Roman"/>
                <w:color w:val="000000"/>
                <w:sz w:val="18"/>
                <w:szCs w:val="18"/>
              </w:rPr>
              <w:t>%</w:t>
            </w:r>
          </w:p>
        </w:tc>
        <w:tc>
          <w:tcPr>
            <w:tcW w:w="1350" w:type="dxa"/>
            <w:noWrap/>
            <w:hideMark/>
          </w:tcPr>
          <w:p w14:paraId="21E817A8" w14:textId="77777777" w:rsidR="00A97C01" w:rsidRPr="00EB0D4B"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53</w:t>
            </w:r>
            <w:r w:rsidR="00A97C01" w:rsidRPr="00EB0D4B">
              <w:rPr>
                <w:rFonts w:ascii="Calibri" w:eastAsia="Times New Roman" w:hAnsi="Calibri" w:cs="Times New Roman"/>
                <w:color w:val="000000"/>
                <w:sz w:val="18"/>
                <w:szCs w:val="18"/>
              </w:rPr>
              <w:t>%</w:t>
            </w:r>
          </w:p>
        </w:tc>
        <w:tc>
          <w:tcPr>
            <w:tcW w:w="1260" w:type="dxa"/>
            <w:noWrap/>
            <w:hideMark/>
          </w:tcPr>
          <w:p w14:paraId="5FE04938" w14:textId="77777777" w:rsidR="00A97C01" w:rsidRPr="00EB0D4B" w:rsidRDefault="00102426"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21</w:t>
            </w:r>
            <w:r w:rsidR="00A97C01" w:rsidRPr="00EB0D4B">
              <w:rPr>
                <w:rFonts w:ascii="Calibri" w:eastAsia="Times New Roman" w:hAnsi="Calibri" w:cs="Times New Roman"/>
                <w:color w:val="000000"/>
                <w:sz w:val="18"/>
                <w:szCs w:val="18"/>
              </w:rPr>
              <w:t>%</w:t>
            </w:r>
          </w:p>
        </w:tc>
        <w:tc>
          <w:tcPr>
            <w:tcW w:w="1350" w:type="dxa"/>
            <w:noWrap/>
            <w:hideMark/>
          </w:tcPr>
          <w:p w14:paraId="3A65C43C" w14:textId="77777777" w:rsidR="00A97C01" w:rsidRPr="00EB0D4B" w:rsidRDefault="00102426"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52</w:t>
            </w:r>
          </w:p>
        </w:tc>
        <w:tc>
          <w:tcPr>
            <w:tcW w:w="1355" w:type="dxa"/>
            <w:noWrap/>
            <w:hideMark/>
          </w:tcPr>
          <w:p w14:paraId="6D25F1EF" w14:textId="77777777" w:rsidR="00A97C01" w:rsidRPr="00EB0D4B" w:rsidRDefault="00D12433" w:rsidP="00E647F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60</w:t>
            </w:r>
          </w:p>
        </w:tc>
      </w:tr>
    </w:tbl>
    <w:p w14:paraId="3C90266F" w14:textId="77777777" w:rsidR="00A97C01" w:rsidRPr="000A28AD" w:rsidRDefault="00A97C01" w:rsidP="000A28AD">
      <w:pPr>
        <w:spacing w:after="0" w:line="120" w:lineRule="auto"/>
        <w:rPr>
          <w:sz w:val="18"/>
          <w:szCs w:val="18"/>
        </w:rPr>
      </w:pPr>
    </w:p>
    <w:tbl>
      <w:tblPr>
        <w:tblStyle w:val="PlainTable4"/>
        <w:tblW w:w="10526"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Indicators for Worker's Expectations, 2016'"/>
        <w:tblDescription w:val="Table showing indicators for Worker's expectations for 2016."/>
      </w:tblPr>
      <w:tblGrid>
        <w:gridCol w:w="2885"/>
        <w:gridCol w:w="902"/>
        <w:gridCol w:w="1334"/>
        <w:gridCol w:w="1440"/>
        <w:gridCol w:w="1170"/>
        <w:gridCol w:w="1350"/>
        <w:gridCol w:w="1445"/>
      </w:tblGrid>
      <w:tr w:rsidR="00E647F4" w:rsidRPr="00C2294E" w14:paraId="00F05CA8"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2885" w:type="dxa"/>
            <w:tcBorders>
              <w:top w:val="single" w:sz="4" w:space="0" w:color="auto"/>
              <w:bottom w:val="single" w:sz="4" w:space="0" w:color="auto"/>
            </w:tcBorders>
            <w:shd w:val="clear" w:color="auto" w:fill="BDD6EE" w:themeFill="accent1" w:themeFillTint="66"/>
            <w:noWrap/>
            <w:hideMark/>
          </w:tcPr>
          <w:p w14:paraId="011F381C" w14:textId="77777777" w:rsidR="00A97C01" w:rsidRPr="000A28AD" w:rsidRDefault="000A28AD" w:rsidP="000A28A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Expected l</w:t>
            </w:r>
            <w:r w:rsidR="00722892" w:rsidRPr="000A28AD">
              <w:rPr>
                <w:rFonts w:ascii="Calibri" w:eastAsia="Times New Roman" w:hAnsi="Calibri" w:cs="Times New Roman"/>
                <w:color w:val="000000"/>
                <w:sz w:val="18"/>
                <w:szCs w:val="18"/>
              </w:rPr>
              <w:t>abor i</w:t>
            </w:r>
            <w:r w:rsidR="0065750C">
              <w:rPr>
                <w:rFonts w:ascii="Calibri" w:eastAsia="Times New Roman" w:hAnsi="Calibri" w:cs="Times New Roman"/>
                <w:color w:val="000000"/>
                <w:sz w:val="18"/>
                <w:szCs w:val="18"/>
              </w:rPr>
              <w:t>ndicators in 2020, compared to 2019</w:t>
            </w:r>
            <w:r w:rsidR="00531B2D" w:rsidRPr="000A28AD">
              <w:rPr>
                <w:rFonts w:ascii="Calibri" w:eastAsia="Times New Roman" w:hAnsi="Calibri" w:cs="Times New Roman"/>
                <w:color w:val="000000"/>
                <w:sz w:val="18"/>
                <w:szCs w:val="18"/>
              </w:rPr>
              <w:t>:</w:t>
            </w:r>
          </w:p>
        </w:tc>
        <w:tc>
          <w:tcPr>
            <w:tcW w:w="902" w:type="dxa"/>
            <w:tcBorders>
              <w:top w:val="single" w:sz="4" w:space="0" w:color="auto"/>
              <w:bottom w:val="single" w:sz="4" w:space="0" w:color="auto"/>
            </w:tcBorders>
            <w:shd w:val="clear" w:color="auto" w:fill="BDD6EE" w:themeFill="accent1" w:themeFillTint="66"/>
            <w:noWrap/>
            <w:hideMark/>
          </w:tcPr>
          <w:p w14:paraId="25B83E19"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Decrease</w:t>
            </w:r>
          </w:p>
        </w:tc>
        <w:tc>
          <w:tcPr>
            <w:tcW w:w="1334" w:type="dxa"/>
            <w:tcBorders>
              <w:top w:val="single" w:sz="4" w:space="0" w:color="auto"/>
              <w:bottom w:val="single" w:sz="4" w:space="0" w:color="auto"/>
            </w:tcBorders>
            <w:shd w:val="clear" w:color="auto" w:fill="BDD6EE" w:themeFill="accent1" w:themeFillTint="66"/>
            <w:noWrap/>
            <w:hideMark/>
          </w:tcPr>
          <w:p w14:paraId="28331A34"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0</w:t>
            </w:r>
            <w:r w:rsidR="00FF2E6D">
              <w:rPr>
                <w:rFonts w:ascii="Calibri" w:eastAsia="Times New Roman" w:hAnsi="Calibri" w:cs="Times New Roman"/>
                <w:color w:val="000000"/>
                <w:sz w:val="18"/>
                <w:szCs w:val="18"/>
              </w:rPr>
              <w:t>%</w:t>
            </w:r>
          </w:p>
        </w:tc>
        <w:tc>
          <w:tcPr>
            <w:tcW w:w="1440" w:type="dxa"/>
            <w:tcBorders>
              <w:top w:val="single" w:sz="4" w:space="0" w:color="auto"/>
              <w:bottom w:val="single" w:sz="4" w:space="0" w:color="auto"/>
            </w:tcBorders>
            <w:shd w:val="clear" w:color="auto" w:fill="BDD6EE" w:themeFill="accent1" w:themeFillTint="66"/>
            <w:noWrap/>
            <w:hideMark/>
          </w:tcPr>
          <w:p w14:paraId="4B81090E"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1-2%</w:t>
            </w:r>
          </w:p>
        </w:tc>
        <w:tc>
          <w:tcPr>
            <w:tcW w:w="1170" w:type="dxa"/>
            <w:tcBorders>
              <w:top w:val="single" w:sz="4" w:space="0" w:color="auto"/>
              <w:bottom w:val="single" w:sz="4" w:space="0" w:color="auto"/>
            </w:tcBorders>
            <w:shd w:val="clear" w:color="auto" w:fill="BDD6EE" w:themeFill="accent1" w:themeFillTint="66"/>
            <w:noWrap/>
            <w:hideMark/>
          </w:tcPr>
          <w:p w14:paraId="30453D35"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3-5%</w:t>
            </w:r>
          </w:p>
        </w:tc>
        <w:tc>
          <w:tcPr>
            <w:tcW w:w="1350" w:type="dxa"/>
            <w:tcBorders>
              <w:top w:val="single" w:sz="4" w:space="0" w:color="auto"/>
              <w:bottom w:val="single" w:sz="4" w:space="0" w:color="auto"/>
            </w:tcBorders>
            <w:shd w:val="clear" w:color="auto" w:fill="BDD6EE" w:themeFill="accent1" w:themeFillTint="66"/>
            <w:noWrap/>
            <w:hideMark/>
          </w:tcPr>
          <w:p w14:paraId="6B49F79D"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6-9%</w:t>
            </w:r>
          </w:p>
        </w:tc>
        <w:tc>
          <w:tcPr>
            <w:tcW w:w="1445" w:type="dxa"/>
            <w:tcBorders>
              <w:top w:val="single" w:sz="4" w:space="0" w:color="auto"/>
              <w:bottom w:val="single" w:sz="4" w:space="0" w:color="auto"/>
            </w:tcBorders>
            <w:shd w:val="clear" w:color="auto" w:fill="BDD6EE" w:themeFill="accent1" w:themeFillTint="66"/>
            <w:noWrap/>
            <w:hideMark/>
          </w:tcPr>
          <w:p w14:paraId="0FAD2851"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&gt;10%</w:t>
            </w:r>
          </w:p>
        </w:tc>
      </w:tr>
      <w:tr w:rsidR="00E647F4" w:rsidRPr="00C2294E" w14:paraId="5E56F7BD" w14:textId="77777777" w:rsidTr="005B79AC">
        <w:trPr>
          <w:trHeight w:val="144"/>
          <w:jc w:val="center"/>
        </w:trPr>
        <w:tc>
          <w:tcPr>
            <w:tcW w:w="2885" w:type="dxa"/>
            <w:tcBorders>
              <w:top w:val="single" w:sz="4" w:space="0" w:color="auto"/>
              <w:bottom w:val="nil"/>
            </w:tcBorders>
            <w:noWrap/>
            <w:hideMark/>
          </w:tcPr>
          <w:p w14:paraId="201F5979" w14:textId="77777777" w:rsidR="00A97C01" w:rsidRPr="000A28AD" w:rsidRDefault="00A97C01"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Wages per worker</w:t>
            </w:r>
          </w:p>
        </w:tc>
        <w:tc>
          <w:tcPr>
            <w:tcW w:w="902" w:type="dxa"/>
            <w:tcBorders>
              <w:top w:val="single" w:sz="4" w:space="0" w:color="auto"/>
              <w:bottom w:val="nil"/>
            </w:tcBorders>
            <w:noWrap/>
            <w:hideMark/>
          </w:tcPr>
          <w:p w14:paraId="6DB83286" w14:textId="77777777" w:rsidR="00A97C01" w:rsidRPr="00EB0D4B" w:rsidRDefault="0096354C" w:rsidP="00541E4C">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1</w:t>
            </w:r>
            <w:r w:rsidR="00A97C01" w:rsidRPr="00EB0D4B">
              <w:rPr>
                <w:rFonts w:ascii="Calibri" w:eastAsia="Times New Roman" w:hAnsi="Calibri" w:cs="Times New Roman"/>
                <w:color w:val="000000"/>
                <w:sz w:val="18"/>
                <w:szCs w:val="18"/>
              </w:rPr>
              <w:t>%</w:t>
            </w:r>
          </w:p>
        </w:tc>
        <w:tc>
          <w:tcPr>
            <w:tcW w:w="1334" w:type="dxa"/>
            <w:tcBorders>
              <w:top w:val="single" w:sz="4" w:space="0" w:color="auto"/>
              <w:bottom w:val="nil"/>
            </w:tcBorders>
            <w:noWrap/>
            <w:hideMark/>
          </w:tcPr>
          <w:p w14:paraId="4E773388" w14:textId="77777777" w:rsidR="00A97C01" w:rsidRPr="00EB0D4B" w:rsidRDefault="0096354C" w:rsidP="00541E4C">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13</w:t>
            </w:r>
            <w:r w:rsidR="00A97C01" w:rsidRPr="00EB0D4B">
              <w:rPr>
                <w:rFonts w:ascii="Calibri" w:eastAsia="Times New Roman" w:hAnsi="Calibri" w:cs="Times New Roman"/>
                <w:color w:val="000000"/>
                <w:sz w:val="18"/>
                <w:szCs w:val="18"/>
              </w:rPr>
              <w:t>%</w:t>
            </w:r>
          </w:p>
        </w:tc>
        <w:tc>
          <w:tcPr>
            <w:tcW w:w="1440" w:type="dxa"/>
            <w:tcBorders>
              <w:top w:val="single" w:sz="4" w:space="0" w:color="auto"/>
            </w:tcBorders>
            <w:noWrap/>
            <w:hideMark/>
          </w:tcPr>
          <w:p w14:paraId="4E00B967" w14:textId="77777777" w:rsidR="00A97C01" w:rsidRPr="00EB0D4B" w:rsidRDefault="0096354C" w:rsidP="00541E4C">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37</w:t>
            </w:r>
            <w:r w:rsidR="00A97C01" w:rsidRPr="00EB0D4B">
              <w:rPr>
                <w:rFonts w:ascii="Calibri" w:eastAsia="Times New Roman" w:hAnsi="Calibri" w:cs="Times New Roman"/>
                <w:color w:val="000000"/>
                <w:sz w:val="18"/>
                <w:szCs w:val="18"/>
              </w:rPr>
              <w:t>%</w:t>
            </w:r>
          </w:p>
        </w:tc>
        <w:tc>
          <w:tcPr>
            <w:tcW w:w="1170" w:type="dxa"/>
            <w:tcBorders>
              <w:top w:val="single" w:sz="4" w:space="0" w:color="auto"/>
            </w:tcBorders>
            <w:noWrap/>
            <w:hideMark/>
          </w:tcPr>
          <w:p w14:paraId="0CD58BD3" w14:textId="77777777" w:rsidR="00A97C01" w:rsidRPr="00EB0D4B" w:rsidRDefault="0096354C" w:rsidP="00541E4C">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46</w:t>
            </w:r>
            <w:r w:rsidR="00A97C01" w:rsidRPr="00EB0D4B">
              <w:rPr>
                <w:rFonts w:ascii="Calibri" w:eastAsia="Times New Roman" w:hAnsi="Calibri" w:cs="Times New Roman"/>
                <w:color w:val="000000"/>
                <w:sz w:val="18"/>
                <w:szCs w:val="18"/>
              </w:rPr>
              <w:t>%</w:t>
            </w:r>
          </w:p>
        </w:tc>
        <w:tc>
          <w:tcPr>
            <w:tcW w:w="1350" w:type="dxa"/>
            <w:tcBorders>
              <w:top w:val="single" w:sz="4" w:space="0" w:color="auto"/>
            </w:tcBorders>
            <w:noWrap/>
            <w:hideMark/>
          </w:tcPr>
          <w:p w14:paraId="7761C43D" w14:textId="77777777" w:rsidR="00A97C01" w:rsidRPr="00EB0D4B" w:rsidRDefault="0096354C" w:rsidP="00541E4C">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1</w:t>
            </w:r>
            <w:r w:rsidR="00A97C01" w:rsidRPr="00EB0D4B">
              <w:rPr>
                <w:rFonts w:ascii="Calibri" w:eastAsia="Times New Roman" w:hAnsi="Calibri" w:cs="Times New Roman"/>
                <w:color w:val="000000"/>
                <w:sz w:val="18"/>
                <w:szCs w:val="18"/>
              </w:rPr>
              <w:t>%</w:t>
            </w:r>
          </w:p>
        </w:tc>
        <w:tc>
          <w:tcPr>
            <w:tcW w:w="1445" w:type="dxa"/>
            <w:tcBorders>
              <w:top w:val="single" w:sz="4" w:space="0" w:color="auto"/>
            </w:tcBorders>
            <w:noWrap/>
            <w:hideMark/>
          </w:tcPr>
          <w:p w14:paraId="7CB246E7" w14:textId="77777777" w:rsidR="00A97C01" w:rsidRPr="00EB0D4B" w:rsidRDefault="005B79AC" w:rsidP="00541E4C">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2</w:t>
            </w:r>
            <w:r w:rsidR="00A97C01" w:rsidRPr="00EB0D4B">
              <w:rPr>
                <w:rFonts w:ascii="Calibri" w:eastAsia="Times New Roman" w:hAnsi="Calibri" w:cs="Times New Roman"/>
                <w:color w:val="000000"/>
                <w:sz w:val="18"/>
                <w:szCs w:val="18"/>
              </w:rPr>
              <w:t>%</w:t>
            </w:r>
          </w:p>
        </w:tc>
      </w:tr>
      <w:tr w:rsidR="00E647F4" w:rsidRPr="00C2294E" w14:paraId="15260FD6" w14:textId="77777777" w:rsidTr="005B79AC">
        <w:trPr>
          <w:trHeight w:val="144"/>
          <w:jc w:val="center"/>
        </w:trPr>
        <w:tc>
          <w:tcPr>
            <w:tcW w:w="2885" w:type="dxa"/>
            <w:tcBorders>
              <w:top w:val="nil"/>
              <w:bottom w:val="single" w:sz="4" w:space="0" w:color="auto"/>
            </w:tcBorders>
            <w:noWrap/>
            <w:hideMark/>
          </w:tcPr>
          <w:p w14:paraId="496AF62F" w14:textId="77777777" w:rsidR="00A97C01" w:rsidRPr="000A28AD" w:rsidRDefault="00A97C01"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Benefits per worker</w:t>
            </w:r>
          </w:p>
        </w:tc>
        <w:tc>
          <w:tcPr>
            <w:tcW w:w="902" w:type="dxa"/>
            <w:tcBorders>
              <w:top w:val="nil"/>
              <w:bottom w:val="single" w:sz="4" w:space="0" w:color="auto"/>
            </w:tcBorders>
            <w:noWrap/>
            <w:hideMark/>
          </w:tcPr>
          <w:p w14:paraId="277351D3" w14:textId="77777777" w:rsidR="00A97C01" w:rsidRPr="00EB0D4B" w:rsidRDefault="0083658D" w:rsidP="00541E4C">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1</w:t>
            </w:r>
            <w:r w:rsidR="00A97C01" w:rsidRPr="00EB0D4B">
              <w:rPr>
                <w:rFonts w:ascii="Calibri" w:eastAsia="Times New Roman" w:hAnsi="Calibri" w:cs="Times New Roman"/>
                <w:color w:val="000000"/>
                <w:sz w:val="18"/>
                <w:szCs w:val="18"/>
              </w:rPr>
              <w:t>%</w:t>
            </w:r>
          </w:p>
        </w:tc>
        <w:tc>
          <w:tcPr>
            <w:tcW w:w="1334" w:type="dxa"/>
            <w:tcBorders>
              <w:top w:val="nil"/>
              <w:bottom w:val="single" w:sz="4" w:space="0" w:color="auto"/>
            </w:tcBorders>
            <w:noWrap/>
            <w:hideMark/>
          </w:tcPr>
          <w:p w14:paraId="0E16E2F2" w14:textId="77777777" w:rsidR="00A97C01" w:rsidRPr="00EB0D4B" w:rsidRDefault="0096354C" w:rsidP="00541E4C">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35</w:t>
            </w:r>
            <w:r w:rsidR="00A97C01" w:rsidRPr="00EB0D4B">
              <w:rPr>
                <w:rFonts w:ascii="Calibri" w:eastAsia="Times New Roman" w:hAnsi="Calibri" w:cs="Times New Roman"/>
                <w:color w:val="000000"/>
                <w:sz w:val="18"/>
                <w:szCs w:val="18"/>
              </w:rPr>
              <w:t>%</w:t>
            </w:r>
          </w:p>
        </w:tc>
        <w:tc>
          <w:tcPr>
            <w:tcW w:w="1440" w:type="dxa"/>
            <w:noWrap/>
            <w:hideMark/>
          </w:tcPr>
          <w:p w14:paraId="1F0D28D8" w14:textId="77777777" w:rsidR="00A97C01" w:rsidRPr="00EB0D4B" w:rsidRDefault="0096354C" w:rsidP="00541E4C">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29</w:t>
            </w:r>
            <w:r w:rsidR="00A97C01" w:rsidRPr="00EB0D4B">
              <w:rPr>
                <w:rFonts w:ascii="Calibri" w:eastAsia="Times New Roman" w:hAnsi="Calibri" w:cs="Times New Roman"/>
                <w:color w:val="000000"/>
                <w:sz w:val="18"/>
                <w:szCs w:val="18"/>
              </w:rPr>
              <w:t>%</w:t>
            </w:r>
          </w:p>
        </w:tc>
        <w:tc>
          <w:tcPr>
            <w:tcW w:w="1170" w:type="dxa"/>
            <w:noWrap/>
            <w:hideMark/>
          </w:tcPr>
          <w:p w14:paraId="56E4B285" w14:textId="77777777" w:rsidR="00A97C01" w:rsidRPr="00EB0D4B" w:rsidRDefault="0096354C" w:rsidP="00541E4C">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26</w:t>
            </w:r>
            <w:r w:rsidR="00A97C01" w:rsidRPr="00EB0D4B">
              <w:rPr>
                <w:rFonts w:ascii="Calibri" w:eastAsia="Times New Roman" w:hAnsi="Calibri" w:cs="Times New Roman"/>
                <w:color w:val="000000"/>
                <w:sz w:val="18"/>
                <w:szCs w:val="18"/>
              </w:rPr>
              <w:t>%</w:t>
            </w:r>
          </w:p>
        </w:tc>
        <w:tc>
          <w:tcPr>
            <w:tcW w:w="1350" w:type="dxa"/>
            <w:noWrap/>
            <w:hideMark/>
          </w:tcPr>
          <w:p w14:paraId="1EA1802B" w14:textId="77777777" w:rsidR="00A97C01" w:rsidRPr="00EB0D4B" w:rsidRDefault="0096354C" w:rsidP="00541E4C">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6</w:t>
            </w:r>
            <w:r w:rsidR="00A97C01" w:rsidRPr="00EB0D4B">
              <w:rPr>
                <w:rFonts w:ascii="Calibri" w:eastAsia="Times New Roman" w:hAnsi="Calibri" w:cs="Times New Roman"/>
                <w:color w:val="000000"/>
                <w:sz w:val="18"/>
                <w:szCs w:val="18"/>
              </w:rPr>
              <w:t>%</w:t>
            </w:r>
          </w:p>
        </w:tc>
        <w:tc>
          <w:tcPr>
            <w:tcW w:w="1445" w:type="dxa"/>
            <w:noWrap/>
            <w:hideMark/>
          </w:tcPr>
          <w:p w14:paraId="34BEC205" w14:textId="77777777" w:rsidR="00A97C01" w:rsidRPr="00EB0D4B" w:rsidRDefault="0096354C" w:rsidP="00541E4C">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3</w:t>
            </w:r>
            <w:r w:rsidR="00A97C01" w:rsidRPr="00EB0D4B">
              <w:rPr>
                <w:rFonts w:ascii="Calibri" w:eastAsia="Times New Roman" w:hAnsi="Calibri" w:cs="Times New Roman"/>
                <w:color w:val="000000"/>
                <w:sz w:val="18"/>
                <w:szCs w:val="18"/>
              </w:rPr>
              <w:t>%</w:t>
            </w:r>
          </w:p>
        </w:tc>
      </w:tr>
    </w:tbl>
    <w:p w14:paraId="703A4C4C" w14:textId="77777777" w:rsidR="00A97C01" w:rsidRDefault="00A97C01" w:rsidP="000A28AD">
      <w:pPr>
        <w:spacing w:after="0" w:line="120" w:lineRule="auto"/>
      </w:pPr>
    </w:p>
    <w:tbl>
      <w:tblPr>
        <w:tblStyle w:val="PlainTable4"/>
        <w:tblW w:w="10445"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Economic Outlook for the next year"/>
        <w:tblDescription w:val="Table showing outlook indivators for next year"/>
      </w:tblPr>
      <w:tblGrid>
        <w:gridCol w:w="3780"/>
        <w:gridCol w:w="1252"/>
        <w:gridCol w:w="1293"/>
        <w:gridCol w:w="1561"/>
        <w:gridCol w:w="1204"/>
        <w:gridCol w:w="1355"/>
      </w:tblGrid>
      <w:tr w:rsidR="001D0139" w:rsidRPr="00623BC4" w14:paraId="2D8C0919"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780" w:type="dxa"/>
            <w:tcBorders>
              <w:top w:val="single" w:sz="4" w:space="0" w:color="auto"/>
              <w:bottom w:val="single" w:sz="4" w:space="0" w:color="auto"/>
            </w:tcBorders>
            <w:shd w:val="clear" w:color="auto" w:fill="BDD6EE" w:themeFill="accent1" w:themeFillTint="66"/>
            <w:noWrap/>
            <w:hideMark/>
          </w:tcPr>
          <w:p w14:paraId="078DEB5C" w14:textId="77777777" w:rsidR="00A97C01" w:rsidRPr="000A28AD" w:rsidRDefault="00531B2D"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Expected</w:t>
            </w:r>
            <w:r w:rsidR="00BE474F" w:rsidRPr="000A28AD">
              <w:rPr>
                <w:rFonts w:ascii="Calibri" w:eastAsia="Times New Roman" w:hAnsi="Calibri" w:cs="Times New Roman"/>
                <w:color w:val="000000"/>
                <w:sz w:val="18"/>
                <w:szCs w:val="18"/>
              </w:rPr>
              <w:t xml:space="preserve"> outlook on the following state economic indicators during the next year: </w:t>
            </w:r>
          </w:p>
        </w:tc>
        <w:tc>
          <w:tcPr>
            <w:tcW w:w="1252" w:type="dxa"/>
            <w:tcBorders>
              <w:top w:val="single" w:sz="4" w:space="0" w:color="auto"/>
              <w:bottom w:val="single" w:sz="4" w:space="0" w:color="auto"/>
            </w:tcBorders>
            <w:shd w:val="clear" w:color="auto" w:fill="BDD6EE" w:themeFill="accent1" w:themeFillTint="66"/>
            <w:noWrap/>
            <w:hideMark/>
          </w:tcPr>
          <w:p w14:paraId="6A8AE3B0"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Up</w:t>
            </w:r>
          </w:p>
        </w:tc>
        <w:tc>
          <w:tcPr>
            <w:tcW w:w="1293" w:type="dxa"/>
            <w:tcBorders>
              <w:top w:val="single" w:sz="4" w:space="0" w:color="auto"/>
              <w:bottom w:val="single" w:sz="4" w:space="0" w:color="auto"/>
            </w:tcBorders>
            <w:shd w:val="clear" w:color="auto" w:fill="BDD6EE" w:themeFill="accent1" w:themeFillTint="66"/>
            <w:noWrap/>
            <w:hideMark/>
          </w:tcPr>
          <w:p w14:paraId="6D4DCAC6"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Same</w:t>
            </w:r>
          </w:p>
        </w:tc>
        <w:tc>
          <w:tcPr>
            <w:tcW w:w="1561" w:type="dxa"/>
            <w:tcBorders>
              <w:top w:val="single" w:sz="4" w:space="0" w:color="auto"/>
              <w:bottom w:val="single" w:sz="4" w:space="0" w:color="auto"/>
            </w:tcBorders>
            <w:shd w:val="clear" w:color="auto" w:fill="BDD6EE" w:themeFill="accent1" w:themeFillTint="66"/>
            <w:noWrap/>
            <w:hideMark/>
          </w:tcPr>
          <w:p w14:paraId="5C690716" w14:textId="77777777" w:rsidR="00A97C01" w:rsidRPr="000A28AD" w:rsidRDefault="00A97C01" w:rsidP="00541E4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Down</w:t>
            </w:r>
          </w:p>
        </w:tc>
        <w:tc>
          <w:tcPr>
            <w:tcW w:w="1204" w:type="dxa"/>
            <w:tcBorders>
              <w:top w:val="single" w:sz="4" w:space="0" w:color="auto"/>
              <w:bottom w:val="single" w:sz="4" w:space="0" w:color="auto"/>
            </w:tcBorders>
            <w:shd w:val="clear" w:color="auto" w:fill="BDD6EE" w:themeFill="accent1" w:themeFillTint="66"/>
            <w:noWrap/>
            <w:hideMark/>
          </w:tcPr>
          <w:p w14:paraId="4441CC41" w14:textId="77777777" w:rsidR="00A97C01" w:rsidRPr="000A28AD" w:rsidRDefault="00E5510A"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Diffusion Index 2019</w:t>
            </w:r>
            <w:r w:rsidR="00AE0EFF" w:rsidRPr="000A28AD">
              <w:rPr>
                <w:rFonts w:ascii="Calibri" w:eastAsia="Times New Roman" w:hAnsi="Calibri" w:cs="Times New Roman"/>
                <w:color w:val="000000"/>
                <w:sz w:val="18"/>
                <w:szCs w:val="18"/>
                <w:vertAlign w:val="superscript"/>
              </w:rPr>
              <w:t>(2)</w:t>
            </w:r>
          </w:p>
        </w:tc>
        <w:tc>
          <w:tcPr>
            <w:tcW w:w="1355" w:type="dxa"/>
            <w:tcBorders>
              <w:top w:val="single" w:sz="4" w:space="0" w:color="auto"/>
              <w:bottom w:val="single" w:sz="4" w:space="0" w:color="auto"/>
            </w:tcBorders>
            <w:shd w:val="clear" w:color="auto" w:fill="BDD6EE" w:themeFill="accent1" w:themeFillTint="66"/>
            <w:noWrap/>
            <w:hideMark/>
          </w:tcPr>
          <w:p w14:paraId="2B45BDB8" w14:textId="77777777" w:rsidR="00A97C01" w:rsidRPr="000A28AD" w:rsidRDefault="00E5510A" w:rsidP="00541E4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Diffusion Index 2018</w:t>
            </w:r>
            <w:r w:rsidR="00AE0EFF" w:rsidRPr="000A28AD">
              <w:rPr>
                <w:rFonts w:ascii="Calibri" w:eastAsia="Times New Roman" w:hAnsi="Calibri" w:cs="Times New Roman"/>
                <w:color w:val="000000"/>
                <w:sz w:val="18"/>
                <w:szCs w:val="18"/>
                <w:vertAlign w:val="superscript"/>
              </w:rPr>
              <w:t>(2)</w:t>
            </w:r>
          </w:p>
        </w:tc>
      </w:tr>
      <w:tr w:rsidR="001D0139" w:rsidRPr="00623BC4" w14:paraId="73F65232" w14:textId="77777777" w:rsidTr="000A28AD">
        <w:trPr>
          <w:trHeight w:val="144"/>
          <w:jc w:val="center"/>
        </w:trPr>
        <w:tc>
          <w:tcPr>
            <w:tcW w:w="3780" w:type="dxa"/>
            <w:tcBorders>
              <w:top w:val="single" w:sz="4" w:space="0" w:color="auto"/>
            </w:tcBorders>
            <w:noWrap/>
            <w:hideMark/>
          </w:tcPr>
          <w:p w14:paraId="7045C1F8" w14:textId="77777777" w:rsidR="00A97C01" w:rsidRPr="000A28AD" w:rsidRDefault="00A97C01"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Business Inv.</w:t>
            </w:r>
          </w:p>
        </w:tc>
        <w:tc>
          <w:tcPr>
            <w:tcW w:w="1252" w:type="dxa"/>
            <w:tcBorders>
              <w:top w:val="single" w:sz="4" w:space="0" w:color="auto"/>
            </w:tcBorders>
            <w:noWrap/>
            <w:hideMark/>
          </w:tcPr>
          <w:p w14:paraId="3F2F48A5" w14:textId="77777777" w:rsidR="00A97C01" w:rsidRPr="00EB0D4B" w:rsidRDefault="00E5510A"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27</w:t>
            </w:r>
            <w:r w:rsidR="00A97C01" w:rsidRPr="00EB0D4B">
              <w:rPr>
                <w:rFonts w:ascii="Calibri" w:eastAsia="Times New Roman" w:hAnsi="Calibri" w:cs="Times New Roman"/>
                <w:color w:val="000000"/>
                <w:sz w:val="18"/>
                <w:szCs w:val="18"/>
              </w:rPr>
              <w:t>%</w:t>
            </w:r>
          </w:p>
        </w:tc>
        <w:tc>
          <w:tcPr>
            <w:tcW w:w="1293" w:type="dxa"/>
            <w:tcBorders>
              <w:top w:val="single" w:sz="4" w:space="0" w:color="auto"/>
            </w:tcBorders>
            <w:noWrap/>
            <w:hideMark/>
          </w:tcPr>
          <w:p w14:paraId="1402BE08" w14:textId="77777777" w:rsidR="00A97C01" w:rsidRPr="00EB0D4B" w:rsidRDefault="00E5510A"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56</w:t>
            </w:r>
            <w:r w:rsidR="00A97C01" w:rsidRPr="00EB0D4B">
              <w:rPr>
                <w:rFonts w:ascii="Calibri" w:eastAsia="Times New Roman" w:hAnsi="Calibri" w:cs="Times New Roman"/>
                <w:color w:val="000000"/>
                <w:sz w:val="18"/>
                <w:szCs w:val="18"/>
              </w:rPr>
              <w:t>%</w:t>
            </w:r>
          </w:p>
        </w:tc>
        <w:tc>
          <w:tcPr>
            <w:tcW w:w="1561" w:type="dxa"/>
            <w:tcBorders>
              <w:top w:val="single" w:sz="4" w:space="0" w:color="auto"/>
            </w:tcBorders>
            <w:noWrap/>
            <w:hideMark/>
          </w:tcPr>
          <w:p w14:paraId="4840F573" w14:textId="77777777" w:rsidR="00A97C01" w:rsidRPr="00EB0D4B" w:rsidRDefault="00E5510A"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17</w:t>
            </w:r>
            <w:r w:rsidR="00A97C01" w:rsidRPr="00EB0D4B">
              <w:rPr>
                <w:rFonts w:ascii="Calibri" w:eastAsia="Times New Roman" w:hAnsi="Calibri" w:cs="Times New Roman"/>
                <w:color w:val="000000"/>
                <w:sz w:val="18"/>
                <w:szCs w:val="18"/>
              </w:rPr>
              <w:t>%</w:t>
            </w:r>
          </w:p>
        </w:tc>
        <w:tc>
          <w:tcPr>
            <w:tcW w:w="1204" w:type="dxa"/>
            <w:tcBorders>
              <w:top w:val="single" w:sz="4" w:space="0" w:color="auto"/>
            </w:tcBorders>
            <w:noWrap/>
            <w:hideMark/>
          </w:tcPr>
          <w:p w14:paraId="7F150D9F" w14:textId="77777777" w:rsidR="00A97C01" w:rsidRPr="00EB0D4B" w:rsidRDefault="00E5510A"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55</w:t>
            </w:r>
          </w:p>
        </w:tc>
        <w:tc>
          <w:tcPr>
            <w:tcW w:w="1355" w:type="dxa"/>
            <w:tcBorders>
              <w:top w:val="single" w:sz="4" w:space="0" w:color="auto"/>
            </w:tcBorders>
            <w:noWrap/>
            <w:hideMark/>
          </w:tcPr>
          <w:p w14:paraId="65B88C96" w14:textId="77777777" w:rsidR="00A97C01" w:rsidRPr="00EB0D4B" w:rsidRDefault="005B79AC"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6</w:t>
            </w:r>
            <w:r w:rsidR="00E5510A" w:rsidRPr="00EB0D4B">
              <w:rPr>
                <w:rFonts w:ascii="Calibri" w:eastAsia="Times New Roman" w:hAnsi="Calibri" w:cs="Times New Roman"/>
                <w:color w:val="000000"/>
                <w:sz w:val="18"/>
                <w:szCs w:val="18"/>
              </w:rPr>
              <w:t>0</w:t>
            </w:r>
          </w:p>
        </w:tc>
      </w:tr>
      <w:tr w:rsidR="00E647F4" w:rsidRPr="00623BC4" w14:paraId="3606366F" w14:textId="77777777" w:rsidTr="000A28AD">
        <w:trPr>
          <w:trHeight w:val="144"/>
          <w:jc w:val="center"/>
        </w:trPr>
        <w:tc>
          <w:tcPr>
            <w:tcW w:w="3780" w:type="dxa"/>
            <w:noWrap/>
            <w:hideMark/>
          </w:tcPr>
          <w:p w14:paraId="4BBC4418" w14:textId="77777777" w:rsidR="00A97C01" w:rsidRPr="000A28AD" w:rsidRDefault="00A97C01"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Employment</w:t>
            </w:r>
          </w:p>
        </w:tc>
        <w:tc>
          <w:tcPr>
            <w:tcW w:w="1252" w:type="dxa"/>
            <w:noWrap/>
            <w:hideMark/>
          </w:tcPr>
          <w:p w14:paraId="108D3758" w14:textId="77777777" w:rsidR="00A97C01" w:rsidRPr="00EB0D4B" w:rsidRDefault="00E5510A"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23</w:t>
            </w:r>
            <w:r w:rsidR="00A97C01" w:rsidRPr="00EB0D4B">
              <w:rPr>
                <w:rFonts w:ascii="Calibri" w:eastAsia="Times New Roman" w:hAnsi="Calibri" w:cs="Times New Roman"/>
                <w:color w:val="000000"/>
                <w:sz w:val="18"/>
                <w:szCs w:val="18"/>
              </w:rPr>
              <w:t>%</w:t>
            </w:r>
          </w:p>
        </w:tc>
        <w:tc>
          <w:tcPr>
            <w:tcW w:w="1293" w:type="dxa"/>
            <w:noWrap/>
            <w:hideMark/>
          </w:tcPr>
          <w:p w14:paraId="1490F0A8" w14:textId="77777777" w:rsidR="00A97C01" w:rsidRPr="00EB0D4B" w:rsidRDefault="00E5510A"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65</w:t>
            </w:r>
            <w:r w:rsidR="00A97C01" w:rsidRPr="00EB0D4B">
              <w:rPr>
                <w:rFonts w:ascii="Calibri" w:eastAsia="Times New Roman" w:hAnsi="Calibri" w:cs="Times New Roman"/>
                <w:color w:val="000000"/>
                <w:sz w:val="18"/>
                <w:szCs w:val="18"/>
              </w:rPr>
              <w:t>%</w:t>
            </w:r>
          </w:p>
        </w:tc>
        <w:tc>
          <w:tcPr>
            <w:tcW w:w="1561" w:type="dxa"/>
            <w:noWrap/>
            <w:hideMark/>
          </w:tcPr>
          <w:p w14:paraId="176D0DAA" w14:textId="77777777" w:rsidR="00A97C01" w:rsidRPr="00EB0D4B" w:rsidRDefault="00E5510A"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12</w:t>
            </w:r>
            <w:r w:rsidR="00A97C01" w:rsidRPr="00EB0D4B">
              <w:rPr>
                <w:rFonts w:ascii="Calibri" w:eastAsia="Times New Roman" w:hAnsi="Calibri" w:cs="Times New Roman"/>
                <w:color w:val="000000"/>
                <w:sz w:val="18"/>
                <w:szCs w:val="18"/>
              </w:rPr>
              <w:t>%</w:t>
            </w:r>
          </w:p>
        </w:tc>
        <w:tc>
          <w:tcPr>
            <w:tcW w:w="1204" w:type="dxa"/>
            <w:noWrap/>
            <w:hideMark/>
          </w:tcPr>
          <w:p w14:paraId="4DB1E1D0" w14:textId="77777777" w:rsidR="00A97C01" w:rsidRPr="00EB0D4B" w:rsidRDefault="00E5510A"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56</w:t>
            </w:r>
          </w:p>
        </w:tc>
        <w:tc>
          <w:tcPr>
            <w:tcW w:w="1355" w:type="dxa"/>
            <w:noWrap/>
            <w:hideMark/>
          </w:tcPr>
          <w:p w14:paraId="3C30C519" w14:textId="77777777" w:rsidR="00A97C01" w:rsidRPr="00EB0D4B" w:rsidRDefault="00E5510A"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62</w:t>
            </w:r>
          </w:p>
        </w:tc>
      </w:tr>
      <w:tr w:rsidR="001D0139" w:rsidRPr="00623BC4" w14:paraId="452813B4" w14:textId="77777777" w:rsidTr="000A28AD">
        <w:trPr>
          <w:trHeight w:val="144"/>
          <w:jc w:val="center"/>
        </w:trPr>
        <w:tc>
          <w:tcPr>
            <w:tcW w:w="3780" w:type="dxa"/>
            <w:noWrap/>
            <w:hideMark/>
          </w:tcPr>
          <w:p w14:paraId="27631ED0" w14:textId="77777777" w:rsidR="00A97C01" w:rsidRPr="000A28AD" w:rsidRDefault="00A97C01"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Consumer spending</w:t>
            </w:r>
          </w:p>
        </w:tc>
        <w:tc>
          <w:tcPr>
            <w:tcW w:w="1252" w:type="dxa"/>
            <w:noWrap/>
            <w:hideMark/>
          </w:tcPr>
          <w:p w14:paraId="20A1C6EA" w14:textId="77777777" w:rsidR="00A97C01" w:rsidRPr="00EB0D4B" w:rsidRDefault="00E5510A"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24</w:t>
            </w:r>
            <w:r w:rsidR="00A97C01" w:rsidRPr="00EB0D4B">
              <w:rPr>
                <w:rFonts w:ascii="Calibri" w:eastAsia="Times New Roman" w:hAnsi="Calibri" w:cs="Times New Roman"/>
                <w:color w:val="000000"/>
                <w:sz w:val="18"/>
                <w:szCs w:val="18"/>
              </w:rPr>
              <w:t>%</w:t>
            </w:r>
          </w:p>
        </w:tc>
        <w:tc>
          <w:tcPr>
            <w:tcW w:w="1293" w:type="dxa"/>
            <w:noWrap/>
            <w:hideMark/>
          </w:tcPr>
          <w:p w14:paraId="7958BF11" w14:textId="77777777" w:rsidR="00A97C01" w:rsidRPr="00EB0D4B" w:rsidRDefault="00E5510A"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61</w:t>
            </w:r>
            <w:r w:rsidR="00A97C01" w:rsidRPr="00EB0D4B">
              <w:rPr>
                <w:rFonts w:ascii="Calibri" w:eastAsia="Times New Roman" w:hAnsi="Calibri" w:cs="Times New Roman"/>
                <w:color w:val="000000"/>
                <w:sz w:val="18"/>
                <w:szCs w:val="18"/>
              </w:rPr>
              <w:t>%</w:t>
            </w:r>
          </w:p>
        </w:tc>
        <w:tc>
          <w:tcPr>
            <w:tcW w:w="1561" w:type="dxa"/>
            <w:noWrap/>
            <w:hideMark/>
          </w:tcPr>
          <w:p w14:paraId="5CA6FAFE" w14:textId="77777777" w:rsidR="00A97C01" w:rsidRPr="00EB0D4B" w:rsidRDefault="00E5510A"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15</w:t>
            </w:r>
            <w:r w:rsidR="00A97C01" w:rsidRPr="00EB0D4B">
              <w:rPr>
                <w:rFonts w:ascii="Calibri" w:eastAsia="Times New Roman" w:hAnsi="Calibri" w:cs="Times New Roman"/>
                <w:color w:val="000000"/>
                <w:sz w:val="18"/>
                <w:szCs w:val="18"/>
              </w:rPr>
              <w:t>%</w:t>
            </w:r>
          </w:p>
        </w:tc>
        <w:tc>
          <w:tcPr>
            <w:tcW w:w="1204" w:type="dxa"/>
            <w:noWrap/>
            <w:hideMark/>
          </w:tcPr>
          <w:p w14:paraId="0CF7BA05" w14:textId="77777777" w:rsidR="00A97C01" w:rsidRPr="00EB0D4B" w:rsidRDefault="00E5510A"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55</w:t>
            </w:r>
          </w:p>
        </w:tc>
        <w:tc>
          <w:tcPr>
            <w:tcW w:w="1355" w:type="dxa"/>
            <w:noWrap/>
            <w:hideMark/>
          </w:tcPr>
          <w:p w14:paraId="16A7F9D5" w14:textId="77777777" w:rsidR="00A97C01" w:rsidRPr="00EB0D4B" w:rsidRDefault="00E5510A"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54</w:t>
            </w:r>
          </w:p>
        </w:tc>
      </w:tr>
      <w:tr w:rsidR="00E647F4" w:rsidRPr="00623BC4" w14:paraId="5553A9EE" w14:textId="77777777" w:rsidTr="000A28AD">
        <w:trPr>
          <w:trHeight w:val="144"/>
          <w:jc w:val="center"/>
        </w:trPr>
        <w:tc>
          <w:tcPr>
            <w:tcW w:w="3780" w:type="dxa"/>
            <w:noWrap/>
            <w:hideMark/>
          </w:tcPr>
          <w:p w14:paraId="2D88CA7E" w14:textId="77777777" w:rsidR="00A97C01" w:rsidRPr="000A28AD" w:rsidRDefault="00A97C01"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Inflation</w:t>
            </w:r>
          </w:p>
        </w:tc>
        <w:tc>
          <w:tcPr>
            <w:tcW w:w="1252" w:type="dxa"/>
            <w:noWrap/>
            <w:hideMark/>
          </w:tcPr>
          <w:p w14:paraId="73CCFF0A" w14:textId="77777777" w:rsidR="00A97C01" w:rsidRPr="00EB0D4B" w:rsidRDefault="00C9391D"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39</w:t>
            </w:r>
            <w:r w:rsidR="00A97C01" w:rsidRPr="00EB0D4B">
              <w:rPr>
                <w:rFonts w:ascii="Calibri" w:eastAsia="Times New Roman" w:hAnsi="Calibri" w:cs="Times New Roman"/>
                <w:color w:val="000000"/>
                <w:sz w:val="18"/>
                <w:szCs w:val="18"/>
              </w:rPr>
              <w:t>%</w:t>
            </w:r>
          </w:p>
        </w:tc>
        <w:tc>
          <w:tcPr>
            <w:tcW w:w="1293" w:type="dxa"/>
            <w:noWrap/>
            <w:hideMark/>
          </w:tcPr>
          <w:p w14:paraId="1A611679" w14:textId="77777777" w:rsidR="00A97C01" w:rsidRPr="00EB0D4B" w:rsidRDefault="00C9391D"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59</w:t>
            </w:r>
            <w:r w:rsidR="00A97C01" w:rsidRPr="00EB0D4B">
              <w:rPr>
                <w:rFonts w:ascii="Calibri" w:eastAsia="Times New Roman" w:hAnsi="Calibri" w:cs="Times New Roman"/>
                <w:color w:val="000000"/>
                <w:sz w:val="18"/>
                <w:szCs w:val="18"/>
              </w:rPr>
              <w:t>%</w:t>
            </w:r>
          </w:p>
        </w:tc>
        <w:tc>
          <w:tcPr>
            <w:tcW w:w="1561" w:type="dxa"/>
            <w:noWrap/>
            <w:hideMark/>
          </w:tcPr>
          <w:p w14:paraId="19A7F2E8" w14:textId="77777777" w:rsidR="00A97C01" w:rsidRPr="00EB0D4B" w:rsidRDefault="00C9391D"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2</w:t>
            </w:r>
            <w:r w:rsidR="00A97C01" w:rsidRPr="00EB0D4B">
              <w:rPr>
                <w:rFonts w:ascii="Calibri" w:eastAsia="Times New Roman" w:hAnsi="Calibri" w:cs="Times New Roman"/>
                <w:color w:val="000000"/>
                <w:sz w:val="18"/>
                <w:szCs w:val="18"/>
              </w:rPr>
              <w:t>%</w:t>
            </w:r>
          </w:p>
        </w:tc>
        <w:tc>
          <w:tcPr>
            <w:tcW w:w="1204" w:type="dxa"/>
            <w:noWrap/>
            <w:hideMark/>
          </w:tcPr>
          <w:p w14:paraId="5B1E64AE" w14:textId="77777777" w:rsidR="00A97C01" w:rsidRPr="00EB0D4B" w:rsidRDefault="00C9391D"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68</w:t>
            </w:r>
          </w:p>
        </w:tc>
        <w:tc>
          <w:tcPr>
            <w:tcW w:w="1355" w:type="dxa"/>
            <w:noWrap/>
            <w:hideMark/>
          </w:tcPr>
          <w:p w14:paraId="38093C1B" w14:textId="77777777" w:rsidR="00A97C01" w:rsidRPr="00EB0D4B" w:rsidRDefault="00C9391D"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85</w:t>
            </w:r>
          </w:p>
        </w:tc>
      </w:tr>
      <w:tr w:rsidR="001D0139" w:rsidRPr="00623BC4" w14:paraId="635166F1" w14:textId="77777777" w:rsidTr="000A28AD">
        <w:trPr>
          <w:trHeight w:val="144"/>
          <w:jc w:val="center"/>
        </w:trPr>
        <w:tc>
          <w:tcPr>
            <w:tcW w:w="3780" w:type="dxa"/>
            <w:noWrap/>
            <w:hideMark/>
          </w:tcPr>
          <w:p w14:paraId="05AAEC4D" w14:textId="77777777" w:rsidR="00A97C01" w:rsidRPr="000A28AD" w:rsidRDefault="00A97C01"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Economic growth</w:t>
            </w:r>
          </w:p>
        </w:tc>
        <w:tc>
          <w:tcPr>
            <w:tcW w:w="1252" w:type="dxa"/>
            <w:noWrap/>
            <w:hideMark/>
          </w:tcPr>
          <w:p w14:paraId="0937FB7A" w14:textId="77777777" w:rsidR="00A97C01" w:rsidRPr="00EB0D4B" w:rsidRDefault="00E42CFF"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27</w:t>
            </w:r>
            <w:r w:rsidR="00A97C01" w:rsidRPr="00EB0D4B">
              <w:rPr>
                <w:rFonts w:ascii="Calibri" w:eastAsia="Times New Roman" w:hAnsi="Calibri" w:cs="Times New Roman"/>
                <w:color w:val="000000"/>
                <w:sz w:val="18"/>
                <w:szCs w:val="18"/>
              </w:rPr>
              <w:t>%</w:t>
            </w:r>
          </w:p>
        </w:tc>
        <w:tc>
          <w:tcPr>
            <w:tcW w:w="1293" w:type="dxa"/>
            <w:noWrap/>
            <w:hideMark/>
          </w:tcPr>
          <w:p w14:paraId="43B71EF5" w14:textId="77777777" w:rsidR="00A97C01" w:rsidRPr="00EB0D4B" w:rsidRDefault="00E42CFF"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59</w:t>
            </w:r>
            <w:r w:rsidR="00A97C01" w:rsidRPr="00EB0D4B">
              <w:rPr>
                <w:rFonts w:ascii="Calibri" w:eastAsia="Times New Roman" w:hAnsi="Calibri" w:cs="Times New Roman"/>
                <w:color w:val="000000"/>
                <w:sz w:val="18"/>
                <w:szCs w:val="18"/>
              </w:rPr>
              <w:t>%</w:t>
            </w:r>
          </w:p>
        </w:tc>
        <w:tc>
          <w:tcPr>
            <w:tcW w:w="1561" w:type="dxa"/>
            <w:noWrap/>
            <w:hideMark/>
          </w:tcPr>
          <w:p w14:paraId="632B7A36" w14:textId="77777777" w:rsidR="00A97C01" w:rsidRPr="00EB0D4B" w:rsidRDefault="00E42CFF"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14</w:t>
            </w:r>
            <w:r w:rsidR="00A97C01" w:rsidRPr="00EB0D4B">
              <w:rPr>
                <w:rFonts w:ascii="Calibri" w:eastAsia="Times New Roman" w:hAnsi="Calibri" w:cs="Times New Roman"/>
                <w:color w:val="000000"/>
                <w:sz w:val="18"/>
                <w:szCs w:val="18"/>
              </w:rPr>
              <w:t>%</w:t>
            </w:r>
          </w:p>
        </w:tc>
        <w:tc>
          <w:tcPr>
            <w:tcW w:w="1204" w:type="dxa"/>
            <w:noWrap/>
            <w:hideMark/>
          </w:tcPr>
          <w:p w14:paraId="15FC6853" w14:textId="77777777" w:rsidR="00A97C01" w:rsidRPr="00EB0D4B" w:rsidRDefault="00E42CFF"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57</w:t>
            </w:r>
          </w:p>
        </w:tc>
        <w:tc>
          <w:tcPr>
            <w:tcW w:w="1355" w:type="dxa"/>
            <w:noWrap/>
            <w:hideMark/>
          </w:tcPr>
          <w:p w14:paraId="0F3AF18D" w14:textId="77777777" w:rsidR="00A97C01" w:rsidRPr="00EB0D4B" w:rsidRDefault="00E42CFF"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59</w:t>
            </w:r>
          </w:p>
        </w:tc>
      </w:tr>
      <w:tr w:rsidR="00E647F4" w:rsidRPr="00623BC4" w14:paraId="2E25571D" w14:textId="77777777" w:rsidTr="000A28AD">
        <w:trPr>
          <w:trHeight w:val="144"/>
          <w:jc w:val="center"/>
        </w:trPr>
        <w:tc>
          <w:tcPr>
            <w:tcW w:w="3780" w:type="dxa"/>
            <w:noWrap/>
            <w:hideMark/>
          </w:tcPr>
          <w:p w14:paraId="44E718A5" w14:textId="77777777" w:rsidR="00A97C01" w:rsidRPr="000A28AD" w:rsidRDefault="00A97C01" w:rsidP="00541E4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Corp. profits</w:t>
            </w:r>
          </w:p>
        </w:tc>
        <w:tc>
          <w:tcPr>
            <w:tcW w:w="1252" w:type="dxa"/>
            <w:noWrap/>
            <w:hideMark/>
          </w:tcPr>
          <w:p w14:paraId="70A95DC3" w14:textId="77777777" w:rsidR="00A97C01" w:rsidRPr="00EB0D4B" w:rsidRDefault="002F66B5"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26</w:t>
            </w:r>
            <w:r w:rsidR="00A97C01" w:rsidRPr="00EB0D4B">
              <w:rPr>
                <w:rFonts w:ascii="Calibri" w:eastAsia="Times New Roman" w:hAnsi="Calibri" w:cs="Times New Roman"/>
                <w:color w:val="000000"/>
                <w:sz w:val="18"/>
                <w:szCs w:val="18"/>
              </w:rPr>
              <w:t>%</w:t>
            </w:r>
          </w:p>
        </w:tc>
        <w:tc>
          <w:tcPr>
            <w:tcW w:w="1293" w:type="dxa"/>
            <w:noWrap/>
            <w:hideMark/>
          </w:tcPr>
          <w:p w14:paraId="2C7EEA4B" w14:textId="77777777" w:rsidR="00A97C01" w:rsidRPr="00EB0D4B" w:rsidRDefault="002F66B5"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54</w:t>
            </w:r>
            <w:r w:rsidR="00A97C01" w:rsidRPr="00EB0D4B">
              <w:rPr>
                <w:rFonts w:ascii="Calibri" w:eastAsia="Times New Roman" w:hAnsi="Calibri" w:cs="Times New Roman"/>
                <w:color w:val="000000"/>
                <w:sz w:val="18"/>
                <w:szCs w:val="18"/>
              </w:rPr>
              <w:t>%</w:t>
            </w:r>
          </w:p>
        </w:tc>
        <w:tc>
          <w:tcPr>
            <w:tcW w:w="1561" w:type="dxa"/>
            <w:noWrap/>
            <w:hideMark/>
          </w:tcPr>
          <w:p w14:paraId="1BEEFAD1" w14:textId="77777777" w:rsidR="00A97C01" w:rsidRPr="00EB0D4B" w:rsidRDefault="002F66B5"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20</w:t>
            </w:r>
            <w:r w:rsidR="00A97C01" w:rsidRPr="00EB0D4B">
              <w:rPr>
                <w:rFonts w:ascii="Calibri" w:eastAsia="Times New Roman" w:hAnsi="Calibri" w:cs="Times New Roman"/>
                <w:color w:val="000000"/>
                <w:sz w:val="18"/>
                <w:szCs w:val="18"/>
              </w:rPr>
              <w:t>%</w:t>
            </w:r>
          </w:p>
        </w:tc>
        <w:tc>
          <w:tcPr>
            <w:tcW w:w="1204" w:type="dxa"/>
            <w:noWrap/>
            <w:hideMark/>
          </w:tcPr>
          <w:p w14:paraId="3A18E6EA" w14:textId="77777777" w:rsidR="00A97C01" w:rsidRPr="00EB0D4B" w:rsidRDefault="002F66B5"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53</w:t>
            </w:r>
          </w:p>
        </w:tc>
        <w:tc>
          <w:tcPr>
            <w:tcW w:w="1355" w:type="dxa"/>
            <w:noWrap/>
            <w:hideMark/>
          </w:tcPr>
          <w:p w14:paraId="685F6151" w14:textId="77777777" w:rsidR="00A97C01" w:rsidRPr="00EB0D4B" w:rsidRDefault="002F66B5" w:rsidP="00E647F4">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54</w:t>
            </w:r>
          </w:p>
        </w:tc>
      </w:tr>
    </w:tbl>
    <w:p w14:paraId="698BC295" w14:textId="77777777" w:rsidR="008462FE" w:rsidRDefault="008462FE" w:rsidP="000A28AD">
      <w:pPr>
        <w:spacing w:after="0" w:line="120" w:lineRule="auto"/>
      </w:pPr>
      <w:r>
        <w:br/>
      </w:r>
    </w:p>
    <w:tbl>
      <w:tblPr>
        <w:tblStyle w:val="PlainTable4"/>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Economic Outlook for the next year"/>
        <w:tblDescription w:val="Table showing outlook indivators for next year"/>
      </w:tblPr>
      <w:tblGrid>
        <w:gridCol w:w="2255"/>
        <w:gridCol w:w="1345"/>
        <w:gridCol w:w="1265"/>
        <w:gridCol w:w="1070"/>
        <w:gridCol w:w="1265"/>
        <w:gridCol w:w="2250"/>
        <w:gridCol w:w="995"/>
      </w:tblGrid>
      <w:tr w:rsidR="001C3AD2" w:rsidRPr="00623BC4" w14:paraId="16618AC9" w14:textId="77777777" w:rsidTr="00F12CBB">
        <w:trPr>
          <w:cnfStyle w:val="100000000000" w:firstRow="1" w:lastRow="0" w:firstColumn="0" w:lastColumn="0" w:oddVBand="0" w:evenVBand="0" w:oddHBand="0" w:evenHBand="0" w:firstRowFirstColumn="0" w:firstRowLastColumn="0" w:lastRowFirstColumn="0" w:lastRowLastColumn="0"/>
          <w:trHeight w:val="144"/>
          <w:tblHeader/>
          <w:jc w:val="center"/>
        </w:trPr>
        <w:tc>
          <w:tcPr>
            <w:tcW w:w="2255" w:type="dxa"/>
            <w:tcBorders>
              <w:bottom w:val="single" w:sz="4" w:space="0" w:color="auto"/>
              <w:right w:val="nil"/>
            </w:tcBorders>
            <w:shd w:val="clear" w:color="auto" w:fill="BDD6EE" w:themeFill="accent1" w:themeFillTint="66"/>
            <w:noWrap/>
            <w:hideMark/>
          </w:tcPr>
          <w:p w14:paraId="31B4C02C" w14:textId="77777777" w:rsidR="001709C7" w:rsidRPr="000A28AD" w:rsidRDefault="001709C7" w:rsidP="009071B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Effect of U.S. Tariffs and</w:t>
            </w:r>
            <w:r>
              <w:rPr>
                <w:rFonts w:ascii="Calibri" w:eastAsia="Times New Roman" w:hAnsi="Calibri" w:cs="Times New Roman"/>
                <w:color w:val="000000"/>
                <w:sz w:val="18"/>
                <w:szCs w:val="18"/>
              </w:rPr>
              <w:br/>
              <w:t>Foreign Countermeasures</w:t>
            </w:r>
          </w:p>
        </w:tc>
        <w:tc>
          <w:tcPr>
            <w:tcW w:w="1345" w:type="dxa"/>
            <w:tcBorders>
              <w:left w:val="nil"/>
              <w:bottom w:val="single" w:sz="4" w:space="0" w:color="auto"/>
              <w:right w:val="nil"/>
            </w:tcBorders>
            <w:shd w:val="clear" w:color="auto" w:fill="BDD6EE" w:themeFill="accent1" w:themeFillTint="66"/>
            <w:noWrap/>
            <w:hideMark/>
          </w:tcPr>
          <w:p w14:paraId="7E3D1CFD" w14:textId="77777777" w:rsidR="001709C7" w:rsidRPr="000A28AD" w:rsidRDefault="001709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br/>
              <w:t>Negative</w:t>
            </w:r>
          </w:p>
        </w:tc>
        <w:tc>
          <w:tcPr>
            <w:tcW w:w="1265" w:type="dxa"/>
            <w:tcBorders>
              <w:left w:val="nil"/>
              <w:bottom w:val="single" w:sz="4" w:space="0" w:color="auto"/>
              <w:right w:val="nil"/>
            </w:tcBorders>
            <w:shd w:val="clear" w:color="auto" w:fill="BDD6EE" w:themeFill="accent1" w:themeFillTint="66"/>
          </w:tcPr>
          <w:p w14:paraId="098E2148" w14:textId="77777777" w:rsidR="001709C7" w:rsidRPr="000A28AD" w:rsidRDefault="001709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U.S. Tariffs</w:t>
            </w:r>
            <w:r>
              <w:rPr>
                <w:rFonts w:ascii="Calibri" w:eastAsia="Times New Roman" w:hAnsi="Calibri" w:cs="Times New Roman"/>
                <w:color w:val="000000"/>
                <w:sz w:val="18"/>
                <w:szCs w:val="18"/>
              </w:rPr>
              <w:br/>
              <w:t>No Effect</w:t>
            </w:r>
          </w:p>
        </w:tc>
        <w:tc>
          <w:tcPr>
            <w:tcW w:w="1070" w:type="dxa"/>
            <w:tcBorders>
              <w:top w:val="single" w:sz="4" w:space="0" w:color="auto"/>
              <w:left w:val="nil"/>
              <w:bottom w:val="single" w:sz="4" w:space="0" w:color="auto"/>
              <w:right w:val="single" w:sz="4" w:space="0" w:color="auto"/>
            </w:tcBorders>
            <w:shd w:val="clear" w:color="auto" w:fill="BDD6EE" w:themeFill="accent1" w:themeFillTint="66"/>
            <w:noWrap/>
            <w:hideMark/>
          </w:tcPr>
          <w:p w14:paraId="2C9F74F0" w14:textId="77777777" w:rsidR="001709C7" w:rsidRPr="000A28AD" w:rsidRDefault="001709C7" w:rsidP="001709C7">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br/>
              <w:t>Positive</w:t>
            </w:r>
          </w:p>
        </w:tc>
        <w:tc>
          <w:tcPr>
            <w:tcW w:w="1265" w:type="dxa"/>
            <w:tcBorders>
              <w:top w:val="single" w:sz="4" w:space="0" w:color="auto"/>
              <w:left w:val="single" w:sz="4" w:space="0" w:color="auto"/>
              <w:bottom w:val="single" w:sz="4" w:space="0" w:color="auto"/>
              <w:right w:val="nil"/>
            </w:tcBorders>
            <w:shd w:val="clear" w:color="auto" w:fill="BDD6EE" w:themeFill="accent1" w:themeFillTint="66"/>
            <w:noWrap/>
          </w:tcPr>
          <w:p w14:paraId="7C55F459" w14:textId="77777777" w:rsidR="001709C7" w:rsidRPr="000A28AD" w:rsidRDefault="001709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br/>
              <w:t>Negative</w:t>
            </w:r>
          </w:p>
        </w:tc>
        <w:tc>
          <w:tcPr>
            <w:tcW w:w="2250" w:type="dxa"/>
            <w:tcBorders>
              <w:top w:val="single" w:sz="4" w:space="0" w:color="auto"/>
              <w:left w:val="nil"/>
              <w:bottom w:val="single" w:sz="4" w:space="0" w:color="auto"/>
              <w:right w:val="nil"/>
            </w:tcBorders>
            <w:shd w:val="clear" w:color="auto" w:fill="BDD6EE" w:themeFill="accent1" w:themeFillTint="66"/>
            <w:noWrap/>
          </w:tcPr>
          <w:p w14:paraId="088C0062" w14:textId="77777777" w:rsidR="001709C7" w:rsidRPr="000A28AD" w:rsidRDefault="001709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Foreign Countermeasures</w:t>
            </w:r>
            <w:r>
              <w:rPr>
                <w:rFonts w:ascii="Calibri" w:eastAsia="Times New Roman" w:hAnsi="Calibri" w:cs="Times New Roman"/>
                <w:color w:val="000000"/>
                <w:sz w:val="18"/>
                <w:szCs w:val="18"/>
              </w:rPr>
              <w:br/>
              <w:t>No Effect</w:t>
            </w:r>
          </w:p>
        </w:tc>
        <w:tc>
          <w:tcPr>
            <w:tcW w:w="995" w:type="dxa"/>
            <w:tcBorders>
              <w:left w:val="nil"/>
              <w:bottom w:val="single" w:sz="4" w:space="0" w:color="auto"/>
            </w:tcBorders>
            <w:shd w:val="clear" w:color="auto" w:fill="BDD6EE" w:themeFill="accent1" w:themeFillTint="66"/>
            <w:noWrap/>
          </w:tcPr>
          <w:p w14:paraId="7DF7616D" w14:textId="77777777" w:rsidR="001709C7" w:rsidRPr="000A28AD" w:rsidRDefault="001709C7" w:rsidP="009071BB">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br/>
              <w:t>Positive</w:t>
            </w:r>
          </w:p>
        </w:tc>
      </w:tr>
      <w:tr w:rsidR="00546E1F" w:rsidRPr="00623BC4" w14:paraId="02B602FD" w14:textId="77777777" w:rsidTr="00F12CBB">
        <w:trPr>
          <w:trHeight w:val="144"/>
          <w:jc w:val="center"/>
        </w:trPr>
        <w:tc>
          <w:tcPr>
            <w:tcW w:w="2255" w:type="dxa"/>
            <w:tcBorders>
              <w:top w:val="single" w:sz="4" w:space="0" w:color="auto"/>
              <w:left w:val="single" w:sz="4" w:space="0" w:color="auto"/>
              <w:bottom w:val="nil"/>
              <w:right w:val="nil"/>
            </w:tcBorders>
            <w:noWrap/>
            <w:hideMark/>
          </w:tcPr>
          <w:p w14:paraId="371601FC" w14:textId="77777777" w:rsidR="001709C7" w:rsidRPr="000A28AD" w:rsidRDefault="00BE3943" w:rsidP="009071B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Employment</w:t>
            </w:r>
          </w:p>
        </w:tc>
        <w:tc>
          <w:tcPr>
            <w:tcW w:w="1345" w:type="dxa"/>
            <w:tcBorders>
              <w:top w:val="single" w:sz="4" w:space="0" w:color="auto"/>
              <w:left w:val="nil"/>
              <w:bottom w:val="nil"/>
              <w:right w:val="nil"/>
            </w:tcBorders>
            <w:noWrap/>
            <w:hideMark/>
          </w:tcPr>
          <w:p w14:paraId="6256E687" w14:textId="77777777" w:rsidR="001709C7" w:rsidRPr="00EB0D4B" w:rsidRDefault="006626BF"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16</w:t>
            </w:r>
            <w:r w:rsidR="001709C7" w:rsidRPr="00EB0D4B">
              <w:rPr>
                <w:rFonts w:ascii="Calibri" w:eastAsia="Times New Roman" w:hAnsi="Calibri" w:cs="Times New Roman"/>
                <w:color w:val="000000"/>
                <w:sz w:val="18"/>
                <w:szCs w:val="18"/>
              </w:rPr>
              <w:t>%</w:t>
            </w:r>
          </w:p>
        </w:tc>
        <w:tc>
          <w:tcPr>
            <w:tcW w:w="1265" w:type="dxa"/>
            <w:tcBorders>
              <w:top w:val="single" w:sz="4" w:space="0" w:color="auto"/>
              <w:left w:val="nil"/>
              <w:bottom w:val="nil"/>
              <w:right w:val="nil"/>
            </w:tcBorders>
          </w:tcPr>
          <w:p w14:paraId="3AD6BBE9"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81</w:t>
            </w:r>
            <w:r w:rsidR="00612DF1" w:rsidRPr="00EB0D4B">
              <w:rPr>
                <w:rFonts w:ascii="Calibri" w:eastAsia="Times New Roman" w:hAnsi="Calibri" w:cs="Times New Roman"/>
                <w:color w:val="000000"/>
                <w:sz w:val="18"/>
                <w:szCs w:val="18"/>
              </w:rPr>
              <w:t>%</w:t>
            </w:r>
          </w:p>
        </w:tc>
        <w:tc>
          <w:tcPr>
            <w:tcW w:w="1070" w:type="dxa"/>
            <w:tcBorders>
              <w:top w:val="single" w:sz="4" w:space="0" w:color="auto"/>
              <w:left w:val="nil"/>
              <w:bottom w:val="nil"/>
              <w:right w:val="single" w:sz="4" w:space="0" w:color="auto"/>
            </w:tcBorders>
            <w:noWrap/>
            <w:hideMark/>
          </w:tcPr>
          <w:p w14:paraId="5AF39E94"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3</w:t>
            </w:r>
            <w:r w:rsidR="001709C7" w:rsidRPr="00EB0D4B">
              <w:rPr>
                <w:rFonts w:ascii="Calibri" w:eastAsia="Times New Roman" w:hAnsi="Calibri" w:cs="Times New Roman"/>
                <w:color w:val="000000"/>
                <w:sz w:val="18"/>
                <w:szCs w:val="18"/>
              </w:rPr>
              <w:t>%</w:t>
            </w:r>
          </w:p>
        </w:tc>
        <w:tc>
          <w:tcPr>
            <w:tcW w:w="1265" w:type="dxa"/>
            <w:tcBorders>
              <w:top w:val="single" w:sz="4" w:space="0" w:color="auto"/>
              <w:left w:val="single" w:sz="4" w:space="0" w:color="auto"/>
              <w:bottom w:val="nil"/>
              <w:right w:val="nil"/>
            </w:tcBorders>
            <w:noWrap/>
            <w:hideMark/>
          </w:tcPr>
          <w:p w14:paraId="4F1771CD"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14</w:t>
            </w:r>
            <w:r w:rsidR="001709C7" w:rsidRPr="00EB0D4B">
              <w:rPr>
                <w:rFonts w:ascii="Calibri" w:eastAsia="Times New Roman" w:hAnsi="Calibri" w:cs="Times New Roman"/>
                <w:color w:val="000000"/>
                <w:sz w:val="18"/>
                <w:szCs w:val="18"/>
              </w:rPr>
              <w:t>%</w:t>
            </w:r>
          </w:p>
        </w:tc>
        <w:tc>
          <w:tcPr>
            <w:tcW w:w="2250" w:type="dxa"/>
            <w:tcBorders>
              <w:top w:val="single" w:sz="4" w:space="0" w:color="auto"/>
              <w:left w:val="nil"/>
              <w:bottom w:val="nil"/>
              <w:right w:val="nil"/>
            </w:tcBorders>
            <w:noWrap/>
            <w:hideMark/>
          </w:tcPr>
          <w:p w14:paraId="51759DBD"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85</w:t>
            </w:r>
            <w:r w:rsidR="006664C9" w:rsidRPr="00EB0D4B">
              <w:rPr>
                <w:rFonts w:ascii="Calibri" w:eastAsia="Times New Roman" w:hAnsi="Calibri" w:cs="Times New Roman"/>
                <w:color w:val="000000"/>
                <w:sz w:val="18"/>
                <w:szCs w:val="18"/>
              </w:rPr>
              <w:t>%</w:t>
            </w:r>
          </w:p>
        </w:tc>
        <w:tc>
          <w:tcPr>
            <w:tcW w:w="995" w:type="dxa"/>
            <w:tcBorders>
              <w:top w:val="single" w:sz="4" w:space="0" w:color="auto"/>
              <w:left w:val="nil"/>
              <w:bottom w:val="nil"/>
              <w:right w:val="single" w:sz="4" w:space="0" w:color="auto"/>
            </w:tcBorders>
            <w:noWrap/>
            <w:hideMark/>
          </w:tcPr>
          <w:p w14:paraId="28313474"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1</w:t>
            </w:r>
            <w:r w:rsidR="006664C9" w:rsidRPr="00EB0D4B">
              <w:rPr>
                <w:rFonts w:ascii="Calibri" w:eastAsia="Times New Roman" w:hAnsi="Calibri" w:cs="Times New Roman"/>
                <w:color w:val="000000"/>
                <w:sz w:val="18"/>
                <w:szCs w:val="18"/>
              </w:rPr>
              <w:t>%</w:t>
            </w:r>
          </w:p>
        </w:tc>
      </w:tr>
      <w:tr w:rsidR="0099084E" w:rsidRPr="00623BC4" w14:paraId="4F0681CC" w14:textId="77777777" w:rsidTr="00F12CBB">
        <w:trPr>
          <w:trHeight w:val="144"/>
          <w:jc w:val="center"/>
        </w:trPr>
        <w:tc>
          <w:tcPr>
            <w:tcW w:w="2255" w:type="dxa"/>
            <w:tcBorders>
              <w:top w:val="nil"/>
              <w:left w:val="single" w:sz="4" w:space="0" w:color="auto"/>
              <w:bottom w:val="nil"/>
              <w:right w:val="nil"/>
            </w:tcBorders>
            <w:noWrap/>
            <w:hideMark/>
          </w:tcPr>
          <w:p w14:paraId="1B9D43E8" w14:textId="77777777" w:rsidR="001709C7" w:rsidRPr="000A28AD" w:rsidRDefault="00BE3943" w:rsidP="009071B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Capital Expenditure</w:t>
            </w:r>
          </w:p>
        </w:tc>
        <w:tc>
          <w:tcPr>
            <w:tcW w:w="1345" w:type="dxa"/>
            <w:tcBorders>
              <w:top w:val="nil"/>
              <w:left w:val="nil"/>
              <w:bottom w:val="nil"/>
              <w:right w:val="nil"/>
            </w:tcBorders>
            <w:noWrap/>
            <w:hideMark/>
          </w:tcPr>
          <w:p w14:paraId="7B42E443"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22</w:t>
            </w:r>
            <w:r w:rsidR="001709C7" w:rsidRPr="00EB0D4B">
              <w:rPr>
                <w:rFonts w:ascii="Calibri" w:eastAsia="Times New Roman" w:hAnsi="Calibri" w:cs="Times New Roman"/>
                <w:color w:val="000000"/>
                <w:sz w:val="18"/>
                <w:szCs w:val="18"/>
              </w:rPr>
              <w:t>%</w:t>
            </w:r>
          </w:p>
        </w:tc>
        <w:tc>
          <w:tcPr>
            <w:tcW w:w="1265" w:type="dxa"/>
            <w:tcBorders>
              <w:top w:val="nil"/>
              <w:left w:val="nil"/>
              <w:bottom w:val="nil"/>
              <w:right w:val="nil"/>
            </w:tcBorders>
          </w:tcPr>
          <w:p w14:paraId="503BCC09"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74</w:t>
            </w:r>
            <w:r w:rsidR="006664C9" w:rsidRPr="00EB0D4B">
              <w:rPr>
                <w:rFonts w:ascii="Calibri" w:eastAsia="Times New Roman" w:hAnsi="Calibri" w:cs="Times New Roman"/>
                <w:color w:val="000000"/>
                <w:sz w:val="18"/>
                <w:szCs w:val="18"/>
              </w:rPr>
              <w:t>%</w:t>
            </w:r>
          </w:p>
        </w:tc>
        <w:tc>
          <w:tcPr>
            <w:tcW w:w="1070" w:type="dxa"/>
            <w:tcBorders>
              <w:top w:val="nil"/>
              <w:left w:val="nil"/>
              <w:bottom w:val="nil"/>
              <w:right w:val="single" w:sz="4" w:space="0" w:color="auto"/>
            </w:tcBorders>
            <w:noWrap/>
            <w:hideMark/>
          </w:tcPr>
          <w:p w14:paraId="210F4C1D"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3</w:t>
            </w:r>
            <w:r w:rsidR="001709C7" w:rsidRPr="00EB0D4B">
              <w:rPr>
                <w:rFonts w:ascii="Calibri" w:eastAsia="Times New Roman" w:hAnsi="Calibri" w:cs="Times New Roman"/>
                <w:color w:val="000000"/>
                <w:sz w:val="18"/>
                <w:szCs w:val="18"/>
              </w:rPr>
              <w:t>%</w:t>
            </w:r>
          </w:p>
        </w:tc>
        <w:tc>
          <w:tcPr>
            <w:tcW w:w="1265" w:type="dxa"/>
            <w:tcBorders>
              <w:top w:val="nil"/>
              <w:left w:val="single" w:sz="4" w:space="0" w:color="auto"/>
              <w:bottom w:val="nil"/>
              <w:right w:val="nil"/>
            </w:tcBorders>
            <w:noWrap/>
            <w:hideMark/>
          </w:tcPr>
          <w:p w14:paraId="62E7BC04"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17</w:t>
            </w:r>
            <w:r w:rsidR="001709C7" w:rsidRPr="00EB0D4B">
              <w:rPr>
                <w:rFonts w:ascii="Calibri" w:eastAsia="Times New Roman" w:hAnsi="Calibri" w:cs="Times New Roman"/>
                <w:color w:val="000000"/>
                <w:sz w:val="18"/>
                <w:szCs w:val="18"/>
              </w:rPr>
              <w:t>%</w:t>
            </w:r>
          </w:p>
        </w:tc>
        <w:tc>
          <w:tcPr>
            <w:tcW w:w="2250" w:type="dxa"/>
            <w:tcBorders>
              <w:top w:val="nil"/>
              <w:left w:val="nil"/>
              <w:bottom w:val="nil"/>
              <w:right w:val="nil"/>
            </w:tcBorders>
            <w:noWrap/>
            <w:hideMark/>
          </w:tcPr>
          <w:p w14:paraId="6F24CA3B"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81</w:t>
            </w:r>
            <w:r w:rsidR="009F32C7" w:rsidRPr="00EB0D4B">
              <w:rPr>
                <w:rFonts w:ascii="Calibri" w:eastAsia="Times New Roman" w:hAnsi="Calibri" w:cs="Times New Roman"/>
                <w:color w:val="000000"/>
                <w:sz w:val="18"/>
                <w:szCs w:val="18"/>
              </w:rPr>
              <w:t>%</w:t>
            </w:r>
          </w:p>
        </w:tc>
        <w:tc>
          <w:tcPr>
            <w:tcW w:w="995" w:type="dxa"/>
            <w:tcBorders>
              <w:top w:val="nil"/>
              <w:left w:val="nil"/>
              <w:bottom w:val="nil"/>
              <w:right w:val="single" w:sz="4" w:space="0" w:color="auto"/>
            </w:tcBorders>
            <w:noWrap/>
            <w:hideMark/>
          </w:tcPr>
          <w:p w14:paraId="716F1F09"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1</w:t>
            </w:r>
            <w:r w:rsidR="009F32C7" w:rsidRPr="00EB0D4B">
              <w:rPr>
                <w:rFonts w:ascii="Calibri" w:eastAsia="Times New Roman" w:hAnsi="Calibri" w:cs="Times New Roman"/>
                <w:color w:val="000000"/>
                <w:sz w:val="18"/>
                <w:szCs w:val="18"/>
              </w:rPr>
              <w:t>%</w:t>
            </w:r>
          </w:p>
        </w:tc>
      </w:tr>
      <w:tr w:rsidR="0099084E" w:rsidRPr="00623BC4" w14:paraId="2C2A616B" w14:textId="77777777" w:rsidTr="00F12CBB">
        <w:trPr>
          <w:trHeight w:val="144"/>
          <w:jc w:val="center"/>
        </w:trPr>
        <w:tc>
          <w:tcPr>
            <w:tcW w:w="2255" w:type="dxa"/>
            <w:tcBorders>
              <w:top w:val="nil"/>
              <w:left w:val="single" w:sz="4" w:space="0" w:color="auto"/>
              <w:bottom w:val="nil"/>
              <w:right w:val="nil"/>
            </w:tcBorders>
            <w:noWrap/>
            <w:hideMark/>
          </w:tcPr>
          <w:p w14:paraId="47AE4DBE" w14:textId="77777777" w:rsidR="001709C7" w:rsidRPr="000A28AD" w:rsidRDefault="00BE3943" w:rsidP="009071B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Investment</w:t>
            </w:r>
          </w:p>
        </w:tc>
        <w:tc>
          <w:tcPr>
            <w:tcW w:w="1345" w:type="dxa"/>
            <w:tcBorders>
              <w:top w:val="nil"/>
              <w:left w:val="nil"/>
              <w:bottom w:val="nil"/>
              <w:right w:val="nil"/>
            </w:tcBorders>
            <w:noWrap/>
            <w:hideMark/>
          </w:tcPr>
          <w:p w14:paraId="04E95BAD" w14:textId="77777777" w:rsidR="001709C7" w:rsidRPr="00EB0D4B" w:rsidRDefault="009F32C7"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18</w:t>
            </w:r>
            <w:r w:rsidR="001709C7" w:rsidRPr="00EB0D4B">
              <w:rPr>
                <w:rFonts w:ascii="Calibri" w:eastAsia="Times New Roman" w:hAnsi="Calibri" w:cs="Times New Roman"/>
                <w:color w:val="000000"/>
                <w:sz w:val="18"/>
                <w:szCs w:val="18"/>
              </w:rPr>
              <w:t>%</w:t>
            </w:r>
          </w:p>
        </w:tc>
        <w:tc>
          <w:tcPr>
            <w:tcW w:w="1265" w:type="dxa"/>
            <w:tcBorders>
              <w:top w:val="nil"/>
              <w:left w:val="nil"/>
              <w:bottom w:val="nil"/>
              <w:right w:val="nil"/>
            </w:tcBorders>
          </w:tcPr>
          <w:p w14:paraId="076EB3AC"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79</w:t>
            </w:r>
            <w:r w:rsidR="009F32C7" w:rsidRPr="00EB0D4B">
              <w:rPr>
                <w:rFonts w:ascii="Calibri" w:eastAsia="Times New Roman" w:hAnsi="Calibri" w:cs="Times New Roman"/>
                <w:color w:val="000000"/>
                <w:sz w:val="18"/>
                <w:szCs w:val="18"/>
              </w:rPr>
              <w:t>%</w:t>
            </w:r>
          </w:p>
        </w:tc>
        <w:tc>
          <w:tcPr>
            <w:tcW w:w="1070" w:type="dxa"/>
            <w:tcBorders>
              <w:top w:val="nil"/>
              <w:left w:val="nil"/>
              <w:bottom w:val="nil"/>
              <w:right w:val="single" w:sz="4" w:space="0" w:color="auto"/>
            </w:tcBorders>
            <w:noWrap/>
            <w:hideMark/>
          </w:tcPr>
          <w:p w14:paraId="3CEF8D53" w14:textId="77777777" w:rsidR="001709C7" w:rsidRPr="00EB0D4B" w:rsidRDefault="00C668A1" w:rsidP="009F32C7">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3</w:t>
            </w:r>
            <w:r w:rsidR="001709C7" w:rsidRPr="00EB0D4B">
              <w:rPr>
                <w:rFonts w:ascii="Calibri" w:eastAsia="Times New Roman" w:hAnsi="Calibri" w:cs="Times New Roman"/>
                <w:color w:val="000000"/>
                <w:sz w:val="18"/>
                <w:szCs w:val="18"/>
              </w:rPr>
              <w:t>%</w:t>
            </w:r>
          </w:p>
        </w:tc>
        <w:tc>
          <w:tcPr>
            <w:tcW w:w="1265" w:type="dxa"/>
            <w:tcBorders>
              <w:top w:val="nil"/>
              <w:left w:val="single" w:sz="4" w:space="0" w:color="auto"/>
              <w:bottom w:val="nil"/>
              <w:right w:val="nil"/>
            </w:tcBorders>
            <w:noWrap/>
            <w:hideMark/>
          </w:tcPr>
          <w:p w14:paraId="4D0D79B3"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14</w:t>
            </w:r>
            <w:r w:rsidR="001709C7" w:rsidRPr="00EB0D4B">
              <w:rPr>
                <w:rFonts w:ascii="Calibri" w:eastAsia="Times New Roman" w:hAnsi="Calibri" w:cs="Times New Roman"/>
                <w:color w:val="000000"/>
                <w:sz w:val="18"/>
                <w:szCs w:val="18"/>
              </w:rPr>
              <w:t>%</w:t>
            </w:r>
          </w:p>
        </w:tc>
        <w:tc>
          <w:tcPr>
            <w:tcW w:w="2250" w:type="dxa"/>
            <w:tcBorders>
              <w:top w:val="nil"/>
              <w:left w:val="nil"/>
              <w:bottom w:val="nil"/>
              <w:right w:val="nil"/>
            </w:tcBorders>
            <w:noWrap/>
            <w:hideMark/>
          </w:tcPr>
          <w:p w14:paraId="1902ABFC" w14:textId="77777777" w:rsidR="001709C7" w:rsidRPr="00EB0D4B" w:rsidRDefault="009F32C7"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86%</w:t>
            </w:r>
          </w:p>
        </w:tc>
        <w:tc>
          <w:tcPr>
            <w:tcW w:w="995" w:type="dxa"/>
            <w:tcBorders>
              <w:top w:val="nil"/>
              <w:left w:val="nil"/>
              <w:bottom w:val="nil"/>
              <w:right w:val="single" w:sz="4" w:space="0" w:color="auto"/>
            </w:tcBorders>
            <w:noWrap/>
            <w:hideMark/>
          </w:tcPr>
          <w:p w14:paraId="168CA1DD"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1</w:t>
            </w:r>
            <w:r w:rsidR="009F32C7" w:rsidRPr="00EB0D4B">
              <w:rPr>
                <w:rFonts w:ascii="Calibri" w:eastAsia="Times New Roman" w:hAnsi="Calibri" w:cs="Times New Roman"/>
                <w:color w:val="000000"/>
                <w:sz w:val="18"/>
                <w:szCs w:val="18"/>
              </w:rPr>
              <w:t>%</w:t>
            </w:r>
          </w:p>
        </w:tc>
      </w:tr>
      <w:tr w:rsidR="0099084E" w:rsidRPr="00623BC4" w14:paraId="290DDE89" w14:textId="77777777" w:rsidTr="00F12CBB">
        <w:trPr>
          <w:trHeight w:val="144"/>
          <w:jc w:val="center"/>
        </w:trPr>
        <w:tc>
          <w:tcPr>
            <w:tcW w:w="2255" w:type="dxa"/>
            <w:tcBorders>
              <w:top w:val="nil"/>
              <w:left w:val="single" w:sz="4" w:space="0" w:color="auto"/>
              <w:bottom w:val="nil"/>
              <w:right w:val="nil"/>
            </w:tcBorders>
            <w:noWrap/>
            <w:hideMark/>
          </w:tcPr>
          <w:p w14:paraId="70E8204F" w14:textId="77777777" w:rsidR="001709C7" w:rsidRPr="000A28AD" w:rsidRDefault="00BE3943" w:rsidP="009071B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Input Cost</w:t>
            </w:r>
          </w:p>
        </w:tc>
        <w:tc>
          <w:tcPr>
            <w:tcW w:w="1345" w:type="dxa"/>
            <w:tcBorders>
              <w:top w:val="nil"/>
              <w:left w:val="nil"/>
              <w:bottom w:val="nil"/>
              <w:right w:val="nil"/>
            </w:tcBorders>
            <w:noWrap/>
            <w:hideMark/>
          </w:tcPr>
          <w:p w14:paraId="142C59C2"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44</w:t>
            </w:r>
            <w:r w:rsidR="001709C7" w:rsidRPr="00EB0D4B">
              <w:rPr>
                <w:rFonts w:ascii="Calibri" w:eastAsia="Times New Roman" w:hAnsi="Calibri" w:cs="Times New Roman"/>
                <w:color w:val="000000"/>
                <w:sz w:val="18"/>
                <w:szCs w:val="18"/>
              </w:rPr>
              <w:t>%</w:t>
            </w:r>
          </w:p>
        </w:tc>
        <w:tc>
          <w:tcPr>
            <w:tcW w:w="1265" w:type="dxa"/>
            <w:tcBorders>
              <w:top w:val="nil"/>
              <w:left w:val="nil"/>
              <w:bottom w:val="nil"/>
              <w:right w:val="nil"/>
            </w:tcBorders>
          </w:tcPr>
          <w:p w14:paraId="047C200D"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w:t>
            </w:r>
            <w:r w:rsidR="009F32C7" w:rsidRPr="00EB0D4B">
              <w:rPr>
                <w:rFonts w:ascii="Calibri" w:eastAsia="Times New Roman" w:hAnsi="Calibri" w:cs="Times New Roman"/>
                <w:color w:val="000000"/>
                <w:sz w:val="18"/>
                <w:szCs w:val="18"/>
              </w:rPr>
              <w:t>4%</w:t>
            </w:r>
          </w:p>
        </w:tc>
        <w:tc>
          <w:tcPr>
            <w:tcW w:w="1070" w:type="dxa"/>
            <w:tcBorders>
              <w:top w:val="nil"/>
              <w:left w:val="nil"/>
              <w:bottom w:val="nil"/>
              <w:right w:val="single" w:sz="4" w:space="0" w:color="auto"/>
            </w:tcBorders>
            <w:noWrap/>
            <w:hideMark/>
          </w:tcPr>
          <w:p w14:paraId="28E64B85"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2</w:t>
            </w:r>
            <w:r w:rsidR="001709C7" w:rsidRPr="00EB0D4B">
              <w:rPr>
                <w:rFonts w:ascii="Calibri" w:eastAsia="Times New Roman" w:hAnsi="Calibri" w:cs="Times New Roman"/>
                <w:color w:val="000000"/>
                <w:sz w:val="18"/>
                <w:szCs w:val="18"/>
              </w:rPr>
              <w:t>%</w:t>
            </w:r>
          </w:p>
        </w:tc>
        <w:tc>
          <w:tcPr>
            <w:tcW w:w="1265" w:type="dxa"/>
            <w:tcBorders>
              <w:top w:val="nil"/>
              <w:left w:val="single" w:sz="4" w:space="0" w:color="auto"/>
              <w:bottom w:val="nil"/>
              <w:right w:val="nil"/>
            </w:tcBorders>
            <w:noWrap/>
            <w:hideMark/>
          </w:tcPr>
          <w:p w14:paraId="25EBFB05" w14:textId="77777777" w:rsidR="001709C7" w:rsidRPr="00EB0D4B" w:rsidRDefault="009F32C7"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34</w:t>
            </w:r>
            <w:r w:rsidR="001709C7" w:rsidRPr="00EB0D4B">
              <w:rPr>
                <w:rFonts w:ascii="Calibri" w:eastAsia="Times New Roman" w:hAnsi="Calibri" w:cs="Times New Roman"/>
                <w:color w:val="000000"/>
                <w:sz w:val="18"/>
                <w:szCs w:val="18"/>
              </w:rPr>
              <w:t>%</w:t>
            </w:r>
          </w:p>
        </w:tc>
        <w:tc>
          <w:tcPr>
            <w:tcW w:w="2250" w:type="dxa"/>
            <w:tcBorders>
              <w:top w:val="nil"/>
              <w:left w:val="nil"/>
              <w:bottom w:val="nil"/>
              <w:right w:val="nil"/>
            </w:tcBorders>
            <w:noWrap/>
            <w:hideMark/>
          </w:tcPr>
          <w:p w14:paraId="6909B027"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65</w:t>
            </w:r>
            <w:r w:rsidR="009F32C7" w:rsidRPr="00EB0D4B">
              <w:rPr>
                <w:rFonts w:ascii="Calibri" w:eastAsia="Times New Roman" w:hAnsi="Calibri" w:cs="Times New Roman"/>
                <w:color w:val="000000"/>
                <w:sz w:val="18"/>
                <w:szCs w:val="18"/>
              </w:rPr>
              <w:t>%</w:t>
            </w:r>
          </w:p>
        </w:tc>
        <w:tc>
          <w:tcPr>
            <w:tcW w:w="995" w:type="dxa"/>
            <w:tcBorders>
              <w:top w:val="nil"/>
              <w:left w:val="nil"/>
              <w:bottom w:val="nil"/>
              <w:right w:val="single" w:sz="4" w:space="0" w:color="auto"/>
            </w:tcBorders>
            <w:noWrap/>
            <w:hideMark/>
          </w:tcPr>
          <w:p w14:paraId="33B7B0FE"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1</w:t>
            </w:r>
            <w:r w:rsidR="009F32C7" w:rsidRPr="00EB0D4B">
              <w:rPr>
                <w:rFonts w:ascii="Calibri" w:eastAsia="Times New Roman" w:hAnsi="Calibri" w:cs="Times New Roman"/>
                <w:color w:val="000000"/>
                <w:sz w:val="18"/>
                <w:szCs w:val="18"/>
              </w:rPr>
              <w:t>%</w:t>
            </w:r>
          </w:p>
        </w:tc>
      </w:tr>
      <w:tr w:rsidR="0099084E" w:rsidRPr="00623BC4" w14:paraId="58CB8CFC" w14:textId="77777777" w:rsidTr="00F12CBB">
        <w:trPr>
          <w:trHeight w:val="144"/>
          <w:jc w:val="center"/>
        </w:trPr>
        <w:tc>
          <w:tcPr>
            <w:tcW w:w="2255" w:type="dxa"/>
            <w:tcBorders>
              <w:top w:val="nil"/>
              <w:left w:val="single" w:sz="4" w:space="0" w:color="auto"/>
              <w:bottom w:val="nil"/>
              <w:right w:val="nil"/>
            </w:tcBorders>
            <w:noWrap/>
            <w:hideMark/>
          </w:tcPr>
          <w:p w14:paraId="141EF494" w14:textId="77777777" w:rsidR="001709C7" w:rsidRPr="000A28AD" w:rsidRDefault="00BE3943" w:rsidP="009071B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Input Availability</w:t>
            </w:r>
          </w:p>
        </w:tc>
        <w:tc>
          <w:tcPr>
            <w:tcW w:w="1345" w:type="dxa"/>
            <w:tcBorders>
              <w:top w:val="nil"/>
              <w:left w:val="nil"/>
              <w:bottom w:val="nil"/>
              <w:right w:val="nil"/>
            </w:tcBorders>
            <w:noWrap/>
            <w:hideMark/>
          </w:tcPr>
          <w:p w14:paraId="02999E32"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25</w:t>
            </w:r>
            <w:r w:rsidR="001709C7" w:rsidRPr="00EB0D4B">
              <w:rPr>
                <w:rFonts w:ascii="Calibri" w:eastAsia="Times New Roman" w:hAnsi="Calibri" w:cs="Times New Roman"/>
                <w:color w:val="000000"/>
                <w:sz w:val="18"/>
                <w:szCs w:val="18"/>
              </w:rPr>
              <w:t>%</w:t>
            </w:r>
          </w:p>
        </w:tc>
        <w:tc>
          <w:tcPr>
            <w:tcW w:w="1265" w:type="dxa"/>
            <w:tcBorders>
              <w:top w:val="nil"/>
              <w:left w:val="nil"/>
              <w:bottom w:val="nil"/>
              <w:right w:val="nil"/>
            </w:tcBorders>
          </w:tcPr>
          <w:p w14:paraId="5A56A221"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72</w:t>
            </w:r>
            <w:r w:rsidR="009F32C7" w:rsidRPr="00EB0D4B">
              <w:rPr>
                <w:rFonts w:ascii="Calibri" w:eastAsia="Times New Roman" w:hAnsi="Calibri" w:cs="Times New Roman"/>
                <w:color w:val="000000"/>
                <w:sz w:val="18"/>
                <w:szCs w:val="18"/>
              </w:rPr>
              <w:t>%</w:t>
            </w:r>
          </w:p>
        </w:tc>
        <w:tc>
          <w:tcPr>
            <w:tcW w:w="1070" w:type="dxa"/>
            <w:tcBorders>
              <w:top w:val="nil"/>
              <w:left w:val="nil"/>
              <w:bottom w:val="nil"/>
              <w:right w:val="single" w:sz="4" w:space="0" w:color="auto"/>
            </w:tcBorders>
            <w:noWrap/>
            <w:hideMark/>
          </w:tcPr>
          <w:p w14:paraId="4896AE26"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2</w:t>
            </w:r>
            <w:r w:rsidR="001709C7" w:rsidRPr="00EB0D4B">
              <w:rPr>
                <w:rFonts w:ascii="Calibri" w:eastAsia="Times New Roman" w:hAnsi="Calibri" w:cs="Times New Roman"/>
                <w:color w:val="000000"/>
                <w:sz w:val="18"/>
                <w:szCs w:val="18"/>
              </w:rPr>
              <w:t>%</w:t>
            </w:r>
          </w:p>
        </w:tc>
        <w:tc>
          <w:tcPr>
            <w:tcW w:w="1265" w:type="dxa"/>
            <w:tcBorders>
              <w:top w:val="nil"/>
              <w:left w:val="single" w:sz="4" w:space="0" w:color="auto"/>
              <w:bottom w:val="nil"/>
              <w:right w:val="nil"/>
            </w:tcBorders>
            <w:noWrap/>
            <w:hideMark/>
          </w:tcPr>
          <w:p w14:paraId="57A3B056"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20</w:t>
            </w:r>
            <w:r w:rsidR="001709C7" w:rsidRPr="00EB0D4B">
              <w:rPr>
                <w:rFonts w:ascii="Calibri" w:eastAsia="Times New Roman" w:hAnsi="Calibri" w:cs="Times New Roman"/>
                <w:color w:val="000000"/>
                <w:sz w:val="18"/>
                <w:szCs w:val="18"/>
              </w:rPr>
              <w:t>%</w:t>
            </w:r>
          </w:p>
        </w:tc>
        <w:tc>
          <w:tcPr>
            <w:tcW w:w="2250" w:type="dxa"/>
            <w:tcBorders>
              <w:top w:val="nil"/>
              <w:left w:val="nil"/>
              <w:bottom w:val="nil"/>
              <w:right w:val="nil"/>
            </w:tcBorders>
            <w:noWrap/>
            <w:hideMark/>
          </w:tcPr>
          <w:p w14:paraId="3DB0A67D"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80</w:t>
            </w:r>
            <w:r w:rsidR="009F32C7" w:rsidRPr="00EB0D4B">
              <w:rPr>
                <w:rFonts w:ascii="Calibri" w:eastAsia="Times New Roman" w:hAnsi="Calibri" w:cs="Times New Roman"/>
                <w:color w:val="000000"/>
                <w:sz w:val="18"/>
                <w:szCs w:val="18"/>
              </w:rPr>
              <w:t>%</w:t>
            </w:r>
          </w:p>
        </w:tc>
        <w:tc>
          <w:tcPr>
            <w:tcW w:w="995" w:type="dxa"/>
            <w:tcBorders>
              <w:top w:val="nil"/>
              <w:left w:val="nil"/>
              <w:bottom w:val="nil"/>
              <w:right w:val="single" w:sz="4" w:space="0" w:color="auto"/>
            </w:tcBorders>
            <w:noWrap/>
            <w:hideMark/>
          </w:tcPr>
          <w:p w14:paraId="3CEFDBAF"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0</w:t>
            </w:r>
            <w:r w:rsidR="009F32C7" w:rsidRPr="00EB0D4B">
              <w:rPr>
                <w:rFonts w:ascii="Calibri" w:eastAsia="Times New Roman" w:hAnsi="Calibri" w:cs="Times New Roman"/>
                <w:color w:val="000000"/>
                <w:sz w:val="18"/>
                <w:szCs w:val="18"/>
              </w:rPr>
              <w:t>%</w:t>
            </w:r>
          </w:p>
        </w:tc>
      </w:tr>
      <w:tr w:rsidR="00BE3943" w:rsidRPr="00623BC4" w14:paraId="39784DA6" w14:textId="77777777" w:rsidTr="00F12CBB">
        <w:trPr>
          <w:trHeight w:val="144"/>
          <w:jc w:val="center"/>
        </w:trPr>
        <w:tc>
          <w:tcPr>
            <w:tcW w:w="2255" w:type="dxa"/>
            <w:tcBorders>
              <w:top w:val="nil"/>
              <w:left w:val="single" w:sz="4" w:space="0" w:color="auto"/>
              <w:bottom w:val="nil"/>
              <w:right w:val="nil"/>
            </w:tcBorders>
            <w:noWrap/>
          </w:tcPr>
          <w:p w14:paraId="13EC732B" w14:textId="77777777" w:rsidR="00BE3943" w:rsidRDefault="00BE3943" w:rsidP="009071B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Revenue</w:t>
            </w:r>
          </w:p>
        </w:tc>
        <w:tc>
          <w:tcPr>
            <w:tcW w:w="1345" w:type="dxa"/>
            <w:tcBorders>
              <w:top w:val="nil"/>
              <w:left w:val="nil"/>
              <w:bottom w:val="nil"/>
              <w:right w:val="nil"/>
            </w:tcBorders>
            <w:noWrap/>
          </w:tcPr>
          <w:p w14:paraId="710B075E" w14:textId="77777777" w:rsidR="00BE3943"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42</w:t>
            </w:r>
            <w:r w:rsidR="009F32C7" w:rsidRPr="00EB0D4B">
              <w:rPr>
                <w:rFonts w:ascii="Calibri" w:eastAsia="Times New Roman" w:hAnsi="Calibri" w:cs="Times New Roman"/>
                <w:color w:val="000000"/>
                <w:sz w:val="18"/>
                <w:szCs w:val="18"/>
              </w:rPr>
              <w:t>%</w:t>
            </w:r>
          </w:p>
        </w:tc>
        <w:tc>
          <w:tcPr>
            <w:tcW w:w="1265" w:type="dxa"/>
            <w:tcBorders>
              <w:top w:val="nil"/>
              <w:left w:val="nil"/>
              <w:bottom w:val="nil"/>
              <w:right w:val="nil"/>
            </w:tcBorders>
          </w:tcPr>
          <w:p w14:paraId="4F269DAE" w14:textId="77777777" w:rsidR="00BE3943"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54</w:t>
            </w:r>
            <w:r w:rsidR="009F32C7" w:rsidRPr="00EB0D4B">
              <w:rPr>
                <w:rFonts w:ascii="Calibri" w:eastAsia="Times New Roman" w:hAnsi="Calibri" w:cs="Times New Roman"/>
                <w:color w:val="000000"/>
                <w:sz w:val="18"/>
                <w:szCs w:val="18"/>
              </w:rPr>
              <w:t>%</w:t>
            </w:r>
          </w:p>
        </w:tc>
        <w:tc>
          <w:tcPr>
            <w:tcW w:w="1070" w:type="dxa"/>
            <w:tcBorders>
              <w:top w:val="nil"/>
              <w:left w:val="nil"/>
              <w:bottom w:val="nil"/>
              <w:right w:val="single" w:sz="4" w:space="0" w:color="auto"/>
            </w:tcBorders>
            <w:noWrap/>
          </w:tcPr>
          <w:p w14:paraId="177BF1DB" w14:textId="77777777" w:rsidR="00BE3943"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4</w:t>
            </w:r>
            <w:r w:rsidR="009F32C7" w:rsidRPr="00EB0D4B">
              <w:rPr>
                <w:rFonts w:ascii="Calibri" w:eastAsia="Times New Roman" w:hAnsi="Calibri" w:cs="Times New Roman"/>
                <w:color w:val="000000"/>
                <w:sz w:val="18"/>
                <w:szCs w:val="18"/>
              </w:rPr>
              <w:t>%</w:t>
            </w:r>
          </w:p>
        </w:tc>
        <w:tc>
          <w:tcPr>
            <w:tcW w:w="1265" w:type="dxa"/>
            <w:tcBorders>
              <w:top w:val="nil"/>
              <w:left w:val="single" w:sz="4" w:space="0" w:color="auto"/>
              <w:bottom w:val="nil"/>
              <w:right w:val="nil"/>
            </w:tcBorders>
            <w:noWrap/>
          </w:tcPr>
          <w:p w14:paraId="08FA29A4" w14:textId="77777777" w:rsidR="00BE3943"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31</w:t>
            </w:r>
            <w:r w:rsidR="009F32C7" w:rsidRPr="00EB0D4B">
              <w:rPr>
                <w:rFonts w:ascii="Calibri" w:eastAsia="Times New Roman" w:hAnsi="Calibri" w:cs="Times New Roman"/>
                <w:color w:val="000000"/>
                <w:sz w:val="18"/>
                <w:szCs w:val="18"/>
              </w:rPr>
              <w:t>%</w:t>
            </w:r>
          </w:p>
        </w:tc>
        <w:tc>
          <w:tcPr>
            <w:tcW w:w="2250" w:type="dxa"/>
            <w:tcBorders>
              <w:top w:val="nil"/>
              <w:left w:val="nil"/>
              <w:bottom w:val="nil"/>
              <w:right w:val="nil"/>
            </w:tcBorders>
            <w:noWrap/>
          </w:tcPr>
          <w:p w14:paraId="001C2C35" w14:textId="77777777" w:rsidR="00BE3943"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68</w:t>
            </w:r>
            <w:r w:rsidR="009F32C7" w:rsidRPr="00EB0D4B">
              <w:rPr>
                <w:rFonts w:ascii="Calibri" w:eastAsia="Times New Roman" w:hAnsi="Calibri" w:cs="Times New Roman"/>
                <w:color w:val="000000"/>
                <w:sz w:val="18"/>
                <w:szCs w:val="18"/>
              </w:rPr>
              <w:t>%</w:t>
            </w:r>
          </w:p>
        </w:tc>
        <w:tc>
          <w:tcPr>
            <w:tcW w:w="995" w:type="dxa"/>
            <w:tcBorders>
              <w:top w:val="nil"/>
              <w:left w:val="nil"/>
              <w:bottom w:val="nil"/>
              <w:right w:val="single" w:sz="4" w:space="0" w:color="auto"/>
            </w:tcBorders>
            <w:noWrap/>
          </w:tcPr>
          <w:p w14:paraId="53D8A680" w14:textId="77777777" w:rsidR="00BE3943"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1</w:t>
            </w:r>
            <w:r w:rsidR="009F32C7" w:rsidRPr="00EB0D4B">
              <w:rPr>
                <w:rFonts w:ascii="Calibri" w:eastAsia="Times New Roman" w:hAnsi="Calibri" w:cs="Times New Roman"/>
                <w:color w:val="000000"/>
                <w:sz w:val="18"/>
                <w:szCs w:val="18"/>
              </w:rPr>
              <w:t>%</w:t>
            </w:r>
          </w:p>
        </w:tc>
      </w:tr>
      <w:tr w:rsidR="00546E1F" w:rsidRPr="00393F45" w14:paraId="6DC75A07" w14:textId="77777777" w:rsidTr="00F12CBB">
        <w:trPr>
          <w:trHeight w:val="144"/>
          <w:jc w:val="center"/>
        </w:trPr>
        <w:tc>
          <w:tcPr>
            <w:tcW w:w="2255" w:type="dxa"/>
            <w:tcBorders>
              <w:top w:val="nil"/>
              <w:left w:val="single" w:sz="4" w:space="0" w:color="auto"/>
              <w:bottom w:val="single" w:sz="4" w:space="0" w:color="auto"/>
              <w:right w:val="nil"/>
            </w:tcBorders>
            <w:noWrap/>
            <w:hideMark/>
          </w:tcPr>
          <w:p w14:paraId="5747B6AA" w14:textId="77777777" w:rsidR="001709C7" w:rsidRPr="000A28AD" w:rsidRDefault="00BE3943" w:rsidP="009071BB">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Cost to Consumers</w:t>
            </w:r>
          </w:p>
        </w:tc>
        <w:tc>
          <w:tcPr>
            <w:tcW w:w="1345" w:type="dxa"/>
            <w:tcBorders>
              <w:top w:val="nil"/>
              <w:left w:val="nil"/>
              <w:bottom w:val="single" w:sz="4" w:space="0" w:color="auto"/>
              <w:right w:val="nil"/>
            </w:tcBorders>
            <w:noWrap/>
            <w:hideMark/>
          </w:tcPr>
          <w:p w14:paraId="75377E08"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41</w:t>
            </w:r>
            <w:r w:rsidR="001709C7" w:rsidRPr="00EB0D4B">
              <w:rPr>
                <w:rFonts w:ascii="Calibri" w:eastAsia="Times New Roman" w:hAnsi="Calibri" w:cs="Times New Roman"/>
                <w:color w:val="000000"/>
                <w:sz w:val="18"/>
                <w:szCs w:val="18"/>
              </w:rPr>
              <w:t>%</w:t>
            </w:r>
          </w:p>
        </w:tc>
        <w:tc>
          <w:tcPr>
            <w:tcW w:w="1265" w:type="dxa"/>
            <w:tcBorders>
              <w:top w:val="nil"/>
              <w:left w:val="nil"/>
              <w:bottom w:val="single" w:sz="4" w:space="0" w:color="auto"/>
              <w:right w:val="nil"/>
            </w:tcBorders>
          </w:tcPr>
          <w:p w14:paraId="6CEAF6C9"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56</w:t>
            </w:r>
            <w:r w:rsidR="009F32C7" w:rsidRPr="00EB0D4B">
              <w:rPr>
                <w:rFonts w:ascii="Calibri" w:eastAsia="Times New Roman" w:hAnsi="Calibri" w:cs="Times New Roman"/>
                <w:color w:val="000000"/>
                <w:sz w:val="18"/>
                <w:szCs w:val="18"/>
              </w:rPr>
              <w:t>%</w:t>
            </w:r>
          </w:p>
        </w:tc>
        <w:tc>
          <w:tcPr>
            <w:tcW w:w="1070" w:type="dxa"/>
            <w:tcBorders>
              <w:top w:val="nil"/>
              <w:left w:val="nil"/>
              <w:bottom w:val="single" w:sz="4" w:space="0" w:color="auto"/>
              <w:right w:val="single" w:sz="4" w:space="0" w:color="auto"/>
            </w:tcBorders>
            <w:noWrap/>
            <w:hideMark/>
          </w:tcPr>
          <w:p w14:paraId="0D0A5CDB"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3</w:t>
            </w:r>
            <w:r w:rsidR="001709C7" w:rsidRPr="00EB0D4B">
              <w:rPr>
                <w:rFonts w:ascii="Calibri" w:eastAsia="Times New Roman" w:hAnsi="Calibri" w:cs="Times New Roman"/>
                <w:color w:val="000000"/>
                <w:sz w:val="18"/>
                <w:szCs w:val="18"/>
              </w:rPr>
              <w:t>%</w:t>
            </w:r>
          </w:p>
        </w:tc>
        <w:tc>
          <w:tcPr>
            <w:tcW w:w="1265" w:type="dxa"/>
            <w:tcBorders>
              <w:top w:val="nil"/>
              <w:left w:val="single" w:sz="4" w:space="0" w:color="auto"/>
              <w:bottom w:val="single" w:sz="4" w:space="0" w:color="auto"/>
              <w:right w:val="nil"/>
            </w:tcBorders>
            <w:noWrap/>
            <w:hideMark/>
          </w:tcPr>
          <w:p w14:paraId="6198FD52"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32</w:t>
            </w:r>
            <w:r w:rsidR="001709C7" w:rsidRPr="00EB0D4B">
              <w:rPr>
                <w:rFonts w:ascii="Calibri" w:eastAsia="Times New Roman" w:hAnsi="Calibri" w:cs="Times New Roman"/>
                <w:color w:val="000000"/>
                <w:sz w:val="18"/>
                <w:szCs w:val="18"/>
              </w:rPr>
              <w:t>%</w:t>
            </w:r>
          </w:p>
        </w:tc>
        <w:tc>
          <w:tcPr>
            <w:tcW w:w="2250" w:type="dxa"/>
            <w:tcBorders>
              <w:top w:val="nil"/>
              <w:left w:val="nil"/>
              <w:bottom w:val="single" w:sz="4" w:space="0" w:color="auto"/>
              <w:right w:val="nil"/>
            </w:tcBorders>
            <w:noWrap/>
            <w:hideMark/>
          </w:tcPr>
          <w:p w14:paraId="453B22BB"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67</w:t>
            </w:r>
            <w:r w:rsidR="009F32C7" w:rsidRPr="00EB0D4B">
              <w:rPr>
                <w:rFonts w:ascii="Calibri" w:eastAsia="Times New Roman" w:hAnsi="Calibri" w:cs="Times New Roman"/>
                <w:color w:val="000000"/>
                <w:sz w:val="18"/>
                <w:szCs w:val="18"/>
              </w:rPr>
              <w:t>%</w:t>
            </w:r>
          </w:p>
        </w:tc>
        <w:tc>
          <w:tcPr>
            <w:tcW w:w="995" w:type="dxa"/>
            <w:tcBorders>
              <w:top w:val="nil"/>
              <w:left w:val="nil"/>
              <w:bottom w:val="single" w:sz="4" w:space="0" w:color="auto"/>
              <w:right w:val="single" w:sz="4" w:space="0" w:color="auto"/>
            </w:tcBorders>
            <w:noWrap/>
            <w:hideMark/>
          </w:tcPr>
          <w:p w14:paraId="08B04803" w14:textId="77777777" w:rsidR="001709C7" w:rsidRPr="00EB0D4B" w:rsidRDefault="00C668A1" w:rsidP="009071BB">
            <w:pPr>
              <w:jc w:val="center"/>
              <w:rPr>
                <w:rFonts w:ascii="Calibri" w:eastAsia="Times New Roman" w:hAnsi="Calibri" w:cs="Times New Roman"/>
                <w:color w:val="000000"/>
                <w:sz w:val="18"/>
                <w:szCs w:val="18"/>
              </w:rPr>
            </w:pPr>
            <w:r w:rsidRPr="00EB0D4B">
              <w:rPr>
                <w:rFonts w:ascii="Calibri" w:eastAsia="Times New Roman" w:hAnsi="Calibri" w:cs="Times New Roman"/>
                <w:color w:val="000000"/>
                <w:sz w:val="18"/>
                <w:szCs w:val="18"/>
              </w:rPr>
              <w:t>1</w:t>
            </w:r>
            <w:r w:rsidR="009F32C7" w:rsidRPr="00EB0D4B">
              <w:rPr>
                <w:rFonts w:ascii="Calibri" w:eastAsia="Times New Roman" w:hAnsi="Calibri" w:cs="Times New Roman"/>
                <w:color w:val="000000"/>
                <w:sz w:val="18"/>
                <w:szCs w:val="18"/>
              </w:rPr>
              <w:t>%</w:t>
            </w:r>
          </w:p>
        </w:tc>
      </w:tr>
    </w:tbl>
    <w:p w14:paraId="13D5AE90" w14:textId="77777777" w:rsidR="00A97C01" w:rsidRDefault="00A97C01" w:rsidP="000A28AD">
      <w:pPr>
        <w:spacing w:after="0" w:line="120" w:lineRule="auto"/>
      </w:pPr>
    </w:p>
    <w:p w14:paraId="07969312" w14:textId="77777777" w:rsidR="00CA02CE" w:rsidRDefault="00393F45" w:rsidP="00C73D16">
      <w:pPr>
        <w:pStyle w:val="ListParagraph"/>
        <w:numPr>
          <w:ilvl w:val="0"/>
          <w:numId w:val="8"/>
        </w:numPr>
        <w:rPr>
          <w:sz w:val="16"/>
          <w:szCs w:val="16"/>
        </w:rPr>
      </w:pPr>
      <w:r>
        <w:rPr>
          <w:sz w:val="16"/>
          <w:szCs w:val="16"/>
        </w:rPr>
        <w:t>Based on responses from 220</w:t>
      </w:r>
      <w:r w:rsidR="00C73D16" w:rsidRPr="00C73D16">
        <w:rPr>
          <w:sz w:val="16"/>
          <w:szCs w:val="16"/>
        </w:rPr>
        <w:t xml:space="preserve"> Minnesota manufacturing busi</w:t>
      </w:r>
      <w:r w:rsidR="00C73D16">
        <w:rPr>
          <w:sz w:val="16"/>
          <w:szCs w:val="16"/>
        </w:rPr>
        <w:t xml:space="preserve">nesses, for a response rate of </w:t>
      </w:r>
      <w:r>
        <w:rPr>
          <w:sz w:val="16"/>
          <w:szCs w:val="16"/>
        </w:rPr>
        <w:t>22</w:t>
      </w:r>
      <w:r w:rsidR="00C73D16" w:rsidRPr="00C73D16">
        <w:rPr>
          <w:sz w:val="16"/>
          <w:szCs w:val="16"/>
        </w:rPr>
        <w:t xml:space="preserve"> percent.  The </w:t>
      </w:r>
      <w:r w:rsidR="00C73D16">
        <w:rPr>
          <w:sz w:val="16"/>
          <w:szCs w:val="16"/>
        </w:rPr>
        <w:t>sampling error is plus or minus</w:t>
      </w:r>
      <w:r>
        <w:rPr>
          <w:sz w:val="16"/>
          <w:szCs w:val="16"/>
        </w:rPr>
        <w:t xml:space="preserve"> 6.5</w:t>
      </w:r>
      <w:r w:rsidR="00C73D16" w:rsidRPr="00C73D16">
        <w:rPr>
          <w:sz w:val="16"/>
          <w:szCs w:val="16"/>
        </w:rPr>
        <w:t xml:space="preserve"> percentage points at the 95 percent confidence level.  Percentages may not add to 100 percent due to rounding.</w:t>
      </w:r>
      <w:r w:rsidR="00CA02CE">
        <w:rPr>
          <w:sz w:val="16"/>
          <w:szCs w:val="16"/>
        </w:rPr>
        <w:t xml:space="preserve"> </w:t>
      </w:r>
    </w:p>
    <w:p w14:paraId="3694DB54" w14:textId="77777777" w:rsidR="007F61A9" w:rsidRPr="00E31A2F" w:rsidRDefault="00C80C65" w:rsidP="00C73D16">
      <w:pPr>
        <w:pStyle w:val="ListParagraph"/>
        <w:numPr>
          <w:ilvl w:val="0"/>
          <w:numId w:val="8"/>
        </w:numPr>
        <w:rPr>
          <w:sz w:val="16"/>
          <w:szCs w:val="16"/>
        </w:rPr>
      </w:pPr>
      <w:r>
        <w:rPr>
          <w:sz w:val="16"/>
          <w:szCs w:val="16"/>
        </w:rPr>
        <w:t>A diffusion index great</w:t>
      </w:r>
      <w:r w:rsidR="000B2C14">
        <w:rPr>
          <w:sz w:val="16"/>
          <w:szCs w:val="16"/>
        </w:rPr>
        <w:t>er</w:t>
      </w:r>
      <w:r>
        <w:rPr>
          <w:sz w:val="16"/>
          <w:szCs w:val="16"/>
        </w:rPr>
        <w:t xml:space="preserve"> than 50 indicates expansion, less than 50 indicates contraction.</w:t>
      </w:r>
      <w:r w:rsidR="00E31A2F">
        <w:rPr>
          <w:sz w:val="16"/>
          <w:szCs w:val="16"/>
        </w:rPr>
        <w:br/>
      </w:r>
      <w:r w:rsidR="00E31A2F" w:rsidRPr="00E31A2F">
        <w:rPr>
          <w:sz w:val="16"/>
          <w:szCs w:val="16"/>
        </w:rPr>
        <w:t>Created by Magda Olson. EAU, Policy Office, MN Dept. of Employment and Econ</w:t>
      </w:r>
      <w:r w:rsidR="00393F45">
        <w:rPr>
          <w:sz w:val="16"/>
          <w:szCs w:val="16"/>
        </w:rPr>
        <w:t>omic Development. January 2020</w:t>
      </w:r>
      <w:r w:rsidR="00E31A2F">
        <w:rPr>
          <w:sz w:val="16"/>
          <w:szCs w:val="16"/>
        </w:rPr>
        <w:t>.</w:t>
      </w:r>
    </w:p>
    <w:sectPr w:rsidR="007F61A9" w:rsidRPr="00E31A2F" w:rsidSect="009969E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17F86" w14:textId="77777777" w:rsidR="00132C8F" w:rsidRDefault="00132C8F" w:rsidP="00722892">
      <w:pPr>
        <w:spacing w:after="0" w:line="240" w:lineRule="auto"/>
      </w:pPr>
      <w:r>
        <w:separator/>
      </w:r>
    </w:p>
  </w:endnote>
  <w:endnote w:type="continuationSeparator" w:id="0">
    <w:p w14:paraId="48EF2D31" w14:textId="77777777" w:rsidR="00132C8F" w:rsidRDefault="00132C8F" w:rsidP="0072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3ADF" w14:textId="77777777" w:rsidR="001E5232" w:rsidRDefault="001E5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BCEF" w14:textId="77777777" w:rsidR="001E5232" w:rsidRDefault="001E5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B037" w14:textId="77777777" w:rsidR="001E5232" w:rsidRDefault="001E5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002E4" w14:textId="77777777" w:rsidR="00132C8F" w:rsidRDefault="00132C8F" w:rsidP="00722892">
      <w:pPr>
        <w:spacing w:after="0" w:line="240" w:lineRule="auto"/>
      </w:pPr>
      <w:r>
        <w:separator/>
      </w:r>
    </w:p>
  </w:footnote>
  <w:footnote w:type="continuationSeparator" w:id="0">
    <w:p w14:paraId="6D73D61C" w14:textId="77777777" w:rsidR="00132C8F" w:rsidRDefault="00132C8F" w:rsidP="00722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B8B8" w14:textId="77777777" w:rsidR="001E5232" w:rsidRDefault="001E5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A20BA" w14:textId="77777777" w:rsidR="001E5232" w:rsidRDefault="001E5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73AB0" w14:textId="77777777" w:rsidR="001E5232" w:rsidRDefault="001E5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792C"/>
    <w:multiLevelType w:val="hybridMultilevel"/>
    <w:tmpl w:val="4F46C5A4"/>
    <w:lvl w:ilvl="0" w:tplc="7EC498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10DA1"/>
    <w:multiLevelType w:val="hybridMultilevel"/>
    <w:tmpl w:val="B8CE587E"/>
    <w:lvl w:ilvl="0" w:tplc="C196342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2D4075"/>
    <w:multiLevelType w:val="hybridMultilevel"/>
    <w:tmpl w:val="77DE0E20"/>
    <w:lvl w:ilvl="0" w:tplc="FEC4432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A73C2"/>
    <w:multiLevelType w:val="hybridMultilevel"/>
    <w:tmpl w:val="C54C98A6"/>
    <w:lvl w:ilvl="0" w:tplc="710E8D2E">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4" w15:restartNumberingAfterBreak="0">
    <w:nsid w:val="3AAD4C75"/>
    <w:multiLevelType w:val="hybridMultilevel"/>
    <w:tmpl w:val="D97AB74E"/>
    <w:lvl w:ilvl="0" w:tplc="593A9B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229547C"/>
    <w:multiLevelType w:val="hybridMultilevel"/>
    <w:tmpl w:val="63AE7CF0"/>
    <w:lvl w:ilvl="0" w:tplc="16A4D1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C3162D5"/>
    <w:multiLevelType w:val="hybridMultilevel"/>
    <w:tmpl w:val="2B5E2D2E"/>
    <w:lvl w:ilvl="0" w:tplc="18A02B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FFF4843"/>
    <w:multiLevelType w:val="hybridMultilevel"/>
    <w:tmpl w:val="CA0CEBC6"/>
    <w:lvl w:ilvl="0" w:tplc="EC82D616">
      <w:start w:val="1"/>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FA"/>
    <w:rsid w:val="00030E18"/>
    <w:rsid w:val="00044364"/>
    <w:rsid w:val="00066148"/>
    <w:rsid w:val="0006653A"/>
    <w:rsid w:val="00081ED1"/>
    <w:rsid w:val="0008353C"/>
    <w:rsid w:val="00093CCE"/>
    <w:rsid w:val="000A28AD"/>
    <w:rsid w:val="000B2C14"/>
    <w:rsid w:val="000C1BCF"/>
    <w:rsid w:val="000F45E7"/>
    <w:rsid w:val="000F4BFA"/>
    <w:rsid w:val="00102426"/>
    <w:rsid w:val="00107C0C"/>
    <w:rsid w:val="00117C62"/>
    <w:rsid w:val="001215A7"/>
    <w:rsid w:val="00132C8F"/>
    <w:rsid w:val="001430BA"/>
    <w:rsid w:val="00164B31"/>
    <w:rsid w:val="001709C7"/>
    <w:rsid w:val="001A1D64"/>
    <w:rsid w:val="001B1620"/>
    <w:rsid w:val="001C3AD2"/>
    <w:rsid w:val="001D0139"/>
    <w:rsid w:val="001E5232"/>
    <w:rsid w:val="001F0FDF"/>
    <w:rsid w:val="0022334C"/>
    <w:rsid w:val="002558DB"/>
    <w:rsid w:val="00267011"/>
    <w:rsid w:val="002732D2"/>
    <w:rsid w:val="00275F49"/>
    <w:rsid w:val="002934A2"/>
    <w:rsid w:val="00296345"/>
    <w:rsid w:val="00297604"/>
    <w:rsid w:val="002B71A0"/>
    <w:rsid w:val="002D01C9"/>
    <w:rsid w:val="002E06C4"/>
    <w:rsid w:val="002F1C66"/>
    <w:rsid w:val="002F6609"/>
    <w:rsid w:val="002F66B5"/>
    <w:rsid w:val="00305FF9"/>
    <w:rsid w:val="00337ABD"/>
    <w:rsid w:val="00347627"/>
    <w:rsid w:val="00393F45"/>
    <w:rsid w:val="003A5322"/>
    <w:rsid w:val="003C6E5D"/>
    <w:rsid w:val="003D01A4"/>
    <w:rsid w:val="003F494A"/>
    <w:rsid w:val="003F6B45"/>
    <w:rsid w:val="00412D7B"/>
    <w:rsid w:val="00415F32"/>
    <w:rsid w:val="0049689B"/>
    <w:rsid w:val="004B0923"/>
    <w:rsid w:val="004D5B1E"/>
    <w:rsid w:val="004E3C39"/>
    <w:rsid w:val="004F00B0"/>
    <w:rsid w:val="004F7DBA"/>
    <w:rsid w:val="00501F63"/>
    <w:rsid w:val="00522333"/>
    <w:rsid w:val="00531B2D"/>
    <w:rsid w:val="00546E1F"/>
    <w:rsid w:val="00592B3B"/>
    <w:rsid w:val="005A24D4"/>
    <w:rsid w:val="005B06CE"/>
    <w:rsid w:val="005B79AC"/>
    <w:rsid w:val="005C0A35"/>
    <w:rsid w:val="005C20B8"/>
    <w:rsid w:val="005E4D14"/>
    <w:rsid w:val="006104D3"/>
    <w:rsid w:val="00612DF1"/>
    <w:rsid w:val="006203DF"/>
    <w:rsid w:val="006309E6"/>
    <w:rsid w:val="0063118D"/>
    <w:rsid w:val="006449F7"/>
    <w:rsid w:val="00650F60"/>
    <w:rsid w:val="00651262"/>
    <w:rsid w:val="0065750C"/>
    <w:rsid w:val="006626BF"/>
    <w:rsid w:val="006664C9"/>
    <w:rsid w:val="006B0F15"/>
    <w:rsid w:val="006B28F7"/>
    <w:rsid w:val="006B3637"/>
    <w:rsid w:val="006B7F7C"/>
    <w:rsid w:val="006D3B3F"/>
    <w:rsid w:val="006E3540"/>
    <w:rsid w:val="006F3D97"/>
    <w:rsid w:val="007009BA"/>
    <w:rsid w:val="0070375F"/>
    <w:rsid w:val="007075DF"/>
    <w:rsid w:val="00722892"/>
    <w:rsid w:val="0073379A"/>
    <w:rsid w:val="00740281"/>
    <w:rsid w:val="00756BD1"/>
    <w:rsid w:val="007739EC"/>
    <w:rsid w:val="00783706"/>
    <w:rsid w:val="00785096"/>
    <w:rsid w:val="00793FB8"/>
    <w:rsid w:val="007A03CB"/>
    <w:rsid w:val="007A0AAC"/>
    <w:rsid w:val="007A48F8"/>
    <w:rsid w:val="007B16BB"/>
    <w:rsid w:val="007B78D3"/>
    <w:rsid w:val="007C0BF0"/>
    <w:rsid w:val="007C1A84"/>
    <w:rsid w:val="007D686C"/>
    <w:rsid w:val="007D7CFA"/>
    <w:rsid w:val="007E11AB"/>
    <w:rsid w:val="007F61A9"/>
    <w:rsid w:val="008016A2"/>
    <w:rsid w:val="00810157"/>
    <w:rsid w:val="00811679"/>
    <w:rsid w:val="00814ED5"/>
    <w:rsid w:val="00814F86"/>
    <w:rsid w:val="00816311"/>
    <w:rsid w:val="00817B87"/>
    <w:rsid w:val="00827271"/>
    <w:rsid w:val="0083658D"/>
    <w:rsid w:val="008462FE"/>
    <w:rsid w:val="0084634F"/>
    <w:rsid w:val="00846BD5"/>
    <w:rsid w:val="008546D3"/>
    <w:rsid w:val="00855892"/>
    <w:rsid w:val="00856CA2"/>
    <w:rsid w:val="00865E66"/>
    <w:rsid w:val="00870F46"/>
    <w:rsid w:val="00875486"/>
    <w:rsid w:val="00877358"/>
    <w:rsid w:val="00882718"/>
    <w:rsid w:val="008B382C"/>
    <w:rsid w:val="008B388C"/>
    <w:rsid w:val="008B59FF"/>
    <w:rsid w:val="008C41C4"/>
    <w:rsid w:val="008E4E2D"/>
    <w:rsid w:val="008F6864"/>
    <w:rsid w:val="0090239B"/>
    <w:rsid w:val="009322FB"/>
    <w:rsid w:val="009423A3"/>
    <w:rsid w:val="00946582"/>
    <w:rsid w:val="009469DB"/>
    <w:rsid w:val="00954C6A"/>
    <w:rsid w:val="0096354C"/>
    <w:rsid w:val="00970CB9"/>
    <w:rsid w:val="009713A3"/>
    <w:rsid w:val="00983C03"/>
    <w:rsid w:val="0098516A"/>
    <w:rsid w:val="0099084E"/>
    <w:rsid w:val="00995CB9"/>
    <w:rsid w:val="009969EB"/>
    <w:rsid w:val="009B07B0"/>
    <w:rsid w:val="009B7995"/>
    <w:rsid w:val="009C700C"/>
    <w:rsid w:val="009D0444"/>
    <w:rsid w:val="009D0D0F"/>
    <w:rsid w:val="009E4D2C"/>
    <w:rsid w:val="009F26AA"/>
    <w:rsid w:val="009F32C7"/>
    <w:rsid w:val="009F6947"/>
    <w:rsid w:val="009F7B3B"/>
    <w:rsid w:val="00A067B6"/>
    <w:rsid w:val="00A14734"/>
    <w:rsid w:val="00A43276"/>
    <w:rsid w:val="00A47279"/>
    <w:rsid w:val="00A61D5F"/>
    <w:rsid w:val="00A71502"/>
    <w:rsid w:val="00A908BB"/>
    <w:rsid w:val="00A91103"/>
    <w:rsid w:val="00A97C01"/>
    <w:rsid w:val="00AB5989"/>
    <w:rsid w:val="00AB6F70"/>
    <w:rsid w:val="00AC7444"/>
    <w:rsid w:val="00AD0157"/>
    <w:rsid w:val="00AD207E"/>
    <w:rsid w:val="00AD78A8"/>
    <w:rsid w:val="00AE0EFF"/>
    <w:rsid w:val="00AE697F"/>
    <w:rsid w:val="00AF0C5D"/>
    <w:rsid w:val="00B15C66"/>
    <w:rsid w:val="00B25C40"/>
    <w:rsid w:val="00B34DA1"/>
    <w:rsid w:val="00B4100B"/>
    <w:rsid w:val="00B44D34"/>
    <w:rsid w:val="00B55200"/>
    <w:rsid w:val="00B57965"/>
    <w:rsid w:val="00B76A86"/>
    <w:rsid w:val="00B81BF1"/>
    <w:rsid w:val="00B86E7E"/>
    <w:rsid w:val="00BB78A4"/>
    <w:rsid w:val="00BC71FD"/>
    <w:rsid w:val="00BD1167"/>
    <w:rsid w:val="00BD5061"/>
    <w:rsid w:val="00BD6BDF"/>
    <w:rsid w:val="00BE3943"/>
    <w:rsid w:val="00BE474F"/>
    <w:rsid w:val="00C028C0"/>
    <w:rsid w:val="00C310C5"/>
    <w:rsid w:val="00C3708A"/>
    <w:rsid w:val="00C37B1A"/>
    <w:rsid w:val="00C46B75"/>
    <w:rsid w:val="00C60E3F"/>
    <w:rsid w:val="00C6136E"/>
    <w:rsid w:val="00C66275"/>
    <w:rsid w:val="00C668A1"/>
    <w:rsid w:val="00C73D16"/>
    <w:rsid w:val="00C80C65"/>
    <w:rsid w:val="00C9391D"/>
    <w:rsid w:val="00CA02CE"/>
    <w:rsid w:val="00CA781D"/>
    <w:rsid w:val="00CC408A"/>
    <w:rsid w:val="00CE28CD"/>
    <w:rsid w:val="00CE470D"/>
    <w:rsid w:val="00CE70D6"/>
    <w:rsid w:val="00CF0F31"/>
    <w:rsid w:val="00D12433"/>
    <w:rsid w:val="00D12EE2"/>
    <w:rsid w:val="00D2676A"/>
    <w:rsid w:val="00D33609"/>
    <w:rsid w:val="00D53E18"/>
    <w:rsid w:val="00D65B9A"/>
    <w:rsid w:val="00D82BFD"/>
    <w:rsid w:val="00D83D77"/>
    <w:rsid w:val="00D94F3F"/>
    <w:rsid w:val="00DB4C1E"/>
    <w:rsid w:val="00DD3CF1"/>
    <w:rsid w:val="00DF2DA5"/>
    <w:rsid w:val="00DF5DFD"/>
    <w:rsid w:val="00E150B3"/>
    <w:rsid w:val="00E31A2F"/>
    <w:rsid w:val="00E42CFF"/>
    <w:rsid w:val="00E534F2"/>
    <w:rsid w:val="00E5510A"/>
    <w:rsid w:val="00E57D3A"/>
    <w:rsid w:val="00E647F4"/>
    <w:rsid w:val="00E7356E"/>
    <w:rsid w:val="00E841AC"/>
    <w:rsid w:val="00EA0B8A"/>
    <w:rsid w:val="00EA355D"/>
    <w:rsid w:val="00EB0458"/>
    <w:rsid w:val="00EB0D4B"/>
    <w:rsid w:val="00EB2C00"/>
    <w:rsid w:val="00EB7E38"/>
    <w:rsid w:val="00EC6DAB"/>
    <w:rsid w:val="00EE48A9"/>
    <w:rsid w:val="00F10ED0"/>
    <w:rsid w:val="00F12CBB"/>
    <w:rsid w:val="00F13655"/>
    <w:rsid w:val="00F160D8"/>
    <w:rsid w:val="00F573FD"/>
    <w:rsid w:val="00F75054"/>
    <w:rsid w:val="00FC78C9"/>
    <w:rsid w:val="00FD2ADB"/>
    <w:rsid w:val="00FD7D98"/>
    <w:rsid w:val="00FE0621"/>
    <w:rsid w:val="00FE2083"/>
    <w:rsid w:val="00FE229F"/>
    <w:rsid w:val="00FE36FF"/>
    <w:rsid w:val="00FF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C8563"/>
  <w15:chartTrackingRefBased/>
  <w15:docId w15:val="{1B52D937-C38F-41B4-9481-0129100F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6F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07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4E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F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07B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55892"/>
    <w:pPr>
      <w:spacing w:after="0" w:line="240" w:lineRule="auto"/>
    </w:pPr>
  </w:style>
  <w:style w:type="character" w:customStyle="1" w:styleId="Heading3Char">
    <w:name w:val="Heading 3 Char"/>
    <w:basedOn w:val="DefaultParagraphFont"/>
    <w:link w:val="Heading3"/>
    <w:uiPriority w:val="9"/>
    <w:rsid w:val="00814ED5"/>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9969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69E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F61A9"/>
    <w:pPr>
      <w:spacing w:after="200" w:line="240" w:lineRule="auto"/>
    </w:pPr>
    <w:rPr>
      <w:i/>
      <w:iCs/>
      <w:color w:val="44546A" w:themeColor="text2"/>
      <w:sz w:val="18"/>
      <w:szCs w:val="18"/>
    </w:rPr>
  </w:style>
  <w:style w:type="table" w:styleId="PlainTable5">
    <w:name w:val="Plain Table 5"/>
    <w:basedOn w:val="TableNormal"/>
    <w:uiPriority w:val="45"/>
    <w:rsid w:val="00A97C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97C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80C65"/>
    <w:pPr>
      <w:ind w:left="720"/>
      <w:contextualSpacing/>
    </w:pPr>
  </w:style>
  <w:style w:type="paragraph" w:styleId="BalloonText">
    <w:name w:val="Balloon Text"/>
    <w:basedOn w:val="Normal"/>
    <w:link w:val="BalloonTextChar"/>
    <w:uiPriority w:val="99"/>
    <w:semiHidden/>
    <w:unhideWhenUsed/>
    <w:rsid w:val="00722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892"/>
    <w:rPr>
      <w:rFonts w:ascii="Segoe UI" w:hAnsi="Segoe UI" w:cs="Segoe UI"/>
      <w:sz w:val="18"/>
      <w:szCs w:val="18"/>
    </w:rPr>
  </w:style>
  <w:style w:type="paragraph" w:styleId="FootnoteText">
    <w:name w:val="footnote text"/>
    <w:basedOn w:val="Normal"/>
    <w:link w:val="FootnoteTextChar"/>
    <w:uiPriority w:val="99"/>
    <w:semiHidden/>
    <w:unhideWhenUsed/>
    <w:rsid w:val="00722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892"/>
    <w:rPr>
      <w:sz w:val="20"/>
      <w:szCs w:val="20"/>
    </w:rPr>
  </w:style>
  <w:style w:type="character" w:styleId="FootnoteReference">
    <w:name w:val="footnote reference"/>
    <w:basedOn w:val="DefaultParagraphFont"/>
    <w:uiPriority w:val="99"/>
    <w:semiHidden/>
    <w:unhideWhenUsed/>
    <w:rsid w:val="00722892"/>
    <w:rPr>
      <w:vertAlign w:val="superscript"/>
    </w:rPr>
  </w:style>
  <w:style w:type="paragraph" w:styleId="Header">
    <w:name w:val="header"/>
    <w:basedOn w:val="Normal"/>
    <w:link w:val="HeaderChar"/>
    <w:uiPriority w:val="99"/>
    <w:unhideWhenUsed/>
    <w:rsid w:val="001E5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232"/>
  </w:style>
  <w:style w:type="paragraph" w:styleId="Footer">
    <w:name w:val="footer"/>
    <w:basedOn w:val="Normal"/>
    <w:link w:val="FooterChar"/>
    <w:uiPriority w:val="99"/>
    <w:unhideWhenUsed/>
    <w:rsid w:val="001E5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232"/>
  </w:style>
  <w:style w:type="character" w:styleId="CommentReference">
    <w:name w:val="annotation reference"/>
    <w:basedOn w:val="DefaultParagraphFont"/>
    <w:uiPriority w:val="99"/>
    <w:semiHidden/>
    <w:unhideWhenUsed/>
    <w:rsid w:val="007D686C"/>
    <w:rPr>
      <w:sz w:val="16"/>
      <w:szCs w:val="16"/>
    </w:rPr>
  </w:style>
  <w:style w:type="paragraph" w:styleId="CommentText">
    <w:name w:val="annotation text"/>
    <w:basedOn w:val="Normal"/>
    <w:link w:val="CommentTextChar"/>
    <w:uiPriority w:val="99"/>
    <w:semiHidden/>
    <w:unhideWhenUsed/>
    <w:rsid w:val="007D686C"/>
    <w:pPr>
      <w:spacing w:line="240" w:lineRule="auto"/>
    </w:pPr>
    <w:rPr>
      <w:sz w:val="20"/>
      <w:szCs w:val="20"/>
    </w:rPr>
  </w:style>
  <w:style w:type="character" w:customStyle="1" w:styleId="CommentTextChar">
    <w:name w:val="Comment Text Char"/>
    <w:basedOn w:val="DefaultParagraphFont"/>
    <w:link w:val="CommentText"/>
    <w:uiPriority w:val="99"/>
    <w:semiHidden/>
    <w:rsid w:val="007D686C"/>
    <w:rPr>
      <w:sz w:val="20"/>
      <w:szCs w:val="20"/>
    </w:rPr>
  </w:style>
  <w:style w:type="paragraph" w:styleId="CommentSubject">
    <w:name w:val="annotation subject"/>
    <w:basedOn w:val="CommentText"/>
    <w:next w:val="CommentText"/>
    <w:link w:val="CommentSubjectChar"/>
    <w:uiPriority w:val="99"/>
    <w:semiHidden/>
    <w:unhideWhenUsed/>
    <w:rsid w:val="007D686C"/>
    <w:rPr>
      <w:b/>
      <w:bCs/>
    </w:rPr>
  </w:style>
  <w:style w:type="character" w:customStyle="1" w:styleId="CommentSubjectChar">
    <w:name w:val="Comment Subject Char"/>
    <w:basedOn w:val="CommentTextChar"/>
    <w:link w:val="CommentSubject"/>
    <w:uiPriority w:val="99"/>
    <w:semiHidden/>
    <w:rsid w:val="007D68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Arial" pitchFamily="34" charset="0"/>
                <a:cs typeface="Arial" pitchFamily="34" charset="0"/>
              </a:defRPr>
            </a:pPr>
            <a:r>
              <a:rPr lang="en-US" sz="800" b="1" i="0" u="none" strike="noStrike" baseline="0">
                <a:effectLst/>
              </a:rPr>
              <a:t>Economic Performance for Minnesota's Manufacturing Industry --</a:t>
            </a:r>
          </a:p>
          <a:p>
            <a:pPr>
              <a:defRPr sz="900">
                <a:latin typeface="Arial" pitchFamily="34" charset="0"/>
                <a:cs typeface="Arial" pitchFamily="34" charset="0"/>
              </a:defRPr>
            </a:pPr>
            <a:r>
              <a:rPr lang="en-US" sz="800" b="1" i="0" u="none" strike="noStrike" baseline="0">
                <a:effectLst/>
              </a:rPr>
              <a:t>2019, Compared to 2018</a:t>
            </a:r>
            <a:endParaRPr lang="en-US" sz="800">
              <a:latin typeface="Arial" pitchFamily="34" charset="0"/>
              <a:cs typeface="Arial" pitchFamily="34" charset="0"/>
            </a:endParaRPr>
          </a:p>
        </c:rich>
      </c:tx>
      <c:overlay val="0"/>
    </c:title>
    <c:autoTitleDeleted val="0"/>
    <c:plotArea>
      <c:layout>
        <c:manualLayout>
          <c:layoutTarget val="inner"/>
          <c:xMode val="edge"/>
          <c:yMode val="edge"/>
          <c:x val="8.7771154091241477E-2"/>
          <c:y val="0.2315086040866052"/>
          <c:w val="0.8701994877758924"/>
          <c:h val="0.63870134720985006"/>
        </c:manualLayout>
      </c:layout>
      <c:barChart>
        <c:barDir val="col"/>
        <c:grouping val="clustered"/>
        <c:varyColors val="0"/>
        <c:ser>
          <c:idx val="0"/>
          <c:order val="0"/>
          <c:tx>
            <c:strRef>
              <c:f>Sheet1!$B$1</c:f>
              <c:strCache>
                <c:ptCount val="1"/>
                <c:pt idx="0">
                  <c:v>Up</c:v>
                </c:pt>
              </c:strCache>
            </c:strRef>
          </c:tx>
          <c:spPr>
            <a:ln>
              <a:solidFill>
                <a:schemeClr val="accent1"/>
              </a:solidFill>
            </a:ln>
          </c:spPr>
          <c:invertIfNegative val="0"/>
          <c:cat>
            <c:strRef>
              <c:f>Sheet1!$A$2:$A$9</c:f>
              <c:strCache>
                <c:ptCount val="8"/>
                <c:pt idx="0">
                  <c:v>Orders</c:v>
                </c:pt>
                <c:pt idx="1">
                  <c:v>Produc- tion</c:v>
                </c:pt>
                <c:pt idx="2">
                  <c:v>Employ- ment</c:v>
                </c:pt>
                <c:pt idx="3">
                  <c:v>Invest- ment</c:v>
                </c:pt>
                <c:pt idx="4">
                  <c:v>Prices</c:v>
                </c:pt>
                <c:pt idx="5">
                  <c:v>Profits</c:v>
                </c:pt>
                <c:pt idx="6">
                  <c:v>Produc- tivity</c:v>
                </c:pt>
                <c:pt idx="7">
                  <c:v>Exports</c:v>
                </c:pt>
              </c:strCache>
            </c:strRef>
          </c:cat>
          <c:val>
            <c:numRef>
              <c:f>Sheet1!$B$2:$B$9</c:f>
              <c:numCache>
                <c:formatCode>0%</c:formatCode>
                <c:ptCount val="8"/>
                <c:pt idx="0">
                  <c:v>0.41</c:v>
                </c:pt>
                <c:pt idx="1">
                  <c:v>0.37</c:v>
                </c:pt>
                <c:pt idx="2">
                  <c:v>0.28999999999999998</c:v>
                </c:pt>
                <c:pt idx="3">
                  <c:v>0.43</c:v>
                </c:pt>
                <c:pt idx="4">
                  <c:v>0.38</c:v>
                </c:pt>
                <c:pt idx="5">
                  <c:v>0.28999999999999998</c:v>
                </c:pt>
                <c:pt idx="6">
                  <c:v>0.35</c:v>
                </c:pt>
                <c:pt idx="7">
                  <c:v>0.13</c:v>
                </c:pt>
              </c:numCache>
            </c:numRef>
          </c:val>
          <c:extLst>
            <c:ext xmlns:c16="http://schemas.microsoft.com/office/drawing/2014/chart" uri="{C3380CC4-5D6E-409C-BE32-E72D297353CC}">
              <c16:uniqueId val="{00000000-1C96-4AC5-A2CA-BE5DE171AAC3}"/>
            </c:ext>
          </c:extLst>
        </c:ser>
        <c:ser>
          <c:idx val="1"/>
          <c:order val="1"/>
          <c:tx>
            <c:strRef>
              <c:f>Sheet1!$C$1</c:f>
              <c:strCache>
                <c:ptCount val="1"/>
                <c:pt idx="0">
                  <c:v>Same</c:v>
                </c:pt>
              </c:strCache>
            </c:strRef>
          </c:tx>
          <c:spPr>
            <a:solidFill>
              <a:srgbClr val="92D050"/>
            </a:solidFill>
            <a:ln>
              <a:solidFill>
                <a:schemeClr val="accent1"/>
              </a:solidFill>
            </a:ln>
          </c:spPr>
          <c:invertIfNegative val="0"/>
          <c:cat>
            <c:strRef>
              <c:f>Sheet1!$A$2:$A$9</c:f>
              <c:strCache>
                <c:ptCount val="8"/>
                <c:pt idx="0">
                  <c:v>Orders</c:v>
                </c:pt>
                <c:pt idx="1">
                  <c:v>Produc- tion</c:v>
                </c:pt>
                <c:pt idx="2">
                  <c:v>Employ- ment</c:v>
                </c:pt>
                <c:pt idx="3">
                  <c:v>Invest- ment</c:v>
                </c:pt>
                <c:pt idx="4">
                  <c:v>Prices</c:v>
                </c:pt>
                <c:pt idx="5">
                  <c:v>Profits</c:v>
                </c:pt>
                <c:pt idx="6">
                  <c:v>Produc- tivity</c:v>
                </c:pt>
                <c:pt idx="7">
                  <c:v>Exports</c:v>
                </c:pt>
              </c:strCache>
            </c:strRef>
          </c:cat>
          <c:val>
            <c:numRef>
              <c:f>Sheet1!$C$2:$C$9</c:f>
              <c:numCache>
                <c:formatCode>0%</c:formatCode>
                <c:ptCount val="8"/>
                <c:pt idx="0">
                  <c:v>0.28999999999999998</c:v>
                </c:pt>
                <c:pt idx="1">
                  <c:v>0.37</c:v>
                </c:pt>
                <c:pt idx="2">
                  <c:v>0.44</c:v>
                </c:pt>
                <c:pt idx="3">
                  <c:v>0.37</c:v>
                </c:pt>
                <c:pt idx="4">
                  <c:v>0.52</c:v>
                </c:pt>
                <c:pt idx="5">
                  <c:v>0.33</c:v>
                </c:pt>
                <c:pt idx="6">
                  <c:v>0.48</c:v>
                </c:pt>
                <c:pt idx="7">
                  <c:v>0.59</c:v>
                </c:pt>
              </c:numCache>
            </c:numRef>
          </c:val>
          <c:extLst>
            <c:ext xmlns:c16="http://schemas.microsoft.com/office/drawing/2014/chart" uri="{C3380CC4-5D6E-409C-BE32-E72D297353CC}">
              <c16:uniqueId val="{00000001-1C96-4AC5-A2CA-BE5DE171AAC3}"/>
            </c:ext>
          </c:extLst>
        </c:ser>
        <c:ser>
          <c:idx val="2"/>
          <c:order val="2"/>
          <c:tx>
            <c:strRef>
              <c:f>Sheet1!$D$1</c:f>
              <c:strCache>
                <c:ptCount val="1"/>
                <c:pt idx="0">
                  <c:v>Down</c:v>
                </c:pt>
              </c:strCache>
            </c:strRef>
          </c:tx>
          <c:spPr>
            <a:solidFill>
              <a:srgbClr val="FFFF99"/>
            </a:solidFill>
            <a:ln>
              <a:solidFill>
                <a:schemeClr val="accent1"/>
              </a:solidFill>
            </a:ln>
          </c:spPr>
          <c:invertIfNegative val="0"/>
          <c:cat>
            <c:strRef>
              <c:f>Sheet1!$A$2:$A$9</c:f>
              <c:strCache>
                <c:ptCount val="8"/>
                <c:pt idx="0">
                  <c:v>Orders</c:v>
                </c:pt>
                <c:pt idx="1">
                  <c:v>Produc- tion</c:v>
                </c:pt>
                <c:pt idx="2">
                  <c:v>Employ- ment</c:v>
                </c:pt>
                <c:pt idx="3">
                  <c:v>Invest- ment</c:v>
                </c:pt>
                <c:pt idx="4">
                  <c:v>Prices</c:v>
                </c:pt>
                <c:pt idx="5">
                  <c:v>Profits</c:v>
                </c:pt>
                <c:pt idx="6">
                  <c:v>Produc- tivity</c:v>
                </c:pt>
                <c:pt idx="7">
                  <c:v>Exports</c:v>
                </c:pt>
              </c:strCache>
            </c:strRef>
          </c:cat>
          <c:val>
            <c:numRef>
              <c:f>Sheet1!$D$2:$D$9</c:f>
              <c:numCache>
                <c:formatCode>0%</c:formatCode>
                <c:ptCount val="8"/>
                <c:pt idx="0">
                  <c:v>0.31</c:v>
                </c:pt>
                <c:pt idx="1">
                  <c:v>0.26</c:v>
                </c:pt>
                <c:pt idx="2">
                  <c:v>0.27</c:v>
                </c:pt>
                <c:pt idx="3">
                  <c:v>0.2</c:v>
                </c:pt>
                <c:pt idx="4">
                  <c:v>0.1</c:v>
                </c:pt>
                <c:pt idx="5">
                  <c:v>0.38</c:v>
                </c:pt>
                <c:pt idx="6">
                  <c:v>0.17</c:v>
                </c:pt>
                <c:pt idx="7">
                  <c:v>0.28000000000000003</c:v>
                </c:pt>
              </c:numCache>
            </c:numRef>
          </c:val>
          <c:extLst>
            <c:ext xmlns:c16="http://schemas.microsoft.com/office/drawing/2014/chart" uri="{C3380CC4-5D6E-409C-BE32-E72D297353CC}">
              <c16:uniqueId val="{00000002-1C96-4AC5-A2CA-BE5DE171AAC3}"/>
            </c:ext>
          </c:extLst>
        </c:ser>
        <c:dLbls>
          <c:showLegendKey val="0"/>
          <c:showVal val="0"/>
          <c:showCatName val="0"/>
          <c:showSerName val="0"/>
          <c:showPercent val="0"/>
          <c:showBubbleSize val="0"/>
        </c:dLbls>
        <c:gapWidth val="100"/>
        <c:axId val="123728640"/>
        <c:axId val="123827496"/>
      </c:barChart>
      <c:catAx>
        <c:axId val="123728640"/>
        <c:scaling>
          <c:orientation val="minMax"/>
        </c:scaling>
        <c:delete val="0"/>
        <c:axPos val="b"/>
        <c:numFmt formatCode="General" sourceLinked="0"/>
        <c:majorTickMark val="out"/>
        <c:minorTickMark val="none"/>
        <c:tickLblPos val="nextTo"/>
        <c:txPr>
          <a:bodyPr rot="0" vert="horz"/>
          <a:lstStyle/>
          <a:p>
            <a:pPr>
              <a:defRPr sz="700">
                <a:latin typeface="Arial" pitchFamily="34" charset="0"/>
                <a:cs typeface="Arial" pitchFamily="34" charset="0"/>
              </a:defRPr>
            </a:pPr>
            <a:endParaRPr lang="en-US"/>
          </a:p>
        </c:txPr>
        <c:crossAx val="123827496"/>
        <c:crosses val="autoZero"/>
        <c:auto val="1"/>
        <c:lblAlgn val="ctr"/>
        <c:lblOffset val="100"/>
        <c:noMultiLvlLbl val="0"/>
      </c:catAx>
      <c:valAx>
        <c:axId val="123827496"/>
        <c:scaling>
          <c:orientation val="minMax"/>
          <c:max val="0.70000000000000007"/>
        </c:scaling>
        <c:delete val="0"/>
        <c:axPos val="l"/>
        <c:majorGridlines/>
        <c:numFmt formatCode="0%" sourceLinked="1"/>
        <c:majorTickMark val="out"/>
        <c:minorTickMark val="none"/>
        <c:tickLblPos val="nextTo"/>
        <c:txPr>
          <a:bodyPr/>
          <a:lstStyle/>
          <a:p>
            <a:pPr>
              <a:defRPr sz="800"/>
            </a:pPr>
            <a:endParaRPr lang="en-US"/>
          </a:p>
        </c:txPr>
        <c:crossAx val="123728640"/>
        <c:crosses val="autoZero"/>
        <c:crossBetween val="between"/>
      </c:valAx>
    </c:plotArea>
    <c:legend>
      <c:legendPos val="t"/>
      <c:layout>
        <c:manualLayout>
          <c:xMode val="edge"/>
          <c:yMode val="edge"/>
          <c:x val="0.58131211599253563"/>
          <c:y val="0.25758512267877776"/>
          <c:w val="0.312383635419754"/>
          <c:h val="7.3936167508604378E-2"/>
        </c:manualLayout>
      </c:layout>
      <c:overlay val="0"/>
      <c:spPr>
        <a:ln>
          <a:solidFill>
            <a:schemeClr val="accent1"/>
          </a:solidFill>
        </a:ln>
      </c:spPr>
      <c:txPr>
        <a:bodyPr/>
        <a:lstStyle/>
        <a:p>
          <a:pPr>
            <a:defRPr sz="7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Arial" pitchFamily="34" charset="0"/>
                <a:cs typeface="Arial" pitchFamily="34" charset="0"/>
              </a:defRPr>
            </a:pPr>
            <a:r>
              <a:rPr lang="en-US" sz="800" b="1" i="0" u="none" strike="noStrike" baseline="0">
                <a:effectLst/>
              </a:rPr>
              <a:t>Outlook on Economic Performance for Minnesota's Manufacturing Industry --</a:t>
            </a:r>
          </a:p>
          <a:p>
            <a:pPr>
              <a:defRPr sz="900">
                <a:latin typeface="Arial" pitchFamily="34" charset="0"/>
                <a:cs typeface="Arial" pitchFamily="34" charset="0"/>
              </a:defRPr>
            </a:pPr>
            <a:r>
              <a:rPr lang="en-US" sz="800" b="1" i="0" u="none" strike="noStrike" baseline="0">
                <a:effectLst/>
              </a:rPr>
              <a:t>2020, Compared to 2019</a:t>
            </a:r>
            <a:endParaRPr lang="en-US" sz="800">
              <a:latin typeface="Arial" pitchFamily="34" charset="0"/>
              <a:cs typeface="Arial" pitchFamily="34" charset="0"/>
            </a:endParaRPr>
          </a:p>
        </c:rich>
      </c:tx>
      <c:overlay val="0"/>
    </c:title>
    <c:autoTitleDeleted val="0"/>
    <c:plotArea>
      <c:layout>
        <c:manualLayout>
          <c:layoutTarget val="inner"/>
          <c:xMode val="edge"/>
          <c:yMode val="edge"/>
          <c:x val="8.7771154091241477E-2"/>
          <c:y val="0.2315086040866052"/>
          <c:w val="0.84062156768714325"/>
          <c:h val="0.63870134720985006"/>
        </c:manualLayout>
      </c:layout>
      <c:barChart>
        <c:barDir val="col"/>
        <c:grouping val="clustered"/>
        <c:varyColors val="0"/>
        <c:ser>
          <c:idx val="0"/>
          <c:order val="0"/>
          <c:tx>
            <c:strRef>
              <c:f>Sheet1!$B$1</c:f>
              <c:strCache>
                <c:ptCount val="1"/>
                <c:pt idx="0">
                  <c:v>Up</c:v>
                </c:pt>
              </c:strCache>
            </c:strRef>
          </c:tx>
          <c:spPr>
            <a:ln>
              <a:solidFill>
                <a:schemeClr val="accent1"/>
              </a:solidFill>
            </a:ln>
          </c:spPr>
          <c:invertIfNegative val="0"/>
          <c:cat>
            <c:strRef>
              <c:f>Sheet1!$A$2:$A$9</c:f>
              <c:strCache>
                <c:ptCount val="8"/>
                <c:pt idx="0">
                  <c:v>Orders</c:v>
                </c:pt>
                <c:pt idx="1">
                  <c:v>Produc- tion</c:v>
                </c:pt>
                <c:pt idx="2">
                  <c:v>Employ- ment</c:v>
                </c:pt>
                <c:pt idx="3">
                  <c:v>Invest- ment</c:v>
                </c:pt>
                <c:pt idx="4">
                  <c:v>Prices</c:v>
                </c:pt>
                <c:pt idx="5">
                  <c:v>Profits</c:v>
                </c:pt>
                <c:pt idx="6">
                  <c:v>Produc- tivity</c:v>
                </c:pt>
                <c:pt idx="7">
                  <c:v>Exports</c:v>
                </c:pt>
              </c:strCache>
            </c:strRef>
          </c:cat>
          <c:val>
            <c:numRef>
              <c:f>Sheet1!$B$2:$B$9</c:f>
              <c:numCache>
                <c:formatCode>0%</c:formatCode>
                <c:ptCount val="8"/>
                <c:pt idx="0">
                  <c:v>0.5</c:v>
                </c:pt>
                <c:pt idx="1">
                  <c:v>0.44</c:v>
                </c:pt>
                <c:pt idx="2">
                  <c:v>0.3</c:v>
                </c:pt>
                <c:pt idx="3">
                  <c:v>0.37</c:v>
                </c:pt>
                <c:pt idx="4">
                  <c:v>0.42</c:v>
                </c:pt>
                <c:pt idx="5">
                  <c:v>0.4</c:v>
                </c:pt>
                <c:pt idx="6">
                  <c:v>0.4</c:v>
                </c:pt>
                <c:pt idx="7">
                  <c:v>0.26</c:v>
                </c:pt>
              </c:numCache>
            </c:numRef>
          </c:val>
          <c:extLst>
            <c:ext xmlns:c16="http://schemas.microsoft.com/office/drawing/2014/chart" uri="{C3380CC4-5D6E-409C-BE32-E72D297353CC}">
              <c16:uniqueId val="{00000000-126D-4C4D-AF26-93131C670B6F}"/>
            </c:ext>
          </c:extLst>
        </c:ser>
        <c:ser>
          <c:idx val="1"/>
          <c:order val="1"/>
          <c:tx>
            <c:strRef>
              <c:f>Sheet1!$C$1</c:f>
              <c:strCache>
                <c:ptCount val="1"/>
                <c:pt idx="0">
                  <c:v>Same</c:v>
                </c:pt>
              </c:strCache>
            </c:strRef>
          </c:tx>
          <c:spPr>
            <a:solidFill>
              <a:srgbClr val="92D050"/>
            </a:solidFill>
            <a:ln>
              <a:solidFill>
                <a:schemeClr val="accent1"/>
              </a:solidFill>
            </a:ln>
          </c:spPr>
          <c:invertIfNegative val="0"/>
          <c:cat>
            <c:strRef>
              <c:f>Sheet1!$A$2:$A$9</c:f>
              <c:strCache>
                <c:ptCount val="8"/>
                <c:pt idx="0">
                  <c:v>Orders</c:v>
                </c:pt>
                <c:pt idx="1">
                  <c:v>Produc- tion</c:v>
                </c:pt>
                <c:pt idx="2">
                  <c:v>Employ- ment</c:v>
                </c:pt>
                <c:pt idx="3">
                  <c:v>Invest- ment</c:v>
                </c:pt>
                <c:pt idx="4">
                  <c:v>Prices</c:v>
                </c:pt>
                <c:pt idx="5">
                  <c:v>Profits</c:v>
                </c:pt>
                <c:pt idx="6">
                  <c:v>Produc- tivity</c:v>
                </c:pt>
                <c:pt idx="7">
                  <c:v>Exports</c:v>
                </c:pt>
              </c:strCache>
            </c:strRef>
          </c:cat>
          <c:val>
            <c:numRef>
              <c:f>Sheet1!$C$2:$C$9</c:f>
              <c:numCache>
                <c:formatCode>0%</c:formatCode>
                <c:ptCount val="8"/>
                <c:pt idx="0">
                  <c:v>0.37</c:v>
                </c:pt>
                <c:pt idx="1">
                  <c:v>0.5</c:v>
                </c:pt>
                <c:pt idx="2">
                  <c:v>0.64</c:v>
                </c:pt>
                <c:pt idx="3">
                  <c:v>0.45</c:v>
                </c:pt>
                <c:pt idx="4">
                  <c:v>0.53</c:v>
                </c:pt>
                <c:pt idx="5">
                  <c:v>0.46</c:v>
                </c:pt>
                <c:pt idx="6">
                  <c:v>0.56000000000000005</c:v>
                </c:pt>
                <c:pt idx="7">
                  <c:v>0.53</c:v>
                </c:pt>
              </c:numCache>
            </c:numRef>
          </c:val>
          <c:extLst>
            <c:ext xmlns:c16="http://schemas.microsoft.com/office/drawing/2014/chart" uri="{C3380CC4-5D6E-409C-BE32-E72D297353CC}">
              <c16:uniqueId val="{00000001-126D-4C4D-AF26-93131C670B6F}"/>
            </c:ext>
          </c:extLst>
        </c:ser>
        <c:ser>
          <c:idx val="2"/>
          <c:order val="2"/>
          <c:tx>
            <c:strRef>
              <c:f>Sheet1!$D$1</c:f>
              <c:strCache>
                <c:ptCount val="1"/>
                <c:pt idx="0">
                  <c:v>Down</c:v>
                </c:pt>
              </c:strCache>
            </c:strRef>
          </c:tx>
          <c:spPr>
            <a:solidFill>
              <a:srgbClr val="FFFF99"/>
            </a:solidFill>
            <a:ln>
              <a:solidFill>
                <a:schemeClr val="accent1"/>
              </a:solidFill>
            </a:ln>
          </c:spPr>
          <c:invertIfNegative val="0"/>
          <c:cat>
            <c:strRef>
              <c:f>Sheet1!$A$2:$A$9</c:f>
              <c:strCache>
                <c:ptCount val="8"/>
                <c:pt idx="0">
                  <c:v>Orders</c:v>
                </c:pt>
                <c:pt idx="1">
                  <c:v>Produc- tion</c:v>
                </c:pt>
                <c:pt idx="2">
                  <c:v>Employ- ment</c:v>
                </c:pt>
                <c:pt idx="3">
                  <c:v>Invest- ment</c:v>
                </c:pt>
                <c:pt idx="4">
                  <c:v>Prices</c:v>
                </c:pt>
                <c:pt idx="5">
                  <c:v>Profits</c:v>
                </c:pt>
                <c:pt idx="6">
                  <c:v>Produc- tivity</c:v>
                </c:pt>
                <c:pt idx="7">
                  <c:v>Exports</c:v>
                </c:pt>
              </c:strCache>
            </c:strRef>
          </c:cat>
          <c:val>
            <c:numRef>
              <c:f>Sheet1!$D$2:$D$9</c:f>
              <c:numCache>
                <c:formatCode>0%</c:formatCode>
                <c:ptCount val="8"/>
                <c:pt idx="0">
                  <c:v>0.13</c:v>
                </c:pt>
                <c:pt idx="1">
                  <c:v>0.05</c:v>
                </c:pt>
                <c:pt idx="2">
                  <c:v>7.0000000000000007E-2</c:v>
                </c:pt>
                <c:pt idx="3">
                  <c:v>0.19</c:v>
                </c:pt>
                <c:pt idx="4">
                  <c:v>0.05</c:v>
                </c:pt>
                <c:pt idx="5">
                  <c:v>0.14000000000000001</c:v>
                </c:pt>
                <c:pt idx="6">
                  <c:v>0.04</c:v>
                </c:pt>
                <c:pt idx="7">
                  <c:v>0.21</c:v>
                </c:pt>
              </c:numCache>
            </c:numRef>
          </c:val>
          <c:extLst>
            <c:ext xmlns:c16="http://schemas.microsoft.com/office/drawing/2014/chart" uri="{C3380CC4-5D6E-409C-BE32-E72D297353CC}">
              <c16:uniqueId val="{00000002-126D-4C4D-AF26-93131C670B6F}"/>
            </c:ext>
          </c:extLst>
        </c:ser>
        <c:dLbls>
          <c:showLegendKey val="0"/>
          <c:showVal val="0"/>
          <c:showCatName val="0"/>
          <c:showSerName val="0"/>
          <c:showPercent val="0"/>
          <c:showBubbleSize val="0"/>
        </c:dLbls>
        <c:gapWidth val="100"/>
        <c:axId val="124087680"/>
        <c:axId val="123928736"/>
      </c:barChart>
      <c:catAx>
        <c:axId val="124087680"/>
        <c:scaling>
          <c:orientation val="minMax"/>
        </c:scaling>
        <c:delete val="0"/>
        <c:axPos val="b"/>
        <c:numFmt formatCode="General" sourceLinked="0"/>
        <c:majorTickMark val="out"/>
        <c:minorTickMark val="none"/>
        <c:tickLblPos val="nextTo"/>
        <c:txPr>
          <a:bodyPr rot="0" vert="horz"/>
          <a:lstStyle/>
          <a:p>
            <a:pPr>
              <a:defRPr sz="700">
                <a:latin typeface="Arial" pitchFamily="34" charset="0"/>
                <a:cs typeface="Arial" pitchFamily="34" charset="0"/>
              </a:defRPr>
            </a:pPr>
            <a:endParaRPr lang="en-US"/>
          </a:p>
        </c:txPr>
        <c:crossAx val="123928736"/>
        <c:crosses val="autoZero"/>
        <c:auto val="1"/>
        <c:lblAlgn val="ctr"/>
        <c:lblOffset val="100"/>
        <c:noMultiLvlLbl val="0"/>
      </c:catAx>
      <c:valAx>
        <c:axId val="123928736"/>
        <c:scaling>
          <c:orientation val="minMax"/>
        </c:scaling>
        <c:delete val="0"/>
        <c:axPos val="l"/>
        <c:majorGridlines/>
        <c:numFmt formatCode="0%" sourceLinked="1"/>
        <c:majorTickMark val="out"/>
        <c:minorTickMark val="none"/>
        <c:tickLblPos val="nextTo"/>
        <c:txPr>
          <a:bodyPr/>
          <a:lstStyle/>
          <a:p>
            <a:pPr>
              <a:defRPr sz="800"/>
            </a:pPr>
            <a:endParaRPr lang="en-US"/>
          </a:p>
        </c:txPr>
        <c:crossAx val="124087680"/>
        <c:crosses val="autoZero"/>
        <c:crossBetween val="between"/>
      </c:valAx>
    </c:plotArea>
    <c:legend>
      <c:legendPos val="t"/>
      <c:layout>
        <c:manualLayout>
          <c:xMode val="edge"/>
          <c:yMode val="edge"/>
          <c:x val="0.10359847053667232"/>
          <c:y val="0.24176218479019237"/>
          <c:w val="0.312383635419754"/>
          <c:h val="7.3936167508604378E-2"/>
        </c:manualLayout>
      </c:layout>
      <c:overlay val="0"/>
      <c:spPr>
        <a:ln>
          <a:solidFill>
            <a:schemeClr val="accent1"/>
          </a:solidFill>
        </a:ln>
      </c:spPr>
      <c:txPr>
        <a:bodyPr/>
        <a:lstStyle/>
        <a:p>
          <a:pPr>
            <a:defRPr sz="700">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A1BC6CE1C4844A847B698265BA7FEC" ma:contentTypeVersion="2" ma:contentTypeDescription="Create a new document." ma:contentTypeScope="" ma:versionID="190f12f877e1b262bc9e4918b78121ee">
  <xsd:schema xmlns:xsd="http://www.w3.org/2001/XMLSchema" xmlns:xs="http://www.w3.org/2001/XMLSchema" xmlns:p="http://schemas.microsoft.com/office/2006/metadata/properties" xmlns:ns2="f93db5dc-5e87-46c6-8702-89abe863cdde" targetNamespace="http://schemas.microsoft.com/office/2006/metadata/properties" ma:root="true" ma:fieldsID="4d3db68fed63508fa093c5da6d3a7381" ns2:_="">
    <xsd:import namespace="f93db5dc-5e87-46c6-8702-89abe863cdd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db5dc-5e87-46c6-8702-89abe863c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A59CC-206E-4291-86B1-C2E1F27198CD}">
  <ds:schemaRefs>
    <ds:schemaRef ds:uri="http://schemas.openxmlformats.org/officeDocument/2006/bibliography"/>
  </ds:schemaRefs>
</ds:datastoreItem>
</file>

<file path=customXml/itemProps2.xml><?xml version="1.0" encoding="utf-8"?>
<ds:datastoreItem xmlns:ds="http://schemas.openxmlformats.org/officeDocument/2006/customXml" ds:itemID="{08D5DDC7-1A50-4B52-9B25-6FE048568532}"/>
</file>

<file path=customXml/itemProps3.xml><?xml version="1.0" encoding="utf-8"?>
<ds:datastoreItem xmlns:ds="http://schemas.openxmlformats.org/officeDocument/2006/customXml" ds:itemID="{F5DB5577-7ADC-4890-9FB1-C104C0B2884B}"/>
</file>

<file path=customXml/itemProps4.xml><?xml version="1.0" encoding="utf-8"?>
<ds:datastoreItem xmlns:ds="http://schemas.openxmlformats.org/officeDocument/2006/customXml" ds:itemID="{8A9BB9E5-B4BB-4664-8E5F-9A274BA06FD5}"/>
</file>

<file path=docProps/app.xml><?xml version="1.0" encoding="utf-8"?>
<Properties xmlns="http://schemas.openxmlformats.org/officeDocument/2006/extended-properties" xmlns:vt="http://schemas.openxmlformats.org/officeDocument/2006/docPropsVTypes">
  <Template>Normal</Template>
  <TotalTime>165</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Olson</dc:creator>
  <cp:keywords/>
  <dc:description/>
  <cp:lastModifiedBy>Lightner, Eric (DEED)</cp:lastModifiedBy>
  <cp:revision>52</cp:revision>
  <cp:lastPrinted>2019-01-07T19:50:00Z</cp:lastPrinted>
  <dcterms:created xsi:type="dcterms:W3CDTF">2020-01-22T20:47:00Z</dcterms:created>
  <dcterms:modified xsi:type="dcterms:W3CDTF">2020-01-29T15:40:00Z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0x010100A0A1BC6CE1C4844A847B698265BA7FEC</vt:lpwstr>
  </property>
</Properties>
</file>