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982797" w14:textId="77777777" w:rsidR="005979C3" w:rsidRDefault="00D52CFB" w:rsidP="00AB6F70">
      <w:r>
        <w:br/>
      </w:r>
      <w:r w:rsidR="00FD5052">
        <w:rPr>
          <w:noProof/>
        </w:rPr>
        <w:drawing>
          <wp:inline distT="0" distB="0" distL="0" distR="0" wp14:anchorId="7D11D82E" wp14:editId="309F6981">
            <wp:extent cx="6858000" cy="1539240"/>
            <wp:effectExtent l="0" t="0" r="0" b="3810"/>
            <wp:docPr id="2" name="Picture 2" descr="Banner with the title Minnesota Manufactiring Business Cpnditions Survey. Contact name is Eric Lightner. Telefone Number 651-259-7149." title="MInnesota Manufacturers Business Condition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0" cy="1539240"/>
                    </a:xfrm>
                    <a:prstGeom prst="rect">
                      <a:avLst/>
                    </a:prstGeom>
                    <a:noFill/>
                    <a:ln>
                      <a:noFill/>
                    </a:ln>
                  </pic:spPr>
                </pic:pic>
              </a:graphicData>
            </a:graphic>
          </wp:inline>
        </w:drawing>
      </w:r>
    </w:p>
    <w:p w14:paraId="5C338F97" w14:textId="77777777" w:rsidR="008B388C" w:rsidRPr="00D60273" w:rsidRDefault="001873F4" w:rsidP="00E55E81">
      <w:pPr>
        <w:pStyle w:val="Heading1"/>
        <w:jc w:val="center"/>
        <w:rPr>
          <w:b/>
          <w:sz w:val="28"/>
          <w:szCs w:val="28"/>
        </w:rPr>
        <w:sectPr w:rsidR="008B388C" w:rsidRPr="00D60273" w:rsidSect="0070375F">
          <w:pgSz w:w="12240" w:h="15840"/>
          <w:pgMar w:top="720" w:right="720" w:bottom="720" w:left="720" w:header="720" w:footer="720" w:gutter="0"/>
          <w:cols w:space="720"/>
          <w:docGrid w:linePitch="360"/>
        </w:sectPr>
      </w:pPr>
      <w:r>
        <w:rPr>
          <w:b/>
          <w:sz w:val="28"/>
          <w:szCs w:val="28"/>
        </w:rPr>
        <w:t>Manufact</w:t>
      </w:r>
      <w:r w:rsidR="00A7507C">
        <w:rPr>
          <w:b/>
          <w:sz w:val="28"/>
          <w:szCs w:val="28"/>
        </w:rPr>
        <w:t xml:space="preserve">urers </w:t>
      </w:r>
      <w:r w:rsidR="00CD106C">
        <w:rPr>
          <w:b/>
          <w:sz w:val="28"/>
          <w:szCs w:val="28"/>
        </w:rPr>
        <w:t xml:space="preserve">Expect </w:t>
      </w:r>
      <w:r w:rsidR="000547A3">
        <w:rPr>
          <w:b/>
          <w:sz w:val="28"/>
          <w:szCs w:val="28"/>
        </w:rPr>
        <w:t xml:space="preserve">Lingering </w:t>
      </w:r>
      <w:r w:rsidR="00FF5EB2">
        <w:rPr>
          <w:b/>
          <w:sz w:val="28"/>
          <w:szCs w:val="28"/>
        </w:rPr>
        <w:t>Pandemic</w:t>
      </w:r>
      <w:r w:rsidR="00A7507C">
        <w:rPr>
          <w:b/>
          <w:sz w:val="28"/>
          <w:szCs w:val="28"/>
        </w:rPr>
        <w:t xml:space="preserve"> Conditions </w:t>
      </w:r>
      <w:r w:rsidR="000547A3">
        <w:rPr>
          <w:b/>
          <w:sz w:val="28"/>
          <w:szCs w:val="28"/>
        </w:rPr>
        <w:t>for</w:t>
      </w:r>
      <w:r w:rsidR="00266F95">
        <w:rPr>
          <w:b/>
          <w:sz w:val="28"/>
          <w:szCs w:val="28"/>
        </w:rPr>
        <w:t xml:space="preserve"> 2021 </w:t>
      </w:r>
      <w:r w:rsidR="00E55E81" w:rsidRPr="00D60273">
        <w:rPr>
          <w:b/>
          <w:sz w:val="28"/>
          <w:szCs w:val="28"/>
        </w:rPr>
        <w:t xml:space="preserve"> </w:t>
      </w:r>
      <w:r w:rsidR="00180F16">
        <w:rPr>
          <w:b/>
          <w:sz w:val="28"/>
          <w:szCs w:val="28"/>
        </w:rPr>
        <w:br/>
      </w:r>
    </w:p>
    <w:p w14:paraId="4118757D" w14:textId="28B0CEF6" w:rsidR="00266F95" w:rsidRPr="007C1A84" w:rsidRDefault="00266F95" w:rsidP="00266F95">
      <w:pPr>
        <w:spacing w:after="0" w:line="240" w:lineRule="auto"/>
      </w:pPr>
      <w:r w:rsidRPr="007C1A84">
        <w:t>A random sample survey of Minnesota manufacturers</w:t>
      </w:r>
      <w:r>
        <w:t xml:space="preserve"> conducted from </w:t>
      </w:r>
      <w:r w:rsidRPr="007C1A84">
        <w:t>November</w:t>
      </w:r>
      <w:r>
        <w:t xml:space="preserve"> 2020-January 2021</w:t>
      </w:r>
      <w:r w:rsidRPr="007C1A84">
        <w:t xml:space="preserve"> by the Minnesota Department of Employment and Economic Development and the Federal Reserve Bank of Minneapolis reports that Minnesota manufac</w:t>
      </w:r>
      <w:r>
        <w:t xml:space="preserve">turers expect </w:t>
      </w:r>
      <w:r w:rsidR="008F3959">
        <w:t xml:space="preserve">impacts of </w:t>
      </w:r>
      <w:r w:rsidR="00AE2D5B">
        <w:t>COVID-19</w:t>
      </w:r>
      <w:r w:rsidR="00CD106C">
        <w:t xml:space="preserve"> to linger</w:t>
      </w:r>
      <w:r w:rsidR="00C10313">
        <w:t xml:space="preserve"> in 2021</w:t>
      </w:r>
      <w:r>
        <w:t xml:space="preserve">. </w:t>
      </w:r>
      <w:r w:rsidR="00CD106C">
        <w:t>Fifty-seven</w:t>
      </w:r>
      <w:r w:rsidR="00DB159E">
        <w:t xml:space="preserve"> percent expect</w:t>
      </w:r>
      <w:r w:rsidR="00CD106C">
        <w:t xml:space="preserve"> unchanged labor availability while 55</w:t>
      </w:r>
      <w:r w:rsidR="002D20C8">
        <w:t>%</w:t>
      </w:r>
      <w:r w:rsidRPr="00B57965">
        <w:t xml:space="preserve"> </w:t>
      </w:r>
      <w:r w:rsidR="00DB159E">
        <w:t>antici</w:t>
      </w:r>
      <w:r w:rsidR="00CD106C">
        <w:t xml:space="preserve">pate </w:t>
      </w:r>
      <w:r w:rsidR="008F3959">
        <w:t>unchanged</w:t>
      </w:r>
      <w:r w:rsidR="00CD106C">
        <w:t xml:space="preserve"> investment in equipment</w:t>
      </w:r>
      <w:r w:rsidR="000547A3">
        <w:t xml:space="preserve"> compared to 2020</w:t>
      </w:r>
      <w:r w:rsidR="00DB159E">
        <w:t>.</w:t>
      </w:r>
    </w:p>
    <w:p w14:paraId="626009E2" w14:textId="77777777" w:rsidR="00C067E2" w:rsidRPr="00B42CDA" w:rsidRDefault="00C067E2" w:rsidP="00C067E2">
      <w:pPr>
        <w:spacing w:after="0" w:line="240" w:lineRule="auto"/>
      </w:pPr>
    </w:p>
    <w:p w14:paraId="19681C43" w14:textId="23549569" w:rsidR="00CF304A" w:rsidRDefault="003F62BE" w:rsidP="003F62BE">
      <w:pPr>
        <w:spacing w:after="0" w:line="240" w:lineRule="auto"/>
        <w:rPr>
          <w:noProof/>
          <w:color w:val="C00000"/>
        </w:rPr>
      </w:pPr>
      <w:r>
        <w:br/>
      </w:r>
      <w:r w:rsidR="001873F4">
        <w:rPr>
          <w:rStyle w:val="Heading2Char"/>
          <w:b/>
        </w:rPr>
        <w:t>The Manufacturing Industry in 2020</w:t>
      </w:r>
      <w:r w:rsidR="00855892" w:rsidRPr="003F62BE">
        <w:rPr>
          <w:rStyle w:val="Heading2Char"/>
        </w:rPr>
        <w:br/>
      </w:r>
      <w:r w:rsidR="001215A7" w:rsidRPr="00B42CDA">
        <w:t>Mi</w:t>
      </w:r>
      <w:r w:rsidR="001873F4">
        <w:t>nnesota manufacturers</w:t>
      </w:r>
      <w:r w:rsidR="000715D1" w:rsidRPr="00B42CDA">
        <w:t xml:space="preserve"> described</w:t>
      </w:r>
      <w:r w:rsidR="006A387C" w:rsidRPr="00B42CDA">
        <w:t xml:space="preserve"> </w:t>
      </w:r>
      <w:r w:rsidR="001873F4">
        <w:t>contracting conditions in 2020</w:t>
      </w:r>
      <w:r w:rsidR="006449F7" w:rsidRPr="0051195F">
        <w:t xml:space="preserve">. </w:t>
      </w:r>
      <w:r w:rsidR="001873F4">
        <w:t>Sixty</w:t>
      </w:r>
      <w:r w:rsidR="00413D79" w:rsidRPr="0051195F">
        <w:t xml:space="preserve"> percent </w:t>
      </w:r>
      <w:r w:rsidR="006B6F5E">
        <w:t xml:space="preserve">of respondents </w:t>
      </w:r>
      <w:r w:rsidR="00413D79" w:rsidRPr="00B42CDA">
        <w:t>indica</w:t>
      </w:r>
      <w:r w:rsidR="001873F4">
        <w:t>ted a decline in number of orders</w:t>
      </w:r>
      <w:r w:rsidR="00413D79" w:rsidRPr="00B42CDA">
        <w:t xml:space="preserve"> and </w:t>
      </w:r>
      <w:r w:rsidR="001873F4">
        <w:t>57</w:t>
      </w:r>
      <w:r w:rsidR="0051195F">
        <w:t>%</w:t>
      </w:r>
      <w:r w:rsidR="0063644F" w:rsidRPr="00B42CDA">
        <w:t xml:space="preserve"> exper</w:t>
      </w:r>
      <w:r w:rsidR="001873F4">
        <w:t>ienced a drop in profits. Additionally, 53</w:t>
      </w:r>
      <w:r w:rsidR="0051195F">
        <w:t>%</w:t>
      </w:r>
      <w:r w:rsidR="00245A31" w:rsidRPr="00B42CDA">
        <w:t xml:space="preserve"> rep</w:t>
      </w:r>
      <w:r w:rsidR="001873F4">
        <w:t>orted a reduced production level</w:t>
      </w:r>
      <w:r w:rsidR="0063644F">
        <w:t xml:space="preserve">. </w:t>
      </w:r>
      <w:r w:rsidR="001873F4">
        <w:t>However, 52</w:t>
      </w:r>
      <w:r w:rsidR="0051195F">
        <w:t>%</w:t>
      </w:r>
      <w:r w:rsidR="00AB54BD" w:rsidRPr="00B42CDA">
        <w:t xml:space="preserve"> indicated </w:t>
      </w:r>
      <w:r w:rsidR="001873F4">
        <w:t>stable employment level and 67</w:t>
      </w:r>
      <w:r w:rsidR="0051195F">
        <w:t xml:space="preserve">% </w:t>
      </w:r>
      <w:r w:rsidR="001873F4">
        <w:t>reported unchanged selling prices</w:t>
      </w:r>
      <w:r w:rsidR="001215A7" w:rsidRPr="00B42CDA">
        <w:t>.</w:t>
      </w:r>
      <w:r w:rsidR="00810157" w:rsidRPr="00B42CDA">
        <w:t xml:space="preserve"> </w:t>
      </w:r>
      <w:r w:rsidR="00AB54BD" w:rsidRPr="00B42CDA">
        <w:t>Declining conditions</w:t>
      </w:r>
      <w:r w:rsidR="00AD5C32" w:rsidRPr="00B42CDA">
        <w:t xml:space="preserve"> were confirmed by </w:t>
      </w:r>
      <w:r w:rsidR="004E12F2" w:rsidRPr="00B42CDA">
        <w:t>diffusion indices</w:t>
      </w:r>
      <w:r w:rsidR="00BE7561" w:rsidRPr="00B42CDA">
        <w:t>,</w:t>
      </w:r>
      <w:r w:rsidR="00AB54BD" w:rsidRPr="00B42CDA">
        <w:t xml:space="preserve"> most of which were below </w:t>
      </w:r>
      <w:r w:rsidR="00AB54BD" w:rsidRPr="0051195F">
        <w:t>50</w:t>
      </w:r>
      <w:r w:rsidR="0051195F">
        <w:t>,</w:t>
      </w:r>
      <w:r w:rsidR="00AB54BD" w:rsidRPr="00B42CDA">
        <w:t xml:space="preserve"> indicating contraction</w:t>
      </w:r>
      <w:r w:rsidR="00AD5C32" w:rsidRPr="00B42CDA">
        <w:t>.</w:t>
      </w:r>
      <w:r w:rsidR="00CF304A">
        <w:rPr>
          <w:noProof/>
          <w:color w:val="C00000"/>
        </w:rPr>
        <w:br/>
      </w:r>
    </w:p>
    <w:p w14:paraId="4A11052A" w14:textId="77777777" w:rsidR="00AB6F70" w:rsidRDefault="00CF304A" w:rsidP="003F62BE">
      <w:pPr>
        <w:spacing w:after="0" w:line="240" w:lineRule="auto"/>
      </w:pPr>
      <w:r>
        <w:rPr>
          <w:noProof/>
          <w:color w:val="C00000"/>
        </w:rPr>
        <w:drawing>
          <wp:inline distT="0" distB="0" distL="0" distR="0" wp14:anchorId="6E9F3906" wp14:editId="3BC351A7">
            <wp:extent cx="3041650" cy="2330450"/>
            <wp:effectExtent l="0" t="0" r="6350" b="0"/>
            <wp:docPr id="1" name="Chart 1" descr="Minnesota manufacturers described contracting conditions in 2020. Sixty percent of respondents indicated a decline in number of orders and 57% experienced a drop in profits. However, fifty-two percent reported unchanged employment level and 67% indicated constant selling prices." title="Economic Performance for Minnesota Manufacturers: 2020 Compared to 201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1215A7">
        <w:t xml:space="preserve"> </w:t>
      </w:r>
    </w:p>
    <w:p w14:paraId="09FFF966" w14:textId="135B7C66" w:rsidR="003368D3" w:rsidRDefault="00A7507C" w:rsidP="00A66699">
      <w:r w:rsidRPr="00FF5EB2">
        <w:rPr>
          <w:rStyle w:val="Heading2Char"/>
          <w:b/>
        </w:rPr>
        <w:t>Outlook for the Manufacturing Industry</w:t>
      </w:r>
      <w:r w:rsidR="003368D3" w:rsidRPr="00FF5EB2">
        <w:rPr>
          <w:rStyle w:val="Heading2Char"/>
          <w:b/>
        </w:rPr>
        <w:br/>
      </w:r>
      <w:r w:rsidR="00AE2D5B">
        <w:t>Minnesota manufacturers</w:t>
      </w:r>
      <w:r w:rsidR="006327BB" w:rsidRPr="00B42CDA">
        <w:t xml:space="preserve"> expect</w:t>
      </w:r>
      <w:r w:rsidR="00C633BF" w:rsidRPr="00B42CDA">
        <w:t xml:space="preserve"> </w:t>
      </w:r>
      <w:r w:rsidR="00AE2D5B">
        <w:t xml:space="preserve">mostly </w:t>
      </w:r>
      <w:r w:rsidR="00E91C23" w:rsidRPr="00B42CDA">
        <w:t xml:space="preserve">unchanged </w:t>
      </w:r>
      <w:r w:rsidR="00E91C23">
        <w:t>conditions</w:t>
      </w:r>
      <w:r w:rsidR="00D21E21" w:rsidRPr="00B42CDA">
        <w:t xml:space="preserve"> </w:t>
      </w:r>
      <w:r w:rsidR="00AE2D5B">
        <w:t>in 2021</w:t>
      </w:r>
      <w:r w:rsidR="00093843" w:rsidRPr="00B42CDA">
        <w:t xml:space="preserve">. </w:t>
      </w:r>
      <w:r w:rsidR="00E91C23">
        <w:t>Fifty-seven</w:t>
      </w:r>
      <w:r w:rsidR="005D05C5" w:rsidRPr="00B42CDA">
        <w:t xml:space="preserve"> </w:t>
      </w:r>
      <w:r w:rsidR="005D05C5" w:rsidRPr="0051195F">
        <w:t>percent</w:t>
      </w:r>
      <w:r w:rsidR="005D05C5" w:rsidRPr="00B42CDA">
        <w:t xml:space="preserve"> an</w:t>
      </w:r>
      <w:r w:rsidR="00C633BF" w:rsidRPr="00B42CDA">
        <w:t xml:space="preserve">ticipate </w:t>
      </w:r>
      <w:r w:rsidR="000102FA" w:rsidRPr="00B42CDA">
        <w:t>unchanged</w:t>
      </w:r>
      <w:r w:rsidR="005D05C5" w:rsidRPr="00B42CDA">
        <w:t xml:space="preserve"> </w:t>
      </w:r>
      <w:r w:rsidR="00E91C23">
        <w:t>labor force availability</w:t>
      </w:r>
      <w:r w:rsidR="000102FA" w:rsidRPr="00B42CDA">
        <w:t xml:space="preserve"> </w:t>
      </w:r>
      <w:r w:rsidR="005D05C5" w:rsidRPr="00B42CDA">
        <w:t xml:space="preserve">and </w:t>
      </w:r>
      <w:r w:rsidR="00E91C23">
        <w:t>55</w:t>
      </w:r>
      <w:r w:rsidR="0051195F" w:rsidRPr="0051195F">
        <w:t>%</w:t>
      </w:r>
      <w:r w:rsidR="0051195F">
        <w:t xml:space="preserve"> </w:t>
      </w:r>
      <w:r w:rsidR="000102FA" w:rsidRPr="00B42CDA">
        <w:t>ex</w:t>
      </w:r>
      <w:r w:rsidR="00E91C23">
        <w:t>pect constant investment in plant/equipment. Fifty-one percent expect no changes in productivity</w:t>
      </w:r>
      <w:r w:rsidR="00FF5EB2">
        <w:t xml:space="preserve"> and employment level</w:t>
      </w:r>
      <w:r w:rsidR="006327BB" w:rsidRPr="00B42CDA">
        <w:t>. Nonethele</w:t>
      </w:r>
      <w:r w:rsidR="00E91C23">
        <w:t>ss, 53% anticipate an increase in number of orders</w:t>
      </w:r>
      <w:r w:rsidR="002D20C8">
        <w:t>,</w:t>
      </w:r>
      <w:r w:rsidR="00E91C23">
        <w:t xml:space="preserve"> suggesting cautious optimism.</w:t>
      </w:r>
      <w:r w:rsidR="00CE3E64">
        <w:t xml:space="preserve"> Fifty-two per</w:t>
      </w:r>
      <w:r w:rsidR="00D939BA">
        <w:t xml:space="preserve">cent expect to return to normal </w:t>
      </w:r>
      <w:r w:rsidR="00CE3E64">
        <w:t>operations in six months or more.</w:t>
      </w:r>
    </w:p>
    <w:p w14:paraId="3C0F6910" w14:textId="77777777" w:rsidR="00CB586B" w:rsidRPr="00CE3E64" w:rsidRDefault="00CB586B" w:rsidP="00A66699">
      <w:pPr>
        <w:rPr>
          <w:rStyle w:val="Heading2Char"/>
          <w:rFonts w:asciiTheme="minorHAnsi" w:eastAsiaTheme="minorHAnsi" w:hAnsiTheme="minorHAnsi" w:cstheme="minorBidi"/>
          <w:color w:val="auto"/>
          <w:sz w:val="22"/>
          <w:szCs w:val="22"/>
        </w:rPr>
      </w:pPr>
      <w:r>
        <w:rPr>
          <w:noProof/>
          <w:color w:val="C00000"/>
        </w:rPr>
        <w:drawing>
          <wp:inline distT="0" distB="0" distL="0" distR="0" wp14:anchorId="6F19E846" wp14:editId="4FF0B5BF">
            <wp:extent cx="2984500" cy="1911350"/>
            <wp:effectExtent l="0" t="0" r="6350" b="0"/>
            <wp:docPr id="5" name="Chart 5" descr="Fifty-seven percent anticipate unchanged labor force availability and 55% expect constant investment in plant/equipment. Fifty-one percent expect no changes in productivity. Nonetheless, 53% anticipate an increase in number of orders suggesting cautious optimism. Fifty-two percent expect to return to normal operations in six months or more." title="Outlook on Manufacturing Economic Performance, 2021 Compare to 20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63E6EB1" w14:textId="37C0133F" w:rsidR="00B86180" w:rsidRPr="00B42CDA" w:rsidRDefault="00A66699" w:rsidP="00E7356E">
      <w:r w:rsidRPr="00D60273">
        <w:rPr>
          <w:rStyle w:val="Heading2Char"/>
          <w:b/>
        </w:rPr>
        <w:t>Outlook on the State Economy</w:t>
      </w:r>
      <w:r w:rsidR="00E7356E" w:rsidRPr="00D60273">
        <w:rPr>
          <w:rStyle w:val="Heading2Char"/>
          <w:b/>
        </w:rPr>
        <w:br/>
      </w:r>
      <w:r w:rsidRPr="00B42CDA">
        <w:t>Mi</w:t>
      </w:r>
      <w:r w:rsidR="00795376">
        <w:t>nnesota manufacture</w:t>
      </w:r>
      <w:r w:rsidR="000547A3">
        <w:t>rs expect pandemic lingering conditions</w:t>
      </w:r>
      <w:r w:rsidR="00795376">
        <w:t xml:space="preserve"> for 2021. Forty-four</w:t>
      </w:r>
      <w:r w:rsidR="000B7992" w:rsidRPr="00B42CDA">
        <w:t xml:space="preserve"> </w:t>
      </w:r>
      <w:r w:rsidR="000B7992" w:rsidRPr="0093302A">
        <w:t>percent e</w:t>
      </w:r>
      <w:r w:rsidR="000B7992" w:rsidRPr="00B42CDA">
        <w:t xml:space="preserve">xpect </w:t>
      </w:r>
      <w:r w:rsidR="00795376">
        <w:t xml:space="preserve">unchanged </w:t>
      </w:r>
      <w:r w:rsidR="00141598">
        <w:t>consumer spending</w:t>
      </w:r>
      <w:r w:rsidR="002D20C8">
        <w:t>,</w:t>
      </w:r>
      <w:r w:rsidR="00141598">
        <w:t xml:space="preserve"> </w:t>
      </w:r>
      <w:r w:rsidR="00795376">
        <w:t xml:space="preserve">while 42% anticipate constant investment and employment. </w:t>
      </w:r>
      <w:r w:rsidR="00444F06">
        <w:t>Thirty-seven percent</w:t>
      </w:r>
      <w:r w:rsidR="00141598">
        <w:t xml:space="preserve"> expect a decline in corporate profits, compared to </w:t>
      </w:r>
      <w:r w:rsidR="009F7D57">
        <w:t xml:space="preserve">31% that </w:t>
      </w:r>
      <w:r w:rsidR="00836305">
        <w:t>anticipate</w:t>
      </w:r>
      <w:r w:rsidR="00141598">
        <w:t xml:space="preserve"> </w:t>
      </w:r>
      <w:r w:rsidR="009F7D57">
        <w:t xml:space="preserve">no </w:t>
      </w:r>
      <w:r w:rsidR="00141598">
        <w:t>changes</w:t>
      </w:r>
      <w:r w:rsidR="009F7D57">
        <w:t>.</w:t>
      </w:r>
    </w:p>
    <w:p w14:paraId="14295B03" w14:textId="22007348" w:rsidR="00B86180" w:rsidRPr="00141598" w:rsidRDefault="00795376" w:rsidP="00795376">
      <w:pPr>
        <w:rPr>
          <w:rFonts w:eastAsiaTheme="majorEastAsia" w:cstheme="majorBidi"/>
        </w:rPr>
        <w:sectPr w:rsidR="00B86180" w:rsidRPr="00141598" w:rsidSect="009B07B0">
          <w:type w:val="continuous"/>
          <w:pgSz w:w="12240" w:h="15840"/>
          <w:pgMar w:top="720" w:right="720" w:bottom="720" w:left="720" w:header="720" w:footer="720" w:gutter="0"/>
          <w:cols w:num="2" w:space="720"/>
          <w:docGrid w:linePitch="360"/>
        </w:sectPr>
      </w:pPr>
      <w:r w:rsidRPr="00141598">
        <w:t>The diffusion indexes for corporate profits and consumer spending were below 50 suggesting contraction</w:t>
      </w:r>
      <w:r w:rsidR="002E60AC" w:rsidRPr="00141598">
        <w:t xml:space="preserve">. </w:t>
      </w:r>
      <w:r w:rsidR="009F7D57">
        <w:rPr>
          <w:rFonts w:eastAsiaTheme="majorEastAsia" w:cstheme="majorBidi"/>
        </w:rPr>
        <w:t>D</w:t>
      </w:r>
      <w:r w:rsidRPr="00141598">
        <w:rPr>
          <w:rFonts w:eastAsiaTheme="majorEastAsia" w:cstheme="majorBidi"/>
        </w:rPr>
        <w:t>iffusi</w:t>
      </w:r>
      <w:r w:rsidR="00141598" w:rsidRPr="00141598">
        <w:rPr>
          <w:rFonts w:eastAsiaTheme="majorEastAsia" w:cstheme="majorBidi"/>
        </w:rPr>
        <w:t>o</w:t>
      </w:r>
      <w:r w:rsidRPr="00141598">
        <w:rPr>
          <w:rFonts w:eastAsiaTheme="majorEastAsia" w:cstheme="majorBidi"/>
        </w:rPr>
        <w:t>n index</w:t>
      </w:r>
      <w:r w:rsidR="009F7D57">
        <w:rPr>
          <w:rFonts w:eastAsiaTheme="majorEastAsia" w:cstheme="majorBidi"/>
        </w:rPr>
        <w:t>es</w:t>
      </w:r>
      <w:r w:rsidRPr="00141598">
        <w:rPr>
          <w:rFonts w:eastAsiaTheme="majorEastAsia" w:cstheme="majorBidi"/>
        </w:rPr>
        <w:t xml:space="preserve"> for </w:t>
      </w:r>
      <w:r w:rsidR="009F7D57">
        <w:rPr>
          <w:rFonts w:eastAsiaTheme="majorEastAsia" w:cstheme="majorBidi"/>
        </w:rPr>
        <w:t xml:space="preserve">business investment and </w:t>
      </w:r>
      <w:r w:rsidR="00141598" w:rsidRPr="00141598">
        <w:rPr>
          <w:rFonts w:eastAsiaTheme="majorEastAsia" w:cstheme="majorBidi"/>
        </w:rPr>
        <w:t>eco</w:t>
      </w:r>
      <w:r w:rsidR="00141598">
        <w:rPr>
          <w:rFonts w:eastAsiaTheme="majorEastAsia" w:cstheme="majorBidi"/>
        </w:rPr>
        <w:t>nomic growth</w:t>
      </w:r>
      <w:r w:rsidR="009F7D57">
        <w:rPr>
          <w:rFonts w:eastAsiaTheme="majorEastAsia" w:cstheme="majorBidi"/>
        </w:rPr>
        <w:t xml:space="preserve"> were 50 and</w:t>
      </w:r>
      <w:r w:rsidR="00141598">
        <w:rPr>
          <w:rFonts w:eastAsiaTheme="majorEastAsia" w:cstheme="majorBidi"/>
        </w:rPr>
        <w:t xml:space="preserve"> 51</w:t>
      </w:r>
      <w:r w:rsidR="009F7D57">
        <w:rPr>
          <w:rFonts w:eastAsiaTheme="majorEastAsia" w:cstheme="majorBidi"/>
        </w:rPr>
        <w:t>, respectively</w:t>
      </w:r>
      <w:r w:rsidR="00C163DF">
        <w:rPr>
          <w:rFonts w:eastAsiaTheme="majorEastAsia" w:cstheme="majorBidi"/>
        </w:rPr>
        <w:t>,</w:t>
      </w:r>
      <w:r w:rsidR="00141598">
        <w:rPr>
          <w:rFonts w:eastAsiaTheme="majorEastAsia" w:cstheme="majorBidi"/>
        </w:rPr>
        <w:t xml:space="preserve"> indicating </w:t>
      </w:r>
      <w:r w:rsidR="00141598" w:rsidRPr="00141598">
        <w:rPr>
          <w:rFonts w:eastAsiaTheme="majorEastAsia" w:cstheme="majorBidi"/>
        </w:rPr>
        <w:t>unchanged condition</w:t>
      </w:r>
      <w:r w:rsidR="00141598">
        <w:rPr>
          <w:rFonts w:eastAsiaTheme="majorEastAsia" w:cstheme="majorBidi"/>
        </w:rPr>
        <w:t xml:space="preserve">s from </w:t>
      </w:r>
      <w:r w:rsidR="00141598" w:rsidRPr="00141598">
        <w:rPr>
          <w:rFonts w:eastAsiaTheme="majorEastAsia" w:cstheme="majorBidi"/>
        </w:rPr>
        <w:t>2020.</w:t>
      </w:r>
    </w:p>
    <w:p w14:paraId="11954C59" w14:textId="77777777" w:rsidR="009969EB" w:rsidRDefault="009969EB" w:rsidP="009B3DF5">
      <w:pPr>
        <w:spacing w:line="240" w:lineRule="auto"/>
        <w:rPr>
          <w:rFonts w:asciiTheme="majorHAnsi" w:eastAsiaTheme="majorEastAsia" w:hAnsiTheme="majorHAnsi" w:cstheme="majorBidi"/>
          <w:color w:val="1F4D78" w:themeColor="accent1" w:themeShade="7F"/>
          <w:sz w:val="24"/>
          <w:szCs w:val="24"/>
        </w:rPr>
        <w:sectPr w:rsidR="009969EB" w:rsidSect="009B07B0">
          <w:type w:val="continuous"/>
          <w:pgSz w:w="12240" w:h="15840"/>
          <w:pgMar w:top="720" w:right="720" w:bottom="720" w:left="720" w:header="720" w:footer="720" w:gutter="0"/>
          <w:cols w:num="2" w:space="720"/>
          <w:docGrid w:linePitch="360"/>
        </w:sectPr>
      </w:pPr>
    </w:p>
    <w:p w14:paraId="279EA609" w14:textId="77777777" w:rsidR="007F61A9" w:rsidRPr="00D60273" w:rsidRDefault="00825F3C" w:rsidP="00D60273">
      <w:pPr>
        <w:pStyle w:val="Title"/>
        <w:ind w:left="180"/>
        <w:jc w:val="both"/>
        <w:rPr>
          <w:b/>
          <w:color w:val="2E74B5" w:themeColor="accent1" w:themeShade="BF"/>
          <w:sz w:val="22"/>
          <w:szCs w:val="22"/>
        </w:rPr>
      </w:pPr>
      <w:r w:rsidRPr="00D60273">
        <w:rPr>
          <w:b/>
          <w:color w:val="2E74B5" w:themeColor="accent1" w:themeShade="BF"/>
          <w:sz w:val="22"/>
          <w:szCs w:val="22"/>
        </w:rPr>
        <w:lastRenderedPageBreak/>
        <w:t xml:space="preserve">Table 1. </w:t>
      </w:r>
      <w:r w:rsidR="008B5D54">
        <w:rPr>
          <w:b/>
          <w:color w:val="2E74B5" w:themeColor="accent1" w:themeShade="BF"/>
          <w:sz w:val="22"/>
          <w:szCs w:val="22"/>
        </w:rPr>
        <w:t>Minnesota 2021 Manufacturing</w:t>
      </w:r>
      <w:r w:rsidR="00EC6FBE">
        <w:rPr>
          <w:b/>
          <w:color w:val="2E74B5" w:themeColor="accent1" w:themeShade="BF"/>
          <w:sz w:val="22"/>
          <w:szCs w:val="22"/>
        </w:rPr>
        <w:t xml:space="preserve"> </w:t>
      </w:r>
      <w:r w:rsidR="008B5D54">
        <w:rPr>
          <w:b/>
          <w:color w:val="2E74B5" w:themeColor="accent1" w:themeShade="BF"/>
          <w:sz w:val="22"/>
          <w:szCs w:val="22"/>
        </w:rPr>
        <w:t>Business</w:t>
      </w:r>
      <w:r w:rsidR="003F5F27">
        <w:rPr>
          <w:b/>
          <w:color w:val="2E74B5" w:themeColor="accent1" w:themeShade="BF"/>
          <w:sz w:val="22"/>
          <w:szCs w:val="22"/>
        </w:rPr>
        <w:t xml:space="preserve"> </w:t>
      </w:r>
      <w:r w:rsidR="009969EB" w:rsidRPr="00D60273">
        <w:rPr>
          <w:b/>
          <w:color w:val="2E74B5" w:themeColor="accent1" w:themeShade="BF"/>
          <w:sz w:val="22"/>
          <w:szCs w:val="22"/>
        </w:rPr>
        <w:t>Condition Survey Results</w:t>
      </w:r>
      <w:r w:rsidR="009713A3" w:rsidRPr="00D60273">
        <w:rPr>
          <w:b/>
          <w:color w:val="2E74B5" w:themeColor="accent1" w:themeShade="BF"/>
          <w:sz w:val="22"/>
          <w:szCs w:val="22"/>
          <w:vertAlign w:val="superscript"/>
        </w:rPr>
        <w:t>1</w:t>
      </w:r>
    </w:p>
    <w:tbl>
      <w:tblPr>
        <w:tblStyle w:val="PlainTable5"/>
        <w:tblW w:w="10525" w:type="dxa"/>
        <w:jc w:val="center"/>
        <w:tblBorders>
          <w:top w:val="single" w:sz="4" w:space="0" w:color="auto"/>
          <w:left w:val="single" w:sz="4" w:space="0" w:color="auto"/>
          <w:bottom w:val="single" w:sz="4" w:space="0" w:color="auto"/>
          <w:right w:val="single" w:sz="4" w:space="0" w:color="auto"/>
        </w:tblBorders>
        <w:tblLook w:val="0620" w:firstRow="1" w:lastRow="0" w:firstColumn="0" w:lastColumn="0" w:noHBand="1" w:noVBand="1"/>
        <w:tblCaption w:val="Business Comparison Indicators: 2020"/>
        <w:tblDescription w:val="Minnesota business services firms described unchanged or declining conditions. Seventy-nine percent of respondents indicated no changes in selling prices and 70 percent experienced stable labor availability. Additionally, 62 percent reported unchanged employment level. However, 53 percent indicated decline in sales revenue and 52 percent reported a drop in profits. Declining conditions were confirmed by diffusion indices, most of which were below 50 indicating contraction."/>
      </w:tblPr>
      <w:tblGrid>
        <w:gridCol w:w="3897"/>
        <w:gridCol w:w="1338"/>
        <w:gridCol w:w="1338"/>
        <w:gridCol w:w="1338"/>
        <w:gridCol w:w="1338"/>
        <w:gridCol w:w="1276"/>
      </w:tblGrid>
      <w:tr w:rsidR="001D0139" w:rsidRPr="00623BC4" w14:paraId="5B5D62CE" w14:textId="77777777" w:rsidTr="00531B2D">
        <w:trPr>
          <w:cnfStyle w:val="100000000000" w:firstRow="1" w:lastRow="0" w:firstColumn="0" w:lastColumn="0" w:oddVBand="0" w:evenVBand="0" w:oddHBand="0" w:evenHBand="0" w:firstRowFirstColumn="0" w:firstRowLastColumn="0" w:lastRowFirstColumn="0" w:lastRowLastColumn="0"/>
          <w:trHeight w:val="144"/>
          <w:tblHeader/>
          <w:jc w:val="center"/>
        </w:trPr>
        <w:tc>
          <w:tcPr>
            <w:tcW w:w="3897" w:type="dxa"/>
            <w:tcBorders>
              <w:top w:val="single" w:sz="4" w:space="0" w:color="auto"/>
              <w:bottom w:val="single" w:sz="4" w:space="0" w:color="auto"/>
              <w:right w:val="nil"/>
            </w:tcBorders>
            <w:shd w:val="clear" w:color="auto" w:fill="BDD6EE" w:themeFill="accent1" w:themeFillTint="66"/>
            <w:noWrap/>
            <w:hideMark/>
          </w:tcPr>
          <w:p w14:paraId="0C54677D" w14:textId="77777777" w:rsidR="00A97C01" w:rsidRPr="000A28AD" w:rsidRDefault="00722892" w:rsidP="00541E4C">
            <w:pPr>
              <w:rPr>
                <w:rFonts w:asciiTheme="minorHAnsi" w:eastAsia="Times New Roman" w:hAnsiTheme="minorHAnsi" w:cs="Times New Roman"/>
                <w:b/>
                <w:bCs/>
                <w:i w:val="0"/>
                <w:color w:val="000000"/>
                <w:sz w:val="18"/>
                <w:szCs w:val="18"/>
              </w:rPr>
            </w:pPr>
            <w:r w:rsidRPr="000A28AD">
              <w:rPr>
                <w:rFonts w:asciiTheme="minorHAnsi" w:eastAsia="Times New Roman" w:hAnsiTheme="minorHAnsi" w:cs="Times New Roman"/>
                <w:b/>
                <w:bCs/>
                <w:i w:val="0"/>
                <w:color w:val="000000"/>
                <w:sz w:val="18"/>
                <w:szCs w:val="18"/>
              </w:rPr>
              <w:t>Business i</w:t>
            </w:r>
            <w:r w:rsidR="0043194C">
              <w:rPr>
                <w:rFonts w:asciiTheme="minorHAnsi" w:eastAsia="Times New Roman" w:hAnsiTheme="minorHAnsi" w:cs="Times New Roman"/>
                <w:b/>
                <w:bCs/>
                <w:i w:val="0"/>
                <w:color w:val="000000"/>
                <w:sz w:val="18"/>
                <w:szCs w:val="18"/>
              </w:rPr>
              <w:t>ndicators in the last 4 quarters</w:t>
            </w:r>
            <w:r w:rsidR="007B16BB" w:rsidRPr="000A28AD">
              <w:rPr>
                <w:rFonts w:asciiTheme="minorHAnsi" w:eastAsia="Times New Roman" w:hAnsiTheme="minorHAnsi" w:cs="Times New Roman"/>
                <w:b/>
                <w:bCs/>
                <w:i w:val="0"/>
                <w:color w:val="000000"/>
                <w:sz w:val="18"/>
                <w:szCs w:val="18"/>
              </w:rPr>
              <w:t>:</w:t>
            </w:r>
          </w:p>
        </w:tc>
        <w:tc>
          <w:tcPr>
            <w:tcW w:w="1338" w:type="dxa"/>
            <w:tcBorders>
              <w:top w:val="single" w:sz="4" w:space="0" w:color="auto"/>
              <w:left w:val="nil"/>
              <w:bottom w:val="single" w:sz="4" w:space="0" w:color="auto"/>
            </w:tcBorders>
            <w:shd w:val="clear" w:color="auto" w:fill="BDD6EE" w:themeFill="accent1" w:themeFillTint="66"/>
            <w:noWrap/>
            <w:hideMark/>
          </w:tcPr>
          <w:p w14:paraId="1D12CD13" w14:textId="77777777" w:rsidR="00A97C01" w:rsidRPr="000A28AD" w:rsidRDefault="00A97C01" w:rsidP="00541E4C">
            <w:pPr>
              <w:jc w:val="center"/>
              <w:rPr>
                <w:rFonts w:asciiTheme="minorHAnsi" w:eastAsia="Times New Roman" w:hAnsiTheme="minorHAnsi" w:cs="Times New Roman"/>
                <w:b/>
                <w:bCs/>
                <w:i w:val="0"/>
                <w:color w:val="000000"/>
                <w:sz w:val="18"/>
                <w:szCs w:val="18"/>
              </w:rPr>
            </w:pPr>
            <w:r w:rsidRPr="000A28AD">
              <w:rPr>
                <w:rFonts w:asciiTheme="minorHAnsi" w:eastAsia="Times New Roman" w:hAnsiTheme="minorHAnsi" w:cs="Times New Roman"/>
                <w:b/>
                <w:bCs/>
                <w:i w:val="0"/>
                <w:color w:val="000000"/>
                <w:sz w:val="18"/>
                <w:szCs w:val="18"/>
              </w:rPr>
              <w:t>Up</w:t>
            </w:r>
          </w:p>
        </w:tc>
        <w:tc>
          <w:tcPr>
            <w:tcW w:w="1338" w:type="dxa"/>
            <w:tcBorders>
              <w:top w:val="single" w:sz="4" w:space="0" w:color="auto"/>
              <w:bottom w:val="single" w:sz="4" w:space="0" w:color="auto"/>
            </w:tcBorders>
            <w:shd w:val="clear" w:color="auto" w:fill="BDD6EE" w:themeFill="accent1" w:themeFillTint="66"/>
            <w:noWrap/>
            <w:hideMark/>
          </w:tcPr>
          <w:p w14:paraId="75522140" w14:textId="77777777" w:rsidR="00A97C01" w:rsidRPr="000A28AD" w:rsidRDefault="00A97C01" w:rsidP="00541E4C">
            <w:pPr>
              <w:jc w:val="center"/>
              <w:rPr>
                <w:rFonts w:asciiTheme="minorHAnsi" w:eastAsia="Times New Roman" w:hAnsiTheme="minorHAnsi" w:cs="Times New Roman"/>
                <w:b/>
                <w:bCs/>
                <w:i w:val="0"/>
                <w:color w:val="000000"/>
                <w:sz w:val="18"/>
                <w:szCs w:val="18"/>
              </w:rPr>
            </w:pPr>
            <w:r w:rsidRPr="000A28AD">
              <w:rPr>
                <w:rFonts w:asciiTheme="minorHAnsi" w:eastAsia="Times New Roman" w:hAnsiTheme="minorHAnsi" w:cs="Times New Roman"/>
                <w:b/>
                <w:bCs/>
                <w:i w:val="0"/>
                <w:color w:val="000000"/>
                <w:sz w:val="18"/>
                <w:szCs w:val="18"/>
              </w:rPr>
              <w:t>Same</w:t>
            </w:r>
          </w:p>
        </w:tc>
        <w:tc>
          <w:tcPr>
            <w:tcW w:w="1338" w:type="dxa"/>
            <w:tcBorders>
              <w:top w:val="single" w:sz="4" w:space="0" w:color="auto"/>
              <w:bottom w:val="single" w:sz="4" w:space="0" w:color="auto"/>
            </w:tcBorders>
            <w:shd w:val="clear" w:color="auto" w:fill="BDD6EE" w:themeFill="accent1" w:themeFillTint="66"/>
            <w:noWrap/>
            <w:hideMark/>
          </w:tcPr>
          <w:p w14:paraId="6AD27BCC" w14:textId="77777777" w:rsidR="00A97C01" w:rsidRPr="000A28AD" w:rsidRDefault="00A97C01" w:rsidP="00541E4C">
            <w:pPr>
              <w:jc w:val="center"/>
              <w:rPr>
                <w:rFonts w:asciiTheme="minorHAnsi" w:eastAsia="Times New Roman" w:hAnsiTheme="minorHAnsi" w:cs="Times New Roman"/>
                <w:b/>
                <w:bCs/>
                <w:i w:val="0"/>
                <w:color w:val="000000"/>
                <w:sz w:val="18"/>
                <w:szCs w:val="18"/>
              </w:rPr>
            </w:pPr>
            <w:r w:rsidRPr="000A28AD">
              <w:rPr>
                <w:rFonts w:asciiTheme="minorHAnsi" w:eastAsia="Times New Roman" w:hAnsiTheme="minorHAnsi" w:cs="Times New Roman"/>
                <w:b/>
                <w:bCs/>
                <w:i w:val="0"/>
                <w:color w:val="000000"/>
                <w:sz w:val="18"/>
                <w:szCs w:val="18"/>
              </w:rPr>
              <w:t>Down</w:t>
            </w:r>
          </w:p>
        </w:tc>
        <w:tc>
          <w:tcPr>
            <w:tcW w:w="1338" w:type="dxa"/>
            <w:tcBorders>
              <w:top w:val="single" w:sz="4" w:space="0" w:color="auto"/>
              <w:bottom w:val="single" w:sz="4" w:space="0" w:color="auto"/>
            </w:tcBorders>
            <w:shd w:val="clear" w:color="auto" w:fill="BDD6EE" w:themeFill="accent1" w:themeFillTint="66"/>
            <w:noWrap/>
            <w:hideMark/>
          </w:tcPr>
          <w:p w14:paraId="27E44283" w14:textId="77777777" w:rsidR="00A97C01" w:rsidRPr="000A28AD" w:rsidRDefault="00A97C01" w:rsidP="00367060">
            <w:pPr>
              <w:jc w:val="center"/>
              <w:rPr>
                <w:rFonts w:asciiTheme="minorHAnsi" w:eastAsia="Times New Roman" w:hAnsiTheme="minorHAnsi" w:cs="Times New Roman"/>
                <w:b/>
                <w:bCs/>
                <w:i w:val="0"/>
                <w:color w:val="000000"/>
                <w:sz w:val="18"/>
                <w:szCs w:val="18"/>
              </w:rPr>
            </w:pPr>
            <w:r w:rsidRPr="000A28AD">
              <w:rPr>
                <w:rFonts w:asciiTheme="minorHAnsi" w:eastAsia="Times New Roman" w:hAnsiTheme="minorHAnsi" w:cs="Times New Roman"/>
                <w:b/>
                <w:bCs/>
                <w:i w:val="0"/>
                <w:color w:val="000000"/>
                <w:sz w:val="18"/>
                <w:szCs w:val="18"/>
              </w:rPr>
              <w:t>Diffusion Index</w:t>
            </w:r>
            <w:r w:rsidR="000547A3">
              <w:rPr>
                <w:rFonts w:asciiTheme="minorHAnsi" w:eastAsia="Times New Roman" w:hAnsiTheme="minorHAnsi" w:cs="Times New Roman"/>
                <w:b/>
                <w:bCs/>
                <w:i w:val="0"/>
                <w:color w:val="000000"/>
                <w:sz w:val="18"/>
                <w:szCs w:val="18"/>
              </w:rPr>
              <w:t xml:space="preserve"> 2021</w:t>
            </w:r>
            <w:r w:rsidR="008E7E58" w:rsidRPr="008D6DDD">
              <w:rPr>
                <w:rFonts w:asciiTheme="minorHAnsi" w:eastAsia="Times New Roman" w:hAnsiTheme="minorHAnsi" w:cs="Times New Roman"/>
                <w:b/>
                <w:bCs/>
                <w:i w:val="0"/>
                <w:color w:val="000000"/>
                <w:sz w:val="18"/>
                <w:szCs w:val="18"/>
                <w:vertAlign w:val="superscript"/>
              </w:rPr>
              <w:t>(</w:t>
            </w:r>
            <w:r w:rsidR="00C80C65" w:rsidRPr="000A28AD">
              <w:rPr>
                <w:rFonts w:asciiTheme="minorHAnsi" w:eastAsia="Times New Roman" w:hAnsiTheme="minorHAnsi" w:cs="Times New Roman"/>
                <w:b/>
                <w:bCs/>
                <w:i w:val="0"/>
                <w:color w:val="000000"/>
                <w:sz w:val="18"/>
                <w:szCs w:val="18"/>
                <w:vertAlign w:val="superscript"/>
              </w:rPr>
              <w:t>2)</w:t>
            </w:r>
          </w:p>
        </w:tc>
        <w:tc>
          <w:tcPr>
            <w:tcW w:w="1276" w:type="dxa"/>
            <w:tcBorders>
              <w:top w:val="single" w:sz="4" w:space="0" w:color="auto"/>
              <w:bottom w:val="single" w:sz="4" w:space="0" w:color="auto"/>
            </w:tcBorders>
            <w:shd w:val="clear" w:color="auto" w:fill="BDD6EE" w:themeFill="accent1" w:themeFillTint="66"/>
            <w:noWrap/>
            <w:hideMark/>
          </w:tcPr>
          <w:p w14:paraId="7AD869BD" w14:textId="77777777" w:rsidR="00A97C01" w:rsidRPr="000A28AD" w:rsidRDefault="0089194E" w:rsidP="00541E4C">
            <w:pPr>
              <w:jc w:val="center"/>
              <w:rPr>
                <w:rFonts w:asciiTheme="minorHAnsi" w:eastAsia="Times New Roman" w:hAnsiTheme="minorHAnsi" w:cs="Times New Roman"/>
                <w:b/>
                <w:bCs/>
                <w:i w:val="0"/>
                <w:color w:val="000000"/>
                <w:sz w:val="18"/>
                <w:szCs w:val="18"/>
              </w:rPr>
            </w:pPr>
            <w:r>
              <w:rPr>
                <w:rFonts w:asciiTheme="minorHAnsi" w:eastAsia="Times New Roman" w:hAnsiTheme="minorHAnsi" w:cs="Times New Roman"/>
                <w:b/>
                <w:bCs/>
                <w:i w:val="0"/>
                <w:color w:val="000000"/>
                <w:sz w:val="18"/>
                <w:szCs w:val="18"/>
              </w:rPr>
              <w:t>D</w:t>
            </w:r>
            <w:r w:rsidR="000547A3">
              <w:rPr>
                <w:rFonts w:asciiTheme="minorHAnsi" w:eastAsia="Times New Roman" w:hAnsiTheme="minorHAnsi" w:cs="Times New Roman"/>
                <w:b/>
                <w:bCs/>
                <w:i w:val="0"/>
                <w:color w:val="000000"/>
                <w:sz w:val="18"/>
                <w:szCs w:val="18"/>
              </w:rPr>
              <w:t>iffusion Index 2020</w:t>
            </w:r>
            <w:r>
              <w:rPr>
                <w:rFonts w:asciiTheme="minorHAnsi" w:eastAsia="Times New Roman" w:hAnsiTheme="minorHAnsi" w:cs="Times New Roman"/>
                <w:b/>
                <w:bCs/>
                <w:i w:val="0"/>
                <w:color w:val="000000"/>
                <w:sz w:val="18"/>
                <w:szCs w:val="18"/>
                <w:vertAlign w:val="superscript"/>
              </w:rPr>
              <w:t>(</w:t>
            </w:r>
            <w:r w:rsidR="00C80C65" w:rsidRPr="000A28AD">
              <w:rPr>
                <w:rFonts w:asciiTheme="minorHAnsi" w:eastAsia="Times New Roman" w:hAnsiTheme="minorHAnsi" w:cs="Times New Roman"/>
                <w:b/>
                <w:bCs/>
                <w:i w:val="0"/>
                <w:color w:val="000000"/>
                <w:sz w:val="18"/>
                <w:szCs w:val="18"/>
                <w:vertAlign w:val="superscript"/>
              </w:rPr>
              <w:t>2)</w:t>
            </w:r>
          </w:p>
        </w:tc>
      </w:tr>
      <w:tr w:rsidR="001D0139" w:rsidRPr="00C2294E" w14:paraId="160CE674" w14:textId="77777777" w:rsidTr="00531B2D">
        <w:trPr>
          <w:cnfStyle w:val="100000000000" w:firstRow="1" w:lastRow="0" w:firstColumn="0" w:lastColumn="0" w:oddVBand="0" w:evenVBand="0" w:oddHBand="0" w:evenHBand="0" w:firstRowFirstColumn="0" w:firstRowLastColumn="0" w:lastRowFirstColumn="0" w:lastRowLastColumn="0"/>
          <w:trHeight w:val="144"/>
          <w:tblHeader/>
          <w:jc w:val="center"/>
        </w:trPr>
        <w:tc>
          <w:tcPr>
            <w:tcW w:w="3897" w:type="dxa"/>
            <w:tcBorders>
              <w:top w:val="single" w:sz="4" w:space="0" w:color="auto"/>
              <w:bottom w:val="none" w:sz="0" w:space="0" w:color="auto"/>
              <w:right w:val="nil"/>
            </w:tcBorders>
            <w:noWrap/>
            <w:hideMark/>
          </w:tcPr>
          <w:p w14:paraId="28A46F73" w14:textId="77777777" w:rsidR="00A97C01" w:rsidRPr="000A28AD" w:rsidRDefault="000547A3" w:rsidP="00541E4C">
            <w:pP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Number of orders</w:t>
            </w:r>
          </w:p>
        </w:tc>
        <w:tc>
          <w:tcPr>
            <w:tcW w:w="1338" w:type="dxa"/>
            <w:tcBorders>
              <w:top w:val="single" w:sz="4" w:space="0" w:color="auto"/>
              <w:left w:val="nil"/>
              <w:bottom w:val="none" w:sz="0" w:space="0" w:color="auto"/>
            </w:tcBorders>
            <w:noWrap/>
            <w:hideMark/>
          </w:tcPr>
          <w:p w14:paraId="475456DC" w14:textId="77777777" w:rsidR="00A97C01" w:rsidRPr="000A28AD" w:rsidRDefault="000547A3"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24</w:t>
            </w:r>
            <w:r w:rsidR="00A97C01" w:rsidRPr="000A28AD">
              <w:rPr>
                <w:rFonts w:asciiTheme="minorHAnsi" w:eastAsia="Times New Roman" w:hAnsiTheme="minorHAnsi" w:cs="Times New Roman"/>
                <w:i w:val="0"/>
                <w:color w:val="000000"/>
                <w:sz w:val="18"/>
                <w:szCs w:val="18"/>
              </w:rPr>
              <w:t>%</w:t>
            </w:r>
          </w:p>
        </w:tc>
        <w:tc>
          <w:tcPr>
            <w:tcW w:w="1338" w:type="dxa"/>
            <w:tcBorders>
              <w:top w:val="single" w:sz="4" w:space="0" w:color="auto"/>
              <w:bottom w:val="none" w:sz="0" w:space="0" w:color="auto"/>
            </w:tcBorders>
            <w:noWrap/>
            <w:hideMark/>
          </w:tcPr>
          <w:p w14:paraId="099505B9" w14:textId="77777777" w:rsidR="00A97C01" w:rsidRPr="000A28AD" w:rsidRDefault="000547A3"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1</w:t>
            </w:r>
            <w:r w:rsidR="000631E3">
              <w:rPr>
                <w:rFonts w:asciiTheme="minorHAnsi" w:eastAsia="Times New Roman" w:hAnsiTheme="minorHAnsi" w:cs="Times New Roman"/>
                <w:i w:val="0"/>
                <w:color w:val="000000"/>
                <w:sz w:val="18"/>
                <w:szCs w:val="18"/>
              </w:rPr>
              <w:t>6</w:t>
            </w:r>
            <w:r w:rsidR="00A97C01" w:rsidRPr="000A28AD">
              <w:rPr>
                <w:rFonts w:asciiTheme="minorHAnsi" w:eastAsia="Times New Roman" w:hAnsiTheme="minorHAnsi" w:cs="Times New Roman"/>
                <w:i w:val="0"/>
                <w:color w:val="000000"/>
                <w:sz w:val="18"/>
                <w:szCs w:val="18"/>
              </w:rPr>
              <w:t>%</w:t>
            </w:r>
          </w:p>
        </w:tc>
        <w:tc>
          <w:tcPr>
            <w:tcW w:w="1338" w:type="dxa"/>
            <w:tcBorders>
              <w:top w:val="single" w:sz="4" w:space="0" w:color="auto"/>
              <w:bottom w:val="none" w:sz="0" w:space="0" w:color="auto"/>
            </w:tcBorders>
            <w:noWrap/>
            <w:hideMark/>
          </w:tcPr>
          <w:p w14:paraId="35094ED8" w14:textId="77777777" w:rsidR="00A97C01" w:rsidRPr="000A28AD" w:rsidRDefault="000547A3"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60</w:t>
            </w:r>
            <w:r w:rsidR="00A97C01" w:rsidRPr="000A28AD">
              <w:rPr>
                <w:rFonts w:asciiTheme="minorHAnsi" w:eastAsia="Times New Roman" w:hAnsiTheme="minorHAnsi" w:cs="Times New Roman"/>
                <w:i w:val="0"/>
                <w:color w:val="000000"/>
                <w:sz w:val="18"/>
                <w:szCs w:val="18"/>
              </w:rPr>
              <w:t>%</w:t>
            </w:r>
          </w:p>
        </w:tc>
        <w:tc>
          <w:tcPr>
            <w:tcW w:w="1338" w:type="dxa"/>
            <w:tcBorders>
              <w:top w:val="single" w:sz="4" w:space="0" w:color="auto"/>
              <w:bottom w:val="none" w:sz="0" w:space="0" w:color="auto"/>
            </w:tcBorders>
            <w:noWrap/>
            <w:hideMark/>
          </w:tcPr>
          <w:p w14:paraId="412276A1" w14:textId="77777777" w:rsidR="00A97C01" w:rsidRPr="000A28AD" w:rsidRDefault="000547A3"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32</w:t>
            </w:r>
          </w:p>
        </w:tc>
        <w:tc>
          <w:tcPr>
            <w:tcW w:w="1276" w:type="dxa"/>
            <w:tcBorders>
              <w:top w:val="single" w:sz="4" w:space="0" w:color="auto"/>
              <w:bottom w:val="none" w:sz="0" w:space="0" w:color="auto"/>
            </w:tcBorders>
            <w:noWrap/>
            <w:hideMark/>
          </w:tcPr>
          <w:p w14:paraId="622DE73C" w14:textId="77777777" w:rsidR="00A97C01" w:rsidRPr="000A28AD" w:rsidRDefault="000547A3"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55</w:t>
            </w:r>
          </w:p>
        </w:tc>
      </w:tr>
      <w:tr w:rsidR="001D0139" w:rsidRPr="00C2294E" w14:paraId="1B17BCEA" w14:textId="77777777" w:rsidTr="00531B2D">
        <w:trPr>
          <w:cnfStyle w:val="100000000000" w:firstRow="1" w:lastRow="0" w:firstColumn="0" w:lastColumn="0" w:oddVBand="0" w:evenVBand="0" w:oddHBand="0" w:evenHBand="0" w:firstRowFirstColumn="0" w:firstRowLastColumn="0" w:lastRowFirstColumn="0" w:lastRowLastColumn="0"/>
          <w:trHeight w:val="144"/>
          <w:tblHeader/>
          <w:jc w:val="center"/>
        </w:trPr>
        <w:tc>
          <w:tcPr>
            <w:tcW w:w="3897" w:type="dxa"/>
            <w:tcBorders>
              <w:bottom w:val="none" w:sz="0" w:space="0" w:color="auto"/>
              <w:right w:val="nil"/>
            </w:tcBorders>
            <w:noWrap/>
            <w:hideMark/>
          </w:tcPr>
          <w:p w14:paraId="07F1BB13" w14:textId="77777777" w:rsidR="00A97C01" w:rsidRPr="000A28AD" w:rsidRDefault="000547A3" w:rsidP="00541E4C">
            <w:pP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Production level</w:t>
            </w:r>
          </w:p>
        </w:tc>
        <w:tc>
          <w:tcPr>
            <w:tcW w:w="1338" w:type="dxa"/>
            <w:tcBorders>
              <w:left w:val="nil"/>
              <w:bottom w:val="none" w:sz="0" w:space="0" w:color="auto"/>
            </w:tcBorders>
            <w:noWrap/>
            <w:hideMark/>
          </w:tcPr>
          <w:p w14:paraId="5FA26D97" w14:textId="77777777" w:rsidR="00A97C01" w:rsidRPr="000A28AD" w:rsidRDefault="000547A3"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20</w:t>
            </w:r>
            <w:r w:rsidR="00A97C01" w:rsidRPr="000A28AD">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14:paraId="755321B4" w14:textId="77777777" w:rsidR="00A97C01" w:rsidRPr="000A28AD" w:rsidRDefault="000547A3"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28</w:t>
            </w:r>
            <w:r w:rsidR="00A97C01" w:rsidRPr="000A28AD">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14:paraId="1140ED28" w14:textId="77777777" w:rsidR="00A97C01" w:rsidRPr="000A28AD" w:rsidRDefault="000547A3"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53</w:t>
            </w:r>
            <w:r w:rsidR="00A97C01" w:rsidRPr="000A28AD">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14:paraId="02D6C744" w14:textId="77777777" w:rsidR="00A97C01" w:rsidRPr="000A28AD" w:rsidRDefault="000547A3"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34</w:t>
            </w:r>
          </w:p>
        </w:tc>
        <w:tc>
          <w:tcPr>
            <w:tcW w:w="1276" w:type="dxa"/>
            <w:tcBorders>
              <w:bottom w:val="none" w:sz="0" w:space="0" w:color="auto"/>
            </w:tcBorders>
            <w:noWrap/>
            <w:hideMark/>
          </w:tcPr>
          <w:p w14:paraId="04A723DE" w14:textId="77777777" w:rsidR="00A97C01" w:rsidRPr="000A28AD" w:rsidRDefault="0063644F"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5</w:t>
            </w:r>
            <w:r w:rsidR="000547A3">
              <w:rPr>
                <w:rFonts w:asciiTheme="minorHAnsi" w:eastAsia="Times New Roman" w:hAnsiTheme="minorHAnsi" w:cs="Times New Roman"/>
                <w:i w:val="0"/>
                <w:color w:val="000000"/>
                <w:sz w:val="18"/>
                <w:szCs w:val="18"/>
              </w:rPr>
              <w:t>6</w:t>
            </w:r>
          </w:p>
        </w:tc>
      </w:tr>
      <w:tr w:rsidR="001D0139" w:rsidRPr="00C2294E" w14:paraId="02AE97B4" w14:textId="77777777" w:rsidTr="00531B2D">
        <w:trPr>
          <w:cnfStyle w:val="100000000000" w:firstRow="1" w:lastRow="0" w:firstColumn="0" w:lastColumn="0" w:oddVBand="0" w:evenVBand="0" w:oddHBand="0" w:evenHBand="0" w:firstRowFirstColumn="0" w:firstRowLastColumn="0" w:lastRowFirstColumn="0" w:lastRowLastColumn="0"/>
          <w:trHeight w:val="144"/>
          <w:tblHeader/>
          <w:jc w:val="center"/>
        </w:trPr>
        <w:tc>
          <w:tcPr>
            <w:tcW w:w="3897" w:type="dxa"/>
            <w:tcBorders>
              <w:bottom w:val="none" w:sz="0" w:space="0" w:color="auto"/>
              <w:right w:val="nil"/>
            </w:tcBorders>
            <w:noWrap/>
            <w:hideMark/>
          </w:tcPr>
          <w:p w14:paraId="78B72F7E" w14:textId="77777777" w:rsidR="00A97C01" w:rsidRPr="000A28AD" w:rsidRDefault="000547A3" w:rsidP="00541E4C">
            <w:pP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Employment level</w:t>
            </w:r>
          </w:p>
        </w:tc>
        <w:tc>
          <w:tcPr>
            <w:tcW w:w="1338" w:type="dxa"/>
            <w:tcBorders>
              <w:left w:val="nil"/>
              <w:bottom w:val="none" w:sz="0" w:space="0" w:color="auto"/>
            </w:tcBorders>
            <w:noWrap/>
            <w:hideMark/>
          </w:tcPr>
          <w:p w14:paraId="26A5E535" w14:textId="77777777" w:rsidR="00A97C01" w:rsidRPr="000A28AD" w:rsidRDefault="000631E3"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14</w:t>
            </w:r>
            <w:r w:rsidR="00A97C01" w:rsidRPr="000A28AD">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14:paraId="4556D7D4" w14:textId="77777777" w:rsidR="00A97C01" w:rsidRPr="000A28AD" w:rsidRDefault="000547A3"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52</w:t>
            </w:r>
            <w:r w:rsidR="00A97C01" w:rsidRPr="000A28AD">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14:paraId="2FA2B4FC" w14:textId="77777777" w:rsidR="00A97C01" w:rsidRPr="000A28AD" w:rsidRDefault="000547A3"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35</w:t>
            </w:r>
            <w:r w:rsidR="00A97C01" w:rsidRPr="000A28AD">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14:paraId="100600A4" w14:textId="77777777" w:rsidR="00A97C01" w:rsidRPr="000A28AD" w:rsidRDefault="000547A3"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40</w:t>
            </w:r>
          </w:p>
        </w:tc>
        <w:tc>
          <w:tcPr>
            <w:tcW w:w="1276" w:type="dxa"/>
            <w:tcBorders>
              <w:bottom w:val="none" w:sz="0" w:space="0" w:color="auto"/>
            </w:tcBorders>
            <w:noWrap/>
            <w:hideMark/>
          </w:tcPr>
          <w:p w14:paraId="515345EE" w14:textId="77777777" w:rsidR="00A97C01" w:rsidRPr="000A28AD" w:rsidRDefault="000547A3"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51</w:t>
            </w:r>
          </w:p>
        </w:tc>
      </w:tr>
      <w:tr w:rsidR="001D0139" w:rsidRPr="00C2294E" w14:paraId="42AFF36A" w14:textId="77777777" w:rsidTr="00531B2D">
        <w:trPr>
          <w:cnfStyle w:val="100000000000" w:firstRow="1" w:lastRow="0" w:firstColumn="0" w:lastColumn="0" w:oddVBand="0" w:evenVBand="0" w:oddHBand="0" w:evenHBand="0" w:firstRowFirstColumn="0" w:firstRowLastColumn="0" w:lastRowFirstColumn="0" w:lastRowLastColumn="0"/>
          <w:trHeight w:val="144"/>
          <w:tblHeader/>
          <w:jc w:val="center"/>
        </w:trPr>
        <w:tc>
          <w:tcPr>
            <w:tcW w:w="3897" w:type="dxa"/>
            <w:tcBorders>
              <w:bottom w:val="none" w:sz="0" w:space="0" w:color="auto"/>
              <w:right w:val="nil"/>
            </w:tcBorders>
            <w:noWrap/>
            <w:hideMark/>
          </w:tcPr>
          <w:p w14:paraId="7EFE7881" w14:textId="77777777" w:rsidR="00A97C01" w:rsidRPr="000A28AD" w:rsidRDefault="008B5D54" w:rsidP="00541E4C">
            <w:pP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Labor</w:t>
            </w:r>
            <w:r w:rsidR="006B4564">
              <w:rPr>
                <w:rFonts w:asciiTheme="minorHAnsi" w:eastAsia="Times New Roman" w:hAnsiTheme="minorHAnsi" w:cs="Times New Roman"/>
                <w:i w:val="0"/>
                <w:color w:val="000000"/>
                <w:sz w:val="18"/>
                <w:szCs w:val="18"/>
              </w:rPr>
              <w:t xml:space="preserve"> availability</w:t>
            </w:r>
          </w:p>
        </w:tc>
        <w:tc>
          <w:tcPr>
            <w:tcW w:w="1338" w:type="dxa"/>
            <w:tcBorders>
              <w:left w:val="nil"/>
              <w:bottom w:val="none" w:sz="0" w:space="0" w:color="auto"/>
            </w:tcBorders>
            <w:noWrap/>
            <w:hideMark/>
          </w:tcPr>
          <w:p w14:paraId="0361DBD7" w14:textId="77777777" w:rsidR="00A97C01" w:rsidRPr="000A28AD" w:rsidRDefault="006B4564"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8</w:t>
            </w:r>
            <w:r w:rsidR="00A97C01" w:rsidRPr="000A28AD">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14:paraId="5C3B6B98" w14:textId="77777777" w:rsidR="00A97C01" w:rsidRPr="000A28AD" w:rsidRDefault="006B4564" w:rsidP="00367060">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43</w:t>
            </w:r>
            <w:r w:rsidR="00A97C01" w:rsidRPr="000A28AD">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14:paraId="6E9B91AA" w14:textId="77777777" w:rsidR="00A97C01" w:rsidRPr="000A28AD" w:rsidRDefault="006B4564"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49</w:t>
            </w:r>
            <w:r w:rsidR="00A97C01" w:rsidRPr="000A28AD">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14:paraId="613012BA" w14:textId="77777777" w:rsidR="00A97C01" w:rsidRPr="000A28AD" w:rsidRDefault="006B4564"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30</w:t>
            </w:r>
          </w:p>
        </w:tc>
        <w:tc>
          <w:tcPr>
            <w:tcW w:w="1276" w:type="dxa"/>
            <w:tcBorders>
              <w:bottom w:val="none" w:sz="0" w:space="0" w:color="auto"/>
            </w:tcBorders>
            <w:noWrap/>
            <w:hideMark/>
          </w:tcPr>
          <w:p w14:paraId="0C4B6009" w14:textId="77777777" w:rsidR="00A97C01" w:rsidRPr="000A28AD" w:rsidRDefault="006B4564"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n/a</w:t>
            </w:r>
          </w:p>
        </w:tc>
      </w:tr>
      <w:tr w:rsidR="001D0139" w:rsidRPr="00C2294E" w14:paraId="38A256F8" w14:textId="77777777" w:rsidTr="00531B2D">
        <w:trPr>
          <w:cnfStyle w:val="100000000000" w:firstRow="1" w:lastRow="0" w:firstColumn="0" w:lastColumn="0" w:oddVBand="0" w:evenVBand="0" w:oddHBand="0" w:evenHBand="0" w:firstRowFirstColumn="0" w:firstRowLastColumn="0" w:lastRowFirstColumn="0" w:lastRowLastColumn="0"/>
          <w:trHeight w:val="144"/>
          <w:tblHeader/>
          <w:jc w:val="center"/>
        </w:trPr>
        <w:tc>
          <w:tcPr>
            <w:tcW w:w="3897" w:type="dxa"/>
            <w:tcBorders>
              <w:bottom w:val="none" w:sz="0" w:space="0" w:color="auto"/>
              <w:right w:val="nil"/>
            </w:tcBorders>
            <w:noWrap/>
            <w:hideMark/>
          </w:tcPr>
          <w:p w14:paraId="731A018C" w14:textId="77777777" w:rsidR="00A97C01" w:rsidRPr="000A28AD" w:rsidRDefault="006B4564" w:rsidP="00541E4C">
            <w:pP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Investment plant/equipment</w:t>
            </w:r>
          </w:p>
        </w:tc>
        <w:tc>
          <w:tcPr>
            <w:tcW w:w="1338" w:type="dxa"/>
            <w:tcBorders>
              <w:left w:val="nil"/>
              <w:bottom w:val="none" w:sz="0" w:space="0" w:color="auto"/>
            </w:tcBorders>
            <w:noWrap/>
            <w:hideMark/>
          </w:tcPr>
          <w:p w14:paraId="47BA421C" w14:textId="77777777" w:rsidR="00A97C01" w:rsidRPr="000A28AD" w:rsidRDefault="006B4564"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1</w:t>
            </w:r>
            <w:r w:rsidR="000631E3">
              <w:rPr>
                <w:rFonts w:asciiTheme="minorHAnsi" w:eastAsia="Times New Roman" w:hAnsiTheme="minorHAnsi" w:cs="Times New Roman"/>
                <w:i w:val="0"/>
                <w:color w:val="000000"/>
                <w:sz w:val="18"/>
                <w:szCs w:val="18"/>
              </w:rPr>
              <w:t>8</w:t>
            </w:r>
            <w:r w:rsidR="00A97C01" w:rsidRPr="000A28AD">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14:paraId="4F86F587" w14:textId="77777777" w:rsidR="00A97C01" w:rsidRPr="000A28AD" w:rsidRDefault="006B4564"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44</w:t>
            </w:r>
            <w:r w:rsidR="00A97C01" w:rsidRPr="000A28AD">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14:paraId="07860F38" w14:textId="77777777" w:rsidR="00A97C01" w:rsidRPr="000A28AD" w:rsidRDefault="006B4564"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37</w:t>
            </w:r>
            <w:r w:rsidR="00A97C01" w:rsidRPr="000A28AD">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14:paraId="3D027C49" w14:textId="77777777" w:rsidR="00A97C01" w:rsidRPr="000A28AD" w:rsidRDefault="006B4564"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40</w:t>
            </w:r>
          </w:p>
        </w:tc>
        <w:tc>
          <w:tcPr>
            <w:tcW w:w="1276" w:type="dxa"/>
            <w:tcBorders>
              <w:bottom w:val="none" w:sz="0" w:space="0" w:color="auto"/>
            </w:tcBorders>
            <w:noWrap/>
            <w:hideMark/>
          </w:tcPr>
          <w:p w14:paraId="2366C50D" w14:textId="77777777" w:rsidR="00A97C01" w:rsidRPr="000A28AD" w:rsidRDefault="006B4564"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6</w:t>
            </w:r>
            <w:r w:rsidR="00726C57">
              <w:rPr>
                <w:rFonts w:asciiTheme="minorHAnsi" w:eastAsia="Times New Roman" w:hAnsiTheme="minorHAnsi" w:cs="Times New Roman"/>
                <w:i w:val="0"/>
                <w:color w:val="000000"/>
                <w:sz w:val="18"/>
                <w:szCs w:val="18"/>
              </w:rPr>
              <w:t>1</w:t>
            </w:r>
          </w:p>
        </w:tc>
      </w:tr>
      <w:tr w:rsidR="001D0139" w:rsidRPr="00C2294E" w14:paraId="24BDD8FD" w14:textId="77777777" w:rsidTr="00531B2D">
        <w:trPr>
          <w:cnfStyle w:val="100000000000" w:firstRow="1" w:lastRow="0" w:firstColumn="0" w:lastColumn="0" w:oddVBand="0" w:evenVBand="0" w:oddHBand="0" w:evenHBand="0" w:firstRowFirstColumn="0" w:firstRowLastColumn="0" w:lastRowFirstColumn="0" w:lastRowLastColumn="0"/>
          <w:trHeight w:val="144"/>
          <w:tblHeader/>
          <w:jc w:val="center"/>
        </w:trPr>
        <w:tc>
          <w:tcPr>
            <w:tcW w:w="3897" w:type="dxa"/>
            <w:tcBorders>
              <w:bottom w:val="none" w:sz="0" w:space="0" w:color="auto"/>
              <w:right w:val="nil"/>
            </w:tcBorders>
            <w:noWrap/>
            <w:hideMark/>
          </w:tcPr>
          <w:p w14:paraId="46EF3A5D" w14:textId="77777777" w:rsidR="00A97C01" w:rsidRPr="000A28AD" w:rsidRDefault="009A1D8F" w:rsidP="00541E4C">
            <w:pP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 xml:space="preserve">Selling </w:t>
            </w:r>
            <w:r w:rsidR="00097993">
              <w:rPr>
                <w:rFonts w:asciiTheme="minorHAnsi" w:eastAsia="Times New Roman" w:hAnsiTheme="minorHAnsi" w:cs="Times New Roman"/>
                <w:i w:val="0"/>
                <w:color w:val="000000"/>
                <w:sz w:val="18"/>
                <w:szCs w:val="18"/>
              </w:rPr>
              <w:t>p</w:t>
            </w:r>
            <w:r>
              <w:rPr>
                <w:rFonts w:asciiTheme="minorHAnsi" w:eastAsia="Times New Roman" w:hAnsiTheme="minorHAnsi" w:cs="Times New Roman"/>
                <w:i w:val="0"/>
                <w:color w:val="000000"/>
                <w:sz w:val="18"/>
                <w:szCs w:val="18"/>
              </w:rPr>
              <w:t>rices</w:t>
            </w:r>
          </w:p>
        </w:tc>
        <w:tc>
          <w:tcPr>
            <w:tcW w:w="1338" w:type="dxa"/>
            <w:tcBorders>
              <w:left w:val="nil"/>
              <w:bottom w:val="none" w:sz="0" w:space="0" w:color="auto"/>
            </w:tcBorders>
            <w:noWrap/>
            <w:hideMark/>
          </w:tcPr>
          <w:p w14:paraId="629EEC8E" w14:textId="77777777" w:rsidR="00A97C01" w:rsidRPr="000A28AD" w:rsidRDefault="00A774BE"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18</w:t>
            </w:r>
            <w:r w:rsidR="00A97C01" w:rsidRPr="000A28AD">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14:paraId="05E5FD93" w14:textId="77777777" w:rsidR="00A97C01" w:rsidRPr="000A28AD" w:rsidRDefault="00A774BE"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67</w:t>
            </w:r>
            <w:r w:rsidR="00A97C01" w:rsidRPr="000A28AD">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14:paraId="633D98C9" w14:textId="77777777" w:rsidR="00A97C01" w:rsidRPr="000A28AD" w:rsidRDefault="00A774BE"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14</w:t>
            </w:r>
            <w:r w:rsidR="00A97C01" w:rsidRPr="000A28AD">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14:paraId="4D1B538D" w14:textId="77777777" w:rsidR="00A97C01" w:rsidRPr="000A28AD" w:rsidRDefault="00A774BE"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52</w:t>
            </w:r>
          </w:p>
        </w:tc>
        <w:tc>
          <w:tcPr>
            <w:tcW w:w="1276" w:type="dxa"/>
            <w:tcBorders>
              <w:bottom w:val="none" w:sz="0" w:space="0" w:color="auto"/>
            </w:tcBorders>
            <w:noWrap/>
            <w:hideMark/>
          </w:tcPr>
          <w:p w14:paraId="2C611DB8" w14:textId="77777777" w:rsidR="00A97C01" w:rsidRPr="000A28AD" w:rsidRDefault="00A774BE"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64</w:t>
            </w:r>
          </w:p>
        </w:tc>
      </w:tr>
      <w:tr w:rsidR="001D0139" w:rsidRPr="00C2294E" w14:paraId="0E62A05E" w14:textId="77777777" w:rsidTr="00531B2D">
        <w:trPr>
          <w:cnfStyle w:val="100000000000" w:firstRow="1" w:lastRow="0" w:firstColumn="0" w:lastColumn="0" w:oddVBand="0" w:evenVBand="0" w:oddHBand="0" w:evenHBand="0" w:firstRowFirstColumn="0" w:firstRowLastColumn="0" w:lastRowFirstColumn="0" w:lastRowLastColumn="0"/>
          <w:trHeight w:val="144"/>
          <w:tblHeader/>
          <w:jc w:val="center"/>
        </w:trPr>
        <w:tc>
          <w:tcPr>
            <w:tcW w:w="3897" w:type="dxa"/>
            <w:tcBorders>
              <w:bottom w:val="none" w:sz="0" w:space="0" w:color="auto"/>
              <w:right w:val="nil"/>
            </w:tcBorders>
            <w:noWrap/>
            <w:hideMark/>
          </w:tcPr>
          <w:p w14:paraId="223A1DC8" w14:textId="77777777" w:rsidR="00A97C01" w:rsidRPr="000A28AD" w:rsidRDefault="00A774BE" w:rsidP="00541E4C">
            <w:pP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 xml:space="preserve">Profits </w:t>
            </w:r>
          </w:p>
        </w:tc>
        <w:tc>
          <w:tcPr>
            <w:tcW w:w="1338" w:type="dxa"/>
            <w:tcBorders>
              <w:left w:val="nil"/>
              <w:bottom w:val="none" w:sz="0" w:space="0" w:color="auto"/>
            </w:tcBorders>
            <w:noWrap/>
            <w:hideMark/>
          </w:tcPr>
          <w:p w14:paraId="2A953A27" w14:textId="77777777" w:rsidR="00A97C01" w:rsidRPr="000A28AD" w:rsidRDefault="000631E3"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17</w:t>
            </w:r>
            <w:r w:rsidR="00A97C01" w:rsidRPr="000A28AD">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14:paraId="39E4C25C" w14:textId="77777777" w:rsidR="00A97C01" w:rsidRPr="000A28AD" w:rsidRDefault="00A774BE"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25</w:t>
            </w:r>
            <w:r w:rsidR="00A97C01" w:rsidRPr="000A28AD">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14:paraId="1801153F" w14:textId="77777777" w:rsidR="00A97C01" w:rsidRPr="000A28AD" w:rsidRDefault="00A774BE"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57</w:t>
            </w:r>
            <w:r w:rsidR="00A97C01" w:rsidRPr="000A28AD">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14:paraId="7C98D2D9" w14:textId="77777777" w:rsidR="00A97C01" w:rsidRPr="000A28AD" w:rsidRDefault="00A774BE"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30</w:t>
            </w:r>
          </w:p>
        </w:tc>
        <w:tc>
          <w:tcPr>
            <w:tcW w:w="1276" w:type="dxa"/>
            <w:tcBorders>
              <w:bottom w:val="none" w:sz="0" w:space="0" w:color="auto"/>
            </w:tcBorders>
            <w:noWrap/>
            <w:hideMark/>
          </w:tcPr>
          <w:p w14:paraId="0DDDBB2F" w14:textId="77777777" w:rsidR="00A97C01" w:rsidRPr="000A28AD" w:rsidRDefault="000631E3"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4</w:t>
            </w:r>
            <w:r w:rsidR="00A774BE">
              <w:rPr>
                <w:rFonts w:asciiTheme="minorHAnsi" w:eastAsia="Times New Roman" w:hAnsiTheme="minorHAnsi" w:cs="Times New Roman"/>
                <w:i w:val="0"/>
                <w:color w:val="000000"/>
                <w:sz w:val="18"/>
                <w:szCs w:val="18"/>
              </w:rPr>
              <w:t>6</w:t>
            </w:r>
          </w:p>
        </w:tc>
      </w:tr>
      <w:tr w:rsidR="001D0139" w:rsidRPr="00C2294E" w14:paraId="42F0E1E0" w14:textId="77777777" w:rsidTr="009A1D8F">
        <w:trPr>
          <w:cnfStyle w:val="100000000000" w:firstRow="1" w:lastRow="0" w:firstColumn="0" w:lastColumn="0" w:oddVBand="0" w:evenVBand="0" w:oddHBand="0" w:evenHBand="0" w:firstRowFirstColumn="0" w:firstRowLastColumn="0" w:lastRowFirstColumn="0" w:lastRowLastColumn="0"/>
          <w:trHeight w:val="477"/>
          <w:tblHeader/>
          <w:jc w:val="center"/>
        </w:trPr>
        <w:tc>
          <w:tcPr>
            <w:tcW w:w="3897" w:type="dxa"/>
            <w:tcBorders>
              <w:bottom w:val="single" w:sz="4" w:space="0" w:color="auto"/>
              <w:right w:val="nil"/>
            </w:tcBorders>
            <w:noWrap/>
            <w:hideMark/>
          </w:tcPr>
          <w:p w14:paraId="78AEE2A7" w14:textId="77777777" w:rsidR="00A97C01" w:rsidRPr="000A28AD" w:rsidRDefault="00A774BE" w:rsidP="00541E4C">
            <w:pPr>
              <w:rPr>
                <w:rFonts w:asciiTheme="minorHAnsi" w:eastAsia="Times New Roman" w:hAnsiTheme="minorHAnsi" w:cs="Times New Roman"/>
                <w:i w:val="0"/>
                <w:color w:val="000000"/>
                <w:sz w:val="18"/>
                <w:szCs w:val="18"/>
              </w:rPr>
            </w:pPr>
            <w:r>
              <w:rPr>
                <w:rFonts w:ascii="Calibri" w:eastAsia="Times New Roman" w:hAnsi="Calibri" w:cs="Times New Roman"/>
                <w:i w:val="0"/>
                <w:color w:val="000000"/>
                <w:sz w:val="18"/>
                <w:szCs w:val="18"/>
              </w:rPr>
              <w:t>Productivity</w:t>
            </w:r>
            <w:r w:rsidR="009A1D8F">
              <w:rPr>
                <w:rFonts w:asciiTheme="minorHAnsi" w:eastAsia="Times New Roman" w:hAnsiTheme="minorHAnsi" w:cs="Times New Roman"/>
                <w:i w:val="0"/>
                <w:color w:val="000000"/>
                <w:sz w:val="18"/>
                <w:szCs w:val="18"/>
              </w:rPr>
              <w:br/>
              <w:t>Exports (sales for foreign clients)</w:t>
            </w:r>
          </w:p>
        </w:tc>
        <w:tc>
          <w:tcPr>
            <w:tcW w:w="1338" w:type="dxa"/>
            <w:tcBorders>
              <w:left w:val="nil"/>
              <w:bottom w:val="none" w:sz="0" w:space="0" w:color="auto"/>
            </w:tcBorders>
            <w:noWrap/>
            <w:hideMark/>
          </w:tcPr>
          <w:p w14:paraId="683A1CD2" w14:textId="77777777" w:rsidR="00A97C01" w:rsidRPr="000A28AD" w:rsidRDefault="00A774BE"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18</w:t>
            </w:r>
            <w:r w:rsidR="00A97C01" w:rsidRPr="000A28AD">
              <w:rPr>
                <w:rFonts w:asciiTheme="minorHAnsi" w:eastAsia="Times New Roman" w:hAnsiTheme="minorHAnsi" w:cs="Times New Roman"/>
                <w:i w:val="0"/>
                <w:color w:val="000000"/>
                <w:sz w:val="18"/>
                <w:szCs w:val="18"/>
              </w:rPr>
              <w:t>%</w:t>
            </w:r>
            <w:r>
              <w:rPr>
                <w:rFonts w:asciiTheme="minorHAnsi" w:eastAsia="Times New Roman" w:hAnsiTheme="minorHAnsi" w:cs="Times New Roman"/>
                <w:i w:val="0"/>
                <w:color w:val="000000"/>
                <w:sz w:val="18"/>
                <w:szCs w:val="18"/>
              </w:rPr>
              <w:br/>
              <w:t>5</w:t>
            </w:r>
            <w:r w:rsidR="009A1D8F">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14:paraId="1870A3BF" w14:textId="77777777" w:rsidR="00A97C01" w:rsidRPr="000A28AD" w:rsidRDefault="00A774BE"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38</w:t>
            </w:r>
            <w:r w:rsidR="00A97C01" w:rsidRPr="000A28AD">
              <w:rPr>
                <w:rFonts w:asciiTheme="minorHAnsi" w:eastAsia="Times New Roman" w:hAnsiTheme="minorHAnsi" w:cs="Times New Roman"/>
                <w:i w:val="0"/>
                <w:color w:val="000000"/>
                <w:sz w:val="18"/>
                <w:szCs w:val="18"/>
              </w:rPr>
              <w:t>%</w:t>
            </w:r>
            <w:r>
              <w:rPr>
                <w:rFonts w:asciiTheme="minorHAnsi" w:eastAsia="Times New Roman" w:hAnsiTheme="minorHAnsi" w:cs="Times New Roman"/>
                <w:i w:val="0"/>
                <w:color w:val="000000"/>
                <w:sz w:val="18"/>
                <w:szCs w:val="18"/>
              </w:rPr>
              <w:br/>
              <w:t>63</w:t>
            </w:r>
            <w:r w:rsidR="009A1D8F">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14:paraId="344688BD" w14:textId="77777777" w:rsidR="00A97C01" w:rsidRPr="000A28AD" w:rsidRDefault="00A774BE"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4</w:t>
            </w:r>
            <w:r w:rsidR="000631E3">
              <w:rPr>
                <w:rFonts w:asciiTheme="minorHAnsi" w:eastAsia="Times New Roman" w:hAnsiTheme="minorHAnsi" w:cs="Times New Roman"/>
                <w:i w:val="0"/>
                <w:color w:val="000000"/>
                <w:sz w:val="18"/>
                <w:szCs w:val="18"/>
              </w:rPr>
              <w:t>3</w:t>
            </w:r>
            <w:r w:rsidR="00A97C01" w:rsidRPr="000A28AD">
              <w:rPr>
                <w:rFonts w:asciiTheme="minorHAnsi" w:eastAsia="Times New Roman" w:hAnsiTheme="minorHAnsi" w:cs="Times New Roman"/>
                <w:i w:val="0"/>
                <w:color w:val="000000"/>
                <w:sz w:val="18"/>
                <w:szCs w:val="18"/>
              </w:rPr>
              <w:t>%</w:t>
            </w:r>
            <w:r>
              <w:rPr>
                <w:rFonts w:asciiTheme="minorHAnsi" w:eastAsia="Times New Roman" w:hAnsiTheme="minorHAnsi" w:cs="Times New Roman"/>
                <w:i w:val="0"/>
                <w:color w:val="000000"/>
                <w:sz w:val="18"/>
                <w:szCs w:val="18"/>
              </w:rPr>
              <w:br/>
              <w:t>3</w:t>
            </w:r>
            <w:r w:rsidR="000631E3">
              <w:rPr>
                <w:rFonts w:asciiTheme="minorHAnsi" w:eastAsia="Times New Roman" w:hAnsiTheme="minorHAnsi" w:cs="Times New Roman"/>
                <w:i w:val="0"/>
                <w:color w:val="000000"/>
                <w:sz w:val="18"/>
                <w:szCs w:val="18"/>
              </w:rPr>
              <w:t>3</w:t>
            </w:r>
            <w:r w:rsidR="009A1D8F">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14:paraId="10F896E6" w14:textId="77777777" w:rsidR="00A97C01" w:rsidRPr="000A28AD" w:rsidRDefault="00A774BE"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37</w:t>
            </w:r>
            <w:r>
              <w:rPr>
                <w:rFonts w:asciiTheme="minorHAnsi" w:eastAsia="Times New Roman" w:hAnsiTheme="minorHAnsi" w:cs="Times New Roman"/>
                <w:i w:val="0"/>
                <w:color w:val="000000"/>
                <w:sz w:val="18"/>
                <w:szCs w:val="18"/>
              </w:rPr>
              <w:br/>
              <w:t>37</w:t>
            </w:r>
          </w:p>
        </w:tc>
        <w:tc>
          <w:tcPr>
            <w:tcW w:w="1276" w:type="dxa"/>
            <w:tcBorders>
              <w:bottom w:val="none" w:sz="0" w:space="0" w:color="auto"/>
            </w:tcBorders>
            <w:noWrap/>
            <w:hideMark/>
          </w:tcPr>
          <w:p w14:paraId="2BC1C009" w14:textId="77777777" w:rsidR="00A97C01" w:rsidRPr="000A28AD" w:rsidRDefault="00A774BE"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59</w:t>
            </w:r>
            <w:r>
              <w:rPr>
                <w:rFonts w:asciiTheme="minorHAnsi" w:eastAsia="Times New Roman" w:hAnsiTheme="minorHAnsi" w:cs="Times New Roman"/>
                <w:i w:val="0"/>
                <w:color w:val="000000"/>
                <w:sz w:val="18"/>
                <w:szCs w:val="18"/>
              </w:rPr>
              <w:br/>
              <w:t>43</w:t>
            </w:r>
          </w:p>
        </w:tc>
      </w:tr>
    </w:tbl>
    <w:p w14:paraId="2E162897" w14:textId="77777777" w:rsidR="00A97C01" w:rsidRDefault="00A97C01" w:rsidP="009B3DF5">
      <w:pPr>
        <w:spacing w:after="0" w:line="72" w:lineRule="auto"/>
        <w:contextualSpacing/>
      </w:pPr>
    </w:p>
    <w:tbl>
      <w:tblPr>
        <w:tblStyle w:val="PlainTable4"/>
        <w:tblW w:w="10521"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Caption w:val="Comparison Worker's Indicators"/>
        <w:tblDescription w:val="Table showing labor indicators. Forty-seven percent of respondents indicated no changes for wages per worker while 59 percent specified no changes for benefirs per worker."/>
      </w:tblPr>
      <w:tblGrid>
        <w:gridCol w:w="2880"/>
        <w:gridCol w:w="902"/>
        <w:gridCol w:w="1334"/>
        <w:gridCol w:w="1350"/>
        <w:gridCol w:w="1350"/>
        <w:gridCol w:w="1350"/>
        <w:gridCol w:w="1355"/>
      </w:tblGrid>
      <w:tr w:rsidR="00E647F4" w:rsidRPr="000F78D4" w14:paraId="39D7F401" w14:textId="77777777" w:rsidTr="000A28AD">
        <w:trPr>
          <w:cnfStyle w:val="100000000000" w:firstRow="1" w:lastRow="0" w:firstColumn="0" w:lastColumn="0" w:oddVBand="0" w:evenVBand="0" w:oddHBand="0" w:evenHBand="0" w:firstRowFirstColumn="0" w:firstRowLastColumn="0" w:lastRowFirstColumn="0" w:lastRowLastColumn="0"/>
          <w:trHeight w:val="144"/>
          <w:tblHeader/>
          <w:jc w:val="center"/>
        </w:trPr>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auto"/>
              <w:bottom w:val="single" w:sz="4" w:space="0" w:color="auto"/>
              <w:right w:val="nil"/>
            </w:tcBorders>
            <w:shd w:val="clear" w:color="auto" w:fill="BDD6EE" w:themeFill="accent1" w:themeFillTint="66"/>
            <w:noWrap/>
            <w:hideMark/>
          </w:tcPr>
          <w:p w14:paraId="231FF702" w14:textId="77777777" w:rsidR="00A97C01" w:rsidRPr="000A28AD" w:rsidRDefault="00722892" w:rsidP="00541E4C">
            <w:pPr>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Labor i</w:t>
            </w:r>
            <w:r w:rsidR="00531B2D" w:rsidRPr="000A28AD">
              <w:rPr>
                <w:rFonts w:ascii="Calibri" w:eastAsia="Times New Roman" w:hAnsi="Calibri" w:cs="Times New Roman"/>
                <w:color w:val="000000"/>
                <w:sz w:val="18"/>
                <w:szCs w:val="18"/>
              </w:rPr>
              <w:t>ndic</w:t>
            </w:r>
            <w:r w:rsidR="0043194C">
              <w:rPr>
                <w:rFonts w:ascii="Calibri" w:eastAsia="Times New Roman" w:hAnsi="Calibri" w:cs="Times New Roman"/>
                <w:color w:val="000000"/>
                <w:sz w:val="18"/>
                <w:szCs w:val="18"/>
              </w:rPr>
              <w:t>ators in the last 4 quarters</w:t>
            </w:r>
          </w:p>
        </w:tc>
        <w:tc>
          <w:tcPr>
            <w:tcW w:w="902" w:type="dxa"/>
            <w:tcBorders>
              <w:top w:val="single" w:sz="4" w:space="0" w:color="auto"/>
              <w:left w:val="nil"/>
              <w:bottom w:val="single" w:sz="4" w:space="0" w:color="auto"/>
            </w:tcBorders>
            <w:shd w:val="clear" w:color="auto" w:fill="BDD6EE" w:themeFill="accent1" w:themeFillTint="66"/>
            <w:noWrap/>
            <w:hideMark/>
          </w:tcPr>
          <w:p w14:paraId="1C53CC83" w14:textId="77777777" w:rsidR="00A97C01" w:rsidRPr="000A28AD" w:rsidRDefault="00A97C01" w:rsidP="00541E4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Decrease</w:t>
            </w:r>
          </w:p>
        </w:tc>
        <w:tc>
          <w:tcPr>
            <w:tcW w:w="1334" w:type="dxa"/>
            <w:tcBorders>
              <w:top w:val="single" w:sz="4" w:space="0" w:color="auto"/>
              <w:bottom w:val="single" w:sz="4" w:space="0" w:color="auto"/>
            </w:tcBorders>
            <w:shd w:val="clear" w:color="auto" w:fill="BDD6EE" w:themeFill="accent1" w:themeFillTint="66"/>
            <w:noWrap/>
            <w:hideMark/>
          </w:tcPr>
          <w:p w14:paraId="55D98DB0" w14:textId="77777777" w:rsidR="00A97C01" w:rsidRPr="000A28AD" w:rsidRDefault="00A97C01" w:rsidP="00541E4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0</w:t>
            </w:r>
            <w:r w:rsidR="00933559">
              <w:rPr>
                <w:rFonts w:ascii="Calibri" w:eastAsia="Times New Roman" w:hAnsi="Calibri" w:cs="Times New Roman"/>
                <w:color w:val="000000"/>
                <w:sz w:val="18"/>
                <w:szCs w:val="18"/>
              </w:rPr>
              <w:t>%</w:t>
            </w:r>
          </w:p>
        </w:tc>
        <w:tc>
          <w:tcPr>
            <w:tcW w:w="1350" w:type="dxa"/>
            <w:tcBorders>
              <w:top w:val="single" w:sz="4" w:space="0" w:color="auto"/>
              <w:bottom w:val="single" w:sz="4" w:space="0" w:color="auto"/>
            </w:tcBorders>
            <w:shd w:val="clear" w:color="auto" w:fill="BDD6EE" w:themeFill="accent1" w:themeFillTint="66"/>
            <w:noWrap/>
            <w:hideMark/>
          </w:tcPr>
          <w:p w14:paraId="161D7973" w14:textId="77777777" w:rsidR="00A97C01" w:rsidRPr="000A28AD" w:rsidRDefault="00A97C01" w:rsidP="00541E4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1-2%</w:t>
            </w:r>
          </w:p>
        </w:tc>
        <w:tc>
          <w:tcPr>
            <w:tcW w:w="1350" w:type="dxa"/>
            <w:tcBorders>
              <w:top w:val="single" w:sz="4" w:space="0" w:color="auto"/>
              <w:bottom w:val="single" w:sz="4" w:space="0" w:color="auto"/>
            </w:tcBorders>
            <w:shd w:val="clear" w:color="auto" w:fill="BDD6EE" w:themeFill="accent1" w:themeFillTint="66"/>
            <w:noWrap/>
            <w:hideMark/>
          </w:tcPr>
          <w:p w14:paraId="03C8E275" w14:textId="77777777" w:rsidR="00A97C01" w:rsidRPr="000A28AD" w:rsidRDefault="00A97C01" w:rsidP="00541E4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3-5%</w:t>
            </w:r>
          </w:p>
        </w:tc>
        <w:tc>
          <w:tcPr>
            <w:tcW w:w="1350" w:type="dxa"/>
            <w:tcBorders>
              <w:top w:val="single" w:sz="4" w:space="0" w:color="auto"/>
              <w:bottom w:val="single" w:sz="4" w:space="0" w:color="auto"/>
            </w:tcBorders>
            <w:shd w:val="clear" w:color="auto" w:fill="BDD6EE" w:themeFill="accent1" w:themeFillTint="66"/>
            <w:noWrap/>
            <w:hideMark/>
          </w:tcPr>
          <w:p w14:paraId="4CA46663" w14:textId="77777777" w:rsidR="00A97C01" w:rsidRPr="000A28AD" w:rsidRDefault="00A97C01" w:rsidP="00541E4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6-9%</w:t>
            </w:r>
          </w:p>
        </w:tc>
        <w:tc>
          <w:tcPr>
            <w:tcW w:w="1355" w:type="dxa"/>
            <w:tcBorders>
              <w:top w:val="single" w:sz="4" w:space="0" w:color="auto"/>
              <w:bottom w:val="single" w:sz="4" w:space="0" w:color="auto"/>
            </w:tcBorders>
            <w:shd w:val="clear" w:color="auto" w:fill="BDD6EE" w:themeFill="accent1" w:themeFillTint="66"/>
            <w:noWrap/>
            <w:hideMark/>
          </w:tcPr>
          <w:p w14:paraId="59F8D388" w14:textId="77777777" w:rsidR="00A97C01" w:rsidRPr="000A28AD" w:rsidRDefault="00A97C01" w:rsidP="00541E4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&gt;10%</w:t>
            </w:r>
          </w:p>
        </w:tc>
      </w:tr>
      <w:tr w:rsidR="001D0139" w:rsidRPr="000F78D4" w14:paraId="4C9CF421" w14:textId="77777777" w:rsidTr="000A28AD">
        <w:trPr>
          <w:cnfStyle w:val="100000000000" w:firstRow="1" w:lastRow="0" w:firstColumn="0" w:lastColumn="0" w:oddVBand="0" w:evenVBand="0" w:oddHBand="0" w:evenHBand="0" w:firstRowFirstColumn="0" w:firstRowLastColumn="0" w:lastRowFirstColumn="0" w:lastRowLastColumn="0"/>
          <w:trHeight w:val="144"/>
          <w:tblHeader/>
          <w:jc w:val="center"/>
        </w:trPr>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auto"/>
              <w:bottom w:val="nil"/>
              <w:right w:val="nil"/>
            </w:tcBorders>
            <w:noWrap/>
            <w:hideMark/>
          </w:tcPr>
          <w:p w14:paraId="2CB89DE9" w14:textId="77777777" w:rsidR="00A97C01" w:rsidRPr="000A28AD" w:rsidRDefault="00A97C01" w:rsidP="00541E4C">
            <w:pPr>
              <w:rPr>
                <w:rFonts w:ascii="Calibri" w:eastAsia="Times New Roman" w:hAnsi="Calibri" w:cs="Times New Roman"/>
                <w:b w:val="0"/>
                <w:color w:val="000000"/>
                <w:sz w:val="18"/>
                <w:szCs w:val="18"/>
              </w:rPr>
            </w:pPr>
            <w:r w:rsidRPr="000A28AD">
              <w:rPr>
                <w:rFonts w:ascii="Calibri" w:eastAsia="Times New Roman" w:hAnsi="Calibri" w:cs="Times New Roman"/>
                <w:b w:val="0"/>
                <w:color w:val="000000"/>
                <w:sz w:val="18"/>
                <w:szCs w:val="18"/>
              </w:rPr>
              <w:t>Wages per worker</w:t>
            </w:r>
          </w:p>
        </w:tc>
        <w:tc>
          <w:tcPr>
            <w:tcW w:w="902" w:type="dxa"/>
            <w:tcBorders>
              <w:top w:val="single" w:sz="4" w:space="0" w:color="auto"/>
              <w:left w:val="nil"/>
            </w:tcBorders>
            <w:noWrap/>
            <w:hideMark/>
          </w:tcPr>
          <w:p w14:paraId="418EBB6D" w14:textId="77777777" w:rsidR="00A97C01" w:rsidRPr="000A28AD" w:rsidRDefault="00E168E6" w:rsidP="00541E4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18"/>
                <w:szCs w:val="18"/>
              </w:rPr>
            </w:pPr>
            <w:r>
              <w:rPr>
                <w:rFonts w:ascii="Calibri" w:eastAsia="Times New Roman" w:hAnsi="Calibri" w:cs="Times New Roman"/>
                <w:b w:val="0"/>
                <w:color w:val="000000"/>
                <w:sz w:val="18"/>
                <w:szCs w:val="18"/>
              </w:rPr>
              <w:t>2</w:t>
            </w:r>
            <w:r w:rsidR="00A97C01" w:rsidRPr="000A28AD">
              <w:rPr>
                <w:rFonts w:ascii="Calibri" w:eastAsia="Times New Roman" w:hAnsi="Calibri" w:cs="Times New Roman"/>
                <w:b w:val="0"/>
                <w:color w:val="000000"/>
                <w:sz w:val="18"/>
                <w:szCs w:val="18"/>
              </w:rPr>
              <w:t>%</w:t>
            </w:r>
          </w:p>
        </w:tc>
        <w:tc>
          <w:tcPr>
            <w:tcW w:w="1334" w:type="dxa"/>
            <w:tcBorders>
              <w:top w:val="single" w:sz="4" w:space="0" w:color="auto"/>
            </w:tcBorders>
            <w:noWrap/>
            <w:hideMark/>
          </w:tcPr>
          <w:p w14:paraId="1BB91EE4" w14:textId="77777777" w:rsidR="00A97C01" w:rsidRPr="000A28AD" w:rsidRDefault="00E168E6" w:rsidP="00541E4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18"/>
                <w:szCs w:val="18"/>
              </w:rPr>
            </w:pPr>
            <w:r>
              <w:rPr>
                <w:rFonts w:ascii="Calibri" w:eastAsia="Times New Roman" w:hAnsi="Calibri" w:cs="Times New Roman"/>
                <w:b w:val="0"/>
                <w:color w:val="000000"/>
                <w:sz w:val="18"/>
                <w:szCs w:val="18"/>
              </w:rPr>
              <w:t>61</w:t>
            </w:r>
            <w:r w:rsidR="00A97C01" w:rsidRPr="000A28AD">
              <w:rPr>
                <w:rFonts w:ascii="Calibri" w:eastAsia="Times New Roman" w:hAnsi="Calibri" w:cs="Times New Roman"/>
                <w:b w:val="0"/>
                <w:color w:val="000000"/>
                <w:sz w:val="18"/>
                <w:szCs w:val="18"/>
              </w:rPr>
              <w:t>%</w:t>
            </w:r>
          </w:p>
        </w:tc>
        <w:tc>
          <w:tcPr>
            <w:tcW w:w="1350" w:type="dxa"/>
            <w:tcBorders>
              <w:top w:val="single" w:sz="4" w:space="0" w:color="auto"/>
            </w:tcBorders>
            <w:noWrap/>
            <w:hideMark/>
          </w:tcPr>
          <w:p w14:paraId="27E2BF96" w14:textId="77777777" w:rsidR="00A97C01" w:rsidRPr="000A28AD" w:rsidRDefault="00E168E6" w:rsidP="00541E4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18"/>
                <w:szCs w:val="18"/>
              </w:rPr>
            </w:pPr>
            <w:r>
              <w:rPr>
                <w:rFonts w:ascii="Calibri" w:eastAsia="Times New Roman" w:hAnsi="Calibri" w:cs="Times New Roman"/>
                <w:b w:val="0"/>
                <w:color w:val="000000"/>
                <w:sz w:val="18"/>
                <w:szCs w:val="18"/>
              </w:rPr>
              <w:t>11</w:t>
            </w:r>
            <w:r w:rsidR="00A97C01" w:rsidRPr="000A28AD">
              <w:rPr>
                <w:rFonts w:ascii="Calibri" w:eastAsia="Times New Roman" w:hAnsi="Calibri" w:cs="Times New Roman"/>
                <w:b w:val="0"/>
                <w:color w:val="000000"/>
                <w:sz w:val="18"/>
                <w:szCs w:val="18"/>
              </w:rPr>
              <w:t>%</w:t>
            </w:r>
          </w:p>
        </w:tc>
        <w:tc>
          <w:tcPr>
            <w:tcW w:w="1350" w:type="dxa"/>
            <w:tcBorders>
              <w:top w:val="single" w:sz="4" w:space="0" w:color="auto"/>
            </w:tcBorders>
            <w:noWrap/>
            <w:hideMark/>
          </w:tcPr>
          <w:p w14:paraId="40DC9E28" w14:textId="77777777" w:rsidR="00A97C01" w:rsidRPr="000A28AD" w:rsidRDefault="00E168E6" w:rsidP="00541E4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18"/>
                <w:szCs w:val="18"/>
              </w:rPr>
            </w:pPr>
            <w:r>
              <w:rPr>
                <w:rFonts w:ascii="Calibri" w:eastAsia="Times New Roman" w:hAnsi="Calibri" w:cs="Times New Roman"/>
                <w:b w:val="0"/>
                <w:color w:val="000000"/>
                <w:sz w:val="18"/>
                <w:szCs w:val="18"/>
              </w:rPr>
              <w:t>18</w:t>
            </w:r>
            <w:r w:rsidR="00A97C01" w:rsidRPr="000A28AD">
              <w:rPr>
                <w:rFonts w:ascii="Calibri" w:eastAsia="Times New Roman" w:hAnsi="Calibri" w:cs="Times New Roman"/>
                <w:b w:val="0"/>
                <w:color w:val="000000"/>
                <w:sz w:val="18"/>
                <w:szCs w:val="18"/>
              </w:rPr>
              <w:t>%</w:t>
            </w:r>
          </w:p>
        </w:tc>
        <w:tc>
          <w:tcPr>
            <w:tcW w:w="1350" w:type="dxa"/>
            <w:tcBorders>
              <w:top w:val="single" w:sz="4" w:space="0" w:color="auto"/>
            </w:tcBorders>
            <w:noWrap/>
            <w:hideMark/>
          </w:tcPr>
          <w:p w14:paraId="6AAC3501" w14:textId="77777777" w:rsidR="00A97C01" w:rsidRPr="000A28AD" w:rsidRDefault="00E168E6" w:rsidP="00541E4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18"/>
                <w:szCs w:val="18"/>
              </w:rPr>
            </w:pPr>
            <w:r>
              <w:rPr>
                <w:rFonts w:ascii="Calibri" w:eastAsia="Times New Roman" w:hAnsi="Calibri" w:cs="Times New Roman"/>
                <w:b w:val="0"/>
                <w:color w:val="000000"/>
                <w:sz w:val="18"/>
                <w:szCs w:val="18"/>
              </w:rPr>
              <w:t>2</w:t>
            </w:r>
            <w:r w:rsidR="00A97C01" w:rsidRPr="000A28AD">
              <w:rPr>
                <w:rFonts w:ascii="Calibri" w:eastAsia="Times New Roman" w:hAnsi="Calibri" w:cs="Times New Roman"/>
                <w:b w:val="0"/>
                <w:color w:val="000000"/>
                <w:sz w:val="18"/>
                <w:szCs w:val="18"/>
              </w:rPr>
              <w:t>%</w:t>
            </w:r>
          </w:p>
        </w:tc>
        <w:tc>
          <w:tcPr>
            <w:tcW w:w="1355" w:type="dxa"/>
            <w:tcBorders>
              <w:top w:val="single" w:sz="4" w:space="0" w:color="auto"/>
            </w:tcBorders>
            <w:noWrap/>
            <w:hideMark/>
          </w:tcPr>
          <w:p w14:paraId="6B7A4459" w14:textId="77777777" w:rsidR="00A97C01" w:rsidRPr="000A28AD" w:rsidRDefault="00391C69" w:rsidP="00541E4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18"/>
                <w:szCs w:val="18"/>
              </w:rPr>
            </w:pPr>
            <w:r>
              <w:rPr>
                <w:rFonts w:ascii="Calibri" w:eastAsia="Times New Roman" w:hAnsi="Calibri" w:cs="Times New Roman"/>
                <w:b w:val="0"/>
                <w:color w:val="000000"/>
                <w:sz w:val="18"/>
                <w:szCs w:val="18"/>
              </w:rPr>
              <w:t>6</w:t>
            </w:r>
            <w:r w:rsidR="00A97C01" w:rsidRPr="000A28AD">
              <w:rPr>
                <w:rFonts w:ascii="Calibri" w:eastAsia="Times New Roman" w:hAnsi="Calibri" w:cs="Times New Roman"/>
                <w:b w:val="0"/>
                <w:color w:val="000000"/>
                <w:sz w:val="18"/>
                <w:szCs w:val="18"/>
              </w:rPr>
              <w:t>%</w:t>
            </w:r>
          </w:p>
        </w:tc>
      </w:tr>
      <w:tr w:rsidR="00E647F4" w:rsidRPr="000F78D4" w14:paraId="69D2A288" w14:textId="77777777" w:rsidTr="000A28AD">
        <w:trPr>
          <w:cnfStyle w:val="100000000000" w:firstRow="1" w:lastRow="0" w:firstColumn="0" w:lastColumn="0" w:oddVBand="0" w:evenVBand="0" w:oddHBand="0" w:evenHBand="0" w:firstRowFirstColumn="0" w:firstRowLastColumn="0" w:lastRowFirstColumn="0" w:lastRowLastColumn="0"/>
          <w:trHeight w:val="144"/>
          <w:tblHeader/>
          <w:jc w:val="center"/>
        </w:trPr>
        <w:tc>
          <w:tcPr>
            <w:cnfStyle w:val="001000000000" w:firstRow="0" w:lastRow="0" w:firstColumn="1" w:lastColumn="0" w:oddVBand="0" w:evenVBand="0" w:oddHBand="0" w:evenHBand="0" w:firstRowFirstColumn="0" w:firstRowLastColumn="0" w:lastRowFirstColumn="0" w:lastRowLastColumn="0"/>
            <w:tcW w:w="2880" w:type="dxa"/>
            <w:tcBorders>
              <w:top w:val="nil"/>
              <w:bottom w:val="single" w:sz="4" w:space="0" w:color="auto"/>
              <w:right w:val="nil"/>
            </w:tcBorders>
            <w:noWrap/>
            <w:hideMark/>
          </w:tcPr>
          <w:p w14:paraId="3C4E821C" w14:textId="77777777" w:rsidR="00A97C01" w:rsidRPr="000A28AD" w:rsidRDefault="00A97C01" w:rsidP="00541E4C">
            <w:pPr>
              <w:rPr>
                <w:rFonts w:ascii="Calibri" w:eastAsia="Times New Roman" w:hAnsi="Calibri" w:cs="Times New Roman"/>
                <w:b w:val="0"/>
                <w:color w:val="000000"/>
                <w:sz w:val="18"/>
                <w:szCs w:val="18"/>
              </w:rPr>
            </w:pPr>
            <w:r w:rsidRPr="000A28AD">
              <w:rPr>
                <w:rFonts w:ascii="Calibri" w:eastAsia="Times New Roman" w:hAnsi="Calibri" w:cs="Times New Roman"/>
                <w:b w:val="0"/>
                <w:color w:val="000000"/>
                <w:sz w:val="18"/>
                <w:szCs w:val="18"/>
              </w:rPr>
              <w:t>Benefits per worker</w:t>
            </w:r>
          </w:p>
        </w:tc>
        <w:tc>
          <w:tcPr>
            <w:tcW w:w="902" w:type="dxa"/>
            <w:tcBorders>
              <w:left w:val="nil"/>
            </w:tcBorders>
            <w:noWrap/>
            <w:hideMark/>
          </w:tcPr>
          <w:p w14:paraId="2AE24A22" w14:textId="77777777" w:rsidR="00A97C01" w:rsidRPr="000A28AD" w:rsidRDefault="00E168E6" w:rsidP="00541E4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18"/>
                <w:szCs w:val="18"/>
              </w:rPr>
            </w:pPr>
            <w:r>
              <w:rPr>
                <w:rFonts w:ascii="Calibri" w:eastAsia="Times New Roman" w:hAnsi="Calibri" w:cs="Times New Roman"/>
                <w:b w:val="0"/>
                <w:color w:val="000000"/>
                <w:sz w:val="18"/>
                <w:szCs w:val="18"/>
              </w:rPr>
              <w:t>3</w:t>
            </w:r>
            <w:r w:rsidR="00A97C01" w:rsidRPr="000A28AD">
              <w:rPr>
                <w:rFonts w:ascii="Calibri" w:eastAsia="Times New Roman" w:hAnsi="Calibri" w:cs="Times New Roman"/>
                <w:b w:val="0"/>
                <w:color w:val="000000"/>
                <w:sz w:val="18"/>
                <w:szCs w:val="18"/>
              </w:rPr>
              <w:t>%</w:t>
            </w:r>
          </w:p>
        </w:tc>
        <w:tc>
          <w:tcPr>
            <w:tcW w:w="1334" w:type="dxa"/>
            <w:noWrap/>
            <w:hideMark/>
          </w:tcPr>
          <w:p w14:paraId="4642CBA6" w14:textId="77777777" w:rsidR="00A97C01" w:rsidRPr="000A28AD" w:rsidRDefault="00E168E6" w:rsidP="00541E4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18"/>
                <w:szCs w:val="18"/>
              </w:rPr>
            </w:pPr>
            <w:r>
              <w:rPr>
                <w:rFonts w:ascii="Calibri" w:eastAsia="Times New Roman" w:hAnsi="Calibri" w:cs="Times New Roman"/>
                <w:b w:val="0"/>
                <w:color w:val="000000"/>
                <w:sz w:val="18"/>
                <w:szCs w:val="18"/>
              </w:rPr>
              <w:t>67</w:t>
            </w:r>
            <w:r w:rsidR="00A97C01" w:rsidRPr="000A28AD">
              <w:rPr>
                <w:rFonts w:ascii="Calibri" w:eastAsia="Times New Roman" w:hAnsi="Calibri" w:cs="Times New Roman"/>
                <w:b w:val="0"/>
                <w:color w:val="000000"/>
                <w:sz w:val="18"/>
                <w:szCs w:val="18"/>
              </w:rPr>
              <w:t>%</w:t>
            </w:r>
          </w:p>
        </w:tc>
        <w:tc>
          <w:tcPr>
            <w:tcW w:w="1350" w:type="dxa"/>
            <w:noWrap/>
            <w:hideMark/>
          </w:tcPr>
          <w:p w14:paraId="0B8B7C38" w14:textId="77777777" w:rsidR="00A97C01" w:rsidRPr="000A28AD" w:rsidRDefault="00E168E6" w:rsidP="00541E4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18"/>
                <w:szCs w:val="18"/>
              </w:rPr>
            </w:pPr>
            <w:r>
              <w:rPr>
                <w:rFonts w:ascii="Calibri" w:eastAsia="Times New Roman" w:hAnsi="Calibri" w:cs="Times New Roman"/>
                <w:b w:val="0"/>
                <w:color w:val="000000"/>
                <w:sz w:val="18"/>
                <w:szCs w:val="18"/>
              </w:rPr>
              <w:t>10</w:t>
            </w:r>
            <w:r w:rsidR="00A97C01" w:rsidRPr="000A28AD">
              <w:rPr>
                <w:rFonts w:ascii="Calibri" w:eastAsia="Times New Roman" w:hAnsi="Calibri" w:cs="Times New Roman"/>
                <w:b w:val="0"/>
                <w:color w:val="000000"/>
                <w:sz w:val="18"/>
                <w:szCs w:val="18"/>
              </w:rPr>
              <w:t>%</w:t>
            </w:r>
          </w:p>
        </w:tc>
        <w:tc>
          <w:tcPr>
            <w:tcW w:w="1350" w:type="dxa"/>
            <w:noWrap/>
            <w:hideMark/>
          </w:tcPr>
          <w:p w14:paraId="01292CD1" w14:textId="77777777" w:rsidR="00A97C01" w:rsidRPr="000A28AD" w:rsidRDefault="00E168E6" w:rsidP="00541E4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18"/>
                <w:szCs w:val="18"/>
              </w:rPr>
            </w:pPr>
            <w:r>
              <w:rPr>
                <w:rFonts w:ascii="Calibri" w:eastAsia="Times New Roman" w:hAnsi="Calibri" w:cs="Times New Roman"/>
                <w:b w:val="0"/>
                <w:color w:val="000000"/>
                <w:sz w:val="18"/>
                <w:szCs w:val="18"/>
              </w:rPr>
              <w:t>13</w:t>
            </w:r>
            <w:r w:rsidR="00A97C01" w:rsidRPr="000A28AD">
              <w:rPr>
                <w:rFonts w:ascii="Calibri" w:eastAsia="Times New Roman" w:hAnsi="Calibri" w:cs="Times New Roman"/>
                <w:b w:val="0"/>
                <w:color w:val="000000"/>
                <w:sz w:val="18"/>
                <w:szCs w:val="18"/>
              </w:rPr>
              <w:t>%</w:t>
            </w:r>
          </w:p>
        </w:tc>
        <w:tc>
          <w:tcPr>
            <w:tcW w:w="1350" w:type="dxa"/>
            <w:noWrap/>
            <w:hideMark/>
          </w:tcPr>
          <w:p w14:paraId="23A8F172" w14:textId="77777777" w:rsidR="00A97C01" w:rsidRPr="000A28AD" w:rsidRDefault="008B5D54" w:rsidP="00541E4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18"/>
                <w:szCs w:val="18"/>
              </w:rPr>
            </w:pPr>
            <w:r>
              <w:rPr>
                <w:rFonts w:ascii="Calibri" w:eastAsia="Times New Roman" w:hAnsi="Calibri" w:cs="Times New Roman"/>
                <w:b w:val="0"/>
                <w:color w:val="000000"/>
                <w:sz w:val="18"/>
                <w:szCs w:val="18"/>
              </w:rPr>
              <w:t>5</w:t>
            </w:r>
            <w:r w:rsidR="00A97C01" w:rsidRPr="000A28AD">
              <w:rPr>
                <w:rFonts w:ascii="Calibri" w:eastAsia="Times New Roman" w:hAnsi="Calibri" w:cs="Times New Roman"/>
                <w:b w:val="0"/>
                <w:color w:val="000000"/>
                <w:sz w:val="18"/>
                <w:szCs w:val="18"/>
              </w:rPr>
              <w:t>%</w:t>
            </w:r>
          </w:p>
        </w:tc>
        <w:tc>
          <w:tcPr>
            <w:tcW w:w="1355" w:type="dxa"/>
            <w:noWrap/>
            <w:hideMark/>
          </w:tcPr>
          <w:p w14:paraId="234359A4" w14:textId="77777777" w:rsidR="00A97C01" w:rsidRPr="000A28AD" w:rsidRDefault="008B5D54" w:rsidP="00541E4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18"/>
                <w:szCs w:val="18"/>
              </w:rPr>
            </w:pPr>
            <w:r>
              <w:rPr>
                <w:rFonts w:ascii="Calibri" w:eastAsia="Times New Roman" w:hAnsi="Calibri" w:cs="Times New Roman"/>
                <w:b w:val="0"/>
                <w:color w:val="000000"/>
                <w:sz w:val="18"/>
                <w:szCs w:val="18"/>
              </w:rPr>
              <w:t>3</w:t>
            </w:r>
            <w:r w:rsidR="00A97C01" w:rsidRPr="000A28AD">
              <w:rPr>
                <w:rFonts w:ascii="Calibri" w:eastAsia="Times New Roman" w:hAnsi="Calibri" w:cs="Times New Roman"/>
                <w:b w:val="0"/>
                <w:color w:val="000000"/>
                <w:sz w:val="18"/>
                <w:szCs w:val="18"/>
              </w:rPr>
              <w:t>%</w:t>
            </w:r>
          </w:p>
        </w:tc>
      </w:tr>
    </w:tbl>
    <w:p w14:paraId="50B23B92" w14:textId="77777777" w:rsidR="00A97C01" w:rsidRDefault="00A97C01" w:rsidP="009B3DF5">
      <w:pPr>
        <w:spacing w:after="0" w:line="72" w:lineRule="auto"/>
      </w:pPr>
    </w:p>
    <w:tbl>
      <w:tblPr>
        <w:tblStyle w:val="PlainTable4"/>
        <w:tblW w:w="10530" w:type="dxa"/>
        <w:jc w:val="center"/>
        <w:tblBorders>
          <w:top w:val="single" w:sz="4" w:space="0" w:color="auto"/>
          <w:left w:val="single" w:sz="4" w:space="0" w:color="auto"/>
          <w:bottom w:val="single" w:sz="4" w:space="0" w:color="auto"/>
          <w:right w:val="single" w:sz="4" w:space="0" w:color="auto"/>
        </w:tblBorders>
        <w:tblLook w:val="06A0" w:firstRow="1" w:lastRow="0" w:firstColumn="1" w:lastColumn="0" w:noHBand="1" w:noVBand="1"/>
        <w:tblCaption w:val="Business Expectations for 2020"/>
        <w:tblDescription w:val="Minnesota business services firms expect unchanged or declining conditions for the coming year. Seventy-eight percent anticipate unchanged space occupied and 74 expect constant selling prices. Sixty-seven percent foresee unchanged labor availability. Nonetheless, nearly half of respondents expect a decline in profits while 43 percent anticipate a decline in sales revenue. All diffusion indexes were below 50 indicating contraction with profits showing the greatest decline at 34, compared to 62 the year before.&#10;"/>
      </w:tblPr>
      <w:tblGrid>
        <w:gridCol w:w="3775"/>
        <w:gridCol w:w="1440"/>
        <w:gridCol w:w="1350"/>
        <w:gridCol w:w="1260"/>
        <w:gridCol w:w="1350"/>
        <w:gridCol w:w="1355"/>
      </w:tblGrid>
      <w:tr w:rsidR="00A97C01" w:rsidRPr="000A28AD" w14:paraId="1AF6BEE5" w14:textId="77777777" w:rsidTr="00531B2D">
        <w:trPr>
          <w:cnfStyle w:val="100000000000" w:firstRow="1" w:lastRow="0" w:firstColumn="0" w:lastColumn="0" w:oddVBand="0" w:evenVBand="0" w:oddHBand="0" w:evenHBand="0" w:firstRowFirstColumn="0" w:firstRowLastColumn="0" w:lastRowFirstColumn="0" w:lastRowLastColumn="0"/>
          <w:trHeight w:val="144"/>
          <w:tblHeader/>
          <w:jc w:val="center"/>
        </w:trPr>
        <w:tc>
          <w:tcPr>
            <w:cnfStyle w:val="001000000000" w:firstRow="0" w:lastRow="0" w:firstColumn="1" w:lastColumn="0" w:oddVBand="0" w:evenVBand="0" w:oddHBand="0" w:evenHBand="0" w:firstRowFirstColumn="0" w:firstRowLastColumn="0" w:lastRowFirstColumn="0" w:lastRowLastColumn="0"/>
            <w:tcW w:w="3775" w:type="dxa"/>
            <w:tcBorders>
              <w:top w:val="single" w:sz="4" w:space="0" w:color="auto"/>
              <w:bottom w:val="single" w:sz="4" w:space="0" w:color="auto"/>
            </w:tcBorders>
            <w:shd w:val="clear" w:color="auto" w:fill="BDD6EE" w:themeFill="accent1" w:themeFillTint="66"/>
            <w:noWrap/>
            <w:hideMark/>
          </w:tcPr>
          <w:p w14:paraId="60A43172" w14:textId="77777777" w:rsidR="00A97C01" w:rsidRPr="000A28AD" w:rsidRDefault="008B5D54" w:rsidP="00541E4C">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Compared to 2020, during 2021 you expect your location:</w:t>
            </w:r>
          </w:p>
        </w:tc>
        <w:tc>
          <w:tcPr>
            <w:tcW w:w="1440" w:type="dxa"/>
            <w:tcBorders>
              <w:top w:val="single" w:sz="4" w:space="0" w:color="auto"/>
              <w:bottom w:val="single" w:sz="4" w:space="0" w:color="auto"/>
            </w:tcBorders>
            <w:shd w:val="clear" w:color="auto" w:fill="BDD6EE" w:themeFill="accent1" w:themeFillTint="66"/>
            <w:noWrap/>
            <w:hideMark/>
          </w:tcPr>
          <w:p w14:paraId="1609C15A" w14:textId="77777777" w:rsidR="00A97C01" w:rsidRPr="000A28AD" w:rsidRDefault="00A97C01" w:rsidP="00541E4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Up</w:t>
            </w:r>
          </w:p>
        </w:tc>
        <w:tc>
          <w:tcPr>
            <w:tcW w:w="1350" w:type="dxa"/>
            <w:tcBorders>
              <w:top w:val="single" w:sz="4" w:space="0" w:color="auto"/>
              <w:bottom w:val="single" w:sz="4" w:space="0" w:color="auto"/>
            </w:tcBorders>
            <w:shd w:val="clear" w:color="auto" w:fill="BDD6EE" w:themeFill="accent1" w:themeFillTint="66"/>
            <w:noWrap/>
            <w:hideMark/>
          </w:tcPr>
          <w:p w14:paraId="0F4B527F" w14:textId="77777777" w:rsidR="00A97C01" w:rsidRPr="000A28AD" w:rsidRDefault="00A97C01" w:rsidP="00541E4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Same</w:t>
            </w:r>
          </w:p>
        </w:tc>
        <w:tc>
          <w:tcPr>
            <w:tcW w:w="1260" w:type="dxa"/>
            <w:tcBorders>
              <w:top w:val="single" w:sz="4" w:space="0" w:color="auto"/>
              <w:bottom w:val="single" w:sz="4" w:space="0" w:color="auto"/>
            </w:tcBorders>
            <w:shd w:val="clear" w:color="auto" w:fill="BDD6EE" w:themeFill="accent1" w:themeFillTint="66"/>
            <w:noWrap/>
            <w:hideMark/>
          </w:tcPr>
          <w:p w14:paraId="57A87979" w14:textId="77777777" w:rsidR="00A97C01" w:rsidRPr="000A28AD" w:rsidRDefault="00A97C01" w:rsidP="00541E4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Down</w:t>
            </w:r>
          </w:p>
        </w:tc>
        <w:tc>
          <w:tcPr>
            <w:tcW w:w="1350" w:type="dxa"/>
            <w:tcBorders>
              <w:top w:val="single" w:sz="4" w:space="0" w:color="auto"/>
              <w:bottom w:val="single" w:sz="4" w:space="0" w:color="auto"/>
            </w:tcBorders>
            <w:shd w:val="clear" w:color="auto" w:fill="BDD6EE" w:themeFill="accent1" w:themeFillTint="66"/>
            <w:noWrap/>
            <w:hideMark/>
          </w:tcPr>
          <w:p w14:paraId="7548FEA8" w14:textId="77777777" w:rsidR="00A97C01" w:rsidRPr="000A28AD" w:rsidRDefault="008B5D54" w:rsidP="00541E4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Diffusion Index 2021</w:t>
            </w:r>
            <w:r w:rsidR="00AE0EFF" w:rsidRPr="000A28AD">
              <w:rPr>
                <w:rFonts w:ascii="Calibri" w:eastAsia="Times New Roman" w:hAnsi="Calibri" w:cs="Times New Roman"/>
                <w:color w:val="000000"/>
                <w:sz w:val="18"/>
                <w:szCs w:val="18"/>
                <w:vertAlign w:val="superscript"/>
              </w:rPr>
              <w:t>(2)</w:t>
            </w:r>
          </w:p>
        </w:tc>
        <w:tc>
          <w:tcPr>
            <w:tcW w:w="1355" w:type="dxa"/>
            <w:tcBorders>
              <w:top w:val="single" w:sz="4" w:space="0" w:color="auto"/>
              <w:bottom w:val="single" w:sz="4" w:space="0" w:color="auto"/>
            </w:tcBorders>
            <w:shd w:val="clear" w:color="auto" w:fill="BDD6EE" w:themeFill="accent1" w:themeFillTint="66"/>
            <w:noWrap/>
            <w:hideMark/>
          </w:tcPr>
          <w:p w14:paraId="0C5E5BDC" w14:textId="77777777" w:rsidR="00A97C01" w:rsidRPr="000A28AD" w:rsidRDefault="008B5D54" w:rsidP="00541E4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Diffusion Index 2020</w:t>
            </w:r>
            <w:r w:rsidR="00AE0EFF" w:rsidRPr="000A28AD">
              <w:rPr>
                <w:rFonts w:ascii="Calibri" w:eastAsia="Times New Roman" w:hAnsi="Calibri" w:cs="Times New Roman"/>
                <w:color w:val="000000"/>
                <w:sz w:val="18"/>
                <w:szCs w:val="18"/>
                <w:vertAlign w:val="superscript"/>
              </w:rPr>
              <w:t>(2)</w:t>
            </w:r>
          </w:p>
        </w:tc>
      </w:tr>
      <w:tr w:rsidR="00391C69" w:rsidRPr="000A28AD" w14:paraId="545F7929" w14:textId="77777777" w:rsidTr="00531B2D">
        <w:trPr>
          <w:trHeight w:val="144"/>
          <w:jc w:val="center"/>
        </w:trPr>
        <w:tc>
          <w:tcPr>
            <w:cnfStyle w:val="001000000000" w:firstRow="0" w:lastRow="0" w:firstColumn="1" w:lastColumn="0" w:oddVBand="0" w:evenVBand="0" w:oddHBand="0" w:evenHBand="0" w:firstRowFirstColumn="0" w:firstRowLastColumn="0" w:lastRowFirstColumn="0" w:lastRowLastColumn="0"/>
            <w:tcW w:w="3775" w:type="dxa"/>
            <w:tcBorders>
              <w:top w:val="single" w:sz="4" w:space="0" w:color="auto"/>
            </w:tcBorders>
            <w:noWrap/>
            <w:hideMark/>
          </w:tcPr>
          <w:p w14:paraId="070624F9" w14:textId="77777777" w:rsidR="00391C69" w:rsidRPr="000A28AD" w:rsidRDefault="008B5D54" w:rsidP="00391C69">
            <w:pPr>
              <w:rPr>
                <w:rFonts w:ascii="Calibri" w:eastAsia="Times New Roman" w:hAnsi="Calibri" w:cs="Times New Roman"/>
                <w:b w:val="0"/>
                <w:color w:val="000000"/>
                <w:sz w:val="18"/>
                <w:szCs w:val="18"/>
              </w:rPr>
            </w:pPr>
            <w:r>
              <w:rPr>
                <w:rFonts w:ascii="Calibri" w:eastAsia="Times New Roman" w:hAnsi="Calibri" w:cs="Times New Roman"/>
                <w:b w:val="0"/>
                <w:color w:val="000000"/>
                <w:sz w:val="18"/>
                <w:szCs w:val="18"/>
              </w:rPr>
              <w:t>Number of orders</w:t>
            </w:r>
          </w:p>
        </w:tc>
        <w:tc>
          <w:tcPr>
            <w:tcW w:w="1440" w:type="dxa"/>
            <w:tcBorders>
              <w:top w:val="single" w:sz="4" w:space="0" w:color="auto"/>
            </w:tcBorders>
            <w:noWrap/>
            <w:hideMark/>
          </w:tcPr>
          <w:p w14:paraId="11C50667" w14:textId="77777777" w:rsidR="00391C69" w:rsidRPr="000A28AD" w:rsidRDefault="008B5D54"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53</w:t>
            </w:r>
            <w:r w:rsidR="00391C69" w:rsidRPr="000A28AD">
              <w:rPr>
                <w:rFonts w:ascii="Calibri" w:eastAsia="Times New Roman" w:hAnsi="Calibri" w:cs="Times New Roman"/>
                <w:color w:val="000000"/>
                <w:sz w:val="18"/>
                <w:szCs w:val="18"/>
              </w:rPr>
              <w:t>%</w:t>
            </w:r>
          </w:p>
        </w:tc>
        <w:tc>
          <w:tcPr>
            <w:tcW w:w="1350" w:type="dxa"/>
            <w:tcBorders>
              <w:top w:val="single" w:sz="4" w:space="0" w:color="auto"/>
            </w:tcBorders>
            <w:noWrap/>
            <w:hideMark/>
          </w:tcPr>
          <w:p w14:paraId="4E935BC2" w14:textId="77777777" w:rsidR="00391C69" w:rsidRPr="000A28AD" w:rsidRDefault="008B5D54"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27</w:t>
            </w:r>
            <w:r w:rsidR="00391C69" w:rsidRPr="000A28AD">
              <w:rPr>
                <w:rFonts w:ascii="Calibri" w:eastAsia="Times New Roman" w:hAnsi="Calibri" w:cs="Times New Roman"/>
                <w:color w:val="000000"/>
                <w:sz w:val="18"/>
                <w:szCs w:val="18"/>
              </w:rPr>
              <w:t>%</w:t>
            </w:r>
          </w:p>
        </w:tc>
        <w:tc>
          <w:tcPr>
            <w:tcW w:w="1260" w:type="dxa"/>
            <w:tcBorders>
              <w:top w:val="single" w:sz="4" w:space="0" w:color="auto"/>
            </w:tcBorders>
            <w:noWrap/>
            <w:hideMark/>
          </w:tcPr>
          <w:p w14:paraId="0634001D" w14:textId="77777777" w:rsidR="00391C69" w:rsidRPr="000A28AD" w:rsidRDefault="008B5D54"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21</w:t>
            </w:r>
            <w:r w:rsidR="00391C69" w:rsidRPr="000A28AD">
              <w:rPr>
                <w:rFonts w:ascii="Calibri" w:eastAsia="Times New Roman" w:hAnsi="Calibri" w:cs="Times New Roman"/>
                <w:color w:val="000000"/>
                <w:sz w:val="18"/>
                <w:szCs w:val="18"/>
              </w:rPr>
              <w:t>%</w:t>
            </w:r>
          </w:p>
        </w:tc>
        <w:tc>
          <w:tcPr>
            <w:tcW w:w="1350" w:type="dxa"/>
            <w:tcBorders>
              <w:top w:val="single" w:sz="4" w:space="0" w:color="auto"/>
            </w:tcBorders>
            <w:noWrap/>
            <w:hideMark/>
          </w:tcPr>
          <w:p w14:paraId="13F51BD3" w14:textId="77777777" w:rsidR="00391C69" w:rsidRPr="000A28AD" w:rsidRDefault="008B5D54"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67</w:t>
            </w:r>
          </w:p>
        </w:tc>
        <w:tc>
          <w:tcPr>
            <w:tcW w:w="1355" w:type="dxa"/>
            <w:tcBorders>
              <w:top w:val="single" w:sz="4" w:space="0" w:color="auto"/>
            </w:tcBorders>
            <w:noWrap/>
            <w:hideMark/>
          </w:tcPr>
          <w:p w14:paraId="3D392579" w14:textId="77777777" w:rsidR="00391C69" w:rsidRPr="000A28AD" w:rsidRDefault="008B5D54"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69</w:t>
            </w:r>
          </w:p>
        </w:tc>
      </w:tr>
      <w:tr w:rsidR="00391C69" w:rsidRPr="000A28AD" w14:paraId="38B33131" w14:textId="77777777" w:rsidTr="00531B2D">
        <w:trPr>
          <w:trHeight w:val="144"/>
          <w:jc w:val="center"/>
        </w:trPr>
        <w:tc>
          <w:tcPr>
            <w:cnfStyle w:val="001000000000" w:firstRow="0" w:lastRow="0" w:firstColumn="1" w:lastColumn="0" w:oddVBand="0" w:evenVBand="0" w:oddHBand="0" w:evenHBand="0" w:firstRowFirstColumn="0" w:firstRowLastColumn="0" w:lastRowFirstColumn="0" w:lastRowLastColumn="0"/>
            <w:tcW w:w="3775" w:type="dxa"/>
            <w:noWrap/>
            <w:hideMark/>
          </w:tcPr>
          <w:p w14:paraId="6DB7EA71" w14:textId="77777777" w:rsidR="00391C69" w:rsidRPr="000A28AD" w:rsidRDefault="008B5D54" w:rsidP="00391C69">
            <w:pPr>
              <w:rPr>
                <w:rFonts w:ascii="Calibri" w:eastAsia="Times New Roman" w:hAnsi="Calibri" w:cs="Times New Roman"/>
                <w:b w:val="0"/>
                <w:color w:val="000000"/>
                <w:sz w:val="18"/>
                <w:szCs w:val="18"/>
              </w:rPr>
            </w:pPr>
            <w:r>
              <w:rPr>
                <w:rFonts w:ascii="Calibri" w:eastAsia="Times New Roman" w:hAnsi="Calibri" w:cs="Times New Roman"/>
                <w:b w:val="0"/>
                <w:color w:val="000000"/>
                <w:sz w:val="18"/>
                <w:szCs w:val="18"/>
              </w:rPr>
              <w:t>Production level</w:t>
            </w:r>
          </w:p>
        </w:tc>
        <w:tc>
          <w:tcPr>
            <w:tcW w:w="1440" w:type="dxa"/>
            <w:noWrap/>
            <w:hideMark/>
          </w:tcPr>
          <w:p w14:paraId="43A9D501" w14:textId="77777777" w:rsidR="00391C69" w:rsidRPr="000A28AD" w:rsidRDefault="008B5D54"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40</w:t>
            </w:r>
            <w:r w:rsidR="00391C69" w:rsidRPr="000A28AD">
              <w:rPr>
                <w:rFonts w:ascii="Calibri" w:eastAsia="Times New Roman" w:hAnsi="Calibri" w:cs="Times New Roman"/>
                <w:color w:val="000000"/>
                <w:sz w:val="18"/>
                <w:szCs w:val="18"/>
              </w:rPr>
              <w:t>%</w:t>
            </w:r>
          </w:p>
        </w:tc>
        <w:tc>
          <w:tcPr>
            <w:tcW w:w="1350" w:type="dxa"/>
            <w:noWrap/>
            <w:hideMark/>
          </w:tcPr>
          <w:p w14:paraId="655D6D30" w14:textId="77777777" w:rsidR="00391C69" w:rsidRPr="000A28AD" w:rsidRDefault="008B5D54"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42</w:t>
            </w:r>
            <w:r w:rsidR="00391C69" w:rsidRPr="000A28AD">
              <w:rPr>
                <w:rFonts w:ascii="Calibri" w:eastAsia="Times New Roman" w:hAnsi="Calibri" w:cs="Times New Roman"/>
                <w:color w:val="000000"/>
                <w:sz w:val="18"/>
                <w:szCs w:val="18"/>
              </w:rPr>
              <w:t>%</w:t>
            </w:r>
          </w:p>
        </w:tc>
        <w:tc>
          <w:tcPr>
            <w:tcW w:w="1260" w:type="dxa"/>
            <w:noWrap/>
            <w:hideMark/>
          </w:tcPr>
          <w:p w14:paraId="4C32C4DF" w14:textId="77777777" w:rsidR="00391C69" w:rsidRPr="000A28AD" w:rsidRDefault="008B5D54"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18</w:t>
            </w:r>
            <w:r w:rsidR="00391C69" w:rsidRPr="000A28AD">
              <w:rPr>
                <w:rFonts w:ascii="Calibri" w:eastAsia="Times New Roman" w:hAnsi="Calibri" w:cs="Times New Roman"/>
                <w:color w:val="000000"/>
                <w:sz w:val="18"/>
                <w:szCs w:val="18"/>
              </w:rPr>
              <w:t>%</w:t>
            </w:r>
          </w:p>
        </w:tc>
        <w:tc>
          <w:tcPr>
            <w:tcW w:w="1350" w:type="dxa"/>
            <w:noWrap/>
            <w:hideMark/>
          </w:tcPr>
          <w:p w14:paraId="52B77135" w14:textId="77777777" w:rsidR="00391C69" w:rsidRPr="000A28AD" w:rsidRDefault="008B5D54"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61</w:t>
            </w:r>
          </w:p>
        </w:tc>
        <w:tc>
          <w:tcPr>
            <w:tcW w:w="1355" w:type="dxa"/>
            <w:noWrap/>
            <w:hideMark/>
          </w:tcPr>
          <w:p w14:paraId="627EE20E" w14:textId="77777777" w:rsidR="00391C69" w:rsidRPr="000A28AD" w:rsidRDefault="008B5D54"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69</w:t>
            </w:r>
          </w:p>
        </w:tc>
      </w:tr>
      <w:tr w:rsidR="00391C69" w:rsidRPr="000A28AD" w14:paraId="16C04EA2" w14:textId="77777777" w:rsidTr="00531B2D">
        <w:trPr>
          <w:trHeight w:val="144"/>
          <w:jc w:val="center"/>
        </w:trPr>
        <w:tc>
          <w:tcPr>
            <w:cnfStyle w:val="001000000000" w:firstRow="0" w:lastRow="0" w:firstColumn="1" w:lastColumn="0" w:oddVBand="0" w:evenVBand="0" w:oddHBand="0" w:evenHBand="0" w:firstRowFirstColumn="0" w:firstRowLastColumn="0" w:lastRowFirstColumn="0" w:lastRowLastColumn="0"/>
            <w:tcW w:w="3775" w:type="dxa"/>
            <w:noWrap/>
            <w:hideMark/>
          </w:tcPr>
          <w:p w14:paraId="4D72F32D" w14:textId="77777777" w:rsidR="00391C69" w:rsidRPr="000A28AD" w:rsidRDefault="008B5D54" w:rsidP="00391C69">
            <w:pPr>
              <w:rPr>
                <w:rFonts w:ascii="Calibri" w:eastAsia="Times New Roman" w:hAnsi="Calibri" w:cs="Times New Roman"/>
                <w:b w:val="0"/>
                <w:color w:val="000000"/>
                <w:sz w:val="18"/>
                <w:szCs w:val="18"/>
              </w:rPr>
            </w:pPr>
            <w:r>
              <w:rPr>
                <w:rFonts w:ascii="Calibri" w:eastAsia="Times New Roman" w:hAnsi="Calibri" w:cs="Times New Roman"/>
                <w:b w:val="0"/>
                <w:color w:val="000000"/>
                <w:sz w:val="18"/>
                <w:szCs w:val="18"/>
              </w:rPr>
              <w:t>Employment level</w:t>
            </w:r>
          </w:p>
        </w:tc>
        <w:tc>
          <w:tcPr>
            <w:tcW w:w="1440" w:type="dxa"/>
            <w:noWrap/>
            <w:hideMark/>
          </w:tcPr>
          <w:p w14:paraId="4DE7DF09" w14:textId="77777777" w:rsidR="00391C69" w:rsidRPr="000A28AD" w:rsidRDefault="008B5D54"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37</w:t>
            </w:r>
            <w:r w:rsidR="00391C69" w:rsidRPr="000A28AD">
              <w:rPr>
                <w:rFonts w:ascii="Calibri" w:eastAsia="Times New Roman" w:hAnsi="Calibri" w:cs="Times New Roman"/>
                <w:color w:val="000000"/>
                <w:sz w:val="18"/>
                <w:szCs w:val="18"/>
              </w:rPr>
              <w:t>%</w:t>
            </w:r>
          </w:p>
        </w:tc>
        <w:tc>
          <w:tcPr>
            <w:tcW w:w="1350" w:type="dxa"/>
            <w:noWrap/>
            <w:hideMark/>
          </w:tcPr>
          <w:p w14:paraId="5364465E" w14:textId="77777777" w:rsidR="00391C69" w:rsidRPr="000A28AD" w:rsidRDefault="008B5D54"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51</w:t>
            </w:r>
            <w:r w:rsidR="00391C69" w:rsidRPr="000A28AD">
              <w:rPr>
                <w:rFonts w:ascii="Calibri" w:eastAsia="Times New Roman" w:hAnsi="Calibri" w:cs="Times New Roman"/>
                <w:color w:val="000000"/>
                <w:sz w:val="18"/>
                <w:szCs w:val="18"/>
              </w:rPr>
              <w:t>%</w:t>
            </w:r>
          </w:p>
        </w:tc>
        <w:tc>
          <w:tcPr>
            <w:tcW w:w="1260" w:type="dxa"/>
            <w:noWrap/>
            <w:hideMark/>
          </w:tcPr>
          <w:p w14:paraId="48EC65C8" w14:textId="77777777" w:rsidR="00391C69" w:rsidRPr="000A28AD" w:rsidRDefault="008B5D54"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13</w:t>
            </w:r>
            <w:r w:rsidR="00391C69" w:rsidRPr="000A28AD">
              <w:rPr>
                <w:rFonts w:ascii="Calibri" w:eastAsia="Times New Roman" w:hAnsi="Calibri" w:cs="Times New Roman"/>
                <w:color w:val="000000"/>
                <w:sz w:val="18"/>
                <w:szCs w:val="18"/>
              </w:rPr>
              <w:t>%</w:t>
            </w:r>
          </w:p>
        </w:tc>
        <w:tc>
          <w:tcPr>
            <w:tcW w:w="1350" w:type="dxa"/>
            <w:noWrap/>
            <w:hideMark/>
          </w:tcPr>
          <w:p w14:paraId="30097722" w14:textId="77777777" w:rsidR="00391C69" w:rsidRPr="000A28AD" w:rsidRDefault="008B5D54"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63</w:t>
            </w:r>
          </w:p>
        </w:tc>
        <w:tc>
          <w:tcPr>
            <w:tcW w:w="1355" w:type="dxa"/>
            <w:noWrap/>
            <w:hideMark/>
          </w:tcPr>
          <w:p w14:paraId="762C2625" w14:textId="77777777" w:rsidR="00391C69" w:rsidRPr="000A28AD" w:rsidRDefault="008B5D54"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61</w:t>
            </w:r>
          </w:p>
        </w:tc>
      </w:tr>
      <w:tr w:rsidR="00391C69" w:rsidRPr="000A28AD" w14:paraId="3C2D7786" w14:textId="77777777" w:rsidTr="00531B2D">
        <w:trPr>
          <w:trHeight w:val="144"/>
          <w:jc w:val="center"/>
        </w:trPr>
        <w:tc>
          <w:tcPr>
            <w:cnfStyle w:val="001000000000" w:firstRow="0" w:lastRow="0" w:firstColumn="1" w:lastColumn="0" w:oddVBand="0" w:evenVBand="0" w:oddHBand="0" w:evenHBand="0" w:firstRowFirstColumn="0" w:firstRowLastColumn="0" w:lastRowFirstColumn="0" w:lastRowLastColumn="0"/>
            <w:tcW w:w="3775" w:type="dxa"/>
            <w:noWrap/>
            <w:hideMark/>
          </w:tcPr>
          <w:p w14:paraId="6A95539F" w14:textId="77777777" w:rsidR="00391C69" w:rsidRPr="000A28AD" w:rsidRDefault="008B5D54" w:rsidP="00391C69">
            <w:pPr>
              <w:rPr>
                <w:rFonts w:ascii="Calibri" w:eastAsia="Times New Roman" w:hAnsi="Calibri" w:cs="Times New Roman"/>
                <w:b w:val="0"/>
                <w:color w:val="000000"/>
                <w:sz w:val="18"/>
                <w:szCs w:val="18"/>
              </w:rPr>
            </w:pPr>
            <w:r>
              <w:rPr>
                <w:rFonts w:ascii="Calibri" w:eastAsia="Times New Roman" w:hAnsi="Calibri" w:cs="Times New Roman"/>
                <w:b w:val="0"/>
                <w:color w:val="000000"/>
                <w:sz w:val="18"/>
                <w:szCs w:val="18"/>
              </w:rPr>
              <w:t>Labor availability</w:t>
            </w:r>
          </w:p>
        </w:tc>
        <w:tc>
          <w:tcPr>
            <w:tcW w:w="1440" w:type="dxa"/>
            <w:noWrap/>
            <w:hideMark/>
          </w:tcPr>
          <w:p w14:paraId="7DB5F27E" w14:textId="77777777" w:rsidR="00391C69" w:rsidRPr="000A28AD" w:rsidRDefault="008B5D54"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11</w:t>
            </w:r>
            <w:r w:rsidR="00391C69" w:rsidRPr="000A28AD">
              <w:rPr>
                <w:rFonts w:ascii="Calibri" w:eastAsia="Times New Roman" w:hAnsi="Calibri" w:cs="Times New Roman"/>
                <w:color w:val="000000"/>
                <w:sz w:val="18"/>
                <w:szCs w:val="18"/>
              </w:rPr>
              <w:t>%</w:t>
            </w:r>
          </w:p>
        </w:tc>
        <w:tc>
          <w:tcPr>
            <w:tcW w:w="1350" w:type="dxa"/>
            <w:noWrap/>
            <w:hideMark/>
          </w:tcPr>
          <w:p w14:paraId="4824D604" w14:textId="77777777" w:rsidR="00391C69" w:rsidRPr="000A28AD" w:rsidRDefault="008B5D54"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57</w:t>
            </w:r>
            <w:r w:rsidR="00391C69" w:rsidRPr="000A28AD">
              <w:rPr>
                <w:rFonts w:ascii="Calibri" w:eastAsia="Times New Roman" w:hAnsi="Calibri" w:cs="Times New Roman"/>
                <w:color w:val="000000"/>
                <w:sz w:val="18"/>
                <w:szCs w:val="18"/>
              </w:rPr>
              <w:t>%</w:t>
            </w:r>
          </w:p>
        </w:tc>
        <w:tc>
          <w:tcPr>
            <w:tcW w:w="1260" w:type="dxa"/>
            <w:noWrap/>
            <w:hideMark/>
          </w:tcPr>
          <w:p w14:paraId="4833363D" w14:textId="77777777" w:rsidR="00391C69" w:rsidRPr="000A28AD" w:rsidRDefault="008B5D54"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33</w:t>
            </w:r>
            <w:r w:rsidR="00391C69" w:rsidRPr="000A28AD">
              <w:rPr>
                <w:rFonts w:ascii="Calibri" w:eastAsia="Times New Roman" w:hAnsi="Calibri" w:cs="Times New Roman"/>
                <w:color w:val="000000"/>
                <w:sz w:val="18"/>
                <w:szCs w:val="18"/>
              </w:rPr>
              <w:t>%</w:t>
            </w:r>
          </w:p>
        </w:tc>
        <w:tc>
          <w:tcPr>
            <w:tcW w:w="1350" w:type="dxa"/>
            <w:noWrap/>
            <w:hideMark/>
          </w:tcPr>
          <w:p w14:paraId="6FB49361" w14:textId="77777777" w:rsidR="00391C69" w:rsidRPr="000A28AD" w:rsidRDefault="008B5D54"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40</w:t>
            </w:r>
          </w:p>
        </w:tc>
        <w:tc>
          <w:tcPr>
            <w:tcW w:w="1355" w:type="dxa"/>
            <w:noWrap/>
            <w:hideMark/>
          </w:tcPr>
          <w:p w14:paraId="7D86EC8A" w14:textId="77777777" w:rsidR="00391C69" w:rsidRPr="000A28AD" w:rsidRDefault="008B5D54"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n/a</w:t>
            </w:r>
          </w:p>
        </w:tc>
      </w:tr>
      <w:tr w:rsidR="00391C69" w:rsidRPr="000A28AD" w14:paraId="57A26348" w14:textId="77777777" w:rsidTr="00531B2D">
        <w:trPr>
          <w:trHeight w:val="144"/>
          <w:jc w:val="center"/>
        </w:trPr>
        <w:tc>
          <w:tcPr>
            <w:cnfStyle w:val="001000000000" w:firstRow="0" w:lastRow="0" w:firstColumn="1" w:lastColumn="0" w:oddVBand="0" w:evenVBand="0" w:oddHBand="0" w:evenHBand="0" w:firstRowFirstColumn="0" w:firstRowLastColumn="0" w:lastRowFirstColumn="0" w:lastRowLastColumn="0"/>
            <w:tcW w:w="3775" w:type="dxa"/>
            <w:noWrap/>
            <w:hideMark/>
          </w:tcPr>
          <w:p w14:paraId="374F203A" w14:textId="77777777" w:rsidR="00391C69" w:rsidRPr="000A28AD" w:rsidRDefault="008B5D54" w:rsidP="00391C69">
            <w:pPr>
              <w:rPr>
                <w:rFonts w:ascii="Calibri" w:eastAsia="Times New Roman" w:hAnsi="Calibri" w:cs="Times New Roman"/>
                <w:b w:val="0"/>
                <w:color w:val="000000"/>
                <w:sz w:val="18"/>
                <w:szCs w:val="18"/>
              </w:rPr>
            </w:pPr>
            <w:r>
              <w:rPr>
                <w:rFonts w:ascii="Calibri" w:eastAsia="Times New Roman" w:hAnsi="Calibri" w:cs="Times New Roman"/>
                <w:b w:val="0"/>
                <w:color w:val="000000"/>
                <w:sz w:val="18"/>
                <w:szCs w:val="18"/>
              </w:rPr>
              <w:t>Investment plant/equipment</w:t>
            </w:r>
          </w:p>
        </w:tc>
        <w:tc>
          <w:tcPr>
            <w:tcW w:w="1440" w:type="dxa"/>
            <w:noWrap/>
            <w:hideMark/>
          </w:tcPr>
          <w:p w14:paraId="71943506" w14:textId="77777777" w:rsidR="00391C69" w:rsidRPr="000A28AD" w:rsidRDefault="008B5D54"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24</w:t>
            </w:r>
            <w:r w:rsidR="00391C69" w:rsidRPr="000A28AD">
              <w:rPr>
                <w:rFonts w:ascii="Calibri" w:eastAsia="Times New Roman" w:hAnsi="Calibri" w:cs="Times New Roman"/>
                <w:color w:val="000000"/>
                <w:sz w:val="18"/>
                <w:szCs w:val="18"/>
              </w:rPr>
              <w:t>%</w:t>
            </w:r>
          </w:p>
        </w:tc>
        <w:tc>
          <w:tcPr>
            <w:tcW w:w="1350" w:type="dxa"/>
            <w:noWrap/>
            <w:hideMark/>
          </w:tcPr>
          <w:p w14:paraId="5DC30CDB" w14:textId="77777777" w:rsidR="00391C69" w:rsidRPr="000A28AD" w:rsidRDefault="008B5D54"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55</w:t>
            </w:r>
            <w:r w:rsidR="00391C69" w:rsidRPr="000A28AD">
              <w:rPr>
                <w:rFonts w:ascii="Calibri" w:eastAsia="Times New Roman" w:hAnsi="Calibri" w:cs="Times New Roman"/>
                <w:color w:val="000000"/>
                <w:sz w:val="18"/>
                <w:szCs w:val="18"/>
              </w:rPr>
              <w:t>%</w:t>
            </w:r>
          </w:p>
        </w:tc>
        <w:tc>
          <w:tcPr>
            <w:tcW w:w="1260" w:type="dxa"/>
            <w:noWrap/>
            <w:hideMark/>
          </w:tcPr>
          <w:p w14:paraId="1ED11A22" w14:textId="77777777" w:rsidR="00391C69" w:rsidRPr="000A28AD" w:rsidRDefault="00965C6D"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22</w:t>
            </w:r>
            <w:r w:rsidR="00391C69" w:rsidRPr="000A28AD">
              <w:rPr>
                <w:rFonts w:ascii="Calibri" w:eastAsia="Times New Roman" w:hAnsi="Calibri" w:cs="Times New Roman"/>
                <w:color w:val="000000"/>
                <w:sz w:val="18"/>
                <w:szCs w:val="18"/>
              </w:rPr>
              <w:t>%</w:t>
            </w:r>
          </w:p>
        </w:tc>
        <w:tc>
          <w:tcPr>
            <w:tcW w:w="1350" w:type="dxa"/>
            <w:noWrap/>
            <w:hideMark/>
          </w:tcPr>
          <w:p w14:paraId="56E44565" w14:textId="77777777" w:rsidR="00391C69" w:rsidRPr="000A28AD" w:rsidRDefault="00965C6D"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52</w:t>
            </w:r>
          </w:p>
        </w:tc>
        <w:tc>
          <w:tcPr>
            <w:tcW w:w="1355" w:type="dxa"/>
            <w:noWrap/>
            <w:hideMark/>
          </w:tcPr>
          <w:p w14:paraId="0E4712A1" w14:textId="77777777" w:rsidR="00391C69" w:rsidRPr="000A28AD" w:rsidRDefault="008B5D54"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59</w:t>
            </w:r>
          </w:p>
        </w:tc>
      </w:tr>
      <w:tr w:rsidR="00391C69" w:rsidRPr="000A28AD" w14:paraId="011A1136" w14:textId="77777777" w:rsidTr="00531B2D">
        <w:trPr>
          <w:trHeight w:val="144"/>
          <w:jc w:val="center"/>
        </w:trPr>
        <w:tc>
          <w:tcPr>
            <w:cnfStyle w:val="001000000000" w:firstRow="0" w:lastRow="0" w:firstColumn="1" w:lastColumn="0" w:oddVBand="0" w:evenVBand="0" w:oddHBand="0" w:evenHBand="0" w:firstRowFirstColumn="0" w:firstRowLastColumn="0" w:lastRowFirstColumn="0" w:lastRowLastColumn="0"/>
            <w:tcW w:w="3775" w:type="dxa"/>
            <w:noWrap/>
            <w:hideMark/>
          </w:tcPr>
          <w:p w14:paraId="0BC7B539" w14:textId="77777777" w:rsidR="00391C69" w:rsidRPr="000A28AD" w:rsidRDefault="008B5D54" w:rsidP="00391C69">
            <w:pPr>
              <w:rPr>
                <w:rFonts w:ascii="Calibri" w:eastAsia="Times New Roman" w:hAnsi="Calibri" w:cs="Times New Roman"/>
                <w:b w:val="0"/>
                <w:color w:val="000000"/>
                <w:sz w:val="18"/>
                <w:szCs w:val="18"/>
              </w:rPr>
            </w:pPr>
            <w:r>
              <w:rPr>
                <w:rFonts w:ascii="Calibri" w:eastAsia="Times New Roman" w:hAnsi="Calibri" w:cs="Times New Roman"/>
                <w:b w:val="0"/>
                <w:color w:val="000000"/>
                <w:sz w:val="18"/>
                <w:szCs w:val="18"/>
              </w:rPr>
              <w:t>Selling prices</w:t>
            </w:r>
            <w:r>
              <w:rPr>
                <w:rFonts w:ascii="Calibri" w:eastAsia="Times New Roman" w:hAnsi="Calibri" w:cs="Times New Roman"/>
                <w:b w:val="0"/>
                <w:color w:val="000000"/>
                <w:sz w:val="18"/>
                <w:szCs w:val="18"/>
              </w:rPr>
              <w:br/>
              <w:t>Profits</w:t>
            </w:r>
          </w:p>
        </w:tc>
        <w:tc>
          <w:tcPr>
            <w:tcW w:w="1440" w:type="dxa"/>
            <w:noWrap/>
            <w:hideMark/>
          </w:tcPr>
          <w:p w14:paraId="07800D0C" w14:textId="77777777" w:rsidR="00391C69" w:rsidRPr="000A28AD" w:rsidRDefault="008B5D54"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36</w:t>
            </w:r>
            <w:r w:rsidR="00391C69" w:rsidRPr="000A28AD">
              <w:rPr>
                <w:rFonts w:ascii="Calibri" w:eastAsia="Times New Roman" w:hAnsi="Calibri" w:cs="Times New Roman"/>
                <w:color w:val="000000"/>
                <w:sz w:val="18"/>
                <w:szCs w:val="18"/>
              </w:rPr>
              <w:t>%</w:t>
            </w:r>
            <w:r>
              <w:rPr>
                <w:rFonts w:ascii="Calibri" w:eastAsia="Times New Roman" w:hAnsi="Calibri" w:cs="Times New Roman"/>
                <w:color w:val="000000"/>
                <w:sz w:val="18"/>
                <w:szCs w:val="18"/>
              </w:rPr>
              <w:br/>
              <w:t>32</w:t>
            </w:r>
            <w:r w:rsidR="00391C69">
              <w:rPr>
                <w:rFonts w:ascii="Calibri" w:eastAsia="Times New Roman" w:hAnsi="Calibri" w:cs="Times New Roman"/>
                <w:color w:val="000000"/>
                <w:sz w:val="18"/>
                <w:szCs w:val="18"/>
              </w:rPr>
              <w:t>%</w:t>
            </w:r>
          </w:p>
        </w:tc>
        <w:tc>
          <w:tcPr>
            <w:tcW w:w="1350" w:type="dxa"/>
            <w:noWrap/>
            <w:hideMark/>
          </w:tcPr>
          <w:p w14:paraId="568147D2" w14:textId="77777777" w:rsidR="00391C69" w:rsidRPr="000A28AD" w:rsidRDefault="008B5D54"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55</w:t>
            </w:r>
            <w:r w:rsidR="00391C69" w:rsidRPr="000A28AD">
              <w:rPr>
                <w:rFonts w:ascii="Calibri" w:eastAsia="Times New Roman" w:hAnsi="Calibri" w:cs="Times New Roman"/>
                <w:color w:val="000000"/>
                <w:sz w:val="18"/>
                <w:szCs w:val="18"/>
              </w:rPr>
              <w:t>%</w:t>
            </w:r>
            <w:r>
              <w:rPr>
                <w:rFonts w:ascii="Calibri" w:eastAsia="Times New Roman" w:hAnsi="Calibri" w:cs="Times New Roman"/>
                <w:color w:val="000000"/>
                <w:sz w:val="18"/>
                <w:szCs w:val="18"/>
              </w:rPr>
              <w:br/>
              <w:t>3</w:t>
            </w:r>
            <w:r w:rsidR="00391C69">
              <w:rPr>
                <w:rFonts w:ascii="Calibri" w:eastAsia="Times New Roman" w:hAnsi="Calibri" w:cs="Times New Roman"/>
                <w:color w:val="000000"/>
                <w:sz w:val="18"/>
                <w:szCs w:val="18"/>
              </w:rPr>
              <w:t>8%</w:t>
            </w:r>
          </w:p>
        </w:tc>
        <w:tc>
          <w:tcPr>
            <w:tcW w:w="1260" w:type="dxa"/>
            <w:noWrap/>
            <w:hideMark/>
          </w:tcPr>
          <w:p w14:paraId="38AD218D" w14:textId="77777777" w:rsidR="00391C69" w:rsidRPr="000A28AD" w:rsidRDefault="008B5D54" w:rsidP="008B5D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10</w:t>
            </w:r>
            <w:r w:rsidR="00391C69" w:rsidRPr="000A28AD">
              <w:rPr>
                <w:rFonts w:ascii="Calibri" w:eastAsia="Times New Roman" w:hAnsi="Calibri" w:cs="Times New Roman"/>
                <w:color w:val="000000"/>
                <w:sz w:val="18"/>
                <w:szCs w:val="18"/>
              </w:rPr>
              <w:t>%</w:t>
            </w:r>
            <w:r>
              <w:rPr>
                <w:rFonts w:ascii="Calibri" w:eastAsia="Times New Roman" w:hAnsi="Calibri" w:cs="Times New Roman"/>
                <w:color w:val="000000"/>
                <w:sz w:val="18"/>
                <w:szCs w:val="18"/>
              </w:rPr>
              <w:br/>
              <w:t>31</w:t>
            </w:r>
            <w:r w:rsidR="00391C69">
              <w:rPr>
                <w:rFonts w:ascii="Calibri" w:eastAsia="Times New Roman" w:hAnsi="Calibri" w:cs="Times New Roman"/>
                <w:color w:val="000000"/>
                <w:sz w:val="18"/>
                <w:szCs w:val="18"/>
              </w:rPr>
              <w:t>%</w:t>
            </w:r>
          </w:p>
        </w:tc>
        <w:tc>
          <w:tcPr>
            <w:tcW w:w="1350" w:type="dxa"/>
            <w:noWrap/>
            <w:hideMark/>
          </w:tcPr>
          <w:p w14:paraId="64ECE507" w14:textId="77777777" w:rsidR="00391C69" w:rsidRPr="000A28AD" w:rsidRDefault="008B5D54"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64</w:t>
            </w:r>
            <w:r>
              <w:rPr>
                <w:rFonts w:ascii="Calibri" w:eastAsia="Times New Roman" w:hAnsi="Calibri" w:cs="Times New Roman"/>
                <w:color w:val="000000"/>
                <w:sz w:val="18"/>
                <w:szCs w:val="18"/>
              </w:rPr>
              <w:br/>
              <w:t>51</w:t>
            </w:r>
          </w:p>
        </w:tc>
        <w:tc>
          <w:tcPr>
            <w:tcW w:w="1355" w:type="dxa"/>
            <w:noWrap/>
            <w:hideMark/>
          </w:tcPr>
          <w:p w14:paraId="6F1B3055" w14:textId="77777777" w:rsidR="00391C69" w:rsidRPr="000A28AD" w:rsidRDefault="008B5D54"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68</w:t>
            </w:r>
            <w:r>
              <w:rPr>
                <w:rFonts w:ascii="Calibri" w:eastAsia="Times New Roman" w:hAnsi="Calibri" w:cs="Times New Roman"/>
                <w:color w:val="000000"/>
                <w:sz w:val="18"/>
                <w:szCs w:val="18"/>
              </w:rPr>
              <w:br/>
              <w:t>63</w:t>
            </w:r>
          </w:p>
        </w:tc>
      </w:tr>
      <w:tr w:rsidR="00391C69" w:rsidRPr="000A28AD" w14:paraId="4AED8B58" w14:textId="77777777" w:rsidTr="00531B2D">
        <w:trPr>
          <w:trHeight w:val="144"/>
          <w:jc w:val="center"/>
        </w:trPr>
        <w:tc>
          <w:tcPr>
            <w:cnfStyle w:val="001000000000" w:firstRow="0" w:lastRow="0" w:firstColumn="1" w:lastColumn="0" w:oddVBand="0" w:evenVBand="0" w:oddHBand="0" w:evenHBand="0" w:firstRowFirstColumn="0" w:firstRowLastColumn="0" w:lastRowFirstColumn="0" w:lastRowLastColumn="0"/>
            <w:tcW w:w="3775" w:type="dxa"/>
            <w:noWrap/>
            <w:hideMark/>
          </w:tcPr>
          <w:p w14:paraId="6013007C" w14:textId="77777777" w:rsidR="00391C69" w:rsidRPr="000A28AD" w:rsidRDefault="008B5D54" w:rsidP="00391C69">
            <w:pPr>
              <w:rPr>
                <w:rFonts w:ascii="Calibri" w:eastAsia="Times New Roman" w:hAnsi="Calibri" w:cs="Times New Roman"/>
                <w:b w:val="0"/>
                <w:color w:val="000000"/>
                <w:sz w:val="18"/>
                <w:szCs w:val="18"/>
              </w:rPr>
            </w:pPr>
            <w:r>
              <w:rPr>
                <w:rFonts w:ascii="Calibri" w:eastAsia="Times New Roman" w:hAnsi="Calibri" w:cs="Times New Roman"/>
                <w:b w:val="0"/>
                <w:color w:val="000000"/>
                <w:sz w:val="18"/>
                <w:szCs w:val="18"/>
              </w:rPr>
              <w:t>Productivity</w:t>
            </w:r>
          </w:p>
        </w:tc>
        <w:tc>
          <w:tcPr>
            <w:tcW w:w="1440" w:type="dxa"/>
            <w:noWrap/>
            <w:hideMark/>
          </w:tcPr>
          <w:p w14:paraId="540673E8" w14:textId="77777777" w:rsidR="00391C69" w:rsidRPr="000A28AD" w:rsidRDefault="00391C69"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3</w:t>
            </w:r>
            <w:r w:rsidR="008B5D54">
              <w:rPr>
                <w:rFonts w:ascii="Calibri" w:eastAsia="Times New Roman" w:hAnsi="Calibri" w:cs="Times New Roman"/>
                <w:color w:val="000000"/>
                <w:sz w:val="18"/>
                <w:szCs w:val="18"/>
              </w:rPr>
              <w:t>4</w:t>
            </w:r>
            <w:r w:rsidRPr="000A28AD">
              <w:rPr>
                <w:rFonts w:ascii="Calibri" w:eastAsia="Times New Roman" w:hAnsi="Calibri" w:cs="Times New Roman"/>
                <w:color w:val="000000"/>
                <w:sz w:val="18"/>
                <w:szCs w:val="18"/>
              </w:rPr>
              <w:t>%</w:t>
            </w:r>
          </w:p>
        </w:tc>
        <w:tc>
          <w:tcPr>
            <w:tcW w:w="1350" w:type="dxa"/>
            <w:noWrap/>
            <w:hideMark/>
          </w:tcPr>
          <w:p w14:paraId="16996EF0" w14:textId="77777777" w:rsidR="00391C69" w:rsidRPr="000A28AD" w:rsidRDefault="008B5D54"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51</w:t>
            </w:r>
            <w:r w:rsidR="00391C69" w:rsidRPr="000A28AD">
              <w:rPr>
                <w:rFonts w:ascii="Calibri" w:eastAsia="Times New Roman" w:hAnsi="Calibri" w:cs="Times New Roman"/>
                <w:color w:val="000000"/>
                <w:sz w:val="18"/>
                <w:szCs w:val="18"/>
              </w:rPr>
              <w:t>%</w:t>
            </w:r>
          </w:p>
        </w:tc>
        <w:tc>
          <w:tcPr>
            <w:tcW w:w="1260" w:type="dxa"/>
            <w:noWrap/>
            <w:hideMark/>
          </w:tcPr>
          <w:p w14:paraId="1741B6FF" w14:textId="77777777" w:rsidR="00391C69" w:rsidRPr="000A28AD" w:rsidRDefault="008B5D54"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15</w:t>
            </w:r>
            <w:r w:rsidR="00391C69" w:rsidRPr="000A28AD">
              <w:rPr>
                <w:rFonts w:ascii="Calibri" w:eastAsia="Times New Roman" w:hAnsi="Calibri" w:cs="Times New Roman"/>
                <w:color w:val="000000"/>
                <w:sz w:val="18"/>
                <w:szCs w:val="18"/>
              </w:rPr>
              <w:t>%</w:t>
            </w:r>
          </w:p>
        </w:tc>
        <w:tc>
          <w:tcPr>
            <w:tcW w:w="1350" w:type="dxa"/>
            <w:noWrap/>
            <w:hideMark/>
          </w:tcPr>
          <w:p w14:paraId="4F1604E4" w14:textId="77777777" w:rsidR="00391C69" w:rsidRPr="000A28AD" w:rsidRDefault="008B5D54"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60</w:t>
            </w:r>
          </w:p>
        </w:tc>
        <w:tc>
          <w:tcPr>
            <w:tcW w:w="1355" w:type="dxa"/>
            <w:noWrap/>
            <w:hideMark/>
          </w:tcPr>
          <w:p w14:paraId="1AC677C5" w14:textId="77777777" w:rsidR="00391C69" w:rsidRPr="000A28AD" w:rsidRDefault="008B5D54"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68</w:t>
            </w:r>
          </w:p>
        </w:tc>
      </w:tr>
      <w:tr w:rsidR="00391C69" w:rsidRPr="000A28AD" w14:paraId="1B54DE0C" w14:textId="77777777" w:rsidTr="00531B2D">
        <w:trPr>
          <w:trHeight w:val="144"/>
          <w:jc w:val="center"/>
        </w:trPr>
        <w:tc>
          <w:tcPr>
            <w:cnfStyle w:val="001000000000" w:firstRow="0" w:lastRow="0" w:firstColumn="1" w:lastColumn="0" w:oddVBand="0" w:evenVBand="0" w:oddHBand="0" w:evenHBand="0" w:firstRowFirstColumn="0" w:firstRowLastColumn="0" w:lastRowFirstColumn="0" w:lastRowLastColumn="0"/>
            <w:tcW w:w="3775" w:type="dxa"/>
            <w:noWrap/>
            <w:hideMark/>
          </w:tcPr>
          <w:p w14:paraId="16079373" w14:textId="77777777" w:rsidR="00391C69" w:rsidRPr="00174C4B" w:rsidRDefault="00391C69" w:rsidP="00391C69">
            <w:pPr>
              <w:rPr>
                <w:rFonts w:ascii="Calibri" w:eastAsia="Times New Roman" w:hAnsi="Calibri" w:cs="Times New Roman"/>
                <w:b w:val="0"/>
                <w:color w:val="000000"/>
                <w:sz w:val="18"/>
                <w:szCs w:val="18"/>
              </w:rPr>
            </w:pPr>
            <w:r w:rsidRPr="00174C4B">
              <w:rPr>
                <w:rFonts w:eastAsia="Times New Roman" w:cs="Times New Roman"/>
                <w:b w:val="0"/>
                <w:color w:val="000000"/>
                <w:sz w:val="18"/>
                <w:szCs w:val="18"/>
              </w:rPr>
              <w:t>Exports (sales for foreign clients)</w:t>
            </w:r>
          </w:p>
        </w:tc>
        <w:tc>
          <w:tcPr>
            <w:tcW w:w="1440" w:type="dxa"/>
            <w:noWrap/>
            <w:hideMark/>
          </w:tcPr>
          <w:p w14:paraId="3BB06C82" w14:textId="77777777" w:rsidR="00391C69" w:rsidRPr="000A28AD" w:rsidRDefault="008B5D54"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16</w:t>
            </w:r>
            <w:r w:rsidR="00391C69" w:rsidRPr="000A28AD">
              <w:rPr>
                <w:rFonts w:ascii="Calibri" w:eastAsia="Times New Roman" w:hAnsi="Calibri" w:cs="Times New Roman"/>
                <w:color w:val="000000"/>
                <w:sz w:val="18"/>
                <w:szCs w:val="18"/>
              </w:rPr>
              <w:t>%</w:t>
            </w:r>
          </w:p>
        </w:tc>
        <w:tc>
          <w:tcPr>
            <w:tcW w:w="1350" w:type="dxa"/>
            <w:noWrap/>
            <w:hideMark/>
          </w:tcPr>
          <w:p w14:paraId="7A3F86DF" w14:textId="77777777" w:rsidR="00391C69" w:rsidRPr="000A28AD" w:rsidRDefault="008B5D54"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72</w:t>
            </w:r>
            <w:r w:rsidR="00391C69" w:rsidRPr="000A28AD">
              <w:rPr>
                <w:rFonts w:ascii="Calibri" w:eastAsia="Times New Roman" w:hAnsi="Calibri" w:cs="Times New Roman"/>
                <w:color w:val="000000"/>
                <w:sz w:val="18"/>
                <w:szCs w:val="18"/>
              </w:rPr>
              <w:t>%</w:t>
            </w:r>
          </w:p>
        </w:tc>
        <w:tc>
          <w:tcPr>
            <w:tcW w:w="1260" w:type="dxa"/>
            <w:noWrap/>
            <w:hideMark/>
          </w:tcPr>
          <w:p w14:paraId="72261C6F" w14:textId="77777777" w:rsidR="00391C69" w:rsidRPr="000A28AD" w:rsidRDefault="008B5D54"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13</w:t>
            </w:r>
            <w:r w:rsidR="00391C69" w:rsidRPr="000A28AD">
              <w:rPr>
                <w:rFonts w:ascii="Calibri" w:eastAsia="Times New Roman" w:hAnsi="Calibri" w:cs="Times New Roman"/>
                <w:color w:val="000000"/>
                <w:sz w:val="18"/>
                <w:szCs w:val="18"/>
              </w:rPr>
              <w:t>%</w:t>
            </w:r>
          </w:p>
        </w:tc>
        <w:tc>
          <w:tcPr>
            <w:tcW w:w="1350" w:type="dxa"/>
            <w:noWrap/>
            <w:hideMark/>
          </w:tcPr>
          <w:p w14:paraId="3B1DBF3E" w14:textId="77777777" w:rsidR="00391C69" w:rsidRPr="000A28AD" w:rsidRDefault="008B5D54"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52</w:t>
            </w:r>
          </w:p>
        </w:tc>
        <w:tc>
          <w:tcPr>
            <w:tcW w:w="1355" w:type="dxa"/>
            <w:noWrap/>
            <w:hideMark/>
          </w:tcPr>
          <w:p w14:paraId="7F3E7D2B" w14:textId="77777777" w:rsidR="00391C69" w:rsidRPr="000A28AD" w:rsidRDefault="008B5D54"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52</w:t>
            </w:r>
          </w:p>
        </w:tc>
      </w:tr>
    </w:tbl>
    <w:p w14:paraId="21D73CEA" w14:textId="77777777" w:rsidR="00A97C01" w:rsidRPr="000A28AD" w:rsidRDefault="00A97C01" w:rsidP="009B3DF5">
      <w:pPr>
        <w:spacing w:after="0" w:line="72" w:lineRule="auto"/>
        <w:rPr>
          <w:sz w:val="18"/>
          <w:szCs w:val="18"/>
        </w:rPr>
      </w:pPr>
    </w:p>
    <w:tbl>
      <w:tblPr>
        <w:tblStyle w:val="PlainTable4"/>
        <w:tblW w:w="10526" w:type="dxa"/>
        <w:jc w:val="center"/>
        <w:tblBorders>
          <w:top w:val="single" w:sz="4" w:space="0" w:color="auto"/>
          <w:left w:val="single" w:sz="4" w:space="0" w:color="auto"/>
          <w:bottom w:val="single" w:sz="4" w:space="0" w:color="auto"/>
          <w:right w:val="single" w:sz="4" w:space="0" w:color="auto"/>
        </w:tblBorders>
        <w:tblLook w:val="0620" w:firstRow="1" w:lastRow="0" w:firstColumn="0" w:lastColumn="0" w:noHBand="1" w:noVBand="1"/>
        <w:tblCaption w:val="Indicators for Labor Indicators Expectations Following Year"/>
        <w:tblDescription w:val="Table showing that 42 percent of respondents expecting no changes in wages per worker. Sixty-three percent expect no changes in benefits per worker."/>
      </w:tblPr>
      <w:tblGrid>
        <w:gridCol w:w="2885"/>
        <w:gridCol w:w="902"/>
        <w:gridCol w:w="1334"/>
        <w:gridCol w:w="1440"/>
        <w:gridCol w:w="1170"/>
        <w:gridCol w:w="1350"/>
        <w:gridCol w:w="1445"/>
      </w:tblGrid>
      <w:tr w:rsidR="00E647F4" w:rsidRPr="00C2294E" w14:paraId="212865F5" w14:textId="77777777" w:rsidTr="000A28AD">
        <w:trPr>
          <w:cnfStyle w:val="100000000000" w:firstRow="1" w:lastRow="0" w:firstColumn="0" w:lastColumn="0" w:oddVBand="0" w:evenVBand="0" w:oddHBand="0" w:evenHBand="0" w:firstRowFirstColumn="0" w:firstRowLastColumn="0" w:lastRowFirstColumn="0" w:lastRowLastColumn="0"/>
          <w:trHeight w:val="144"/>
          <w:tblHeader/>
          <w:jc w:val="center"/>
        </w:trPr>
        <w:tc>
          <w:tcPr>
            <w:tcW w:w="2885" w:type="dxa"/>
            <w:tcBorders>
              <w:top w:val="single" w:sz="4" w:space="0" w:color="auto"/>
              <w:bottom w:val="single" w:sz="4" w:space="0" w:color="auto"/>
            </w:tcBorders>
            <w:shd w:val="clear" w:color="auto" w:fill="BDD6EE" w:themeFill="accent1" w:themeFillTint="66"/>
            <w:noWrap/>
            <w:hideMark/>
          </w:tcPr>
          <w:p w14:paraId="5948AC95" w14:textId="77777777" w:rsidR="00A97C01" w:rsidRPr="000A28AD" w:rsidRDefault="000A28AD" w:rsidP="000A28AD">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Expected l</w:t>
            </w:r>
            <w:r w:rsidR="00722892" w:rsidRPr="000A28AD">
              <w:rPr>
                <w:rFonts w:ascii="Calibri" w:eastAsia="Times New Roman" w:hAnsi="Calibri" w:cs="Times New Roman"/>
                <w:color w:val="000000"/>
                <w:sz w:val="18"/>
                <w:szCs w:val="18"/>
              </w:rPr>
              <w:t>abor i</w:t>
            </w:r>
            <w:r w:rsidR="0023223B">
              <w:rPr>
                <w:rFonts w:ascii="Calibri" w:eastAsia="Times New Roman" w:hAnsi="Calibri" w:cs="Times New Roman"/>
                <w:color w:val="000000"/>
                <w:sz w:val="18"/>
                <w:szCs w:val="18"/>
              </w:rPr>
              <w:t>ndi</w:t>
            </w:r>
            <w:r w:rsidR="00391C69">
              <w:rPr>
                <w:rFonts w:ascii="Calibri" w:eastAsia="Times New Roman" w:hAnsi="Calibri" w:cs="Times New Roman"/>
                <w:color w:val="000000"/>
                <w:sz w:val="18"/>
                <w:szCs w:val="18"/>
              </w:rPr>
              <w:t>cators during next four quarters</w:t>
            </w:r>
            <w:r w:rsidR="00531B2D" w:rsidRPr="000A28AD">
              <w:rPr>
                <w:rFonts w:ascii="Calibri" w:eastAsia="Times New Roman" w:hAnsi="Calibri" w:cs="Times New Roman"/>
                <w:color w:val="000000"/>
                <w:sz w:val="18"/>
                <w:szCs w:val="18"/>
              </w:rPr>
              <w:t>:</w:t>
            </w:r>
          </w:p>
        </w:tc>
        <w:tc>
          <w:tcPr>
            <w:tcW w:w="902" w:type="dxa"/>
            <w:tcBorders>
              <w:top w:val="single" w:sz="4" w:space="0" w:color="auto"/>
              <w:bottom w:val="single" w:sz="4" w:space="0" w:color="auto"/>
            </w:tcBorders>
            <w:shd w:val="clear" w:color="auto" w:fill="BDD6EE" w:themeFill="accent1" w:themeFillTint="66"/>
            <w:noWrap/>
            <w:hideMark/>
          </w:tcPr>
          <w:p w14:paraId="5411A638" w14:textId="77777777" w:rsidR="00A97C01" w:rsidRPr="000A28AD" w:rsidRDefault="00A97C01" w:rsidP="00541E4C">
            <w:pPr>
              <w:jc w:val="center"/>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Decrease</w:t>
            </w:r>
          </w:p>
        </w:tc>
        <w:tc>
          <w:tcPr>
            <w:tcW w:w="1334" w:type="dxa"/>
            <w:tcBorders>
              <w:top w:val="single" w:sz="4" w:space="0" w:color="auto"/>
              <w:bottom w:val="single" w:sz="4" w:space="0" w:color="auto"/>
            </w:tcBorders>
            <w:shd w:val="clear" w:color="auto" w:fill="BDD6EE" w:themeFill="accent1" w:themeFillTint="66"/>
            <w:noWrap/>
            <w:hideMark/>
          </w:tcPr>
          <w:p w14:paraId="4422A73B" w14:textId="77777777" w:rsidR="00A97C01" w:rsidRPr="000A28AD" w:rsidRDefault="00A97C01" w:rsidP="00541E4C">
            <w:pPr>
              <w:jc w:val="center"/>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0</w:t>
            </w:r>
          </w:p>
        </w:tc>
        <w:tc>
          <w:tcPr>
            <w:tcW w:w="1440" w:type="dxa"/>
            <w:tcBorders>
              <w:top w:val="single" w:sz="4" w:space="0" w:color="auto"/>
              <w:bottom w:val="single" w:sz="4" w:space="0" w:color="auto"/>
            </w:tcBorders>
            <w:shd w:val="clear" w:color="auto" w:fill="BDD6EE" w:themeFill="accent1" w:themeFillTint="66"/>
            <w:noWrap/>
            <w:hideMark/>
          </w:tcPr>
          <w:p w14:paraId="00766A10" w14:textId="77777777" w:rsidR="00A97C01" w:rsidRPr="000A28AD" w:rsidRDefault="00A97C01" w:rsidP="00541E4C">
            <w:pPr>
              <w:jc w:val="center"/>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1-2%</w:t>
            </w:r>
          </w:p>
        </w:tc>
        <w:tc>
          <w:tcPr>
            <w:tcW w:w="1170" w:type="dxa"/>
            <w:tcBorders>
              <w:top w:val="single" w:sz="4" w:space="0" w:color="auto"/>
              <w:bottom w:val="single" w:sz="4" w:space="0" w:color="auto"/>
            </w:tcBorders>
            <w:shd w:val="clear" w:color="auto" w:fill="BDD6EE" w:themeFill="accent1" w:themeFillTint="66"/>
            <w:noWrap/>
            <w:hideMark/>
          </w:tcPr>
          <w:p w14:paraId="59CFA34E" w14:textId="77777777" w:rsidR="00A97C01" w:rsidRPr="000A28AD" w:rsidRDefault="00A97C01" w:rsidP="00541E4C">
            <w:pPr>
              <w:jc w:val="center"/>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3-5%</w:t>
            </w:r>
          </w:p>
        </w:tc>
        <w:tc>
          <w:tcPr>
            <w:tcW w:w="1350" w:type="dxa"/>
            <w:tcBorders>
              <w:top w:val="single" w:sz="4" w:space="0" w:color="auto"/>
              <w:bottom w:val="single" w:sz="4" w:space="0" w:color="auto"/>
            </w:tcBorders>
            <w:shd w:val="clear" w:color="auto" w:fill="BDD6EE" w:themeFill="accent1" w:themeFillTint="66"/>
            <w:noWrap/>
            <w:hideMark/>
          </w:tcPr>
          <w:p w14:paraId="0DB8C9B9" w14:textId="77777777" w:rsidR="00A97C01" w:rsidRPr="000A28AD" w:rsidRDefault="00A97C01" w:rsidP="00541E4C">
            <w:pPr>
              <w:jc w:val="center"/>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6-9%</w:t>
            </w:r>
          </w:p>
        </w:tc>
        <w:tc>
          <w:tcPr>
            <w:tcW w:w="1445" w:type="dxa"/>
            <w:tcBorders>
              <w:top w:val="single" w:sz="4" w:space="0" w:color="auto"/>
              <w:bottom w:val="single" w:sz="4" w:space="0" w:color="auto"/>
            </w:tcBorders>
            <w:shd w:val="clear" w:color="auto" w:fill="BDD6EE" w:themeFill="accent1" w:themeFillTint="66"/>
            <w:noWrap/>
            <w:hideMark/>
          </w:tcPr>
          <w:p w14:paraId="051F69BF" w14:textId="77777777" w:rsidR="00A97C01" w:rsidRPr="000A28AD" w:rsidRDefault="00A97C01" w:rsidP="00541E4C">
            <w:pPr>
              <w:jc w:val="center"/>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&gt;10%</w:t>
            </w:r>
          </w:p>
        </w:tc>
      </w:tr>
      <w:tr w:rsidR="00E647F4" w:rsidRPr="00C2294E" w14:paraId="0C017EA0" w14:textId="77777777" w:rsidTr="000A28AD">
        <w:trPr>
          <w:trHeight w:val="144"/>
          <w:jc w:val="center"/>
        </w:trPr>
        <w:tc>
          <w:tcPr>
            <w:tcW w:w="2885" w:type="dxa"/>
            <w:tcBorders>
              <w:top w:val="single" w:sz="4" w:space="0" w:color="auto"/>
            </w:tcBorders>
            <w:noWrap/>
            <w:hideMark/>
          </w:tcPr>
          <w:p w14:paraId="25DC29DE" w14:textId="77777777" w:rsidR="00A97C01" w:rsidRPr="000A28AD" w:rsidRDefault="00A97C01" w:rsidP="00541E4C">
            <w:pPr>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Wages per worker</w:t>
            </w:r>
          </w:p>
        </w:tc>
        <w:tc>
          <w:tcPr>
            <w:tcW w:w="902" w:type="dxa"/>
            <w:tcBorders>
              <w:top w:val="single" w:sz="4" w:space="0" w:color="auto"/>
            </w:tcBorders>
            <w:noWrap/>
            <w:hideMark/>
          </w:tcPr>
          <w:p w14:paraId="0A3EF687" w14:textId="77777777" w:rsidR="00A97C01" w:rsidRPr="000A28AD" w:rsidRDefault="003F67FA" w:rsidP="00391C6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w:t>
            </w:r>
            <w:r w:rsidR="00A97C01" w:rsidRPr="000A28AD">
              <w:rPr>
                <w:rFonts w:ascii="Calibri" w:eastAsia="Times New Roman" w:hAnsi="Calibri" w:cs="Times New Roman"/>
                <w:color w:val="000000"/>
                <w:sz w:val="18"/>
                <w:szCs w:val="18"/>
              </w:rPr>
              <w:t>%</w:t>
            </w:r>
          </w:p>
        </w:tc>
        <w:tc>
          <w:tcPr>
            <w:tcW w:w="1334" w:type="dxa"/>
            <w:tcBorders>
              <w:top w:val="single" w:sz="4" w:space="0" w:color="auto"/>
            </w:tcBorders>
            <w:noWrap/>
            <w:hideMark/>
          </w:tcPr>
          <w:p w14:paraId="2C845A75" w14:textId="77777777" w:rsidR="00A97C01" w:rsidRPr="000A28AD" w:rsidRDefault="003F67FA" w:rsidP="00541E4C">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59</w:t>
            </w:r>
            <w:r w:rsidR="00A97C01" w:rsidRPr="000A28AD">
              <w:rPr>
                <w:rFonts w:ascii="Calibri" w:eastAsia="Times New Roman" w:hAnsi="Calibri" w:cs="Times New Roman"/>
                <w:color w:val="000000"/>
                <w:sz w:val="18"/>
                <w:szCs w:val="18"/>
              </w:rPr>
              <w:t>%</w:t>
            </w:r>
          </w:p>
        </w:tc>
        <w:tc>
          <w:tcPr>
            <w:tcW w:w="1440" w:type="dxa"/>
            <w:tcBorders>
              <w:top w:val="single" w:sz="4" w:space="0" w:color="auto"/>
            </w:tcBorders>
            <w:noWrap/>
            <w:hideMark/>
          </w:tcPr>
          <w:p w14:paraId="6C8F03EE" w14:textId="77777777" w:rsidR="00A97C01" w:rsidRPr="000A28AD" w:rsidRDefault="00391C69" w:rsidP="003F67FA">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w:t>
            </w:r>
            <w:r w:rsidR="003F67FA">
              <w:rPr>
                <w:rFonts w:ascii="Calibri" w:eastAsia="Times New Roman" w:hAnsi="Calibri" w:cs="Times New Roman"/>
                <w:color w:val="000000"/>
                <w:sz w:val="18"/>
                <w:szCs w:val="18"/>
              </w:rPr>
              <w:t>4</w:t>
            </w:r>
            <w:r w:rsidR="00A97C01" w:rsidRPr="000A28AD">
              <w:rPr>
                <w:rFonts w:ascii="Calibri" w:eastAsia="Times New Roman" w:hAnsi="Calibri" w:cs="Times New Roman"/>
                <w:color w:val="000000"/>
                <w:sz w:val="18"/>
                <w:szCs w:val="18"/>
              </w:rPr>
              <w:t>%</w:t>
            </w:r>
          </w:p>
        </w:tc>
        <w:tc>
          <w:tcPr>
            <w:tcW w:w="1170" w:type="dxa"/>
            <w:tcBorders>
              <w:top w:val="single" w:sz="4" w:space="0" w:color="auto"/>
            </w:tcBorders>
            <w:noWrap/>
            <w:hideMark/>
          </w:tcPr>
          <w:p w14:paraId="4596C1F7" w14:textId="77777777" w:rsidR="00A97C01" w:rsidRPr="000A28AD" w:rsidRDefault="00391C69" w:rsidP="00541E4C">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22</w:t>
            </w:r>
            <w:r w:rsidR="00A97C01" w:rsidRPr="000A28AD">
              <w:rPr>
                <w:rFonts w:ascii="Calibri" w:eastAsia="Times New Roman" w:hAnsi="Calibri" w:cs="Times New Roman"/>
                <w:color w:val="000000"/>
                <w:sz w:val="18"/>
                <w:szCs w:val="18"/>
              </w:rPr>
              <w:t>%</w:t>
            </w:r>
          </w:p>
        </w:tc>
        <w:tc>
          <w:tcPr>
            <w:tcW w:w="1350" w:type="dxa"/>
            <w:tcBorders>
              <w:top w:val="single" w:sz="4" w:space="0" w:color="auto"/>
            </w:tcBorders>
            <w:noWrap/>
            <w:hideMark/>
          </w:tcPr>
          <w:p w14:paraId="439BE7FD" w14:textId="77777777" w:rsidR="00A97C01" w:rsidRPr="000A28AD" w:rsidRDefault="003F67FA" w:rsidP="00541E4C">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2</w:t>
            </w:r>
            <w:r w:rsidR="00A97C01" w:rsidRPr="000A28AD">
              <w:rPr>
                <w:rFonts w:ascii="Calibri" w:eastAsia="Times New Roman" w:hAnsi="Calibri" w:cs="Times New Roman"/>
                <w:color w:val="000000"/>
                <w:sz w:val="18"/>
                <w:szCs w:val="18"/>
              </w:rPr>
              <w:t>%</w:t>
            </w:r>
          </w:p>
        </w:tc>
        <w:tc>
          <w:tcPr>
            <w:tcW w:w="1445" w:type="dxa"/>
            <w:tcBorders>
              <w:top w:val="single" w:sz="4" w:space="0" w:color="auto"/>
            </w:tcBorders>
            <w:noWrap/>
            <w:hideMark/>
          </w:tcPr>
          <w:p w14:paraId="4F1FA4C8" w14:textId="77777777" w:rsidR="00A97C01" w:rsidRPr="000A28AD" w:rsidRDefault="00391C69" w:rsidP="00541E4C">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3</w:t>
            </w:r>
            <w:r w:rsidR="00A97C01" w:rsidRPr="000A28AD">
              <w:rPr>
                <w:rFonts w:ascii="Calibri" w:eastAsia="Times New Roman" w:hAnsi="Calibri" w:cs="Times New Roman"/>
                <w:color w:val="000000"/>
                <w:sz w:val="18"/>
                <w:szCs w:val="18"/>
              </w:rPr>
              <w:t>%</w:t>
            </w:r>
          </w:p>
        </w:tc>
      </w:tr>
      <w:tr w:rsidR="00E647F4" w:rsidRPr="00C2294E" w14:paraId="5EABFBCE" w14:textId="77777777" w:rsidTr="000A28AD">
        <w:trPr>
          <w:trHeight w:val="144"/>
          <w:jc w:val="center"/>
        </w:trPr>
        <w:tc>
          <w:tcPr>
            <w:tcW w:w="2885" w:type="dxa"/>
            <w:noWrap/>
            <w:hideMark/>
          </w:tcPr>
          <w:p w14:paraId="30637E2B" w14:textId="77777777" w:rsidR="00A97C01" w:rsidRPr="000A28AD" w:rsidRDefault="00A97C01" w:rsidP="00541E4C">
            <w:pPr>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Benefits per worker</w:t>
            </w:r>
          </w:p>
        </w:tc>
        <w:tc>
          <w:tcPr>
            <w:tcW w:w="902" w:type="dxa"/>
            <w:noWrap/>
            <w:hideMark/>
          </w:tcPr>
          <w:p w14:paraId="73EBFA61" w14:textId="77777777" w:rsidR="00A97C01" w:rsidRPr="000A28AD" w:rsidRDefault="00391C69" w:rsidP="00541E4C">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w:t>
            </w:r>
            <w:r w:rsidR="00A97C01" w:rsidRPr="000A28AD">
              <w:rPr>
                <w:rFonts w:ascii="Calibri" w:eastAsia="Times New Roman" w:hAnsi="Calibri" w:cs="Times New Roman"/>
                <w:color w:val="000000"/>
                <w:sz w:val="18"/>
                <w:szCs w:val="18"/>
              </w:rPr>
              <w:t>%</w:t>
            </w:r>
          </w:p>
        </w:tc>
        <w:tc>
          <w:tcPr>
            <w:tcW w:w="1334" w:type="dxa"/>
            <w:noWrap/>
            <w:hideMark/>
          </w:tcPr>
          <w:p w14:paraId="3EF1555F" w14:textId="77777777" w:rsidR="00A97C01" w:rsidRPr="000A28AD" w:rsidRDefault="003F67FA" w:rsidP="00541E4C">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66</w:t>
            </w:r>
            <w:r w:rsidR="00A97C01" w:rsidRPr="000A28AD">
              <w:rPr>
                <w:rFonts w:ascii="Calibri" w:eastAsia="Times New Roman" w:hAnsi="Calibri" w:cs="Times New Roman"/>
                <w:color w:val="000000"/>
                <w:sz w:val="18"/>
                <w:szCs w:val="18"/>
              </w:rPr>
              <w:t>%</w:t>
            </w:r>
          </w:p>
        </w:tc>
        <w:tc>
          <w:tcPr>
            <w:tcW w:w="1440" w:type="dxa"/>
            <w:noWrap/>
            <w:hideMark/>
          </w:tcPr>
          <w:p w14:paraId="4B64FA59" w14:textId="77777777" w:rsidR="00A97C01" w:rsidRPr="000A28AD" w:rsidRDefault="003F67FA" w:rsidP="00541E4C">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14</w:t>
            </w:r>
            <w:r w:rsidR="00A97C01" w:rsidRPr="000A28AD">
              <w:rPr>
                <w:rFonts w:ascii="Calibri" w:eastAsia="Times New Roman" w:hAnsi="Calibri" w:cs="Times New Roman"/>
                <w:color w:val="000000"/>
                <w:sz w:val="18"/>
                <w:szCs w:val="18"/>
              </w:rPr>
              <w:t>%</w:t>
            </w:r>
          </w:p>
        </w:tc>
        <w:tc>
          <w:tcPr>
            <w:tcW w:w="1170" w:type="dxa"/>
            <w:noWrap/>
            <w:hideMark/>
          </w:tcPr>
          <w:p w14:paraId="7BE50431" w14:textId="77777777" w:rsidR="00A97C01" w:rsidRPr="000A28AD" w:rsidRDefault="003F67FA" w:rsidP="00541E4C">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13</w:t>
            </w:r>
            <w:r w:rsidR="00A97C01" w:rsidRPr="000A28AD">
              <w:rPr>
                <w:rFonts w:ascii="Calibri" w:eastAsia="Times New Roman" w:hAnsi="Calibri" w:cs="Times New Roman"/>
                <w:color w:val="000000"/>
                <w:sz w:val="18"/>
                <w:szCs w:val="18"/>
              </w:rPr>
              <w:t>%</w:t>
            </w:r>
          </w:p>
        </w:tc>
        <w:tc>
          <w:tcPr>
            <w:tcW w:w="1350" w:type="dxa"/>
            <w:noWrap/>
            <w:hideMark/>
          </w:tcPr>
          <w:p w14:paraId="1BDEC02B" w14:textId="77777777" w:rsidR="00A97C01" w:rsidRPr="000A28AD" w:rsidRDefault="003F67FA" w:rsidP="00541E4C">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3</w:t>
            </w:r>
            <w:r w:rsidR="00A97C01" w:rsidRPr="000A28AD">
              <w:rPr>
                <w:rFonts w:ascii="Calibri" w:eastAsia="Times New Roman" w:hAnsi="Calibri" w:cs="Times New Roman"/>
                <w:color w:val="000000"/>
                <w:sz w:val="18"/>
                <w:szCs w:val="18"/>
              </w:rPr>
              <w:t>%</w:t>
            </w:r>
          </w:p>
        </w:tc>
        <w:tc>
          <w:tcPr>
            <w:tcW w:w="1445" w:type="dxa"/>
            <w:noWrap/>
            <w:hideMark/>
          </w:tcPr>
          <w:p w14:paraId="4B7EE88B" w14:textId="77777777" w:rsidR="00A97C01" w:rsidRPr="000A28AD" w:rsidRDefault="003F67FA" w:rsidP="00541E4C">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3</w:t>
            </w:r>
            <w:r w:rsidR="00A97C01" w:rsidRPr="000A28AD">
              <w:rPr>
                <w:rFonts w:ascii="Calibri" w:eastAsia="Times New Roman" w:hAnsi="Calibri" w:cs="Times New Roman"/>
                <w:color w:val="000000"/>
                <w:sz w:val="18"/>
                <w:szCs w:val="18"/>
              </w:rPr>
              <w:t>%</w:t>
            </w:r>
          </w:p>
        </w:tc>
      </w:tr>
    </w:tbl>
    <w:p w14:paraId="06E7E97A" w14:textId="77777777" w:rsidR="00A97C01" w:rsidRDefault="00A97C01" w:rsidP="009B3DF5">
      <w:pPr>
        <w:spacing w:after="0" w:line="72" w:lineRule="auto"/>
      </w:pPr>
    </w:p>
    <w:tbl>
      <w:tblPr>
        <w:tblStyle w:val="PlainTable4"/>
        <w:tblW w:w="10540" w:type="dxa"/>
        <w:jc w:val="center"/>
        <w:tblBorders>
          <w:top w:val="single" w:sz="4" w:space="0" w:color="auto"/>
          <w:left w:val="single" w:sz="4" w:space="0" w:color="auto"/>
          <w:bottom w:val="single" w:sz="4" w:space="0" w:color="auto"/>
          <w:right w:val="single" w:sz="4" w:space="0" w:color="auto"/>
        </w:tblBorders>
        <w:tblLook w:val="0620" w:firstRow="1" w:lastRow="0" w:firstColumn="0" w:lastColumn="0" w:noHBand="1" w:noVBand="1"/>
        <w:tblCaption w:val="Economic outlook for the next year"/>
        <w:tblDescription w:val="Minnesota business services firms expect mostly contracting conditions. Fifty-two percent expect a decline in consumer spending and corporate profits. Additionally, 44 percent anticipate a drop in employment.  &#10;Nearly half of respondents indicated they expect unchanged inflation while a similar percentage (46 percent) expect an increase.&#10;"/>
      </w:tblPr>
      <w:tblGrid>
        <w:gridCol w:w="3875"/>
        <w:gridCol w:w="1252"/>
        <w:gridCol w:w="1293"/>
        <w:gridCol w:w="1561"/>
        <w:gridCol w:w="1204"/>
        <w:gridCol w:w="1355"/>
      </w:tblGrid>
      <w:tr w:rsidR="0047340A" w:rsidRPr="0047340A" w14:paraId="106CC7C1" w14:textId="77777777" w:rsidTr="0047340A">
        <w:trPr>
          <w:cnfStyle w:val="100000000000" w:firstRow="1" w:lastRow="0" w:firstColumn="0" w:lastColumn="0" w:oddVBand="0" w:evenVBand="0" w:oddHBand="0" w:evenHBand="0" w:firstRowFirstColumn="0" w:firstRowLastColumn="0" w:lastRowFirstColumn="0" w:lastRowLastColumn="0"/>
          <w:trHeight w:val="144"/>
          <w:tblHeader/>
          <w:jc w:val="center"/>
        </w:trPr>
        <w:tc>
          <w:tcPr>
            <w:tcW w:w="3875" w:type="dxa"/>
            <w:tcBorders>
              <w:top w:val="single" w:sz="4" w:space="0" w:color="auto"/>
              <w:bottom w:val="single" w:sz="4" w:space="0" w:color="auto"/>
            </w:tcBorders>
            <w:shd w:val="clear" w:color="auto" w:fill="BDD6EE" w:themeFill="accent1" w:themeFillTint="66"/>
            <w:noWrap/>
            <w:hideMark/>
          </w:tcPr>
          <w:p w14:paraId="09F4A66B" w14:textId="77777777" w:rsidR="00A97C01" w:rsidRPr="0047340A" w:rsidRDefault="00531B2D" w:rsidP="00541E4C">
            <w:pPr>
              <w:rPr>
                <w:rFonts w:ascii="Calibri" w:eastAsia="Times New Roman" w:hAnsi="Calibri" w:cs="Times New Roman"/>
                <w:sz w:val="18"/>
                <w:szCs w:val="18"/>
              </w:rPr>
            </w:pPr>
            <w:r w:rsidRPr="0047340A">
              <w:rPr>
                <w:rFonts w:ascii="Calibri" w:eastAsia="Times New Roman" w:hAnsi="Calibri" w:cs="Times New Roman"/>
                <w:sz w:val="18"/>
                <w:szCs w:val="18"/>
              </w:rPr>
              <w:t>Expected</w:t>
            </w:r>
            <w:r w:rsidR="00BE474F" w:rsidRPr="0047340A">
              <w:rPr>
                <w:rFonts w:ascii="Calibri" w:eastAsia="Times New Roman" w:hAnsi="Calibri" w:cs="Times New Roman"/>
                <w:sz w:val="18"/>
                <w:szCs w:val="18"/>
              </w:rPr>
              <w:t xml:space="preserve"> outlook on the following state economic indicators during the next year: </w:t>
            </w:r>
          </w:p>
        </w:tc>
        <w:tc>
          <w:tcPr>
            <w:tcW w:w="1252" w:type="dxa"/>
            <w:tcBorders>
              <w:top w:val="single" w:sz="4" w:space="0" w:color="auto"/>
              <w:bottom w:val="single" w:sz="4" w:space="0" w:color="auto"/>
            </w:tcBorders>
            <w:shd w:val="clear" w:color="auto" w:fill="BDD6EE" w:themeFill="accent1" w:themeFillTint="66"/>
            <w:noWrap/>
            <w:hideMark/>
          </w:tcPr>
          <w:p w14:paraId="09A11A16" w14:textId="77777777" w:rsidR="00A97C01" w:rsidRPr="0047340A" w:rsidRDefault="00A97C01" w:rsidP="00541E4C">
            <w:pPr>
              <w:jc w:val="center"/>
              <w:rPr>
                <w:rFonts w:ascii="Calibri" w:eastAsia="Times New Roman" w:hAnsi="Calibri" w:cs="Times New Roman"/>
                <w:sz w:val="18"/>
                <w:szCs w:val="18"/>
              </w:rPr>
            </w:pPr>
            <w:r w:rsidRPr="0047340A">
              <w:rPr>
                <w:rFonts w:ascii="Calibri" w:eastAsia="Times New Roman" w:hAnsi="Calibri" w:cs="Times New Roman"/>
                <w:sz w:val="18"/>
                <w:szCs w:val="18"/>
              </w:rPr>
              <w:t>Up</w:t>
            </w:r>
          </w:p>
        </w:tc>
        <w:tc>
          <w:tcPr>
            <w:tcW w:w="1293" w:type="dxa"/>
            <w:tcBorders>
              <w:top w:val="single" w:sz="4" w:space="0" w:color="auto"/>
              <w:bottom w:val="single" w:sz="4" w:space="0" w:color="auto"/>
            </w:tcBorders>
            <w:shd w:val="clear" w:color="auto" w:fill="BDD6EE" w:themeFill="accent1" w:themeFillTint="66"/>
            <w:noWrap/>
            <w:hideMark/>
          </w:tcPr>
          <w:p w14:paraId="04726ED9" w14:textId="77777777" w:rsidR="00A97C01" w:rsidRPr="0047340A" w:rsidRDefault="00A97C01" w:rsidP="00541E4C">
            <w:pPr>
              <w:jc w:val="center"/>
              <w:rPr>
                <w:rFonts w:ascii="Calibri" w:eastAsia="Times New Roman" w:hAnsi="Calibri" w:cs="Times New Roman"/>
                <w:sz w:val="18"/>
                <w:szCs w:val="18"/>
              </w:rPr>
            </w:pPr>
            <w:r w:rsidRPr="0047340A">
              <w:rPr>
                <w:rFonts w:ascii="Calibri" w:eastAsia="Times New Roman" w:hAnsi="Calibri" w:cs="Times New Roman"/>
                <w:sz w:val="18"/>
                <w:szCs w:val="18"/>
              </w:rPr>
              <w:t>Same</w:t>
            </w:r>
          </w:p>
        </w:tc>
        <w:tc>
          <w:tcPr>
            <w:tcW w:w="1561" w:type="dxa"/>
            <w:tcBorders>
              <w:top w:val="single" w:sz="4" w:space="0" w:color="auto"/>
              <w:bottom w:val="single" w:sz="4" w:space="0" w:color="auto"/>
            </w:tcBorders>
            <w:shd w:val="clear" w:color="auto" w:fill="BDD6EE" w:themeFill="accent1" w:themeFillTint="66"/>
            <w:noWrap/>
            <w:hideMark/>
          </w:tcPr>
          <w:p w14:paraId="35133ECB" w14:textId="77777777" w:rsidR="00A97C01" w:rsidRPr="0047340A" w:rsidRDefault="00A97C01" w:rsidP="00541E4C">
            <w:pPr>
              <w:jc w:val="center"/>
              <w:rPr>
                <w:rFonts w:ascii="Calibri" w:eastAsia="Times New Roman" w:hAnsi="Calibri" w:cs="Times New Roman"/>
                <w:sz w:val="18"/>
                <w:szCs w:val="18"/>
              </w:rPr>
            </w:pPr>
            <w:r w:rsidRPr="0047340A">
              <w:rPr>
                <w:rFonts w:ascii="Calibri" w:eastAsia="Times New Roman" w:hAnsi="Calibri" w:cs="Times New Roman"/>
                <w:sz w:val="18"/>
                <w:szCs w:val="18"/>
              </w:rPr>
              <w:t>Down</w:t>
            </w:r>
          </w:p>
        </w:tc>
        <w:tc>
          <w:tcPr>
            <w:tcW w:w="1204" w:type="dxa"/>
            <w:tcBorders>
              <w:top w:val="single" w:sz="4" w:space="0" w:color="auto"/>
              <w:bottom w:val="single" w:sz="4" w:space="0" w:color="auto"/>
            </w:tcBorders>
            <w:shd w:val="clear" w:color="auto" w:fill="BDD6EE" w:themeFill="accent1" w:themeFillTint="66"/>
            <w:noWrap/>
            <w:hideMark/>
          </w:tcPr>
          <w:p w14:paraId="3E5CC1EB" w14:textId="396A9C3A" w:rsidR="00A97C01" w:rsidRPr="0047340A" w:rsidRDefault="00391C69" w:rsidP="00541E4C">
            <w:pPr>
              <w:jc w:val="center"/>
              <w:rPr>
                <w:rFonts w:ascii="Calibri" w:eastAsia="Times New Roman" w:hAnsi="Calibri" w:cs="Times New Roman"/>
                <w:sz w:val="18"/>
                <w:szCs w:val="18"/>
              </w:rPr>
            </w:pPr>
            <w:r w:rsidRPr="0047340A">
              <w:rPr>
                <w:rFonts w:ascii="Calibri" w:eastAsia="Times New Roman" w:hAnsi="Calibri" w:cs="Times New Roman"/>
                <w:sz w:val="18"/>
                <w:szCs w:val="18"/>
              </w:rPr>
              <w:t>Diffusion Index 202</w:t>
            </w:r>
            <w:r w:rsidR="003B28DB">
              <w:rPr>
                <w:rFonts w:ascii="Calibri" w:eastAsia="Times New Roman" w:hAnsi="Calibri" w:cs="Times New Roman"/>
                <w:sz w:val="18"/>
                <w:szCs w:val="18"/>
              </w:rPr>
              <w:t>1</w:t>
            </w:r>
            <w:r w:rsidR="00AE0EFF" w:rsidRPr="0047340A">
              <w:rPr>
                <w:rFonts w:ascii="Calibri" w:eastAsia="Times New Roman" w:hAnsi="Calibri" w:cs="Times New Roman"/>
                <w:sz w:val="18"/>
                <w:szCs w:val="18"/>
                <w:vertAlign w:val="superscript"/>
              </w:rPr>
              <w:t>(2)</w:t>
            </w:r>
          </w:p>
        </w:tc>
        <w:tc>
          <w:tcPr>
            <w:tcW w:w="1355" w:type="dxa"/>
            <w:tcBorders>
              <w:top w:val="single" w:sz="4" w:space="0" w:color="auto"/>
              <w:bottom w:val="single" w:sz="4" w:space="0" w:color="auto"/>
            </w:tcBorders>
            <w:shd w:val="clear" w:color="auto" w:fill="BDD6EE" w:themeFill="accent1" w:themeFillTint="66"/>
            <w:noWrap/>
            <w:hideMark/>
          </w:tcPr>
          <w:p w14:paraId="07883BDA" w14:textId="03E1160E" w:rsidR="00A97C01" w:rsidRPr="0047340A" w:rsidRDefault="00AE0EFF" w:rsidP="00541E4C">
            <w:pPr>
              <w:jc w:val="center"/>
              <w:rPr>
                <w:rFonts w:ascii="Calibri" w:eastAsia="Times New Roman" w:hAnsi="Calibri" w:cs="Times New Roman"/>
                <w:sz w:val="18"/>
                <w:szCs w:val="18"/>
              </w:rPr>
            </w:pPr>
            <w:r w:rsidRPr="0047340A">
              <w:rPr>
                <w:rFonts w:ascii="Calibri" w:eastAsia="Times New Roman" w:hAnsi="Calibri" w:cs="Times New Roman"/>
                <w:sz w:val="18"/>
                <w:szCs w:val="18"/>
              </w:rPr>
              <w:t xml:space="preserve">Diffusion </w:t>
            </w:r>
            <w:r w:rsidR="00391C69" w:rsidRPr="0047340A">
              <w:rPr>
                <w:rFonts w:ascii="Calibri" w:eastAsia="Times New Roman" w:hAnsi="Calibri" w:cs="Times New Roman"/>
                <w:sz w:val="18"/>
                <w:szCs w:val="18"/>
              </w:rPr>
              <w:t>Index 20</w:t>
            </w:r>
            <w:r w:rsidR="003B28DB">
              <w:rPr>
                <w:rFonts w:ascii="Calibri" w:eastAsia="Times New Roman" w:hAnsi="Calibri" w:cs="Times New Roman"/>
                <w:sz w:val="18"/>
                <w:szCs w:val="18"/>
              </w:rPr>
              <w:t>20</w:t>
            </w:r>
            <w:r w:rsidRPr="0047340A">
              <w:rPr>
                <w:rFonts w:ascii="Calibri" w:eastAsia="Times New Roman" w:hAnsi="Calibri" w:cs="Times New Roman"/>
                <w:sz w:val="18"/>
                <w:szCs w:val="18"/>
                <w:vertAlign w:val="superscript"/>
              </w:rPr>
              <w:t>(2)</w:t>
            </w:r>
          </w:p>
        </w:tc>
      </w:tr>
      <w:tr w:rsidR="0047340A" w:rsidRPr="0047340A" w14:paraId="7E81A375" w14:textId="77777777" w:rsidTr="0047340A">
        <w:trPr>
          <w:trHeight w:val="144"/>
          <w:jc w:val="center"/>
        </w:trPr>
        <w:tc>
          <w:tcPr>
            <w:tcW w:w="3875" w:type="dxa"/>
            <w:tcBorders>
              <w:top w:val="single" w:sz="4" w:space="0" w:color="auto"/>
              <w:bottom w:val="nil"/>
            </w:tcBorders>
            <w:noWrap/>
          </w:tcPr>
          <w:p w14:paraId="3837FB60" w14:textId="77777777" w:rsidR="0047340A" w:rsidRPr="0047340A" w:rsidRDefault="0047340A" w:rsidP="00391C69">
            <w:pPr>
              <w:rPr>
                <w:rFonts w:ascii="Calibri" w:eastAsia="Times New Roman" w:hAnsi="Calibri" w:cs="Times New Roman"/>
                <w:sz w:val="18"/>
                <w:szCs w:val="18"/>
              </w:rPr>
            </w:pPr>
            <w:r w:rsidRPr="0047340A">
              <w:rPr>
                <w:rFonts w:ascii="Calibri" w:eastAsia="Times New Roman" w:hAnsi="Calibri" w:cs="Times New Roman"/>
                <w:sz w:val="18"/>
                <w:szCs w:val="18"/>
              </w:rPr>
              <w:t>Business Investment</w:t>
            </w:r>
          </w:p>
        </w:tc>
        <w:tc>
          <w:tcPr>
            <w:tcW w:w="1252" w:type="dxa"/>
            <w:tcBorders>
              <w:top w:val="single" w:sz="4" w:space="0" w:color="auto"/>
              <w:bottom w:val="nil"/>
            </w:tcBorders>
            <w:noWrap/>
          </w:tcPr>
          <w:p w14:paraId="56B3578F" w14:textId="77777777" w:rsidR="0047340A" w:rsidRPr="00D939BA" w:rsidRDefault="0047340A" w:rsidP="00391C69">
            <w:pPr>
              <w:jc w:val="center"/>
              <w:rPr>
                <w:rFonts w:ascii="Calibri" w:eastAsia="Times New Roman" w:hAnsi="Calibri" w:cs="Times New Roman"/>
                <w:sz w:val="18"/>
                <w:szCs w:val="18"/>
              </w:rPr>
            </w:pPr>
            <w:r w:rsidRPr="00D939BA">
              <w:rPr>
                <w:rFonts w:ascii="Calibri" w:eastAsia="Times New Roman" w:hAnsi="Calibri" w:cs="Times New Roman"/>
                <w:sz w:val="18"/>
                <w:szCs w:val="18"/>
              </w:rPr>
              <w:t>29%</w:t>
            </w:r>
          </w:p>
        </w:tc>
        <w:tc>
          <w:tcPr>
            <w:tcW w:w="1293" w:type="dxa"/>
            <w:tcBorders>
              <w:top w:val="single" w:sz="4" w:space="0" w:color="auto"/>
              <w:bottom w:val="nil"/>
            </w:tcBorders>
            <w:noWrap/>
          </w:tcPr>
          <w:p w14:paraId="3932DFF1" w14:textId="77777777" w:rsidR="0047340A" w:rsidRPr="00D939BA" w:rsidRDefault="0047340A" w:rsidP="00391C69">
            <w:pPr>
              <w:jc w:val="center"/>
              <w:rPr>
                <w:rFonts w:ascii="Calibri" w:eastAsia="Times New Roman" w:hAnsi="Calibri" w:cs="Times New Roman"/>
                <w:sz w:val="18"/>
                <w:szCs w:val="18"/>
              </w:rPr>
            </w:pPr>
            <w:r w:rsidRPr="00D939BA">
              <w:rPr>
                <w:rFonts w:ascii="Calibri" w:eastAsia="Times New Roman" w:hAnsi="Calibri" w:cs="Times New Roman"/>
                <w:sz w:val="18"/>
                <w:szCs w:val="18"/>
              </w:rPr>
              <w:t>42%</w:t>
            </w:r>
          </w:p>
        </w:tc>
        <w:tc>
          <w:tcPr>
            <w:tcW w:w="1561" w:type="dxa"/>
            <w:tcBorders>
              <w:top w:val="single" w:sz="4" w:space="0" w:color="auto"/>
              <w:bottom w:val="nil"/>
            </w:tcBorders>
            <w:noWrap/>
          </w:tcPr>
          <w:p w14:paraId="6FC5F5F7" w14:textId="77777777" w:rsidR="0047340A" w:rsidRPr="00D939BA" w:rsidRDefault="0047340A" w:rsidP="00391C69">
            <w:pPr>
              <w:jc w:val="center"/>
              <w:rPr>
                <w:rFonts w:ascii="Calibri" w:eastAsia="Times New Roman" w:hAnsi="Calibri" w:cs="Times New Roman"/>
                <w:sz w:val="18"/>
                <w:szCs w:val="18"/>
              </w:rPr>
            </w:pPr>
            <w:r w:rsidRPr="00D939BA">
              <w:rPr>
                <w:rFonts w:ascii="Calibri" w:eastAsia="Times New Roman" w:hAnsi="Calibri" w:cs="Times New Roman"/>
                <w:sz w:val="18"/>
                <w:szCs w:val="18"/>
              </w:rPr>
              <w:t>30%</w:t>
            </w:r>
          </w:p>
        </w:tc>
        <w:tc>
          <w:tcPr>
            <w:tcW w:w="1204" w:type="dxa"/>
            <w:tcBorders>
              <w:top w:val="single" w:sz="4" w:space="0" w:color="auto"/>
              <w:bottom w:val="nil"/>
            </w:tcBorders>
            <w:noWrap/>
          </w:tcPr>
          <w:p w14:paraId="187A07A2" w14:textId="77777777" w:rsidR="0047340A" w:rsidRPr="00D939BA" w:rsidRDefault="00444F06" w:rsidP="00391C69">
            <w:pPr>
              <w:jc w:val="center"/>
              <w:rPr>
                <w:rFonts w:ascii="Calibri" w:eastAsia="Times New Roman" w:hAnsi="Calibri" w:cs="Times New Roman"/>
                <w:sz w:val="18"/>
                <w:szCs w:val="18"/>
              </w:rPr>
            </w:pPr>
            <w:r w:rsidRPr="00D939BA">
              <w:rPr>
                <w:rFonts w:ascii="Calibri" w:eastAsia="Times New Roman" w:hAnsi="Calibri" w:cs="Times New Roman"/>
                <w:sz w:val="18"/>
                <w:szCs w:val="18"/>
              </w:rPr>
              <w:t>50</w:t>
            </w:r>
          </w:p>
        </w:tc>
        <w:tc>
          <w:tcPr>
            <w:tcW w:w="1355" w:type="dxa"/>
            <w:tcBorders>
              <w:top w:val="single" w:sz="4" w:space="0" w:color="auto"/>
              <w:bottom w:val="nil"/>
            </w:tcBorders>
            <w:noWrap/>
          </w:tcPr>
          <w:p w14:paraId="1C8391EB" w14:textId="77777777" w:rsidR="0047340A" w:rsidRPr="00D939BA" w:rsidRDefault="00444F06" w:rsidP="00391C69">
            <w:pPr>
              <w:jc w:val="center"/>
              <w:rPr>
                <w:rFonts w:ascii="Calibri" w:eastAsia="Times New Roman" w:hAnsi="Calibri" w:cs="Times New Roman"/>
                <w:sz w:val="18"/>
                <w:szCs w:val="18"/>
              </w:rPr>
            </w:pPr>
            <w:r w:rsidRPr="00D939BA">
              <w:rPr>
                <w:rFonts w:ascii="Calibri" w:eastAsia="Times New Roman" w:hAnsi="Calibri" w:cs="Times New Roman"/>
                <w:sz w:val="18"/>
                <w:szCs w:val="18"/>
              </w:rPr>
              <w:t>55</w:t>
            </w:r>
          </w:p>
        </w:tc>
      </w:tr>
      <w:tr w:rsidR="0047340A" w:rsidRPr="0047340A" w14:paraId="20D18F32" w14:textId="77777777" w:rsidTr="0047340A">
        <w:trPr>
          <w:trHeight w:val="144"/>
          <w:jc w:val="center"/>
        </w:trPr>
        <w:tc>
          <w:tcPr>
            <w:tcW w:w="3875" w:type="dxa"/>
            <w:tcBorders>
              <w:top w:val="nil"/>
            </w:tcBorders>
            <w:noWrap/>
            <w:hideMark/>
          </w:tcPr>
          <w:p w14:paraId="4E68BD75" w14:textId="77777777" w:rsidR="00391C69" w:rsidRPr="0047340A" w:rsidRDefault="00391C69" w:rsidP="00391C69">
            <w:pPr>
              <w:rPr>
                <w:rFonts w:ascii="Calibri" w:eastAsia="Times New Roman" w:hAnsi="Calibri" w:cs="Times New Roman"/>
                <w:sz w:val="18"/>
                <w:szCs w:val="18"/>
              </w:rPr>
            </w:pPr>
            <w:r w:rsidRPr="0047340A">
              <w:rPr>
                <w:rFonts w:ascii="Calibri" w:eastAsia="Times New Roman" w:hAnsi="Calibri" w:cs="Times New Roman"/>
                <w:sz w:val="18"/>
                <w:szCs w:val="18"/>
              </w:rPr>
              <w:t>Employment</w:t>
            </w:r>
          </w:p>
        </w:tc>
        <w:tc>
          <w:tcPr>
            <w:tcW w:w="1252" w:type="dxa"/>
            <w:tcBorders>
              <w:top w:val="nil"/>
            </w:tcBorders>
            <w:noWrap/>
            <w:hideMark/>
          </w:tcPr>
          <w:p w14:paraId="23391862" w14:textId="77777777" w:rsidR="00391C69" w:rsidRPr="00D939BA" w:rsidRDefault="0047340A" w:rsidP="00391C69">
            <w:pPr>
              <w:jc w:val="center"/>
              <w:rPr>
                <w:rFonts w:ascii="Calibri" w:eastAsia="Times New Roman" w:hAnsi="Calibri" w:cs="Times New Roman"/>
                <w:sz w:val="18"/>
                <w:szCs w:val="18"/>
              </w:rPr>
            </w:pPr>
            <w:r w:rsidRPr="00D939BA">
              <w:rPr>
                <w:rFonts w:ascii="Calibri" w:eastAsia="Times New Roman" w:hAnsi="Calibri" w:cs="Times New Roman"/>
                <w:sz w:val="18"/>
                <w:szCs w:val="18"/>
              </w:rPr>
              <w:t>37</w:t>
            </w:r>
            <w:r w:rsidR="00391C69" w:rsidRPr="00D939BA">
              <w:rPr>
                <w:rFonts w:ascii="Calibri" w:eastAsia="Times New Roman" w:hAnsi="Calibri" w:cs="Times New Roman"/>
                <w:sz w:val="18"/>
                <w:szCs w:val="18"/>
              </w:rPr>
              <w:t>%</w:t>
            </w:r>
          </w:p>
        </w:tc>
        <w:tc>
          <w:tcPr>
            <w:tcW w:w="1293" w:type="dxa"/>
            <w:tcBorders>
              <w:top w:val="nil"/>
            </w:tcBorders>
            <w:noWrap/>
            <w:hideMark/>
          </w:tcPr>
          <w:p w14:paraId="60692A23" w14:textId="77777777" w:rsidR="00391C69" w:rsidRPr="00D939BA" w:rsidRDefault="0047340A" w:rsidP="00391C69">
            <w:pPr>
              <w:jc w:val="center"/>
              <w:rPr>
                <w:rFonts w:ascii="Calibri" w:eastAsia="Times New Roman" w:hAnsi="Calibri" w:cs="Times New Roman"/>
                <w:sz w:val="18"/>
                <w:szCs w:val="18"/>
              </w:rPr>
            </w:pPr>
            <w:r w:rsidRPr="00D939BA">
              <w:rPr>
                <w:rFonts w:ascii="Calibri" w:eastAsia="Times New Roman" w:hAnsi="Calibri" w:cs="Times New Roman"/>
                <w:sz w:val="18"/>
                <w:szCs w:val="18"/>
              </w:rPr>
              <w:t>42</w:t>
            </w:r>
            <w:r w:rsidR="00391C69" w:rsidRPr="00D939BA">
              <w:rPr>
                <w:rFonts w:ascii="Calibri" w:eastAsia="Times New Roman" w:hAnsi="Calibri" w:cs="Times New Roman"/>
                <w:sz w:val="18"/>
                <w:szCs w:val="18"/>
              </w:rPr>
              <w:t>%</w:t>
            </w:r>
          </w:p>
        </w:tc>
        <w:tc>
          <w:tcPr>
            <w:tcW w:w="1561" w:type="dxa"/>
            <w:tcBorders>
              <w:top w:val="nil"/>
            </w:tcBorders>
            <w:noWrap/>
            <w:hideMark/>
          </w:tcPr>
          <w:p w14:paraId="3D8265F2" w14:textId="77777777" w:rsidR="00391C69" w:rsidRPr="00D939BA" w:rsidRDefault="0047340A" w:rsidP="00391C69">
            <w:pPr>
              <w:jc w:val="center"/>
              <w:rPr>
                <w:rFonts w:ascii="Calibri" w:eastAsia="Times New Roman" w:hAnsi="Calibri" w:cs="Times New Roman"/>
                <w:sz w:val="18"/>
                <w:szCs w:val="18"/>
              </w:rPr>
            </w:pPr>
            <w:r w:rsidRPr="00D939BA">
              <w:rPr>
                <w:rFonts w:ascii="Calibri" w:eastAsia="Times New Roman" w:hAnsi="Calibri" w:cs="Times New Roman"/>
                <w:sz w:val="18"/>
                <w:szCs w:val="18"/>
              </w:rPr>
              <w:t>21</w:t>
            </w:r>
            <w:r w:rsidR="00391C69" w:rsidRPr="00D939BA">
              <w:rPr>
                <w:rFonts w:ascii="Calibri" w:eastAsia="Times New Roman" w:hAnsi="Calibri" w:cs="Times New Roman"/>
                <w:sz w:val="18"/>
                <w:szCs w:val="18"/>
              </w:rPr>
              <w:t>%</w:t>
            </w:r>
          </w:p>
        </w:tc>
        <w:tc>
          <w:tcPr>
            <w:tcW w:w="1204" w:type="dxa"/>
            <w:tcBorders>
              <w:top w:val="nil"/>
            </w:tcBorders>
            <w:noWrap/>
            <w:hideMark/>
          </w:tcPr>
          <w:p w14:paraId="4E8DB79A" w14:textId="77777777" w:rsidR="00391C69" w:rsidRPr="00D939BA" w:rsidRDefault="00444F06" w:rsidP="00391C69">
            <w:pPr>
              <w:jc w:val="center"/>
              <w:rPr>
                <w:rFonts w:ascii="Calibri" w:eastAsia="Times New Roman" w:hAnsi="Calibri" w:cs="Times New Roman"/>
                <w:sz w:val="18"/>
                <w:szCs w:val="18"/>
              </w:rPr>
            </w:pPr>
            <w:r w:rsidRPr="00D939BA">
              <w:rPr>
                <w:rFonts w:ascii="Calibri" w:eastAsia="Times New Roman" w:hAnsi="Calibri" w:cs="Times New Roman"/>
                <w:sz w:val="18"/>
                <w:szCs w:val="18"/>
              </w:rPr>
              <w:t>58</w:t>
            </w:r>
          </w:p>
        </w:tc>
        <w:tc>
          <w:tcPr>
            <w:tcW w:w="1355" w:type="dxa"/>
            <w:tcBorders>
              <w:top w:val="nil"/>
            </w:tcBorders>
            <w:noWrap/>
            <w:hideMark/>
          </w:tcPr>
          <w:p w14:paraId="2DC95BC0" w14:textId="77777777" w:rsidR="00391C69" w:rsidRPr="00D939BA" w:rsidRDefault="00444F06" w:rsidP="00391C69">
            <w:pPr>
              <w:jc w:val="center"/>
              <w:rPr>
                <w:rFonts w:ascii="Calibri" w:eastAsia="Times New Roman" w:hAnsi="Calibri" w:cs="Times New Roman"/>
                <w:sz w:val="18"/>
                <w:szCs w:val="18"/>
              </w:rPr>
            </w:pPr>
            <w:r w:rsidRPr="00D939BA">
              <w:rPr>
                <w:rFonts w:ascii="Calibri" w:eastAsia="Times New Roman" w:hAnsi="Calibri" w:cs="Times New Roman"/>
                <w:sz w:val="18"/>
                <w:szCs w:val="18"/>
              </w:rPr>
              <w:t>56</w:t>
            </w:r>
          </w:p>
        </w:tc>
      </w:tr>
      <w:tr w:rsidR="0047340A" w:rsidRPr="0047340A" w14:paraId="5FDC1203" w14:textId="77777777" w:rsidTr="00B86180">
        <w:trPr>
          <w:trHeight w:val="144"/>
          <w:jc w:val="center"/>
        </w:trPr>
        <w:tc>
          <w:tcPr>
            <w:tcW w:w="3875" w:type="dxa"/>
            <w:noWrap/>
            <w:hideMark/>
          </w:tcPr>
          <w:p w14:paraId="226F3EB8" w14:textId="77777777" w:rsidR="00391C69" w:rsidRPr="0047340A" w:rsidRDefault="00391C69" w:rsidP="00391C69">
            <w:pPr>
              <w:rPr>
                <w:rFonts w:ascii="Calibri" w:eastAsia="Times New Roman" w:hAnsi="Calibri" w:cs="Times New Roman"/>
                <w:sz w:val="18"/>
                <w:szCs w:val="18"/>
              </w:rPr>
            </w:pPr>
            <w:r w:rsidRPr="0047340A">
              <w:rPr>
                <w:rFonts w:ascii="Calibri" w:eastAsia="Times New Roman" w:hAnsi="Calibri" w:cs="Times New Roman"/>
                <w:sz w:val="18"/>
                <w:szCs w:val="18"/>
              </w:rPr>
              <w:t>Consumer spending</w:t>
            </w:r>
          </w:p>
        </w:tc>
        <w:tc>
          <w:tcPr>
            <w:tcW w:w="1252" w:type="dxa"/>
            <w:noWrap/>
            <w:hideMark/>
          </w:tcPr>
          <w:p w14:paraId="20C5CC3F" w14:textId="77777777" w:rsidR="00391C69" w:rsidRPr="00D939BA" w:rsidRDefault="0047340A" w:rsidP="00391C69">
            <w:pPr>
              <w:jc w:val="center"/>
              <w:rPr>
                <w:rFonts w:ascii="Calibri" w:eastAsia="Times New Roman" w:hAnsi="Calibri" w:cs="Times New Roman"/>
                <w:sz w:val="18"/>
                <w:szCs w:val="18"/>
              </w:rPr>
            </w:pPr>
            <w:r w:rsidRPr="00D939BA">
              <w:rPr>
                <w:rFonts w:ascii="Calibri" w:eastAsia="Times New Roman" w:hAnsi="Calibri" w:cs="Times New Roman"/>
                <w:sz w:val="18"/>
                <w:szCs w:val="18"/>
              </w:rPr>
              <w:t>27</w:t>
            </w:r>
            <w:r w:rsidR="00391C69" w:rsidRPr="00D939BA">
              <w:rPr>
                <w:rFonts w:ascii="Calibri" w:eastAsia="Times New Roman" w:hAnsi="Calibri" w:cs="Times New Roman"/>
                <w:sz w:val="18"/>
                <w:szCs w:val="18"/>
              </w:rPr>
              <w:t>%</w:t>
            </w:r>
          </w:p>
        </w:tc>
        <w:tc>
          <w:tcPr>
            <w:tcW w:w="1293" w:type="dxa"/>
            <w:noWrap/>
            <w:hideMark/>
          </w:tcPr>
          <w:p w14:paraId="5F395797" w14:textId="77777777" w:rsidR="00391C69" w:rsidRPr="00D939BA" w:rsidRDefault="0047340A" w:rsidP="00391C69">
            <w:pPr>
              <w:jc w:val="center"/>
              <w:rPr>
                <w:rFonts w:ascii="Calibri" w:eastAsia="Times New Roman" w:hAnsi="Calibri" w:cs="Times New Roman"/>
                <w:sz w:val="18"/>
                <w:szCs w:val="18"/>
              </w:rPr>
            </w:pPr>
            <w:r w:rsidRPr="00D939BA">
              <w:rPr>
                <w:rFonts w:ascii="Calibri" w:eastAsia="Times New Roman" w:hAnsi="Calibri" w:cs="Times New Roman"/>
                <w:sz w:val="18"/>
                <w:szCs w:val="18"/>
              </w:rPr>
              <w:t>44</w:t>
            </w:r>
            <w:r w:rsidR="00391C69" w:rsidRPr="00D939BA">
              <w:rPr>
                <w:rFonts w:ascii="Calibri" w:eastAsia="Times New Roman" w:hAnsi="Calibri" w:cs="Times New Roman"/>
                <w:sz w:val="18"/>
                <w:szCs w:val="18"/>
              </w:rPr>
              <w:t>%</w:t>
            </w:r>
          </w:p>
        </w:tc>
        <w:tc>
          <w:tcPr>
            <w:tcW w:w="1561" w:type="dxa"/>
            <w:noWrap/>
            <w:hideMark/>
          </w:tcPr>
          <w:p w14:paraId="35E2195E" w14:textId="77777777" w:rsidR="00391C69" w:rsidRPr="00D939BA" w:rsidRDefault="0047340A" w:rsidP="00391C69">
            <w:pPr>
              <w:jc w:val="center"/>
              <w:rPr>
                <w:rFonts w:ascii="Calibri" w:eastAsia="Times New Roman" w:hAnsi="Calibri" w:cs="Times New Roman"/>
                <w:sz w:val="18"/>
                <w:szCs w:val="18"/>
              </w:rPr>
            </w:pPr>
            <w:r w:rsidRPr="00D939BA">
              <w:rPr>
                <w:rFonts w:ascii="Calibri" w:eastAsia="Times New Roman" w:hAnsi="Calibri" w:cs="Times New Roman"/>
                <w:sz w:val="18"/>
                <w:szCs w:val="18"/>
              </w:rPr>
              <w:t>29</w:t>
            </w:r>
            <w:r w:rsidR="00391C69" w:rsidRPr="00D939BA">
              <w:rPr>
                <w:rFonts w:ascii="Calibri" w:eastAsia="Times New Roman" w:hAnsi="Calibri" w:cs="Times New Roman"/>
                <w:sz w:val="18"/>
                <w:szCs w:val="18"/>
              </w:rPr>
              <w:t>%</w:t>
            </w:r>
          </w:p>
        </w:tc>
        <w:tc>
          <w:tcPr>
            <w:tcW w:w="1204" w:type="dxa"/>
            <w:noWrap/>
            <w:hideMark/>
          </w:tcPr>
          <w:p w14:paraId="3DF3F900" w14:textId="77777777" w:rsidR="00391C69" w:rsidRPr="00D939BA" w:rsidRDefault="00444F06" w:rsidP="00391C69">
            <w:pPr>
              <w:jc w:val="center"/>
              <w:rPr>
                <w:rFonts w:ascii="Calibri" w:eastAsia="Times New Roman" w:hAnsi="Calibri" w:cs="Times New Roman"/>
                <w:sz w:val="18"/>
                <w:szCs w:val="18"/>
              </w:rPr>
            </w:pPr>
            <w:r w:rsidRPr="00D939BA">
              <w:rPr>
                <w:rFonts w:ascii="Calibri" w:eastAsia="Times New Roman" w:hAnsi="Calibri" w:cs="Times New Roman"/>
                <w:sz w:val="18"/>
                <w:szCs w:val="18"/>
              </w:rPr>
              <w:t>49</w:t>
            </w:r>
          </w:p>
        </w:tc>
        <w:tc>
          <w:tcPr>
            <w:tcW w:w="1355" w:type="dxa"/>
            <w:noWrap/>
            <w:hideMark/>
          </w:tcPr>
          <w:p w14:paraId="53A44446" w14:textId="77777777" w:rsidR="00391C69" w:rsidRPr="00D939BA" w:rsidRDefault="00444F06" w:rsidP="00391C69">
            <w:pPr>
              <w:jc w:val="center"/>
              <w:rPr>
                <w:rFonts w:ascii="Calibri" w:eastAsia="Times New Roman" w:hAnsi="Calibri" w:cs="Times New Roman"/>
                <w:sz w:val="18"/>
                <w:szCs w:val="18"/>
              </w:rPr>
            </w:pPr>
            <w:r w:rsidRPr="00D939BA">
              <w:rPr>
                <w:rFonts w:ascii="Calibri" w:eastAsia="Times New Roman" w:hAnsi="Calibri" w:cs="Times New Roman"/>
                <w:sz w:val="18"/>
                <w:szCs w:val="18"/>
              </w:rPr>
              <w:t>55</w:t>
            </w:r>
          </w:p>
        </w:tc>
      </w:tr>
      <w:tr w:rsidR="0047340A" w:rsidRPr="0047340A" w14:paraId="317A3026" w14:textId="77777777" w:rsidTr="00B86180">
        <w:trPr>
          <w:trHeight w:val="144"/>
          <w:jc w:val="center"/>
        </w:trPr>
        <w:tc>
          <w:tcPr>
            <w:tcW w:w="3875" w:type="dxa"/>
            <w:noWrap/>
            <w:hideMark/>
          </w:tcPr>
          <w:p w14:paraId="18ABDC1A" w14:textId="77777777" w:rsidR="00391C69" w:rsidRPr="0047340A" w:rsidRDefault="00391C69" w:rsidP="00391C69">
            <w:pPr>
              <w:rPr>
                <w:rFonts w:ascii="Calibri" w:eastAsia="Times New Roman" w:hAnsi="Calibri" w:cs="Times New Roman"/>
                <w:sz w:val="18"/>
                <w:szCs w:val="18"/>
              </w:rPr>
            </w:pPr>
            <w:r w:rsidRPr="0047340A">
              <w:rPr>
                <w:rFonts w:ascii="Calibri" w:eastAsia="Times New Roman" w:hAnsi="Calibri" w:cs="Times New Roman"/>
                <w:sz w:val="18"/>
                <w:szCs w:val="18"/>
              </w:rPr>
              <w:t>Inflation</w:t>
            </w:r>
          </w:p>
        </w:tc>
        <w:tc>
          <w:tcPr>
            <w:tcW w:w="1252" w:type="dxa"/>
            <w:noWrap/>
            <w:hideMark/>
          </w:tcPr>
          <w:p w14:paraId="14279136" w14:textId="77777777" w:rsidR="00391C69" w:rsidRPr="00D939BA" w:rsidRDefault="0047340A" w:rsidP="00391C69">
            <w:pPr>
              <w:jc w:val="center"/>
              <w:rPr>
                <w:rFonts w:ascii="Calibri" w:eastAsia="Times New Roman" w:hAnsi="Calibri" w:cs="Times New Roman"/>
                <w:sz w:val="18"/>
                <w:szCs w:val="18"/>
              </w:rPr>
            </w:pPr>
            <w:r w:rsidRPr="00D939BA">
              <w:rPr>
                <w:rFonts w:ascii="Calibri" w:eastAsia="Times New Roman" w:hAnsi="Calibri" w:cs="Times New Roman"/>
                <w:sz w:val="18"/>
                <w:szCs w:val="18"/>
              </w:rPr>
              <w:t>51</w:t>
            </w:r>
            <w:r w:rsidR="00391C69" w:rsidRPr="00D939BA">
              <w:rPr>
                <w:rFonts w:ascii="Calibri" w:eastAsia="Times New Roman" w:hAnsi="Calibri" w:cs="Times New Roman"/>
                <w:sz w:val="18"/>
                <w:szCs w:val="18"/>
              </w:rPr>
              <w:t>%</w:t>
            </w:r>
          </w:p>
        </w:tc>
        <w:tc>
          <w:tcPr>
            <w:tcW w:w="1293" w:type="dxa"/>
            <w:noWrap/>
            <w:hideMark/>
          </w:tcPr>
          <w:p w14:paraId="4CFA8E32" w14:textId="77777777" w:rsidR="00391C69" w:rsidRPr="00D939BA" w:rsidRDefault="0047340A" w:rsidP="00391C69">
            <w:pPr>
              <w:jc w:val="center"/>
              <w:rPr>
                <w:rFonts w:ascii="Calibri" w:eastAsia="Times New Roman" w:hAnsi="Calibri" w:cs="Times New Roman"/>
                <w:sz w:val="18"/>
                <w:szCs w:val="18"/>
              </w:rPr>
            </w:pPr>
            <w:r w:rsidRPr="00D939BA">
              <w:rPr>
                <w:rFonts w:ascii="Calibri" w:eastAsia="Times New Roman" w:hAnsi="Calibri" w:cs="Times New Roman"/>
                <w:sz w:val="18"/>
                <w:szCs w:val="18"/>
              </w:rPr>
              <w:t>45</w:t>
            </w:r>
            <w:r w:rsidR="00391C69" w:rsidRPr="00D939BA">
              <w:rPr>
                <w:rFonts w:ascii="Calibri" w:eastAsia="Times New Roman" w:hAnsi="Calibri" w:cs="Times New Roman"/>
                <w:sz w:val="18"/>
                <w:szCs w:val="18"/>
              </w:rPr>
              <w:t>%</w:t>
            </w:r>
          </w:p>
        </w:tc>
        <w:tc>
          <w:tcPr>
            <w:tcW w:w="1561" w:type="dxa"/>
            <w:noWrap/>
            <w:hideMark/>
          </w:tcPr>
          <w:p w14:paraId="432DFC3D" w14:textId="77777777" w:rsidR="00391C69" w:rsidRPr="00D939BA" w:rsidRDefault="0047340A" w:rsidP="00391C69">
            <w:pPr>
              <w:jc w:val="center"/>
              <w:rPr>
                <w:rFonts w:ascii="Calibri" w:eastAsia="Times New Roman" w:hAnsi="Calibri" w:cs="Times New Roman"/>
                <w:sz w:val="18"/>
                <w:szCs w:val="18"/>
              </w:rPr>
            </w:pPr>
            <w:r w:rsidRPr="00D939BA">
              <w:rPr>
                <w:rFonts w:ascii="Calibri" w:eastAsia="Times New Roman" w:hAnsi="Calibri" w:cs="Times New Roman"/>
                <w:sz w:val="18"/>
                <w:szCs w:val="18"/>
              </w:rPr>
              <w:t>4</w:t>
            </w:r>
            <w:r w:rsidR="00391C69" w:rsidRPr="00D939BA">
              <w:rPr>
                <w:rFonts w:ascii="Calibri" w:eastAsia="Times New Roman" w:hAnsi="Calibri" w:cs="Times New Roman"/>
                <w:sz w:val="18"/>
                <w:szCs w:val="18"/>
              </w:rPr>
              <w:t>%</w:t>
            </w:r>
          </w:p>
        </w:tc>
        <w:tc>
          <w:tcPr>
            <w:tcW w:w="1204" w:type="dxa"/>
            <w:noWrap/>
            <w:hideMark/>
          </w:tcPr>
          <w:p w14:paraId="56329576" w14:textId="77777777" w:rsidR="00391C69" w:rsidRPr="00D939BA" w:rsidRDefault="00444F06" w:rsidP="00391C69">
            <w:pPr>
              <w:jc w:val="center"/>
              <w:rPr>
                <w:rFonts w:ascii="Calibri" w:eastAsia="Times New Roman" w:hAnsi="Calibri" w:cs="Times New Roman"/>
                <w:sz w:val="18"/>
                <w:szCs w:val="18"/>
              </w:rPr>
            </w:pPr>
            <w:r w:rsidRPr="00D939BA">
              <w:rPr>
                <w:rFonts w:ascii="Calibri" w:eastAsia="Times New Roman" w:hAnsi="Calibri" w:cs="Times New Roman"/>
                <w:sz w:val="18"/>
                <w:szCs w:val="18"/>
              </w:rPr>
              <w:t>74</w:t>
            </w:r>
          </w:p>
        </w:tc>
        <w:tc>
          <w:tcPr>
            <w:tcW w:w="1355" w:type="dxa"/>
            <w:noWrap/>
            <w:hideMark/>
          </w:tcPr>
          <w:p w14:paraId="6D9CBFE2" w14:textId="77777777" w:rsidR="00391C69" w:rsidRPr="00D939BA" w:rsidRDefault="00444F06" w:rsidP="00391C69">
            <w:pPr>
              <w:jc w:val="center"/>
              <w:rPr>
                <w:rFonts w:ascii="Calibri" w:eastAsia="Times New Roman" w:hAnsi="Calibri" w:cs="Times New Roman"/>
                <w:sz w:val="18"/>
                <w:szCs w:val="18"/>
              </w:rPr>
            </w:pPr>
            <w:r w:rsidRPr="00D939BA">
              <w:rPr>
                <w:rFonts w:ascii="Calibri" w:eastAsia="Times New Roman" w:hAnsi="Calibri" w:cs="Times New Roman"/>
                <w:sz w:val="18"/>
                <w:szCs w:val="18"/>
              </w:rPr>
              <w:t>68</w:t>
            </w:r>
          </w:p>
        </w:tc>
      </w:tr>
      <w:tr w:rsidR="0047340A" w:rsidRPr="0047340A" w14:paraId="19454BAC" w14:textId="77777777" w:rsidTr="00B86180">
        <w:trPr>
          <w:trHeight w:val="144"/>
          <w:jc w:val="center"/>
        </w:trPr>
        <w:tc>
          <w:tcPr>
            <w:tcW w:w="3875" w:type="dxa"/>
            <w:noWrap/>
            <w:hideMark/>
          </w:tcPr>
          <w:p w14:paraId="3795DCC6" w14:textId="77777777" w:rsidR="00391C69" w:rsidRPr="0047340A" w:rsidRDefault="00444F06" w:rsidP="00391C69">
            <w:pPr>
              <w:rPr>
                <w:rFonts w:ascii="Calibri" w:eastAsia="Times New Roman" w:hAnsi="Calibri" w:cs="Times New Roman"/>
                <w:sz w:val="18"/>
                <w:szCs w:val="18"/>
              </w:rPr>
            </w:pPr>
            <w:r>
              <w:rPr>
                <w:rFonts w:ascii="Calibri" w:eastAsia="Times New Roman" w:hAnsi="Calibri" w:cs="Times New Roman"/>
                <w:sz w:val="18"/>
                <w:szCs w:val="18"/>
              </w:rPr>
              <w:t>Economic Growth</w:t>
            </w:r>
          </w:p>
        </w:tc>
        <w:tc>
          <w:tcPr>
            <w:tcW w:w="1252" w:type="dxa"/>
            <w:noWrap/>
            <w:hideMark/>
          </w:tcPr>
          <w:p w14:paraId="0B436FE6" w14:textId="77777777" w:rsidR="00391C69" w:rsidRPr="00D939BA" w:rsidRDefault="00444F06" w:rsidP="00391C69">
            <w:pPr>
              <w:jc w:val="center"/>
              <w:rPr>
                <w:rFonts w:ascii="Calibri" w:eastAsia="Times New Roman" w:hAnsi="Calibri" w:cs="Times New Roman"/>
                <w:sz w:val="18"/>
                <w:szCs w:val="18"/>
              </w:rPr>
            </w:pPr>
            <w:r w:rsidRPr="00D939BA">
              <w:rPr>
                <w:rFonts w:ascii="Calibri" w:eastAsia="Times New Roman" w:hAnsi="Calibri" w:cs="Times New Roman"/>
                <w:sz w:val="18"/>
                <w:szCs w:val="18"/>
              </w:rPr>
              <w:t>31</w:t>
            </w:r>
            <w:r w:rsidR="00391C69" w:rsidRPr="00D939BA">
              <w:rPr>
                <w:rFonts w:ascii="Calibri" w:eastAsia="Times New Roman" w:hAnsi="Calibri" w:cs="Times New Roman"/>
                <w:sz w:val="18"/>
                <w:szCs w:val="18"/>
              </w:rPr>
              <w:t>%</w:t>
            </w:r>
          </w:p>
        </w:tc>
        <w:tc>
          <w:tcPr>
            <w:tcW w:w="1293" w:type="dxa"/>
            <w:noWrap/>
            <w:hideMark/>
          </w:tcPr>
          <w:p w14:paraId="35288779" w14:textId="77777777" w:rsidR="00391C69" w:rsidRPr="00D939BA" w:rsidRDefault="00444F06" w:rsidP="00391C69">
            <w:pPr>
              <w:jc w:val="center"/>
              <w:rPr>
                <w:rFonts w:ascii="Calibri" w:eastAsia="Times New Roman" w:hAnsi="Calibri" w:cs="Times New Roman"/>
                <w:sz w:val="18"/>
                <w:szCs w:val="18"/>
              </w:rPr>
            </w:pPr>
            <w:r w:rsidRPr="00D939BA">
              <w:rPr>
                <w:rFonts w:ascii="Calibri" w:eastAsia="Times New Roman" w:hAnsi="Calibri" w:cs="Times New Roman"/>
                <w:sz w:val="18"/>
                <w:szCs w:val="18"/>
              </w:rPr>
              <w:t>40</w:t>
            </w:r>
            <w:r w:rsidR="00391C69" w:rsidRPr="00D939BA">
              <w:rPr>
                <w:rFonts w:ascii="Calibri" w:eastAsia="Times New Roman" w:hAnsi="Calibri" w:cs="Times New Roman"/>
                <w:sz w:val="18"/>
                <w:szCs w:val="18"/>
              </w:rPr>
              <w:t>%</w:t>
            </w:r>
          </w:p>
        </w:tc>
        <w:tc>
          <w:tcPr>
            <w:tcW w:w="1561" w:type="dxa"/>
            <w:noWrap/>
            <w:hideMark/>
          </w:tcPr>
          <w:p w14:paraId="6EE1FA48" w14:textId="77777777" w:rsidR="00391C69" w:rsidRPr="00D939BA" w:rsidRDefault="00444F06" w:rsidP="00391C69">
            <w:pPr>
              <w:jc w:val="center"/>
              <w:rPr>
                <w:rFonts w:ascii="Calibri" w:eastAsia="Times New Roman" w:hAnsi="Calibri" w:cs="Times New Roman"/>
                <w:sz w:val="18"/>
                <w:szCs w:val="18"/>
              </w:rPr>
            </w:pPr>
            <w:r w:rsidRPr="00D939BA">
              <w:rPr>
                <w:rFonts w:ascii="Calibri" w:eastAsia="Times New Roman" w:hAnsi="Calibri" w:cs="Times New Roman"/>
                <w:sz w:val="18"/>
                <w:szCs w:val="18"/>
              </w:rPr>
              <w:t>30</w:t>
            </w:r>
            <w:r w:rsidR="00391C69" w:rsidRPr="00D939BA">
              <w:rPr>
                <w:rFonts w:ascii="Calibri" w:eastAsia="Times New Roman" w:hAnsi="Calibri" w:cs="Times New Roman"/>
                <w:sz w:val="18"/>
                <w:szCs w:val="18"/>
              </w:rPr>
              <w:t>%</w:t>
            </w:r>
          </w:p>
        </w:tc>
        <w:tc>
          <w:tcPr>
            <w:tcW w:w="1204" w:type="dxa"/>
            <w:noWrap/>
            <w:hideMark/>
          </w:tcPr>
          <w:p w14:paraId="6E4B8760" w14:textId="77777777" w:rsidR="00391C69" w:rsidRPr="00D939BA" w:rsidRDefault="00444F06" w:rsidP="00391C69">
            <w:pPr>
              <w:jc w:val="center"/>
              <w:rPr>
                <w:rFonts w:ascii="Calibri" w:eastAsia="Times New Roman" w:hAnsi="Calibri" w:cs="Times New Roman"/>
                <w:sz w:val="18"/>
                <w:szCs w:val="18"/>
              </w:rPr>
            </w:pPr>
            <w:r w:rsidRPr="00D939BA">
              <w:rPr>
                <w:rFonts w:ascii="Calibri" w:eastAsia="Times New Roman" w:hAnsi="Calibri" w:cs="Times New Roman"/>
                <w:sz w:val="18"/>
                <w:szCs w:val="18"/>
              </w:rPr>
              <w:t>51</w:t>
            </w:r>
          </w:p>
        </w:tc>
        <w:tc>
          <w:tcPr>
            <w:tcW w:w="1355" w:type="dxa"/>
            <w:noWrap/>
            <w:hideMark/>
          </w:tcPr>
          <w:p w14:paraId="62956B61" w14:textId="77777777" w:rsidR="00391C69" w:rsidRPr="00D939BA" w:rsidRDefault="00444F06" w:rsidP="00391C69">
            <w:pPr>
              <w:jc w:val="center"/>
              <w:rPr>
                <w:rFonts w:ascii="Calibri" w:eastAsia="Times New Roman" w:hAnsi="Calibri" w:cs="Times New Roman"/>
                <w:sz w:val="18"/>
                <w:szCs w:val="18"/>
              </w:rPr>
            </w:pPr>
            <w:r w:rsidRPr="00D939BA">
              <w:rPr>
                <w:rFonts w:ascii="Calibri" w:eastAsia="Times New Roman" w:hAnsi="Calibri" w:cs="Times New Roman"/>
                <w:sz w:val="18"/>
                <w:szCs w:val="18"/>
              </w:rPr>
              <w:t>57</w:t>
            </w:r>
          </w:p>
        </w:tc>
      </w:tr>
      <w:tr w:rsidR="0047340A" w:rsidRPr="0047340A" w14:paraId="001FA519" w14:textId="77777777" w:rsidTr="00B86180">
        <w:trPr>
          <w:trHeight w:val="144"/>
          <w:jc w:val="center"/>
        </w:trPr>
        <w:tc>
          <w:tcPr>
            <w:tcW w:w="3875" w:type="dxa"/>
            <w:noWrap/>
            <w:hideMark/>
          </w:tcPr>
          <w:p w14:paraId="1274BA63" w14:textId="77777777" w:rsidR="00391C69" w:rsidRPr="0047340A" w:rsidRDefault="00444F06" w:rsidP="00391C69">
            <w:pPr>
              <w:rPr>
                <w:rFonts w:ascii="Calibri" w:eastAsia="Times New Roman" w:hAnsi="Calibri" w:cs="Times New Roman"/>
                <w:sz w:val="18"/>
                <w:szCs w:val="18"/>
              </w:rPr>
            </w:pPr>
            <w:r w:rsidRPr="0047340A">
              <w:rPr>
                <w:rFonts w:ascii="Calibri" w:eastAsia="Times New Roman" w:hAnsi="Calibri" w:cs="Times New Roman"/>
                <w:sz w:val="18"/>
                <w:szCs w:val="18"/>
              </w:rPr>
              <w:t>Corporate profits</w:t>
            </w:r>
          </w:p>
        </w:tc>
        <w:tc>
          <w:tcPr>
            <w:tcW w:w="1252" w:type="dxa"/>
            <w:noWrap/>
            <w:hideMark/>
          </w:tcPr>
          <w:p w14:paraId="231F2495" w14:textId="77777777" w:rsidR="00391C69" w:rsidRPr="00D939BA" w:rsidRDefault="00444F06" w:rsidP="00391C69">
            <w:pPr>
              <w:jc w:val="center"/>
              <w:rPr>
                <w:rFonts w:ascii="Calibri" w:eastAsia="Times New Roman" w:hAnsi="Calibri" w:cs="Times New Roman"/>
                <w:sz w:val="18"/>
                <w:szCs w:val="18"/>
              </w:rPr>
            </w:pPr>
            <w:r w:rsidRPr="00D939BA">
              <w:rPr>
                <w:rFonts w:ascii="Calibri" w:eastAsia="Times New Roman" w:hAnsi="Calibri" w:cs="Times New Roman"/>
                <w:sz w:val="18"/>
                <w:szCs w:val="18"/>
              </w:rPr>
              <w:t>32</w:t>
            </w:r>
            <w:r w:rsidR="00391C69" w:rsidRPr="00D939BA">
              <w:rPr>
                <w:rFonts w:ascii="Calibri" w:eastAsia="Times New Roman" w:hAnsi="Calibri" w:cs="Times New Roman"/>
                <w:sz w:val="18"/>
                <w:szCs w:val="18"/>
              </w:rPr>
              <w:t>%</w:t>
            </w:r>
          </w:p>
        </w:tc>
        <w:tc>
          <w:tcPr>
            <w:tcW w:w="1293" w:type="dxa"/>
            <w:noWrap/>
            <w:hideMark/>
          </w:tcPr>
          <w:p w14:paraId="7CCB3FF1" w14:textId="77777777" w:rsidR="00391C69" w:rsidRPr="00D939BA" w:rsidRDefault="00965C6D" w:rsidP="00391C69">
            <w:pPr>
              <w:jc w:val="center"/>
              <w:rPr>
                <w:rFonts w:ascii="Calibri" w:eastAsia="Times New Roman" w:hAnsi="Calibri" w:cs="Times New Roman"/>
                <w:sz w:val="18"/>
                <w:szCs w:val="18"/>
              </w:rPr>
            </w:pPr>
            <w:r>
              <w:rPr>
                <w:rFonts w:ascii="Calibri" w:eastAsia="Times New Roman" w:hAnsi="Calibri" w:cs="Times New Roman"/>
                <w:sz w:val="18"/>
                <w:szCs w:val="18"/>
              </w:rPr>
              <w:t>3</w:t>
            </w:r>
            <w:r w:rsidR="00444F06" w:rsidRPr="00D939BA">
              <w:rPr>
                <w:rFonts w:ascii="Calibri" w:eastAsia="Times New Roman" w:hAnsi="Calibri" w:cs="Times New Roman"/>
                <w:sz w:val="18"/>
                <w:szCs w:val="18"/>
              </w:rPr>
              <w:t>1</w:t>
            </w:r>
            <w:r w:rsidR="00391C69" w:rsidRPr="00D939BA">
              <w:rPr>
                <w:rFonts w:ascii="Calibri" w:eastAsia="Times New Roman" w:hAnsi="Calibri" w:cs="Times New Roman"/>
                <w:sz w:val="18"/>
                <w:szCs w:val="18"/>
              </w:rPr>
              <w:t>%</w:t>
            </w:r>
          </w:p>
        </w:tc>
        <w:tc>
          <w:tcPr>
            <w:tcW w:w="1561" w:type="dxa"/>
            <w:noWrap/>
            <w:hideMark/>
          </w:tcPr>
          <w:p w14:paraId="1C60FC43" w14:textId="77777777" w:rsidR="00391C69" w:rsidRPr="00D939BA" w:rsidRDefault="00444F06" w:rsidP="00391C69">
            <w:pPr>
              <w:jc w:val="center"/>
              <w:rPr>
                <w:rFonts w:ascii="Calibri" w:eastAsia="Times New Roman" w:hAnsi="Calibri" w:cs="Times New Roman"/>
                <w:sz w:val="18"/>
                <w:szCs w:val="18"/>
              </w:rPr>
            </w:pPr>
            <w:r w:rsidRPr="00D939BA">
              <w:rPr>
                <w:rFonts w:ascii="Calibri" w:eastAsia="Times New Roman" w:hAnsi="Calibri" w:cs="Times New Roman"/>
                <w:sz w:val="18"/>
                <w:szCs w:val="18"/>
              </w:rPr>
              <w:t>37</w:t>
            </w:r>
            <w:r w:rsidR="00391C69" w:rsidRPr="00D939BA">
              <w:rPr>
                <w:rFonts w:ascii="Calibri" w:eastAsia="Times New Roman" w:hAnsi="Calibri" w:cs="Times New Roman"/>
                <w:sz w:val="18"/>
                <w:szCs w:val="18"/>
              </w:rPr>
              <w:t>%</w:t>
            </w:r>
          </w:p>
        </w:tc>
        <w:tc>
          <w:tcPr>
            <w:tcW w:w="1204" w:type="dxa"/>
            <w:noWrap/>
            <w:hideMark/>
          </w:tcPr>
          <w:p w14:paraId="4FBA459E" w14:textId="77777777" w:rsidR="00391C69" w:rsidRPr="00D939BA" w:rsidRDefault="00444F06" w:rsidP="00391C69">
            <w:pPr>
              <w:jc w:val="center"/>
              <w:rPr>
                <w:rFonts w:ascii="Calibri" w:eastAsia="Times New Roman" w:hAnsi="Calibri" w:cs="Times New Roman"/>
                <w:sz w:val="18"/>
                <w:szCs w:val="18"/>
              </w:rPr>
            </w:pPr>
            <w:r w:rsidRPr="00D939BA">
              <w:rPr>
                <w:rFonts w:ascii="Calibri" w:eastAsia="Times New Roman" w:hAnsi="Calibri" w:cs="Times New Roman"/>
                <w:sz w:val="18"/>
                <w:szCs w:val="18"/>
              </w:rPr>
              <w:t>48</w:t>
            </w:r>
          </w:p>
        </w:tc>
        <w:tc>
          <w:tcPr>
            <w:tcW w:w="1355" w:type="dxa"/>
            <w:noWrap/>
            <w:hideMark/>
          </w:tcPr>
          <w:p w14:paraId="380DAFD7" w14:textId="77777777" w:rsidR="00391C69" w:rsidRPr="00D939BA" w:rsidRDefault="00444F06" w:rsidP="00391C69">
            <w:pPr>
              <w:jc w:val="center"/>
              <w:rPr>
                <w:rFonts w:ascii="Calibri" w:eastAsia="Times New Roman" w:hAnsi="Calibri" w:cs="Times New Roman"/>
                <w:sz w:val="18"/>
                <w:szCs w:val="18"/>
              </w:rPr>
            </w:pPr>
            <w:r w:rsidRPr="00D939BA">
              <w:rPr>
                <w:rFonts w:ascii="Calibri" w:eastAsia="Times New Roman" w:hAnsi="Calibri" w:cs="Times New Roman"/>
                <w:sz w:val="18"/>
                <w:szCs w:val="18"/>
              </w:rPr>
              <w:t>53</w:t>
            </w:r>
          </w:p>
        </w:tc>
      </w:tr>
    </w:tbl>
    <w:p w14:paraId="590D6953" w14:textId="77777777" w:rsidR="00C2607A" w:rsidRDefault="00C2607A" w:rsidP="009B3DF5">
      <w:pPr>
        <w:spacing w:after="0" w:line="72" w:lineRule="auto"/>
      </w:pPr>
    </w:p>
    <w:tbl>
      <w:tblPr>
        <w:tblStyle w:val="PlainTable4"/>
        <w:tblW w:w="10625" w:type="dxa"/>
        <w:jc w:val="center"/>
        <w:tblBorders>
          <w:top w:val="single" w:sz="4" w:space="0" w:color="auto"/>
          <w:left w:val="single" w:sz="4" w:space="0" w:color="auto"/>
          <w:bottom w:val="single" w:sz="4" w:space="0" w:color="auto"/>
          <w:right w:val="single" w:sz="4" w:space="0" w:color="auto"/>
        </w:tblBorders>
        <w:tblLook w:val="06A0" w:firstRow="1" w:lastRow="0" w:firstColumn="1" w:lastColumn="0" w:noHBand="1" w:noVBand="1"/>
        <w:tblCaption w:val="Changes in credit conditions"/>
        <w:tblDescription w:val="Table showing that 68 percent of respondents did not experience changes in credit conditions."/>
      </w:tblPr>
      <w:tblGrid>
        <w:gridCol w:w="3870"/>
        <w:gridCol w:w="1440"/>
        <w:gridCol w:w="1350"/>
        <w:gridCol w:w="1260"/>
        <w:gridCol w:w="1350"/>
        <w:gridCol w:w="1355"/>
      </w:tblGrid>
      <w:tr w:rsidR="00C2607A" w:rsidRPr="000A28AD" w14:paraId="5D7BCB55" w14:textId="77777777" w:rsidTr="00B86180">
        <w:trPr>
          <w:cnfStyle w:val="100000000000" w:firstRow="1" w:lastRow="0" w:firstColumn="0" w:lastColumn="0" w:oddVBand="0" w:evenVBand="0" w:oddHBand="0" w:evenHBand="0" w:firstRowFirstColumn="0" w:firstRowLastColumn="0" w:lastRowFirstColumn="0" w:lastRowLastColumn="0"/>
          <w:trHeight w:val="144"/>
          <w:tblHeader/>
          <w:jc w:val="center"/>
        </w:trPr>
        <w:tc>
          <w:tcPr>
            <w:cnfStyle w:val="001000000000" w:firstRow="0" w:lastRow="0" w:firstColumn="1" w:lastColumn="0" w:oddVBand="0" w:evenVBand="0" w:oddHBand="0" w:evenHBand="0" w:firstRowFirstColumn="0" w:firstRowLastColumn="0" w:lastRowFirstColumn="0" w:lastRowLastColumn="0"/>
            <w:tcW w:w="3870" w:type="dxa"/>
            <w:tcBorders>
              <w:top w:val="single" w:sz="4" w:space="0" w:color="auto"/>
              <w:bottom w:val="single" w:sz="4" w:space="0" w:color="auto"/>
            </w:tcBorders>
            <w:shd w:val="clear" w:color="auto" w:fill="BDD6EE" w:themeFill="accent1" w:themeFillTint="66"/>
            <w:noWrap/>
            <w:hideMark/>
          </w:tcPr>
          <w:p w14:paraId="728E8CA9" w14:textId="77777777" w:rsidR="00C2607A" w:rsidRPr="000A28AD" w:rsidRDefault="00C2607A" w:rsidP="005E4C28">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Have changes in credit conditions in the last</w:t>
            </w:r>
            <w:r>
              <w:rPr>
                <w:rFonts w:ascii="Calibri" w:eastAsia="Times New Roman" w:hAnsi="Calibri" w:cs="Times New Roman"/>
                <w:color w:val="000000"/>
                <w:sz w:val="18"/>
                <w:szCs w:val="18"/>
              </w:rPr>
              <w:br/>
              <w:t>4 quarters affected your firm?</w:t>
            </w:r>
            <w:r w:rsidRPr="000A28AD">
              <w:rPr>
                <w:rFonts w:ascii="Calibri" w:eastAsia="Times New Roman" w:hAnsi="Calibri" w:cs="Times New Roman"/>
                <w:color w:val="000000"/>
                <w:sz w:val="18"/>
                <w:szCs w:val="18"/>
              </w:rPr>
              <w:t>:</w:t>
            </w:r>
          </w:p>
        </w:tc>
        <w:tc>
          <w:tcPr>
            <w:tcW w:w="1440" w:type="dxa"/>
            <w:tcBorders>
              <w:top w:val="single" w:sz="4" w:space="0" w:color="auto"/>
              <w:bottom w:val="single" w:sz="4" w:space="0" w:color="auto"/>
            </w:tcBorders>
            <w:shd w:val="clear" w:color="auto" w:fill="BDD6EE" w:themeFill="accent1" w:themeFillTint="66"/>
            <w:noWrap/>
            <w:hideMark/>
          </w:tcPr>
          <w:p w14:paraId="61B7331E" w14:textId="77777777" w:rsidR="00C2607A" w:rsidRPr="000A28AD" w:rsidRDefault="002E4C76" w:rsidP="002E4C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br/>
              <w:t xml:space="preserve">No </w:t>
            </w:r>
            <w:r>
              <w:rPr>
                <w:rFonts w:ascii="Calibri" w:eastAsia="Times New Roman" w:hAnsi="Calibri" w:cs="Times New Roman"/>
                <w:color w:val="000000"/>
                <w:sz w:val="18"/>
                <w:szCs w:val="18"/>
              </w:rPr>
              <w:br/>
              <w:t>Changes</w:t>
            </w:r>
          </w:p>
        </w:tc>
        <w:tc>
          <w:tcPr>
            <w:tcW w:w="1350" w:type="dxa"/>
            <w:tcBorders>
              <w:top w:val="single" w:sz="4" w:space="0" w:color="auto"/>
              <w:bottom w:val="single" w:sz="4" w:space="0" w:color="auto"/>
            </w:tcBorders>
            <w:shd w:val="clear" w:color="auto" w:fill="BDD6EE" w:themeFill="accent1" w:themeFillTint="66"/>
            <w:noWrap/>
            <w:hideMark/>
          </w:tcPr>
          <w:p w14:paraId="4C30EC53" w14:textId="77777777" w:rsidR="00C2607A" w:rsidRPr="000A28AD" w:rsidRDefault="002E4C76" w:rsidP="002E4C7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br/>
              <w:t>Increased Hiring</w:t>
            </w:r>
          </w:p>
        </w:tc>
        <w:tc>
          <w:tcPr>
            <w:tcW w:w="1260" w:type="dxa"/>
            <w:tcBorders>
              <w:top w:val="single" w:sz="4" w:space="0" w:color="auto"/>
              <w:bottom w:val="single" w:sz="4" w:space="0" w:color="auto"/>
            </w:tcBorders>
            <w:shd w:val="clear" w:color="auto" w:fill="BDD6EE" w:themeFill="accent1" w:themeFillTint="66"/>
            <w:noWrap/>
            <w:hideMark/>
          </w:tcPr>
          <w:p w14:paraId="0BE7119C" w14:textId="77777777" w:rsidR="00C2607A" w:rsidRDefault="00C2607A" w:rsidP="005E4C2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Increased</w:t>
            </w:r>
          </w:p>
          <w:p w14:paraId="3A9B3EE7" w14:textId="77777777" w:rsidR="00C2607A" w:rsidRPr="000A28AD" w:rsidRDefault="00C2607A" w:rsidP="005E4C2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Cap</w:t>
            </w:r>
            <w:r w:rsidR="002E4C76">
              <w:rPr>
                <w:rFonts w:ascii="Calibri" w:eastAsia="Times New Roman" w:hAnsi="Calibri" w:cs="Times New Roman"/>
                <w:color w:val="000000"/>
                <w:sz w:val="18"/>
                <w:szCs w:val="18"/>
              </w:rPr>
              <w:t>ital</w:t>
            </w:r>
            <w:r>
              <w:rPr>
                <w:rFonts w:ascii="Calibri" w:eastAsia="Times New Roman" w:hAnsi="Calibri" w:cs="Times New Roman"/>
                <w:color w:val="000000"/>
                <w:sz w:val="18"/>
                <w:szCs w:val="18"/>
              </w:rPr>
              <w:t xml:space="preserve"> Expend</w:t>
            </w:r>
            <w:r w:rsidR="002E4C76">
              <w:rPr>
                <w:rFonts w:ascii="Calibri" w:eastAsia="Times New Roman" w:hAnsi="Calibri" w:cs="Times New Roman"/>
                <w:color w:val="000000"/>
                <w:sz w:val="18"/>
                <w:szCs w:val="18"/>
              </w:rPr>
              <w:t>itures</w:t>
            </w:r>
          </w:p>
        </w:tc>
        <w:tc>
          <w:tcPr>
            <w:tcW w:w="1350" w:type="dxa"/>
            <w:tcBorders>
              <w:top w:val="single" w:sz="4" w:space="0" w:color="auto"/>
              <w:bottom w:val="single" w:sz="4" w:space="0" w:color="auto"/>
            </w:tcBorders>
            <w:shd w:val="clear" w:color="auto" w:fill="BDD6EE" w:themeFill="accent1" w:themeFillTint="66"/>
            <w:noWrap/>
            <w:hideMark/>
          </w:tcPr>
          <w:p w14:paraId="70C8E45B" w14:textId="77777777" w:rsidR="00C2607A" w:rsidRPr="000A28AD" w:rsidRDefault="002E4C76" w:rsidP="005E4C2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br/>
              <w:t>Decreased</w:t>
            </w:r>
            <w:r>
              <w:rPr>
                <w:rFonts w:ascii="Calibri" w:eastAsia="Times New Roman" w:hAnsi="Calibri" w:cs="Times New Roman"/>
                <w:color w:val="000000"/>
                <w:sz w:val="18"/>
                <w:szCs w:val="18"/>
              </w:rPr>
              <w:br/>
              <w:t>Hiring</w:t>
            </w:r>
          </w:p>
        </w:tc>
        <w:tc>
          <w:tcPr>
            <w:tcW w:w="1355" w:type="dxa"/>
            <w:tcBorders>
              <w:top w:val="single" w:sz="4" w:space="0" w:color="auto"/>
              <w:bottom w:val="single" w:sz="4" w:space="0" w:color="auto"/>
            </w:tcBorders>
            <w:shd w:val="clear" w:color="auto" w:fill="BDD6EE" w:themeFill="accent1" w:themeFillTint="66"/>
            <w:noWrap/>
            <w:hideMark/>
          </w:tcPr>
          <w:p w14:paraId="65ED58FD" w14:textId="77777777" w:rsidR="00C2607A" w:rsidRPr="000A28AD" w:rsidRDefault="00C2607A" w:rsidP="005E4C2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Decreased </w:t>
            </w:r>
            <w:r>
              <w:rPr>
                <w:rFonts w:ascii="Calibri" w:eastAsia="Times New Roman" w:hAnsi="Calibri" w:cs="Times New Roman"/>
                <w:color w:val="000000"/>
                <w:sz w:val="18"/>
                <w:szCs w:val="18"/>
              </w:rPr>
              <w:br/>
              <w:t>Cap</w:t>
            </w:r>
            <w:r w:rsidR="002E4C76">
              <w:rPr>
                <w:rFonts w:ascii="Calibri" w:eastAsia="Times New Roman" w:hAnsi="Calibri" w:cs="Times New Roman"/>
                <w:color w:val="000000"/>
                <w:sz w:val="18"/>
                <w:szCs w:val="18"/>
              </w:rPr>
              <w:t>ital</w:t>
            </w:r>
            <w:r>
              <w:rPr>
                <w:rFonts w:ascii="Calibri" w:eastAsia="Times New Roman" w:hAnsi="Calibri" w:cs="Times New Roman"/>
                <w:color w:val="000000"/>
                <w:sz w:val="18"/>
                <w:szCs w:val="18"/>
              </w:rPr>
              <w:t xml:space="preserve"> Expend</w:t>
            </w:r>
            <w:r w:rsidR="002E4C76">
              <w:rPr>
                <w:rFonts w:ascii="Calibri" w:eastAsia="Times New Roman" w:hAnsi="Calibri" w:cs="Times New Roman"/>
                <w:color w:val="000000"/>
                <w:sz w:val="18"/>
                <w:szCs w:val="18"/>
              </w:rPr>
              <w:t>iture</w:t>
            </w:r>
          </w:p>
        </w:tc>
      </w:tr>
      <w:tr w:rsidR="00C2607A" w:rsidRPr="000A28AD" w14:paraId="15DAE7B5" w14:textId="77777777" w:rsidTr="00B86180">
        <w:trPr>
          <w:trHeight w:val="144"/>
          <w:jc w:val="center"/>
        </w:trPr>
        <w:tc>
          <w:tcPr>
            <w:cnfStyle w:val="001000000000" w:firstRow="0" w:lastRow="0" w:firstColumn="1" w:lastColumn="0" w:oddVBand="0" w:evenVBand="0" w:oddHBand="0" w:evenHBand="0" w:firstRowFirstColumn="0" w:firstRowLastColumn="0" w:lastRowFirstColumn="0" w:lastRowLastColumn="0"/>
            <w:tcW w:w="3870" w:type="dxa"/>
            <w:tcBorders>
              <w:top w:val="single" w:sz="4" w:space="0" w:color="auto"/>
            </w:tcBorders>
            <w:noWrap/>
            <w:hideMark/>
          </w:tcPr>
          <w:p w14:paraId="71346B85" w14:textId="77777777" w:rsidR="00C2607A" w:rsidRPr="000A28AD" w:rsidRDefault="00C2607A" w:rsidP="005E4C28">
            <w:pPr>
              <w:rPr>
                <w:rFonts w:ascii="Calibri" w:eastAsia="Times New Roman" w:hAnsi="Calibri" w:cs="Times New Roman"/>
                <w:b w:val="0"/>
                <w:color w:val="000000"/>
                <w:sz w:val="18"/>
                <w:szCs w:val="18"/>
              </w:rPr>
            </w:pPr>
          </w:p>
        </w:tc>
        <w:tc>
          <w:tcPr>
            <w:tcW w:w="1440" w:type="dxa"/>
            <w:tcBorders>
              <w:top w:val="single" w:sz="4" w:space="0" w:color="auto"/>
            </w:tcBorders>
            <w:noWrap/>
            <w:hideMark/>
          </w:tcPr>
          <w:p w14:paraId="030DBFE3" w14:textId="77777777" w:rsidR="00C2607A" w:rsidRPr="00D939BA" w:rsidRDefault="00444F06" w:rsidP="005E4C2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D939BA">
              <w:rPr>
                <w:rFonts w:ascii="Calibri" w:eastAsia="Times New Roman" w:hAnsi="Calibri" w:cs="Times New Roman"/>
                <w:color w:val="000000"/>
                <w:sz w:val="18"/>
                <w:szCs w:val="18"/>
              </w:rPr>
              <w:t>68</w:t>
            </w:r>
            <w:r w:rsidR="00C2607A" w:rsidRPr="00D939BA">
              <w:rPr>
                <w:rFonts w:ascii="Calibri" w:eastAsia="Times New Roman" w:hAnsi="Calibri" w:cs="Times New Roman"/>
                <w:color w:val="000000"/>
                <w:sz w:val="18"/>
                <w:szCs w:val="18"/>
              </w:rPr>
              <w:t>%</w:t>
            </w:r>
          </w:p>
        </w:tc>
        <w:tc>
          <w:tcPr>
            <w:tcW w:w="1350" w:type="dxa"/>
            <w:tcBorders>
              <w:top w:val="single" w:sz="4" w:space="0" w:color="auto"/>
            </w:tcBorders>
            <w:noWrap/>
            <w:hideMark/>
          </w:tcPr>
          <w:p w14:paraId="4187109A" w14:textId="77777777" w:rsidR="00C2607A" w:rsidRPr="00D939BA" w:rsidRDefault="00444F06" w:rsidP="005E4C2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D939BA">
              <w:rPr>
                <w:rFonts w:ascii="Calibri" w:eastAsia="Times New Roman" w:hAnsi="Calibri" w:cs="Times New Roman"/>
                <w:color w:val="000000"/>
                <w:sz w:val="18"/>
                <w:szCs w:val="18"/>
              </w:rPr>
              <w:t>5</w:t>
            </w:r>
            <w:r w:rsidR="00C2607A" w:rsidRPr="00D939BA">
              <w:rPr>
                <w:rFonts w:ascii="Calibri" w:eastAsia="Times New Roman" w:hAnsi="Calibri" w:cs="Times New Roman"/>
                <w:color w:val="000000"/>
                <w:sz w:val="18"/>
                <w:szCs w:val="18"/>
              </w:rPr>
              <w:t>%</w:t>
            </w:r>
          </w:p>
        </w:tc>
        <w:tc>
          <w:tcPr>
            <w:tcW w:w="1260" w:type="dxa"/>
            <w:tcBorders>
              <w:top w:val="single" w:sz="4" w:space="0" w:color="auto"/>
            </w:tcBorders>
            <w:noWrap/>
            <w:hideMark/>
          </w:tcPr>
          <w:p w14:paraId="7594B312" w14:textId="77777777" w:rsidR="00C2607A" w:rsidRPr="00D939BA" w:rsidRDefault="00444F06" w:rsidP="005E4C2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D939BA">
              <w:rPr>
                <w:rFonts w:ascii="Calibri" w:eastAsia="Times New Roman" w:hAnsi="Calibri" w:cs="Times New Roman"/>
                <w:color w:val="000000"/>
                <w:sz w:val="18"/>
                <w:szCs w:val="18"/>
              </w:rPr>
              <w:t>8</w:t>
            </w:r>
            <w:r w:rsidR="00C2607A" w:rsidRPr="00D939BA">
              <w:rPr>
                <w:rFonts w:ascii="Calibri" w:eastAsia="Times New Roman" w:hAnsi="Calibri" w:cs="Times New Roman"/>
                <w:color w:val="000000"/>
                <w:sz w:val="18"/>
                <w:szCs w:val="18"/>
              </w:rPr>
              <w:t>%</w:t>
            </w:r>
          </w:p>
        </w:tc>
        <w:tc>
          <w:tcPr>
            <w:tcW w:w="1350" w:type="dxa"/>
            <w:tcBorders>
              <w:top w:val="single" w:sz="4" w:space="0" w:color="auto"/>
            </w:tcBorders>
            <w:noWrap/>
            <w:hideMark/>
          </w:tcPr>
          <w:p w14:paraId="64A6A330" w14:textId="77777777" w:rsidR="00C2607A" w:rsidRPr="00D939BA" w:rsidRDefault="00F6539A" w:rsidP="005E4C2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D939BA">
              <w:rPr>
                <w:rFonts w:ascii="Calibri" w:eastAsia="Times New Roman" w:hAnsi="Calibri" w:cs="Times New Roman"/>
                <w:color w:val="000000"/>
                <w:sz w:val="18"/>
                <w:szCs w:val="18"/>
              </w:rPr>
              <w:t>1</w:t>
            </w:r>
            <w:r w:rsidR="00444F06" w:rsidRPr="00D939BA">
              <w:rPr>
                <w:rFonts w:ascii="Calibri" w:eastAsia="Times New Roman" w:hAnsi="Calibri" w:cs="Times New Roman"/>
                <w:color w:val="000000"/>
                <w:sz w:val="18"/>
                <w:szCs w:val="18"/>
              </w:rPr>
              <w:t>9</w:t>
            </w:r>
            <w:r w:rsidR="00C2607A" w:rsidRPr="00D939BA">
              <w:rPr>
                <w:rFonts w:ascii="Calibri" w:eastAsia="Times New Roman" w:hAnsi="Calibri" w:cs="Times New Roman"/>
                <w:color w:val="000000"/>
                <w:sz w:val="18"/>
                <w:szCs w:val="18"/>
              </w:rPr>
              <w:t>%</w:t>
            </w:r>
          </w:p>
        </w:tc>
        <w:tc>
          <w:tcPr>
            <w:tcW w:w="1355" w:type="dxa"/>
            <w:tcBorders>
              <w:top w:val="single" w:sz="4" w:space="0" w:color="auto"/>
            </w:tcBorders>
            <w:noWrap/>
            <w:hideMark/>
          </w:tcPr>
          <w:p w14:paraId="67CF46C5" w14:textId="77777777" w:rsidR="00C2607A" w:rsidRPr="00D939BA" w:rsidRDefault="00444F06" w:rsidP="005E4C2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D939BA">
              <w:rPr>
                <w:rFonts w:ascii="Calibri" w:eastAsia="Times New Roman" w:hAnsi="Calibri" w:cs="Times New Roman"/>
                <w:color w:val="000000"/>
                <w:sz w:val="18"/>
                <w:szCs w:val="18"/>
              </w:rPr>
              <w:t>22</w:t>
            </w:r>
            <w:r w:rsidR="00C2607A" w:rsidRPr="00D939BA">
              <w:rPr>
                <w:rFonts w:ascii="Calibri" w:eastAsia="Times New Roman" w:hAnsi="Calibri" w:cs="Times New Roman"/>
                <w:color w:val="000000"/>
                <w:sz w:val="18"/>
                <w:szCs w:val="18"/>
              </w:rPr>
              <w:t>%</w:t>
            </w:r>
          </w:p>
        </w:tc>
      </w:tr>
    </w:tbl>
    <w:p w14:paraId="09F7D310" w14:textId="77777777" w:rsidR="001F26CC" w:rsidRDefault="001F26CC" w:rsidP="009B3DF5">
      <w:pPr>
        <w:spacing w:after="0" w:line="72" w:lineRule="auto"/>
      </w:pPr>
    </w:p>
    <w:p w14:paraId="0368CB28" w14:textId="77777777" w:rsidR="00B86180" w:rsidRDefault="00B86180" w:rsidP="00B86180">
      <w:pPr>
        <w:sectPr w:rsidR="00B86180" w:rsidSect="009969EB">
          <w:type w:val="continuous"/>
          <w:pgSz w:w="12240" w:h="15840"/>
          <w:pgMar w:top="720" w:right="720" w:bottom="720" w:left="720" w:header="720" w:footer="720" w:gutter="0"/>
          <w:cols w:space="720"/>
          <w:docGrid w:linePitch="360"/>
        </w:sectPr>
      </w:pPr>
    </w:p>
    <w:p w14:paraId="664675CD" w14:textId="77777777" w:rsidR="0087386F" w:rsidRDefault="002E60AC" w:rsidP="002E60AC">
      <w:r w:rsidRPr="00D60273">
        <w:rPr>
          <w:rStyle w:val="Heading2Char"/>
          <w:b/>
        </w:rPr>
        <w:t xml:space="preserve">Impact of </w:t>
      </w:r>
      <w:r w:rsidRPr="0093302A">
        <w:rPr>
          <w:rStyle w:val="Heading2Char"/>
          <w:b/>
        </w:rPr>
        <w:t>C</w:t>
      </w:r>
      <w:r w:rsidR="0093302A" w:rsidRPr="0093302A">
        <w:rPr>
          <w:rStyle w:val="Heading2Char"/>
          <w:b/>
        </w:rPr>
        <w:t>OVID</w:t>
      </w:r>
      <w:r w:rsidRPr="0093302A">
        <w:rPr>
          <w:rStyle w:val="Heading2Char"/>
          <w:b/>
        </w:rPr>
        <w:t>-19</w:t>
      </w:r>
      <w:r w:rsidRPr="00D60273">
        <w:rPr>
          <w:rStyle w:val="Heading2Char"/>
          <w:b/>
        </w:rPr>
        <w:br/>
      </w:r>
      <w:r>
        <w:t xml:space="preserve">New questions </w:t>
      </w:r>
      <w:r w:rsidRPr="00E83520">
        <w:t>inquired</w:t>
      </w:r>
      <w:r>
        <w:t xml:space="preserve"> about the impact of the COVID-1</w:t>
      </w:r>
      <w:r w:rsidR="00235D13">
        <w:t>9 pandemic on Minnesota manufacturing</w:t>
      </w:r>
      <w:r>
        <w:t xml:space="preserve"> firms.</w:t>
      </w:r>
      <w:r w:rsidR="002A4627">
        <w:t xml:space="preserve"> </w:t>
      </w:r>
    </w:p>
    <w:p w14:paraId="3822231F" w14:textId="5EAF2895" w:rsidR="00B86180" w:rsidRPr="006B6F5E" w:rsidRDefault="002A4627" w:rsidP="002E60AC">
      <w:r>
        <w:t>T</w:t>
      </w:r>
      <w:r w:rsidR="00962FBB">
        <w:t xml:space="preserve">he pandemic had </w:t>
      </w:r>
      <w:r>
        <w:t xml:space="preserve">a particularly negative effect </w:t>
      </w:r>
      <w:r w:rsidR="00DE60D0">
        <w:t xml:space="preserve">on the supply chain, </w:t>
      </w:r>
      <w:r>
        <w:t>revenue</w:t>
      </w:r>
      <w:r w:rsidR="00DE60D0">
        <w:t>s</w:t>
      </w:r>
      <w:r>
        <w:t xml:space="preserve"> and employee productivity. </w:t>
      </w:r>
      <w:r w:rsidR="00DE60D0">
        <w:t xml:space="preserve">Seventy-seven percent of respondents indicated delays in supply chain. </w:t>
      </w:r>
      <w:r w:rsidR="00235D13">
        <w:t>Seventy-two</w:t>
      </w:r>
      <w:r w:rsidRPr="0093302A">
        <w:t xml:space="preserve"> percent</w:t>
      </w:r>
      <w:r>
        <w:t xml:space="preserve"> experienced a decline in revenue</w:t>
      </w:r>
      <w:r w:rsidR="002D20C8">
        <w:t>,</w:t>
      </w:r>
      <w:r>
        <w:t xml:space="preserve"> while </w:t>
      </w:r>
      <w:r w:rsidR="00DE60D0">
        <w:t>close to</w:t>
      </w:r>
      <w:r w:rsidR="00235D13">
        <w:t xml:space="preserve"> </w:t>
      </w:r>
      <w:r w:rsidR="00DB1BE2">
        <w:t xml:space="preserve">half indicated </w:t>
      </w:r>
      <w:r w:rsidR="00E8710E">
        <w:t>a drop in employee productivity.</w:t>
      </w:r>
    </w:p>
    <w:p w14:paraId="10AA3A73" w14:textId="00B4CE06" w:rsidR="00F267EF" w:rsidRDefault="00DE60D0" w:rsidP="002E60AC">
      <w:r>
        <w:t>Fifty-six percent indicated no changes in manufacturing capacity</w:t>
      </w:r>
      <w:r w:rsidR="002D20C8">
        <w:t>,</w:t>
      </w:r>
      <w:r>
        <w:t xml:space="preserve"> but 26% experienced a decrease.</w:t>
      </w:r>
      <w:r w:rsidR="006A1085">
        <w:br/>
      </w:r>
      <w:r w:rsidR="006A1085">
        <w:br/>
      </w:r>
      <w:r w:rsidR="00F267EF">
        <w:t>The large majority of respondents</w:t>
      </w:r>
      <w:r>
        <w:t xml:space="preserve"> (59%) </w:t>
      </w:r>
      <w:r w:rsidR="00F267EF">
        <w:t xml:space="preserve">indicated they have not </w:t>
      </w:r>
      <w:r w:rsidR="00EE2D4D">
        <w:t>missed loan</w:t>
      </w:r>
      <w:r w:rsidR="00F267EF">
        <w:t xml:space="preserve"> </w:t>
      </w:r>
      <w:r w:rsidR="00EE2D4D">
        <w:t>nor rent paymen</w:t>
      </w:r>
      <w:r>
        <w:t>ts</w:t>
      </w:r>
      <w:r w:rsidR="00EE2D4D">
        <w:t>.</w:t>
      </w:r>
    </w:p>
    <w:p w14:paraId="6D910D9D" w14:textId="33507341" w:rsidR="0087386F" w:rsidRDefault="0087386F" w:rsidP="002E60AC">
      <w:r>
        <w:t>Forty-three</w:t>
      </w:r>
      <w:r w:rsidR="000F78D5">
        <w:t xml:space="preserve"> </w:t>
      </w:r>
      <w:r w:rsidR="000F78D5" w:rsidRPr="0093302A">
        <w:t>percent</w:t>
      </w:r>
      <w:r w:rsidR="000F78D5">
        <w:t xml:space="preserve"> of</w:t>
      </w:r>
      <w:r>
        <w:t xml:space="preserve"> respondents experienced a decrease</w:t>
      </w:r>
      <w:r w:rsidR="000F78D5">
        <w:t xml:space="preserve"> in cash availability</w:t>
      </w:r>
      <w:r w:rsidR="002D20C8">
        <w:t>,</w:t>
      </w:r>
      <w:r w:rsidR="000F78D5">
        <w:t xml:space="preserve"> while </w:t>
      </w:r>
      <w:r w:rsidR="000F78D5" w:rsidRPr="0093302A">
        <w:t>3</w:t>
      </w:r>
      <w:r w:rsidR="0093302A" w:rsidRPr="0093302A">
        <w:t xml:space="preserve">9% </w:t>
      </w:r>
      <w:r>
        <w:t xml:space="preserve">indicated no change. </w:t>
      </w:r>
    </w:p>
    <w:p w14:paraId="70C436F2" w14:textId="48E36E51" w:rsidR="0087386F" w:rsidRDefault="0087386F" w:rsidP="0087386F">
      <w:r>
        <w:t>Ninety</w:t>
      </w:r>
      <w:r w:rsidR="002D20C8">
        <w:t xml:space="preserve"> </w:t>
      </w:r>
      <w:r>
        <w:t>percent of respondents indicated an increase in use of COVID-19 protective equipment.</w:t>
      </w:r>
    </w:p>
    <w:p w14:paraId="327CC5F2" w14:textId="580BFF7A" w:rsidR="006A1085" w:rsidRDefault="0087386F" w:rsidP="002E60AC">
      <w:pPr>
        <w:sectPr w:rsidR="006A1085" w:rsidSect="00B86180">
          <w:type w:val="continuous"/>
          <w:pgSz w:w="12240" w:h="15840"/>
          <w:pgMar w:top="720" w:right="720" w:bottom="720" w:left="720" w:header="720" w:footer="720" w:gutter="0"/>
          <w:cols w:num="2" w:space="720"/>
          <w:docGrid w:linePitch="360"/>
        </w:sectPr>
      </w:pPr>
      <w:r>
        <w:t>More than</w:t>
      </w:r>
      <w:r w:rsidR="00EE2D4D">
        <w:t xml:space="preserve"> half of respondents indicated they expect to go back to normal operations in more than </w:t>
      </w:r>
      <w:r>
        <w:t>six months</w:t>
      </w:r>
      <w:r w:rsidR="002D20C8">
        <w:t>,</w:t>
      </w:r>
      <w:r>
        <w:t xml:space="preserve"> while almost 13%</w:t>
      </w:r>
      <w:r w:rsidR="00EE2D4D">
        <w:t xml:space="preserve"> </w:t>
      </w:r>
      <w:r w:rsidR="002D20C8">
        <w:t>indicated</w:t>
      </w:r>
      <w:r w:rsidR="00EE2D4D">
        <w:t xml:space="preserve"> their businesses will not go back to normal</w:t>
      </w:r>
      <w:r w:rsidR="008917AD">
        <w:t>.</w:t>
      </w:r>
      <w:r w:rsidR="00B81B7A">
        <w:br/>
      </w:r>
    </w:p>
    <w:p w14:paraId="77C29B45" w14:textId="77777777" w:rsidR="00820241" w:rsidRDefault="00820241" w:rsidP="008917AD">
      <w:pPr>
        <w:spacing w:after="0" w:line="240" w:lineRule="auto"/>
      </w:pPr>
    </w:p>
    <w:p w14:paraId="7FCB9568" w14:textId="77777777" w:rsidR="005252B0" w:rsidRDefault="005252B0" w:rsidP="00FE2F3B">
      <w:pPr>
        <w:rPr>
          <w:rFonts w:ascii="Calibri" w:eastAsia="Times New Roman" w:hAnsi="Calibri" w:cs="Times New Roman"/>
          <w:b/>
          <w:bCs/>
          <w:color w:val="000000"/>
          <w:sz w:val="18"/>
          <w:szCs w:val="18"/>
        </w:rPr>
        <w:sectPr w:rsidR="005252B0" w:rsidSect="00B86180">
          <w:type w:val="continuous"/>
          <w:pgSz w:w="12240" w:h="15840"/>
          <w:pgMar w:top="720" w:right="720" w:bottom="720" w:left="720" w:header="720" w:footer="720" w:gutter="0"/>
          <w:cols w:num="2" w:space="720"/>
          <w:docGrid w:linePitch="360"/>
        </w:sectPr>
      </w:pPr>
    </w:p>
    <w:p w14:paraId="402FB3FD" w14:textId="77777777" w:rsidR="005252B0" w:rsidRPr="00671D12" w:rsidRDefault="005252B0" w:rsidP="00550643">
      <w:pPr>
        <w:spacing w:after="0" w:line="240" w:lineRule="auto"/>
        <w:rPr>
          <w:rFonts w:ascii="Calibri" w:eastAsia="Times New Roman" w:hAnsi="Calibri" w:cs="Times New Roman"/>
          <w:b/>
          <w:bCs/>
          <w:color w:val="000000"/>
        </w:rPr>
        <w:sectPr w:rsidR="005252B0" w:rsidRPr="00671D12" w:rsidSect="00820241">
          <w:type w:val="continuous"/>
          <w:pgSz w:w="12240" w:h="15840"/>
          <w:pgMar w:top="720" w:right="720" w:bottom="720" w:left="720" w:header="720" w:footer="720" w:gutter="0"/>
          <w:cols w:space="720"/>
          <w:docGrid w:linePitch="360"/>
        </w:sectPr>
      </w:pPr>
      <w:r w:rsidRPr="00671D12">
        <w:rPr>
          <w:color w:val="2E74B5" w:themeColor="accent1" w:themeShade="BF"/>
        </w:rPr>
        <w:t xml:space="preserve">Table 2. Impact </w:t>
      </w:r>
      <w:r w:rsidR="0087386F">
        <w:rPr>
          <w:color w:val="2E74B5" w:themeColor="accent1" w:themeShade="BF"/>
        </w:rPr>
        <w:t>of COVID-19 on Minnesota Manufacturing</w:t>
      </w:r>
      <w:r w:rsidRPr="00671D12">
        <w:rPr>
          <w:color w:val="2E74B5" w:themeColor="accent1" w:themeShade="BF"/>
        </w:rPr>
        <w:t xml:space="preserve"> </w:t>
      </w:r>
      <w:r w:rsidR="00550643" w:rsidRPr="00671D12">
        <w:rPr>
          <w:rFonts w:eastAsia="Times New Roman"/>
          <w:color w:val="2E74B5" w:themeColor="accent1" w:themeShade="BF"/>
        </w:rPr>
        <w:t>Firms</w:t>
      </w:r>
      <w:r w:rsidR="00AD38E8" w:rsidRPr="00AD38E8">
        <w:rPr>
          <w:rFonts w:eastAsia="Times New Roman"/>
          <w:color w:val="2E74B5" w:themeColor="accent1" w:themeShade="BF"/>
          <w:vertAlign w:val="superscript"/>
        </w:rPr>
        <w:t>1</w:t>
      </w:r>
    </w:p>
    <w:tbl>
      <w:tblPr>
        <w:tblStyle w:val="PlainTable4"/>
        <w:tblW w:w="10578" w:type="dxa"/>
        <w:tblInd w:w="-5" w:type="dxa"/>
        <w:tblBorders>
          <w:top w:val="single" w:sz="4" w:space="0" w:color="auto"/>
          <w:left w:val="single" w:sz="4" w:space="0" w:color="auto"/>
          <w:bottom w:val="single" w:sz="4" w:space="0" w:color="auto"/>
          <w:right w:val="single" w:sz="4" w:space="0" w:color="auto"/>
        </w:tblBorders>
        <w:tblLook w:val="0620" w:firstRow="1" w:lastRow="0" w:firstColumn="0" w:lastColumn="0" w:noHBand="1" w:noVBand="1"/>
        <w:tblCaption w:val="Impact of COVID-19 on businesses"/>
        <w:tblDescription w:val="Fifty-seven percent of respondents experienced a decline in revenue while half indicated a drop in employee productivity. Forty-three percent indicated they did not furlough employees while 44 four percent did not lay off workers. A significant share of respondents indicated an increase of employees working from home, 64 percent.&#10;&#10;The large majority of respondents indicated they have not missed loan payments (56 percent) nor rent payments (60 percent).&#10;Forty-four percent of respondents indicated no change in cash availability while 39 responded they had a decrease.&#10;Nearly half of respondents indicated they expect to go back to normal operations in more than six months while almost one-fifth expressed their businesses will not go back to normal.&#10; &#10;"/>
      </w:tblPr>
      <w:tblGrid>
        <w:gridCol w:w="3999"/>
        <w:gridCol w:w="1234"/>
        <w:gridCol w:w="1745"/>
        <w:gridCol w:w="1620"/>
        <w:gridCol w:w="1980"/>
      </w:tblGrid>
      <w:tr w:rsidR="00646763" w:rsidRPr="000A28AD" w14:paraId="4273F1DD" w14:textId="77777777" w:rsidTr="00646763">
        <w:trPr>
          <w:cnfStyle w:val="100000000000" w:firstRow="1" w:lastRow="0" w:firstColumn="0" w:lastColumn="0" w:oddVBand="0" w:evenVBand="0" w:oddHBand="0" w:evenHBand="0" w:firstRowFirstColumn="0" w:firstRowLastColumn="0" w:lastRowFirstColumn="0" w:lastRowLastColumn="0"/>
          <w:trHeight w:val="144"/>
          <w:tblHeader/>
        </w:trPr>
        <w:tc>
          <w:tcPr>
            <w:tcW w:w="3999" w:type="dxa"/>
            <w:tcBorders>
              <w:top w:val="single" w:sz="4" w:space="0" w:color="auto"/>
              <w:bottom w:val="single" w:sz="4" w:space="0" w:color="auto"/>
            </w:tcBorders>
            <w:shd w:val="clear" w:color="auto" w:fill="BDD6EE" w:themeFill="accent1" w:themeFillTint="66"/>
            <w:noWrap/>
            <w:hideMark/>
          </w:tcPr>
          <w:p w14:paraId="0118B879" w14:textId="77777777" w:rsidR="00646763" w:rsidRPr="000A28AD" w:rsidRDefault="00646763" w:rsidP="00FE2F3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Impact of COVID-19 on your business</w:t>
            </w:r>
            <w:r w:rsidRPr="000A28AD">
              <w:rPr>
                <w:rFonts w:ascii="Calibri" w:eastAsia="Times New Roman" w:hAnsi="Calibri" w:cs="Times New Roman"/>
                <w:color w:val="000000"/>
                <w:sz w:val="18"/>
                <w:szCs w:val="18"/>
              </w:rPr>
              <w:t xml:space="preserve">: </w:t>
            </w:r>
          </w:p>
        </w:tc>
        <w:tc>
          <w:tcPr>
            <w:tcW w:w="1234" w:type="dxa"/>
            <w:tcBorders>
              <w:top w:val="single" w:sz="4" w:space="0" w:color="auto"/>
              <w:bottom w:val="single" w:sz="4" w:space="0" w:color="auto"/>
            </w:tcBorders>
            <w:shd w:val="clear" w:color="auto" w:fill="BDD6EE" w:themeFill="accent1" w:themeFillTint="66"/>
            <w:noWrap/>
            <w:hideMark/>
          </w:tcPr>
          <w:p w14:paraId="2C6998FB" w14:textId="77777777" w:rsidR="00646763" w:rsidRPr="000A28AD" w:rsidRDefault="00646763" w:rsidP="00FE2F3B">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Increase</w:t>
            </w:r>
          </w:p>
        </w:tc>
        <w:tc>
          <w:tcPr>
            <w:tcW w:w="1745" w:type="dxa"/>
            <w:tcBorders>
              <w:top w:val="single" w:sz="4" w:space="0" w:color="auto"/>
              <w:bottom w:val="single" w:sz="4" w:space="0" w:color="auto"/>
            </w:tcBorders>
            <w:shd w:val="clear" w:color="auto" w:fill="BDD6EE" w:themeFill="accent1" w:themeFillTint="66"/>
            <w:noWrap/>
            <w:hideMark/>
          </w:tcPr>
          <w:p w14:paraId="6A1E904D" w14:textId="77777777" w:rsidR="00646763" w:rsidRPr="000A28AD" w:rsidRDefault="00646763" w:rsidP="00FE2F3B">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No Change</w:t>
            </w:r>
          </w:p>
        </w:tc>
        <w:tc>
          <w:tcPr>
            <w:tcW w:w="1620" w:type="dxa"/>
            <w:tcBorders>
              <w:top w:val="single" w:sz="4" w:space="0" w:color="auto"/>
              <w:bottom w:val="single" w:sz="4" w:space="0" w:color="auto"/>
            </w:tcBorders>
            <w:shd w:val="clear" w:color="auto" w:fill="BDD6EE" w:themeFill="accent1" w:themeFillTint="66"/>
            <w:noWrap/>
            <w:hideMark/>
          </w:tcPr>
          <w:p w14:paraId="3192CB61" w14:textId="77777777" w:rsidR="00646763" w:rsidRPr="000A28AD" w:rsidRDefault="00646763" w:rsidP="00FE2F3B">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Decrease</w:t>
            </w:r>
          </w:p>
        </w:tc>
        <w:tc>
          <w:tcPr>
            <w:tcW w:w="1980" w:type="dxa"/>
            <w:tcBorders>
              <w:top w:val="single" w:sz="4" w:space="0" w:color="auto"/>
              <w:bottom w:val="single" w:sz="4" w:space="0" w:color="auto"/>
            </w:tcBorders>
            <w:shd w:val="clear" w:color="auto" w:fill="BDD6EE" w:themeFill="accent1" w:themeFillTint="66"/>
            <w:noWrap/>
            <w:hideMark/>
          </w:tcPr>
          <w:p w14:paraId="67910B86" w14:textId="77777777" w:rsidR="00646763" w:rsidRPr="000A28AD" w:rsidRDefault="00646763" w:rsidP="00FE2F3B">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Not Applicable</w:t>
            </w:r>
          </w:p>
        </w:tc>
      </w:tr>
      <w:tr w:rsidR="00646763" w:rsidRPr="000A28AD" w14:paraId="223FE337" w14:textId="77777777" w:rsidTr="00646763">
        <w:trPr>
          <w:trHeight w:val="144"/>
        </w:trPr>
        <w:tc>
          <w:tcPr>
            <w:tcW w:w="3999" w:type="dxa"/>
            <w:tcBorders>
              <w:top w:val="single" w:sz="4" w:space="0" w:color="auto"/>
            </w:tcBorders>
            <w:noWrap/>
            <w:hideMark/>
          </w:tcPr>
          <w:p w14:paraId="7512917C" w14:textId="77777777" w:rsidR="00646763" w:rsidRPr="000A28AD" w:rsidRDefault="00646763" w:rsidP="00FE2F3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Cash availability</w:t>
            </w:r>
          </w:p>
        </w:tc>
        <w:tc>
          <w:tcPr>
            <w:tcW w:w="1234" w:type="dxa"/>
            <w:tcBorders>
              <w:top w:val="single" w:sz="4" w:space="0" w:color="auto"/>
            </w:tcBorders>
            <w:noWrap/>
            <w:hideMark/>
          </w:tcPr>
          <w:p w14:paraId="646438F5" w14:textId="77777777" w:rsidR="00646763" w:rsidRPr="00D939BA" w:rsidRDefault="00646763" w:rsidP="00FE2F3B">
            <w:pPr>
              <w:jc w:val="center"/>
              <w:rPr>
                <w:rFonts w:ascii="Calibri" w:eastAsia="Times New Roman" w:hAnsi="Calibri" w:cs="Times New Roman"/>
                <w:color w:val="000000"/>
                <w:sz w:val="18"/>
                <w:szCs w:val="18"/>
              </w:rPr>
            </w:pPr>
            <w:r w:rsidRPr="00D939BA">
              <w:rPr>
                <w:rFonts w:ascii="Calibri" w:eastAsia="Times New Roman" w:hAnsi="Calibri" w:cs="Times New Roman"/>
                <w:color w:val="000000"/>
                <w:sz w:val="18"/>
                <w:szCs w:val="18"/>
              </w:rPr>
              <w:t>15%</w:t>
            </w:r>
          </w:p>
        </w:tc>
        <w:tc>
          <w:tcPr>
            <w:tcW w:w="1745" w:type="dxa"/>
            <w:tcBorders>
              <w:top w:val="single" w:sz="4" w:space="0" w:color="auto"/>
            </w:tcBorders>
            <w:noWrap/>
            <w:hideMark/>
          </w:tcPr>
          <w:p w14:paraId="73E9F308" w14:textId="77777777" w:rsidR="00646763" w:rsidRPr="00D939BA" w:rsidRDefault="00646763" w:rsidP="00FE2F3B">
            <w:pPr>
              <w:jc w:val="center"/>
              <w:rPr>
                <w:rFonts w:ascii="Calibri" w:eastAsia="Times New Roman" w:hAnsi="Calibri" w:cs="Times New Roman"/>
                <w:color w:val="000000"/>
                <w:sz w:val="18"/>
                <w:szCs w:val="18"/>
              </w:rPr>
            </w:pPr>
            <w:r w:rsidRPr="00D939BA">
              <w:rPr>
                <w:rFonts w:ascii="Calibri" w:eastAsia="Times New Roman" w:hAnsi="Calibri" w:cs="Times New Roman"/>
                <w:color w:val="000000"/>
                <w:sz w:val="18"/>
                <w:szCs w:val="18"/>
              </w:rPr>
              <w:t>39%</w:t>
            </w:r>
          </w:p>
        </w:tc>
        <w:tc>
          <w:tcPr>
            <w:tcW w:w="1620" w:type="dxa"/>
            <w:tcBorders>
              <w:top w:val="single" w:sz="4" w:space="0" w:color="auto"/>
            </w:tcBorders>
            <w:noWrap/>
            <w:hideMark/>
          </w:tcPr>
          <w:p w14:paraId="711D668D" w14:textId="77777777" w:rsidR="00646763" w:rsidRPr="00D939BA" w:rsidRDefault="00646763" w:rsidP="00FE2F3B">
            <w:pPr>
              <w:jc w:val="center"/>
              <w:rPr>
                <w:rFonts w:ascii="Calibri" w:eastAsia="Times New Roman" w:hAnsi="Calibri" w:cs="Times New Roman"/>
                <w:color w:val="000000"/>
                <w:sz w:val="18"/>
                <w:szCs w:val="18"/>
              </w:rPr>
            </w:pPr>
            <w:r w:rsidRPr="00D939BA">
              <w:rPr>
                <w:rFonts w:ascii="Calibri" w:eastAsia="Times New Roman" w:hAnsi="Calibri" w:cs="Times New Roman"/>
                <w:color w:val="000000"/>
                <w:sz w:val="18"/>
                <w:szCs w:val="18"/>
              </w:rPr>
              <w:t>43%</w:t>
            </w:r>
          </w:p>
        </w:tc>
        <w:tc>
          <w:tcPr>
            <w:tcW w:w="1980" w:type="dxa"/>
            <w:tcBorders>
              <w:top w:val="single" w:sz="4" w:space="0" w:color="auto"/>
            </w:tcBorders>
            <w:noWrap/>
            <w:hideMark/>
          </w:tcPr>
          <w:p w14:paraId="0FF417C0" w14:textId="77777777" w:rsidR="00646763" w:rsidRPr="00D939BA" w:rsidRDefault="00646763" w:rsidP="00FE2F3B">
            <w:pPr>
              <w:jc w:val="center"/>
              <w:rPr>
                <w:rFonts w:ascii="Calibri" w:eastAsia="Times New Roman" w:hAnsi="Calibri" w:cs="Times New Roman"/>
                <w:color w:val="000000"/>
                <w:sz w:val="18"/>
                <w:szCs w:val="18"/>
              </w:rPr>
            </w:pPr>
            <w:r w:rsidRPr="00D939BA">
              <w:rPr>
                <w:rFonts w:ascii="Calibri" w:eastAsia="Times New Roman" w:hAnsi="Calibri" w:cs="Times New Roman"/>
                <w:color w:val="000000"/>
                <w:sz w:val="18"/>
                <w:szCs w:val="18"/>
              </w:rPr>
              <w:t>3%</w:t>
            </w:r>
          </w:p>
        </w:tc>
      </w:tr>
      <w:tr w:rsidR="00646763" w:rsidRPr="000A28AD" w14:paraId="02D600CE" w14:textId="77777777" w:rsidTr="00646763">
        <w:trPr>
          <w:trHeight w:val="144"/>
        </w:trPr>
        <w:tc>
          <w:tcPr>
            <w:tcW w:w="3999" w:type="dxa"/>
            <w:noWrap/>
            <w:hideMark/>
          </w:tcPr>
          <w:p w14:paraId="07FC6CE1" w14:textId="77777777" w:rsidR="00646763" w:rsidRPr="000A28AD" w:rsidRDefault="00646763" w:rsidP="00FE2F3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Revenue</w:t>
            </w:r>
          </w:p>
        </w:tc>
        <w:tc>
          <w:tcPr>
            <w:tcW w:w="1234" w:type="dxa"/>
            <w:noWrap/>
            <w:hideMark/>
          </w:tcPr>
          <w:p w14:paraId="79E9BA8B" w14:textId="77777777" w:rsidR="00646763" w:rsidRPr="00D939BA" w:rsidRDefault="00646763" w:rsidP="00FE2F3B">
            <w:pPr>
              <w:jc w:val="center"/>
              <w:rPr>
                <w:rFonts w:ascii="Calibri" w:eastAsia="Times New Roman" w:hAnsi="Calibri" w:cs="Times New Roman"/>
                <w:color w:val="000000"/>
                <w:sz w:val="18"/>
                <w:szCs w:val="18"/>
              </w:rPr>
            </w:pPr>
            <w:r w:rsidRPr="00D939BA">
              <w:rPr>
                <w:rFonts w:ascii="Calibri" w:eastAsia="Times New Roman" w:hAnsi="Calibri" w:cs="Times New Roman"/>
                <w:color w:val="000000"/>
                <w:sz w:val="18"/>
                <w:szCs w:val="18"/>
              </w:rPr>
              <w:t>11%</w:t>
            </w:r>
          </w:p>
        </w:tc>
        <w:tc>
          <w:tcPr>
            <w:tcW w:w="1745" w:type="dxa"/>
            <w:noWrap/>
            <w:hideMark/>
          </w:tcPr>
          <w:p w14:paraId="16A6594A" w14:textId="77777777" w:rsidR="00646763" w:rsidRPr="00D939BA" w:rsidRDefault="00646763" w:rsidP="00FE2F3B">
            <w:pPr>
              <w:jc w:val="center"/>
              <w:rPr>
                <w:rFonts w:ascii="Calibri" w:eastAsia="Times New Roman" w:hAnsi="Calibri" w:cs="Times New Roman"/>
                <w:color w:val="000000"/>
                <w:sz w:val="18"/>
                <w:szCs w:val="18"/>
              </w:rPr>
            </w:pPr>
            <w:r w:rsidRPr="00D939BA">
              <w:rPr>
                <w:rFonts w:ascii="Calibri" w:eastAsia="Times New Roman" w:hAnsi="Calibri" w:cs="Times New Roman"/>
                <w:color w:val="000000"/>
                <w:sz w:val="18"/>
                <w:szCs w:val="18"/>
              </w:rPr>
              <w:t>17%</w:t>
            </w:r>
          </w:p>
        </w:tc>
        <w:tc>
          <w:tcPr>
            <w:tcW w:w="1620" w:type="dxa"/>
            <w:noWrap/>
            <w:hideMark/>
          </w:tcPr>
          <w:p w14:paraId="06BC29DA" w14:textId="77777777" w:rsidR="00646763" w:rsidRPr="00D939BA" w:rsidRDefault="00646763" w:rsidP="00322627">
            <w:pPr>
              <w:ind w:left="2"/>
              <w:jc w:val="center"/>
              <w:rPr>
                <w:rFonts w:ascii="Calibri" w:eastAsia="Times New Roman" w:hAnsi="Calibri" w:cs="Times New Roman"/>
                <w:color w:val="000000"/>
                <w:sz w:val="18"/>
                <w:szCs w:val="18"/>
              </w:rPr>
            </w:pPr>
            <w:r w:rsidRPr="00D939BA">
              <w:rPr>
                <w:rFonts w:ascii="Calibri" w:eastAsia="Times New Roman" w:hAnsi="Calibri" w:cs="Times New Roman"/>
                <w:color w:val="000000"/>
                <w:sz w:val="18"/>
                <w:szCs w:val="18"/>
              </w:rPr>
              <w:t>72%</w:t>
            </w:r>
          </w:p>
        </w:tc>
        <w:tc>
          <w:tcPr>
            <w:tcW w:w="1980" w:type="dxa"/>
            <w:noWrap/>
            <w:hideMark/>
          </w:tcPr>
          <w:p w14:paraId="7B9E4BFC" w14:textId="77777777" w:rsidR="00646763" w:rsidRPr="00D939BA" w:rsidRDefault="00646763" w:rsidP="00FE2F3B">
            <w:pPr>
              <w:jc w:val="center"/>
              <w:rPr>
                <w:rFonts w:ascii="Calibri" w:eastAsia="Times New Roman" w:hAnsi="Calibri" w:cs="Times New Roman"/>
                <w:color w:val="000000"/>
                <w:sz w:val="18"/>
                <w:szCs w:val="18"/>
              </w:rPr>
            </w:pPr>
            <w:r w:rsidRPr="00D939BA">
              <w:rPr>
                <w:rFonts w:ascii="Calibri" w:eastAsia="Times New Roman" w:hAnsi="Calibri" w:cs="Times New Roman"/>
                <w:color w:val="000000"/>
                <w:sz w:val="18"/>
                <w:szCs w:val="18"/>
              </w:rPr>
              <w:t>0%</w:t>
            </w:r>
          </w:p>
        </w:tc>
      </w:tr>
      <w:tr w:rsidR="00646763" w:rsidRPr="000A28AD" w14:paraId="7F871A01" w14:textId="77777777" w:rsidTr="00646763">
        <w:trPr>
          <w:trHeight w:val="144"/>
        </w:trPr>
        <w:tc>
          <w:tcPr>
            <w:tcW w:w="3999" w:type="dxa"/>
            <w:noWrap/>
            <w:hideMark/>
          </w:tcPr>
          <w:p w14:paraId="66E994DB" w14:textId="77777777" w:rsidR="00646763" w:rsidRPr="000A28AD" w:rsidRDefault="00646763" w:rsidP="00FE2F3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Employee productivity</w:t>
            </w:r>
          </w:p>
        </w:tc>
        <w:tc>
          <w:tcPr>
            <w:tcW w:w="1234" w:type="dxa"/>
            <w:noWrap/>
            <w:hideMark/>
          </w:tcPr>
          <w:p w14:paraId="2A009457" w14:textId="77777777" w:rsidR="00646763" w:rsidRPr="00D939BA" w:rsidRDefault="00646763" w:rsidP="00FE2F3B">
            <w:pPr>
              <w:jc w:val="center"/>
              <w:rPr>
                <w:rFonts w:ascii="Calibri" w:eastAsia="Times New Roman" w:hAnsi="Calibri" w:cs="Times New Roman"/>
                <w:color w:val="000000"/>
                <w:sz w:val="18"/>
                <w:szCs w:val="18"/>
              </w:rPr>
            </w:pPr>
            <w:r w:rsidRPr="00D939BA">
              <w:rPr>
                <w:rFonts w:ascii="Calibri" w:eastAsia="Times New Roman" w:hAnsi="Calibri" w:cs="Times New Roman"/>
                <w:color w:val="000000"/>
                <w:sz w:val="18"/>
                <w:szCs w:val="18"/>
              </w:rPr>
              <w:t>12%</w:t>
            </w:r>
          </w:p>
        </w:tc>
        <w:tc>
          <w:tcPr>
            <w:tcW w:w="1745" w:type="dxa"/>
            <w:noWrap/>
            <w:hideMark/>
          </w:tcPr>
          <w:p w14:paraId="7347A4F8" w14:textId="77777777" w:rsidR="00646763" w:rsidRPr="00D939BA" w:rsidRDefault="00646763" w:rsidP="00FE2F3B">
            <w:pPr>
              <w:jc w:val="center"/>
              <w:rPr>
                <w:rFonts w:ascii="Calibri" w:eastAsia="Times New Roman" w:hAnsi="Calibri" w:cs="Times New Roman"/>
                <w:color w:val="000000"/>
                <w:sz w:val="18"/>
                <w:szCs w:val="18"/>
              </w:rPr>
            </w:pPr>
            <w:r w:rsidRPr="00D939BA">
              <w:rPr>
                <w:rFonts w:ascii="Calibri" w:eastAsia="Times New Roman" w:hAnsi="Calibri" w:cs="Times New Roman"/>
                <w:color w:val="000000"/>
                <w:sz w:val="18"/>
                <w:szCs w:val="18"/>
              </w:rPr>
              <w:t>39%</w:t>
            </w:r>
          </w:p>
        </w:tc>
        <w:tc>
          <w:tcPr>
            <w:tcW w:w="1620" w:type="dxa"/>
            <w:noWrap/>
            <w:hideMark/>
          </w:tcPr>
          <w:p w14:paraId="1E90B65B" w14:textId="77777777" w:rsidR="00646763" w:rsidRPr="00D939BA" w:rsidRDefault="00646763" w:rsidP="00FE2F3B">
            <w:pPr>
              <w:jc w:val="center"/>
              <w:rPr>
                <w:rFonts w:ascii="Calibri" w:eastAsia="Times New Roman" w:hAnsi="Calibri" w:cs="Times New Roman"/>
                <w:color w:val="000000"/>
                <w:sz w:val="18"/>
                <w:szCs w:val="18"/>
              </w:rPr>
            </w:pPr>
            <w:r w:rsidRPr="00D939BA">
              <w:rPr>
                <w:rFonts w:ascii="Calibri" w:eastAsia="Times New Roman" w:hAnsi="Calibri" w:cs="Times New Roman"/>
                <w:color w:val="000000"/>
                <w:sz w:val="18"/>
                <w:szCs w:val="18"/>
              </w:rPr>
              <w:t>46%</w:t>
            </w:r>
          </w:p>
        </w:tc>
        <w:tc>
          <w:tcPr>
            <w:tcW w:w="1980" w:type="dxa"/>
            <w:noWrap/>
            <w:hideMark/>
          </w:tcPr>
          <w:p w14:paraId="30B08911" w14:textId="77777777" w:rsidR="00646763" w:rsidRPr="00D939BA" w:rsidRDefault="00646763" w:rsidP="00FE2F3B">
            <w:pPr>
              <w:jc w:val="center"/>
              <w:rPr>
                <w:rFonts w:ascii="Calibri" w:eastAsia="Times New Roman" w:hAnsi="Calibri" w:cs="Times New Roman"/>
                <w:color w:val="000000"/>
                <w:sz w:val="18"/>
                <w:szCs w:val="18"/>
              </w:rPr>
            </w:pPr>
            <w:r w:rsidRPr="00D939BA">
              <w:rPr>
                <w:rFonts w:ascii="Calibri" w:eastAsia="Times New Roman" w:hAnsi="Calibri" w:cs="Times New Roman"/>
                <w:color w:val="000000"/>
                <w:sz w:val="18"/>
                <w:szCs w:val="18"/>
              </w:rPr>
              <w:t>4%</w:t>
            </w:r>
          </w:p>
        </w:tc>
      </w:tr>
      <w:tr w:rsidR="00646763" w:rsidRPr="000A28AD" w14:paraId="62944038" w14:textId="77777777" w:rsidTr="00646763">
        <w:trPr>
          <w:trHeight w:val="144"/>
        </w:trPr>
        <w:tc>
          <w:tcPr>
            <w:tcW w:w="3999" w:type="dxa"/>
            <w:noWrap/>
            <w:hideMark/>
          </w:tcPr>
          <w:p w14:paraId="7CFD877B" w14:textId="77777777" w:rsidR="00646763" w:rsidRPr="000A28AD" w:rsidRDefault="00646763" w:rsidP="00FE2F3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Employee furloughs </w:t>
            </w:r>
          </w:p>
        </w:tc>
        <w:tc>
          <w:tcPr>
            <w:tcW w:w="1234" w:type="dxa"/>
            <w:noWrap/>
            <w:hideMark/>
          </w:tcPr>
          <w:p w14:paraId="254361E9" w14:textId="77777777" w:rsidR="00646763" w:rsidRPr="00D939BA" w:rsidRDefault="00646763" w:rsidP="00FE2F3B">
            <w:pPr>
              <w:jc w:val="center"/>
              <w:rPr>
                <w:rFonts w:ascii="Calibri" w:eastAsia="Times New Roman" w:hAnsi="Calibri" w:cs="Times New Roman"/>
                <w:color w:val="000000"/>
                <w:sz w:val="18"/>
                <w:szCs w:val="18"/>
              </w:rPr>
            </w:pPr>
            <w:r w:rsidRPr="00D939BA">
              <w:rPr>
                <w:rFonts w:ascii="Calibri" w:eastAsia="Times New Roman" w:hAnsi="Calibri" w:cs="Times New Roman"/>
                <w:color w:val="000000"/>
                <w:sz w:val="18"/>
                <w:szCs w:val="18"/>
              </w:rPr>
              <w:t>38%</w:t>
            </w:r>
          </w:p>
        </w:tc>
        <w:tc>
          <w:tcPr>
            <w:tcW w:w="1745" w:type="dxa"/>
            <w:noWrap/>
            <w:hideMark/>
          </w:tcPr>
          <w:p w14:paraId="250FF499" w14:textId="77777777" w:rsidR="00646763" w:rsidRPr="00D939BA" w:rsidRDefault="00646763" w:rsidP="00FE2F3B">
            <w:pPr>
              <w:jc w:val="center"/>
              <w:rPr>
                <w:rFonts w:ascii="Calibri" w:eastAsia="Times New Roman" w:hAnsi="Calibri" w:cs="Times New Roman"/>
                <w:color w:val="000000"/>
                <w:sz w:val="18"/>
                <w:szCs w:val="18"/>
              </w:rPr>
            </w:pPr>
            <w:r w:rsidRPr="00D939BA">
              <w:rPr>
                <w:rFonts w:ascii="Calibri" w:eastAsia="Times New Roman" w:hAnsi="Calibri" w:cs="Times New Roman"/>
                <w:color w:val="000000"/>
                <w:sz w:val="18"/>
                <w:szCs w:val="18"/>
              </w:rPr>
              <w:t>39%</w:t>
            </w:r>
          </w:p>
        </w:tc>
        <w:tc>
          <w:tcPr>
            <w:tcW w:w="1620" w:type="dxa"/>
            <w:noWrap/>
            <w:hideMark/>
          </w:tcPr>
          <w:p w14:paraId="702759F6" w14:textId="77777777" w:rsidR="00646763" w:rsidRPr="00D939BA" w:rsidRDefault="00646763" w:rsidP="00FE2F3B">
            <w:pPr>
              <w:jc w:val="center"/>
              <w:rPr>
                <w:rFonts w:ascii="Calibri" w:eastAsia="Times New Roman" w:hAnsi="Calibri" w:cs="Times New Roman"/>
                <w:color w:val="000000"/>
                <w:sz w:val="18"/>
                <w:szCs w:val="18"/>
              </w:rPr>
            </w:pPr>
            <w:r w:rsidRPr="00D939BA">
              <w:rPr>
                <w:rFonts w:ascii="Calibri" w:eastAsia="Times New Roman" w:hAnsi="Calibri" w:cs="Times New Roman"/>
                <w:color w:val="000000"/>
                <w:sz w:val="18"/>
                <w:szCs w:val="18"/>
              </w:rPr>
              <w:t>3%</w:t>
            </w:r>
          </w:p>
        </w:tc>
        <w:tc>
          <w:tcPr>
            <w:tcW w:w="1980" w:type="dxa"/>
            <w:noWrap/>
            <w:hideMark/>
          </w:tcPr>
          <w:p w14:paraId="30B31E0A" w14:textId="77777777" w:rsidR="00646763" w:rsidRPr="00D939BA" w:rsidRDefault="00646763" w:rsidP="00FE2F3B">
            <w:pPr>
              <w:jc w:val="center"/>
              <w:rPr>
                <w:rFonts w:ascii="Calibri" w:eastAsia="Times New Roman" w:hAnsi="Calibri" w:cs="Times New Roman"/>
                <w:color w:val="000000"/>
                <w:sz w:val="18"/>
                <w:szCs w:val="18"/>
              </w:rPr>
            </w:pPr>
            <w:r w:rsidRPr="00D939BA">
              <w:rPr>
                <w:rFonts w:ascii="Calibri" w:eastAsia="Times New Roman" w:hAnsi="Calibri" w:cs="Times New Roman"/>
                <w:color w:val="000000"/>
                <w:sz w:val="18"/>
                <w:szCs w:val="18"/>
              </w:rPr>
              <w:t>21%</w:t>
            </w:r>
          </w:p>
        </w:tc>
      </w:tr>
      <w:tr w:rsidR="00646763" w:rsidRPr="000A28AD" w14:paraId="12625BC1" w14:textId="77777777" w:rsidTr="00646763">
        <w:trPr>
          <w:trHeight w:val="144"/>
        </w:trPr>
        <w:tc>
          <w:tcPr>
            <w:tcW w:w="3999" w:type="dxa"/>
            <w:noWrap/>
            <w:hideMark/>
          </w:tcPr>
          <w:p w14:paraId="6C709555" w14:textId="77777777" w:rsidR="00646763" w:rsidRDefault="00646763" w:rsidP="00FE2F3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Employee layoffs</w:t>
            </w:r>
          </w:p>
          <w:p w14:paraId="361DDAC9" w14:textId="77777777" w:rsidR="00646763" w:rsidRPr="000A28AD" w:rsidRDefault="00646763" w:rsidP="00E5354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Missed loan payments</w:t>
            </w:r>
            <w:r>
              <w:rPr>
                <w:rFonts w:ascii="Calibri" w:eastAsia="Times New Roman" w:hAnsi="Calibri" w:cs="Times New Roman"/>
                <w:color w:val="000000"/>
                <w:sz w:val="18"/>
                <w:szCs w:val="18"/>
              </w:rPr>
              <w:br/>
              <w:t>Missed rent payments</w:t>
            </w:r>
            <w:r>
              <w:rPr>
                <w:rFonts w:ascii="Calibri" w:eastAsia="Times New Roman" w:hAnsi="Calibri" w:cs="Times New Roman"/>
                <w:color w:val="000000"/>
                <w:sz w:val="18"/>
                <w:szCs w:val="18"/>
              </w:rPr>
              <w:br/>
              <w:t>Requested financial assistance</w:t>
            </w:r>
            <w:r>
              <w:rPr>
                <w:rFonts w:ascii="Calibri" w:eastAsia="Times New Roman" w:hAnsi="Calibri" w:cs="Times New Roman"/>
                <w:color w:val="000000"/>
                <w:sz w:val="18"/>
                <w:szCs w:val="18"/>
              </w:rPr>
              <w:br/>
              <w:t>Supply chain delays</w:t>
            </w:r>
          </w:p>
        </w:tc>
        <w:tc>
          <w:tcPr>
            <w:tcW w:w="1234" w:type="dxa"/>
            <w:noWrap/>
            <w:hideMark/>
          </w:tcPr>
          <w:p w14:paraId="325F2311" w14:textId="77777777" w:rsidR="00646763" w:rsidRPr="00D939BA" w:rsidRDefault="00646763" w:rsidP="00FE2F3B">
            <w:pPr>
              <w:jc w:val="center"/>
              <w:rPr>
                <w:rFonts w:ascii="Calibri" w:eastAsia="Times New Roman" w:hAnsi="Calibri" w:cs="Times New Roman"/>
                <w:color w:val="000000"/>
                <w:sz w:val="18"/>
                <w:szCs w:val="18"/>
              </w:rPr>
            </w:pPr>
            <w:r w:rsidRPr="00D939BA">
              <w:rPr>
                <w:rFonts w:ascii="Calibri" w:eastAsia="Times New Roman" w:hAnsi="Calibri" w:cs="Times New Roman"/>
                <w:color w:val="000000"/>
                <w:sz w:val="18"/>
                <w:szCs w:val="18"/>
              </w:rPr>
              <w:t>27%</w:t>
            </w:r>
            <w:r w:rsidRPr="00D939BA">
              <w:rPr>
                <w:rFonts w:ascii="Calibri" w:eastAsia="Times New Roman" w:hAnsi="Calibri" w:cs="Times New Roman"/>
                <w:color w:val="000000"/>
                <w:sz w:val="18"/>
                <w:szCs w:val="18"/>
              </w:rPr>
              <w:br/>
              <w:t>6%</w:t>
            </w:r>
          </w:p>
          <w:p w14:paraId="06D1190C" w14:textId="77777777" w:rsidR="00646763" w:rsidRPr="00D939BA" w:rsidRDefault="00646763" w:rsidP="00FE2F3B">
            <w:pPr>
              <w:jc w:val="center"/>
              <w:rPr>
                <w:rFonts w:ascii="Calibri" w:eastAsia="Times New Roman" w:hAnsi="Calibri" w:cs="Times New Roman"/>
                <w:color w:val="000000"/>
                <w:sz w:val="18"/>
                <w:szCs w:val="18"/>
              </w:rPr>
            </w:pPr>
            <w:r w:rsidRPr="00D939BA">
              <w:rPr>
                <w:rFonts w:ascii="Calibri" w:eastAsia="Times New Roman" w:hAnsi="Calibri" w:cs="Times New Roman"/>
                <w:color w:val="000000"/>
                <w:sz w:val="18"/>
                <w:szCs w:val="18"/>
              </w:rPr>
              <w:t>9%</w:t>
            </w:r>
            <w:r w:rsidRPr="00D939BA">
              <w:rPr>
                <w:rFonts w:ascii="Calibri" w:eastAsia="Times New Roman" w:hAnsi="Calibri" w:cs="Times New Roman"/>
                <w:color w:val="000000"/>
                <w:sz w:val="18"/>
                <w:szCs w:val="18"/>
              </w:rPr>
              <w:br/>
              <w:t>47%</w:t>
            </w:r>
            <w:r w:rsidRPr="00D939BA">
              <w:rPr>
                <w:rFonts w:ascii="Calibri" w:eastAsia="Times New Roman" w:hAnsi="Calibri" w:cs="Times New Roman"/>
                <w:color w:val="000000"/>
                <w:sz w:val="18"/>
                <w:szCs w:val="18"/>
              </w:rPr>
              <w:br/>
              <w:t>77%</w:t>
            </w:r>
          </w:p>
        </w:tc>
        <w:tc>
          <w:tcPr>
            <w:tcW w:w="1745" w:type="dxa"/>
            <w:noWrap/>
            <w:hideMark/>
          </w:tcPr>
          <w:p w14:paraId="1EBA9AFB" w14:textId="77777777" w:rsidR="00646763" w:rsidRPr="00D939BA" w:rsidRDefault="00646763" w:rsidP="00FE2F3B">
            <w:pPr>
              <w:jc w:val="center"/>
              <w:rPr>
                <w:rFonts w:ascii="Calibri" w:eastAsia="Times New Roman" w:hAnsi="Calibri" w:cs="Times New Roman"/>
                <w:color w:val="000000"/>
                <w:sz w:val="18"/>
                <w:szCs w:val="18"/>
              </w:rPr>
            </w:pPr>
            <w:r w:rsidRPr="00D939BA">
              <w:rPr>
                <w:rFonts w:ascii="Calibri" w:eastAsia="Times New Roman" w:hAnsi="Calibri" w:cs="Times New Roman"/>
                <w:color w:val="000000"/>
                <w:sz w:val="18"/>
                <w:szCs w:val="18"/>
              </w:rPr>
              <w:t>50%</w:t>
            </w:r>
            <w:r w:rsidRPr="00D939BA">
              <w:rPr>
                <w:rFonts w:ascii="Calibri" w:eastAsia="Times New Roman" w:hAnsi="Calibri" w:cs="Times New Roman"/>
                <w:color w:val="000000"/>
                <w:sz w:val="18"/>
                <w:szCs w:val="18"/>
              </w:rPr>
              <w:br/>
              <w:t>59%</w:t>
            </w:r>
          </w:p>
          <w:p w14:paraId="77D85CCE" w14:textId="77777777" w:rsidR="00646763" w:rsidRPr="00D939BA" w:rsidRDefault="00646763" w:rsidP="00FE2F3B">
            <w:pPr>
              <w:jc w:val="center"/>
              <w:rPr>
                <w:rFonts w:ascii="Calibri" w:eastAsia="Times New Roman" w:hAnsi="Calibri" w:cs="Times New Roman"/>
                <w:color w:val="000000"/>
                <w:sz w:val="18"/>
                <w:szCs w:val="18"/>
              </w:rPr>
            </w:pPr>
            <w:r w:rsidRPr="00D939BA">
              <w:rPr>
                <w:rFonts w:ascii="Calibri" w:eastAsia="Times New Roman" w:hAnsi="Calibri" w:cs="Times New Roman"/>
                <w:color w:val="000000"/>
                <w:sz w:val="18"/>
                <w:szCs w:val="18"/>
              </w:rPr>
              <w:t>59%</w:t>
            </w:r>
          </w:p>
          <w:p w14:paraId="426D51EF" w14:textId="77777777" w:rsidR="00646763" w:rsidRPr="00D939BA" w:rsidRDefault="00646763" w:rsidP="00FE2F3B">
            <w:pPr>
              <w:jc w:val="center"/>
              <w:rPr>
                <w:rFonts w:ascii="Calibri" w:eastAsia="Times New Roman" w:hAnsi="Calibri" w:cs="Times New Roman"/>
                <w:color w:val="000000"/>
                <w:sz w:val="18"/>
                <w:szCs w:val="18"/>
              </w:rPr>
            </w:pPr>
            <w:r w:rsidRPr="00D939BA">
              <w:rPr>
                <w:rFonts w:ascii="Calibri" w:eastAsia="Times New Roman" w:hAnsi="Calibri" w:cs="Times New Roman"/>
                <w:color w:val="000000"/>
                <w:sz w:val="18"/>
                <w:szCs w:val="18"/>
              </w:rPr>
              <w:t>31%</w:t>
            </w:r>
            <w:r w:rsidRPr="00D939BA">
              <w:rPr>
                <w:rFonts w:ascii="Calibri" w:eastAsia="Times New Roman" w:hAnsi="Calibri" w:cs="Times New Roman"/>
                <w:color w:val="000000"/>
                <w:sz w:val="18"/>
                <w:szCs w:val="18"/>
              </w:rPr>
              <w:br/>
              <w:t>17%</w:t>
            </w:r>
          </w:p>
        </w:tc>
        <w:tc>
          <w:tcPr>
            <w:tcW w:w="1620" w:type="dxa"/>
            <w:noWrap/>
            <w:hideMark/>
          </w:tcPr>
          <w:p w14:paraId="76ED047B" w14:textId="77777777" w:rsidR="00646763" w:rsidRPr="00D939BA" w:rsidRDefault="00646763" w:rsidP="00FE2F3B">
            <w:pPr>
              <w:jc w:val="center"/>
              <w:rPr>
                <w:rFonts w:ascii="Calibri" w:eastAsia="Times New Roman" w:hAnsi="Calibri" w:cs="Times New Roman"/>
                <w:color w:val="000000"/>
                <w:sz w:val="18"/>
                <w:szCs w:val="18"/>
              </w:rPr>
            </w:pPr>
            <w:r w:rsidRPr="00D939BA">
              <w:rPr>
                <w:rFonts w:ascii="Calibri" w:eastAsia="Times New Roman" w:hAnsi="Calibri" w:cs="Times New Roman"/>
                <w:color w:val="000000"/>
                <w:sz w:val="18"/>
                <w:szCs w:val="18"/>
              </w:rPr>
              <w:t>1%</w:t>
            </w:r>
            <w:r w:rsidRPr="00D939BA">
              <w:rPr>
                <w:rFonts w:ascii="Calibri" w:eastAsia="Times New Roman" w:hAnsi="Calibri" w:cs="Times New Roman"/>
                <w:color w:val="000000"/>
                <w:sz w:val="18"/>
                <w:szCs w:val="18"/>
              </w:rPr>
              <w:br/>
              <w:t>0%</w:t>
            </w:r>
          </w:p>
          <w:p w14:paraId="7DD1C789" w14:textId="77777777" w:rsidR="00646763" w:rsidRPr="00D939BA" w:rsidRDefault="00646763" w:rsidP="00FE2F3B">
            <w:pPr>
              <w:jc w:val="center"/>
              <w:rPr>
                <w:rFonts w:ascii="Calibri" w:eastAsia="Times New Roman" w:hAnsi="Calibri" w:cs="Times New Roman"/>
                <w:color w:val="000000"/>
                <w:sz w:val="18"/>
                <w:szCs w:val="18"/>
              </w:rPr>
            </w:pPr>
            <w:r w:rsidRPr="00D939BA">
              <w:rPr>
                <w:rFonts w:ascii="Calibri" w:eastAsia="Times New Roman" w:hAnsi="Calibri" w:cs="Times New Roman"/>
                <w:color w:val="000000"/>
                <w:sz w:val="18"/>
                <w:szCs w:val="18"/>
              </w:rPr>
              <w:t>0%</w:t>
            </w:r>
            <w:r w:rsidRPr="00D939BA">
              <w:rPr>
                <w:rFonts w:ascii="Calibri" w:eastAsia="Times New Roman" w:hAnsi="Calibri" w:cs="Times New Roman"/>
                <w:color w:val="000000"/>
                <w:sz w:val="18"/>
                <w:szCs w:val="18"/>
              </w:rPr>
              <w:br/>
              <w:t>1%</w:t>
            </w:r>
            <w:r w:rsidRPr="00D939BA">
              <w:rPr>
                <w:rFonts w:ascii="Calibri" w:eastAsia="Times New Roman" w:hAnsi="Calibri" w:cs="Times New Roman"/>
                <w:color w:val="000000"/>
                <w:sz w:val="18"/>
                <w:szCs w:val="18"/>
              </w:rPr>
              <w:br/>
              <w:t>4%</w:t>
            </w:r>
          </w:p>
        </w:tc>
        <w:tc>
          <w:tcPr>
            <w:tcW w:w="1980" w:type="dxa"/>
            <w:noWrap/>
            <w:hideMark/>
          </w:tcPr>
          <w:p w14:paraId="73E0BF7D" w14:textId="77777777" w:rsidR="00646763" w:rsidRPr="00D939BA" w:rsidRDefault="00646763" w:rsidP="00FE2F3B">
            <w:pPr>
              <w:jc w:val="center"/>
              <w:rPr>
                <w:rFonts w:ascii="Calibri" w:eastAsia="Times New Roman" w:hAnsi="Calibri" w:cs="Times New Roman"/>
                <w:color w:val="000000"/>
                <w:sz w:val="18"/>
                <w:szCs w:val="18"/>
              </w:rPr>
            </w:pPr>
            <w:r w:rsidRPr="00D939BA">
              <w:rPr>
                <w:rFonts w:ascii="Calibri" w:eastAsia="Times New Roman" w:hAnsi="Calibri" w:cs="Times New Roman"/>
                <w:color w:val="000000"/>
                <w:sz w:val="18"/>
                <w:szCs w:val="18"/>
              </w:rPr>
              <w:t>23%</w:t>
            </w:r>
            <w:r w:rsidRPr="00D939BA">
              <w:rPr>
                <w:rFonts w:ascii="Calibri" w:eastAsia="Times New Roman" w:hAnsi="Calibri" w:cs="Times New Roman"/>
                <w:color w:val="000000"/>
                <w:sz w:val="18"/>
                <w:szCs w:val="18"/>
              </w:rPr>
              <w:br/>
              <w:t>36%</w:t>
            </w:r>
          </w:p>
          <w:p w14:paraId="101F0DD5" w14:textId="77777777" w:rsidR="00646763" w:rsidRPr="00D939BA" w:rsidRDefault="00646763" w:rsidP="00FE2F3B">
            <w:pPr>
              <w:jc w:val="center"/>
              <w:rPr>
                <w:rFonts w:ascii="Calibri" w:eastAsia="Times New Roman" w:hAnsi="Calibri" w:cs="Times New Roman"/>
                <w:color w:val="000000"/>
                <w:sz w:val="18"/>
                <w:szCs w:val="18"/>
              </w:rPr>
            </w:pPr>
            <w:r w:rsidRPr="00D939BA">
              <w:rPr>
                <w:rFonts w:ascii="Calibri" w:eastAsia="Times New Roman" w:hAnsi="Calibri" w:cs="Times New Roman"/>
                <w:color w:val="000000"/>
                <w:sz w:val="18"/>
                <w:szCs w:val="18"/>
              </w:rPr>
              <w:t>32%</w:t>
            </w:r>
            <w:r w:rsidRPr="00D939BA">
              <w:rPr>
                <w:rFonts w:ascii="Calibri" w:eastAsia="Times New Roman" w:hAnsi="Calibri" w:cs="Times New Roman"/>
                <w:color w:val="000000"/>
                <w:sz w:val="18"/>
                <w:szCs w:val="18"/>
              </w:rPr>
              <w:br/>
              <w:t>21%</w:t>
            </w:r>
            <w:r w:rsidRPr="00D939BA">
              <w:rPr>
                <w:rFonts w:ascii="Calibri" w:eastAsia="Times New Roman" w:hAnsi="Calibri" w:cs="Times New Roman"/>
                <w:color w:val="000000"/>
                <w:sz w:val="18"/>
                <w:szCs w:val="18"/>
              </w:rPr>
              <w:br/>
              <w:t>3%</w:t>
            </w:r>
          </w:p>
        </w:tc>
      </w:tr>
      <w:tr w:rsidR="00646763" w:rsidRPr="000A28AD" w14:paraId="07CD94D1" w14:textId="77777777" w:rsidTr="00646763">
        <w:trPr>
          <w:trHeight w:val="144"/>
        </w:trPr>
        <w:tc>
          <w:tcPr>
            <w:tcW w:w="3999" w:type="dxa"/>
            <w:noWrap/>
          </w:tcPr>
          <w:p w14:paraId="6266B781" w14:textId="77777777" w:rsidR="00646763" w:rsidRDefault="00646763" w:rsidP="00FE2F3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Manufacturing capacity</w:t>
            </w:r>
          </w:p>
        </w:tc>
        <w:tc>
          <w:tcPr>
            <w:tcW w:w="1234" w:type="dxa"/>
            <w:noWrap/>
          </w:tcPr>
          <w:p w14:paraId="199AB924" w14:textId="77777777" w:rsidR="00646763" w:rsidRPr="00D939BA" w:rsidRDefault="00646763" w:rsidP="00FE2F3B">
            <w:pPr>
              <w:jc w:val="center"/>
              <w:rPr>
                <w:rFonts w:ascii="Calibri" w:eastAsia="Times New Roman" w:hAnsi="Calibri" w:cs="Times New Roman"/>
                <w:color w:val="000000"/>
                <w:sz w:val="18"/>
                <w:szCs w:val="18"/>
              </w:rPr>
            </w:pPr>
            <w:r w:rsidRPr="00D939BA">
              <w:rPr>
                <w:rFonts w:ascii="Calibri" w:eastAsia="Times New Roman" w:hAnsi="Calibri" w:cs="Times New Roman"/>
                <w:color w:val="000000"/>
                <w:sz w:val="18"/>
                <w:szCs w:val="18"/>
              </w:rPr>
              <w:t>15%</w:t>
            </w:r>
          </w:p>
        </w:tc>
        <w:tc>
          <w:tcPr>
            <w:tcW w:w="1745" w:type="dxa"/>
            <w:noWrap/>
          </w:tcPr>
          <w:p w14:paraId="5FBD556B" w14:textId="77777777" w:rsidR="00646763" w:rsidRPr="00D939BA" w:rsidRDefault="00646763" w:rsidP="00FE2F3B">
            <w:pPr>
              <w:jc w:val="center"/>
              <w:rPr>
                <w:rFonts w:ascii="Calibri" w:eastAsia="Times New Roman" w:hAnsi="Calibri" w:cs="Times New Roman"/>
                <w:color w:val="000000"/>
                <w:sz w:val="18"/>
                <w:szCs w:val="18"/>
              </w:rPr>
            </w:pPr>
            <w:r w:rsidRPr="00D939BA">
              <w:rPr>
                <w:rFonts w:ascii="Calibri" w:eastAsia="Times New Roman" w:hAnsi="Calibri" w:cs="Times New Roman"/>
                <w:color w:val="000000"/>
                <w:sz w:val="18"/>
                <w:szCs w:val="18"/>
              </w:rPr>
              <w:t>56%</w:t>
            </w:r>
          </w:p>
        </w:tc>
        <w:tc>
          <w:tcPr>
            <w:tcW w:w="1620" w:type="dxa"/>
            <w:noWrap/>
          </w:tcPr>
          <w:p w14:paraId="7D82E4AD" w14:textId="77777777" w:rsidR="00646763" w:rsidRPr="00D939BA" w:rsidRDefault="00646763" w:rsidP="00FE2F3B">
            <w:pPr>
              <w:jc w:val="center"/>
              <w:rPr>
                <w:rFonts w:ascii="Calibri" w:eastAsia="Times New Roman" w:hAnsi="Calibri" w:cs="Times New Roman"/>
                <w:color w:val="000000"/>
                <w:sz w:val="18"/>
                <w:szCs w:val="18"/>
              </w:rPr>
            </w:pPr>
            <w:r w:rsidRPr="00D939BA">
              <w:rPr>
                <w:rFonts w:ascii="Calibri" w:eastAsia="Times New Roman" w:hAnsi="Calibri" w:cs="Times New Roman"/>
                <w:color w:val="000000"/>
                <w:sz w:val="18"/>
                <w:szCs w:val="18"/>
              </w:rPr>
              <w:t>26%</w:t>
            </w:r>
          </w:p>
        </w:tc>
        <w:tc>
          <w:tcPr>
            <w:tcW w:w="1980" w:type="dxa"/>
            <w:noWrap/>
          </w:tcPr>
          <w:p w14:paraId="218BB5E3" w14:textId="77777777" w:rsidR="00646763" w:rsidRPr="00D939BA" w:rsidRDefault="00646763" w:rsidP="00FE2F3B">
            <w:pPr>
              <w:jc w:val="center"/>
              <w:rPr>
                <w:rFonts w:ascii="Calibri" w:eastAsia="Times New Roman" w:hAnsi="Calibri" w:cs="Times New Roman"/>
                <w:color w:val="000000"/>
                <w:sz w:val="18"/>
                <w:szCs w:val="18"/>
              </w:rPr>
            </w:pPr>
            <w:r w:rsidRPr="00D939BA">
              <w:rPr>
                <w:rFonts w:ascii="Calibri" w:eastAsia="Times New Roman" w:hAnsi="Calibri" w:cs="Times New Roman"/>
                <w:color w:val="000000"/>
                <w:sz w:val="18"/>
                <w:szCs w:val="18"/>
              </w:rPr>
              <w:t>4%</w:t>
            </w:r>
          </w:p>
        </w:tc>
      </w:tr>
      <w:tr w:rsidR="00646763" w:rsidRPr="000A28AD" w14:paraId="1FD03185" w14:textId="77777777" w:rsidTr="00646763">
        <w:trPr>
          <w:trHeight w:val="144"/>
        </w:trPr>
        <w:tc>
          <w:tcPr>
            <w:tcW w:w="3999" w:type="dxa"/>
            <w:noWrap/>
          </w:tcPr>
          <w:p w14:paraId="74D2D71C" w14:textId="77777777" w:rsidR="00646763" w:rsidRDefault="00646763" w:rsidP="00FE2F3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Investment in capacity/automation</w:t>
            </w:r>
          </w:p>
        </w:tc>
        <w:tc>
          <w:tcPr>
            <w:tcW w:w="1234" w:type="dxa"/>
            <w:noWrap/>
          </w:tcPr>
          <w:p w14:paraId="57934E6C" w14:textId="77777777" w:rsidR="00646763" w:rsidRPr="00D939BA" w:rsidRDefault="00646763" w:rsidP="00FE2F3B">
            <w:pPr>
              <w:jc w:val="center"/>
              <w:rPr>
                <w:rFonts w:ascii="Calibri" w:eastAsia="Times New Roman" w:hAnsi="Calibri" w:cs="Times New Roman"/>
                <w:color w:val="000000"/>
                <w:sz w:val="18"/>
                <w:szCs w:val="18"/>
              </w:rPr>
            </w:pPr>
            <w:r w:rsidRPr="00D939BA">
              <w:rPr>
                <w:rFonts w:ascii="Calibri" w:eastAsia="Times New Roman" w:hAnsi="Calibri" w:cs="Times New Roman"/>
                <w:color w:val="000000"/>
                <w:sz w:val="18"/>
                <w:szCs w:val="18"/>
              </w:rPr>
              <w:t>20%</w:t>
            </w:r>
          </w:p>
        </w:tc>
        <w:tc>
          <w:tcPr>
            <w:tcW w:w="1745" w:type="dxa"/>
            <w:noWrap/>
          </w:tcPr>
          <w:p w14:paraId="49346BD0" w14:textId="77777777" w:rsidR="00646763" w:rsidRPr="00D939BA" w:rsidRDefault="00646763" w:rsidP="00FE2F3B">
            <w:pPr>
              <w:jc w:val="center"/>
              <w:rPr>
                <w:rFonts w:ascii="Calibri" w:eastAsia="Times New Roman" w:hAnsi="Calibri" w:cs="Times New Roman"/>
                <w:color w:val="000000"/>
                <w:sz w:val="18"/>
                <w:szCs w:val="18"/>
              </w:rPr>
            </w:pPr>
            <w:r w:rsidRPr="00D939BA">
              <w:rPr>
                <w:rFonts w:ascii="Calibri" w:eastAsia="Times New Roman" w:hAnsi="Calibri" w:cs="Times New Roman"/>
                <w:color w:val="000000"/>
                <w:sz w:val="18"/>
                <w:szCs w:val="18"/>
              </w:rPr>
              <w:t>41%</w:t>
            </w:r>
          </w:p>
        </w:tc>
        <w:tc>
          <w:tcPr>
            <w:tcW w:w="1620" w:type="dxa"/>
            <w:noWrap/>
          </w:tcPr>
          <w:p w14:paraId="7B18D796" w14:textId="77777777" w:rsidR="00646763" w:rsidRPr="00D939BA" w:rsidRDefault="00646763" w:rsidP="00FE2F3B">
            <w:pPr>
              <w:jc w:val="center"/>
              <w:rPr>
                <w:rFonts w:ascii="Calibri" w:eastAsia="Times New Roman" w:hAnsi="Calibri" w:cs="Times New Roman"/>
                <w:color w:val="000000"/>
                <w:sz w:val="18"/>
                <w:szCs w:val="18"/>
              </w:rPr>
            </w:pPr>
            <w:r w:rsidRPr="00D939BA">
              <w:rPr>
                <w:rFonts w:ascii="Calibri" w:eastAsia="Times New Roman" w:hAnsi="Calibri" w:cs="Times New Roman"/>
                <w:color w:val="000000"/>
                <w:sz w:val="18"/>
                <w:szCs w:val="18"/>
              </w:rPr>
              <w:t>32%</w:t>
            </w:r>
          </w:p>
        </w:tc>
        <w:tc>
          <w:tcPr>
            <w:tcW w:w="1980" w:type="dxa"/>
            <w:noWrap/>
          </w:tcPr>
          <w:p w14:paraId="03138B35" w14:textId="77777777" w:rsidR="00646763" w:rsidRPr="00D939BA" w:rsidRDefault="00646763" w:rsidP="00FE2F3B">
            <w:pPr>
              <w:jc w:val="center"/>
              <w:rPr>
                <w:rFonts w:ascii="Calibri" w:eastAsia="Times New Roman" w:hAnsi="Calibri" w:cs="Times New Roman"/>
                <w:color w:val="000000"/>
                <w:sz w:val="18"/>
                <w:szCs w:val="18"/>
              </w:rPr>
            </w:pPr>
            <w:r w:rsidRPr="00D939BA">
              <w:rPr>
                <w:rFonts w:ascii="Calibri" w:eastAsia="Times New Roman" w:hAnsi="Calibri" w:cs="Times New Roman"/>
                <w:color w:val="000000"/>
                <w:sz w:val="18"/>
                <w:szCs w:val="18"/>
              </w:rPr>
              <w:t>8%</w:t>
            </w:r>
          </w:p>
        </w:tc>
      </w:tr>
      <w:tr w:rsidR="00646763" w:rsidRPr="000A28AD" w14:paraId="6221D835" w14:textId="77777777" w:rsidTr="00646763">
        <w:trPr>
          <w:trHeight w:val="144"/>
        </w:trPr>
        <w:tc>
          <w:tcPr>
            <w:tcW w:w="3999" w:type="dxa"/>
            <w:noWrap/>
          </w:tcPr>
          <w:p w14:paraId="110876D1" w14:textId="77777777" w:rsidR="00646763" w:rsidRDefault="00646763" w:rsidP="00FE2F3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Use of COVID-19 protective equipment</w:t>
            </w:r>
          </w:p>
        </w:tc>
        <w:tc>
          <w:tcPr>
            <w:tcW w:w="1234" w:type="dxa"/>
            <w:noWrap/>
          </w:tcPr>
          <w:p w14:paraId="0CC2DC96" w14:textId="77777777" w:rsidR="00646763" w:rsidRPr="00D939BA" w:rsidRDefault="00646763" w:rsidP="00FE2F3B">
            <w:pPr>
              <w:jc w:val="center"/>
              <w:rPr>
                <w:rFonts w:ascii="Calibri" w:eastAsia="Times New Roman" w:hAnsi="Calibri" w:cs="Times New Roman"/>
                <w:color w:val="000000"/>
                <w:sz w:val="18"/>
                <w:szCs w:val="18"/>
              </w:rPr>
            </w:pPr>
            <w:r w:rsidRPr="00D939BA">
              <w:rPr>
                <w:rFonts w:ascii="Calibri" w:eastAsia="Times New Roman" w:hAnsi="Calibri" w:cs="Times New Roman"/>
                <w:color w:val="000000"/>
                <w:sz w:val="18"/>
                <w:szCs w:val="18"/>
              </w:rPr>
              <w:t>90%</w:t>
            </w:r>
          </w:p>
        </w:tc>
        <w:tc>
          <w:tcPr>
            <w:tcW w:w="1745" w:type="dxa"/>
            <w:noWrap/>
          </w:tcPr>
          <w:p w14:paraId="2A9523DC" w14:textId="77777777" w:rsidR="00646763" w:rsidRPr="00D939BA" w:rsidRDefault="00646763" w:rsidP="00FE2F3B">
            <w:pPr>
              <w:jc w:val="center"/>
              <w:rPr>
                <w:rFonts w:ascii="Calibri" w:eastAsia="Times New Roman" w:hAnsi="Calibri" w:cs="Times New Roman"/>
                <w:color w:val="000000"/>
                <w:sz w:val="18"/>
                <w:szCs w:val="18"/>
              </w:rPr>
            </w:pPr>
            <w:r w:rsidRPr="00D939BA">
              <w:rPr>
                <w:rFonts w:ascii="Calibri" w:eastAsia="Times New Roman" w:hAnsi="Calibri" w:cs="Times New Roman"/>
                <w:color w:val="000000"/>
                <w:sz w:val="18"/>
                <w:szCs w:val="18"/>
              </w:rPr>
              <w:t>9%</w:t>
            </w:r>
          </w:p>
        </w:tc>
        <w:tc>
          <w:tcPr>
            <w:tcW w:w="1620" w:type="dxa"/>
            <w:noWrap/>
          </w:tcPr>
          <w:p w14:paraId="368D7FB2" w14:textId="77777777" w:rsidR="00646763" w:rsidRPr="00D939BA" w:rsidRDefault="00646763" w:rsidP="00FE2F3B">
            <w:pPr>
              <w:jc w:val="center"/>
              <w:rPr>
                <w:rFonts w:ascii="Calibri" w:eastAsia="Times New Roman" w:hAnsi="Calibri" w:cs="Times New Roman"/>
                <w:color w:val="000000"/>
                <w:sz w:val="18"/>
                <w:szCs w:val="18"/>
              </w:rPr>
            </w:pPr>
            <w:r w:rsidRPr="00D939BA">
              <w:rPr>
                <w:rFonts w:ascii="Calibri" w:eastAsia="Times New Roman" w:hAnsi="Calibri" w:cs="Times New Roman"/>
                <w:color w:val="000000"/>
                <w:sz w:val="18"/>
                <w:szCs w:val="18"/>
              </w:rPr>
              <w:t>0%</w:t>
            </w:r>
          </w:p>
        </w:tc>
        <w:tc>
          <w:tcPr>
            <w:tcW w:w="1980" w:type="dxa"/>
            <w:noWrap/>
          </w:tcPr>
          <w:p w14:paraId="6D68A228" w14:textId="77777777" w:rsidR="00646763" w:rsidRPr="00D939BA" w:rsidRDefault="00646763" w:rsidP="00FE2F3B">
            <w:pPr>
              <w:jc w:val="center"/>
              <w:rPr>
                <w:rFonts w:ascii="Calibri" w:eastAsia="Times New Roman" w:hAnsi="Calibri" w:cs="Times New Roman"/>
                <w:color w:val="000000"/>
                <w:sz w:val="18"/>
                <w:szCs w:val="18"/>
              </w:rPr>
            </w:pPr>
            <w:r w:rsidRPr="00D939BA">
              <w:rPr>
                <w:rFonts w:ascii="Calibri" w:eastAsia="Times New Roman" w:hAnsi="Calibri" w:cs="Times New Roman"/>
                <w:color w:val="000000"/>
                <w:sz w:val="18"/>
                <w:szCs w:val="18"/>
              </w:rPr>
              <w:t>1%</w:t>
            </w:r>
          </w:p>
        </w:tc>
      </w:tr>
    </w:tbl>
    <w:p w14:paraId="477056E0" w14:textId="77777777" w:rsidR="008917AD" w:rsidRPr="00500E37" w:rsidRDefault="008917AD" w:rsidP="00500E37">
      <w:pPr>
        <w:spacing w:after="0" w:line="120" w:lineRule="auto"/>
        <w:rPr>
          <w:b/>
        </w:rPr>
      </w:pPr>
    </w:p>
    <w:tbl>
      <w:tblPr>
        <w:tblStyle w:val="PlainTable4"/>
        <w:tblW w:w="10790" w:type="dxa"/>
        <w:jc w:val="center"/>
        <w:tblBorders>
          <w:top w:val="single" w:sz="4" w:space="0" w:color="auto"/>
          <w:left w:val="single" w:sz="4" w:space="0" w:color="auto"/>
          <w:bottom w:val="single" w:sz="4" w:space="0" w:color="auto"/>
          <w:right w:val="single" w:sz="4" w:space="0" w:color="auto"/>
        </w:tblBorders>
        <w:tblLook w:val="0620" w:firstRow="1" w:lastRow="0" w:firstColumn="0" w:lastColumn="0" w:noHBand="1" w:noVBand="1"/>
        <w:tblCaption w:val="Extectations To Return To Normal Pperations"/>
        <w:tblDescription w:val="Nearly half of respondents indicated they expect to go back to normal operations in more than six months while almost one-fifth expressed their businesses will not go back to normal.&#10; &#10;"/>
      </w:tblPr>
      <w:tblGrid>
        <w:gridCol w:w="1885"/>
        <w:gridCol w:w="1576"/>
        <w:gridCol w:w="898"/>
        <w:gridCol w:w="1273"/>
        <w:gridCol w:w="1374"/>
        <w:gridCol w:w="1118"/>
        <w:gridCol w:w="1288"/>
        <w:gridCol w:w="1378"/>
      </w:tblGrid>
      <w:tr w:rsidR="00F97D05" w:rsidRPr="00500E37" w14:paraId="184665CD" w14:textId="77777777" w:rsidTr="00F97D05">
        <w:trPr>
          <w:cnfStyle w:val="100000000000" w:firstRow="1" w:lastRow="0" w:firstColumn="0" w:lastColumn="0" w:oddVBand="0" w:evenVBand="0" w:oddHBand="0" w:evenHBand="0" w:firstRowFirstColumn="0" w:firstRowLastColumn="0" w:lastRowFirstColumn="0" w:lastRowLastColumn="0"/>
          <w:trHeight w:val="144"/>
          <w:tblHeader/>
          <w:jc w:val="center"/>
        </w:trPr>
        <w:tc>
          <w:tcPr>
            <w:tcW w:w="1885" w:type="dxa"/>
            <w:tcBorders>
              <w:top w:val="single" w:sz="4" w:space="0" w:color="auto"/>
              <w:bottom w:val="single" w:sz="4" w:space="0" w:color="auto"/>
            </w:tcBorders>
            <w:shd w:val="clear" w:color="auto" w:fill="BDD6EE" w:themeFill="accent1" w:themeFillTint="66"/>
            <w:noWrap/>
            <w:hideMark/>
          </w:tcPr>
          <w:p w14:paraId="3BC19F40" w14:textId="77777777" w:rsidR="0073212E" w:rsidRDefault="0073212E" w:rsidP="00FE2F3B">
            <w:pPr>
              <w:rPr>
                <w:rFonts w:ascii="Calibri" w:eastAsia="Times New Roman" w:hAnsi="Calibri" w:cs="Times New Roman"/>
                <w:color w:val="000000"/>
                <w:sz w:val="18"/>
                <w:szCs w:val="18"/>
              </w:rPr>
            </w:pPr>
            <w:r w:rsidRPr="00500E37">
              <w:rPr>
                <w:rFonts w:ascii="Calibri" w:eastAsia="Times New Roman" w:hAnsi="Calibri" w:cs="Times New Roman"/>
                <w:color w:val="000000"/>
                <w:sz w:val="18"/>
                <w:szCs w:val="18"/>
              </w:rPr>
              <w:t>Expectations to</w:t>
            </w:r>
            <w:r w:rsidRPr="00500E37">
              <w:rPr>
                <w:rFonts w:ascii="Calibri" w:eastAsia="Times New Roman" w:hAnsi="Calibri" w:cs="Times New Roman"/>
                <w:color w:val="000000"/>
                <w:sz w:val="18"/>
                <w:szCs w:val="18"/>
              </w:rPr>
              <w:br/>
              <w:t>return to normal</w:t>
            </w:r>
          </w:p>
          <w:p w14:paraId="0E0725DB" w14:textId="77777777" w:rsidR="00B42CDA" w:rsidRPr="00500E37" w:rsidRDefault="00B42CDA" w:rsidP="00FE2F3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operations:</w:t>
            </w:r>
          </w:p>
        </w:tc>
        <w:tc>
          <w:tcPr>
            <w:tcW w:w="1576" w:type="dxa"/>
            <w:tcBorders>
              <w:top w:val="single" w:sz="4" w:space="0" w:color="auto"/>
              <w:bottom w:val="single" w:sz="4" w:space="0" w:color="auto"/>
            </w:tcBorders>
            <w:shd w:val="clear" w:color="auto" w:fill="BDD6EE" w:themeFill="accent1" w:themeFillTint="66"/>
          </w:tcPr>
          <w:p w14:paraId="43440099" w14:textId="77777777" w:rsidR="0073212E" w:rsidRPr="00500E37" w:rsidRDefault="00F97D05" w:rsidP="00FE2F3B">
            <w:pPr>
              <w:jc w:val="center"/>
              <w:rPr>
                <w:rFonts w:ascii="Calibri" w:eastAsia="Times New Roman" w:hAnsi="Calibri" w:cs="Times New Roman"/>
                <w:color w:val="000000"/>
                <w:sz w:val="18"/>
                <w:szCs w:val="18"/>
              </w:rPr>
            </w:pPr>
            <w:r w:rsidRPr="00500E37">
              <w:rPr>
                <w:rFonts w:ascii="Calibri" w:eastAsia="Times New Roman" w:hAnsi="Calibri" w:cs="Times New Roman"/>
                <w:color w:val="000000"/>
                <w:sz w:val="18"/>
                <w:szCs w:val="18"/>
              </w:rPr>
              <w:t>1 Month or</w:t>
            </w:r>
          </w:p>
          <w:p w14:paraId="22D7D6B5" w14:textId="77777777" w:rsidR="00F97D05" w:rsidRPr="00500E37" w:rsidRDefault="00F97D05" w:rsidP="00FE2F3B">
            <w:pPr>
              <w:jc w:val="center"/>
              <w:rPr>
                <w:rFonts w:ascii="Calibri" w:eastAsia="Times New Roman" w:hAnsi="Calibri" w:cs="Times New Roman"/>
                <w:color w:val="000000"/>
                <w:sz w:val="18"/>
                <w:szCs w:val="18"/>
              </w:rPr>
            </w:pPr>
            <w:r w:rsidRPr="00500E37">
              <w:rPr>
                <w:rFonts w:ascii="Calibri" w:eastAsia="Times New Roman" w:hAnsi="Calibri" w:cs="Times New Roman"/>
                <w:color w:val="000000"/>
                <w:sz w:val="18"/>
                <w:szCs w:val="18"/>
              </w:rPr>
              <w:t>Less</w:t>
            </w:r>
          </w:p>
        </w:tc>
        <w:tc>
          <w:tcPr>
            <w:tcW w:w="898" w:type="dxa"/>
            <w:tcBorders>
              <w:top w:val="single" w:sz="4" w:space="0" w:color="auto"/>
              <w:bottom w:val="single" w:sz="4" w:space="0" w:color="auto"/>
            </w:tcBorders>
            <w:shd w:val="clear" w:color="auto" w:fill="BDD6EE" w:themeFill="accent1" w:themeFillTint="66"/>
            <w:noWrap/>
            <w:hideMark/>
          </w:tcPr>
          <w:p w14:paraId="4D54B186" w14:textId="77777777" w:rsidR="0073212E" w:rsidRPr="00500E37" w:rsidRDefault="00F97D05" w:rsidP="00FE2F3B">
            <w:pPr>
              <w:jc w:val="center"/>
              <w:rPr>
                <w:rFonts w:ascii="Calibri" w:eastAsia="Times New Roman" w:hAnsi="Calibri" w:cs="Times New Roman"/>
                <w:color w:val="000000"/>
                <w:sz w:val="18"/>
                <w:szCs w:val="18"/>
              </w:rPr>
            </w:pPr>
            <w:r w:rsidRPr="00500E37">
              <w:rPr>
                <w:rFonts w:ascii="Calibri" w:eastAsia="Times New Roman" w:hAnsi="Calibri" w:cs="Times New Roman"/>
                <w:color w:val="000000"/>
                <w:sz w:val="18"/>
                <w:szCs w:val="18"/>
              </w:rPr>
              <w:t>2-3</w:t>
            </w:r>
            <w:r w:rsidRPr="00500E37">
              <w:rPr>
                <w:rFonts w:ascii="Calibri" w:eastAsia="Times New Roman" w:hAnsi="Calibri" w:cs="Times New Roman"/>
                <w:color w:val="000000"/>
                <w:sz w:val="18"/>
                <w:szCs w:val="18"/>
              </w:rPr>
              <w:br/>
              <w:t>Months</w:t>
            </w:r>
          </w:p>
        </w:tc>
        <w:tc>
          <w:tcPr>
            <w:tcW w:w="1273" w:type="dxa"/>
            <w:tcBorders>
              <w:top w:val="single" w:sz="4" w:space="0" w:color="auto"/>
              <w:bottom w:val="single" w:sz="4" w:space="0" w:color="auto"/>
            </w:tcBorders>
            <w:shd w:val="clear" w:color="auto" w:fill="BDD6EE" w:themeFill="accent1" w:themeFillTint="66"/>
            <w:noWrap/>
            <w:hideMark/>
          </w:tcPr>
          <w:p w14:paraId="452B3E5E" w14:textId="77777777" w:rsidR="0073212E" w:rsidRPr="00500E37" w:rsidRDefault="00F97D05" w:rsidP="00FE2F3B">
            <w:pPr>
              <w:jc w:val="center"/>
              <w:rPr>
                <w:rFonts w:ascii="Calibri" w:eastAsia="Times New Roman" w:hAnsi="Calibri" w:cs="Times New Roman"/>
                <w:color w:val="000000"/>
                <w:sz w:val="18"/>
                <w:szCs w:val="18"/>
              </w:rPr>
            </w:pPr>
            <w:r w:rsidRPr="00500E37">
              <w:rPr>
                <w:rFonts w:ascii="Calibri" w:eastAsia="Times New Roman" w:hAnsi="Calibri" w:cs="Times New Roman"/>
                <w:color w:val="000000"/>
                <w:sz w:val="18"/>
                <w:szCs w:val="18"/>
              </w:rPr>
              <w:t>4-6</w:t>
            </w:r>
            <w:r w:rsidRPr="00500E37">
              <w:rPr>
                <w:rFonts w:ascii="Calibri" w:eastAsia="Times New Roman" w:hAnsi="Calibri" w:cs="Times New Roman"/>
                <w:color w:val="000000"/>
                <w:sz w:val="18"/>
                <w:szCs w:val="18"/>
              </w:rPr>
              <w:br/>
              <w:t>Months</w:t>
            </w:r>
          </w:p>
        </w:tc>
        <w:tc>
          <w:tcPr>
            <w:tcW w:w="1374" w:type="dxa"/>
            <w:tcBorders>
              <w:top w:val="single" w:sz="4" w:space="0" w:color="auto"/>
              <w:bottom w:val="single" w:sz="4" w:space="0" w:color="auto"/>
            </w:tcBorders>
            <w:shd w:val="clear" w:color="auto" w:fill="BDD6EE" w:themeFill="accent1" w:themeFillTint="66"/>
            <w:noWrap/>
            <w:hideMark/>
          </w:tcPr>
          <w:p w14:paraId="27046A13" w14:textId="77777777" w:rsidR="0073212E" w:rsidRPr="00500E37" w:rsidRDefault="00F97D05" w:rsidP="00FE2F3B">
            <w:pPr>
              <w:jc w:val="center"/>
              <w:rPr>
                <w:rFonts w:ascii="Calibri" w:eastAsia="Times New Roman" w:hAnsi="Calibri" w:cs="Times New Roman"/>
                <w:color w:val="000000"/>
                <w:sz w:val="18"/>
                <w:szCs w:val="18"/>
              </w:rPr>
            </w:pPr>
            <w:r w:rsidRPr="00500E37">
              <w:rPr>
                <w:rFonts w:ascii="Calibri" w:eastAsia="Times New Roman" w:hAnsi="Calibri" w:cs="Times New Roman"/>
                <w:color w:val="000000"/>
                <w:sz w:val="18"/>
                <w:szCs w:val="18"/>
              </w:rPr>
              <w:t>More than 6</w:t>
            </w:r>
            <w:r w:rsidRPr="00500E37">
              <w:rPr>
                <w:rFonts w:ascii="Calibri" w:eastAsia="Times New Roman" w:hAnsi="Calibri" w:cs="Times New Roman"/>
                <w:color w:val="000000"/>
                <w:sz w:val="18"/>
                <w:szCs w:val="18"/>
              </w:rPr>
              <w:br/>
              <w:t>Months</w:t>
            </w:r>
          </w:p>
        </w:tc>
        <w:tc>
          <w:tcPr>
            <w:tcW w:w="1118" w:type="dxa"/>
            <w:tcBorders>
              <w:top w:val="single" w:sz="4" w:space="0" w:color="auto"/>
              <w:bottom w:val="single" w:sz="4" w:space="0" w:color="auto"/>
            </w:tcBorders>
            <w:shd w:val="clear" w:color="auto" w:fill="BDD6EE" w:themeFill="accent1" w:themeFillTint="66"/>
            <w:noWrap/>
            <w:hideMark/>
          </w:tcPr>
          <w:p w14:paraId="6F663124" w14:textId="77777777" w:rsidR="0073212E" w:rsidRPr="00500E37" w:rsidRDefault="00F97D05" w:rsidP="00FE2F3B">
            <w:pPr>
              <w:jc w:val="center"/>
              <w:rPr>
                <w:rFonts w:ascii="Calibri" w:eastAsia="Times New Roman" w:hAnsi="Calibri" w:cs="Times New Roman"/>
                <w:color w:val="000000"/>
                <w:sz w:val="18"/>
                <w:szCs w:val="18"/>
              </w:rPr>
            </w:pPr>
            <w:r w:rsidRPr="00500E37">
              <w:rPr>
                <w:rFonts w:ascii="Calibri" w:eastAsia="Times New Roman" w:hAnsi="Calibri" w:cs="Times New Roman"/>
                <w:color w:val="000000"/>
                <w:sz w:val="18"/>
                <w:szCs w:val="18"/>
              </w:rPr>
              <w:t>Will Not Go</w:t>
            </w:r>
          </w:p>
          <w:p w14:paraId="3E7834E7" w14:textId="77777777" w:rsidR="00F97D05" w:rsidRPr="00500E37" w:rsidRDefault="00F97D05" w:rsidP="00FE2F3B">
            <w:pPr>
              <w:jc w:val="center"/>
              <w:rPr>
                <w:rFonts w:ascii="Calibri" w:eastAsia="Times New Roman" w:hAnsi="Calibri" w:cs="Times New Roman"/>
                <w:color w:val="000000"/>
                <w:sz w:val="18"/>
                <w:szCs w:val="18"/>
              </w:rPr>
            </w:pPr>
            <w:r w:rsidRPr="00500E37">
              <w:rPr>
                <w:rFonts w:ascii="Calibri" w:eastAsia="Times New Roman" w:hAnsi="Calibri" w:cs="Times New Roman"/>
                <w:color w:val="000000"/>
                <w:sz w:val="18"/>
                <w:szCs w:val="18"/>
              </w:rPr>
              <w:t>Back to Normal</w:t>
            </w:r>
          </w:p>
        </w:tc>
        <w:tc>
          <w:tcPr>
            <w:tcW w:w="1288" w:type="dxa"/>
            <w:tcBorders>
              <w:top w:val="single" w:sz="4" w:space="0" w:color="auto"/>
              <w:bottom w:val="single" w:sz="4" w:space="0" w:color="auto"/>
            </w:tcBorders>
            <w:shd w:val="clear" w:color="auto" w:fill="BDD6EE" w:themeFill="accent1" w:themeFillTint="66"/>
            <w:noWrap/>
            <w:hideMark/>
          </w:tcPr>
          <w:p w14:paraId="24926174" w14:textId="77777777" w:rsidR="0073212E" w:rsidRPr="00500E37" w:rsidRDefault="00F97D05" w:rsidP="007E2463">
            <w:pPr>
              <w:jc w:val="center"/>
              <w:rPr>
                <w:rFonts w:ascii="Calibri" w:eastAsia="Times New Roman" w:hAnsi="Calibri" w:cs="Times New Roman"/>
                <w:color w:val="000000"/>
                <w:sz w:val="18"/>
                <w:szCs w:val="18"/>
              </w:rPr>
            </w:pPr>
            <w:r w:rsidRPr="00500E37">
              <w:rPr>
                <w:rFonts w:ascii="Calibri" w:eastAsia="Times New Roman" w:hAnsi="Calibri" w:cs="Times New Roman"/>
                <w:color w:val="000000"/>
                <w:sz w:val="18"/>
                <w:szCs w:val="18"/>
              </w:rPr>
              <w:t xml:space="preserve">Little </w:t>
            </w:r>
            <w:r w:rsidRPr="007E2463">
              <w:rPr>
                <w:rFonts w:ascii="Calibri" w:eastAsia="Times New Roman" w:hAnsi="Calibri" w:cs="Times New Roman"/>
                <w:color w:val="000000"/>
                <w:sz w:val="18"/>
                <w:szCs w:val="18"/>
              </w:rPr>
              <w:t>o</w:t>
            </w:r>
            <w:r w:rsidR="007E2463" w:rsidRPr="007E2463">
              <w:rPr>
                <w:rFonts w:ascii="Calibri" w:eastAsia="Times New Roman" w:hAnsi="Calibri" w:cs="Times New Roman"/>
                <w:color w:val="000000"/>
                <w:sz w:val="18"/>
                <w:szCs w:val="18"/>
              </w:rPr>
              <w:t>r</w:t>
            </w:r>
            <w:r w:rsidR="007E2463">
              <w:rPr>
                <w:rFonts w:ascii="Calibri" w:eastAsia="Times New Roman" w:hAnsi="Calibri" w:cs="Times New Roman"/>
                <w:color w:val="000000"/>
                <w:sz w:val="18"/>
                <w:szCs w:val="18"/>
              </w:rPr>
              <w:t xml:space="preserve"> </w:t>
            </w:r>
            <w:r w:rsidRPr="00500E37">
              <w:rPr>
                <w:rFonts w:ascii="Calibri" w:eastAsia="Times New Roman" w:hAnsi="Calibri" w:cs="Times New Roman"/>
                <w:color w:val="000000"/>
                <w:sz w:val="18"/>
                <w:szCs w:val="18"/>
              </w:rPr>
              <w:t>No</w:t>
            </w:r>
            <w:r w:rsidRPr="00500E37">
              <w:rPr>
                <w:rFonts w:ascii="Calibri" w:eastAsia="Times New Roman" w:hAnsi="Calibri" w:cs="Times New Roman"/>
                <w:color w:val="000000"/>
                <w:sz w:val="18"/>
                <w:szCs w:val="18"/>
              </w:rPr>
              <w:br/>
              <w:t>Effect</w:t>
            </w:r>
          </w:p>
        </w:tc>
        <w:tc>
          <w:tcPr>
            <w:tcW w:w="1378" w:type="dxa"/>
            <w:tcBorders>
              <w:top w:val="single" w:sz="4" w:space="0" w:color="auto"/>
              <w:bottom w:val="single" w:sz="4" w:space="0" w:color="auto"/>
            </w:tcBorders>
            <w:shd w:val="clear" w:color="auto" w:fill="BDD6EE" w:themeFill="accent1" w:themeFillTint="66"/>
            <w:noWrap/>
            <w:hideMark/>
          </w:tcPr>
          <w:p w14:paraId="1EB16952" w14:textId="77777777" w:rsidR="0073212E" w:rsidRPr="00500E37" w:rsidRDefault="00F97D05" w:rsidP="00FE2F3B">
            <w:pPr>
              <w:jc w:val="center"/>
              <w:rPr>
                <w:rFonts w:ascii="Calibri" w:eastAsia="Times New Roman" w:hAnsi="Calibri" w:cs="Times New Roman"/>
                <w:color w:val="000000"/>
                <w:sz w:val="18"/>
                <w:szCs w:val="18"/>
              </w:rPr>
            </w:pPr>
            <w:r w:rsidRPr="00500E37">
              <w:rPr>
                <w:rFonts w:ascii="Calibri" w:eastAsia="Times New Roman" w:hAnsi="Calibri" w:cs="Times New Roman"/>
                <w:color w:val="000000"/>
                <w:sz w:val="18"/>
                <w:szCs w:val="18"/>
              </w:rPr>
              <w:t>Going Out</w:t>
            </w:r>
          </w:p>
          <w:p w14:paraId="172241E3" w14:textId="77777777" w:rsidR="00F97D05" w:rsidRPr="00500E37" w:rsidRDefault="00F97D05" w:rsidP="00FE2F3B">
            <w:pPr>
              <w:jc w:val="center"/>
              <w:rPr>
                <w:rFonts w:ascii="Calibri" w:eastAsia="Times New Roman" w:hAnsi="Calibri" w:cs="Times New Roman"/>
                <w:color w:val="000000"/>
                <w:sz w:val="18"/>
                <w:szCs w:val="18"/>
              </w:rPr>
            </w:pPr>
            <w:r w:rsidRPr="00500E37">
              <w:rPr>
                <w:rFonts w:ascii="Calibri" w:eastAsia="Times New Roman" w:hAnsi="Calibri" w:cs="Times New Roman"/>
                <w:color w:val="000000"/>
                <w:sz w:val="18"/>
                <w:szCs w:val="18"/>
              </w:rPr>
              <w:t>Of Business</w:t>
            </w:r>
          </w:p>
        </w:tc>
      </w:tr>
      <w:tr w:rsidR="00F97D05" w:rsidRPr="00500E37" w14:paraId="532E9D51" w14:textId="77777777" w:rsidTr="00500E37">
        <w:trPr>
          <w:trHeight w:val="20"/>
          <w:jc w:val="center"/>
        </w:trPr>
        <w:tc>
          <w:tcPr>
            <w:tcW w:w="1885" w:type="dxa"/>
            <w:tcBorders>
              <w:top w:val="single" w:sz="4" w:space="0" w:color="auto"/>
            </w:tcBorders>
            <w:noWrap/>
            <w:hideMark/>
          </w:tcPr>
          <w:p w14:paraId="5FBC361F" w14:textId="77777777" w:rsidR="0073212E" w:rsidRPr="00500E37" w:rsidRDefault="0073212E" w:rsidP="00FE2F3B">
            <w:pPr>
              <w:rPr>
                <w:rFonts w:ascii="Calibri" w:eastAsia="Times New Roman" w:hAnsi="Calibri" w:cs="Times New Roman"/>
                <w:color w:val="000000"/>
                <w:sz w:val="18"/>
                <w:szCs w:val="18"/>
              </w:rPr>
            </w:pPr>
          </w:p>
        </w:tc>
        <w:tc>
          <w:tcPr>
            <w:tcW w:w="1576" w:type="dxa"/>
            <w:tcBorders>
              <w:top w:val="single" w:sz="4" w:space="0" w:color="auto"/>
            </w:tcBorders>
          </w:tcPr>
          <w:p w14:paraId="52753C7F" w14:textId="77777777" w:rsidR="0073212E" w:rsidRPr="00500E37" w:rsidRDefault="00E8710E" w:rsidP="00500E37">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2</w:t>
            </w:r>
            <w:r w:rsidR="00F97D05" w:rsidRPr="00500E37">
              <w:rPr>
                <w:rFonts w:ascii="Calibri" w:eastAsia="Times New Roman" w:hAnsi="Calibri" w:cs="Times New Roman"/>
                <w:color w:val="000000"/>
                <w:sz w:val="18"/>
                <w:szCs w:val="18"/>
              </w:rPr>
              <w:t>%</w:t>
            </w:r>
          </w:p>
        </w:tc>
        <w:tc>
          <w:tcPr>
            <w:tcW w:w="898" w:type="dxa"/>
            <w:tcBorders>
              <w:top w:val="single" w:sz="4" w:space="0" w:color="auto"/>
            </w:tcBorders>
            <w:noWrap/>
            <w:hideMark/>
          </w:tcPr>
          <w:p w14:paraId="769EA9ED" w14:textId="77777777" w:rsidR="0073212E" w:rsidRPr="00500E37" w:rsidRDefault="00E8710E" w:rsidP="00F97D05">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5</w:t>
            </w:r>
            <w:r w:rsidR="00F97D05" w:rsidRPr="00500E37">
              <w:rPr>
                <w:rFonts w:ascii="Calibri" w:eastAsia="Times New Roman" w:hAnsi="Calibri" w:cs="Times New Roman"/>
                <w:color w:val="000000"/>
                <w:sz w:val="18"/>
                <w:szCs w:val="18"/>
              </w:rPr>
              <w:t>%</w:t>
            </w:r>
          </w:p>
        </w:tc>
        <w:tc>
          <w:tcPr>
            <w:tcW w:w="1273" w:type="dxa"/>
            <w:tcBorders>
              <w:top w:val="single" w:sz="4" w:space="0" w:color="auto"/>
            </w:tcBorders>
            <w:noWrap/>
            <w:hideMark/>
          </w:tcPr>
          <w:p w14:paraId="3FE9E87A" w14:textId="77777777" w:rsidR="0073212E" w:rsidRPr="00500E37" w:rsidRDefault="00E8710E" w:rsidP="00FE2F3B">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15</w:t>
            </w:r>
            <w:r w:rsidR="0073212E" w:rsidRPr="00500E37">
              <w:rPr>
                <w:rFonts w:ascii="Calibri" w:eastAsia="Times New Roman" w:hAnsi="Calibri" w:cs="Times New Roman"/>
                <w:color w:val="000000"/>
                <w:sz w:val="18"/>
                <w:szCs w:val="18"/>
              </w:rPr>
              <w:t>%</w:t>
            </w:r>
          </w:p>
        </w:tc>
        <w:tc>
          <w:tcPr>
            <w:tcW w:w="1374" w:type="dxa"/>
            <w:tcBorders>
              <w:top w:val="single" w:sz="4" w:space="0" w:color="auto"/>
            </w:tcBorders>
            <w:noWrap/>
            <w:hideMark/>
          </w:tcPr>
          <w:p w14:paraId="0B886212" w14:textId="77777777" w:rsidR="0073212E" w:rsidRPr="00500E37" w:rsidRDefault="00965C6D" w:rsidP="00FE2F3B">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52</w:t>
            </w:r>
            <w:r w:rsidR="0073212E" w:rsidRPr="00500E37">
              <w:rPr>
                <w:rFonts w:ascii="Calibri" w:eastAsia="Times New Roman" w:hAnsi="Calibri" w:cs="Times New Roman"/>
                <w:color w:val="000000"/>
                <w:sz w:val="18"/>
                <w:szCs w:val="18"/>
              </w:rPr>
              <w:t>%</w:t>
            </w:r>
          </w:p>
        </w:tc>
        <w:tc>
          <w:tcPr>
            <w:tcW w:w="1118" w:type="dxa"/>
            <w:tcBorders>
              <w:top w:val="single" w:sz="4" w:space="0" w:color="auto"/>
            </w:tcBorders>
            <w:noWrap/>
            <w:hideMark/>
          </w:tcPr>
          <w:p w14:paraId="0A27068A" w14:textId="77777777" w:rsidR="0073212E" w:rsidRPr="00500E37" w:rsidRDefault="00E8710E" w:rsidP="00FE2F3B">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13</w:t>
            </w:r>
            <w:r w:rsidR="0073212E" w:rsidRPr="00500E37">
              <w:rPr>
                <w:rFonts w:ascii="Calibri" w:eastAsia="Times New Roman" w:hAnsi="Calibri" w:cs="Times New Roman"/>
                <w:color w:val="000000"/>
                <w:sz w:val="18"/>
                <w:szCs w:val="18"/>
              </w:rPr>
              <w:t>%</w:t>
            </w:r>
          </w:p>
        </w:tc>
        <w:tc>
          <w:tcPr>
            <w:tcW w:w="1288" w:type="dxa"/>
            <w:tcBorders>
              <w:top w:val="single" w:sz="4" w:space="0" w:color="auto"/>
            </w:tcBorders>
            <w:noWrap/>
            <w:hideMark/>
          </w:tcPr>
          <w:p w14:paraId="16327FE0" w14:textId="77777777" w:rsidR="0073212E" w:rsidRPr="00500E37" w:rsidRDefault="0073212E" w:rsidP="00FE2F3B">
            <w:pPr>
              <w:jc w:val="center"/>
              <w:rPr>
                <w:rFonts w:ascii="Calibri" w:eastAsia="Times New Roman" w:hAnsi="Calibri" w:cs="Times New Roman"/>
                <w:color w:val="000000"/>
                <w:sz w:val="18"/>
                <w:szCs w:val="18"/>
              </w:rPr>
            </w:pPr>
            <w:r w:rsidRPr="00500E37">
              <w:rPr>
                <w:rFonts w:ascii="Calibri" w:eastAsia="Times New Roman" w:hAnsi="Calibri" w:cs="Times New Roman"/>
                <w:color w:val="000000"/>
                <w:sz w:val="18"/>
                <w:szCs w:val="18"/>
              </w:rPr>
              <w:t>1</w:t>
            </w:r>
            <w:r w:rsidR="00E8710E">
              <w:rPr>
                <w:rFonts w:ascii="Calibri" w:eastAsia="Times New Roman" w:hAnsi="Calibri" w:cs="Times New Roman"/>
                <w:color w:val="000000"/>
                <w:sz w:val="18"/>
                <w:szCs w:val="18"/>
              </w:rPr>
              <w:t>3</w:t>
            </w:r>
            <w:r w:rsidRPr="00500E37">
              <w:rPr>
                <w:rFonts w:ascii="Calibri" w:eastAsia="Times New Roman" w:hAnsi="Calibri" w:cs="Times New Roman"/>
                <w:color w:val="000000"/>
                <w:sz w:val="18"/>
                <w:szCs w:val="18"/>
              </w:rPr>
              <w:t>%</w:t>
            </w:r>
          </w:p>
        </w:tc>
        <w:tc>
          <w:tcPr>
            <w:tcW w:w="1378" w:type="dxa"/>
            <w:tcBorders>
              <w:top w:val="single" w:sz="4" w:space="0" w:color="auto"/>
            </w:tcBorders>
            <w:noWrap/>
            <w:hideMark/>
          </w:tcPr>
          <w:p w14:paraId="2A608081" w14:textId="77777777" w:rsidR="0073212E" w:rsidRPr="00500E37" w:rsidRDefault="00E8710E" w:rsidP="00FE2F3B">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w:t>
            </w:r>
            <w:r w:rsidR="0073212E" w:rsidRPr="00500E37">
              <w:rPr>
                <w:rFonts w:ascii="Calibri" w:eastAsia="Times New Roman" w:hAnsi="Calibri" w:cs="Times New Roman"/>
                <w:color w:val="000000"/>
                <w:sz w:val="18"/>
                <w:szCs w:val="18"/>
              </w:rPr>
              <w:t>%</w:t>
            </w:r>
          </w:p>
        </w:tc>
      </w:tr>
    </w:tbl>
    <w:p w14:paraId="3E561F11" w14:textId="77777777" w:rsidR="0073212E" w:rsidRPr="00500E37" w:rsidRDefault="0073212E" w:rsidP="008917AD">
      <w:pPr>
        <w:spacing w:after="0" w:line="240" w:lineRule="auto"/>
        <w:sectPr w:rsidR="0073212E" w:rsidRPr="00500E37" w:rsidSect="0073212E">
          <w:type w:val="continuous"/>
          <w:pgSz w:w="12240" w:h="15840"/>
          <w:pgMar w:top="720" w:right="720" w:bottom="720" w:left="720" w:header="720" w:footer="720" w:gutter="0"/>
          <w:cols w:space="720"/>
          <w:docGrid w:linePitch="360"/>
        </w:sectPr>
      </w:pPr>
    </w:p>
    <w:p w14:paraId="08F2A592" w14:textId="5F54D44B" w:rsidR="008959F9" w:rsidRDefault="00CA5832" w:rsidP="00756DD3">
      <w:pPr>
        <w:spacing w:after="0" w:line="240" w:lineRule="auto"/>
        <w:sectPr w:rsidR="008959F9" w:rsidSect="00877E6A">
          <w:type w:val="continuous"/>
          <w:pgSz w:w="12240" w:h="15840"/>
          <w:pgMar w:top="720" w:right="720" w:bottom="720" w:left="720" w:header="720" w:footer="720" w:gutter="0"/>
          <w:cols w:space="720"/>
          <w:docGrid w:linePitch="360"/>
        </w:sectPr>
      </w:pPr>
      <w:r w:rsidRPr="00CA5832">
        <w:t>Respondents were asked to provide</w:t>
      </w:r>
      <w:r>
        <w:t xml:space="preserve"> comments related to the impact of the pan</w:t>
      </w:r>
      <w:r w:rsidR="00A32042">
        <w:t>demic on</w:t>
      </w:r>
      <w:r w:rsidR="00646650">
        <w:t xml:space="preserve"> their business. </w:t>
      </w:r>
      <w:r w:rsidR="008959F9">
        <w:t>Selected</w:t>
      </w:r>
      <w:r>
        <w:t xml:space="preserve"> responses are provided </w:t>
      </w:r>
      <w:r w:rsidRPr="00CA5832">
        <w:rPr>
          <w:i/>
        </w:rPr>
        <w:t>verbatim</w:t>
      </w:r>
      <w:r>
        <w:t>,</w:t>
      </w:r>
      <w:r w:rsidR="008505F9">
        <w:t xml:space="preserve"> broken down by type of comment.</w:t>
      </w:r>
    </w:p>
    <w:p w14:paraId="5FC69613" w14:textId="77777777" w:rsidR="00F60B34" w:rsidRDefault="00F60B34" w:rsidP="006B6F5E">
      <w:pPr>
        <w:spacing w:after="0" w:line="240" w:lineRule="auto"/>
      </w:pPr>
    </w:p>
    <w:p w14:paraId="60782E0B" w14:textId="77777777" w:rsidR="00C37A2C" w:rsidRDefault="00E6747E" w:rsidP="006B6F5E">
      <w:pPr>
        <w:spacing w:after="0" w:line="240" w:lineRule="auto"/>
        <w:rPr>
          <w:i/>
        </w:rPr>
      </w:pPr>
      <w:r>
        <w:rPr>
          <w:rStyle w:val="Heading2Char"/>
        </w:rPr>
        <w:t>Impact depending on manufactured goods</w:t>
      </w:r>
      <w:r w:rsidR="00C37A2C" w:rsidRPr="0065730A">
        <w:rPr>
          <w:rStyle w:val="Heading2Char"/>
        </w:rPr>
        <w:t>:</w:t>
      </w:r>
      <w:r w:rsidR="00C37A2C" w:rsidRPr="0065730A">
        <w:rPr>
          <w:rStyle w:val="Heading2Char"/>
        </w:rPr>
        <w:br/>
      </w:r>
      <w:r w:rsidR="0042686B">
        <w:rPr>
          <w:i/>
        </w:rPr>
        <w:t>“We were able to pivot to COVID</w:t>
      </w:r>
      <w:r w:rsidR="0042686B" w:rsidRPr="0042686B">
        <w:rPr>
          <w:i/>
        </w:rPr>
        <w:t xml:space="preserve"> related production which helped immensely. PPP</w:t>
      </w:r>
      <w:r w:rsidR="0042686B">
        <w:rPr>
          <w:i/>
        </w:rPr>
        <w:t xml:space="preserve"> [equipment]</w:t>
      </w:r>
      <w:r w:rsidR="0042686B" w:rsidRPr="0042686B">
        <w:rPr>
          <w:i/>
        </w:rPr>
        <w:t xml:space="preserve"> was critical to keeping us afloat.</w:t>
      </w:r>
      <w:r w:rsidR="0042686B">
        <w:rPr>
          <w:i/>
        </w:rPr>
        <w:t>”</w:t>
      </w:r>
      <w:r w:rsidR="00756DD3">
        <w:rPr>
          <w:i/>
        </w:rPr>
        <w:br/>
      </w:r>
      <w:r w:rsidR="00756DD3">
        <w:rPr>
          <w:i/>
        </w:rPr>
        <w:br/>
        <w:t>“</w:t>
      </w:r>
      <w:r w:rsidR="00756DD3" w:rsidRPr="00756DD3">
        <w:rPr>
          <w:i/>
        </w:rPr>
        <w:t>We machine aircraft components for commercial travel and our business in this industry is down substantially.</w:t>
      </w:r>
      <w:r w:rsidR="00756DD3">
        <w:rPr>
          <w:i/>
        </w:rPr>
        <w:t>”</w:t>
      </w:r>
    </w:p>
    <w:p w14:paraId="7D8B3F59" w14:textId="77777777" w:rsidR="00756DD3" w:rsidRDefault="00756DD3" w:rsidP="006B6F5E">
      <w:pPr>
        <w:spacing w:after="0" w:line="240" w:lineRule="auto"/>
        <w:rPr>
          <w:i/>
        </w:rPr>
      </w:pPr>
    </w:p>
    <w:p w14:paraId="620A33FD" w14:textId="54612D71" w:rsidR="00756DD3" w:rsidRPr="00756DD3" w:rsidRDefault="00756DD3" w:rsidP="006B6F5E">
      <w:pPr>
        <w:spacing w:after="0" w:line="240" w:lineRule="auto"/>
        <w:rPr>
          <w:i/>
        </w:rPr>
      </w:pPr>
      <w:r>
        <w:rPr>
          <w:i/>
        </w:rPr>
        <w:t>“A</w:t>
      </w:r>
      <w:r w:rsidRPr="00756DD3">
        <w:rPr>
          <w:i/>
        </w:rPr>
        <w:t xml:space="preserve">s a brewery, our off premise sales have been significantly reduced due to bar </w:t>
      </w:r>
      <w:r w:rsidR="002D20C8">
        <w:rPr>
          <w:i/>
        </w:rPr>
        <w:t>and</w:t>
      </w:r>
      <w:r w:rsidRPr="00756DD3">
        <w:rPr>
          <w:i/>
        </w:rPr>
        <w:t xml:space="preserve"> restaurant restrictions. Additionally, we could not generate our taproom profitably and closed our taproom indefinitely.</w:t>
      </w:r>
      <w:r>
        <w:rPr>
          <w:i/>
        </w:rPr>
        <w:t>”</w:t>
      </w:r>
    </w:p>
    <w:p w14:paraId="3C795816" w14:textId="77777777" w:rsidR="00C37A2C" w:rsidRDefault="00C37A2C" w:rsidP="006B6F5E">
      <w:pPr>
        <w:spacing w:after="0" w:line="240" w:lineRule="auto"/>
      </w:pPr>
    </w:p>
    <w:p w14:paraId="16352268" w14:textId="77777777" w:rsidR="00294C47" w:rsidRDefault="00E43901" w:rsidP="006B6F5E">
      <w:pPr>
        <w:spacing w:after="0" w:line="240" w:lineRule="auto"/>
        <w:rPr>
          <w:i/>
        </w:rPr>
      </w:pPr>
      <w:r>
        <w:rPr>
          <w:rStyle w:val="Heading2Char"/>
        </w:rPr>
        <w:t>Decrease in productivity</w:t>
      </w:r>
      <w:r w:rsidRPr="0065730A">
        <w:rPr>
          <w:rStyle w:val="Heading2Char"/>
        </w:rPr>
        <w:t xml:space="preserve">: </w:t>
      </w:r>
      <w:r w:rsidRPr="0065730A">
        <w:rPr>
          <w:rStyle w:val="Heading2Char"/>
        </w:rPr>
        <w:br/>
      </w:r>
      <w:r>
        <w:rPr>
          <w:i/>
        </w:rPr>
        <w:t>“</w:t>
      </w:r>
      <w:r w:rsidRPr="00C62FD9">
        <w:rPr>
          <w:i/>
        </w:rPr>
        <w:t>Due to social distancing we've had t</w:t>
      </w:r>
      <w:r>
        <w:rPr>
          <w:i/>
        </w:rPr>
        <w:t>o</w:t>
      </w:r>
      <w:r w:rsidRPr="00C62FD9">
        <w:rPr>
          <w:i/>
        </w:rPr>
        <w:t xml:space="preserve"> spread employees out more thus decreasing productivity.</w:t>
      </w:r>
      <w:r>
        <w:rPr>
          <w:i/>
        </w:rPr>
        <w:t>”</w:t>
      </w:r>
    </w:p>
    <w:p w14:paraId="0F759E2A" w14:textId="77777777" w:rsidR="00294C47" w:rsidRDefault="00294C47" w:rsidP="006B6F5E">
      <w:pPr>
        <w:spacing w:after="0" w:line="240" w:lineRule="auto"/>
        <w:rPr>
          <w:i/>
        </w:rPr>
      </w:pPr>
    </w:p>
    <w:p w14:paraId="2E417572" w14:textId="2F192CFB" w:rsidR="00294C47" w:rsidRDefault="00294C47" w:rsidP="00294C47">
      <w:pPr>
        <w:spacing w:after="0" w:line="240" w:lineRule="auto"/>
        <w:rPr>
          <w:i/>
        </w:rPr>
      </w:pPr>
      <w:r>
        <w:rPr>
          <w:i/>
        </w:rPr>
        <w:t>“</w:t>
      </w:r>
      <w:r w:rsidRPr="0093264D">
        <w:rPr>
          <w:i/>
        </w:rPr>
        <w:t>Employees were horrible working from home. I am burnt out from working so many extra hours to keep work flo</w:t>
      </w:r>
      <w:r>
        <w:rPr>
          <w:i/>
        </w:rPr>
        <w:t>a</w:t>
      </w:r>
      <w:r w:rsidRPr="0093264D">
        <w:rPr>
          <w:i/>
        </w:rPr>
        <w:t>ting.</w:t>
      </w:r>
      <w:r>
        <w:rPr>
          <w:i/>
        </w:rPr>
        <w:t>”</w:t>
      </w:r>
    </w:p>
    <w:p w14:paraId="20435522" w14:textId="77777777" w:rsidR="00E43901" w:rsidRDefault="00E43901" w:rsidP="006B6F5E">
      <w:pPr>
        <w:spacing w:after="0" w:line="240" w:lineRule="auto"/>
      </w:pPr>
    </w:p>
    <w:p w14:paraId="20DF667C" w14:textId="77777777" w:rsidR="00F332C2" w:rsidRDefault="00F332C2" w:rsidP="00F332C2">
      <w:pPr>
        <w:spacing w:after="0" w:line="240" w:lineRule="auto"/>
        <w:rPr>
          <w:i/>
        </w:rPr>
      </w:pPr>
      <w:r>
        <w:rPr>
          <w:rStyle w:val="Heading2Char"/>
        </w:rPr>
        <w:t>Supply c</w:t>
      </w:r>
      <w:r w:rsidRPr="0065730A">
        <w:rPr>
          <w:rStyle w:val="Heading2Char"/>
        </w:rPr>
        <w:t>hain</w:t>
      </w:r>
      <w:r>
        <w:rPr>
          <w:rStyle w:val="Heading2Char"/>
        </w:rPr>
        <w:t xml:space="preserve"> delays</w:t>
      </w:r>
      <w:r w:rsidRPr="0065730A">
        <w:rPr>
          <w:rStyle w:val="Heading2Char"/>
        </w:rPr>
        <w:t>:</w:t>
      </w:r>
      <w:r>
        <w:rPr>
          <w:rStyle w:val="Heading2Char"/>
        </w:rPr>
        <w:br/>
      </w:r>
      <w:r>
        <w:rPr>
          <w:rStyle w:val="Heading2Char"/>
          <w:rFonts w:asciiTheme="minorHAnsi" w:hAnsiTheme="minorHAnsi"/>
          <w:i/>
          <w:color w:val="auto"/>
          <w:sz w:val="22"/>
          <w:szCs w:val="22"/>
        </w:rPr>
        <w:t>“</w:t>
      </w:r>
      <w:r w:rsidRPr="009C245E">
        <w:rPr>
          <w:rStyle w:val="Heading2Char"/>
          <w:rFonts w:asciiTheme="minorHAnsi" w:hAnsiTheme="minorHAnsi"/>
          <w:i/>
          <w:color w:val="auto"/>
          <w:sz w:val="22"/>
          <w:szCs w:val="22"/>
        </w:rPr>
        <w:t>Supplies are no longer reliable to service materials</w:t>
      </w:r>
      <w:r>
        <w:rPr>
          <w:rStyle w:val="Heading2Char"/>
          <w:rFonts w:asciiTheme="minorHAnsi" w:hAnsiTheme="minorHAnsi"/>
          <w:i/>
          <w:color w:val="auto"/>
          <w:sz w:val="22"/>
          <w:szCs w:val="22"/>
        </w:rPr>
        <w:t>.</w:t>
      </w:r>
      <w:r w:rsidRPr="009C245E">
        <w:rPr>
          <w:rStyle w:val="Heading2Char"/>
          <w:rFonts w:asciiTheme="minorHAnsi" w:hAnsiTheme="minorHAnsi"/>
          <w:i/>
          <w:color w:val="auto"/>
          <w:sz w:val="22"/>
          <w:szCs w:val="22"/>
        </w:rPr>
        <w:t xml:space="preserve"> Starting to see significant delays on raw materials </w:t>
      </w:r>
      <w:r>
        <w:rPr>
          <w:rStyle w:val="Heading2Char"/>
          <w:rFonts w:asciiTheme="minorHAnsi" w:hAnsiTheme="minorHAnsi"/>
          <w:i/>
          <w:color w:val="auto"/>
          <w:sz w:val="22"/>
          <w:szCs w:val="22"/>
        </w:rPr>
        <w:t>and</w:t>
      </w:r>
      <w:r w:rsidRPr="009C245E">
        <w:rPr>
          <w:rStyle w:val="Heading2Char"/>
          <w:rFonts w:asciiTheme="minorHAnsi" w:hAnsiTheme="minorHAnsi"/>
          <w:i/>
          <w:color w:val="auto"/>
          <w:sz w:val="22"/>
          <w:szCs w:val="22"/>
        </w:rPr>
        <w:t xml:space="preserve"> prices up</w:t>
      </w:r>
      <w:r>
        <w:rPr>
          <w:rStyle w:val="Heading2Char"/>
          <w:rFonts w:asciiTheme="minorHAnsi" w:hAnsiTheme="minorHAnsi"/>
          <w:i/>
          <w:color w:val="auto"/>
          <w:sz w:val="22"/>
          <w:szCs w:val="22"/>
        </w:rPr>
        <w:t>.”</w:t>
      </w:r>
      <w:bookmarkStart w:id="0" w:name="_GoBack"/>
      <w:bookmarkEnd w:id="0"/>
      <w:r w:rsidRPr="009C245E">
        <w:br/>
      </w:r>
    </w:p>
    <w:p w14:paraId="60018BA1" w14:textId="77777777" w:rsidR="00F332C2" w:rsidRPr="00646650" w:rsidRDefault="00F332C2" w:rsidP="00F332C2">
      <w:pPr>
        <w:spacing w:after="0" w:line="240" w:lineRule="auto"/>
        <w:rPr>
          <w:i/>
        </w:rPr>
      </w:pPr>
    </w:p>
    <w:p w14:paraId="356B6968" w14:textId="77777777" w:rsidR="00F332C2" w:rsidRDefault="00F332C2" w:rsidP="00F332C2">
      <w:pPr>
        <w:spacing w:after="0" w:line="240" w:lineRule="auto"/>
        <w:rPr>
          <w:i/>
        </w:rPr>
      </w:pPr>
      <w:r>
        <w:rPr>
          <w:i/>
        </w:rPr>
        <w:t>“</w:t>
      </w:r>
      <w:r w:rsidRPr="00A60C3F">
        <w:rPr>
          <w:i/>
        </w:rPr>
        <w:t>Supplier delays hurt</w:t>
      </w:r>
      <w:r>
        <w:rPr>
          <w:i/>
        </w:rPr>
        <w:t>.”</w:t>
      </w:r>
    </w:p>
    <w:p w14:paraId="3432EDF4" w14:textId="77777777" w:rsidR="00F332C2" w:rsidRDefault="00F332C2" w:rsidP="006B6F5E">
      <w:pPr>
        <w:spacing w:after="0" w:line="240" w:lineRule="auto"/>
      </w:pPr>
    </w:p>
    <w:p w14:paraId="5225AE1A" w14:textId="73DF665B" w:rsidR="00CA5832" w:rsidRDefault="00A02317" w:rsidP="006B6F5E">
      <w:pPr>
        <w:spacing w:after="0" w:line="240" w:lineRule="auto"/>
        <w:rPr>
          <w:i/>
        </w:rPr>
      </w:pPr>
      <w:r>
        <w:rPr>
          <w:rStyle w:val="Heading2Char"/>
        </w:rPr>
        <w:t>Workers receiving unemployment benefits</w:t>
      </w:r>
      <w:r w:rsidR="00CA5832" w:rsidRPr="0065730A">
        <w:rPr>
          <w:rStyle w:val="Heading2Char"/>
        </w:rPr>
        <w:t>:</w:t>
      </w:r>
      <w:r w:rsidR="00CA5832" w:rsidRPr="0065730A">
        <w:rPr>
          <w:rStyle w:val="Heading2Char"/>
        </w:rPr>
        <w:br/>
      </w:r>
      <w:r w:rsidR="00CA5832">
        <w:rPr>
          <w:i/>
        </w:rPr>
        <w:t>“</w:t>
      </w:r>
      <w:r>
        <w:rPr>
          <w:i/>
        </w:rPr>
        <w:t>I am working 10-</w:t>
      </w:r>
      <w:r w:rsidRPr="00A02317">
        <w:rPr>
          <w:i/>
        </w:rPr>
        <w:t>15 more hours to keep t</w:t>
      </w:r>
      <w:r>
        <w:rPr>
          <w:i/>
        </w:rPr>
        <w:t xml:space="preserve">hings going so we don't go out </w:t>
      </w:r>
      <w:r w:rsidRPr="00A02317">
        <w:rPr>
          <w:i/>
        </w:rPr>
        <w:t>of business, but getting very tired</w:t>
      </w:r>
      <w:r w:rsidR="0042686B">
        <w:rPr>
          <w:i/>
        </w:rPr>
        <w:t>,</w:t>
      </w:r>
      <w:r w:rsidRPr="00A02317">
        <w:rPr>
          <w:i/>
        </w:rPr>
        <w:t xml:space="preserve"> losing hope. Hard to find work etc</w:t>
      </w:r>
      <w:r>
        <w:rPr>
          <w:i/>
        </w:rPr>
        <w:t>.</w:t>
      </w:r>
      <w:r w:rsidRPr="00A02317">
        <w:rPr>
          <w:i/>
        </w:rPr>
        <w:t xml:space="preserve"> they do better with unemployment for now.</w:t>
      </w:r>
      <w:r w:rsidR="00CA5832">
        <w:rPr>
          <w:i/>
        </w:rPr>
        <w:t>”</w:t>
      </w:r>
    </w:p>
    <w:p w14:paraId="0A94F07E" w14:textId="77777777" w:rsidR="00A02317" w:rsidRPr="006179E9" w:rsidRDefault="00A02317" w:rsidP="006B6F5E">
      <w:pPr>
        <w:spacing w:after="0" w:line="240" w:lineRule="auto"/>
        <w:rPr>
          <w:i/>
        </w:rPr>
      </w:pPr>
    </w:p>
    <w:p w14:paraId="0EDACB79" w14:textId="2B0BDCAA" w:rsidR="0093264D" w:rsidRDefault="002557E3" w:rsidP="005B6BED">
      <w:pPr>
        <w:spacing w:after="0" w:line="240" w:lineRule="auto"/>
        <w:rPr>
          <w:i/>
        </w:rPr>
      </w:pPr>
      <w:r w:rsidRPr="002557E3">
        <w:rPr>
          <w:i/>
        </w:rPr>
        <w:t>“</w:t>
      </w:r>
      <w:r w:rsidR="0042686B" w:rsidRPr="0042686B">
        <w:rPr>
          <w:i/>
        </w:rPr>
        <w:t>Cannot find workers! Too many people on the sidelines collecting a check.</w:t>
      </w:r>
      <w:r w:rsidRPr="002557E3">
        <w:rPr>
          <w:i/>
        </w:rPr>
        <w:t>”</w:t>
      </w:r>
    </w:p>
    <w:p w14:paraId="7ABC8F2F" w14:textId="77777777" w:rsidR="006179E9" w:rsidRDefault="006179E9" w:rsidP="006B6F5E">
      <w:pPr>
        <w:spacing w:after="0" w:line="240" w:lineRule="auto"/>
      </w:pPr>
    </w:p>
    <w:p w14:paraId="2ECE010D" w14:textId="77777777" w:rsidR="004662B5" w:rsidRPr="008959F9" w:rsidRDefault="006179E9" w:rsidP="008959F9">
      <w:pPr>
        <w:pStyle w:val="Heading2"/>
      </w:pPr>
      <w:r>
        <w:t xml:space="preserve">Decreased </w:t>
      </w:r>
      <w:r w:rsidR="00A60C3F">
        <w:t>r</w:t>
      </w:r>
      <w:r>
        <w:t>evenues</w:t>
      </w:r>
      <w:r w:rsidR="00064F89" w:rsidRPr="00273DC2">
        <w:t>:</w:t>
      </w:r>
    </w:p>
    <w:p w14:paraId="300B16AE" w14:textId="22E0DD21" w:rsidR="00646650" w:rsidRDefault="004662B5" w:rsidP="00294C47">
      <w:pPr>
        <w:spacing w:after="0" w:line="240" w:lineRule="auto"/>
        <w:rPr>
          <w:i/>
        </w:rPr>
      </w:pPr>
      <w:r>
        <w:rPr>
          <w:i/>
        </w:rPr>
        <w:t>“</w:t>
      </w:r>
      <w:r w:rsidR="006179E9" w:rsidRPr="006179E9">
        <w:rPr>
          <w:i/>
        </w:rPr>
        <w:t xml:space="preserve">Revenue </w:t>
      </w:r>
      <w:r w:rsidR="006179E9">
        <w:rPr>
          <w:i/>
        </w:rPr>
        <w:t>i</w:t>
      </w:r>
      <w:r w:rsidR="006179E9" w:rsidRPr="006179E9">
        <w:rPr>
          <w:i/>
        </w:rPr>
        <w:t>s down and profit is down significantly. Not much cash left to get through slow times. May need to r</w:t>
      </w:r>
      <w:r w:rsidR="006179E9">
        <w:rPr>
          <w:i/>
        </w:rPr>
        <w:t xml:space="preserve">educe staff to slow cash drain </w:t>
      </w:r>
      <w:r w:rsidR="006179E9" w:rsidRPr="006179E9">
        <w:rPr>
          <w:i/>
        </w:rPr>
        <w:t>but that may impact our ability to deliver product on time.</w:t>
      </w:r>
      <w:r>
        <w:rPr>
          <w:i/>
        </w:rPr>
        <w:t>”</w:t>
      </w:r>
      <w:r w:rsidR="006179E9">
        <w:rPr>
          <w:i/>
        </w:rPr>
        <w:br/>
      </w:r>
    </w:p>
    <w:p w14:paraId="1167427E" w14:textId="2D49BD60" w:rsidR="00294C47" w:rsidRDefault="00A60C3F" w:rsidP="00F332C2">
      <w:pPr>
        <w:spacing w:after="0" w:line="240" w:lineRule="auto"/>
        <w:rPr>
          <w:i/>
        </w:rPr>
      </w:pPr>
      <w:r>
        <w:rPr>
          <w:rStyle w:val="Heading2Char"/>
        </w:rPr>
        <w:t>Loan a</w:t>
      </w:r>
      <w:r w:rsidR="00646650" w:rsidRPr="00646650">
        <w:rPr>
          <w:rStyle w:val="Heading2Char"/>
        </w:rPr>
        <w:t>ssistance</w:t>
      </w:r>
      <w:r w:rsidR="00646650" w:rsidRPr="00646650">
        <w:rPr>
          <w:rStyle w:val="Heading2Char"/>
        </w:rPr>
        <w:br/>
      </w:r>
      <w:r w:rsidR="002D20C8">
        <w:rPr>
          <w:i/>
        </w:rPr>
        <w:t>“</w:t>
      </w:r>
      <w:r w:rsidR="00646650">
        <w:rPr>
          <w:i/>
        </w:rPr>
        <w:t>I</w:t>
      </w:r>
      <w:r w:rsidR="00646650" w:rsidRPr="00646650">
        <w:rPr>
          <w:i/>
        </w:rPr>
        <w:t>t will be difficult to make up the losses in 2020 since we kept employees on staff and took out 350K in loans to help us.</w:t>
      </w:r>
      <w:r w:rsidR="002D20C8">
        <w:rPr>
          <w:i/>
        </w:rPr>
        <w:t>”</w:t>
      </w:r>
      <w:r w:rsidR="006179E9">
        <w:rPr>
          <w:i/>
        </w:rPr>
        <w:br/>
      </w:r>
      <w:r w:rsidR="00646650">
        <w:rPr>
          <w:i/>
        </w:rPr>
        <w:br/>
      </w:r>
      <w:r w:rsidR="006179E9">
        <w:rPr>
          <w:i/>
        </w:rPr>
        <w:t>“</w:t>
      </w:r>
      <w:r w:rsidR="006179E9" w:rsidRPr="006179E9">
        <w:rPr>
          <w:i/>
        </w:rPr>
        <w:t>Sales down 30%</w:t>
      </w:r>
      <w:r w:rsidR="006179E9">
        <w:rPr>
          <w:i/>
        </w:rPr>
        <w:t>,</w:t>
      </w:r>
      <w:r w:rsidR="006179E9" w:rsidRPr="006179E9">
        <w:rPr>
          <w:i/>
        </w:rPr>
        <w:t xml:space="preserve"> without PPP money we would not have made it.</w:t>
      </w:r>
      <w:r w:rsidR="002D20C8">
        <w:rPr>
          <w:i/>
        </w:rPr>
        <w:t>”</w:t>
      </w:r>
      <w:r w:rsidR="00294C47">
        <w:rPr>
          <w:i/>
        </w:rPr>
        <w:br/>
      </w:r>
      <w:r w:rsidR="00294C47">
        <w:rPr>
          <w:i/>
        </w:rPr>
        <w:br/>
      </w:r>
    </w:p>
    <w:p w14:paraId="416E9851" w14:textId="77777777" w:rsidR="00646650" w:rsidRDefault="00646650" w:rsidP="008505F9">
      <w:pPr>
        <w:spacing w:after="0" w:line="240" w:lineRule="auto"/>
        <w:rPr>
          <w:i/>
        </w:rPr>
      </w:pPr>
    </w:p>
    <w:p w14:paraId="4AD62C46" w14:textId="77777777" w:rsidR="00646650" w:rsidRPr="008505F9" w:rsidRDefault="00646650" w:rsidP="008505F9">
      <w:pPr>
        <w:spacing w:after="0" w:line="240" w:lineRule="auto"/>
        <w:rPr>
          <w:i/>
        </w:rPr>
        <w:sectPr w:rsidR="00646650" w:rsidRPr="008505F9" w:rsidSect="008959F9">
          <w:type w:val="continuous"/>
          <w:pgSz w:w="12240" w:h="15840"/>
          <w:pgMar w:top="720" w:right="720" w:bottom="720" w:left="720" w:header="720" w:footer="720" w:gutter="0"/>
          <w:cols w:num="2" w:space="720"/>
          <w:docGrid w:linePitch="360"/>
        </w:sectPr>
      </w:pPr>
    </w:p>
    <w:p w14:paraId="156D52E6" w14:textId="77777777" w:rsidR="008959F9" w:rsidRDefault="008959F9" w:rsidP="006B6F5E">
      <w:pPr>
        <w:spacing w:after="0" w:line="240" w:lineRule="auto"/>
        <w:rPr>
          <w:i/>
        </w:rPr>
      </w:pPr>
    </w:p>
    <w:p w14:paraId="1E11F063" w14:textId="77777777" w:rsidR="00BE1B88" w:rsidRDefault="00BE1B88" w:rsidP="006B6F5E">
      <w:pPr>
        <w:spacing w:after="0" w:line="240" w:lineRule="auto"/>
        <w:rPr>
          <w:sz w:val="14"/>
          <w:szCs w:val="14"/>
        </w:rPr>
        <w:sectPr w:rsidR="00BE1B88" w:rsidSect="00B86180">
          <w:type w:val="continuous"/>
          <w:pgSz w:w="12240" w:h="15840"/>
          <w:pgMar w:top="720" w:right="720" w:bottom="720" w:left="720" w:header="720" w:footer="720" w:gutter="0"/>
          <w:cols w:num="2" w:space="720"/>
          <w:docGrid w:linePitch="360"/>
        </w:sectPr>
      </w:pPr>
    </w:p>
    <w:p w14:paraId="313FCD99" w14:textId="073A50F3" w:rsidR="00877E6A" w:rsidRDefault="00BE1B88" w:rsidP="006B6F5E">
      <w:pPr>
        <w:spacing w:after="0" w:line="240" w:lineRule="auto"/>
        <w:rPr>
          <w:color w:val="FF0000"/>
          <w:sz w:val="14"/>
          <w:szCs w:val="14"/>
        </w:rPr>
        <w:sectPr w:rsidR="00877E6A" w:rsidSect="00BE1B88">
          <w:type w:val="continuous"/>
          <w:pgSz w:w="12240" w:h="15840"/>
          <w:pgMar w:top="720" w:right="720" w:bottom="720" w:left="720" w:header="720" w:footer="720" w:gutter="0"/>
          <w:cols w:space="720"/>
          <w:docGrid w:linePitch="360"/>
        </w:sectPr>
      </w:pPr>
      <w:r>
        <w:rPr>
          <w:sz w:val="14"/>
          <w:szCs w:val="14"/>
        </w:rPr>
        <w:t>(</w:t>
      </w:r>
      <w:r w:rsidR="00877E6A" w:rsidRPr="00877E6A">
        <w:rPr>
          <w:sz w:val="14"/>
          <w:szCs w:val="14"/>
        </w:rPr>
        <w:t xml:space="preserve">1) </w:t>
      </w:r>
      <w:r w:rsidR="00411327">
        <w:rPr>
          <w:sz w:val="14"/>
          <w:szCs w:val="14"/>
        </w:rPr>
        <w:t xml:space="preserve">Based on responses from </w:t>
      </w:r>
      <w:r w:rsidR="008505F9">
        <w:rPr>
          <w:sz w:val="14"/>
          <w:szCs w:val="14"/>
        </w:rPr>
        <w:t>250</w:t>
      </w:r>
      <w:r w:rsidR="00FF76A7" w:rsidRPr="009B7A08">
        <w:rPr>
          <w:sz w:val="14"/>
          <w:szCs w:val="14"/>
        </w:rPr>
        <w:t xml:space="preserve"> </w:t>
      </w:r>
      <w:r w:rsidR="00FF76A7">
        <w:rPr>
          <w:sz w:val="14"/>
          <w:szCs w:val="14"/>
        </w:rPr>
        <w:t>Minnesota</w:t>
      </w:r>
      <w:r w:rsidR="008505F9">
        <w:rPr>
          <w:sz w:val="14"/>
          <w:szCs w:val="14"/>
        </w:rPr>
        <w:t xml:space="preserve"> manufacturing</w:t>
      </w:r>
      <w:r w:rsidR="000A65D8">
        <w:rPr>
          <w:sz w:val="14"/>
          <w:szCs w:val="14"/>
        </w:rPr>
        <w:t xml:space="preserve"> firms</w:t>
      </w:r>
      <w:r w:rsidR="00294C47">
        <w:rPr>
          <w:sz w:val="14"/>
          <w:szCs w:val="14"/>
        </w:rPr>
        <w:t>, for a response rate of 25</w:t>
      </w:r>
      <w:r w:rsidR="009B7A08">
        <w:rPr>
          <w:sz w:val="14"/>
          <w:szCs w:val="14"/>
        </w:rPr>
        <w:t>%</w:t>
      </w:r>
      <w:r w:rsidR="00877E6A" w:rsidRPr="00877E6A">
        <w:rPr>
          <w:sz w:val="14"/>
          <w:szCs w:val="14"/>
        </w:rPr>
        <w:t>. The samp</w:t>
      </w:r>
      <w:r w:rsidR="00411327">
        <w:rPr>
          <w:sz w:val="14"/>
          <w:szCs w:val="14"/>
        </w:rPr>
        <w:t>ling</w:t>
      </w:r>
      <w:r w:rsidR="008505F9">
        <w:rPr>
          <w:sz w:val="14"/>
          <w:szCs w:val="14"/>
        </w:rPr>
        <w:t xml:space="preserve"> error is plus or minus 5.4</w:t>
      </w:r>
      <w:r w:rsidR="009B7A08">
        <w:rPr>
          <w:sz w:val="14"/>
          <w:szCs w:val="14"/>
        </w:rPr>
        <w:t xml:space="preserve"> percent at a 95%</w:t>
      </w:r>
      <w:r w:rsidR="00877E6A" w:rsidRPr="00877E6A">
        <w:rPr>
          <w:sz w:val="14"/>
          <w:szCs w:val="14"/>
        </w:rPr>
        <w:t xml:space="preserve"> confidence level. P</w:t>
      </w:r>
      <w:r w:rsidR="008505F9">
        <w:rPr>
          <w:sz w:val="14"/>
          <w:szCs w:val="14"/>
        </w:rPr>
        <w:t xml:space="preserve">ercentages might not add </w:t>
      </w:r>
      <w:r w:rsidR="002D20C8">
        <w:rPr>
          <w:sz w:val="14"/>
          <w:szCs w:val="14"/>
        </w:rPr>
        <w:t xml:space="preserve">up </w:t>
      </w:r>
      <w:r w:rsidR="008505F9">
        <w:rPr>
          <w:sz w:val="14"/>
          <w:szCs w:val="14"/>
        </w:rPr>
        <w:t>to 100%</w:t>
      </w:r>
      <w:r w:rsidR="00877E6A" w:rsidRPr="00877E6A">
        <w:rPr>
          <w:sz w:val="14"/>
          <w:szCs w:val="14"/>
        </w:rPr>
        <w:t xml:space="preserve"> due to rounding. </w:t>
      </w:r>
      <w:r w:rsidR="00877E6A" w:rsidRPr="00877E6A">
        <w:rPr>
          <w:sz w:val="14"/>
          <w:szCs w:val="14"/>
        </w:rPr>
        <w:br/>
        <w:t xml:space="preserve">(2) A diffusion index greater than 50 indicates expansion, lower than 50 indicates contraction. </w:t>
      </w:r>
      <w:r w:rsidR="00877E6A" w:rsidRPr="00877E6A">
        <w:rPr>
          <w:sz w:val="14"/>
          <w:szCs w:val="14"/>
        </w:rPr>
        <w:br/>
        <w:t>Prepar</w:t>
      </w:r>
      <w:r w:rsidR="00411327">
        <w:rPr>
          <w:sz w:val="14"/>
          <w:szCs w:val="14"/>
        </w:rPr>
        <w:t xml:space="preserve">ed by the Economic Analysis </w:t>
      </w:r>
      <w:r w:rsidR="009E4192">
        <w:rPr>
          <w:sz w:val="14"/>
          <w:szCs w:val="14"/>
        </w:rPr>
        <w:t>Unit</w:t>
      </w:r>
      <w:r w:rsidR="00877E6A" w:rsidRPr="00877E6A">
        <w:rPr>
          <w:sz w:val="14"/>
          <w:szCs w:val="14"/>
        </w:rPr>
        <w:t xml:space="preserve">, Minnesota Department of Employment and Economic </w:t>
      </w:r>
      <w:r w:rsidR="00EC6FBE">
        <w:rPr>
          <w:sz w:val="14"/>
          <w:szCs w:val="14"/>
        </w:rPr>
        <w:t>Developmen</w:t>
      </w:r>
      <w:r w:rsidR="008505F9">
        <w:rPr>
          <w:sz w:val="14"/>
          <w:szCs w:val="14"/>
        </w:rPr>
        <w:t>t, February 2021.</w:t>
      </w:r>
    </w:p>
    <w:p w14:paraId="77BF32EE" w14:textId="77777777" w:rsidR="008917AD" w:rsidRPr="00500E37" w:rsidRDefault="008917AD" w:rsidP="00BE1B88">
      <w:pPr>
        <w:spacing w:after="0" w:line="240" w:lineRule="auto"/>
      </w:pPr>
    </w:p>
    <w:sectPr w:rsidR="008917AD" w:rsidRPr="00500E37" w:rsidSect="00BE1B8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38C495" w14:textId="77777777" w:rsidR="00DC0856" w:rsidRDefault="00DC0856" w:rsidP="00722892">
      <w:pPr>
        <w:spacing w:after="0" w:line="240" w:lineRule="auto"/>
      </w:pPr>
      <w:r>
        <w:separator/>
      </w:r>
    </w:p>
  </w:endnote>
  <w:endnote w:type="continuationSeparator" w:id="0">
    <w:p w14:paraId="29A7FBDB" w14:textId="77777777" w:rsidR="00DC0856" w:rsidRDefault="00DC0856" w:rsidP="00722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21552F" w14:textId="77777777" w:rsidR="00DC0856" w:rsidRDefault="00DC0856" w:rsidP="00722892">
      <w:pPr>
        <w:spacing w:after="0" w:line="240" w:lineRule="auto"/>
      </w:pPr>
      <w:r>
        <w:separator/>
      </w:r>
    </w:p>
  </w:footnote>
  <w:footnote w:type="continuationSeparator" w:id="0">
    <w:p w14:paraId="2F44F044" w14:textId="77777777" w:rsidR="00DC0856" w:rsidRDefault="00DC0856" w:rsidP="007228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9792C"/>
    <w:multiLevelType w:val="hybridMultilevel"/>
    <w:tmpl w:val="4F46C5A4"/>
    <w:lvl w:ilvl="0" w:tplc="7EC498E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54002"/>
    <w:multiLevelType w:val="hybridMultilevel"/>
    <w:tmpl w:val="90360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B10DA1"/>
    <w:multiLevelType w:val="hybridMultilevel"/>
    <w:tmpl w:val="B8CE587E"/>
    <w:lvl w:ilvl="0" w:tplc="C1963424">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62D4075"/>
    <w:multiLevelType w:val="hybridMultilevel"/>
    <w:tmpl w:val="77DE0E20"/>
    <w:lvl w:ilvl="0" w:tplc="FEC4432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A73C2"/>
    <w:multiLevelType w:val="hybridMultilevel"/>
    <w:tmpl w:val="C54C98A6"/>
    <w:lvl w:ilvl="0" w:tplc="710E8D2E">
      <w:start w:val="1"/>
      <w:numFmt w:val="decimal"/>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5" w15:restartNumberingAfterBreak="0">
    <w:nsid w:val="3AAD4C75"/>
    <w:multiLevelType w:val="hybridMultilevel"/>
    <w:tmpl w:val="D97AB74E"/>
    <w:lvl w:ilvl="0" w:tplc="593A9BF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4229547C"/>
    <w:multiLevelType w:val="hybridMultilevel"/>
    <w:tmpl w:val="63AE7CF0"/>
    <w:lvl w:ilvl="0" w:tplc="16A4D16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6C3162D5"/>
    <w:multiLevelType w:val="hybridMultilevel"/>
    <w:tmpl w:val="2B5E2D2E"/>
    <w:lvl w:ilvl="0" w:tplc="18A02B5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6FFF4843"/>
    <w:multiLevelType w:val="hybridMultilevel"/>
    <w:tmpl w:val="CA0CEBC6"/>
    <w:lvl w:ilvl="0" w:tplc="EC82D616">
      <w:start w:val="1"/>
      <w:numFmt w:val="bullet"/>
      <w:lvlText w:val=""/>
      <w:lvlJc w:val="left"/>
      <w:pPr>
        <w:ind w:left="450" w:hanging="360"/>
      </w:pPr>
      <w:rPr>
        <w:rFonts w:ascii="Symbol" w:eastAsiaTheme="minorHAnsi" w:hAnsi="Symbol"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8"/>
  </w:num>
  <w:num w:numId="2">
    <w:abstractNumId w:val="3"/>
  </w:num>
  <w:num w:numId="3">
    <w:abstractNumId w:val="0"/>
  </w:num>
  <w:num w:numId="4">
    <w:abstractNumId w:val="2"/>
  </w:num>
  <w:num w:numId="5">
    <w:abstractNumId w:val="4"/>
  </w:num>
  <w:num w:numId="6">
    <w:abstractNumId w:val="5"/>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FA"/>
    <w:rsid w:val="000055EB"/>
    <w:rsid w:val="00006BCD"/>
    <w:rsid w:val="000102FA"/>
    <w:rsid w:val="00023BB3"/>
    <w:rsid w:val="00043367"/>
    <w:rsid w:val="000530CD"/>
    <w:rsid w:val="0005336B"/>
    <w:rsid w:val="000547A3"/>
    <w:rsid w:val="000631E3"/>
    <w:rsid w:val="00064F89"/>
    <w:rsid w:val="000715D1"/>
    <w:rsid w:val="00085CB5"/>
    <w:rsid w:val="00093843"/>
    <w:rsid w:val="00096E85"/>
    <w:rsid w:val="00097993"/>
    <w:rsid w:val="000A0BC3"/>
    <w:rsid w:val="000A28AD"/>
    <w:rsid w:val="000A65D8"/>
    <w:rsid w:val="000B4D88"/>
    <w:rsid w:val="000B68D5"/>
    <w:rsid w:val="000B7992"/>
    <w:rsid w:val="000C04EE"/>
    <w:rsid w:val="000C107F"/>
    <w:rsid w:val="000C1BCF"/>
    <w:rsid w:val="000D53DE"/>
    <w:rsid w:val="000E746C"/>
    <w:rsid w:val="000F78D5"/>
    <w:rsid w:val="00100C21"/>
    <w:rsid w:val="001215A7"/>
    <w:rsid w:val="00126400"/>
    <w:rsid w:val="00130B1B"/>
    <w:rsid w:val="0013508B"/>
    <w:rsid w:val="00141598"/>
    <w:rsid w:val="001429B3"/>
    <w:rsid w:val="00157FEC"/>
    <w:rsid w:val="00170768"/>
    <w:rsid w:val="00174C4B"/>
    <w:rsid w:val="00174D79"/>
    <w:rsid w:val="00180F16"/>
    <w:rsid w:val="001873F4"/>
    <w:rsid w:val="00196671"/>
    <w:rsid w:val="001A1D64"/>
    <w:rsid w:val="001A70BD"/>
    <w:rsid w:val="001D0139"/>
    <w:rsid w:val="001D1D2A"/>
    <w:rsid w:val="001D7C7A"/>
    <w:rsid w:val="001F0C8E"/>
    <w:rsid w:val="001F26CC"/>
    <w:rsid w:val="001F4C74"/>
    <w:rsid w:val="00200309"/>
    <w:rsid w:val="002054F5"/>
    <w:rsid w:val="00225875"/>
    <w:rsid w:val="0023223B"/>
    <w:rsid w:val="00235D13"/>
    <w:rsid w:val="00243472"/>
    <w:rsid w:val="0024440C"/>
    <w:rsid w:val="00245A31"/>
    <w:rsid w:val="0025036B"/>
    <w:rsid w:val="002557E3"/>
    <w:rsid w:val="00266F95"/>
    <w:rsid w:val="00273A9B"/>
    <w:rsid w:val="00273DC2"/>
    <w:rsid w:val="00280798"/>
    <w:rsid w:val="00286A99"/>
    <w:rsid w:val="002934A2"/>
    <w:rsid w:val="00293720"/>
    <w:rsid w:val="00294C47"/>
    <w:rsid w:val="00297604"/>
    <w:rsid w:val="002A39E0"/>
    <w:rsid w:val="002A419E"/>
    <w:rsid w:val="002A4627"/>
    <w:rsid w:val="002A54B0"/>
    <w:rsid w:val="002C1301"/>
    <w:rsid w:val="002C48DC"/>
    <w:rsid w:val="002C5461"/>
    <w:rsid w:val="002C784F"/>
    <w:rsid w:val="002D20C8"/>
    <w:rsid w:val="002E4C76"/>
    <w:rsid w:val="002E60AC"/>
    <w:rsid w:val="002F1C66"/>
    <w:rsid w:val="003058BA"/>
    <w:rsid w:val="00311D39"/>
    <w:rsid w:val="00322627"/>
    <w:rsid w:val="003368D3"/>
    <w:rsid w:val="00337ABD"/>
    <w:rsid w:val="00346D0D"/>
    <w:rsid w:val="00351D1F"/>
    <w:rsid w:val="003549BF"/>
    <w:rsid w:val="00367060"/>
    <w:rsid w:val="00373ED3"/>
    <w:rsid w:val="003774CD"/>
    <w:rsid w:val="003809EF"/>
    <w:rsid w:val="003844D4"/>
    <w:rsid w:val="00391C69"/>
    <w:rsid w:val="003942C0"/>
    <w:rsid w:val="00394DB6"/>
    <w:rsid w:val="003B032B"/>
    <w:rsid w:val="003B28DB"/>
    <w:rsid w:val="003B59F7"/>
    <w:rsid w:val="003B5D7E"/>
    <w:rsid w:val="003C059D"/>
    <w:rsid w:val="003E0958"/>
    <w:rsid w:val="003E3664"/>
    <w:rsid w:val="003E5789"/>
    <w:rsid w:val="003F33BB"/>
    <w:rsid w:val="003F5F27"/>
    <w:rsid w:val="003F62BE"/>
    <w:rsid w:val="003F67FA"/>
    <w:rsid w:val="00411327"/>
    <w:rsid w:val="00413D79"/>
    <w:rsid w:val="0041750B"/>
    <w:rsid w:val="004262DB"/>
    <w:rsid w:val="0042686B"/>
    <w:rsid w:val="00427A28"/>
    <w:rsid w:val="0043194C"/>
    <w:rsid w:val="00444F06"/>
    <w:rsid w:val="00457917"/>
    <w:rsid w:val="004609C7"/>
    <w:rsid w:val="004662B5"/>
    <w:rsid w:val="0047340A"/>
    <w:rsid w:val="00490F2E"/>
    <w:rsid w:val="0049334A"/>
    <w:rsid w:val="004A770C"/>
    <w:rsid w:val="004C194A"/>
    <w:rsid w:val="004C508D"/>
    <w:rsid w:val="004D5B1E"/>
    <w:rsid w:val="004E068C"/>
    <w:rsid w:val="004E12F2"/>
    <w:rsid w:val="004E3C39"/>
    <w:rsid w:val="004F502B"/>
    <w:rsid w:val="00500E37"/>
    <w:rsid w:val="0051195F"/>
    <w:rsid w:val="005252B0"/>
    <w:rsid w:val="00531B2D"/>
    <w:rsid w:val="00550643"/>
    <w:rsid w:val="00565C48"/>
    <w:rsid w:val="00567732"/>
    <w:rsid w:val="00584451"/>
    <w:rsid w:val="005A24D4"/>
    <w:rsid w:val="005A2834"/>
    <w:rsid w:val="005A45F6"/>
    <w:rsid w:val="005B6565"/>
    <w:rsid w:val="005B6BED"/>
    <w:rsid w:val="005C5C85"/>
    <w:rsid w:val="005D05C5"/>
    <w:rsid w:val="005D393F"/>
    <w:rsid w:val="005D442B"/>
    <w:rsid w:val="005F0E3F"/>
    <w:rsid w:val="005F3E68"/>
    <w:rsid w:val="006179E9"/>
    <w:rsid w:val="00627309"/>
    <w:rsid w:val="006309E6"/>
    <w:rsid w:val="006327BB"/>
    <w:rsid w:val="0063644F"/>
    <w:rsid w:val="006449F7"/>
    <w:rsid w:val="00646650"/>
    <w:rsid w:val="00646763"/>
    <w:rsid w:val="0065167F"/>
    <w:rsid w:val="0065730A"/>
    <w:rsid w:val="00671474"/>
    <w:rsid w:val="00671D12"/>
    <w:rsid w:val="006A1085"/>
    <w:rsid w:val="006A387C"/>
    <w:rsid w:val="006A44DF"/>
    <w:rsid w:val="006B0B3E"/>
    <w:rsid w:val="006B28F7"/>
    <w:rsid w:val="006B3637"/>
    <w:rsid w:val="006B4564"/>
    <w:rsid w:val="006B6F5E"/>
    <w:rsid w:val="006C6700"/>
    <w:rsid w:val="006D3884"/>
    <w:rsid w:val="006D3B3F"/>
    <w:rsid w:val="006F7EFC"/>
    <w:rsid w:val="00702D96"/>
    <w:rsid w:val="0070375F"/>
    <w:rsid w:val="0070546F"/>
    <w:rsid w:val="007075DF"/>
    <w:rsid w:val="007145B2"/>
    <w:rsid w:val="007171B2"/>
    <w:rsid w:val="00722892"/>
    <w:rsid w:val="007242DF"/>
    <w:rsid w:val="00726C57"/>
    <w:rsid w:val="0073212E"/>
    <w:rsid w:val="007339B7"/>
    <w:rsid w:val="00742BA0"/>
    <w:rsid w:val="00743632"/>
    <w:rsid w:val="0075193C"/>
    <w:rsid w:val="00752148"/>
    <w:rsid w:val="00756DD3"/>
    <w:rsid w:val="007579D5"/>
    <w:rsid w:val="00762DAF"/>
    <w:rsid w:val="00765F50"/>
    <w:rsid w:val="00771521"/>
    <w:rsid w:val="007850A1"/>
    <w:rsid w:val="00786854"/>
    <w:rsid w:val="007874B0"/>
    <w:rsid w:val="00795376"/>
    <w:rsid w:val="007B16BB"/>
    <w:rsid w:val="007C3754"/>
    <w:rsid w:val="007C629F"/>
    <w:rsid w:val="007D7CFA"/>
    <w:rsid w:val="007E2463"/>
    <w:rsid w:val="007F61A9"/>
    <w:rsid w:val="008051D0"/>
    <w:rsid w:val="00810157"/>
    <w:rsid w:val="00811679"/>
    <w:rsid w:val="00814ED5"/>
    <w:rsid w:val="00814F86"/>
    <w:rsid w:val="00820241"/>
    <w:rsid w:val="00825F3C"/>
    <w:rsid w:val="00831B82"/>
    <w:rsid w:val="00835E20"/>
    <w:rsid w:val="00836269"/>
    <w:rsid w:val="00836305"/>
    <w:rsid w:val="0084634F"/>
    <w:rsid w:val="008505F9"/>
    <w:rsid w:val="00853F8F"/>
    <w:rsid w:val="00855892"/>
    <w:rsid w:val="00866AE5"/>
    <w:rsid w:val="0087386F"/>
    <w:rsid w:val="00873CE5"/>
    <w:rsid w:val="00875E22"/>
    <w:rsid w:val="00877E6A"/>
    <w:rsid w:val="00881A20"/>
    <w:rsid w:val="00881C43"/>
    <w:rsid w:val="008917AD"/>
    <w:rsid w:val="0089194E"/>
    <w:rsid w:val="008959F9"/>
    <w:rsid w:val="008A3B5D"/>
    <w:rsid w:val="008A7B58"/>
    <w:rsid w:val="008B00D4"/>
    <w:rsid w:val="008B2E6E"/>
    <w:rsid w:val="008B388C"/>
    <w:rsid w:val="008B5D54"/>
    <w:rsid w:val="008C0851"/>
    <w:rsid w:val="008C6664"/>
    <w:rsid w:val="008C6794"/>
    <w:rsid w:val="008C7C93"/>
    <w:rsid w:val="008D3F64"/>
    <w:rsid w:val="008D6DDD"/>
    <w:rsid w:val="008E015A"/>
    <w:rsid w:val="008E7E58"/>
    <w:rsid w:val="008F3959"/>
    <w:rsid w:val="008F3AB3"/>
    <w:rsid w:val="00902FE2"/>
    <w:rsid w:val="0093264D"/>
    <w:rsid w:val="0093302A"/>
    <w:rsid w:val="00933559"/>
    <w:rsid w:val="00941384"/>
    <w:rsid w:val="0094164D"/>
    <w:rsid w:val="009468D5"/>
    <w:rsid w:val="00955E99"/>
    <w:rsid w:val="0095690F"/>
    <w:rsid w:val="00961887"/>
    <w:rsid w:val="00962FBB"/>
    <w:rsid w:val="00965C6D"/>
    <w:rsid w:val="009713A3"/>
    <w:rsid w:val="00972D5C"/>
    <w:rsid w:val="009768AE"/>
    <w:rsid w:val="00995CB9"/>
    <w:rsid w:val="009969EB"/>
    <w:rsid w:val="009A0736"/>
    <w:rsid w:val="009A1D8F"/>
    <w:rsid w:val="009A1F63"/>
    <w:rsid w:val="009A7E27"/>
    <w:rsid w:val="009B07B0"/>
    <w:rsid w:val="009B3DF5"/>
    <w:rsid w:val="009B70AB"/>
    <w:rsid w:val="009B7995"/>
    <w:rsid w:val="009B7A08"/>
    <w:rsid w:val="009C0451"/>
    <w:rsid w:val="009C245E"/>
    <w:rsid w:val="009C2E72"/>
    <w:rsid w:val="009D2102"/>
    <w:rsid w:val="009D6A9C"/>
    <w:rsid w:val="009D720D"/>
    <w:rsid w:val="009E4192"/>
    <w:rsid w:val="009E438F"/>
    <w:rsid w:val="009F13ED"/>
    <w:rsid w:val="009F26AA"/>
    <w:rsid w:val="009F568F"/>
    <w:rsid w:val="009F7D57"/>
    <w:rsid w:val="00A02317"/>
    <w:rsid w:val="00A121AF"/>
    <w:rsid w:val="00A257DB"/>
    <w:rsid w:val="00A2646F"/>
    <w:rsid w:val="00A31665"/>
    <w:rsid w:val="00A32042"/>
    <w:rsid w:val="00A41AC1"/>
    <w:rsid w:val="00A43276"/>
    <w:rsid w:val="00A448E3"/>
    <w:rsid w:val="00A47279"/>
    <w:rsid w:val="00A516F3"/>
    <w:rsid w:val="00A5586F"/>
    <w:rsid w:val="00A561F7"/>
    <w:rsid w:val="00A60C3F"/>
    <w:rsid w:val="00A66699"/>
    <w:rsid w:val="00A67406"/>
    <w:rsid w:val="00A70BA3"/>
    <w:rsid w:val="00A7507C"/>
    <w:rsid w:val="00A774BE"/>
    <w:rsid w:val="00A908BB"/>
    <w:rsid w:val="00A94D17"/>
    <w:rsid w:val="00A979C6"/>
    <w:rsid w:val="00A97C01"/>
    <w:rsid w:val="00AB54BD"/>
    <w:rsid w:val="00AB5A0D"/>
    <w:rsid w:val="00AB6F70"/>
    <w:rsid w:val="00AC6BEA"/>
    <w:rsid w:val="00AD38E8"/>
    <w:rsid w:val="00AD5C32"/>
    <w:rsid w:val="00AE0EFF"/>
    <w:rsid w:val="00AE2D5B"/>
    <w:rsid w:val="00AE5AA1"/>
    <w:rsid w:val="00B22064"/>
    <w:rsid w:val="00B22FAE"/>
    <w:rsid w:val="00B354AB"/>
    <w:rsid w:val="00B4100B"/>
    <w:rsid w:val="00B42CDA"/>
    <w:rsid w:val="00B5399B"/>
    <w:rsid w:val="00B76A86"/>
    <w:rsid w:val="00B76C4D"/>
    <w:rsid w:val="00B81B7A"/>
    <w:rsid w:val="00B86180"/>
    <w:rsid w:val="00B86E7E"/>
    <w:rsid w:val="00BA5968"/>
    <w:rsid w:val="00BB4D26"/>
    <w:rsid w:val="00BC0C4D"/>
    <w:rsid w:val="00BC5DD8"/>
    <w:rsid w:val="00BD5061"/>
    <w:rsid w:val="00BE1B88"/>
    <w:rsid w:val="00BE474F"/>
    <w:rsid w:val="00BE7561"/>
    <w:rsid w:val="00BF2600"/>
    <w:rsid w:val="00C016FB"/>
    <w:rsid w:val="00C0363D"/>
    <w:rsid w:val="00C067E2"/>
    <w:rsid w:val="00C10313"/>
    <w:rsid w:val="00C1258E"/>
    <w:rsid w:val="00C1455B"/>
    <w:rsid w:val="00C163DF"/>
    <w:rsid w:val="00C2607A"/>
    <w:rsid w:val="00C310C5"/>
    <w:rsid w:val="00C33B94"/>
    <w:rsid w:val="00C34B1A"/>
    <w:rsid w:val="00C35CB2"/>
    <w:rsid w:val="00C37A2C"/>
    <w:rsid w:val="00C46B75"/>
    <w:rsid w:val="00C5553E"/>
    <w:rsid w:val="00C570D5"/>
    <w:rsid w:val="00C6136E"/>
    <w:rsid w:val="00C62FD9"/>
    <w:rsid w:val="00C633BF"/>
    <w:rsid w:val="00C707A3"/>
    <w:rsid w:val="00C74624"/>
    <w:rsid w:val="00C74737"/>
    <w:rsid w:val="00C80C65"/>
    <w:rsid w:val="00C82881"/>
    <w:rsid w:val="00CA4F8E"/>
    <w:rsid w:val="00CA5832"/>
    <w:rsid w:val="00CB586B"/>
    <w:rsid w:val="00CC2FD0"/>
    <w:rsid w:val="00CD106C"/>
    <w:rsid w:val="00CE1510"/>
    <w:rsid w:val="00CE28CD"/>
    <w:rsid w:val="00CE3E64"/>
    <w:rsid w:val="00CE70D6"/>
    <w:rsid w:val="00CF0F48"/>
    <w:rsid w:val="00CF304A"/>
    <w:rsid w:val="00CF5F34"/>
    <w:rsid w:val="00D016CA"/>
    <w:rsid w:val="00D056A9"/>
    <w:rsid w:val="00D101D6"/>
    <w:rsid w:val="00D12E13"/>
    <w:rsid w:val="00D12EE2"/>
    <w:rsid w:val="00D21E21"/>
    <w:rsid w:val="00D33609"/>
    <w:rsid w:val="00D3621B"/>
    <w:rsid w:val="00D40EDB"/>
    <w:rsid w:val="00D47417"/>
    <w:rsid w:val="00D52CFB"/>
    <w:rsid w:val="00D53E18"/>
    <w:rsid w:val="00D57F6C"/>
    <w:rsid w:val="00D60273"/>
    <w:rsid w:val="00D656A2"/>
    <w:rsid w:val="00D939BA"/>
    <w:rsid w:val="00DA18EA"/>
    <w:rsid w:val="00DB159E"/>
    <w:rsid w:val="00DB1BE2"/>
    <w:rsid w:val="00DC0856"/>
    <w:rsid w:val="00DD0D08"/>
    <w:rsid w:val="00DD1D04"/>
    <w:rsid w:val="00DD39EC"/>
    <w:rsid w:val="00DE60D0"/>
    <w:rsid w:val="00DE7AC6"/>
    <w:rsid w:val="00E168E6"/>
    <w:rsid w:val="00E2110F"/>
    <w:rsid w:val="00E43901"/>
    <w:rsid w:val="00E50B04"/>
    <w:rsid w:val="00E5354B"/>
    <w:rsid w:val="00E55E81"/>
    <w:rsid w:val="00E647F4"/>
    <w:rsid w:val="00E66525"/>
    <w:rsid w:val="00E66A72"/>
    <w:rsid w:val="00E6747E"/>
    <w:rsid w:val="00E7356E"/>
    <w:rsid w:val="00E83520"/>
    <w:rsid w:val="00E841AC"/>
    <w:rsid w:val="00E8710E"/>
    <w:rsid w:val="00E91C23"/>
    <w:rsid w:val="00EA2AE1"/>
    <w:rsid w:val="00EC4760"/>
    <w:rsid w:val="00EC6FBE"/>
    <w:rsid w:val="00EE2D4D"/>
    <w:rsid w:val="00EE6084"/>
    <w:rsid w:val="00EF2617"/>
    <w:rsid w:val="00F10ED0"/>
    <w:rsid w:val="00F267EF"/>
    <w:rsid w:val="00F332C2"/>
    <w:rsid w:val="00F573FD"/>
    <w:rsid w:val="00F60B34"/>
    <w:rsid w:val="00F62FD1"/>
    <w:rsid w:val="00F648C0"/>
    <w:rsid w:val="00F65394"/>
    <w:rsid w:val="00F6539A"/>
    <w:rsid w:val="00F76D55"/>
    <w:rsid w:val="00F82F8E"/>
    <w:rsid w:val="00F86309"/>
    <w:rsid w:val="00F97D05"/>
    <w:rsid w:val="00FA15BD"/>
    <w:rsid w:val="00FB474B"/>
    <w:rsid w:val="00FC11C8"/>
    <w:rsid w:val="00FD40A7"/>
    <w:rsid w:val="00FD4BBE"/>
    <w:rsid w:val="00FD5052"/>
    <w:rsid w:val="00FD51F6"/>
    <w:rsid w:val="00FE0621"/>
    <w:rsid w:val="00FE2083"/>
    <w:rsid w:val="00FF5EB2"/>
    <w:rsid w:val="00FF7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FD48E"/>
  <w15:chartTrackingRefBased/>
  <w15:docId w15:val="{1B52D937-C38F-41B4-9481-0129100FE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B6F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B07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14ED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6F7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B07B0"/>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855892"/>
    <w:pPr>
      <w:spacing w:after="0" w:line="240" w:lineRule="auto"/>
    </w:pPr>
  </w:style>
  <w:style w:type="character" w:customStyle="1" w:styleId="Heading3Char">
    <w:name w:val="Heading 3 Char"/>
    <w:basedOn w:val="DefaultParagraphFont"/>
    <w:link w:val="Heading3"/>
    <w:uiPriority w:val="9"/>
    <w:rsid w:val="00814ED5"/>
    <w:rPr>
      <w:rFonts w:asciiTheme="majorHAnsi" w:eastAsiaTheme="majorEastAsia" w:hAnsiTheme="majorHAnsi" w:cstheme="majorBidi"/>
      <w:color w:val="1F4D78" w:themeColor="accent1" w:themeShade="7F"/>
      <w:sz w:val="24"/>
      <w:szCs w:val="24"/>
    </w:rPr>
  </w:style>
  <w:style w:type="paragraph" w:styleId="Title">
    <w:name w:val="Title"/>
    <w:basedOn w:val="Normal"/>
    <w:next w:val="Normal"/>
    <w:link w:val="TitleChar"/>
    <w:uiPriority w:val="10"/>
    <w:qFormat/>
    <w:rsid w:val="009969E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69EB"/>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9B7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7F61A9"/>
    <w:pPr>
      <w:spacing w:after="200" w:line="240" w:lineRule="auto"/>
    </w:pPr>
    <w:rPr>
      <w:i/>
      <w:iCs/>
      <w:color w:val="44546A" w:themeColor="text2"/>
      <w:sz w:val="18"/>
      <w:szCs w:val="18"/>
    </w:rPr>
  </w:style>
  <w:style w:type="table" w:styleId="PlainTable5">
    <w:name w:val="Plain Table 5"/>
    <w:basedOn w:val="TableNormal"/>
    <w:uiPriority w:val="45"/>
    <w:rsid w:val="00A97C0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A97C0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C80C65"/>
    <w:pPr>
      <w:ind w:left="720"/>
      <w:contextualSpacing/>
    </w:pPr>
  </w:style>
  <w:style w:type="paragraph" w:styleId="BalloonText">
    <w:name w:val="Balloon Text"/>
    <w:basedOn w:val="Normal"/>
    <w:link w:val="BalloonTextChar"/>
    <w:uiPriority w:val="99"/>
    <w:semiHidden/>
    <w:unhideWhenUsed/>
    <w:rsid w:val="007228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892"/>
    <w:rPr>
      <w:rFonts w:ascii="Segoe UI" w:hAnsi="Segoe UI" w:cs="Segoe UI"/>
      <w:sz w:val="18"/>
      <w:szCs w:val="18"/>
    </w:rPr>
  </w:style>
  <w:style w:type="paragraph" w:styleId="FootnoteText">
    <w:name w:val="footnote text"/>
    <w:basedOn w:val="Normal"/>
    <w:link w:val="FootnoteTextChar"/>
    <w:uiPriority w:val="99"/>
    <w:semiHidden/>
    <w:unhideWhenUsed/>
    <w:rsid w:val="007228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2892"/>
    <w:rPr>
      <w:sz w:val="20"/>
      <w:szCs w:val="20"/>
    </w:rPr>
  </w:style>
  <w:style w:type="character" w:styleId="FootnoteReference">
    <w:name w:val="footnote reference"/>
    <w:basedOn w:val="DefaultParagraphFont"/>
    <w:uiPriority w:val="99"/>
    <w:semiHidden/>
    <w:unhideWhenUsed/>
    <w:rsid w:val="00722892"/>
    <w:rPr>
      <w:vertAlign w:val="superscript"/>
    </w:rPr>
  </w:style>
  <w:style w:type="character" w:styleId="CommentReference">
    <w:name w:val="annotation reference"/>
    <w:basedOn w:val="DefaultParagraphFont"/>
    <w:uiPriority w:val="99"/>
    <w:semiHidden/>
    <w:unhideWhenUsed/>
    <w:rsid w:val="00DE7AC6"/>
    <w:rPr>
      <w:sz w:val="16"/>
      <w:szCs w:val="16"/>
    </w:rPr>
  </w:style>
  <w:style w:type="paragraph" w:styleId="CommentText">
    <w:name w:val="annotation text"/>
    <w:basedOn w:val="Normal"/>
    <w:link w:val="CommentTextChar"/>
    <w:uiPriority w:val="99"/>
    <w:semiHidden/>
    <w:unhideWhenUsed/>
    <w:rsid w:val="00DE7AC6"/>
    <w:pPr>
      <w:spacing w:line="240" w:lineRule="auto"/>
    </w:pPr>
    <w:rPr>
      <w:sz w:val="20"/>
      <w:szCs w:val="20"/>
    </w:rPr>
  </w:style>
  <w:style w:type="character" w:customStyle="1" w:styleId="CommentTextChar">
    <w:name w:val="Comment Text Char"/>
    <w:basedOn w:val="DefaultParagraphFont"/>
    <w:link w:val="CommentText"/>
    <w:uiPriority w:val="99"/>
    <w:semiHidden/>
    <w:rsid w:val="00DE7AC6"/>
    <w:rPr>
      <w:sz w:val="20"/>
      <w:szCs w:val="20"/>
    </w:rPr>
  </w:style>
  <w:style w:type="paragraph" w:styleId="CommentSubject">
    <w:name w:val="annotation subject"/>
    <w:basedOn w:val="CommentText"/>
    <w:next w:val="CommentText"/>
    <w:link w:val="CommentSubjectChar"/>
    <w:uiPriority w:val="99"/>
    <w:semiHidden/>
    <w:unhideWhenUsed/>
    <w:rsid w:val="00DE7AC6"/>
    <w:rPr>
      <w:b/>
      <w:bCs/>
    </w:rPr>
  </w:style>
  <w:style w:type="character" w:customStyle="1" w:styleId="CommentSubjectChar">
    <w:name w:val="Comment Subject Char"/>
    <w:basedOn w:val="CommentTextChar"/>
    <w:link w:val="CommentSubject"/>
    <w:uiPriority w:val="99"/>
    <w:semiHidden/>
    <w:rsid w:val="00DE7AC6"/>
    <w:rPr>
      <w:b/>
      <w:bCs/>
      <w:sz w:val="20"/>
      <w:szCs w:val="20"/>
    </w:rPr>
  </w:style>
  <w:style w:type="paragraph" w:styleId="Revision">
    <w:name w:val="Revision"/>
    <w:hidden/>
    <w:uiPriority w:val="99"/>
    <w:semiHidden/>
    <w:rsid w:val="00E835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3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latin typeface="Arial" pitchFamily="34" charset="0"/>
                <a:cs typeface="Arial" pitchFamily="34" charset="0"/>
              </a:defRPr>
            </a:pPr>
            <a:r>
              <a:rPr lang="en-US" sz="800" b="1" i="0" u="none" strike="noStrike" baseline="0">
                <a:effectLst/>
              </a:rPr>
              <a:t>Economic Performance for Minnesota's Manufacturing Industry --</a:t>
            </a:r>
          </a:p>
          <a:p>
            <a:pPr>
              <a:defRPr sz="900">
                <a:latin typeface="Arial" pitchFamily="34" charset="0"/>
                <a:cs typeface="Arial" pitchFamily="34" charset="0"/>
              </a:defRPr>
            </a:pPr>
            <a:r>
              <a:rPr lang="en-US" sz="800" b="1" i="0" u="none" strike="noStrike" baseline="0">
                <a:effectLst/>
              </a:rPr>
              <a:t>2020, Compared to 2019</a:t>
            </a:r>
            <a:endParaRPr lang="en-US" sz="800">
              <a:latin typeface="Arial" pitchFamily="34" charset="0"/>
              <a:cs typeface="Arial" pitchFamily="34" charset="0"/>
            </a:endParaRPr>
          </a:p>
        </c:rich>
      </c:tx>
      <c:layout/>
      <c:overlay val="0"/>
    </c:title>
    <c:autoTitleDeleted val="0"/>
    <c:plotArea>
      <c:layout>
        <c:manualLayout>
          <c:layoutTarget val="inner"/>
          <c:xMode val="edge"/>
          <c:yMode val="edge"/>
          <c:x val="8.7771154091241477E-2"/>
          <c:y val="0.2315086040866052"/>
          <c:w val="0.8701994877758924"/>
          <c:h val="0.63870134720985006"/>
        </c:manualLayout>
      </c:layout>
      <c:barChart>
        <c:barDir val="col"/>
        <c:grouping val="clustered"/>
        <c:varyColors val="0"/>
        <c:ser>
          <c:idx val="0"/>
          <c:order val="0"/>
          <c:tx>
            <c:strRef>
              <c:f>Sheet1!$B$1</c:f>
              <c:strCache>
                <c:ptCount val="1"/>
                <c:pt idx="0">
                  <c:v>Up</c:v>
                </c:pt>
              </c:strCache>
            </c:strRef>
          </c:tx>
          <c:spPr>
            <a:ln>
              <a:solidFill>
                <a:schemeClr val="accent1"/>
              </a:solidFill>
            </a:ln>
          </c:spPr>
          <c:invertIfNegative val="0"/>
          <c:cat>
            <c:strRef>
              <c:f>Sheet1!$A$2:$A$10</c:f>
              <c:strCache>
                <c:ptCount val="9"/>
                <c:pt idx="0">
                  <c:v>Orders</c:v>
                </c:pt>
                <c:pt idx="1">
                  <c:v>Produc- tion</c:v>
                </c:pt>
                <c:pt idx="2">
                  <c:v>Employ- ment</c:v>
                </c:pt>
                <c:pt idx="3">
                  <c:v>Labor Force</c:v>
                </c:pt>
                <c:pt idx="4">
                  <c:v>Invest- ment</c:v>
                </c:pt>
                <c:pt idx="5">
                  <c:v>Selling Prices</c:v>
                </c:pt>
                <c:pt idx="6">
                  <c:v>Profits</c:v>
                </c:pt>
                <c:pt idx="7">
                  <c:v>Produc- tivity</c:v>
                </c:pt>
                <c:pt idx="8">
                  <c:v>Exports</c:v>
                </c:pt>
              </c:strCache>
            </c:strRef>
          </c:cat>
          <c:val>
            <c:numRef>
              <c:f>Sheet1!$B$2:$B$10</c:f>
              <c:numCache>
                <c:formatCode>0%</c:formatCode>
                <c:ptCount val="9"/>
                <c:pt idx="0">
                  <c:v>0.24</c:v>
                </c:pt>
                <c:pt idx="1">
                  <c:v>0.2</c:v>
                </c:pt>
                <c:pt idx="2">
                  <c:v>0.14000000000000001</c:v>
                </c:pt>
                <c:pt idx="3">
                  <c:v>0.08</c:v>
                </c:pt>
                <c:pt idx="4">
                  <c:v>0.18</c:v>
                </c:pt>
                <c:pt idx="5">
                  <c:v>0.18</c:v>
                </c:pt>
                <c:pt idx="6">
                  <c:v>0.17</c:v>
                </c:pt>
                <c:pt idx="7">
                  <c:v>0.18</c:v>
                </c:pt>
                <c:pt idx="8">
                  <c:v>0.05</c:v>
                </c:pt>
              </c:numCache>
            </c:numRef>
          </c:val>
          <c:extLst xmlns:c16r2="http://schemas.microsoft.com/office/drawing/2015/06/chart">
            <c:ext xmlns:c16="http://schemas.microsoft.com/office/drawing/2014/chart" uri="{C3380CC4-5D6E-409C-BE32-E72D297353CC}">
              <c16:uniqueId val="{00000000-AB68-4DAA-83DE-081A98FD6D3E}"/>
            </c:ext>
          </c:extLst>
        </c:ser>
        <c:ser>
          <c:idx val="1"/>
          <c:order val="1"/>
          <c:tx>
            <c:strRef>
              <c:f>Sheet1!$C$1</c:f>
              <c:strCache>
                <c:ptCount val="1"/>
                <c:pt idx="0">
                  <c:v>Same</c:v>
                </c:pt>
              </c:strCache>
            </c:strRef>
          </c:tx>
          <c:spPr>
            <a:solidFill>
              <a:srgbClr val="92D050"/>
            </a:solidFill>
            <a:ln>
              <a:solidFill>
                <a:schemeClr val="accent1"/>
              </a:solidFill>
            </a:ln>
          </c:spPr>
          <c:invertIfNegative val="0"/>
          <c:cat>
            <c:strRef>
              <c:f>Sheet1!$A$2:$A$10</c:f>
              <c:strCache>
                <c:ptCount val="9"/>
                <c:pt idx="0">
                  <c:v>Orders</c:v>
                </c:pt>
                <c:pt idx="1">
                  <c:v>Produc- tion</c:v>
                </c:pt>
                <c:pt idx="2">
                  <c:v>Employ- ment</c:v>
                </c:pt>
                <c:pt idx="3">
                  <c:v>Labor Force</c:v>
                </c:pt>
                <c:pt idx="4">
                  <c:v>Invest- ment</c:v>
                </c:pt>
                <c:pt idx="5">
                  <c:v>Selling Prices</c:v>
                </c:pt>
                <c:pt idx="6">
                  <c:v>Profits</c:v>
                </c:pt>
                <c:pt idx="7">
                  <c:v>Produc- tivity</c:v>
                </c:pt>
                <c:pt idx="8">
                  <c:v>Exports</c:v>
                </c:pt>
              </c:strCache>
            </c:strRef>
          </c:cat>
          <c:val>
            <c:numRef>
              <c:f>Sheet1!$C$2:$C$10</c:f>
              <c:numCache>
                <c:formatCode>0%</c:formatCode>
                <c:ptCount val="9"/>
                <c:pt idx="0">
                  <c:v>0.16</c:v>
                </c:pt>
                <c:pt idx="1">
                  <c:v>0.28000000000000003</c:v>
                </c:pt>
                <c:pt idx="2">
                  <c:v>0.52</c:v>
                </c:pt>
                <c:pt idx="3">
                  <c:v>0.43</c:v>
                </c:pt>
                <c:pt idx="4">
                  <c:v>0.44</c:v>
                </c:pt>
                <c:pt idx="5">
                  <c:v>0.67</c:v>
                </c:pt>
                <c:pt idx="6">
                  <c:v>0.25</c:v>
                </c:pt>
                <c:pt idx="7">
                  <c:v>0.38</c:v>
                </c:pt>
                <c:pt idx="8">
                  <c:v>0.63</c:v>
                </c:pt>
              </c:numCache>
            </c:numRef>
          </c:val>
          <c:extLst xmlns:c16r2="http://schemas.microsoft.com/office/drawing/2015/06/chart">
            <c:ext xmlns:c16="http://schemas.microsoft.com/office/drawing/2014/chart" uri="{C3380CC4-5D6E-409C-BE32-E72D297353CC}">
              <c16:uniqueId val="{00000001-AB68-4DAA-83DE-081A98FD6D3E}"/>
            </c:ext>
          </c:extLst>
        </c:ser>
        <c:ser>
          <c:idx val="2"/>
          <c:order val="2"/>
          <c:tx>
            <c:strRef>
              <c:f>Sheet1!$D$1</c:f>
              <c:strCache>
                <c:ptCount val="1"/>
                <c:pt idx="0">
                  <c:v>Down</c:v>
                </c:pt>
              </c:strCache>
            </c:strRef>
          </c:tx>
          <c:spPr>
            <a:solidFill>
              <a:srgbClr val="FFFF99"/>
            </a:solidFill>
            <a:ln>
              <a:solidFill>
                <a:schemeClr val="accent1"/>
              </a:solidFill>
            </a:ln>
          </c:spPr>
          <c:invertIfNegative val="0"/>
          <c:cat>
            <c:strRef>
              <c:f>Sheet1!$A$2:$A$10</c:f>
              <c:strCache>
                <c:ptCount val="9"/>
                <c:pt idx="0">
                  <c:v>Orders</c:v>
                </c:pt>
                <c:pt idx="1">
                  <c:v>Produc- tion</c:v>
                </c:pt>
                <c:pt idx="2">
                  <c:v>Employ- ment</c:v>
                </c:pt>
                <c:pt idx="3">
                  <c:v>Labor Force</c:v>
                </c:pt>
                <c:pt idx="4">
                  <c:v>Invest- ment</c:v>
                </c:pt>
                <c:pt idx="5">
                  <c:v>Selling Prices</c:v>
                </c:pt>
                <c:pt idx="6">
                  <c:v>Profits</c:v>
                </c:pt>
                <c:pt idx="7">
                  <c:v>Produc- tivity</c:v>
                </c:pt>
                <c:pt idx="8">
                  <c:v>Exports</c:v>
                </c:pt>
              </c:strCache>
            </c:strRef>
          </c:cat>
          <c:val>
            <c:numRef>
              <c:f>Sheet1!$D$2:$D$10</c:f>
              <c:numCache>
                <c:formatCode>0%</c:formatCode>
                <c:ptCount val="9"/>
                <c:pt idx="0">
                  <c:v>0.6</c:v>
                </c:pt>
                <c:pt idx="1">
                  <c:v>0.53</c:v>
                </c:pt>
                <c:pt idx="2">
                  <c:v>0.35</c:v>
                </c:pt>
                <c:pt idx="3">
                  <c:v>0.49</c:v>
                </c:pt>
                <c:pt idx="4">
                  <c:v>0.37</c:v>
                </c:pt>
                <c:pt idx="5">
                  <c:v>0.14000000000000001</c:v>
                </c:pt>
                <c:pt idx="6">
                  <c:v>0.56999999999999995</c:v>
                </c:pt>
                <c:pt idx="7">
                  <c:v>0.43</c:v>
                </c:pt>
                <c:pt idx="8">
                  <c:v>0.33</c:v>
                </c:pt>
              </c:numCache>
            </c:numRef>
          </c:val>
          <c:extLst xmlns:c16r2="http://schemas.microsoft.com/office/drawing/2015/06/chart">
            <c:ext xmlns:c16="http://schemas.microsoft.com/office/drawing/2014/chart" uri="{C3380CC4-5D6E-409C-BE32-E72D297353CC}">
              <c16:uniqueId val="{00000002-AB68-4DAA-83DE-081A98FD6D3E}"/>
            </c:ext>
          </c:extLst>
        </c:ser>
        <c:dLbls>
          <c:showLegendKey val="0"/>
          <c:showVal val="0"/>
          <c:showCatName val="0"/>
          <c:showSerName val="0"/>
          <c:showPercent val="0"/>
          <c:showBubbleSize val="0"/>
        </c:dLbls>
        <c:gapWidth val="100"/>
        <c:axId val="375525480"/>
        <c:axId val="375525088"/>
      </c:barChart>
      <c:catAx>
        <c:axId val="375525480"/>
        <c:scaling>
          <c:orientation val="minMax"/>
        </c:scaling>
        <c:delete val="0"/>
        <c:axPos val="b"/>
        <c:numFmt formatCode="General" sourceLinked="0"/>
        <c:majorTickMark val="out"/>
        <c:minorTickMark val="none"/>
        <c:tickLblPos val="nextTo"/>
        <c:txPr>
          <a:bodyPr rot="0" vert="horz"/>
          <a:lstStyle/>
          <a:p>
            <a:pPr>
              <a:defRPr sz="550" baseline="0">
                <a:latin typeface="Arial" pitchFamily="34" charset="0"/>
                <a:cs typeface="Arial" pitchFamily="34" charset="0"/>
              </a:defRPr>
            </a:pPr>
            <a:endParaRPr lang="en-US"/>
          </a:p>
        </c:txPr>
        <c:crossAx val="375525088"/>
        <c:crosses val="autoZero"/>
        <c:auto val="1"/>
        <c:lblAlgn val="ctr"/>
        <c:lblOffset val="100"/>
        <c:noMultiLvlLbl val="0"/>
      </c:catAx>
      <c:valAx>
        <c:axId val="375525088"/>
        <c:scaling>
          <c:orientation val="minMax"/>
          <c:max val="0.70000000000000007"/>
          <c:min val="0"/>
        </c:scaling>
        <c:delete val="0"/>
        <c:axPos val="l"/>
        <c:majorGridlines/>
        <c:numFmt formatCode="0%" sourceLinked="1"/>
        <c:majorTickMark val="out"/>
        <c:minorTickMark val="none"/>
        <c:tickLblPos val="nextTo"/>
        <c:txPr>
          <a:bodyPr/>
          <a:lstStyle/>
          <a:p>
            <a:pPr>
              <a:defRPr sz="800"/>
            </a:pPr>
            <a:endParaRPr lang="en-US"/>
          </a:p>
        </c:txPr>
        <c:crossAx val="375525480"/>
        <c:crosses val="autoZero"/>
        <c:crossBetween val="between"/>
      </c:valAx>
    </c:plotArea>
    <c:legend>
      <c:legendPos val="t"/>
      <c:layout>
        <c:manualLayout>
          <c:xMode val="edge"/>
          <c:yMode val="edge"/>
          <c:x val="0.19813857087106093"/>
          <c:y val="0.24140398712296884"/>
          <c:w val="0.312383635419754"/>
          <c:h val="7.3936167508604378E-2"/>
        </c:manualLayout>
      </c:layout>
      <c:overlay val="0"/>
      <c:spPr>
        <a:ln>
          <a:solidFill>
            <a:schemeClr val="accent1"/>
          </a:solidFill>
        </a:ln>
      </c:spPr>
      <c:txPr>
        <a:bodyPr/>
        <a:lstStyle/>
        <a:p>
          <a:pPr>
            <a:defRPr sz="700">
              <a:latin typeface="Arial" pitchFamily="34" charset="0"/>
              <a:cs typeface="Arial" pitchFamily="34" charset="0"/>
            </a:defRPr>
          </a:pPr>
          <a:endParaRPr lang="en-US"/>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latin typeface="Arial" pitchFamily="34" charset="0"/>
                <a:cs typeface="Arial" pitchFamily="34" charset="0"/>
              </a:defRPr>
            </a:pPr>
            <a:r>
              <a:rPr lang="en-US" sz="800" b="1" i="0" u="none" strike="noStrike" baseline="0">
                <a:effectLst/>
              </a:rPr>
              <a:t>Outlook on Economic Performance for Minnesota's Manufacturing Industry --</a:t>
            </a:r>
          </a:p>
          <a:p>
            <a:pPr>
              <a:defRPr sz="900">
                <a:latin typeface="Arial" pitchFamily="34" charset="0"/>
                <a:cs typeface="Arial" pitchFamily="34" charset="0"/>
              </a:defRPr>
            </a:pPr>
            <a:r>
              <a:rPr lang="en-US" sz="800" b="1" i="0" u="none" strike="noStrike" baseline="0">
                <a:effectLst/>
              </a:rPr>
              <a:t>2021, Compared to 2020</a:t>
            </a:r>
            <a:endParaRPr lang="en-US" sz="800">
              <a:latin typeface="Arial" pitchFamily="34" charset="0"/>
              <a:cs typeface="Arial" pitchFamily="34" charset="0"/>
            </a:endParaRPr>
          </a:p>
        </c:rich>
      </c:tx>
      <c:layout/>
      <c:overlay val="0"/>
    </c:title>
    <c:autoTitleDeleted val="0"/>
    <c:plotArea>
      <c:layout>
        <c:manualLayout>
          <c:layoutTarget val="inner"/>
          <c:xMode val="edge"/>
          <c:yMode val="edge"/>
          <c:x val="8.7771154091241477E-2"/>
          <c:y val="0.2315086040866052"/>
          <c:w val="0.84062156768714325"/>
          <c:h val="0.63870134720985006"/>
        </c:manualLayout>
      </c:layout>
      <c:barChart>
        <c:barDir val="col"/>
        <c:grouping val="clustered"/>
        <c:varyColors val="0"/>
        <c:ser>
          <c:idx val="0"/>
          <c:order val="0"/>
          <c:tx>
            <c:strRef>
              <c:f>Sheet1!$B$1</c:f>
              <c:strCache>
                <c:ptCount val="1"/>
                <c:pt idx="0">
                  <c:v>Up</c:v>
                </c:pt>
              </c:strCache>
            </c:strRef>
          </c:tx>
          <c:spPr>
            <a:ln>
              <a:solidFill>
                <a:schemeClr val="accent1"/>
              </a:solidFill>
            </a:ln>
          </c:spPr>
          <c:invertIfNegative val="0"/>
          <c:cat>
            <c:strRef>
              <c:f>Sheet1!$A$2:$A$10</c:f>
              <c:strCache>
                <c:ptCount val="9"/>
                <c:pt idx="0">
                  <c:v>Orders</c:v>
                </c:pt>
                <c:pt idx="1">
                  <c:v>Produc- tion</c:v>
                </c:pt>
                <c:pt idx="2">
                  <c:v>Employ- ment</c:v>
                </c:pt>
                <c:pt idx="3">
                  <c:v>Labor- Avail.</c:v>
                </c:pt>
                <c:pt idx="4">
                  <c:v>Invest- ment</c:v>
                </c:pt>
                <c:pt idx="5">
                  <c:v>Selling- Prices</c:v>
                </c:pt>
                <c:pt idx="6">
                  <c:v>Profits</c:v>
                </c:pt>
                <c:pt idx="7">
                  <c:v>Produc- tivity</c:v>
                </c:pt>
                <c:pt idx="8">
                  <c:v>Exports</c:v>
                </c:pt>
              </c:strCache>
            </c:strRef>
          </c:cat>
          <c:val>
            <c:numRef>
              <c:f>Sheet1!$B$2:$B$10</c:f>
              <c:numCache>
                <c:formatCode>0%</c:formatCode>
                <c:ptCount val="9"/>
                <c:pt idx="0">
                  <c:v>0.53</c:v>
                </c:pt>
                <c:pt idx="1">
                  <c:v>0.4</c:v>
                </c:pt>
                <c:pt idx="2">
                  <c:v>0.37</c:v>
                </c:pt>
                <c:pt idx="3">
                  <c:v>0.11</c:v>
                </c:pt>
                <c:pt idx="4">
                  <c:v>0.24</c:v>
                </c:pt>
                <c:pt idx="5">
                  <c:v>0.36</c:v>
                </c:pt>
                <c:pt idx="6">
                  <c:v>0.33</c:v>
                </c:pt>
                <c:pt idx="7">
                  <c:v>0.34</c:v>
                </c:pt>
                <c:pt idx="8">
                  <c:v>0.16</c:v>
                </c:pt>
              </c:numCache>
            </c:numRef>
          </c:val>
          <c:extLst xmlns:c16r2="http://schemas.microsoft.com/office/drawing/2015/06/chart">
            <c:ext xmlns:c16="http://schemas.microsoft.com/office/drawing/2014/chart" uri="{C3380CC4-5D6E-409C-BE32-E72D297353CC}">
              <c16:uniqueId val="{00000000-B00E-4F5A-9C70-EAB220DBDCB4}"/>
            </c:ext>
          </c:extLst>
        </c:ser>
        <c:ser>
          <c:idx val="1"/>
          <c:order val="1"/>
          <c:tx>
            <c:strRef>
              <c:f>Sheet1!$C$1</c:f>
              <c:strCache>
                <c:ptCount val="1"/>
                <c:pt idx="0">
                  <c:v>Same</c:v>
                </c:pt>
              </c:strCache>
            </c:strRef>
          </c:tx>
          <c:spPr>
            <a:solidFill>
              <a:srgbClr val="92D050"/>
            </a:solidFill>
            <a:ln>
              <a:solidFill>
                <a:schemeClr val="accent1"/>
              </a:solidFill>
            </a:ln>
          </c:spPr>
          <c:invertIfNegative val="0"/>
          <c:cat>
            <c:strRef>
              <c:f>Sheet1!$A$2:$A$10</c:f>
              <c:strCache>
                <c:ptCount val="9"/>
                <c:pt idx="0">
                  <c:v>Orders</c:v>
                </c:pt>
                <c:pt idx="1">
                  <c:v>Produc- tion</c:v>
                </c:pt>
                <c:pt idx="2">
                  <c:v>Employ- ment</c:v>
                </c:pt>
                <c:pt idx="3">
                  <c:v>Labor- Avail.</c:v>
                </c:pt>
                <c:pt idx="4">
                  <c:v>Invest- ment</c:v>
                </c:pt>
                <c:pt idx="5">
                  <c:v>Selling- Prices</c:v>
                </c:pt>
                <c:pt idx="6">
                  <c:v>Profits</c:v>
                </c:pt>
                <c:pt idx="7">
                  <c:v>Produc- tivity</c:v>
                </c:pt>
                <c:pt idx="8">
                  <c:v>Exports</c:v>
                </c:pt>
              </c:strCache>
            </c:strRef>
          </c:cat>
          <c:val>
            <c:numRef>
              <c:f>Sheet1!$C$2:$C$10</c:f>
              <c:numCache>
                <c:formatCode>0%</c:formatCode>
                <c:ptCount val="9"/>
                <c:pt idx="0">
                  <c:v>0.27</c:v>
                </c:pt>
                <c:pt idx="1">
                  <c:v>0.42</c:v>
                </c:pt>
                <c:pt idx="2">
                  <c:v>0.51</c:v>
                </c:pt>
                <c:pt idx="3">
                  <c:v>0.56999999999999995</c:v>
                </c:pt>
                <c:pt idx="4">
                  <c:v>0.55000000000000004</c:v>
                </c:pt>
                <c:pt idx="5">
                  <c:v>0.55000000000000004</c:v>
                </c:pt>
                <c:pt idx="6">
                  <c:v>0.38</c:v>
                </c:pt>
                <c:pt idx="7">
                  <c:v>0.51</c:v>
                </c:pt>
                <c:pt idx="8">
                  <c:v>0.32</c:v>
                </c:pt>
              </c:numCache>
            </c:numRef>
          </c:val>
          <c:extLst xmlns:c16r2="http://schemas.microsoft.com/office/drawing/2015/06/chart">
            <c:ext xmlns:c16="http://schemas.microsoft.com/office/drawing/2014/chart" uri="{C3380CC4-5D6E-409C-BE32-E72D297353CC}">
              <c16:uniqueId val="{00000001-B00E-4F5A-9C70-EAB220DBDCB4}"/>
            </c:ext>
          </c:extLst>
        </c:ser>
        <c:ser>
          <c:idx val="2"/>
          <c:order val="2"/>
          <c:tx>
            <c:strRef>
              <c:f>Sheet1!$D$1</c:f>
              <c:strCache>
                <c:ptCount val="1"/>
                <c:pt idx="0">
                  <c:v>Down</c:v>
                </c:pt>
              </c:strCache>
            </c:strRef>
          </c:tx>
          <c:spPr>
            <a:solidFill>
              <a:srgbClr val="FFFF99"/>
            </a:solidFill>
            <a:ln>
              <a:solidFill>
                <a:schemeClr val="accent1"/>
              </a:solidFill>
            </a:ln>
          </c:spPr>
          <c:invertIfNegative val="0"/>
          <c:cat>
            <c:strRef>
              <c:f>Sheet1!$A$2:$A$10</c:f>
              <c:strCache>
                <c:ptCount val="9"/>
                <c:pt idx="0">
                  <c:v>Orders</c:v>
                </c:pt>
                <c:pt idx="1">
                  <c:v>Produc- tion</c:v>
                </c:pt>
                <c:pt idx="2">
                  <c:v>Employ- ment</c:v>
                </c:pt>
                <c:pt idx="3">
                  <c:v>Labor- Avail.</c:v>
                </c:pt>
                <c:pt idx="4">
                  <c:v>Invest- ment</c:v>
                </c:pt>
                <c:pt idx="5">
                  <c:v>Selling- Prices</c:v>
                </c:pt>
                <c:pt idx="6">
                  <c:v>Profits</c:v>
                </c:pt>
                <c:pt idx="7">
                  <c:v>Produc- tivity</c:v>
                </c:pt>
                <c:pt idx="8">
                  <c:v>Exports</c:v>
                </c:pt>
              </c:strCache>
            </c:strRef>
          </c:cat>
          <c:val>
            <c:numRef>
              <c:f>Sheet1!$D$2:$D$10</c:f>
              <c:numCache>
                <c:formatCode>0%</c:formatCode>
                <c:ptCount val="9"/>
                <c:pt idx="0">
                  <c:v>0.21</c:v>
                </c:pt>
                <c:pt idx="1">
                  <c:v>0.18</c:v>
                </c:pt>
                <c:pt idx="2">
                  <c:v>0.13</c:v>
                </c:pt>
                <c:pt idx="3">
                  <c:v>0.33</c:v>
                </c:pt>
                <c:pt idx="4">
                  <c:v>0.22</c:v>
                </c:pt>
                <c:pt idx="5">
                  <c:v>0.1</c:v>
                </c:pt>
                <c:pt idx="6">
                  <c:v>0.31</c:v>
                </c:pt>
                <c:pt idx="7">
                  <c:v>0.15</c:v>
                </c:pt>
                <c:pt idx="8">
                  <c:v>0.13</c:v>
                </c:pt>
              </c:numCache>
            </c:numRef>
          </c:val>
          <c:extLst xmlns:c16r2="http://schemas.microsoft.com/office/drawing/2015/06/chart">
            <c:ext xmlns:c16="http://schemas.microsoft.com/office/drawing/2014/chart" uri="{C3380CC4-5D6E-409C-BE32-E72D297353CC}">
              <c16:uniqueId val="{00000002-B00E-4F5A-9C70-EAB220DBDCB4}"/>
            </c:ext>
          </c:extLst>
        </c:ser>
        <c:dLbls>
          <c:showLegendKey val="0"/>
          <c:showVal val="0"/>
          <c:showCatName val="0"/>
          <c:showSerName val="0"/>
          <c:showPercent val="0"/>
          <c:showBubbleSize val="0"/>
        </c:dLbls>
        <c:gapWidth val="100"/>
        <c:axId val="375524304"/>
        <c:axId val="375523912"/>
      </c:barChart>
      <c:catAx>
        <c:axId val="375524304"/>
        <c:scaling>
          <c:orientation val="minMax"/>
        </c:scaling>
        <c:delete val="0"/>
        <c:axPos val="b"/>
        <c:numFmt formatCode="General" sourceLinked="0"/>
        <c:majorTickMark val="out"/>
        <c:minorTickMark val="none"/>
        <c:tickLblPos val="nextTo"/>
        <c:txPr>
          <a:bodyPr rot="0" vert="horz"/>
          <a:lstStyle/>
          <a:p>
            <a:pPr>
              <a:defRPr sz="610" baseline="0">
                <a:latin typeface="Arial" pitchFamily="34" charset="0"/>
                <a:cs typeface="Arial" pitchFamily="34" charset="0"/>
              </a:defRPr>
            </a:pPr>
            <a:endParaRPr lang="en-US"/>
          </a:p>
        </c:txPr>
        <c:crossAx val="375523912"/>
        <c:crosses val="autoZero"/>
        <c:auto val="1"/>
        <c:lblAlgn val="ctr"/>
        <c:lblOffset val="100"/>
        <c:noMultiLvlLbl val="0"/>
      </c:catAx>
      <c:valAx>
        <c:axId val="375523912"/>
        <c:scaling>
          <c:orientation val="minMax"/>
        </c:scaling>
        <c:delete val="0"/>
        <c:axPos val="l"/>
        <c:majorGridlines/>
        <c:numFmt formatCode="0%" sourceLinked="1"/>
        <c:majorTickMark val="out"/>
        <c:minorTickMark val="none"/>
        <c:tickLblPos val="nextTo"/>
        <c:txPr>
          <a:bodyPr/>
          <a:lstStyle/>
          <a:p>
            <a:pPr>
              <a:defRPr sz="800"/>
            </a:pPr>
            <a:endParaRPr lang="en-US"/>
          </a:p>
        </c:txPr>
        <c:crossAx val="375524304"/>
        <c:crosses val="autoZero"/>
        <c:crossBetween val="between"/>
      </c:valAx>
    </c:plotArea>
    <c:legend>
      <c:legendPos val="t"/>
      <c:layout>
        <c:manualLayout>
          <c:xMode val="edge"/>
          <c:yMode val="edge"/>
          <c:x val="0.64402412464399394"/>
          <c:y val="0.2417621053182305"/>
          <c:w val="0.312383635419754"/>
          <c:h val="7.3936167508604378E-2"/>
        </c:manualLayout>
      </c:layout>
      <c:overlay val="0"/>
      <c:spPr>
        <a:ln>
          <a:solidFill>
            <a:schemeClr val="accent1"/>
          </a:solidFill>
        </a:ln>
      </c:spPr>
      <c:txPr>
        <a:bodyPr/>
        <a:lstStyle/>
        <a:p>
          <a:pPr>
            <a:defRPr sz="700">
              <a:latin typeface="Arial" pitchFamily="34" charset="0"/>
              <a:cs typeface="Arial" pitchFamily="34" charset="0"/>
            </a:defRPr>
          </a:pPr>
          <a:endParaRPr lang="en-US"/>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05E1E-698F-4F45-92E1-3A91BBF65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1178</Words>
  <Characters>6716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DEED</Company>
  <LinksUpToDate>false</LinksUpToDate>
  <CharactersWithSpaces>7879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Olson</dc:creator>
  <cp:keywords/>
  <dc:description/>
  <cp:lastModifiedBy>Magda Olson</cp:lastModifiedBy>
  <cp:revision>4</cp:revision>
  <cp:lastPrinted>2019-07-02T17:16:00Z</cp:lastPrinted>
  <dcterms:created xsi:type="dcterms:W3CDTF">2021-02-17T16:21:00Z</dcterms:created>
  <dcterms:modified xsi:type="dcterms:W3CDTF">2021-02-17T16:36:00Z</dcterms:modified>
</cp:coreProperties>
</file>