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22EAD" w:rsidR="00E25695" w:rsidP="00E25695" w:rsidRDefault="00E25695" w14:paraId="23AF153D">
      <w:pPr>
        <w:rPr>
          <w:rFonts w:ascii="Arial" w:hAnsi="Arial" w:cs="Arial"/>
          <w:b/>
          <w:sz w:val="20"/>
          <w:szCs w:val="20"/>
        </w:rPr>
      </w:pPr>
      <w:bookmarkStart w:name="_GoBack" w:id="0"/>
      <w:bookmarkEnd w:id="0"/>
      <w:r w:rsidRPr="00822EAD">
        <w:rPr>
          <w:rFonts w:ascii="Arial" w:hAnsi="Arial" w:cs="Arial"/>
          <w:sz w:val="20"/>
          <w:szCs w:val="20"/>
        </w:rPr>
        <w:tab/>
      </w:r>
      <w:r w:rsidRPr="00822EAD">
        <w:rPr>
          <w:rFonts w:ascii="Arial" w:hAnsi="Arial" w:cs="Arial"/>
          <w:sz w:val="20"/>
          <w:szCs w:val="20"/>
        </w:rPr>
        <w:tab/>
      </w:r>
    </w:p>
    <w:p w:rsidR="00E25695" w:rsidP="00E25695" w:rsidRDefault="00E25695" w14:paraId="1A4A67FC">
      <w:pPr>
        <w:jc w:val="center"/>
        <w:rPr>
          <w:b/>
          <w:sz w:val="56"/>
          <w:szCs w:val="56"/>
        </w:rPr>
      </w:pPr>
      <w:r>
        <w:rPr>
          <w:noProof/>
        </w:rPr>
        <w:drawing>
          <wp:inline distT="0" distB="0" distL="0" distR="0" wp14:anchorId="3D18BF2A" wp14:editId="796A93B5">
            <wp:extent cx="6858000" cy="838200"/>
            <wp:effectExtent l="0" t="0" r="0" b="0"/>
            <wp:docPr id="1" name="Picture 1" descr="Deed SS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d SSB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E25695" w:rsidP="00E25695" w:rsidRDefault="00E25695" w14:paraId="5FBFC427">
      <w:pPr>
        <w:jc w:val="center"/>
        <w:rPr>
          <w:rFonts w:ascii="Arial" w:hAnsi="Arial" w:cs="Arial"/>
          <w:b/>
        </w:rPr>
      </w:pPr>
      <w:r>
        <w:rPr>
          <w:rFonts w:ascii="Arial" w:hAnsi="Arial" w:cs="Arial"/>
          <w:b/>
        </w:rPr>
        <w:t>2200 University Ave West STE 240</w:t>
      </w:r>
    </w:p>
    <w:p w:rsidR="00E25695" w:rsidP="00E25695" w:rsidRDefault="00E25695" w14:paraId="01BA2BD8">
      <w:pPr>
        <w:jc w:val="center"/>
        <w:rPr>
          <w:rFonts w:ascii="Arial" w:hAnsi="Arial" w:cs="Arial"/>
          <w:b/>
        </w:rPr>
      </w:pPr>
      <w:r>
        <w:rPr>
          <w:rFonts w:ascii="Arial" w:hAnsi="Arial" w:cs="Arial"/>
          <w:b/>
        </w:rPr>
        <w:t>St. Paul, MN 55114</w:t>
      </w:r>
    </w:p>
    <w:p w:rsidR="00E25695" w:rsidP="00E25695" w:rsidRDefault="00E25695" w14:paraId="51A28303">
      <w:pPr>
        <w:jc w:val="center"/>
        <w:rPr>
          <w:b/>
          <w:sz w:val="56"/>
          <w:szCs w:val="56"/>
        </w:rPr>
      </w:pPr>
    </w:p>
    <w:p w:rsidR="00E25695" w:rsidP="00E25695" w:rsidRDefault="00E25695" w14:paraId="4AE7D2D7">
      <w:pPr>
        <w:jc w:val="center"/>
        <w:rPr>
          <w:b/>
          <w:sz w:val="56"/>
          <w:szCs w:val="56"/>
        </w:rPr>
      </w:pPr>
    </w:p>
    <w:p w:rsidR="00E25695" w:rsidP="00E25695" w:rsidRDefault="00E25695" w14:paraId="6EDCE12F" w14:noSpellErr="1">
      <w:pPr>
        <w:jc w:val="center"/>
        <w:rPr>
          <w:b/>
          <w:sz w:val="56"/>
          <w:szCs w:val="56"/>
        </w:rPr>
      </w:pPr>
      <w:r w:rsidRPr="005164D9">
        <w:rPr>
          <w:b/>
          <w:sz w:val="56"/>
          <w:szCs w:val="56"/>
        </w:rPr>
        <w:t>SSB Contractor Monitoring Protocol Checklist</w:t>
      </w:r>
    </w:p>
    <w:p w:rsidR="1EDA9D63" w:rsidP="1EDA9D63" w:rsidRDefault="1EDA9D63" w14:paraId="1EDA9D63" w14:textId="1EDA9D63">
      <w:pPr>
        <w:pStyle w:val="Normal"/>
        <w:jc w:val="center"/>
      </w:pPr>
      <w:r w:rsidRPr="1EDA9D63" w:rsidR="1EDA9D63">
        <w:rPr>
          <w:b w:val="1"/>
          <w:bCs w:val="1"/>
          <w:sz w:val="56"/>
          <w:szCs w:val="56"/>
        </w:rPr>
        <w:t>Qualifications &amp; Standards</w:t>
      </w:r>
    </w:p>
    <w:p w:rsidR="00E25695" w:rsidP="00E25695" w:rsidRDefault="00E25695" w14:paraId="5B749766">
      <w:pPr>
        <w:rPr>
          <w:b/>
          <w:sz w:val="44"/>
          <w:szCs w:val="44"/>
        </w:rPr>
      </w:pPr>
      <w:r>
        <w:rPr>
          <w:b/>
          <w:sz w:val="44"/>
          <w:szCs w:val="44"/>
        </w:rPr>
        <w:tab/>
      </w:r>
    </w:p>
    <w:p w:rsidR="00E25695" w:rsidP="00E25695" w:rsidRDefault="00E25695" w14:paraId="3E54DC60">
      <w:pPr>
        <w:rPr>
          <w:b/>
          <w:sz w:val="44"/>
          <w:szCs w:val="44"/>
        </w:rPr>
      </w:pPr>
    </w:p>
    <w:p w:rsidR="00E25695" w:rsidP="00E25695" w:rsidRDefault="00E25695" w14:paraId="6DB428E3">
      <w:pPr>
        <w:rPr>
          <w:b/>
          <w:sz w:val="44"/>
          <w:szCs w:val="44"/>
        </w:rPr>
      </w:pPr>
    </w:p>
    <w:p w:rsidR="00E25695" w:rsidP="00E25695" w:rsidRDefault="00E25695" w14:paraId="47FC81C4">
      <w:pPr>
        <w:rPr>
          <w:b/>
          <w:sz w:val="44"/>
          <w:szCs w:val="44"/>
        </w:rPr>
      </w:pPr>
    </w:p>
    <w:p w:rsidR="00E25695" w:rsidP="00E25695" w:rsidRDefault="00E25695" w14:paraId="453D158C">
      <w:pPr>
        <w:rPr>
          <w:b/>
          <w:sz w:val="44"/>
          <w:szCs w:val="44"/>
        </w:rPr>
      </w:pPr>
      <w:r>
        <w:rPr>
          <w:b/>
          <w:sz w:val="44"/>
          <w:szCs w:val="44"/>
        </w:rPr>
        <w:tab/>
      </w:r>
      <w:r>
        <w:rPr>
          <w:b/>
          <w:sz w:val="44"/>
          <w:szCs w:val="44"/>
        </w:rPr>
        <w:t>Name of Contractor:</w:t>
      </w:r>
    </w:p>
    <w:p w:rsidR="00E25695" w:rsidP="00E25695" w:rsidRDefault="00E25695" w14:paraId="663D33D2">
      <w:pPr>
        <w:ind w:firstLine="720"/>
        <w:rPr>
          <w:b/>
          <w:sz w:val="44"/>
          <w:szCs w:val="44"/>
        </w:rPr>
      </w:pPr>
      <w:r>
        <w:rPr>
          <w:b/>
          <w:sz w:val="44"/>
          <w:szCs w:val="44"/>
        </w:rPr>
        <w:t>Contact Name and Telephone #:</w:t>
      </w:r>
    </w:p>
    <w:p w:rsidR="00E25695" w:rsidP="00E25695" w:rsidRDefault="00E25695" w14:paraId="6593DCBF">
      <w:pPr>
        <w:ind w:firstLine="720"/>
        <w:rPr>
          <w:b/>
          <w:sz w:val="44"/>
          <w:szCs w:val="44"/>
        </w:rPr>
      </w:pPr>
      <w:r>
        <w:rPr>
          <w:b/>
          <w:sz w:val="44"/>
          <w:szCs w:val="44"/>
        </w:rPr>
        <w:t>Date(s) of Monitoring:</w:t>
      </w:r>
    </w:p>
    <w:p w:rsidR="00E25695" w:rsidP="00E25695" w:rsidRDefault="00E25695" w14:paraId="2FC5BB9B">
      <w:pPr>
        <w:ind w:firstLine="720"/>
        <w:rPr>
          <w:b/>
          <w:sz w:val="44"/>
          <w:szCs w:val="44"/>
        </w:rPr>
      </w:pPr>
      <w:r>
        <w:rPr>
          <w:b/>
          <w:sz w:val="44"/>
          <w:szCs w:val="44"/>
        </w:rPr>
        <w:t>Lead Monitor and Team Names:</w:t>
      </w:r>
    </w:p>
    <w:p w:rsidR="00E25695" w:rsidP="00E25695" w:rsidRDefault="00E25695" w14:paraId="462C3AC7">
      <w:pPr>
        <w:ind w:firstLine="720"/>
        <w:rPr>
          <w:b/>
          <w:sz w:val="44"/>
          <w:szCs w:val="44"/>
        </w:rPr>
      </w:pPr>
    </w:p>
    <w:p w:rsidR="00E25695" w:rsidP="00E25695" w:rsidRDefault="00E25695" w14:paraId="629739B1">
      <w:pPr>
        <w:rPr>
          <w:b/>
          <w:sz w:val="44"/>
          <w:szCs w:val="44"/>
        </w:rPr>
      </w:pPr>
    </w:p>
    <w:p w:rsidR="00E25695" w:rsidP="00E25695" w:rsidRDefault="00E25695" w14:paraId="099FCC87">
      <w:pPr>
        <w:rPr>
          <w:b/>
          <w:sz w:val="44"/>
          <w:szCs w:val="44"/>
        </w:rPr>
      </w:pPr>
      <w:r>
        <w:rPr>
          <w:b/>
          <w:sz w:val="44"/>
          <w:szCs w:val="44"/>
        </w:rPr>
        <w:lastRenderedPageBreak/>
        <w:t>Qualification and Standards</w:t>
      </w:r>
    </w:p>
    <w:p w:rsidR="00E25695" w:rsidP="00E25695" w:rsidRDefault="00E25695" w14:paraId="184F067C">
      <w:pPr>
        <w:rPr>
          <w:b/>
          <w:sz w:val="44"/>
          <w:szCs w:val="44"/>
        </w:rPr>
      </w:pPr>
    </w:p>
    <w:p w:rsidR="00C51631" w:rsidRDefault="00C51631" w14:paraId="47C0266D"/>
    <w:tbl>
      <w:tblPr>
        <w:tblStyle w:val="TableGrid"/>
        <w:tblW w:w="13322" w:type="dxa"/>
        <w:shd w:val="clear" w:color="auto" w:fill="D9D9D9" w:themeFill="background1" w:themeFillShade="D9"/>
        <w:tblLook w:val="04A0" w:firstRow="1" w:lastRow="0" w:firstColumn="1" w:lastColumn="0" w:noHBand="0" w:noVBand="1"/>
      </w:tblPr>
      <w:tblGrid>
        <w:gridCol w:w="5252"/>
        <w:gridCol w:w="757"/>
        <w:gridCol w:w="687"/>
        <w:gridCol w:w="6626"/>
      </w:tblGrid>
      <w:tr w:rsidR="00E25695" w:rsidTr="54FB8226" w14:paraId="70BAB431">
        <w:trPr>
          <w:tblHeader/>
        </w:trPr>
        <w:tc>
          <w:tcPr>
            <w:tcW w:w="13322" w:type="dxa"/>
            <w:gridSpan w:val="4"/>
            <w:shd w:val="clear" w:color="auto" w:fill="D9D9D9" w:themeFill="background1" w:themeFillShade="D9"/>
          </w:tcPr>
          <w:p w:rsidRPr="005164D9" w:rsidR="00E25695" w:rsidP="00E327BF" w:rsidRDefault="00E25695" w14:paraId="2CF123D7">
            <w:pPr>
              <w:rPr>
                <w:b/>
                <w:sz w:val="36"/>
                <w:szCs w:val="36"/>
              </w:rPr>
            </w:pPr>
            <w:r>
              <w:rPr>
                <w:b/>
                <w:sz w:val="36"/>
                <w:szCs w:val="36"/>
              </w:rPr>
              <w:lastRenderedPageBreak/>
              <w:t>Low Vision</w:t>
            </w:r>
          </w:p>
        </w:tc>
      </w:tr>
      <w:tr w:rsidR="00E25695" w:rsidTr="54FB8226" w14:paraId="2C8DF4A0">
        <w:tblPrEx>
          <w:shd w:val="clear" w:color="auto" w:fill="auto"/>
        </w:tblPrEx>
        <w:trPr>
          <w:tblHeader/>
        </w:trPr>
        <w:tc>
          <w:tcPr>
            <w:tcW w:w="5252" w:type="dxa"/>
          </w:tcPr>
          <w:p w:rsidRPr="00CD6093" w:rsidR="00E25695" w:rsidP="00E327BF" w:rsidRDefault="00E25695" w14:paraId="68EB6C03">
            <w:pPr>
              <w:rPr>
                <w:b/>
              </w:rPr>
            </w:pPr>
            <w:r>
              <w:rPr>
                <w:b/>
              </w:rPr>
              <w:t>Area Reviewed</w:t>
            </w:r>
          </w:p>
        </w:tc>
        <w:tc>
          <w:tcPr>
            <w:tcW w:w="1444" w:type="dxa"/>
            <w:gridSpan w:val="2"/>
          </w:tcPr>
          <w:p w:rsidRPr="00CD6093" w:rsidR="00E25695" w:rsidP="00E327BF" w:rsidRDefault="00E25695" w14:paraId="46B05523">
            <w:pPr>
              <w:jc w:val="center"/>
              <w:rPr>
                <w:b/>
                <w:sz w:val="16"/>
                <w:szCs w:val="16"/>
              </w:rPr>
            </w:pPr>
            <w:r w:rsidRPr="00CD6093">
              <w:rPr>
                <w:b/>
                <w:sz w:val="16"/>
                <w:szCs w:val="16"/>
              </w:rPr>
              <w:t>Met requirement</w:t>
            </w:r>
          </w:p>
          <w:p w:rsidRPr="00CD6093" w:rsidR="00E25695" w:rsidP="00E327BF" w:rsidRDefault="00E25695" w14:paraId="1FFE4706">
            <w:pPr>
              <w:rPr>
                <w:b/>
              </w:rPr>
            </w:pPr>
            <w:r>
              <w:rPr>
                <w:b/>
              </w:rPr>
              <w:t xml:space="preserve"> Yes       No</w:t>
            </w:r>
          </w:p>
        </w:tc>
        <w:tc>
          <w:tcPr>
            <w:tcW w:w="6626" w:type="dxa"/>
          </w:tcPr>
          <w:p w:rsidRPr="00CD6093" w:rsidR="00E25695" w:rsidP="00E327BF" w:rsidRDefault="00E25695" w14:paraId="27109C43">
            <w:pPr>
              <w:rPr>
                <w:b/>
              </w:rPr>
            </w:pPr>
            <w:r>
              <w:rPr>
                <w:b/>
              </w:rPr>
              <w:t>Findings/Strengths/Recommendations</w:t>
            </w:r>
          </w:p>
        </w:tc>
      </w:tr>
      <w:tr w:rsidR="00E25695" w:rsidTr="54FB8226" w14:paraId="02FE57D3">
        <w:tblPrEx>
          <w:shd w:val="clear" w:color="auto" w:fill="auto"/>
        </w:tblPrEx>
        <w:tc>
          <w:tcPr>
            <w:tcW w:w="5252" w:type="dxa"/>
          </w:tcPr>
          <w:p w:rsidRPr="00E25695" w:rsidR="00E25695" w:rsidP="00E327BF" w:rsidRDefault="000F2A47" w14:paraId="642187FB">
            <w:pPr>
              <w:pStyle w:val="first"/>
              <w:spacing w:before="0" w:beforeAutospacing="0" w:after="0" w:afterAutospacing="0"/>
              <w:jc w:val="both"/>
              <w:rPr>
                <w:sz w:val="22"/>
                <w:szCs w:val="22"/>
              </w:rPr>
            </w:pPr>
            <w:hyperlink w:history="1" r:id="rId12">
              <w:r w:rsidRPr="00E25695" w:rsidR="00E25695">
                <w:rPr>
                  <w:rStyle w:val="Hyperlink"/>
                  <w:sz w:val="22"/>
                  <w:szCs w:val="22"/>
                </w:rPr>
                <w:t>Minnesota Rules 3325.0420 Subp. 5</w:t>
              </w:r>
            </w:hyperlink>
            <w:r w:rsidRPr="00E25695" w:rsidR="00E25695">
              <w:rPr>
                <w:sz w:val="22"/>
                <w:szCs w:val="22"/>
              </w:rPr>
              <w:t xml:space="preserve"> states that low vision aids requiring prescription must be prescribed by a low vision clinician. Low vision aids which do not require prescription may be provided directly by a low vision specialist or clinician.</w:t>
            </w:r>
          </w:p>
          <w:p w:rsidRPr="00E25695" w:rsidR="00E25695" w:rsidP="00E327BF" w:rsidRDefault="00E25695" w14:paraId="5392DB57">
            <w:pPr>
              <w:pStyle w:val="first"/>
              <w:spacing w:before="0" w:beforeAutospacing="0" w:after="0" w:afterAutospacing="0"/>
              <w:rPr>
                <w:sz w:val="22"/>
                <w:szCs w:val="22"/>
              </w:rPr>
            </w:pPr>
          </w:p>
          <w:p w:rsidRPr="00E25695" w:rsidR="00E25695" w:rsidP="00E327BF" w:rsidRDefault="00E25695" w14:paraId="284515E2">
            <w:pPr>
              <w:pStyle w:val="first"/>
              <w:spacing w:before="0" w:beforeAutospacing="0" w:after="0" w:afterAutospacing="0"/>
              <w:rPr>
                <w:sz w:val="22"/>
                <w:szCs w:val="22"/>
              </w:rPr>
            </w:pPr>
            <w:r w:rsidRPr="00E25695">
              <w:rPr>
                <w:sz w:val="22"/>
                <w:szCs w:val="22"/>
              </w:rPr>
              <w:t>Does Contractor provide this service?  Yes   No (if no, proceed to Orientation and Mobility)</w:t>
            </w:r>
          </w:p>
          <w:p w:rsidRPr="00E25695" w:rsidR="00E25695" w:rsidP="00E327BF" w:rsidRDefault="00E25695" w14:paraId="66F5F89B">
            <w:pPr>
              <w:pStyle w:val="first"/>
              <w:spacing w:before="0" w:beforeAutospacing="0" w:after="0" w:afterAutospacing="0"/>
              <w:rPr>
                <w:sz w:val="22"/>
                <w:szCs w:val="22"/>
              </w:rPr>
            </w:pPr>
          </w:p>
          <w:p w:rsidRPr="00E25695" w:rsidR="00E25695" w:rsidP="00E327BF" w:rsidRDefault="00E25695" w14:paraId="1B7CFA6B">
            <w:pPr>
              <w:rPr>
                <w:b/>
                <w:sz w:val="22"/>
                <w:szCs w:val="22"/>
              </w:rPr>
            </w:pPr>
          </w:p>
        </w:tc>
        <w:tc>
          <w:tcPr>
            <w:tcW w:w="757" w:type="dxa"/>
          </w:tcPr>
          <w:p w:rsidRPr="00CD6093" w:rsidR="00E25695" w:rsidP="00E327BF" w:rsidRDefault="00E25695" w14:paraId="1B33353C">
            <w:pPr>
              <w:rPr>
                <w:b/>
              </w:rPr>
            </w:pPr>
          </w:p>
        </w:tc>
        <w:tc>
          <w:tcPr>
            <w:tcW w:w="687" w:type="dxa"/>
          </w:tcPr>
          <w:p w:rsidRPr="00CD6093" w:rsidR="00E25695" w:rsidP="00E327BF" w:rsidRDefault="00E25695" w14:paraId="378AE156">
            <w:pPr>
              <w:rPr>
                <w:b/>
              </w:rPr>
            </w:pPr>
          </w:p>
        </w:tc>
        <w:tc>
          <w:tcPr>
            <w:tcW w:w="6626" w:type="dxa"/>
          </w:tcPr>
          <w:p w:rsidRPr="00CD6093" w:rsidR="00E25695" w:rsidP="00E327BF" w:rsidRDefault="00E25695" w14:paraId="1FC813AD">
            <w:pPr>
              <w:rPr>
                <w:b/>
              </w:rPr>
            </w:pPr>
          </w:p>
        </w:tc>
      </w:tr>
      <w:tr w:rsidR="00E25695" w:rsidTr="54FB8226" w14:paraId="234F3C33">
        <w:tblPrEx>
          <w:shd w:val="clear" w:color="auto" w:fill="auto"/>
        </w:tblPrEx>
        <w:tc>
          <w:tcPr>
            <w:tcW w:w="5252" w:type="dxa"/>
          </w:tcPr>
          <w:p w:rsidRPr="00E25695" w:rsidR="00E25695" w:rsidP="00E327BF" w:rsidRDefault="00E25695" w14:paraId="2AAC4634">
            <w:pPr>
              <w:rPr>
                <w:sz w:val="22"/>
                <w:szCs w:val="22"/>
              </w:rPr>
            </w:pPr>
            <w:r w:rsidRPr="00E25695">
              <w:rPr>
                <w:sz w:val="22"/>
                <w:szCs w:val="22"/>
              </w:rPr>
              <w:t xml:space="preserve">Is service provided by a low vision clinician or low vision specialist consistent with </w:t>
            </w:r>
            <w:hyperlink w:history="1" r:id="rId13">
              <w:r w:rsidRPr="00E25695">
                <w:rPr>
                  <w:color w:val="0000FF"/>
                  <w:sz w:val="22"/>
                  <w:szCs w:val="22"/>
                  <w:u w:val="single"/>
                </w:rPr>
                <w:t>MR 3325.0110, Subparts 38 &amp;40</w:t>
              </w:r>
            </w:hyperlink>
            <w:r w:rsidRPr="00E25695">
              <w:rPr>
                <w:sz w:val="22"/>
                <w:szCs w:val="22"/>
              </w:rPr>
              <w:t>?</w:t>
            </w:r>
          </w:p>
          <w:p w:rsidR="00E25695" w:rsidP="00E327BF" w:rsidRDefault="00E25695" w14:paraId="79339262">
            <w:pPr>
              <w:spacing w:before="100" w:beforeAutospacing="1"/>
              <w:rPr>
                <w:sz w:val="22"/>
                <w:szCs w:val="22"/>
              </w:rPr>
            </w:pPr>
            <w:r w:rsidRPr="00E25695">
              <w:rPr>
                <w:sz w:val="22"/>
                <w:szCs w:val="22"/>
              </w:rPr>
              <w:t xml:space="preserve">Please identify and document evidence supporting this determination, including names of service providers. </w:t>
            </w:r>
          </w:p>
          <w:p w:rsidRPr="00E25695" w:rsidR="00C51631" w:rsidP="00E327BF" w:rsidRDefault="00C51631" w14:paraId="4ADF3F18">
            <w:pPr>
              <w:spacing w:before="100" w:beforeAutospacing="1"/>
              <w:rPr>
                <w:sz w:val="22"/>
                <w:szCs w:val="22"/>
              </w:rPr>
            </w:pPr>
          </w:p>
          <w:p w:rsidRPr="00380947" w:rsidR="00E25695" w:rsidP="00E327BF" w:rsidRDefault="00E25695" w14:paraId="4AD186E9">
            <w:pPr>
              <w:rPr>
                <w:b/>
                <w:sz w:val="22"/>
                <w:szCs w:val="22"/>
              </w:rPr>
            </w:pPr>
          </w:p>
        </w:tc>
        <w:tc>
          <w:tcPr>
            <w:tcW w:w="757" w:type="dxa"/>
          </w:tcPr>
          <w:p w:rsidRPr="00CD6093" w:rsidR="00E25695" w:rsidP="00E327BF" w:rsidRDefault="00E25695" w14:paraId="032FD5D4">
            <w:pPr>
              <w:rPr>
                <w:b/>
              </w:rPr>
            </w:pPr>
          </w:p>
        </w:tc>
        <w:tc>
          <w:tcPr>
            <w:tcW w:w="687" w:type="dxa"/>
          </w:tcPr>
          <w:p w:rsidRPr="00CD6093" w:rsidR="00E25695" w:rsidP="00E327BF" w:rsidRDefault="00E25695" w14:paraId="520026EA">
            <w:pPr>
              <w:rPr>
                <w:b/>
              </w:rPr>
            </w:pPr>
          </w:p>
        </w:tc>
        <w:tc>
          <w:tcPr>
            <w:tcW w:w="6626" w:type="dxa"/>
          </w:tcPr>
          <w:p w:rsidRPr="00CD6093" w:rsidR="00E25695" w:rsidP="00E327BF" w:rsidRDefault="00E25695" w14:paraId="15607190">
            <w:pPr>
              <w:rPr>
                <w:b/>
              </w:rPr>
            </w:pPr>
          </w:p>
        </w:tc>
      </w:tr>
      <w:tr w:rsidR="00E25695" w:rsidTr="54FB8226" w14:paraId="119CB45F">
        <w:tblPrEx>
          <w:shd w:val="clear" w:color="auto" w:fill="auto"/>
        </w:tblPrEx>
        <w:tc>
          <w:tcPr>
            <w:tcW w:w="5252" w:type="dxa"/>
          </w:tcPr>
          <w:p w:rsidRPr="00E25695" w:rsidR="00E25695" w:rsidP="00E327BF" w:rsidRDefault="000F2A47" w14:paraId="35AF9C6F">
            <w:pPr>
              <w:spacing w:before="100" w:beforeAutospacing="1"/>
              <w:rPr>
                <w:sz w:val="22"/>
                <w:szCs w:val="22"/>
              </w:rPr>
            </w:pPr>
            <w:hyperlink w:history="1" r:id="rId14">
              <w:r w:rsidRPr="00E25695" w:rsidR="00E25695">
                <w:rPr>
                  <w:color w:val="0000FF"/>
                  <w:sz w:val="22"/>
                  <w:szCs w:val="22"/>
                  <w:u w:val="single"/>
                </w:rPr>
                <w:t>Minnesota Rules 3325.0420 Subp. 5</w:t>
              </w:r>
            </w:hyperlink>
            <w:r w:rsidRPr="00E25695" w:rsidR="00E25695">
              <w:rPr>
                <w:sz w:val="22"/>
                <w:szCs w:val="22"/>
              </w:rPr>
              <w:t xml:space="preserve"> requires the provision of vision aids be followed by training in the use of such aids by a low vision specialist or low vision clinician.</w:t>
            </w:r>
          </w:p>
          <w:p w:rsidRPr="00E25695" w:rsidR="00E25695" w:rsidP="00E327BF" w:rsidRDefault="00E25695" w14:paraId="00B943DE">
            <w:pPr>
              <w:spacing w:before="100" w:beforeAutospacing="1"/>
              <w:rPr>
                <w:sz w:val="22"/>
                <w:szCs w:val="22"/>
              </w:rPr>
            </w:pPr>
            <w:r w:rsidRPr="00E25695">
              <w:rPr>
                <w:sz w:val="22"/>
                <w:szCs w:val="22"/>
              </w:rPr>
              <w:t xml:space="preserve">Please identify and document evidence supporting this determination. </w:t>
            </w:r>
          </w:p>
          <w:p w:rsidR="00E25695" w:rsidP="00E327BF" w:rsidRDefault="00E25695" w14:paraId="0698AFDD">
            <w:pPr>
              <w:rPr>
                <w:sz w:val="22"/>
                <w:szCs w:val="22"/>
              </w:rPr>
            </w:pPr>
          </w:p>
          <w:p w:rsidRPr="00E25695" w:rsidR="00C51631" w:rsidP="00E327BF" w:rsidRDefault="00C51631" w14:paraId="5A1C9DAF">
            <w:pPr>
              <w:rPr>
                <w:sz w:val="22"/>
                <w:szCs w:val="22"/>
              </w:rPr>
            </w:pPr>
          </w:p>
        </w:tc>
        <w:tc>
          <w:tcPr>
            <w:tcW w:w="757" w:type="dxa"/>
          </w:tcPr>
          <w:p w:rsidRPr="00CD6093" w:rsidR="00E25695" w:rsidP="00E327BF" w:rsidRDefault="00E25695" w14:paraId="71D98396">
            <w:pPr>
              <w:rPr>
                <w:b/>
              </w:rPr>
            </w:pPr>
          </w:p>
        </w:tc>
        <w:tc>
          <w:tcPr>
            <w:tcW w:w="687" w:type="dxa"/>
          </w:tcPr>
          <w:p w:rsidRPr="00CD6093" w:rsidR="00E25695" w:rsidP="00E327BF" w:rsidRDefault="00E25695" w14:paraId="6C68C8B7">
            <w:pPr>
              <w:rPr>
                <w:b/>
              </w:rPr>
            </w:pPr>
          </w:p>
        </w:tc>
        <w:tc>
          <w:tcPr>
            <w:tcW w:w="6626" w:type="dxa"/>
          </w:tcPr>
          <w:p w:rsidRPr="00CD6093" w:rsidR="00E25695" w:rsidP="00E327BF" w:rsidRDefault="00E25695" w14:paraId="7D999F70">
            <w:pPr>
              <w:rPr>
                <w:b/>
              </w:rPr>
            </w:pPr>
          </w:p>
        </w:tc>
      </w:tr>
    </w:tbl>
    <w:p w:rsidR="00E25695" w:rsidRDefault="00E25695" w14:paraId="59593488"/>
    <w:tbl>
      <w:tblPr>
        <w:tblStyle w:val="TableGrid"/>
        <w:tblW w:w="13322" w:type="dxa"/>
        <w:shd w:val="clear" w:color="auto" w:fill="D9D9D9" w:themeFill="background1" w:themeFillShade="D9"/>
        <w:tblLook w:val="04A0" w:firstRow="1" w:lastRow="0" w:firstColumn="1" w:lastColumn="0" w:noHBand="0" w:noVBand="1"/>
      </w:tblPr>
      <w:tblGrid>
        <w:gridCol w:w="5252"/>
        <w:gridCol w:w="757"/>
        <w:gridCol w:w="687"/>
        <w:gridCol w:w="6626"/>
      </w:tblGrid>
      <w:tr w:rsidR="00E25695" w:rsidTr="54FB8226" w14:paraId="3E692043">
        <w:trPr>
          <w:tblHeader/>
        </w:trPr>
        <w:tc>
          <w:tcPr>
            <w:tcW w:w="13322" w:type="dxa"/>
            <w:gridSpan w:val="4"/>
            <w:shd w:val="clear" w:color="auto" w:fill="D9D9D9" w:themeFill="background1" w:themeFillShade="D9"/>
          </w:tcPr>
          <w:p w:rsidRPr="005164D9" w:rsidR="00E25695" w:rsidP="00E327BF" w:rsidRDefault="00E25695" w14:paraId="2CFA615E">
            <w:pPr>
              <w:rPr>
                <w:b/>
                <w:sz w:val="36"/>
                <w:szCs w:val="36"/>
              </w:rPr>
            </w:pPr>
            <w:r>
              <w:rPr>
                <w:b/>
                <w:sz w:val="36"/>
                <w:szCs w:val="36"/>
              </w:rPr>
              <w:t>Orientation and Mobility</w:t>
            </w:r>
          </w:p>
        </w:tc>
      </w:tr>
      <w:tr w:rsidR="00E25695" w:rsidTr="54FB8226" w14:paraId="70A75E55">
        <w:tblPrEx>
          <w:shd w:val="clear" w:color="auto" w:fill="auto"/>
        </w:tblPrEx>
        <w:trPr>
          <w:tblHeader/>
        </w:trPr>
        <w:tc>
          <w:tcPr>
            <w:tcW w:w="5252" w:type="dxa"/>
          </w:tcPr>
          <w:p w:rsidRPr="00CD6093" w:rsidR="00E25695" w:rsidP="00E327BF" w:rsidRDefault="00E25695" w14:paraId="3BCFEDCA">
            <w:pPr>
              <w:rPr>
                <w:b/>
              </w:rPr>
            </w:pPr>
            <w:r>
              <w:rPr>
                <w:b/>
              </w:rPr>
              <w:t>Area Reviewed</w:t>
            </w:r>
          </w:p>
        </w:tc>
        <w:tc>
          <w:tcPr>
            <w:tcW w:w="1444" w:type="dxa"/>
            <w:gridSpan w:val="2"/>
          </w:tcPr>
          <w:p w:rsidRPr="00CD6093" w:rsidR="00E25695" w:rsidP="00E327BF" w:rsidRDefault="00E25695" w14:paraId="30FDA8AC">
            <w:pPr>
              <w:jc w:val="center"/>
              <w:rPr>
                <w:b/>
                <w:sz w:val="16"/>
                <w:szCs w:val="16"/>
              </w:rPr>
            </w:pPr>
            <w:r w:rsidRPr="00CD6093">
              <w:rPr>
                <w:b/>
                <w:sz w:val="16"/>
                <w:szCs w:val="16"/>
              </w:rPr>
              <w:t>Met requirement</w:t>
            </w:r>
          </w:p>
          <w:p w:rsidRPr="00CD6093" w:rsidR="00E25695" w:rsidP="00E327BF" w:rsidRDefault="00E25695" w14:paraId="5941A0ED">
            <w:pPr>
              <w:rPr>
                <w:b/>
              </w:rPr>
            </w:pPr>
            <w:r>
              <w:rPr>
                <w:b/>
              </w:rPr>
              <w:t xml:space="preserve"> Yes       No</w:t>
            </w:r>
          </w:p>
        </w:tc>
        <w:tc>
          <w:tcPr>
            <w:tcW w:w="6626" w:type="dxa"/>
          </w:tcPr>
          <w:p w:rsidRPr="00CD6093" w:rsidR="00E25695" w:rsidP="00E327BF" w:rsidRDefault="00E25695" w14:paraId="5A1EB5D4">
            <w:pPr>
              <w:rPr>
                <w:b/>
              </w:rPr>
            </w:pPr>
            <w:r>
              <w:rPr>
                <w:b/>
              </w:rPr>
              <w:t>Findings/Strengths/Recommendations</w:t>
            </w:r>
          </w:p>
        </w:tc>
      </w:tr>
      <w:tr w:rsidR="00E25695" w:rsidTr="54FB8226" w14:paraId="4230FC3E">
        <w:tblPrEx>
          <w:shd w:val="clear" w:color="auto" w:fill="auto"/>
        </w:tblPrEx>
        <w:tc>
          <w:tcPr>
            <w:tcW w:w="5252" w:type="dxa"/>
          </w:tcPr>
          <w:p w:rsidRPr="00E25695" w:rsidR="00E25695" w:rsidP="00E25695" w:rsidRDefault="00E25695" w14:paraId="026D7BFE">
            <w:pPr>
              <w:rPr>
                <w:rFonts w:eastAsia="Calibri"/>
                <w:sz w:val="22"/>
                <w:szCs w:val="22"/>
              </w:rPr>
            </w:pPr>
            <w:r w:rsidRPr="00E25695">
              <w:rPr>
                <w:rFonts w:eastAsia="Calibri"/>
                <w:sz w:val="22"/>
                <w:szCs w:val="22"/>
              </w:rPr>
              <w:t xml:space="preserve">Orientation and Mobility training- the instructor must be qualified to provide this service pursuant to </w:t>
            </w:r>
            <w:hyperlink w:history="1" r:id="rId15">
              <w:r w:rsidRPr="00E25695">
                <w:rPr>
                  <w:rFonts w:eastAsia="Calibri"/>
                  <w:color w:val="0000FF"/>
                  <w:sz w:val="22"/>
                  <w:szCs w:val="22"/>
                  <w:u w:val="single"/>
                </w:rPr>
                <w:t>MR 3325.0420, Subd. 8</w:t>
              </w:r>
            </w:hyperlink>
            <w:r w:rsidRPr="00E25695">
              <w:rPr>
                <w:rFonts w:eastAsia="Calibri"/>
                <w:sz w:val="22"/>
                <w:szCs w:val="22"/>
              </w:rPr>
              <w:t xml:space="preserve">.  </w:t>
            </w:r>
          </w:p>
          <w:p w:rsidRPr="00E25695" w:rsidR="00E25695" w:rsidP="00E25695" w:rsidRDefault="00E25695" w14:paraId="23D50407">
            <w:pPr>
              <w:rPr>
                <w:rFonts w:eastAsia="Calibri"/>
                <w:sz w:val="22"/>
                <w:szCs w:val="22"/>
              </w:rPr>
            </w:pPr>
          </w:p>
          <w:p w:rsidRPr="00E25695" w:rsidR="00E25695" w:rsidP="00E25695" w:rsidRDefault="00E25695" w14:paraId="1C85FE61">
            <w:pPr>
              <w:rPr>
                <w:sz w:val="22"/>
                <w:szCs w:val="22"/>
              </w:rPr>
            </w:pPr>
            <w:r w:rsidRPr="00E25695">
              <w:rPr>
                <w:sz w:val="22"/>
                <w:szCs w:val="22"/>
              </w:rPr>
              <w:t xml:space="preserve">Does Contractor provide this service?     </w:t>
            </w:r>
          </w:p>
          <w:p w:rsidRPr="00E25695" w:rsidR="00E25695" w:rsidP="00E25695" w:rsidRDefault="00E25695" w14:paraId="54BF79D3">
            <w:pPr>
              <w:rPr>
                <w:sz w:val="22"/>
                <w:szCs w:val="22"/>
              </w:rPr>
            </w:pPr>
            <w:r w:rsidRPr="00E25695">
              <w:rPr>
                <w:sz w:val="22"/>
                <w:szCs w:val="22"/>
              </w:rPr>
              <w:t>Yes</w:t>
            </w:r>
            <w:r w:rsidRPr="00E25695">
              <w:rPr>
                <w:sz w:val="22"/>
                <w:szCs w:val="22"/>
              </w:rPr>
              <w:tab/>
            </w:r>
            <w:r w:rsidRPr="00E25695">
              <w:rPr>
                <w:sz w:val="22"/>
                <w:szCs w:val="22"/>
              </w:rPr>
              <w:t xml:space="preserve">   No </w:t>
            </w:r>
            <w:r>
              <w:rPr>
                <w:sz w:val="22"/>
                <w:szCs w:val="22"/>
              </w:rPr>
              <w:t xml:space="preserve">     </w:t>
            </w:r>
            <w:r w:rsidRPr="00E25695">
              <w:rPr>
                <w:sz w:val="22"/>
                <w:szCs w:val="22"/>
              </w:rPr>
              <w:t xml:space="preserve">(if no, proceed to </w:t>
            </w:r>
            <w:r w:rsidRPr="00E25695">
              <w:rPr>
                <w:i/>
                <w:sz w:val="22"/>
                <w:szCs w:val="22"/>
              </w:rPr>
              <w:t>Braille</w:t>
            </w:r>
            <w:r w:rsidRPr="00E25695">
              <w:rPr>
                <w:sz w:val="22"/>
                <w:szCs w:val="22"/>
              </w:rPr>
              <w:t>)</w:t>
            </w:r>
          </w:p>
          <w:p w:rsidRPr="00E25695" w:rsidR="00E25695" w:rsidP="00E25695" w:rsidRDefault="00E25695" w14:paraId="519D8B11">
            <w:pPr>
              <w:ind w:left="720"/>
              <w:rPr>
                <w:sz w:val="22"/>
                <w:szCs w:val="22"/>
              </w:rPr>
            </w:pPr>
          </w:p>
          <w:p w:rsidRPr="00E25695" w:rsidR="00E25695" w:rsidP="00E25695" w:rsidRDefault="00E25695" w14:paraId="0434F6EC">
            <w:pPr>
              <w:pStyle w:val="first"/>
              <w:spacing w:before="0" w:beforeAutospacing="0" w:after="0" w:afterAutospacing="0"/>
              <w:rPr>
                <w:b/>
                <w:sz w:val="22"/>
                <w:szCs w:val="22"/>
              </w:rPr>
            </w:pPr>
          </w:p>
        </w:tc>
        <w:tc>
          <w:tcPr>
            <w:tcW w:w="757" w:type="dxa"/>
          </w:tcPr>
          <w:p w:rsidRPr="00CD6093" w:rsidR="00E25695" w:rsidP="00E327BF" w:rsidRDefault="00E25695" w14:paraId="3C624FB0">
            <w:pPr>
              <w:rPr>
                <w:b/>
              </w:rPr>
            </w:pPr>
          </w:p>
        </w:tc>
        <w:tc>
          <w:tcPr>
            <w:tcW w:w="687" w:type="dxa"/>
          </w:tcPr>
          <w:p w:rsidRPr="00CD6093" w:rsidR="00E25695" w:rsidP="00E327BF" w:rsidRDefault="00E25695" w14:paraId="03A3E7EC">
            <w:pPr>
              <w:rPr>
                <w:b/>
              </w:rPr>
            </w:pPr>
          </w:p>
        </w:tc>
        <w:tc>
          <w:tcPr>
            <w:tcW w:w="6626" w:type="dxa"/>
          </w:tcPr>
          <w:p w:rsidRPr="00CD6093" w:rsidR="00E25695" w:rsidP="00E327BF" w:rsidRDefault="00E25695" w14:paraId="7CEE9F83">
            <w:pPr>
              <w:rPr>
                <w:b/>
              </w:rPr>
            </w:pPr>
          </w:p>
        </w:tc>
      </w:tr>
      <w:tr w:rsidR="00E25695" w:rsidTr="54FB8226" w14:paraId="6D8ADE5D">
        <w:tblPrEx>
          <w:shd w:val="clear" w:color="auto" w:fill="auto"/>
        </w:tblPrEx>
        <w:tc>
          <w:tcPr>
            <w:tcW w:w="5252" w:type="dxa"/>
          </w:tcPr>
          <w:p w:rsidR="001C7C9E" w:rsidP="001C7C9E" w:rsidRDefault="00E25695" w14:paraId="5AF0FCEC">
            <w:pPr>
              <w:rPr>
                <w:rFonts w:ascii="Calibri" w:hAnsi="Calibri" w:eastAsia="Calibri"/>
                <w:sz w:val="22"/>
                <w:szCs w:val="22"/>
              </w:rPr>
            </w:pPr>
            <w:r w:rsidRPr="00E25695">
              <w:rPr>
                <w:rFonts w:ascii="Calibri" w:hAnsi="Calibri" w:eastAsia="Calibri"/>
                <w:sz w:val="22"/>
                <w:szCs w:val="22"/>
              </w:rPr>
              <w:t xml:space="preserve">Are these staff </w:t>
            </w:r>
            <w:r w:rsidRPr="00E25695">
              <w:rPr>
                <w:rFonts w:eastAsia="Calibri"/>
                <w:sz w:val="22"/>
                <w:szCs w:val="22"/>
              </w:rPr>
              <w:t xml:space="preserve">qualified to provide this service pursuant to </w:t>
            </w:r>
            <w:hyperlink w:history="1" r:id="rId16">
              <w:r w:rsidRPr="00E25695">
                <w:rPr>
                  <w:rFonts w:eastAsia="Calibri"/>
                  <w:color w:val="0000FF"/>
                  <w:sz w:val="22"/>
                  <w:szCs w:val="22"/>
                  <w:u w:val="single"/>
                </w:rPr>
                <w:t>MR 3325.0420, Subd. 8</w:t>
              </w:r>
            </w:hyperlink>
            <w:r w:rsidRPr="00E25695">
              <w:rPr>
                <w:rFonts w:ascii="Calibri" w:hAnsi="Calibri" w:eastAsia="Calibri"/>
                <w:sz w:val="22"/>
                <w:szCs w:val="22"/>
              </w:rPr>
              <w:t>?</w:t>
            </w:r>
          </w:p>
          <w:p w:rsidR="001C7C9E" w:rsidP="001C7C9E" w:rsidRDefault="001C7C9E" w14:paraId="172D8310">
            <w:pPr>
              <w:rPr>
                <w:rFonts w:ascii="Calibri" w:hAnsi="Calibri" w:eastAsia="Calibri"/>
                <w:sz w:val="22"/>
                <w:szCs w:val="22"/>
              </w:rPr>
            </w:pPr>
          </w:p>
          <w:p w:rsidRPr="00E25695" w:rsidR="00E25695" w:rsidP="001C7C9E" w:rsidRDefault="00E25695" w14:paraId="574EB7A4">
            <w:pPr>
              <w:rPr>
                <w:rFonts w:ascii="Calibri" w:hAnsi="Calibri" w:eastAsia="Calibri"/>
                <w:sz w:val="22"/>
                <w:szCs w:val="22"/>
              </w:rPr>
            </w:pPr>
            <w:r w:rsidRPr="00E25695">
              <w:rPr>
                <w:sz w:val="22"/>
                <w:szCs w:val="22"/>
              </w:rPr>
              <w:t xml:space="preserve">Please identify and document evidence supporting this determination, including names of service providers. </w:t>
            </w:r>
          </w:p>
          <w:p w:rsidRPr="00E25695" w:rsidR="00E25695" w:rsidP="00E25695" w:rsidRDefault="00E25695" w14:paraId="1100B8B4">
            <w:pPr>
              <w:rPr>
                <w:rFonts w:eastAsia="Calibri"/>
                <w:sz w:val="22"/>
                <w:szCs w:val="22"/>
              </w:rPr>
            </w:pPr>
          </w:p>
          <w:p w:rsidRPr="00380947" w:rsidR="00E25695" w:rsidP="00E327BF" w:rsidRDefault="00E25695" w14:paraId="1F450328">
            <w:pPr>
              <w:rPr>
                <w:b/>
                <w:sz w:val="22"/>
                <w:szCs w:val="22"/>
              </w:rPr>
            </w:pPr>
          </w:p>
        </w:tc>
        <w:tc>
          <w:tcPr>
            <w:tcW w:w="757" w:type="dxa"/>
          </w:tcPr>
          <w:p w:rsidRPr="00CD6093" w:rsidR="00E25695" w:rsidP="00E327BF" w:rsidRDefault="00E25695" w14:paraId="2077EC66">
            <w:pPr>
              <w:rPr>
                <w:b/>
              </w:rPr>
            </w:pPr>
          </w:p>
        </w:tc>
        <w:tc>
          <w:tcPr>
            <w:tcW w:w="687" w:type="dxa"/>
          </w:tcPr>
          <w:p w:rsidRPr="00CD6093" w:rsidR="00E25695" w:rsidP="00E327BF" w:rsidRDefault="00E25695" w14:paraId="28E1BA23">
            <w:pPr>
              <w:rPr>
                <w:b/>
              </w:rPr>
            </w:pPr>
          </w:p>
        </w:tc>
        <w:tc>
          <w:tcPr>
            <w:tcW w:w="6626" w:type="dxa"/>
          </w:tcPr>
          <w:p w:rsidRPr="00CD6093" w:rsidR="00E25695" w:rsidP="00E327BF" w:rsidRDefault="00E25695" w14:paraId="72480464">
            <w:pPr>
              <w:rPr>
                <w:b/>
              </w:rPr>
            </w:pPr>
          </w:p>
        </w:tc>
      </w:tr>
      <w:tr w:rsidR="00E25695" w:rsidTr="54FB8226" w14:paraId="672A129F">
        <w:tblPrEx>
          <w:shd w:val="clear" w:color="auto" w:fill="auto"/>
        </w:tblPrEx>
        <w:tc>
          <w:tcPr>
            <w:tcW w:w="5252" w:type="dxa"/>
          </w:tcPr>
          <w:p w:rsidRPr="001C7C9E" w:rsidR="001C7C9E" w:rsidP="001C7C9E" w:rsidRDefault="000F2A47" w14:paraId="2AAB7671">
            <w:pPr>
              <w:rPr>
                <w:rFonts w:eastAsia="Calibri"/>
                <w:sz w:val="22"/>
                <w:szCs w:val="22"/>
              </w:rPr>
            </w:pPr>
            <w:hyperlink w:history="1" r:id="rId17">
              <w:r w:rsidRPr="001C7C9E" w:rsidR="001C7C9E">
                <w:rPr>
                  <w:rFonts w:eastAsia="Calibri"/>
                  <w:color w:val="0000FF"/>
                  <w:sz w:val="22"/>
                  <w:szCs w:val="22"/>
                  <w:u w:val="single"/>
                </w:rPr>
                <w:t>Minnesota Rules 3325.0420 Subp. 8</w:t>
              </w:r>
            </w:hyperlink>
            <w:r w:rsidRPr="001C7C9E" w:rsidR="001C7C9E">
              <w:rPr>
                <w:rFonts w:eastAsia="Calibri"/>
                <w:sz w:val="22"/>
                <w:szCs w:val="22"/>
              </w:rPr>
              <w:t xml:space="preserve"> requires that orientation and mobility training of an eligible individual must give the eligible individual an opportunity to travel without the instructor and on increasingly difficult routes to help the eligible individual develop confidence in the eligible individual's ability to travel independently.</w:t>
            </w:r>
          </w:p>
          <w:p w:rsidR="001C7C9E" w:rsidP="001C7C9E" w:rsidRDefault="001C7C9E" w14:paraId="5E1A3BDB">
            <w:pPr>
              <w:spacing w:before="100" w:beforeAutospacing="1"/>
              <w:rPr>
                <w:rFonts w:eastAsia="Calibri"/>
                <w:sz w:val="22"/>
                <w:szCs w:val="22"/>
              </w:rPr>
            </w:pPr>
            <w:r w:rsidRPr="001C7C9E">
              <w:rPr>
                <w:sz w:val="22"/>
                <w:szCs w:val="22"/>
              </w:rPr>
              <w:t xml:space="preserve">Please identify and document evidence supporting this determination. </w:t>
            </w:r>
            <w:r w:rsidRPr="001C7C9E">
              <w:rPr>
                <w:rFonts w:eastAsia="Calibri"/>
                <w:sz w:val="22"/>
                <w:szCs w:val="22"/>
              </w:rPr>
              <w:t>(E.g. curriculum; progress reports, customer interview; observation; other?)</w:t>
            </w:r>
          </w:p>
          <w:p w:rsidRPr="001C7C9E" w:rsidR="001C7C9E" w:rsidP="001C7C9E" w:rsidRDefault="001C7C9E" w14:paraId="1105F260">
            <w:pPr>
              <w:spacing w:before="100" w:beforeAutospacing="1"/>
              <w:rPr>
                <w:sz w:val="22"/>
                <w:szCs w:val="22"/>
              </w:rPr>
            </w:pPr>
          </w:p>
          <w:p w:rsidRPr="00E25695" w:rsidR="00E25695" w:rsidP="001C7C9E" w:rsidRDefault="00E25695" w14:paraId="5F249CE5">
            <w:pPr>
              <w:ind w:left="720"/>
              <w:rPr>
                <w:sz w:val="22"/>
                <w:szCs w:val="22"/>
              </w:rPr>
            </w:pPr>
          </w:p>
        </w:tc>
        <w:tc>
          <w:tcPr>
            <w:tcW w:w="757" w:type="dxa"/>
          </w:tcPr>
          <w:p w:rsidRPr="00CD6093" w:rsidR="00E25695" w:rsidP="00E327BF" w:rsidRDefault="00E25695" w14:paraId="56C9D0F7">
            <w:pPr>
              <w:rPr>
                <w:b/>
              </w:rPr>
            </w:pPr>
          </w:p>
        </w:tc>
        <w:tc>
          <w:tcPr>
            <w:tcW w:w="687" w:type="dxa"/>
          </w:tcPr>
          <w:p w:rsidRPr="00CD6093" w:rsidR="00E25695" w:rsidP="00E327BF" w:rsidRDefault="00E25695" w14:paraId="05E0E828">
            <w:pPr>
              <w:rPr>
                <w:b/>
              </w:rPr>
            </w:pPr>
          </w:p>
        </w:tc>
        <w:tc>
          <w:tcPr>
            <w:tcW w:w="6626" w:type="dxa"/>
          </w:tcPr>
          <w:p w:rsidRPr="00CD6093" w:rsidR="00E25695" w:rsidP="00E327BF" w:rsidRDefault="00E25695" w14:paraId="49F607AA">
            <w:pPr>
              <w:rPr>
                <w:b/>
              </w:rPr>
            </w:pPr>
          </w:p>
        </w:tc>
      </w:tr>
      <w:tr w:rsidR="001C7C9E" w:rsidTr="54FB8226" w14:paraId="6C4325F0">
        <w:tblPrEx>
          <w:shd w:val="clear" w:color="auto" w:fill="auto"/>
        </w:tblPrEx>
        <w:tc>
          <w:tcPr>
            <w:tcW w:w="5252" w:type="dxa"/>
          </w:tcPr>
          <w:p w:rsidR="001C7C9E" w:rsidP="001C7C9E" w:rsidRDefault="000F2A47" w14:paraId="4C393104">
            <w:pPr>
              <w:rPr>
                <w:sz w:val="22"/>
                <w:szCs w:val="22"/>
              </w:rPr>
            </w:pPr>
            <w:hyperlink w:history="1" r:id="rId18">
              <w:r w:rsidRPr="001C7C9E" w:rsidR="001C7C9E">
                <w:rPr>
                  <w:rStyle w:val="Hyperlink"/>
                  <w:sz w:val="22"/>
                  <w:szCs w:val="22"/>
                </w:rPr>
                <w:t>MR 3325.0420, Subd.8</w:t>
              </w:r>
            </w:hyperlink>
            <w:r w:rsidRPr="001C7C9E" w:rsidR="001C7C9E">
              <w:rPr>
                <w:sz w:val="22"/>
                <w:szCs w:val="22"/>
              </w:rPr>
              <w:t xml:space="preserve"> requires that orientation and mobility training of legally blind eligible individuals </w:t>
            </w:r>
            <w:r w:rsidRPr="001C7C9E" w:rsidR="001C7C9E">
              <w:rPr>
                <w:sz w:val="22"/>
                <w:szCs w:val="22"/>
              </w:rPr>
              <w:lastRenderedPageBreak/>
              <w:t>who have some remaining vision must include the use of sleep shades unless an orientation and mobility specialist or a person described therein determines that because of age or one or more nonvisual disabilities the use of sleep shades would be unsafe.</w:t>
            </w:r>
          </w:p>
          <w:p w:rsidR="001C7C9E" w:rsidP="001C7C9E" w:rsidRDefault="001C7C9E" w14:paraId="5A37E0C2">
            <w:pPr>
              <w:spacing w:before="100" w:beforeAutospacing="1"/>
              <w:rPr>
                <w:rFonts w:eastAsia="Calibri"/>
                <w:sz w:val="22"/>
                <w:szCs w:val="22"/>
              </w:rPr>
            </w:pPr>
            <w:r w:rsidRPr="001C7C9E">
              <w:rPr>
                <w:sz w:val="22"/>
                <w:szCs w:val="22"/>
              </w:rPr>
              <w:t xml:space="preserve">Please identify and document evidence supporting this determination. </w:t>
            </w:r>
            <w:r w:rsidRPr="001C7C9E">
              <w:rPr>
                <w:rFonts w:eastAsia="Calibri"/>
                <w:sz w:val="22"/>
                <w:szCs w:val="22"/>
              </w:rPr>
              <w:t>(E.g. curriculum; progress reports, customer interview; observation;</w:t>
            </w:r>
            <w:r>
              <w:rPr>
                <w:rFonts w:eastAsia="Calibri"/>
                <w:sz w:val="22"/>
                <w:szCs w:val="22"/>
              </w:rPr>
              <w:t xml:space="preserve"> other.</w:t>
            </w:r>
          </w:p>
          <w:p w:rsidRPr="001C7C9E" w:rsidR="001C7C9E" w:rsidP="001C7C9E" w:rsidRDefault="001C7C9E" w14:paraId="0F01991F">
            <w:pPr>
              <w:spacing w:before="100" w:beforeAutospacing="1"/>
              <w:rPr>
                <w:sz w:val="22"/>
                <w:szCs w:val="22"/>
              </w:rPr>
            </w:pPr>
          </w:p>
          <w:p w:rsidRPr="001C7C9E" w:rsidR="001C7C9E" w:rsidP="001C7C9E" w:rsidRDefault="001C7C9E" w14:paraId="52322D27">
            <w:pPr>
              <w:rPr>
                <w:sz w:val="22"/>
                <w:szCs w:val="22"/>
              </w:rPr>
            </w:pPr>
          </w:p>
        </w:tc>
        <w:tc>
          <w:tcPr>
            <w:tcW w:w="757" w:type="dxa"/>
          </w:tcPr>
          <w:p w:rsidRPr="008B33E6" w:rsidR="001C7C9E" w:rsidP="001C7C9E" w:rsidRDefault="001C7C9E" w14:paraId="78BE85FC">
            <w:pPr>
              <w:ind w:left="360"/>
              <w:rPr>
                <w:sz w:val="28"/>
                <w:szCs w:val="28"/>
              </w:rPr>
            </w:pPr>
          </w:p>
        </w:tc>
        <w:tc>
          <w:tcPr>
            <w:tcW w:w="687" w:type="dxa"/>
          </w:tcPr>
          <w:p w:rsidRPr="008B33E6" w:rsidR="001C7C9E" w:rsidP="001C7C9E" w:rsidRDefault="001C7C9E" w14:paraId="3B41BBBB">
            <w:pPr>
              <w:ind w:left="540"/>
              <w:rPr>
                <w:sz w:val="28"/>
                <w:szCs w:val="28"/>
              </w:rPr>
            </w:pPr>
          </w:p>
        </w:tc>
        <w:tc>
          <w:tcPr>
            <w:tcW w:w="6626" w:type="dxa"/>
          </w:tcPr>
          <w:p w:rsidRPr="008B33E6" w:rsidR="001C7C9E" w:rsidP="001C7C9E" w:rsidRDefault="001C7C9E" w14:paraId="4F6BB820">
            <w:pPr>
              <w:ind w:left="630"/>
              <w:rPr>
                <w:sz w:val="28"/>
                <w:szCs w:val="28"/>
              </w:rPr>
            </w:pPr>
          </w:p>
        </w:tc>
      </w:tr>
    </w:tbl>
    <w:p w:rsidR="001C7C9E" w:rsidRDefault="001C7C9E" w14:paraId="3EB5A447"/>
    <w:tbl>
      <w:tblPr>
        <w:tblStyle w:val="TableGrid"/>
        <w:tblW w:w="13322" w:type="dxa"/>
        <w:shd w:val="clear" w:color="auto" w:fill="D9D9D9" w:themeFill="background1" w:themeFillShade="D9"/>
        <w:tblLook w:val="04A0" w:firstRow="1" w:lastRow="0" w:firstColumn="1" w:lastColumn="0" w:noHBand="0" w:noVBand="1"/>
      </w:tblPr>
      <w:tblGrid>
        <w:gridCol w:w="5252"/>
        <w:gridCol w:w="757"/>
        <w:gridCol w:w="687"/>
        <w:gridCol w:w="6626"/>
      </w:tblGrid>
      <w:tr w:rsidRPr="005164D9" w:rsidR="001C7C9E" w:rsidTr="00E327BF" w14:paraId="7167899D">
        <w:trPr>
          <w:tblHeader/>
        </w:trPr>
        <w:tc>
          <w:tcPr>
            <w:tcW w:w="13322" w:type="dxa"/>
            <w:gridSpan w:val="4"/>
            <w:shd w:val="clear" w:color="auto" w:fill="D9D9D9" w:themeFill="background1" w:themeFillShade="D9"/>
          </w:tcPr>
          <w:p w:rsidRPr="005164D9" w:rsidR="001C7C9E" w:rsidP="00E327BF" w:rsidRDefault="001C7C9E" w14:paraId="44B06721">
            <w:pPr>
              <w:rPr>
                <w:b/>
                <w:sz w:val="36"/>
                <w:szCs w:val="36"/>
              </w:rPr>
            </w:pPr>
            <w:r>
              <w:rPr>
                <w:b/>
                <w:sz w:val="36"/>
                <w:szCs w:val="36"/>
              </w:rPr>
              <w:t>Braille</w:t>
            </w:r>
          </w:p>
        </w:tc>
      </w:tr>
      <w:tr w:rsidRPr="00CD6093" w:rsidR="001C7C9E" w:rsidTr="00E327BF" w14:paraId="45BC2D69">
        <w:tblPrEx>
          <w:shd w:val="clear" w:color="auto" w:fill="auto"/>
        </w:tblPrEx>
        <w:trPr>
          <w:tblHeader/>
        </w:trPr>
        <w:tc>
          <w:tcPr>
            <w:tcW w:w="5252" w:type="dxa"/>
          </w:tcPr>
          <w:p w:rsidRPr="00CD6093" w:rsidR="001C7C9E" w:rsidP="00E327BF" w:rsidRDefault="001C7C9E" w14:paraId="4EDE91AB">
            <w:pPr>
              <w:rPr>
                <w:b/>
              </w:rPr>
            </w:pPr>
            <w:r>
              <w:rPr>
                <w:b/>
              </w:rPr>
              <w:t>Area Reviewed</w:t>
            </w:r>
          </w:p>
        </w:tc>
        <w:tc>
          <w:tcPr>
            <w:tcW w:w="1444" w:type="dxa"/>
            <w:gridSpan w:val="2"/>
          </w:tcPr>
          <w:p w:rsidRPr="00CD6093" w:rsidR="001C7C9E" w:rsidP="00E327BF" w:rsidRDefault="001C7C9E" w14:paraId="07A78367">
            <w:pPr>
              <w:jc w:val="center"/>
              <w:rPr>
                <w:b/>
                <w:sz w:val="16"/>
                <w:szCs w:val="16"/>
              </w:rPr>
            </w:pPr>
            <w:r w:rsidRPr="00CD6093">
              <w:rPr>
                <w:b/>
                <w:sz w:val="16"/>
                <w:szCs w:val="16"/>
              </w:rPr>
              <w:t>Met requirement</w:t>
            </w:r>
          </w:p>
          <w:p w:rsidRPr="00CD6093" w:rsidR="001C7C9E" w:rsidP="00E327BF" w:rsidRDefault="001C7C9E" w14:paraId="17F1D0FB">
            <w:pPr>
              <w:rPr>
                <w:b/>
              </w:rPr>
            </w:pPr>
            <w:r>
              <w:rPr>
                <w:b/>
              </w:rPr>
              <w:t xml:space="preserve"> Yes       No</w:t>
            </w:r>
          </w:p>
        </w:tc>
        <w:tc>
          <w:tcPr>
            <w:tcW w:w="6626" w:type="dxa"/>
          </w:tcPr>
          <w:p w:rsidRPr="00CD6093" w:rsidR="001C7C9E" w:rsidP="00E327BF" w:rsidRDefault="001C7C9E" w14:paraId="70291EAB">
            <w:pPr>
              <w:rPr>
                <w:b/>
              </w:rPr>
            </w:pPr>
            <w:r>
              <w:rPr>
                <w:b/>
              </w:rPr>
              <w:t>Findings/Strengths/Recommendations</w:t>
            </w:r>
          </w:p>
        </w:tc>
      </w:tr>
      <w:tr w:rsidRPr="00CD6093" w:rsidR="001C7C9E" w:rsidTr="00E327BF" w14:paraId="296C0729">
        <w:tblPrEx>
          <w:shd w:val="clear" w:color="auto" w:fill="auto"/>
        </w:tblPrEx>
        <w:tc>
          <w:tcPr>
            <w:tcW w:w="5252" w:type="dxa"/>
          </w:tcPr>
          <w:p w:rsidRPr="001C7C9E" w:rsidR="001C7C9E" w:rsidP="001C7C9E" w:rsidRDefault="001C7C9E" w14:paraId="6DED0664">
            <w:pPr>
              <w:rPr>
                <w:rFonts w:eastAsia="Calibri"/>
                <w:sz w:val="22"/>
                <w:szCs w:val="22"/>
              </w:rPr>
            </w:pPr>
            <w:r w:rsidRPr="001C7C9E">
              <w:rPr>
                <w:rFonts w:eastAsia="Calibri"/>
                <w:sz w:val="22"/>
                <w:szCs w:val="22"/>
              </w:rPr>
              <w:t xml:space="preserve">Rehabilitation teaching, Braille training-the instructor must be qualified to provide this service pursuant to </w:t>
            </w:r>
            <w:hyperlink w:history="1" r:id="rId19">
              <w:r w:rsidRPr="001C7C9E">
                <w:rPr>
                  <w:rFonts w:eastAsia="Calibri"/>
                  <w:color w:val="0000FF"/>
                  <w:sz w:val="22"/>
                  <w:szCs w:val="22"/>
                  <w:u w:val="single"/>
                </w:rPr>
                <w:t>MR 3325.0420, Subd. 11</w:t>
              </w:r>
            </w:hyperlink>
            <w:r w:rsidRPr="001C7C9E">
              <w:rPr>
                <w:rFonts w:eastAsia="Calibri"/>
                <w:sz w:val="22"/>
                <w:szCs w:val="22"/>
              </w:rPr>
              <w:t xml:space="preserve">.  </w:t>
            </w:r>
            <w:r w:rsidRPr="001C7C9E">
              <w:rPr>
                <w:sz w:val="22"/>
                <w:szCs w:val="22"/>
              </w:rPr>
              <w:t>Does Contractor provide this service?         Yes</w:t>
            </w:r>
            <w:r w:rsidRPr="001C7C9E">
              <w:rPr>
                <w:sz w:val="22"/>
                <w:szCs w:val="22"/>
              </w:rPr>
              <w:tab/>
            </w:r>
            <w:r w:rsidRPr="001C7C9E">
              <w:rPr>
                <w:sz w:val="22"/>
                <w:szCs w:val="22"/>
              </w:rPr>
              <w:t xml:space="preserve">No  (if no, proceed to </w:t>
            </w:r>
            <w:r w:rsidRPr="001C7C9E">
              <w:rPr>
                <w:i/>
                <w:sz w:val="22"/>
                <w:szCs w:val="22"/>
              </w:rPr>
              <w:t>Rehabilitation teaching</w:t>
            </w:r>
            <w:r w:rsidRPr="001C7C9E">
              <w:rPr>
                <w:sz w:val="22"/>
                <w:szCs w:val="22"/>
              </w:rPr>
              <w:t>)</w:t>
            </w:r>
          </w:p>
          <w:p w:rsidRPr="00E25695" w:rsidR="001C7C9E" w:rsidP="00E327BF" w:rsidRDefault="001C7C9E" w14:paraId="1B58B136">
            <w:pPr>
              <w:pStyle w:val="first"/>
              <w:spacing w:before="0" w:beforeAutospacing="0" w:after="0" w:afterAutospacing="0"/>
              <w:rPr>
                <w:b/>
                <w:sz w:val="22"/>
                <w:szCs w:val="22"/>
              </w:rPr>
            </w:pPr>
          </w:p>
        </w:tc>
        <w:tc>
          <w:tcPr>
            <w:tcW w:w="757" w:type="dxa"/>
          </w:tcPr>
          <w:p w:rsidRPr="00CD6093" w:rsidR="001C7C9E" w:rsidP="00E327BF" w:rsidRDefault="001C7C9E" w14:paraId="623276EF">
            <w:pPr>
              <w:rPr>
                <w:b/>
              </w:rPr>
            </w:pPr>
          </w:p>
        </w:tc>
        <w:tc>
          <w:tcPr>
            <w:tcW w:w="687" w:type="dxa"/>
          </w:tcPr>
          <w:p w:rsidRPr="00CD6093" w:rsidR="001C7C9E" w:rsidP="00E327BF" w:rsidRDefault="001C7C9E" w14:paraId="5BEBC754">
            <w:pPr>
              <w:rPr>
                <w:b/>
              </w:rPr>
            </w:pPr>
          </w:p>
        </w:tc>
        <w:tc>
          <w:tcPr>
            <w:tcW w:w="6626" w:type="dxa"/>
          </w:tcPr>
          <w:p w:rsidRPr="00CD6093" w:rsidR="001C7C9E" w:rsidP="00E327BF" w:rsidRDefault="001C7C9E" w14:paraId="07E2FF84">
            <w:pPr>
              <w:rPr>
                <w:b/>
              </w:rPr>
            </w:pPr>
          </w:p>
        </w:tc>
      </w:tr>
      <w:tr w:rsidRPr="00CD6093" w:rsidR="001C7C9E" w:rsidTr="00E327BF" w14:paraId="5DBE9842">
        <w:tblPrEx>
          <w:shd w:val="clear" w:color="auto" w:fill="auto"/>
        </w:tblPrEx>
        <w:tc>
          <w:tcPr>
            <w:tcW w:w="5252" w:type="dxa"/>
          </w:tcPr>
          <w:p w:rsidR="001C7C9E" w:rsidP="001C7C9E" w:rsidRDefault="001C7C9E" w14:paraId="4260C351">
            <w:pPr>
              <w:rPr>
                <w:sz w:val="22"/>
                <w:szCs w:val="22"/>
              </w:rPr>
            </w:pPr>
            <w:r w:rsidRPr="001C7C9E">
              <w:rPr>
                <w:rFonts w:ascii="Calibri" w:hAnsi="Calibri" w:eastAsia="Calibri"/>
                <w:sz w:val="22"/>
                <w:szCs w:val="22"/>
              </w:rPr>
              <w:t xml:space="preserve">Are these staff </w:t>
            </w:r>
            <w:r w:rsidRPr="001C7C9E">
              <w:rPr>
                <w:rFonts w:eastAsia="Calibri"/>
                <w:sz w:val="22"/>
                <w:szCs w:val="22"/>
              </w:rPr>
              <w:t xml:space="preserve">qualified to provide this service pursuant to </w:t>
            </w:r>
            <w:hyperlink w:history="1" r:id="rId20">
              <w:r w:rsidRPr="001C7C9E">
                <w:rPr>
                  <w:rFonts w:eastAsia="Calibri"/>
                  <w:color w:val="0000FF"/>
                  <w:sz w:val="22"/>
                  <w:szCs w:val="22"/>
                  <w:u w:val="single"/>
                </w:rPr>
                <w:t>MR 3325.0420, Subd. 11</w:t>
              </w:r>
            </w:hyperlink>
            <w:r w:rsidRPr="001C7C9E">
              <w:rPr>
                <w:rFonts w:ascii="Calibri" w:hAnsi="Calibri" w:eastAsia="Calibri"/>
                <w:sz w:val="22"/>
                <w:szCs w:val="22"/>
              </w:rPr>
              <w:t>?</w:t>
            </w:r>
            <w:r w:rsidRPr="001C7C9E">
              <w:rPr>
                <w:sz w:val="22"/>
                <w:szCs w:val="22"/>
              </w:rPr>
              <w:t xml:space="preserve"> </w:t>
            </w:r>
            <w:r>
              <w:rPr>
                <w:sz w:val="22"/>
                <w:szCs w:val="22"/>
              </w:rPr>
              <w:t xml:space="preserve"> </w:t>
            </w:r>
            <w:r w:rsidRPr="001C7C9E">
              <w:rPr>
                <w:sz w:val="22"/>
                <w:szCs w:val="22"/>
              </w:rPr>
              <w:t>Please identify and document evidence supporting this determination, including names of service providers</w:t>
            </w:r>
            <w:r>
              <w:rPr>
                <w:sz w:val="22"/>
                <w:szCs w:val="22"/>
              </w:rPr>
              <w:t>.</w:t>
            </w:r>
          </w:p>
          <w:p w:rsidR="00C51631" w:rsidP="001C7C9E" w:rsidRDefault="00C51631" w14:paraId="36653AEA">
            <w:pPr>
              <w:rPr>
                <w:sz w:val="22"/>
                <w:szCs w:val="22"/>
              </w:rPr>
            </w:pPr>
          </w:p>
          <w:p w:rsidRPr="001C7C9E" w:rsidR="001C7C9E" w:rsidP="001C7C9E" w:rsidRDefault="001C7C9E" w14:paraId="23849647">
            <w:pPr>
              <w:rPr>
                <w:rFonts w:ascii="Calibri" w:hAnsi="Calibri" w:eastAsia="Calibri"/>
                <w:sz w:val="22"/>
                <w:szCs w:val="22"/>
              </w:rPr>
            </w:pPr>
          </w:p>
          <w:p w:rsidRPr="00380947" w:rsidR="001C7C9E" w:rsidP="00E327BF" w:rsidRDefault="001C7C9E" w14:paraId="520C0BDF">
            <w:pPr>
              <w:rPr>
                <w:b/>
                <w:sz w:val="22"/>
                <w:szCs w:val="22"/>
              </w:rPr>
            </w:pPr>
          </w:p>
        </w:tc>
        <w:tc>
          <w:tcPr>
            <w:tcW w:w="757" w:type="dxa"/>
          </w:tcPr>
          <w:p w:rsidRPr="00CD6093" w:rsidR="001C7C9E" w:rsidP="00E327BF" w:rsidRDefault="001C7C9E" w14:paraId="7EF640D3">
            <w:pPr>
              <w:rPr>
                <w:b/>
              </w:rPr>
            </w:pPr>
          </w:p>
        </w:tc>
        <w:tc>
          <w:tcPr>
            <w:tcW w:w="687" w:type="dxa"/>
          </w:tcPr>
          <w:p w:rsidRPr="00CD6093" w:rsidR="001C7C9E" w:rsidP="00E327BF" w:rsidRDefault="001C7C9E" w14:paraId="697426B0">
            <w:pPr>
              <w:rPr>
                <w:b/>
              </w:rPr>
            </w:pPr>
          </w:p>
        </w:tc>
        <w:tc>
          <w:tcPr>
            <w:tcW w:w="6626" w:type="dxa"/>
          </w:tcPr>
          <w:p w:rsidRPr="00CD6093" w:rsidR="001C7C9E" w:rsidP="00E327BF" w:rsidRDefault="001C7C9E" w14:paraId="58E26707">
            <w:pPr>
              <w:rPr>
                <w:b/>
              </w:rPr>
            </w:pPr>
          </w:p>
        </w:tc>
      </w:tr>
    </w:tbl>
    <w:p w:rsidR="001C7C9E" w:rsidRDefault="001C7C9E" w14:paraId="037D89D9"/>
    <w:tbl>
      <w:tblPr>
        <w:tblStyle w:val="TableGrid"/>
        <w:tblW w:w="13322" w:type="dxa"/>
        <w:shd w:val="clear" w:color="auto" w:fill="D9D9D9" w:themeFill="background1" w:themeFillShade="D9"/>
        <w:tblLook w:val="04A0" w:firstRow="1" w:lastRow="0" w:firstColumn="1" w:lastColumn="0" w:noHBand="0" w:noVBand="1"/>
      </w:tblPr>
      <w:tblGrid>
        <w:gridCol w:w="5252"/>
        <w:gridCol w:w="757"/>
        <w:gridCol w:w="687"/>
        <w:gridCol w:w="6626"/>
      </w:tblGrid>
      <w:tr w:rsidRPr="005164D9" w:rsidR="001C7C9E" w:rsidTr="00E327BF" w14:paraId="10A0E2ED">
        <w:trPr>
          <w:tblHeader/>
        </w:trPr>
        <w:tc>
          <w:tcPr>
            <w:tcW w:w="13322" w:type="dxa"/>
            <w:gridSpan w:val="4"/>
            <w:shd w:val="clear" w:color="auto" w:fill="D9D9D9" w:themeFill="background1" w:themeFillShade="D9"/>
          </w:tcPr>
          <w:p w:rsidRPr="005164D9" w:rsidR="001C7C9E" w:rsidP="00E327BF" w:rsidRDefault="001C7C9E" w14:paraId="50F9BD85">
            <w:pPr>
              <w:rPr>
                <w:b/>
                <w:sz w:val="36"/>
                <w:szCs w:val="36"/>
              </w:rPr>
            </w:pPr>
            <w:r>
              <w:rPr>
                <w:b/>
                <w:sz w:val="36"/>
                <w:szCs w:val="36"/>
              </w:rPr>
              <w:t>Assistive Technology</w:t>
            </w:r>
          </w:p>
        </w:tc>
      </w:tr>
      <w:tr w:rsidRPr="00CD6093" w:rsidR="001C7C9E" w:rsidTr="00E327BF" w14:paraId="03273FB3">
        <w:tblPrEx>
          <w:shd w:val="clear" w:color="auto" w:fill="auto"/>
        </w:tblPrEx>
        <w:trPr>
          <w:tblHeader/>
        </w:trPr>
        <w:tc>
          <w:tcPr>
            <w:tcW w:w="5252" w:type="dxa"/>
          </w:tcPr>
          <w:p w:rsidRPr="00CD6093" w:rsidR="001C7C9E" w:rsidP="00E327BF" w:rsidRDefault="001C7C9E" w14:paraId="47EB8AC6">
            <w:pPr>
              <w:rPr>
                <w:b/>
              </w:rPr>
            </w:pPr>
            <w:r>
              <w:rPr>
                <w:b/>
              </w:rPr>
              <w:t>Area Reviewed</w:t>
            </w:r>
          </w:p>
        </w:tc>
        <w:tc>
          <w:tcPr>
            <w:tcW w:w="1444" w:type="dxa"/>
            <w:gridSpan w:val="2"/>
          </w:tcPr>
          <w:p w:rsidRPr="00CD6093" w:rsidR="001C7C9E" w:rsidP="00E327BF" w:rsidRDefault="001C7C9E" w14:paraId="3EDABE61">
            <w:pPr>
              <w:jc w:val="center"/>
              <w:rPr>
                <w:b/>
                <w:sz w:val="16"/>
                <w:szCs w:val="16"/>
              </w:rPr>
            </w:pPr>
            <w:r w:rsidRPr="00CD6093">
              <w:rPr>
                <w:b/>
                <w:sz w:val="16"/>
                <w:szCs w:val="16"/>
              </w:rPr>
              <w:t>Met requirement</w:t>
            </w:r>
          </w:p>
          <w:p w:rsidRPr="00CD6093" w:rsidR="001C7C9E" w:rsidP="00E327BF" w:rsidRDefault="001C7C9E" w14:paraId="3E83D2CE">
            <w:pPr>
              <w:rPr>
                <w:b/>
              </w:rPr>
            </w:pPr>
            <w:r>
              <w:rPr>
                <w:b/>
              </w:rPr>
              <w:t xml:space="preserve"> Yes       No</w:t>
            </w:r>
          </w:p>
        </w:tc>
        <w:tc>
          <w:tcPr>
            <w:tcW w:w="6626" w:type="dxa"/>
          </w:tcPr>
          <w:p w:rsidRPr="00CD6093" w:rsidR="001C7C9E" w:rsidP="00E327BF" w:rsidRDefault="001C7C9E" w14:paraId="0A086ED3">
            <w:pPr>
              <w:rPr>
                <w:b/>
              </w:rPr>
            </w:pPr>
            <w:r>
              <w:rPr>
                <w:b/>
              </w:rPr>
              <w:t>Findings/Strengths/Recommendations</w:t>
            </w:r>
          </w:p>
        </w:tc>
      </w:tr>
      <w:tr w:rsidRPr="00CD6093" w:rsidR="001C7C9E" w:rsidTr="00E327BF" w14:paraId="7C136577">
        <w:tblPrEx>
          <w:shd w:val="clear" w:color="auto" w:fill="auto"/>
        </w:tblPrEx>
        <w:tc>
          <w:tcPr>
            <w:tcW w:w="5252" w:type="dxa"/>
          </w:tcPr>
          <w:p w:rsidRPr="001C7C9E" w:rsidR="001C7C9E" w:rsidP="001C7C9E" w:rsidRDefault="001C7C9E" w14:paraId="137C88E0">
            <w:pPr>
              <w:rPr>
                <w:rFonts w:eastAsia="Calibri"/>
                <w:sz w:val="22"/>
                <w:szCs w:val="22"/>
              </w:rPr>
            </w:pPr>
            <w:r w:rsidRPr="001C7C9E">
              <w:rPr>
                <w:rFonts w:eastAsia="Calibri"/>
                <w:sz w:val="22"/>
                <w:szCs w:val="22"/>
              </w:rPr>
              <w:t>The CRP contract requires the assistive</w:t>
            </w:r>
            <w:r>
              <w:rPr>
                <w:rFonts w:eastAsia="Calibri"/>
                <w:sz w:val="22"/>
                <w:szCs w:val="22"/>
              </w:rPr>
              <w:t xml:space="preserve"> technology training instructor</w:t>
            </w:r>
            <w:r w:rsidRPr="001C7C9E">
              <w:rPr>
                <w:rFonts w:eastAsia="Calibri"/>
                <w:sz w:val="22"/>
                <w:szCs w:val="22"/>
              </w:rPr>
              <w:t xml:space="preserve"> to be qualified to provide this service by successfully completing SSB’s qualification process.  </w:t>
            </w:r>
          </w:p>
          <w:p w:rsidRPr="001C7C9E" w:rsidR="001C7C9E" w:rsidP="001C7C9E" w:rsidRDefault="001C7C9E" w14:paraId="06A6F7AF">
            <w:pPr>
              <w:rPr>
                <w:rFonts w:eastAsia="Calibri"/>
                <w:sz w:val="22"/>
                <w:szCs w:val="22"/>
              </w:rPr>
            </w:pPr>
          </w:p>
          <w:p w:rsidR="001C7C9E" w:rsidP="001C7C9E" w:rsidRDefault="001C7C9E" w14:paraId="0BCE7C58">
            <w:pPr>
              <w:rPr>
                <w:sz w:val="22"/>
                <w:szCs w:val="22"/>
              </w:rPr>
            </w:pPr>
            <w:r w:rsidRPr="001C7C9E">
              <w:rPr>
                <w:sz w:val="22"/>
                <w:szCs w:val="22"/>
              </w:rPr>
              <w:t>Does Contractor provide this service?         Yes</w:t>
            </w:r>
            <w:r w:rsidRPr="001C7C9E">
              <w:rPr>
                <w:sz w:val="22"/>
                <w:szCs w:val="22"/>
              </w:rPr>
              <w:tab/>
            </w:r>
            <w:r w:rsidRPr="001C7C9E">
              <w:rPr>
                <w:sz w:val="22"/>
                <w:szCs w:val="22"/>
              </w:rPr>
              <w:t>No</w:t>
            </w:r>
          </w:p>
          <w:p w:rsidRPr="001C7C9E" w:rsidR="001C7C9E" w:rsidP="001C7C9E" w:rsidRDefault="001C7C9E" w14:paraId="6B54F7BD">
            <w:pPr>
              <w:rPr>
                <w:sz w:val="22"/>
                <w:szCs w:val="22"/>
              </w:rPr>
            </w:pPr>
            <w:r w:rsidRPr="001C7C9E">
              <w:rPr>
                <w:sz w:val="22"/>
                <w:szCs w:val="22"/>
              </w:rPr>
              <w:t xml:space="preserve"> (if no, proceed to </w:t>
            </w:r>
            <w:r w:rsidRPr="001C7C9E">
              <w:rPr>
                <w:i/>
                <w:sz w:val="22"/>
                <w:szCs w:val="22"/>
              </w:rPr>
              <w:t>Community Rehabilitation Programs</w:t>
            </w:r>
            <w:r w:rsidRPr="001C7C9E">
              <w:rPr>
                <w:sz w:val="22"/>
                <w:szCs w:val="22"/>
              </w:rPr>
              <w:t>)</w:t>
            </w:r>
          </w:p>
          <w:p w:rsidRPr="00E25695" w:rsidR="001C7C9E" w:rsidP="00E327BF" w:rsidRDefault="001C7C9E" w14:paraId="41DA96D3">
            <w:pPr>
              <w:pStyle w:val="first"/>
              <w:spacing w:before="0" w:beforeAutospacing="0" w:after="0" w:afterAutospacing="0"/>
              <w:rPr>
                <w:b/>
                <w:sz w:val="22"/>
                <w:szCs w:val="22"/>
              </w:rPr>
            </w:pPr>
          </w:p>
        </w:tc>
        <w:tc>
          <w:tcPr>
            <w:tcW w:w="757" w:type="dxa"/>
          </w:tcPr>
          <w:p w:rsidRPr="00CD6093" w:rsidR="001C7C9E" w:rsidP="00E327BF" w:rsidRDefault="001C7C9E" w14:paraId="1833D8B5">
            <w:pPr>
              <w:rPr>
                <w:b/>
              </w:rPr>
            </w:pPr>
          </w:p>
        </w:tc>
        <w:tc>
          <w:tcPr>
            <w:tcW w:w="687" w:type="dxa"/>
          </w:tcPr>
          <w:p w:rsidRPr="00CD6093" w:rsidR="001C7C9E" w:rsidP="00E327BF" w:rsidRDefault="001C7C9E" w14:paraId="24568412">
            <w:pPr>
              <w:rPr>
                <w:b/>
              </w:rPr>
            </w:pPr>
          </w:p>
        </w:tc>
        <w:tc>
          <w:tcPr>
            <w:tcW w:w="6626" w:type="dxa"/>
          </w:tcPr>
          <w:p w:rsidRPr="00CD6093" w:rsidR="001C7C9E" w:rsidP="00E327BF" w:rsidRDefault="001C7C9E" w14:paraId="367E9230">
            <w:pPr>
              <w:rPr>
                <w:b/>
              </w:rPr>
            </w:pPr>
          </w:p>
        </w:tc>
      </w:tr>
      <w:tr w:rsidRPr="00CD6093" w:rsidR="001C7C9E" w:rsidTr="00E327BF" w14:paraId="1894751E">
        <w:tblPrEx>
          <w:shd w:val="clear" w:color="auto" w:fill="auto"/>
        </w:tblPrEx>
        <w:tc>
          <w:tcPr>
            <w:tcW w:w="5252" w:type="dxa"/>
          </w:tcPr>
          <w:p w:rsidR="001C7C9E" w:rsidP="001C7C9E" w:rsidRDefault="001C7C9E" w14:paraId="504200D0">
            <w:pPr>
              <w:rPr>
                <w:sz w:val="22"/>
                <w:szCs w:val="22"/>
              </w:rPr>
            </w:pPr>
            <w:r w:rsidRPr="001C7C9E">
              <w:rPr>
                <w:rFonts w:ascii="Calibri" w:hAnsi="Calibri" w:eastAsia="Calibri"/>
                <w:sz w:val="22"/>
                <w:szCs w:val="22"/>
              </w:rPr>
              <w:t xml:space="preserve">Are these staff </w:t>
            </w:r>
            <w:r w:rsidRPr="001C7C9E">
              <w:rPr>
                <w:rFonts w:eastAsia="Calibri"/>
                <w:sz w:val="22"/>
                <w:szCs w:val="22"/>
              </w:rPr>
              <w:t>qualified to provide this service by successfully completing SSB’s qualification process</w:t>
            </w:r>
            <w:r w:rsidRPr="001C7C9E">
              <w:rPr>
                <w:rFonts w:ascii="Calibri" w:hAnsi="Calibri" w:eastAsia="Calibri"/>
                <w:sz w:val="22"/>
                <w:szCs w:val="22"/>
              </w:rPr>
              <w:t>?</w:t>
            </w:r>
            <w:r w:rsidRPr="001C7C9E">
              <w:rPr>
                <w:sz w:val="22"/>
                <w:szCs w:val="22"/>
              </w:rPr>
              <w:t xml:space="preserve"> Please identify and document evidence supporting this determination, including names of service providers</w:t>
            </w:r>
            <w:r>
              <w:rPr>
                <w:sz w:val="22"/>
                <w:szCs w:val="22"/>
              </w:rPr>
              <w:t>.</w:t>
            </w:r>
          </w:p>
          <w:p w:rsidR="00C51631" w:rsidP="001C7C9E" w:rsidRDefault="00C51631" w14:paraId="510E3114">
            <w:pPr>
              <w:rPr>
                <w:sz w:val="22"/>
                <w:szCs w:val="22"/>
              </w:rPr>
            </w:pPr>
          </w:p>
          <w:p w:rsidR="001C7C9E" w:rsidP="001C7C9E" w:rsidRDefault="001C7C9E" w14:paraId="5BCBCDAA">
            <w:pPr>
              <w:rPr>
                <w:rFonts w:ascii="Calibri" w:hAnsi="Calibri" w:eastAsia="Calibri"/>
                <w:sz w:val="22"/>
                <w:szCs w:val="22"/>
              </w:rPr>
            </w:pPr>
          </w:p>
          <w:p w:rsidRPr="001C7C9E" w:rsidR="001C7C9E" w:rsidP="001C7C9E" w:rsidRDefault="001C7C9E" w14:paraId="1F9B6222">
            <w:pPr>
              <w:rPr>
                <w:rFonts w:ascii="Calibri" w:hAnsi="Calibri" w:eastAsia="Calibri"/>
                <w:sz w:val="22"/>
                <w:szCs w:val="22"/>
              </w:rPr>
            </w:pPr>
          </w:p>
          <w:p w:rsidRPr="00380947" w:rsidR="001C7C9E" w:rsidP="00E327BF" w:rsidRDefault="001C7C9E" w14:paraId="332B08C2">
            <w:pPr>
              <w:rPr>
                <w:b/>
                <w:sz w:val="22"/>
                <w:szCs w:val="22"/>
              </w:rPr>
            </w:pPr>
          </w:p>
        </w:tc>
        <w:tc>
          <w:tcPr>
            <w:tcW w:w="757" w:type="dxa"/>
          </w:tcPr>
          <w:p w:rsidRPr="00CD6093" w:rsidR="001C7C9E" w:rsidP="00E327BF" w:rsidRDefault="001C7C9E" w14:paraId="239D9C82">
            <w:pPr>
              <w:rPr>
                <w:b/>
              </w:rPr>
            </w:pPr>
          </w:p>
        </w:tc>
        <w:tc>
          <w:tcPr>
            <w:tcW w:w="687" w:type="dxa"/>
          </w:tcPr>
          <w:p w:rsidRPr="00CD6093" w:rsidR="001C7C9E" w:rsidP="00E327BF" w:rsidRDefault="001C7C9E" w14:paraId="26CDE120">
            <w:pPr>
              <w:rPr>
                <w:b/>
              </w:rPr>
            </w:pPr>
          </w:p>
        </w:tc>
        <w:tc>
          <w:tcPr>
            <w:tcW w:w="6626" w:type="dxa"/>
          </w:tcPr>
          <w:p w:rsidRPr="00CD6093" w:rsidR="001C7C9E" w:rsidP="00E327BF" w:rsidRDefault="001C7C9E" w14:paraId="7A277D5F">
            <w:pPr>
              <w:rPr>
                <w:b/>
              </w:rPr>
            </w:pPr>
          </w:p>
        </w:tc>
      </w:tr>
    </w:tbl>
    <w:p w:rsidR="001C7C9E" w:rsidRDefault="001C7C9E" w14:paraId="4FA9CF4C"/>
    <w:tbl>
      <w:tblPr>
        <w:tblStyle w:val="TableGrid"/>
        <w:tblW w:w="13322" w:type="dxa"/>
        <w:shd w:val="clear" w:color="auto" w:fill="D9D9D9" w:themeFill="background1" w:themeFillShade="D9"/>
        <w:tblLook w:val="04A0" w:firstRow="1" w:lastRow="0" w:firstColumn="1" w:lastColumn="0" w:noHBand="0" w:noVBand="1"/>
      </w:tblPr>
      <w:tblGrid>
        <w:gridCol w:w="5252"/>
        <w:gridCol w:w="757"/>
        <w:gridCol w:w="687"/>
        <w:gridCol w:w="6626"/>
      </w:tblGrid>
      <w:tr w:rsidRPr="005164D9" w:rsidR="001C7C9E" w:rsidTr="00E327BF" w14:paraId="4B549AE4">
        <w:trPr>
          <w:tblHeader/>
        </w:trPr>
        <w:tc>
          <w:tcPr>
            <w:tcW w:w="13322" w:type="dxa"/>
            <w:gridSpan w:val="4"/>
            <w:shd w:val="clear" w:color="auto" w:fill="D9D9D9" w:themeFill="background1" w:themeFillShade="D9"/>
          </w:tcPr>
          <w:p w:rsidRPr="005164D9" w:rsidR="001C7C9E" w:rsidP="00E327BF" w:rsidRDefault="001C7C9E" w14:paraId="19CA3705">
            <w:pPr>
              <w:rPr>
                <w:b/>
                <w:sz w:val="36"/>
                <w:szCs w:val="36"/>
              </w:rPr>
            </w:pPr>
            <w:r>
              <w:rPr>
                <w:b/>
                <w:sz w:val="36"/>
                <w:szCs w:val="36"/>
              </w:rPr>
              <w:t>Community Rehabilitation Programs (includes individual vendors providing training unless noted otherwise</w:t>
            </w:r>
          </w:p>
        </w:tc>
      </w:tr>
      <w:tr w:rsidRPr="00CD6093" w:rsidR="001C7C9E" w:rsidTr="00E327BF" w14:paraId="6F699D5F">
        <w:tblPrEx>
          <w:shd w:val="clear" w:color="auto" w:fill="auto"/>
        </w:tblPrEx>
        <w:trPr>
          <w:tblHeader/>
        </w:trPr>
        <w:tc>
          <w:tcPr>
            <w:tcW w:w="5252" w:type="dxa"/>
          </w:tcPr>
          <w:p w:rsidRPr="00CD6093" w:rsidR="001C7C9E" w:rsidP="00E327BF" w:rsidRDefault="001C7C9E" w14:paraId="6CA99867">
            <w:pPr>
              <w:rPr>
                <w:b/>
              </w:rPr>
            </w:pPr>
            <w:r>
              <w:rPr>
                <w:b/>
              </w:rPr>
              <w:t>Area Reviewed</w:t>
            </w:r>
          </w:p>
        </w:tc>
        <w:tc>
          <w:tcPr>
            <w:tcW w:w="1444" w:type="dxa"/>
            <w:gridSpan w:val="2"/>
          </w:tcPr>
          <w:p w:rsidRPr="00CD6093" w:rsidR="001C7C9E" w:rsidP="00E327BF" w:rsidRDefault="001C7C9E" w14:paraId="73214D79">
            <w:pPr>
              <w:jc w:val="center"/>
              <w:rPr>
                <w:b/>
                <w:sz w:val="16"/>
                <w:szCs w:val="16"/>
              </w:rPr>
            </w:pPr>
            <w:r w:rsidRPr="00CD6093">
              <w:rPr>
                <w:b/>
                <w:sz w:val="16"/>
                <w:szCs w:val="16"/>
              </w:rPr>
              <w:t>Met requirement</w:t>
            </w:r>
          </w:p>
          <w:p w:rsidRPr="00CD6093" w:rsidR="001C7C9E" w:rsidP="00E327BF" w:rsidRDefault="001C7C9E" w14:paraId="45FF18B2">
            <w:pPr>
              <w:rPr>
                <w:b/>
              </w:rPr>
            </w:pPr>
            <w:r>
              <w:rPr>
                <w:b/>
              </w:rPr>
              <w:t xml:space="preserve"> Yes       No</w:t>
            </w:r>
          </w:p>
        </w:tc>
        <w:tc>
          <w:tcPr>
            <w:tcW w:w="6626" w:type="dxa"/>
          </w:tcPr>
          <w:p w:rsidRPr="00CD6093" w:rsidR="001C7C9E" w:rsidP="00E327BF" w:rsidRDefault="001C7C9E" w14:paraId="0B34595B">
            <w:pPr>
              <w:rPr>
                <w:b/>
              </w:rPr>
            </w:pPr>
            <w:r>
              <w:rPr>
                <w:b/>
              </w:rPr>
              <w:t>Findings/Strengths/Recommendations</w:t>
            </w:r>
          </w:p>
        </w:tc>
      </w:tr>
      <w:tr w:rsidRPr="00CD6093" w:rsidR="001C7C9E" w:rsidTr="00E327BF" w14:paraId="6DE9FFC4">
        <w:tblPrEx>
          <w:shd w:val="clear" w:color="auto" w:fill="auto"/>
        </w:tblPrEx>
        <w:tc>
          <w:tcPr>
            <w:tcW w:w="5252" w:type="dxa"/>
          </w:tcPr>
          <w:p w:rsidR="003F68B5" w:rsidP="001C7C9E" w:rsidRDefault="001C7C9E" w14:paraId="340F8434">
            <w:pPr>
              <w:rPr>
                <w:color w:val="0000FF"/>
                <w:sz w:val="22"/>
                <w:szCs w:val="22"/>
                <w:u w:val="single"/>
              </w:rPr>
            </w:pPr>
            <w:r w:rsidRPr="001C7C9E">
              <w:rPr>
                <w:sz w:val="22"/>
                <w:szCs w:val="22"/>
              </w:rPr>
              <w:t xml:space="preserve">Community rehabilitation programs must comply with all applicable state and federal laws, including the Minnesota Government </w:t>
            </w:r>
            <w:r w:rsidRPr="001C7C9E">
              <w:rPr>
                <w:sz w:val="22"/>
                <w:szCs w:val="22"/>
              </w:rPr>
              <w:fldChar w:fldCharType="begin"/>
            </w:r>
            <w:r w:rsidRPr="001C7C9E">
              <w:rPr>
                <w:sz w:val="22"/>
                <w:szCs w:val="22"/>
              </w:rPr>
              <w:instrText xml:space="preserve"> HYPERLINK "https://www.revisor.mn.gov/statutes/?id=13" </w:instrText>
            </w:r>
            <w:r w:rsidRPr="001C7C9E">
              <w:rPr>
                <w:sz w:val="22"/>
                <w:szCs w:val="22"/>
              </w:rPr>
              <w:fldChar w:fldCharType="separate"/>
            </w:r>
            <w:r w:rsidR="003F68B5">
              <w:rPr>
                <w:color w:val="0000FF"/>
                <w:sz w:val="22"/>
                <w:szCs w:val="22"/>
                <w:u w:val="single"/>
              </w:rPr>
              <w:t>Data Practices Act, Minnesota</w:t>
            </w:r>
          </w:p>
          <w:p w:rsidR="001C7C9E" w:rsidP="001C7C9E" w:rsidRDefault="001C7C9E" w14:paraId="74C26FE3">
            <w:pPr>
              <w:rPr>
                <w:sz w:val="28"/>
                <w:szCs w:val="28"/>
              </w:rPr>
            </w:pPr>
            <w:r w:rsidRPr="001C7C9E">
              <w:rPr>
                <w:color w:val="0000FF"/>
                <w:sz w:val="22"/>
                <w:szCs w:val="22"/>
                <w:u w:val="single"/>
              </w:rPr>
              <w:t>Statutes, chapter 13</w:t>
            </w:r>
            <w:r w:rsidRPr="001C7C9E">
              <w:rPr>
                <w:sz w:val="22"/>
                <w:szCs w:val="22"/>
              </w:rPr>
              <w:fldChar w:fldCharType="end"/>
            </w:r>
            <w:r w:rsidRPr="001C7C9E">
              <w:rPr>
                <w:sz w:val="28"/>
                <w:szCs w:val="28"/>
              </w:rPr>
              <w:t>.</w:t>
            </w:r>
          </w:p>
          <w:p w:rsidRPr="001C7C9E" w:rsidR="001C7C9E" w:rsidP="001C7C9E" w:rsidRDefault="001C7C9E" w14:paraId="4BB751F8">
            <w:pPr>
              <w:rPr>
                <w:sz w:val="22"/>
                <w:szCs w:val="22"/>
              </w:rPr>
            </w:pPr>
            <w:r w:rsidRPr="001C7C9E">
              <w:rPr>
                <w:sz w:val="22"/>
                <w:szCs w:val="22"/>
              </w:rPr>
              <w:t xml:space="preserve">Please identify and document evidence supporting this determination. </w:t>
            </w:r>
            <w:r w:rsidRPr="001C7C9E">
              <w:rPr>
                <w:rFonts w:eastAsia="Calibri"/>
                <w:sz w:val="22"/>
                <w:szCs w:val="22"/>
              </w:rPr>
              <w:t>(E.g. Records retention policy; data privacy policy; other</w:t>
            </w:r>
            <w:r w:rsidR="003F68B5">
              <w:rPr>
                <w:rFonts w:eastAsia="Calibri"/>
                <w:sz w:val="22"/>
                <w:szCs w:val="22"/>
              </w:rPr>
              <w:t>?)</w:t>
            </w:r>
          </w:p>
          <w:p w:rsidRPr="00E25695" w:rsidR="001C7C9E" w:rsidP="00E327BF" w:rsidRDefault="001C7C9E" w14:paraId="3FBBF8A0">
            <w:pPr>
              <w:pStyle w:val="first"/>
              <w:spacing w:before="0" w:beforeAutospacing="0" w:after="0" w:afterAutospacing="0"/>
              <w:rPr>
                <w:b/>
                <w:sz w:val="22"/>
                <w:szCs w:val="22"/>
              </w:rPr>
            </w:pPr>
          </w:p>
        </w:tc>
        <w:tc>
          <w:tcPr>
            <w:tcW w:w="757" w:type="dxa"/>
          </w:tcPr>
          <w:p w:rsidRPr="00CD6093" w:rsidR="001C7C9E" w:rsidP="00E327BF" w:rsidRDefault="001C7C9E" w14:paraId="59171299">
            <w:pPr>
              <w:rPr>
                <w:b/>
              </w:rPr>
            </w:pPr>
          </w:p>
        </w:tc>
        <w:tc>
          <w:tcPr>
            <w:tcW w:w="687" w:type="dxa"/>
          </w:tcPr>
          <w:p w:rsidRPr="00CD6093" w:rsidR="001C7C9E" w:rsidP="00E327BF" w:rsidRDefault="001C7C9E" w14:paraId="31A54BDD">
            <w:pPr>
              <w:rPr>
                <w:b/>
              </w:rPr>
            </w:pPr>
          </w:p>
        </w:tc>
        <w:tc>
          <w:tcPr>
            <w:tcW w:w="6626" w:type="dxa"/>
          </w:tcPr>
          <w:p w:rsidRPr="00CD6093" w:rsidR="001C7C9E" w:rsidP="00E327BF" w:rsidRDefault="001C7C9E" w14:paraId="1F639856">
            <w:pPr>
              <w:rPr>
                <w:b/>
              </w:rPr>
            </w:pPr>
          </w:p>
        </w:tc>
      </w:tr>
      <w:tr w:rsidRPr="00CD6093" w:rsidR="001C7C9E" w:rsidTr="00E327BF" w14:paraId="71D9A0EC">
        <w:tblPrEx>
          <w:shd w:val="clear" w:color="auto" w:fill="auto"/>
        </w:tblPrEx>
        <w:tc>
          <w:tcPr>
            <w:tcW w:w="5252" w:type="dxa"/>
          </w:tcPr>
          <w:p w:rsidRPr="003F68B5" w:rsidR="003F68B5" w:rsidP="003F68B5" w:rsidRDefault="000F2A47" w14:paraId="07DC2856">
            <w:pPr>
              <w:tabs>
                <w:tab w:val="left" w:pos="720"/>
              </w:tabs>
              <w:rPr>
                <w:sz w:val="22"/>
                <w:szCs w:val="22"/>
              </w:rPr>
            </w:pPr>
            <w:hyperlink w:history="1" r:id="rId21">
              <w:r w:rsidRPr="003F68B5" w:rsidR="003F68B5">
                <w:rPr>
                  <w:color w:val="0000FF"/>
                  <w:sz w:val="22"/>
                  <w:szCs w:val="22"/>
                  <w:u w:val="single"/>
                </w:rPr>
                <w:t>Minnesota Rules 3325.0470 Subp. 2</w:t>
              </w:r>
            </w:hyperlink>
            <w:r w:rsidRPr="003F68B5" w:rsidR="003F68B5">
              <w:rPr>
                <w:sz w:val="22"/>
                <w:szCs w:val="22"/>
              </w:rPr>
              <w:t xml:space="preserve"> requires applicant and eligible individual records be stored under lock with reasonable protection against fire, water damage, and other hazards.</w:t>
            </w:r>
            <w:r w:rsidR="003F68B5">
              <w:rPr>
                <w:sz w:val="22"/>
                <w:szCs w:val="22"/>
              </w:rPr>
              <w:t xml:space="preserve"> </w:t>
            </w:r>
            <w:r w:rsidRPr="003F68B5" w:rsidR="003F68B5">
              <w:rPr>
                <w:sz w:val="22"/>
                <w:szCs w:val="22"/>
              </w:rPr>
              <w:t xml:space="preserve">Please identify and document evidence supporting this determination. </w:t>
            </w:r>
            <w:r w:rsidRPr="003F68B5" w:rsidR="003F68B5">
              <w:rPr>
                <w:rFonts w:eastAsia="Calibri"/>
                <w:sz w:val="22"/>
                <w:szCs w:val="22"/>
              </w:rPr>
              <w:t>(E.g. observation; other?</w:t>
            </w:r>
            <w:r w:rsidR="003F68B5">
              <w:rPr>
                <w:rFonts w:eastAsia="Calibri"/>
                <w:sz w:val="22"/>
                <w:szCs w:val="22"/>
              </w:rPr>
              <w:t>)</w:t>
            </w:r>
          </w:p>
          <w:p w:rsidRPr="00380947" w:rsidR="001C7C9E" w:rsidP="00E327BF" w:rsidRDefault="001C7C9E" w14:paraId="5B8B7F40">
            <w:pPr>
              <w:rPr>
                <w:b/>
                <w:sz w:val="22"/>
                <w:szCs w:val="22"/>
              </w:rPr>
            </w:pPr>
          </w:p>
        </w:tc>
        <w:tc>
          <w:tcPr>
            <w:tcW w:w="757" w:type="dxa"/>
          </w:tcPr>
          <w:p w:rsidRPr="00CD6093" w:rsidR="001C7C9E" w:rsidP="00E327BF" w:rsidRDefault="001C7C9E" w14:paraId="501D4AFC">
            <w:pPr>
              <w:rPr>
                <w:b/>
              </w:rPr>
            </w:pPr>
          </w:p>
        </w:tc>
        <w:tc>
          <w:tcPr>
            <w:tcW w:w="687" w:type="dxa"/>
          </w:tcPr>
          <w:p w:rsidRPr="00CD6093" w:rsidR="001C7C9E" w:rsidP="00E327BF" w:rsidRDefault="001C7C9E" w14:paraId="1C8E07C6">
            <w:pPr>
              <w:rPr>
                <w:b/>
              </w:rPr>
            </w:pPr>
          </w:p>
        </w:tc>
        <w:tc>
          <w:tcPr>
            <w:tcW w:w="6626" w:type="dxa"/>
          </w:tcPr>
          <w:p w:rsidRPr="00CD6093" w:rsidR="001C7C9E" w:rsidP="00E327BF" w:rsidRDefault="001C7C9E" w14:paraId="1BE4016F">
            <w:pPr>
              <w:rPr>
                <w:b/>
              </w:rPr>
            </w:pPr>
          </w:p>
        </w:tc>
      </w:tr>
      <w:tr w:rsidRPr="00CD6093" w:rsidR="00AD2ECD" w:rsidTr="00E327BF" w14:paraId="2A2CEA9C">
        <w:tblPrEx>
          <w:shd w:val="clear" w:color="auto" w:fill="auto"/>
        </w:tblPrEx>
        <w:tc>
          <w:tcPr>
            <w:tcW w:w="5252" w:type="dxa"/>
          </w:tcPr>
          <w:p w:rsidRPr="00AD2ECD" w:rsidR="00AD2ECD" w:rsidP="00AD2ECD" w:rsidRDefault="000F2A47" w14:paraId="120EB6D8">
            <w:pPr>
              <w:rPr>
                <w:rFonts w:eastAsia="Calibri"/>
                <w:sz w:val="22"/>
                <w:szCs w:val="22"/>
              </w:rPr>
            </w:pPr>
            <w:hyperlink w:history="1" r:id="rId22">
              <w:r w:rsidRPr="00AD2ECD" w:rsidR="00AD2ECD">
                <w:rPr>
                  <w:rFonts w:eastAsia="Calibri"/>
                  <w:color w:val="0000FF"/>
                  <w:sz w:val="22"/>
                  <w:szCs w:val="22"/>
                  <w:u w:val="single"/>
                </w:rPr>
                <w:t>Minnesota Rules 3325.0470 Subp. 3</w:t>
              </w:r>
            </w:hyperlink>
            <w:r w:rsidRPr="00AD2ECD" w:rsidR="00AD2ECD">
              <w:rPr>
                <w:rFonts w:eastAsia="Calibri"/>
                <w:sz w:val="22"/>
                <w:szCs w:val="22"/>
              </w:rPr>
              <w:t xml:space="preserve"> requires the governing bodies of community rehabilitation programs for the blind and visually impaired to include blind or visually impaired persons. Community rehabilitation programs must make and document affirmative attempts to employ blind persons, including blind persons with additional impairments such as combined vision and hearing loss, at all levels of employment.[not applicable to individual vendors]</w:t>
            </w:r>
          </w:p>
          <w:p w:rsidR="00AD2ECD" w:rsidP="00AD2ECD" w:rsidRDefault="00AD2ECD" w14:paraId="6D060416">
            <w:pPr>
              <w:spacing w:before="100" w:beforeAutospacing="1"/>
              <w:rPr>
                <w:rFonts w:eastAsia="Calibri"/>
                <w:sz w:val="22"/>
                <w:szCs w:val="22"/>
              </w:rPr>
            </w:pPr>
            <w:r w:rsidRPr="00AD2ECD">
              <w:rPr>
                <w:sz w:val="22"/>
                <w:szCs w:val="22"/>
              </w:rPr>
              <w:lastRenderedPageBreak/>
              <w:t xml:space="preserve">Please identify and document evidence supporting this determination. </w:t>
            </w:r>
            <w:r w:rsidRPr="00AD2ECD">
              <w:rPr>
                <w:rFonts w:eastAsia="Calibri"/>
                <w:sz w:val="22"/>
                <w:szCs w:val="22"/>
              </w:rPr>
              <w:t>(e.g. statement from Board; list of governing board members; annual report; number of blind persons employed, including blind persons with additional impairments; type and level of employment;  documents of affirmative attempts to employ blind persons; other?)</w:t>
            </w:r>
          </w:p>
          <w:p w:rsidR="00AD2ECD" w:rsidP="00AD2ECD" w:rsidRDefault="00AD2ECD" w14:paraId="397796C1">
            <w:pPr>
              <w:spacing w:before="100" w:beforeAutospacing="1"/>
              <w:rPr>
                <w:rFonts w:eastAsia="Calibri"/>
                <w:sz w:val="22"/>
                <w:szCs w:val="22"/>
              </w:rPr>
            </w:pPr>
          </w:p>
          <w:p w:rsidRPr="00AD2ECD" w:rsidR="00AD2ECD" w:rsidP="00AD2ECD" w:rsidRDefault="00AD2ECD" w14:paraId="2EB44003">
            <w:pPr>
              <w:spacing w:before="100" w:beforeAutospacing="1"/>
              <w:rPr>
                <w:sz w:val="22"/>
                <w:szCs w:val="22"/>
              </w:rPr>
            </w:pPr>
          </w:p>
        </w:tc>
        <w:tc>
          <w:tcPr>
            <w:tcW w:w="757" w:type="dxa"/>
          </w:tcPr>
          <w:p w:rsidRPr="00CD6093" w:rsidR="00AD2ECD" w:rsidP="00E327BF" w:rsidRDefault="00AD2ECD" w14:paraId="1865F59C">
            <w:pPr>
              <w:rPr>
                <w:b/>
              </w:rPr>
            </w:pPr>
          </w:p>
        </w:tc>
        <w:tc>
          <w:tcPr>
            <w:tcW w:w="687" w:type="dxa"/>
          </w:tcPr>
          <w:p w:rsidRPr="00CD6093" w:rsidR="00AD2ECD" w:rsidP="00E327BF" w:rsidRDefault="00AD2ECD" w14:paraId="7D16995C">
            <w:pPr>
              <w:rPr>
                <w:b/>
              </w:rPr>
            </w:pPr>
          </w:p>
        </w:tc>
        <w:tc>
          <w:tcPr>
            <w:tcW w:w="6626" w:type="dxa"/>
          </w:tcPr>
          <w:p w:rsidRPr="00CD6093" w:rsidR="00AD2ECD" w:rsidP="00E327BF" w:rsidRDefault="00AD2ECD" w14:paraId="63E227B6">
            <w:pPr>
              <w:rPr>
                <w:b/>
              </w:rPr>
            </w:pPr>
          </w:p>
        </w:tc>
      </w:tr>
      <w:tr w:rsidRPr="00CD6093" w:rsidR="00AD2ECD" w:rsidTr="00E327BF" w14:paraId="5D75DA2A">
        <w:tblPrEx>
          <w:shd w:val="clear" w:color="auto" w:fill="auto"/>
        </w:tblPrEx>
        <w:tc>
          <w:tcPr>
            <w:tcW w:w="5252" w:type="dxa"/>
          </w:tcPr>
          <w:p w:rsidR="00AD2ECD" w:rsidP="00AD2ECD" w:rsidRDefault="000F2A47" w14:paraId="2D5C2103">
            <w:pPr>
              <w:rPr>
                <w:rFonts w:eastAsia="Calibri"/>
                <w:sz w:val="22"/>
                <w:szCs w:val="22"/>
              </w:rPr>
            </w:pPr>
            <w:hyperlink w:history="1" r:id="rId23">
              <w:r w:rsidRPr="00AD2ECD" w:rsidR="00AD2ECD">
                <w:rPr>
                  <w:rFonts w:eastAsia="Calibri"/>
                  <w:color w:val="0000FF"/>
                  <w:sz w:val="22"/>
                  <w:szCs w:val="22"/>
                  <w:u w:val="single"/>
                </w:rPr>
                <w:t>Minnesota Rules 3325.0470 Subp. 4</w:t>
              </w:r>
            </w:hyperlink>
            <w:r w:rsidRPr="00AD2ECD" w:rsidR="00AD2ECD">
              <w:rPr>
                <w:rFonts w:eastAsia="Calibri"/>
                <w:sz w:val="22"/>
                <w:szCs w:val="22"/>
              </w:rPr>
              <w:t xml:space="preserve"> requires community rehabilitation programs to have systematic procedures for evaluating program effectiveness. Community rehabilitation program staff must periodically review aggregate data on the progress and outcome of eligible individuals served. The results of effectiveness evaluations must be available to the governing body and staff of the community rehabilitation program, SSB, and the public.</w:t>
            </w:r>
          </w:p>
          <w:p w:rsidR="00AD2ECD" w:rsidP="00AD2ECD" w:rsidRDefault="00AD2ECD" w14:paraId="5C595E92">
            <w:pPr>
              <w:spacing w:before="100" w:beforeAutospacing="1"/>
              <w:rPr>
                <w:rFonts w:eastAsia="Calibri"/>
                <w:sz w:val="22"/>
                <w:szCs w:val="22"/>
              </w:rPr>
            </w:pPr>
            <w:r w:rsidRPr="00AD2ECD">
              <w:rPr>
                <w:sz w:val="22"/>
                <w:szCs w:val="22"/>
              </w:rPr>
              <w:t xml:space="preserve">Please identify and document evidence supporting this determination. </w:t>
            </w:r>
            <w:r w:rsidRPr="00AD2ECD">
              <w:rPr>
                <w:rFonts w:eastAsia="Calibri"/>
                <w:sz w:val="22"/>
                <w:szCs w:val="22"/>
              </w:rPr>
              <w:t>(E.g. Survey protocol; survey results; survey results distribution; other?)</w:t>
            </w:r>
          </w:p>
          <w:p w:rsidRPr="00AD2ECD" w:rsidR="00AD2ECD" w:rsidP="00AD2ECD" w:rsidRDefault="00AD2ECD" w14:paraId="4DC40D66">
            <w:pPr>
              <w:spacing w:before="100" w:beforeAutospacing="1"/>
              <w:rPr>
                <w:sz w:val="22"/>
                <w:szCs w:val="22"/>
              </w:rPr>
            </w:pPr>
          </w:p>
        </w:tc>
        <w:tc>
          <w:tcPr>
            <w:tcW w:w="757" w:type="dxa"/>
          </w:tcPr>
          <w:p w:rsidRPr="00CD6093" w:rsidR="00AD2ECD" w:rsidP="00E327BF" w:rsidRDefault="00AD2ECD" w14:paraId="6F30EF14">
            <w:pPr>
              <w:rPr>
                <w:b/>
              </w:rPr>
            </w:pPr>
          </w:p>
        </w:tc>
        <w:tc>
          <w:tcPr>
            <w:tcW w:w="687" w:type="dxa"/>
          </w:tcPr>
          <w:p w:rsidRPr="00CD6093" w:rsidR="00AD2ECD" w:rsidP="00E327BF" w:rsidRDefault="00AD2ECD" w14:paraId="732F37E9">
            <w:pPr>
              <w:rPr>
                <w:b/>
              </w:rPr>
            </w:pPr>
          </w:p>
        </w:tc>
        <w:tc>
          <w:tcPr>
            <w:tcW w:w="6626" w:type="dxa"/>
          </w:tcPr>
          <w:p w:rsidRPr="00CD6093" w:rsidR="00AD2ECD" w:rsidP="00E327BF" w:rsidRDefault="00AD2ECD" w14:paraId="703E37CD">
            <w:pPr>
              <w:rPr>
                <w:b/>
              </w:rPr>
            </w:pPr>
          </w:p>
        </w:tc>
      </w:tr>
      <w:tr w:rsidRPr="00CD6093" w:rsidR="00AD2ECD" w:rsidTr="00E327BF" w14:paraId="0CA9C818">
        <w:tblPrEx>
          <w:shd w:val="clear" w:color="auto" w:fill="auto"/>
        </w:tblPrEx>
        <w:tc>
          <w:tcPr>
            <w:tcW w:w="5252" w:type="dxa"/>
          </w:tcPr>
          <w:p w:rsidRPr="00AD2ECD" w:rsidR="00AD2ECD" w:rsidP="00AD2ECD" w:rsidRDefault="000F2A47" w14:paraId="26D2F078">
            <w:pPr>
              <w:rPr>
                <w:rFonts w:eastAsia="Calibri"/>
                <w:sz w:val="22"/>
                <w:szCs w:val="22"/>
              </w:rPr>
            </w:pPr>
            <w:hyperlink w:history="1" r:id="rId24">
              <w:r w:rsidRPr="00AD2ECD" w:rsidR="00AD2ECD">
                <w:rPr>
                  <w:rFonts w:eastAsia="Calibri"/>
                  <w:color w:val="0000FF"/>
                  <w:sz w:val="22"/>
                  <w:szCs w:val="22"/>
                  <w:u w:val="single"/>
                </w:rPr>
                <w:t>Minnesota Rules 3325.0470 Subp. 6</w:t>
              </w:r>
            </w:hyperlink>
            <w:r w:rsidRPr="00AD2ECD" w:rsidR="00AD2ECD">
              <w:rPr>
                <w:rFonts w:eastAsia="Calibri"/>
                <w:sz w:val="22"/>
                <w:szCs w:val="22"/>
              </w:rPr>
              <w:t xml:space="preserve"> requires that services must include a class or activities designed to help eligible individuals develop a positive attitude toward blindness. If the community rehabilitation </w:t>
            </w:r>
            <w:r w:rsidRPr="00AD2ECD" w:rsidR="00AD2ECD">
              <w:rPr>
                <w:rFonts w:eastAsia="Calibri"/>
                <w:sz w:val="22"/>
                <w:szCs w:val="22"/>
              </w:rPr>
              <w:lastRenderedPageBreak/>
              <w:t>program serves deafblind eligible individuals, the community rehabilitation program's services must include a class or activities designed to develop a positive attitude about being both blind and deaf.</w:t>
            </w:r>
          </w:p>
          <w:p w:rsidR="00AD2ECD" w:rsidP="00AD2ECD" w:rsidRDefault="00AD2ECD" w14:paraId="1385AA35">
            <w:pPr>
              <w:spacing w:before="100" w:beforeAutospacing="1"/>
              <w:rPr>
                <w:rFonts w:eastAsia="Calibri"/>
                <w:sz w:val="22"/>
                <w:szCs w:val="22"/>
              </w:rPr>
            </w:pPr>
            <w:r w:rsidRPr="00AD2ECD">
              <w:rPr>
                <w:sz w:val="22"/>
                <w:szCs w:val="22"/>
              </w:rPr>
              <w:t xml:space="preserve">Please identify and document evidence supporting this determination. </w:t>
            </w:r>
            <w:r w:rsidRPr="00AD2ECD">
              <w:rPr>
                <w:rFonts w:eastAsia="Calibri"/>
                <w:sz w:val="22"/>
                <w:szCs w:val="22"/>
              </w:rPr>
              <w:t>(E.g. curriculum; examples of activities; reports; consumer interviews; other?)</w:t>
            </w:r>
          </w:p>
          <w:p w:rsidRPr="00AD2ECD" w:rsidR="00AD2ECD" w:rsidP="00AD2ECD" w:rsidRDefault="00AD2ECD" w14:paraId="45CF63A5">
            <w:pPr>
              <w:spacing w:before="100" w:beforeAutospacing="1"/>
              <w:rPr>
                <w:sz w:val="22"/>
                <w:szCs w:val="22"/>
              </w:rPr>
            </w:pPr>
          </w:p>
          <w:p w:rsidRPr="00AD2ECD" w:rsidR="00AD2ECD" w:rsidP="00AD2ECD" w:rsidRDefault="00AD2ECD" w14:paraId="60209E62">
            <w:pPr>
              <w:rPr>
                <w:rFonts w:eastAsia="Calibri"/>
                <w:sz w:val="22"/>
                <w:szCs w:val="22"/>
              </w:rPr>
            </w:pPr>
          </w:p>
        </w:tc>
        <w:tc>
          <w:tcPr>
            <w:tcW w:w="757" w:type="dxa"/>
          </w:tcPr>
          <w:p w:rsidRPr="00CD6093" w:rsidR="00AD2ECD" w:rsidP="00E327BF" w:rsidRDefault="00AD2ECD" w14:paraId="53F0970E">
            <w:pPr>
              <w:rPr>
                <w:b/>
              </w:rPr>
            </w:pPr>
          </w:p>
        </w:tc>
        <w:tc>
          <w:tcPr>
            <w:tcW w:w="687" w:type="dxa"/>
          </w:tcPr>
          <w:p w:rsidRPr="00CD6093" w:rsidR="00AD2ECD" w:rsidP="00E327BF" w:rsidRDefault="00AD2ECD" w14:paraId="64245480">
            <w:pPr>
              <w:rPr>
                <w:b/>
              </w:rPr>
            </w:pPr>
          </w:p>
        </w:tc>
        <w:tc>
          <w:tcPr>
            <w:tcW w:w="6626" w:type="dxa"/>
          </w:tcPr>
          <w:p w:rsidRPr="00CD6093" w:rsidR="00AD2ECD" w:rsidP="00E327BF" w:rsidRDefault="00AD2ECD" w14:paraId="2F94142E">
            <w:pPr>
              <w:rPr>
                <w:b/>
              </w:rPr>
            </w:pPr>
          </w:p>
        </w:tc>
      </w:tr>
      <w:tr w:rsidRPr="00CD6093" w:rsidR="00AD2ECD" w:rsidTr="00E327BF" w14:paraId="6AC74037">
        <w:tblPrEx>
          <w:shd w:val="clear" w:color="auto" w:fill="auto"/>
        </w:tblPrEx>
        <w:tc>
          <w:tcPr>
            <w:tcW w:w="5252" w:type="dxa"/>
          </w:tcPr>
          <w:p w:rsidR="00AD2ECD" w:rsidP="00AD2ECD" w:rsidRDefault="000F2A47" w14:paraId="58D87C7D">
            <w:pPr>
              <w:rPr>
                <w:rFonts w:eastAsia="Calibri"/>
                <w:sz w:val="22"/>
                <w:szCs w:val="22"/>
              </w:rPr>
            </w:pPr>
            <w:hyperlink w:history="1" r:id="rId25">
              <w:r w:rsidRPr="00AD2ECD" w:rsidR="00AD2ECD">
                <w:rPr>
                  <w:color w:val="0000FF"/>
                  <w:sz w:val="22"/>
                  <w:szCs w:val="22"/>
                  <w:u w:val="single"/>
                </w:rPr>
                <w:t>Minnesota Rules 3325.0470 Subp. 6</w:t>
              </w:r>
            </w:hyperlink>
            <w:r w:rsidRPr="00AD2ECD" w:rsidR="00AD2ECD">
              <w:rPr>
                <w:sz w:val="22"/>
                <w:szCs w:val="22"/>
              </w:rPr>
              <w:t xml:space="preserve"> requires that consistent with an eligible individual's IPE or ILCSR, all eligible individuals must be provided with the opportunity to engage in a wide range of activities for the purpose of building self-confidence and overcoming doubts and fears concerning what blind persons can do, or what deafblind persons can do, if applicable.</w:t>
            </w:r>
            <w:r w:rsidRPr="00AD2ECD" w:rsidR="00AD2ECD">
              <w:rPr>
                <w:sz w:val="28"/>
                <w:szCs w:val="28"/>
              </w:rPr>
              <w:t xml:space="preserve"> </w:t>
            </w:r>
            <w:r w:rsidRPr="00AD2ECD" w:rsidR="00AD2ECD">
              <w:rPr>
                <w:sz w:val="22"/>
                <w:szCs w:val="22"/>
              </w:rPr>
              <w:t xml:space="preserve">Please identify and document evidence supporting this determination. </w:t>
            </w:r>
            <w:r w:rsidRPr="00AD2ECD" w:rsidR="00AD2ECD">
              <w:rPr>
                <w:rFonts w:eastAsia="Calibri"/>
                <w:sz w:val="22"/>
                <w:szCs w:val="22"/>
              </w:rPr>
              <w:t>(E.g. curriculum; examples of activities; reports; consumer interviews; other?)</w:t>
            </w:r>
          </w:p>
          <w:p w:rsidRPr="00AD2ECD" w:rsidR="00AD2ECD" w:rsidP="00AD2ECD" w:rsidRDefault="00AD2ECD" w14:paraId="772AEE36">
            <w:pPr>
              <w:rPr>
                <w:sz w:val="22"/>
                <w:szCs w:val="22"/>
              </w:rPr>
            </w:pPr>
          </w:p>
          <w:p w:rsidRPr="00AD2ECD" w:rsidR="00AD2ECD" w:rsidP="00AD2ECD" w:rsidRDefault="00AD2ECD" w14:paraId="1F68E537">
            <w:pPr>
              <w:rPr>
                <w:rFonts w:eastAsia="Calibri"/>
                <w:sz w:val="22"/>
                <w:szCs w:val="22"/>
              </w:rPr>
            </w:pPr>
          </w:p>
        </w:tc>
        <w:tc>
          <w:tcPr>
            <w:tcW w:w="757" w:type="dxa"/>
          </w:tcPr>
          <w:p w:rsidRPr="00CD6093" w:rsidR="00AD2ECD" w:rsidP="00E327BF" w:rsidRDefault="00AD2ECD" w14:paraId="3C683554">
            <w:pPr>
              <w:rPr>
                <w:b/>
              </w:rPr>
            </w:pPr>
          </w:p>
        </w:tc>
        <w:tc>
          <w:tcPr>
            <w:tcW w:w="687" w:type="dxa"/>
          </w:tcPr>
          <w:p w:rsidRPr="00CD6093" w:rsidR="00AD2ECD" w:rsidP="00E327BF" w:rsidRDefault="00AD2ECD" w14:paraId="2DC1C135">
            <w:pPr>
              <w:rPr>
                <w:b/>
              </w:rPr>
            </w:pPr>
          </w:p>
        </w:tc>
        <w:tc>
          <w:tcPr>
            <w:tcW w:w="6626" w:type="dxa"/>
          </w:tcPr>
          <w:p w:rsidRPr="00CD6093" w:rsidR="00AD2ECD" w:rsidP="00E327BF" w:rsidRDefault="00AD2ECD" w14:paraId="2B4EE06C">
            <w:pPr>
              <w:rPr>
                <w:b/>
              </w:rPr>
            </w:pPr>
          </w:p>
        </w:tc>
      </w:tr>
      <w:tr w:rsidRPr="00CD6093" w:rsidR="00AD2ECD" w:rsidTr="00E327BF" w14:paraId="48121D41">
        <w:tblPrEx>
          <w:shd w:val="clear" w:color="auto" w:fill="auto"/>
        </w:tblPrEx>
        <w:tc>
          <w:tcPr>
            <w:tcW w:w="5252" w:type="dxa"/>
          </w:tcPr>
          <w:p w:rsidR="00AD2ECD" w:rsidP="00AD2ECD" w:rsidRDefault="000F2A47" w14:paraId="56B09623">
            <w:pPr>
              <w:rPr>
                <w:rFonts w:eastAsia="Calibri"/>
                <w:sz w:val="22"/>
                <w:szCs w:val="22"/>
              </w:rPr>
            </w:pPr>
            <w:hyperlink w:history="1" r:id="rId26">
              <w:r w:rsidRPr="00AD2ECD" w:rsidR="00AD2ECD">
                <w:rPr>
                  <w:rFonts w:eastAsia="Calibri"/>
                  <w:color w:val="0000FF"/>
                  <w:sz w:val="22"/>
                  <w:szCs w:val="22"/>
                  <w:u w:val="single"/>
                </w:rPr>
                <w:t>Minnesota Rules 3325.0470 Subp. 6</w:t>
              </w:r>
            </w:hyperlink>
            <w:r w:rsidRPr="00AD2ECD" w:rsidR="00AD2ECD">
              <w:rPr>
                <w:rFonts w:eastAsia="Calibri"/>
                <w:sz w:val="22"/>
                <w:szCs w:val="22"/>
              </w:rPr>
              <w:t xml:space="preserve"> requires that during training, all eligible individuals must be provided with the opportunity to interact with employed or otherwise independent blind persons, or deafblind persons if applicable, who are not in need of rehabilitation services.[not applicable to individual vendors]</w:t>
            </w:r>
            <w:r w:rsidRPr="00AD2ECD" w:rsidR="00AD2ECD">
              <w:rPr>
                <w:sz w:val="22"/>
                <w:szCs w:val="22"/>
              </w:rPr>
              <w:t xml:space="preserve"> Please identify and document evidence supporting this determination. </w:t>
            </w:r>
            <w:r w:rsidRPr="00AD2ECD" w:rsidR="00AD2ECD">
              <w:rPr>
                <w:rFonts w:eastAsia="Calibri"/>
                <w:sz w:val="22"/>
                <w:szCs w:val="22"/>
              </w:rPr>
              <w:t xml:space="preserve">(E.g. curriculum; examples of activities; </w:t>
            </w:r>
            <w:r w:rsidRPr="00AD2ECD" w:rsidR="00AD2ECD">
              <w:rPr>
                <w:rFonts w:eastAsia="Calibri"/>
                <w:sz w:val="22"/>
                <w:szCs w:val="22"/>
              </w:rPr>
              <w:lastRenderedPageBreak/>
              <w:t>reports; consumer interviews; other?)</w:t>
            </w:r>
          </w:p>
          <w:p w:rsidR="00AD2ECD" w:rsidP="00AD2ECD" w:rsidRDefault="00AD2ECD" w14:paraId="5D997599">
            <w:pPr>
              <w:rPr>
                <w:rFonts w:eastAsia="Calibri"/>
                <w:sz w:val="22"/>
                <w:szCs w:val="22"/>
              </w:rPr>
            </w:pPr>
          </w:p>
          <w:p w:rsidRPr="00AD2ECD" w:rsidR="00AD2ECD" w:rsidP="00AD2ECD" w:rsidRDefault="00AD2ECD" w14:paraId="33C5CDDD">
            <w:pPr>
              <w:rPr>
                <w:rFonts w:eastAsia="Calibri"/>
                <w:sz w:val="22"/>
                <w:szCs w:val="22"/>
              </w:rPr>
            </w:pPr>
          </w:p>
          <w:p w:rsidRPr="00AD2ECD" w:rsidR="00AD2ECD" w:rsidP="00AD2ECD" w:rsidRDefault="00AD2ECD" w14:paraId="2127B048">
            <w:pPr>
              <w:rPr>
                <w:rFonts w:eastAsia="Calibri"/>
                <w:sz w:val="22"/>
                <w:szCs w:val="22"/>
              </w:rPr>
            </w:pPr>
          </w:p>
        </w:tc>
        <w:tc>
          <w:tcPr>
            <w:tcW w:w="757" w:type="dxa"/>
          </w:tcPr>
          <w:p w:rsidRPr="00CD6093" w:rsidR="00AD2ECD" w:rsidP="00E327BF" w:rsidRDefault="00AD2ECD" w14:paraId="07BB802D">
            <w:pPr>
              <w:rPr>
                <w:b/>
              </w:rPr>
            </w:pPr>
          </w:p>
        </w:tc>
        <w:tc>
          <w:tcPr>
            <w:tcW w:w="687" w:type="dxa"/>
          </w:tcPr>
          <w:p w:rsidRPr="00CD6093" w:rsidR="00AD2ECD" w:rsidP="00E327BF" w:rsidRDefault="00AD2ECD" w14:paraId="02639949">
            <w:pPr>
              <w:rPr>
                <w:b/>
              </w:rPr>
            </w:pPr>
          </w:p>
        </w:tc>
        <w:tc>
          <w:tcPr>
            <w:tcW w:w="6626" w:type="dxa"/>
          </w:tcPr>
          <w:p w:rsidRPr="00CD6093" w:rsidR="00AD2ECD" w:rsidP="00E327BF" w:rsidRDefault="00AD2ECD" w14:paraId="333201A6">
            <w:pPr>
              <w:rPr>
                <w:b/>
              </w:rPr>
            </w:pPr>
          </w:p>
        </w:tc>
      </w:tr>
      <w:tr w:rsidRPr="00CD6093" w:rsidR="00AD2ECD" w:rsidTr="00E327BF" w14:paraId="446D0D76">
        <w:tblPrEx>
          <w:shd w:val="clear" w:color="auto" w:fill="auto"/>
        </w:tblPrEx>
        <w:tc>
          <w:tcPr>
            <w:tcW w:w="5252" w:type="dxa"/>
          </w:tcPr>
          <w:p w:rsidR="00AD2ECD" w:rsidP="00AD2ECD" w:rsidRDefault="000F2A47" w14:paraId="2D992316">
            <w:pPr>
              <w:rPr>
                <w:rFonts w:eastAsia="Calibri"/>
                <w:sz w:val="22"/>
                <w:szCs w:val="22"/>
              </w:rPr>
            </w:pPr>
            <w:hyperlink w:history="1" r:id="rId27">
              <w:r w:rsidRPr="00AD2ECD" w:rsidR="00AD2ECD">
                <w:rPr>
                  <w:rFonts w:eastAsia="Calibri"/>
                  <w:color w:val="0000FF"/>
                  <w:sz w:val="22"/>
                  <w:szCs w:val="22"/>
                  <w:u w:val="single"/>
                </w:rPr>
                <w:t>Minnesota Rules 3325.0470 Subp. 6</w:t>
              </w:r>
            </w:hyperlink>
            <w:r w:rsidRPr="00AD2ECD" w:rsidR="00AD2ECD">
              <w:rPr>
                <w:rFonts w:eastAsia="Calibri"/>
                <w:sz w:val="22"/>
                <w:szCs w:val="22"/>
              </w:rPr>
              <w:t xml:space="preserve"> states that services must include a requirement that eligible individuals use the alternative technique skills they are learning outside of the training setting to manage their own lives in the activities of daily living and use of rehabilitation technology.</w:t>
            </w:r>
            <w:r w:rsidR="00AD2ECD">
              <w:rPr>
                <w:rFonts w:eastAsia="Calibri"/>
                <w:sz w:val="22"/>
                <w:szCs w:val="22"/>
              </w:rPr>
              <w:t xml:space="preserve"> </w:t>
            </w:r>
            <w:r w:rsidRPr="00AD2ECD" w:rsidR="00AD2ECD">
              <w:rPr>
                <w:sz w:val="22"/>
                <w:szCs w:val="22"/>
              </w:rPr>
              <w:t xml:space="preserve">Please identify and document evidence supporting this determination. </w:t>
            </w:r>
            <w:r w:rsidRPr="00AD2ECD" w:rsidR="00AD2ECD">
              <w:rPr>
                <w:rFonts w:eastAsia="Calibri"/>
                <w:sz w:val="22"/>
                <w:szCs w:val="22"/>
              </w:rPr>
              <w:t>(E.g. curriculum; examples of activities; reports; consumer interviews; other?)</w:t>
            </w:r>
          </w:p>
          <w:p w:rsidR="00C51631" w:rsidP="00AD2ECD" w:rsidRDefault="00C51631" w14:paraId="0E1DBFFE">
            <w:pPr>
              <w:rPr>
                <w:rFonts w:eastAsia="Calibri"/>
                <w:sz w:val="22"/>
                <w:szCs w:val="22"/>
              </w:rPr>
            </w:pPr>
          </w:p>
          <w:p w:rsidRPr="00AD2ECD" w:rsidR="00AD2ECD" w:rsidP="00AD2ECD" w:rsidRDefault="00AD2ECD" w14:paraId="0A07D80E">
            <w:pPr>
              <w:rPr>
                <w:rFonts w:eastAsia="Calibri"/>
                <w:sz w:val="22"/>
                <w:szCs w:val="22"/>
              </w:rPr>
            </w:pPr>
          </w:p>
          <w:p w:rsidRPr="00AD2ECD" w:rsidR="00AD2ECD" w:rsidP="00AD2ECD" w:rsidRDefault="00AD2ECD" w14:paraId="5699AA09">
            <w:pPr>
              <w:rPr>
                <w:rFonts w:eastAsia="Calibri"/>
                <w:sz w:val="22"/>
                <w:szCs w:val="22"/>
              </w:rPr>
            </w:pPr>
          </w:p>
        </w:tc>
        <w:tc>
          <w:tcPr>
            <w:tcW w:w="757" w:type="dxa"/>
          </w:tcPr>
          <w:p w:rsidRPr="00CD6093" w:rsidR="00AD2ECD" w:rsidP="00E327BF" w:rsidRDefault="00AD2ECD" w14:paraId="47664EE0">
            <w:pPr>
              <w:rPr>
                <w:b/>
              </w:rPr>
            </w:pPr>
          </w:p>
        </w:tc>
        <w:tc>
          <w:tcPr>
            <w:tcW w:w="687" w:type="dxa"/>
          </w:tcPr>
          <w:p w:rsidRPr="00CD6093" w:rsidR="00AD2ECD" w:rsidP="00E327BF" w:rsidRDefault="00AD2ECD" w14:paraId="6F5DF365">
            <w:pPr>
              <w:rPr>
                <w:b/>
              </w:rPr>
            </w:pPr>
          </w:p>
        </w:tc>
        <w:tc>
          <w:tcPr>
            <w:tcW w:w="6626" w:type="dxa"/>
          </w:tcPr>
          <w:p w:rsidRPr="00CD6093" w:rsidR="00AD2ECD" w:rsidP="00E327BF" w:rsidRDefault="00AD2ECD" w14:paraId="71F7EB39">
            <w:pPr>
              <w:rPr>
                <w:b/>
              </w:rPr>
            </w:pPr>
          </w:p>
        </w:tc>
      </w:tr>
    </w:tbl>
    <w:p w:rsidR="001C7C9E" w:rsidRDefault="001C7C9E" w14:paraId="69E62384"/>
    <w:sectPr w:rsidR="001C7C9E" w:rsidSect="00E25695">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31" w:rsidP="00C51631" w:rsidRDefault="00C51631" w14:paraId="3E7613F3">
      <w:r>
        <w:separator/>
      </w:r>
    </w:p>
  </w:endnote>
  <w:endnote w:type="continuationSeparator" w:id="0">
    <w:p w:rsidR="00C51631" w:rsidP="00C51631" w:rsidRDefault="00C51631" w14:paraId="2F2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79612"/>
      <w:docPartObj>
        <w:docPartGallery w:val="Page Numbers (Bottom of Page)"/>
        <w:docPartUnique/>
      </w:docPartObj>
    </w:sdtPr>
    <w:sdtEndPr>
      <w:rPr>
        <w:noProof/>
      </w:rPr>
    </w:sdtEndPr>
    <w:sdtContent>
      <w:p w14:paraId="4805D50B" w:rsidR="00C51631" w:rsidRDefault="00C51631">
        <w:pPr>
          <w:pStyle w:val="Footer"/>
          <w:jc w:val="center"/>
        </w:pPr>
        <w:r>
          <w:fldChar w:fldCharType="begin"/>
        </w:r>
        <w:r>
          <w:instrText xml:space="preserve"> PAGE   \* MERGEFORMAT </w:instrText>
        </w:r>
        <w:r>
          <w:fldChar w:fldCharType="separate"/>
        </w:r>
        <w:r w:rsidR="000F2A47">
          <w:rPr>
            <w:noProof/>
          </w:rPr>
          <w:t>2</w:t>
        </w:r>
        <w:r>
          <w:rPr>
            <w:noProof/>
          </w:rPr>
          <w:fldChar w:fldCharType="end"/>
        </w:r>
      </w:p>
    </w:sdtContent>
  </w:sdt>
  <w:p w14:paraId="0A4DE757" w:rsidR="00C51631" w:rsidRDefault="00C5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31" w:rsidP="00C51631" w:rsidRDefault="00C51631" w14:paraId="652FD8D4">
      <w:r>
        <w:separator/>
      </w:r>
    </w:p>
  </w:footnote>
  <w:footnote w:type="continuationSeparator" w:id="0">
    <w:p w:rsidR="00C51631" w:rsidP="00C51631" w:rsidRDefault="00C51631" w14:paraId="61093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F3E"/>
    <w:multiLevelType w:val="hybridMultilevel"/>
    <w:tmpl w:val="4CB0822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95"/>
    <w:rsid w:val="000F2A47"/>
    <w:rsid w:val="001C7C9E"/>
    <w:rsid w:val="003F68B5"/>
    <w:rsid w:val="00AD2ECD"/>
    <w:rsid w:val="00C51631"/>
    <w:rsid w:val="00DB20C1"/>
    <w:rsid w:val="00E25695"/>
    <w:rsid w:val="1EDA9D63"/>
    <w:rsid w:val="54FB8226"/>
    <w:rsid w:val="70C1F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5695"/>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25695"/>
    <w:rPr>
      <w:rFonts w:ascii="Tahoma" w:hAnsi="Tahoma" w:cs="Tahoma"/>
      <w:sz w:val="16"/>
      <w:szCs w:val="16"/>
    </w:rPr>
  </w:style>
  <w:style w:type="character" w:styleId="BalloonTextChar" w:customStyle="1">
    <w:name w:val="Balloon Text Char"/>
    <w:basedOn w:val="DefaultParagraphFont"/>
    <w:link w:val="BalloonText"/>
    <w:uiPriority w:val="99"/>
    <w:semiHidden/>
    <w:rsid w:val="00E25695"/>
    <w:rPr>
      <w:rFonts w:ascii="Tahoma" w:hAnsi="Tahoma" w:eastAsia="Times New Roman" w:cs="Tahoma"/>
      <w:sz w:val="16"/>
      <w:szCs w:val="16"/>
    </w:rPr>
  </w:style>
  <w:style w:type="table" w:styleId="TableGrid">
    <w:name w:val="Table Grid"/>
    <w:basedOn w:val="TableNormal"/>
    <w:uiPriority w:val="59"/>
    <w:rsid w:val="00E2569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irst" w:customStyle="1">
    <w:name w:val="first"/>
    <w:basedOn w:val="Normal"/>
    <w:rsid w:val="00E25695"/>
    <w:pPr>
      <w:spacing w:before="100" w:beforeAutospacing="1" w:after="100" w:afterAutospacing="1"/>
    </w:pPr>
  </w:style>
  <w:style w:type="character" w:styleId="Hyperlink">
    <w:name w:val="Hyperlink"/>
    <w:uiPriority w:val="99"/>
    <w:unhideWhenUsed/>
    <w:rsid w:val="00E25695"/>
    <w:rPr>
      <w:color w:val="0000FF"/>
      <w:u w:val="single"/>
    </w:rPr>
  </w:style>
  <w:style w:type="paragraph" w:styleId="Header">
    <w:name w:val="header"/>
    <w:basedOn w:val="Normal"/>
    <w:link w:val="HeaderChar"/>
    <w:uiPriority w:val="99"/>
    <w:unhideWhenUsed/>
    <w:rsid w:val="00C51631"/>
    <w:pPr>
      <w:tabs>
        <w:tab w:val="center" w:pos="4680"/>
        <w:tab w:val="right" w:pos="9360"/>
      </w:tabs>
    </w:pPr>
  </w:style>
  <w:style w:type="character" w:styleId="HeaderChar" w:customStyle="1">
    <w:name w:val="Header Char"/>
    <w:basedOn w:val="DefaultParagraphFont"/>
    <w:link w:val="Header"/>
    <w:uiPriority w:val="99"/>
    <w:rsid w:val="00C51631"/>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C51631"/>
    <w:pPr>
      <w:tabs>
        <w:tab w:val="center" w:pos="4680"/>
        <w:tab w:val="right" w:pos="9360"/>
      </w:tabs>
    </w:pPr>
  </w:style>
  <w:style w:type="character" w:styleId="FooterChar" w:customStyle="1">
    <w:name w:val="Footer Char"/>
    <w:basedOn w:val="DefaultParagraphFont"/>
    <w:link w:val="Footer"/>
    <w:uiPriority w:val="99"/>
    <w:rsid w:val="00C51631"/>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95"/>
    <w:rPr>
      <w:rFonts w:ascii="Tahoma" w:hAnsi="Tahoma" w:cs="Tahoma"/>
      <w:sz w:val="16"/>
      <w:szCs w:val="16"/>
    </w:rPr>
  </w:style>
  <w:style w:type="character" w:customStyle="1" w:styleId="BalloonTextChar">
    <w:name w:val="Balloon Text Char"/>
    <w:basedOn w:val="DefaultParagraphFont"/>
    <w:link w:val="BalloonText"/>
    <w:uiPriority w:val="99"/>
    <w:semiHidden/>
    <w:rsid w:val="00E25695"/>
    <w:rPr>
      <w:rFonts w:ascii="Tahoma" w:eastAsia="Times New Roman" w:hAnsi="Tahoma" w:cs="Tahoma"/>
      <w:sz w:val="16"/>
      <w:szCs w:val="16"/>
    </w:rPr>
  </w:style>
  <w:style w:type="table" w:styleId="TableGrid">
    <w:name w:val="Table Grid"/>
    <w:basedOn w:val="TableNormal"/>
    <w:uiPriority w:val="59"/>
    <w:rsid w:val="00E2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
    <w:name w:val="first"/>
    <w:basedOn w:val="Normal"/>
    <w:rsid w:val="00E25695"/>
    <w:pPr>
      <w:spacing w:before="100" w:beforeAutospacing="1" w:after="100" w:afterAutospacing="1"/>
    </w:pPr>
  </w:style>
  <w:style w:type="character" w:styleId="Hyperlink">
    <w:name w:val="Hyperlink"/>
    <w:uiPriority w:val="99"/>
    <w:unhideWhenUsed/>
    <w:rsid w:val="00E25695"/>
    <w:rPr>
      <w:color w:val="0000FF"/>
      <w:u w:val="single"/>
    </w:rPr>
  </w:style>
  <w:style w:type="paragraph" w:styleId="Header">
    <w:name w:val="header"/>
    <w:basedOn w:val="Normal"/>
    <w:link w:val="HeaderChar"/>
    <w:uiPriority w:val="99"/>
    <w:unhideWhenUsed/>
    <w:rsid w:val="00C51631"/>
    <w:pPr>
      <w:tabs>
        <w:tab w:val="center" w:pos="4680"/>
        <w:tab w:val="right" w:pos="9360"/>
      </w:tabs>
    </w:pPr>
  </w:style>
  <w:style w:type="character" w:customStyle="1" w:styleId="HeaderChar">
    <w:name w:val="Header Char"/>
    <w:basedOn w:val="DefaultParagraphFont"/>
    <w:link w:val="Header"/>
    <w:uiPriority w:val="99"/>
    <w:rsid w:val="00C51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631"/>
    <w:pPr>
      <w:tabs>
        <w:tab w:val="center" w:pos="4680"/>
        <w:tab w:val="right" w:pos="9360"/>
      </w:tabs>
    </w:pPr>
  </w:style>
  <w:style w:type="character" w:customStyle="1" w:styleId="FooterChar">
    <w:name w:val="Footer Char"/>
    <w:basedOn w:val="DefaultParagraphFont"/>
    <w:link w:val="Footer"/>
    <w:uiPriority w:val="99"/>
    <w:rsid w:val="00C51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visor.mn.gov/rules/?id=3325.0110" TargetMode="External" Id="rId13" /><Relationship Type="http://schemas.openxmlformats.org/officeDocument/2006/relationships/hyperlink" Target="https://www.revisor.mn.gov/rules/?id=3325.0420" TargetMode="External" Id="rId18" /><Relationship Type="http://schemas.openxmlformats.org/officeDocument/2006/relationships/hyperlink" Target="https://www.revisor.mn.gov/rules/?id=3325.0470" TargetMode="External" Id="rId26" /><Relationship Type="http://schemas.microsoft.com/office/2007/relationships/stylesWithEffects" Target="stylesWithEffects.xml" Id="rId3" /><Relationship Type="http://schemas.openxmlformats.org/officeDocument/2006/relationships/hyperlink" Target="https://www.revisor.mn.gov/rules/?id=3325.0470" TargetMode="External" Id="rId21" /><Relationship Type="http://schemas.openxmlformats.org/officeDocument/2006/relationships/endnotes" Target="endnotes.xml" Id="rId7" /><Relationship Type="http://schemas.openxmlformats.org/officeDocument/2006/relationships/hyperlink" Target="https://www.revisor.mn.gov/rules/?id=3325.0420" TargetMode="External" Id="rId12" /><Relationship Type="http://schemas.openxmlformats.org/officeDocument/2006/relationships/hyperlink" Target="https://www.revisor.mn.gov/rules/?id=3325.0420" TargetMode="External" Id="rId17" /><Relationship Type="http://schemas.openxmlformats.org/officeDocument/2006/relationships/hyperlink" Target="https://www.revisor.mn.gov/rules/?id=3325.0470" TargetMode="External" Id="rId25" /><Relationship Type="http://schemas.openxmlformats.org/officeDocument/2006/relationships/customXml" Target="../customXml/item3.xml" Id="rId33" /><Relationship Type="http://schemas.openxmlformats.org/officeDocument/2006/relationships/styles" Target="styles.xml" Id="rId2" /><Relationship Type="http://schemas.openxmlformats.org/officeDocument/2006/relationships/hyperlink" Target="https://www.revisor.mn.gov/rules/?id=3325.0420" TargetMode="External" Id="rId16" /><Relationship Type="http://schemas.openxmlformats.org/officeDocument/2006/relationships/hyperlink" Target="https://www.revisor.mn.gov/rules/?id=3325.0420"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revisor.mn.gov/rules/?id=3325.0470" TargetMode="Externa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https://www.revisor.mn.gov/rules/?id=3325.0420" TargetMode="External" Id="rId15" /><Relationship Type="http://schemas.openxmlformats.org/officeDocument/2006/relationships/hyperlink" Target="https://www.revisor.mn.gov/rules/?id=3325.0470" TargetMode="External" Id="rId23" /><Relationship Type="http://schemas.openxmlformats.org/officeDocument/2006/relationships/footer" Target="footer1.xml" Id="rId28" /><Relationship Type="http://schemas.openxmlformats.org/officeDocument/2006/relationships/hyperlink" Target="https://www.revisor.mn.gov/rules/?id=3325.0420" TargetMode="External" Id="rId19" /><Relationship Type="http://schemas.openxmlformats.org/officeDocument/2006/relationships/customXml" Target="../customXml/item1.xml" Id="rId31" /><Relationship Type="http://schemas.openxmlformats.org/officeDocument/2006/relationships/settings" Target="settings.xml" Id="rId4" /><Relationship Type="http://schemas.openxmlformats.org/officeDocument/2006/relationships/hyperlink" Target="https://www.revisor.mn.gov/rules/?id=3325.0420" TargetMode="External" Id="rId14" /><Relationship Type="http://schemas.openxmlformats.org/officeDocument/2006/relationships/hyperlink" Target="https://www.revisor.mn.gov/rules/?id=3325.0470" TargetMode="External" Id="rId22" /><Relationship Type="http://schemas.openxmlformats.org/officeDocument/2006/relationships/hyperlink" Target="https://www.revisor.mn.gov/rules/?id=3325.0470" TargetMode="External" Id="rId27" /><Relationship Type="http://schemas.openxmlformats.org/officeDocument/2006/relationships/theme" Target="theme/theme1.xml" Id="rId30" /><Relationship Type="http://schemas.openxmlformats.org/officeDocument/2006/relationships/image" Target="media/image1.jpe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C8F19EFBA114399CF3453E2DCE19D" ma:contentTypeVersion="0" ma:contentTypeDescription="Create a new document." ma:contentTypeScope="" ma:versionID="88985b1dd872cd3fda11ed613075d0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9CBDC-51D1-4FF8-A65E-3B32004038EC}"/>
</file>

<file path=customXml/itemProps2.xml><?xml version="1.0" encoding="utf-8"?>
<ds:datastoreItem xmlns:ds="http://schemas.openxmlformats.org/officeDocument/2006/customXml" ds:itemID="{36EA0172-F273-44F0-9BDA-B928B7FCD48C}"/>
</file>

<file path=customXml/itemProps3.xml><?xml version="1.0" encoding="utf-8"?>
<ds:datastoreItem xmlns:ds="http://schemas.openxmlformats.org/officeDocument/2006/customXml" ds:itemID="{4193743D-EAC8-4940-9D3A-5AF5FA879A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 Pankow</dc:creator>
  <lastModifiedBy>Samantha  Fischer</lastModifiedBy>
  <revision>5</revision>
  <dcterms:created xsi:type="dcterms:W3CDTF">2013-02-05T16:16:00.0000000Z</dcterms:created>
  <dcterms:modified xsi:type="dcterms:W3CDTF">2013-07-08T19:29:39.8264085Z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0x010100012C8F19EFBA114399CF3453E2DCE19D</vt:lpwstr>
  </property>
</Properties>
</file>