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90794" w14:textId="744933DA" w:rsidR="00131AF2" w:rsidRDefault="00131AF2" w:rsidP="00131AF2">
      <w:pPr>
        <w:pStyle w:val="Heading1"/>
        <w:pBdr>
          <w:bottom w:val="single" w:sz="4" w:space="1" w:color="auto"/>
        </w:pBdr>
        <w:jc w:val="center"/>
      </w:pPr>
      <w:r>
        <w:t xml:space="preserve">DEED Office of Adult Career Pathways – SFY 24/25 Targeted Population </w:t>
      </w:r>
      <w:r w:rsidR="007229AA">
        <w:t>Capacity Building</w:t>
      </w:r>
      <w:r>
        <w:t xml:space="preserve"> </w:t>
      </w:r>
      <w:bookmarkStart w:id="0" w:name="_Hlk140217377"/>
      <w:r>
        <w:t>Frequently Asked Questions (FAQs)</w:t>
      </w:r>
      <w:bookmarkEnd w:id="0"/>
    </w:p>
    <w:p w14:paraId="3F3145A1" w14:textId="77777777" w:rsidR="00131AF2" w:rsidRDefault="00131AF2"/>
    <w:p w14:paraId="52384972" w14:textId="7D15EA49" w:rsidR="007229AA" w:rsidRDefault="007229AA" w:rsidP="007229AA">
      <w:pPr>
        <w:pStyle w:val="ListParagraph"/>
        <w:numPr>
          <w:ilvl w:val="0"/>
          <w:numId w:val="1"/>
        </w:numPr>
        <w:spacing w:line="480" w:lineRule="auto"/>
        <w:rPr>
          <w:b/>
          <w:bCs/>
        </w:rPr>
      </w:pPr>
      <w:r w:rsidRPr="007229AA">
        <w:rPr>
          <w:b/>
          <w:bCs/>
        </w:rPr>
        <w:t xml:space="preserve">One of the slides mentioned. </w:t>
      </w:r>
      <w:proofErr w:type="spellStart"/>
      <w:proofErr w:type="gramStart"/>
      <w:r w:rsidRPr="007229AA">
        <w:rPr>
          <w:b/>
          <w:bCs/>
        </w:rPr>
        <w:t>Non profit</w:t>
      </w:r>
      <w:proofErr w:type="spellEnd"/>
      <w:proofErr w:type="gramEnd"/>
      <w:r w:rsidRPr="007229AA">
        <w:rPr>
          <w:b/>
          <w:bCs/>
        </w:rPr>
        <w:t xml:space="preserve"> Is this only for </w:t>
      </w:r>
      <w:proofErr w:type="spellStart"/>
      <w:r w:rsidRPr="007229AA">
        <w:rPr>
          <w:b/>
          <w:bCs/>
        </w:rPr>
        <w:t>non profit</w:t>
      </w:r>
      <w:proofErr w:type="spellEnd"/>
      <w:r w:rsidRPr="007229AA">
        <w:rPr>
          <w:b/>
          <w:bCs/>
        </w:rPr>
        <w:t>?</w:t>
      </w:r>
    </w:p>
    <w:p w14:paraId="48B3A355" w14:textId="16C30689" w:rsidR="00AF4795" w:rsidRPr="000B19CD" w:rsidRDefault="00AF4795" w:rsidP="00AF4795">
      <w:pPr>
        <w:pStyle w:val="ListParagraph"/>
        <w:numPr>
          <w:ilvl w:val="1"/>
          <w:numId w:val="1"/>
        </w:numPr>
        <w:spacing w:line="480" w:lineRule="auto"/>
      </w:pPr>
      <w:r w:rsidRPr="000B19CD">
        <w:t xml:space="preserve">Correct. Only non-profit organizations who meet the eligibility requirements as outlined in the RFP. </w:t>
      </w:r>
    </w:p>
    <w:p w14:paraId="3BA5B986" w14:textId="77777777" w:rsidR="007229AA" w:rsidRDefault="007229AA" w:rsidP="007229AA">
      <w:pPr>
        <w:pStyle w:val="ListParagraph"/>
        <w:numPr>
          <w:ilvl w:val="0"/>
          <w:numId w:val="1"/>
        </w:numPr>
        <w:spacing w:line="480" w:lineRule="auto"/>
        <w:rPr>
          <w:b/>
          <w:bCs/>
        </w:rPr>
      </w:pPr>
      <w:r w:rsidRPr="007229AA">
        <w:rPr>
          <w:b/>
          <w:bCs/>
        </w:rPr>
        <w:t>Can we get a copy of the slides?</w:t>
      </w:r>
    </w:p>
    <w:p w14:paraId="3D01DED2" w14:textId="7A44F5DE" w:rsidR="00AF4795" w:rsidRPr="000B19CD" w:rsidRDefault="00AF4795" w:rsidP="00AF4795">
      <w:pPr>
        <w:pStyle w:val="ListParagraph"/>
        <w:numPr>
          <w:ilvl w:val="1"/>
          <w:numId w:val="1"/>
        </w:numPr>
        <w:spacing w:line="480" w:lineRule="auto"/>
      </w:pPr>
      <w:r w:rsidRPr="000B19CD">
        <w:t xml:space="preserve">The slides will be posted to the Competitive Grants and Contracts page within the next few days. </w:t>
      </w:r>
    </w:p>
    <w:p w14:paraId="67D4A758" w14:textId="77777777" w:rsidR="007229AA" w:rsidRDefault="007229AA" w:rsidP="007229AA">
      <w:pPr>
        <w:pStyle w:val="ListParagraph"/>
        <w:numPr>
          <w:ilvl w:val="0"/>
          <w:numId w:val="1"/>
        </w:numPr>
        <w:spacing w:line="480" w:lineRule="auto"/>
        <w:rPr>
          <w:b/>
          <w:bCs/>
        </w:rPr>
      </w:pPr>
      <w:r w:rsidRPr="007229AA">
        <w:rPr>
          <w:b/>
          <w:bCs/>
        </w:rPr>
        <w:t>Can this funding be used for a youth-serving program that provides a pathway to adult employment?</w:t>
      </w:r>
    </w:p>
    <w:p w14:paraId="0C5336F2" w14:textId="0E8E6669" w:rsidR="00AF4795" w:rsidRPr="000B19CD" w:rsidRDefault="00AF4795" w:rsidP="00AF4795">
      <w:pPr>
        <w:pStyle w:val="ListParagraph"/>
        <w:numPr>
          <w:ilvl w:val="1"/>
          <w:numId w:val="1"/>
        </w:numPr>
        <w:spacing w:line="480" w:lineRule="auto"/>
      </w:pPr>
      <w:r w:rsidRPr="000B19CD">
        <w:t xml:space="preserve">Yes, </w:t>
      </w:r>
      <w:proofErr w:type="gramStart"/>
      <w:r w:rsidRPr="000B19CD">
        <w:t>as long as</w:t>
      </w:r>
      <w:proofErr w:type="gramEnd"/>
      <w:r w:rsidRPr="000B19CD">
        <w:t xml:space="preserve"> the capacity building is going to workforce, it may be for youth or adult. </w:t>
      </w:r>
    </w:p>
    <w:p w14:paraId="45639F0B" w14:textId="77777777" w:rsidR="007229AA" w:rsidRDefault="007229AA" w:rsidP="007229AA">
      <w:pPr>
        <w:pStyle w:val="ListParagraph"/>
        <w:numPr>
          <w:ilvl w:val="0"/>
          <w:numId w:val="1"/>
        </w:numPr>
        <w:spacing w:line="480" w:lineRule="auto"/>
        <w:rPr>
          <w:b/>
          <w:bCs/>
        </w:rPr>
      </w:pPr>
      <w:r w:rsidRPr="007229AA">
        <w:rPr>
          <w:b/>
          <w:bCs/>
        </w:rPr>
        <w:t>Is the 49,000 max per individual or per organization?</w:t>
      </w:r>
    </w:p>
    <w:p w14:paraId="7DC724C8" w14:textId="190CFA0D" w:rsidR="00AF4795" w:rsidRPr="000B19CD" w:rsidRDefault="00AF4795" w:rsidP="00AF4795">
      <w:pPr>
        <w:pStyle w:val="ListParagraph"/>
        <w:numPr>
          <w:ilvl w:val="1"/>
          <w:numId w:val="1"/>
        </w:numPr>
        <w:spacing w:line="480" w:lineRule="auto"/>
      </w:pPr>
      <w:r w:rsidRPr="000B19CD">
        <w:t xml:space="preserve">The maximum amount is $49,000 per organization. </w:t>
      </w:r>
    </w:p>
    <w:p w14:paraId="0ED4FAEA" w14:textId="3834F721" w:rsidR="007229AA" w:rsidRDefault="007229AA" w:rsidP="007229AA">
      <w:pPr>
        <w:pStyle w:val="ListParagraph"/>
        <w:numPr>
          <w:ilvl w:val="0"/>
          <w:numId w:val="1"/>
        </w:numPr>
        <w:spacing w:line="480" w:lineRule="auto"/>
        <w:rPr>
          <w:b/>
          <w:bCs/>
        </w:rPr>
      </w:pPr>
      <w:r w:rsidRPr="007229AA">
        <w:rPr>
          <w:b/>
          <w:bCs/>
        </w:rPr>
        <w:t xml:space="preserve">Can we use the grant to serve incarcerated </w:t>
      </w:r>
      <w:r w:rsidR="00F941C0">
        <w:rPr>
          <w:b/>
          <w:bCs/>
        </w:rPr>
        <w:t>justice-involved</w:t>
      </w:r>
      <w:r w:rsidRPr="007229AA">
        <w:rPr>
          <w:b/>
          <w:bCs/>
        </w:rPr>
        <w:t xml:space="preserve"> community to career pathways?</w:t>
      </w:r>
    </w:p>
    <w:p w14:paraId="6190B0EA" w14:textId="6337644D" w:rsidR="00AF4795" w:rsidRPr="000B19CD" w:rsidRDefault="00AF4795" w:rsidP="00AF4795">
      <w:pPr>
        <w:pStyle w:val="ListParagraph"/>
        <w:numPr>
          <w:ilvl w:val="1"/>
          <w:numId w:val="1"/>
        </w:numPr>
        <w:spacing w:line="480" w:lineRule="auto"/>
      </w:pPr>
      <w:r w:rsidRPr="000B19CD">
        <w:t xml:space="preserve">There is not a </w:t>
      </w:r>
      <w:proofErr w:type="gramStart"/>
      <w:r w:rsidR="00F941C0" w:rsidRPr="000B19CD">
        <w:t>particular</w:t>
      </w:r>
      <w:r w:rsidRPr="000B19CD">
        <w:t xml:space="preserve"> eligibility criteria</w:t>
      </w:r>
      <w:proofErr w:type="gramEnd"/>
      <w:r w:rsidRPr="000B19CD">
        <w:t xml:space="preserve"> within capacity building, this grant is not to serve individuals, it is to serve the organization. </w:t>
      </w:r>
    </w:p>
    <w:p w14:paraId="01BB238D" w14:textId="1754E01B" w:rsidR="007229AA" w:rsidRDefault="007229AA" w:rsidP="007229AA">
      <w:pPr>
        <w:pStyle w:val="ListParagraph"/>
        <w:numPr>
          <w:ilvl w:val="0"/>
          <w:numId w:val="1"/>
        </w:numPr>
        <w:spacing w:line="480" w:lineRule="auto"/>
        <w:rPr>
          <w:b/>
          <w:bCs/>
        </w:rPr>
      </w:pPr>
      <w:r w:rsidRPr="007229AA">
        <w:rPr>
          <w:b/>
          <w:bCs/>
        </w:rPr>
        <w:t>You will still need a detail</w:t>
      </w:r>
      <w:r w:rsidR="00F941C0">
        <w:rPr>
          <w:b/>
          <w:bCs/>
        </w:rPr>
        <w:t xml:space="preserve">ed </w:t>
      </w:r>
      <w:r w:rsidR="00F941C0" w:rsidRPr="007229AA">
        <w:rPr>
          <w:b/>
          <w:bCs/>
        </w:rPr>
        <w:t>partnership</w:t>
      </w:r>
      <w:r w:rsidRPr="007229AA">
        <w:rPr>
          <w:b/>
          <w:bCs/>
        </w:rPr>
        <w:t xml:space="preserve"> chart?</w:t>
      </w:r>
    </w:p>
    <w:p w14:paraId="347B38B2" w14:textId="3ACD00AF" w:rsidR="00F941C0" w:rsidRPr="000B19CD" w:rsidRDefault="00F941C0" w:rsidP="00F941C0">
      <w:pPr>
        <w:pStyle w:val="ListParagraph"/>
        <w:numPr>
          <w:ilvl w:val="1"/>
          <w:numId w:val="1"/>
        </w:numPr>
        <w:spacing w:line="480" w:lineRule="auto"/>
      </w:pPr>
      <w:r w:rsidRPr="000B19CD">
        <w:t xml:space="preserve">There still needs to be a detailed partnership chart listing any organization that is receiving compensation from the grant. </w:t>
      </w:r>
    </w:p>
    <w:p w14:paraId="4CF7D02E" w14:textId="77777777" w:rsidR="00131AF2" w:rsidRDefault="00131AF2" w:rsidP="007229AA">
      <w:pPr>
        <w:pStyle w:val="ListParagraph"/>
        <w:numPr>
          <w:ilvl w:val="0"/>
          <w:numId w:val="1"/>
        </w:numPr>
        <w:spacing w:line="480" w:lineRule="auto"/>
        <w:rPr>
          <w:b/>
          <w:bCs/>
        </w:rPr>
      </w:pPr>
      <w:r w:rsidRPr="007229AA">
        <w:rPr>
          <w:b/>
          <w:bCs/>
        </w:rPr>
        <w:t xml:space="preserve">Can we use the grant to serve incarcerated justice involved community to career pathways? I </w:t>
      </w:r>
      <w:proofErr w:type="spellStart"/>
      <w:r w:rsidRPr="007229AA">
        <w:rPr>
          <w:b/>
          <w:bCs/>
        </w:rPr>
        <w:t>dont</w:t>
      </w:r>
      <w:proofErr w:type="spellEnd"/>
      <w:r w:rsidRPr="007229AA">
        <w:rPr>
          <w:b/>
          <w:bCs/>
        </w:rPr>
        <w:t xml:space="preserve"> understand your respond to the question, The grant is designed to do what exactly? Please </w:t>
      </w:r>
      <w:proofErr w:type="gramStart"/>
      <w:r w:rsidRPr="007229AA">
        <w:rPr>
          <w:b/>
          <w:bCs/>
        </w:rPr>
        <w:t>elaborate</w:t>
      </w:r>
      <w:proofErr w:type="gramEnd"/>
    </w:p>
    <w:p w14:paraId="0BEC12C2" w14:textId="7A573E98" w:rsidR="00F941C0" w:rsidRPr="000B19CD" w:rsidRDefault="00F941C0" w:rsidP="00F941C0">
      <w:pPr>
        <w:pStyle w:val="ListParagraph"/>
        <w:numPr>
          <w:ilvl w:val="1"/>
          <w:numId w:val="1"/>
        </w:numPr>
        <w:spacing w:line="480" w:lineRule="auto"/>
      </w:pPr>
      <w:r w:rsidRPr="000B19CD">
        <w:lastRenderedPageBreak/>
        <w:t xml:space="preserve">This grant is designed to increase the capacity of the organization to provide workforce services, serving whatever population they serve, whether that be justice involved, youth, etc.  </w:t>
      </w:r>
    </w:p>
    <w:p w14:paraId="40E3D1E5" w14:textId="52B03099" w:rsidR="007229AA" w:rsidRDefault="007229AA" w:rsidP="007229AA">
      <w:pPr>
        <w:pStyle w:val="ListParagraph"/>
        <w:numPr>
          <w:ilvl w:val="0"/>
          <w:numId w:val="1"/>
        </w:numPr>
        <w:spacing w:line="480" w:lineRule="auto"/>
        <w:rPr>
          <w:b/>
          <w:bCs/>
        </w:rPr>
      </w:pPr>
      <w:r w:rsidRPr="007229AA">
        <w:rPr>
          <w:b/>
          <w:bCs/>
        </w:rPr>
        <w:t xml:space="preserve">For program infrastructure. Would purchasing a vehicle to provide </w:t>
      </w:r>
      <w:r w:rsidR="00314F4D">
        <w:rPr>
          <w:b/>
          <w:bCs/>
        </w:rPr>
        <w:t>community-based</w:t>
      </w:r>
      <w:r w:rsidRPr="007229AA">
        <w:rPr>
          <w:b/>
          <w:bCs/>
        </w:rPr>
        <w:t xml:space="preserve"> services be allowed?</w:t>
      </w:r>
    </w:p>
    <w:p w14:paraId="77C21E0D" w14:textId="0717169B" w:rsidR="000B19CD" w:rsidRPr="000B19CD" w:rsidRDefault="00314F4D" w:rsidP="000B19CD">
      <w:pPr>
        <w:pStyle w:val="ListParagraph"/>
        <w:numPr>
          <w:ilvl w:val="1"/>
          <w:numId w:val="1"/>
        </w:numPr>
        <w:spacing w:line="480" w:lineRule="auto"/>
      </w:pPr>
      <w:r>
        <w:t xml:space="preserve">Vehicle purchases would not be allowed with these funds. Generally, assets that depreciate and are transferrable are not allowable uses of funds. </w:t>
      </w:r>
    </w:p>
    <w:p w14:paraId="5B8DD94A" w14:textId="22771269" w:rsidR="007229AA" w:rsidRDefault="007229AA" w:rsidP="007229AA">
      <w:pPr>
        <w:pStyle w:val="ListParagraph"/>
        <w:numPr>
          <w:ilvl w:val="0"/>
          <w:numId w:val="1"/>
        </w:numPr>
        <w:spacing w:line="480" w:lineRule="auto"/>
        <w:rPr>
          <w:b/>
          <w:bCs/>
        </w:rPr>
      </w:pPr>
      <w:r w:rsidRPr="007229AA">
        <w:rPr>
          <w:b/>
          <w:bCs/>
        </w:rPr>
        <w:t>How will this grant be tracked or measured?</w:t>
      </w:r>
      <w:r w:rsidR="00F941C0">
        <w:rPr>
          <w:b/>
          <w:bCs/>
        </w:rPr>
        <w:t xml:space="preserve"> </w:t>
      </w:r>
    </w:p>
    <w:p w14:paraId="139D3038" w14:textId="15158E2F" w:rsidR="00F941C0" w:rsidRPr="000B19CD" w:rsidRDefault="00F941C0" w:rsidP="00F941C0">
      <w:pPr>
        <w:pStyle w:val="ListParagraph"/>
        <w:numPr>
          <w:ilvl w:val="1"/>
          <w:numId w:val="1"/>
        </w:numPr>
        <w:spacing w:line="480" w:lineRule="auto"/>
      </w:pPr>
      <w:r w:rsidRPr="000B19CD">
        <w:t xml:space="preserve">All organizations must submit a final report outlining the use of funds and the impact of the funding on the </w:t>
      </w:r>
      <w:r w:rsidR="000B19CD">
        <w:t>organization's</w:t>
      </w:r>
      <w:r w:rsidRPr="000B19CD">
        <w:t xml:space="preserve"> ability to provide workforce development services. Additionally, within the application, there is an outcomes chart in which the applicant will propose their measures of success. </w:t>
      </w:r>
    </w:p>
    <w:p w14:paraId="3689FEC6" w14:textId="77777777" w:rsidR="00131AF2" w:rsidRDefault="00131AF2" w:rsidP="007229AA">
      <w:pPr>
        <w:pStyle w:val="ListParagraph"/>
        <w:numPr>
          <w:ilvl w:val="0"/>
          <w:numId w:val="1"/>
        </w:numPr>
        <w:spacing w:line="480" w:lineRule="auto"/>
        <w:rPr>
          <w:b/>
          <w:bCs/>
        </w:rPr>
      </w:pPr>
      <w:r w:rsidRPr="007229AA">
        <w:rPr>
          <w:b/>
          <w:bCs/>
        </w:rPr>
        <w:t xml:space="preserve">If the </w:t>
      </w:r>
      <w:proofErr w:type="spellStart"/>
      <w:proofErr w:type="gramStart"/>
      <w:r w:rsidRPr="007229AA">
        <w:rPr>
          <w:b/>
          <w:bCs/>
        </w:rPr>
        <w:t>non profit</w:t>
      </w:r>
      <w:proofErr w:type="spellEnd"/>
      <w:proofErr w:type="gramEnd"/>
      <w:r w:rsidRPr="007229AA">
        <w:rPr>
          <w:b/>
          <w:bCs/>
        </w:rPr>
        <w:t xml:space="preserve"> does not have an office in an underserved community of color or low income community. Is there a way to still apply?</w:t>
      </w:r>
    </w:p>
    <w:p w14:paraId="48028561" w14:textId="679D4D89" w:rsidR="000B19CD" w:rsidRPr="00294094" w:rsidRDefault="000B19CD" w:rsidP="000B19CD">
      <w:pPr>
        <w:pStyle w:val="ListParagraph"/>
        <w:numPr>
          <w:ilvl w:val="1"/>
          <w:numId w:val="1"/>
        </w:numPr>
        <w:spacing w:line="480" w:lineRule="auto"/>
      </w:pPr>
      <w:r w:rsidRPr="00294094">
        <w:t xml:space="preserve">All applicants who are eligible to apply per the RFP are encouraged to apply. Funding will be prioritized to underserved communities of color or low-income communities. </w:t>
      </w:r>
    </w:p>
    <w:p w14:paraId="713C19D3" w14:textId="77777777" w:rsidR="00131AF2" w:rsidRDefault="00131AF2" w:rsidP="007229AA">
      <w:pPr>
        <w:pStyle w:val="ListParagraph"/>
        <w:numPr>
          <w:ilvl w:val="0"/>
          <w:numId w:val="1"/>
        </w:numPr>
        <w:spacing w:line="480" w:lineRule="auto"/>
        <w:rPr>
          <w:b/>
          <w:bCs/>
        </w:rPr>
      </w:pPr>
      <w:r w:rsidRPr="007229AA">
        <w:rPr>
          <w:b/>
          <w:bCs/>
        </w:rPr>
        <w:t>If you hire someone, do you need to request the reimbursements month by month until the funds are exhausted?</w:t>
      </w:r>
    </w:p>
    <w:p w14:paraId="5AA5DD1A" w14:textId="08317DAD" w:rsidR="000B19CD" w:rsidRPr="00294094" w:rsidRDefault="000B19CD" w:rsidP="000B19CD">
      <w:pPr>
        <w:pStyle w:val="ListParagraph"/>
        <w:numPr>
          <w:ilvl w:val="1"/>
          <w:numId w:val="1"/>
        </w:numPr>
        <w:spacing w:line="480" w:lineRule="auto"/>
      </w:pPr>
      <w:r w:rsidRPr="00294094">
        <w:t xml:space="preserve">Yes. Funds will be available until 12/31/2025, however you are able to exhaust the funds prior to that date. All reimbursements must come with a substantiation of expenses, for example receipts, invoices, general ledger. </w:t>
      </w:r>
    </w:p>
    <w:p w14:paraId="0EB10FFA" w14:textId="4D0D2A07" w:rsidR="000B19CD" w:rsidRPr="000B19CD" w:rsidRDefault="000B19CD" w:rsidP="000B19CD">
      <w:pPr>
        <w:pStyle w:val="ListParagraph"/>
        <w:numPr>
          <w:ilvl w:val="0"/>
          <w:numId w:val="1"/>
        </w:numPr>
        <w:spacing w:line="480" w:lineRule="auto"/>
        <w:rPr>
          <w:b/>
          <w:bCs/>
        </w:rPr>
      </w:pPr>
      <w:r w:rsidRPr="000B19CD">
        <w:rPr>
          <w:b/>
          <w:bCs/>
        </w:rPr>
        <w:t xml:space="preserve">Our office is located in </w:t>
      </w:r>
      <w:proofErr w:type="gramStart"/>
      <w:r w:rsidRPr="000B19CD">
        <w:rPr>
          <w:b/>
          <w:bCs/>
        </w:rPr>
        <w:t>Chaska</w:t>
      </w:r>
      <w:proofErr w:type="gramEnd"/>
      <w:r w:rsidRPr="000B19CD">
        <w:rPr>
          <w:b/>
          <w:bCs/>
        </w:rPr>
        <w:t xml:space="preserve"> and we serve all of Carver and Scott Counties. The population which we support is 80% youth of color and 100% youth experiencing homelessness, however </w:t>
      </w:r>
      <w:r w:rsidRPr="000B19CD">
        <w:rPr>
          <w:b/>
          <w:bCs/>
        </w:rPr>
        <w:lastRenderedPageBreak/>
        <w:t>I don't know if the region in which we operate would qualify based on the above clause.</w:t>
      </w:r>
      <w:r w:rsidRPr="000B19CD">
        <w:rPr>
          <w:b/>
          <w:bCs/>
        </w:rPr>
        <w:br/>
        <w:t>Can you provide guidance on whether we would be eligible?</w:t>
      </w:r>
    </w:p>
    <w:p w14:paraId="2FBAF135" w14:textId="66858C08" w:rsidR="000B19CD" w:rsidRPr="00294094" w:rsidRDefault="000B19CD" w:rsidP="000B19CD">
      <w:pPr>
        <w:pStyle w:val="ListParagraph"/>
        <w:numPr>
          <w:ilvl w:val="1"/>
          <w:numId w:val="1"/>
        </w:numPr>
        <w:spacing w:line="480" w:lineRule="auto"/>
      </w:pPr>
      <w:r w:rsidRPr="00294094">
        <w:t xml:space="preserve">Organizations that believe they meet eligibility are encouraged to apply, however DEED cannot </w:t>
      </w:r>
      <w:proofErr w:type="gramStart"/>
      <w:r w:rsidRPr="00294094">
        <w:t>make a determination</w:t>
      </w:r>
      <w:proofErr w:type="gramEnd"/>
      <w:r w:rsidRPr="00294094">
        <w:t xml:space="preserve"> of eligibility without a completed application. Underserved communities are those that have historically or current experience adverse economic and job outcomes, including but not limited to communities of color, low-income communities, areas with high populations of veterans and persons with disabilities. Organizations may submit any data relevant to support this section. For the definition of low-income communities, </w:t>
      </w:r>
      <w:hyperlink r:id="rId5" w:history="1">
        <w:r w:rsidRPr="00294094">
          <w:rPr>
            <w:rStyle w:val="Hyperlink"/>
          </w:rPr>
          <w:t>see section 116M.14, subdivision 4 (1-3)</w:t>
        </w:r>
      </w:hyperlink>
      <w:r w:rsidRPr="00294094">
        <w:t xml:space="preserve"> </w:t>
      </w:r>
    </w:p>
    <w:p w14:paraId="31F6F190" w14:textId="77777777" w:rsidR="000B19CD" w:rsidRPr="000B19CD" w:rsidRDefault="000B19CD" w:rsidP="000B19CD">
      <w:pPr>
        <w:pStyle w:val="PlainText"/>
        <w:numPr>
          <w:ilvl w:val="0"/>
          <w:numId w:val="1"/>
        </w:numPr>
        <w:rPr>
          <w:b/>
          <w:bCs/>
        </w:rPr>
      </w:pPr>
      <w:r>
        <w:t xml:space="preserve">  </w:t>
      </w:r>
      <w:r w:rsidRPr="000B19CD">
        <w:rPr>
          <w:b/>
          <w:bCs/>
        </w:rPr>
        <w:t xml:space="preserve">We live in an area that does not have sufficient daycare options for parents.  We hear this complaint so much. There are a </w:t>
      </w:r>
      <w:proofErr w:type="gramStart"/>
      <w:r w:rsidRPr="000B19CD">
        <w:rPr>
          <w:b/>
          <w:bCs/>
        </w:rPr>
        <w:t>jobs</w:t>
      </w:r>
      <w:proofErr w:type="gramEnd"/>
      <w:r w:rsidRPr="000B19CD">
        <w:rPr>
          <w:b/>
          <w:bCs/>
        </w:rPr>
        <w:t xml:space="preserve"> available for parents, but no childcare.  Our Church is looking at options to expand and incorporate a daycare/preschool setting. This would employ people as well as allow more employment due to having the necessary </w:t>
      </w:r>
      <w:proofErr w:type="gramStart"/>
      <w:r w:rsidRPr="000B19CD">
        <w:rPr>
          <w:b/>
          <w:bCs/>
        </w:rPr>
        <w:t>child care</w:t>
      </w:r>
      <w:proofErr w:type="gramEnd"/>
      <w:r w:rsidRPr="000B19CD">
        <w:rPr>
          <w:b/>
          <w:bCs/>
        </w:rPr>
        <w:t>.</w:t>
      </w:r>
    </w:p>
    <w:p w14:paraId="0C4EF630" w14:textId="47F09D19" w:rsidR="000B19CD" w:rsidRDefault="000B19CD" w:rsidP="000B19CD">
      <w:pPr>
        <w:pStyle w:val="PlainText"/>
        <w:ind w:left="720"/>
        <w:rPr>
          <w:b/>
          <w:bCs/>
        </w:rPr>
      </w:pPr>
      <w:r w:rsidRPr="000B19CD">
        <w:rPr>
          <w:b/>
          <w:bCs/>
        </w:rPr>
        <w:t xml:space="preserve">We are totally in an infant stage of talking and planning, but I came across this and just wondered if it would help us so start a fund to build.  We </w:t>
      </w:r>
      <w:proofErr w:type="gramStart"/>
      <w:r w:rsidRPr="000B19CD">
        <w:rPr>
          <w:b/>
          <w:bCs/>
        </w:rPr>
        <w:t>are located in</w:t>
      </w:r>
      <w:proofErr w:type="gramEnd"/>
      <w:r w:rsidRPr="000B19CD">
        <w:rPr>
          <w:b/>
          <w:bCs/>
        </w:rPr>
        <w:t xml:space="preserve"> Hubbard County between Nevis and Park Rapids.</w:t>
      </w:r>
    </w:p>
    <w:p w14:paraId="58588FA8" w14:textId="2D7CA209" w:rsidR="000B19CD" w:rsidRPr="00294094" w:rsidRDefault="000B19CD" w:rsidP="000B19CD">
      <w:pPr>
        <w:pStyle w:val="PlainText"/>
        <w:numPr>
          <w:ilvl w:val="1"/>
          <w:numId w:val="1"/>
        </w:numPr>
      </w:pPr>
      <w:r w:rsidRPr="00294094">
        <w:t xml:space="preserve">This grant is to provide capacity building to organizations providing workforce development services. Daycare services would not qualify alone for this grant. An example would be if your organization wanted to use the funding toward building a Child Development Associate training program, that would be an eligible </w:t>
      </w:r>
      <w:r w:rsidR="00294094" w:rsidRPr="00294094">
        <w:t xml:space="preserve">use of funds. </w:t>
      </w:r>
    </w:p>
    <w:p w14:paraId="31C43E78" w14:textId="77777777" w:rsidR="000B19CD" w:rsidRDefault="000B19CD" w:rsidP="000B19CD">
      <w:pPr>
        <w:pStyle w:val="Default"/>
        <w:rPr>
          <w:color w:val="0562C1"/>
          <w:sz w:val="22"/>
          <w:szCs w:val="22"/>
        </w:rPr>
      </w:pPr>
    </w:p>
    <w:p w14:paraId="2623D39E" w14:textId="77777777" w:rsidR="00294094" w:rsidRPr="00294094" w:rsidRDefault="00294094" w:rsidP="00294094">
      <w:pPr>
        <w:pStyle w:val="ListParagraph"/>
        <w:numPr>
          <w:ilvl w:val="0"/>
          <w:numId w:val="1"/>
        </w:numPr>
        <w:rPr>
          <w:rFonts w:eastAsia="Times New Roman"/>
          <w:b/>
          <w:bCs/>
        </w:rPr>
      </w:pPr>
      <w:r w:rsidRPr="00294094">
        <w:rPr>
          <w:rFonts w:eastAsia="Times New Roman"/>
          <w:b/>
          <w:bCs/>
        </w:rPr>
        <w:t xml:space="preserve">In reviewing the eligibility requirements in the 2024-2024 Capacity Building Targeted Populations RFP, could you please clarify the requirement that an applicant organization (3) has its primary office located in a historically underserved community of color or low-income community. Is it up to the applicant to demonstrate the characteristics of the neighborhood the office </w:t>
      </w:r>
      <w:proofErr w:type="gramStart"/>
      <w:r w:rsidRPr="00294094">
        <w:rPr>
          <w:rFonts w:eastAsia="Times New Roman"/>
          <w:b/>
          <w:bCs/>
        </w:rPr>
        <w:t>is located in</w:t>
      </w:r>
      <w:proofErr w:type="gramEnd"/>
      <w:r w:rsidRPr="00294094">
        <w:rPr>
          <w:rFonts w:eastAsia="Times New Roman"/>
          <w:b/>
          <w:bCs/>
        </w:rPr>
        <w:t>, or are there specific communities in mind for the grant (communities located in opportunity zones for example)?</w:t>
      </w:r>
    </w:p>
    <w:p w14:paraId="42827F2B" w14:textId="465D7606" w:rsidR="00294094" w:rsidRPr="00294094" w:rsidRDefault="00294094" w:rsidP="00294094">
      <w:pPr>
        <w:pStyle w:val="Default"/>
        <w:numPr>
          <w:ilvl w:val="1"/>
          <w:numId w:val="1"/>
        </w:numPr>
        <w:rPr>
          <w:color w:val="auto"/>
          <w:sz w:val="22"/>
          <w:szCs w:val="22"/>
        </w:rPr>
      </w:pPr>
      <w:r w:rsidRPr="00294094">
        <w:rPr>
          <w:color w:val="auto"/>
          <w:sz w:val="22"/>
          <w:szCs w:val="22"/>
        </w:rPr>
        <w:t xml:space="preserve">All organizations that believe they may meet this requirement, are encouraged to apply. It is up to the applicant to demonstrate how they meet this requirement, additionally see the response to question number 12. </w:t>
      </w:r>
    </w:p>
    <w:p w14:paraId="7D787EF9" w14:textId="5FCBB9B4" w:rsidR="00294094" w:rsidRPr="00294094" w:rsidRDefault="00294094" w:rsidP="00294094">
      <w:pPr>
        <w:pStyle w:val="ListParagraph"/>
        <w:numPr>
          <w:ilvl w:val="0"/>
          <w:numId w:val="1"/>
        </w:numPr>
        <w:rPr>
          <w:b/>
          <w:bCs/>
        </w:rPr>
      </w:pPr>
      <w:r w:rsidRPr="00294094">
        <w:rPr>
          <w:b/>
          <w:bCs/>
        </w:rPr>
        <w:t xml:space="preserve">For the affidavit of non-collusion, I can’t think of a way to fill it out in the PDF and have it notarized unless the applicant has it notarized in hard copy.  Can this be submitted as a separate copy? </w:t>
      </w:r>
    </w:p>
    <w:p w14:paraId="44E92205" w14:textId="0EDD6DD8" w:rsidR="00294094" w:rsidRPr="00294094" w:rsidRDefault="00294094" w:rsidP="00294094">
      <w:pPr>
        <w:pStyle w:val="Default"/>
        <w:numPr>
          <w:ilvl w:val="1"/>
          <w:numId w:val="1"/>
        </w:numPr>
        <w:rPr>
          <w:color w:val="auto"/>
          <w:sz w:val="22"/>
          <w:szCs w:val="22"/>
        </w:rPr>
      </w:pPr>
      <w:r w:rsidRPr="00294094">
        <w:rPr>
          <w:color w:val="auto"/>
          <w:sz w:val="22"/>
          <w:szCs w:val="22"/>
        </w:rPr>
        <w:t xml:space="preserve">Yes. The affidavit of </w:t>
      </w:r>
      <w:r w:rsidR="00CE3812">
        <w:rPr>
          <w:color w:val="auto"/>
          <w:sz w:val="22"/>
          <w:szCs w:val="22"/>
        </w:rPr>
        <w:t>non-collusion</w:t>
      </w:r>
      <w:r w:rsidRPr="00294094">
        <w:rPr>
          <w:color w:val="auto"/>
          <w:sz w:val="22"/>
          <w:szCs w:val="22"/>
        </w:rPr>
        <w:t xml:space="preserve"> may be submitted as a separate attachment. </w:t>
      </w:r>
    </w:p>
    <w:p w14:paraId="6BF1D213" w14:textId="1E8E019B" w:rsidR="003D700F" w:rsidRDefault="003D700F"/>
    <w:sectPr w:rsidR="003D7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409B0"/>
    <w:multiLevelType w:val="hybridMultilevel"/>
    <w:tmpl w:val="CAD62B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493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AF2"/>
    <w:rsid w:val="000B19CD"/>
    <w:rsid w:val="0012486D"/>
    <w:rsid w:val="00131AF2"/>
    <w:rsid w:val="00294094"/>
    <w:rsid w:val="00314F4D"/>
    <w:rsid w:val="003D700F"/>
    <w:rsid w:val="004B2CA5"/>
    <w:rsid w:val="005879CD"/>
    <w:rsid w:val="006D699E"/>
    <w:rsid w:val="007229AA"/>
    <w:rsid w:val="00765E37"/>
    <w:rsid w:val="00AF4795"/>
    <w:rsid w:val="00CE3812"/>
    <w:rsid w:val="00F94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6F65E3"/>
  <w15:chartTrackingRefBased/>
  <w15:docId w15:val="{13D5091F-EA86-46C3-966A-91A8A6892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1A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A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229AA"/>
    <w:pPr>
      <w:ind w:left="720"/>
      <w:contextualSpacing/>
    </w:pPr>
  </w:style>
  <w:style w:type="paragraph" w:customStyle="1" w:styleId="Default">
    <w:name w:val="Default"/>
    <w:basedOn w:val="Normal"/>
    <w:rsid w:val="000B19CD"/>
    <w:pPr>
      <w:autoSpaceDE w:val="0"/>
      <w:autoSpaceDN w:val="0"/>
      <w:spacing w:after="0" w:line="240" w:lineRule="auto"/>
    </w:pPr>
    <w:rPr>
      <w:rFonts w:ascii="Calibri" w:hAnsi="Calibri" w:cs="Calibri"/>
      <w:color w:val="000000"/>
      <w:kern w:val="0"/>
      <w:sz w:val="24"/>
      <w:szCs w:val="24"/>
      <w14:ligatures w14:val="none"/>
    </w:rPr>
  </w:style>
  <w:style w:type="paragraph" w:styleId="PlainText">
    <w:name w:val="Plain Text"/>
    <w:basedOn w:val="Normal"/>
    <w:link w:val="PlainTextChar"/>
    <w:uiPriority w:val="99"/>
    <w:unhideWhenUsed/>
    <w:rsid w:val="000B19CD"/>
    <w:pPr>
      <w:spacing w:after="0" w:line="240" w:lineRule="auto"/>
    </w:pPr>
    <w:rPr>
      <w:rFonts w:ascii="Calibri" w:eastAsia="Times New Roman" w:hAnsi="Calibri"/>
      <w:szCs w:val="21"/>
    </w:rPr>
  </w:style>
  <w:style w:type="character" w:customStyle="1" w:styleId="PlainTextChar">
    <w:name w:val="Plain Text Char"/>
    <w:basedOn w:val="DefaultParagraphFont"/>
    <w:link w:val="PlainText"/>
    <w:uiPriority w:val="99"/>
    <w:rsid w:val="000B19CD"/>
    <w:rPr>
      <w:rFonts w:ascii="Calibri" w:eastAsia="Times New Roman" w:hAnsi="Calibri"/>
      <w:szCs w:val="21"/>
    </w:rPr>
  </w:style>
  <w:style w:type="character" w:styleId="Hyperlink">
    <w:name w:val="Hyperlink"/>
    <w:basedOn w:val="DefaultParagraphFont"/>
    <w:uiPriority w:val="99"/>
    <w:unhideWhenUsed/>
    <w:rsid w:val="00294094"/>
    <w:rPr>
      <w:color w:val="0563C1" w:themeColor="hyperlink"/>
      <w:u w:val="single"/>
    </w:rPr>
  </w:style>
  <w:style w:type="character" w:styleId="UnresolvedMention">
    <w:name w:val="Unresolved Mention"/>
    <w:basedOn w:val="DefaultParagraphFont"/>
    <w:uiPriority w:val="99"/>
    <w:semiHidden/>
    <w:unhideWhenUsed/>
    <w:rsid w:val="00294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907">
      <w:bodyDiv w:val="1"/>
      <w:marLeft w:val="0"/>
      <w:marRight w:val="0"/>
      <w:marTop w:val="0"/>
      <w:marBottom w:val="0"/>
      <w:divBdr>
        <w:top w:val="none" w:sz="0" w:space="0" w:color="auto"/>
        <w:left w:val="none" w:sz="0" w:space="0" w:color="auto"/>
        <w:bottom w:val="none" w:sz="0" w:space="0" w:color="auto"/>
        <w:right w:val="none" w:sz="0" w:space="0" w:color="auto"/>
      </w:divBdr>
    </w:div>
    <w:div w:id="530000027">
      <w:bodyDiv w:val="1"/>
      <w:marLeft w:val="0"/>
      <w:marRight w:val="0"/>
      <w:marTop w:val="0"/>
      <w:marBottom w:val="0"/>
      <w:divBdr>
        <w:top w:val="none" w:sz="0" w:space="0" w:color="auto"/>
        <w:left w:val="none" w:sz="0" w:space="0" w:color="auto"/>
        <w:bottom w:val="none" w:sz="0" w:space="0" w:color="auto"/>
        <w:right w:val="none" w:sz="0" w:space="0" w:color="auto"/>
      </w:divBdr>
    </w:div>
    <w:div w:id="572013250">
      <w:bodyDiv w:val="1"/>
      <w:marLeft w:val="0"/>
      <w:marRight w:val="0"/>
      <w:marTop w:val="0"/>
      <w:marBottom w:val="0"/>
      <w:divBdr>
        <w:top w:val="none" w:sz="0" w:space="0" w:color="auto"/>
        <w:left w:val="none" w:sz="0" w:space="0" w:color="auto"/>
        <w:bottom w:val="none" w:sz="0" w:space="0" w:color="auto"/>
        <w:right w:val="none" w:sz="0" w:space="0" w:color="auto"/>
      </w:divBdr>
    </w:div>
    <w:div w:id="874780426">
      <w:bodyDiv w:val="1"/>
      <w:marLeft w:val="0"/>
      <w:marRight w:val="0"/>
      <w:marTop w:val="0"/>
      <w:marBottom w:val="0"/>
      <w:divBdr>
        <w:top w:val="none" w:sz="0" w:space="0" w:color="auto"/>
        <w:left w:val="none" w:sz="0" w:space="0" w:color="auto"/>
        <w:bottom w:val="none" w:sz="0" w:space="0" w:color="auto"/>
        <w:right w:val="none" w:sz="0" w:space="0" w:color="auto"/>
      </w:divBdr>
    </w:div>
    <w:div w:id="1348408219">
      <w:bodyDiv w:val="1"/>
      <w:marLeft w:val="0"/>
      <w:marRight w:val="0"/>
      <w:marTop w:val="0"/>
      <w:marBottom w:val="0"/>
      <w:divBdr>
        <w:top w:val="none" w:sz="0" w:space="0" w:color="auto"/>
        <w:left w:val="none" w:sz="0" w:space="0" w:color="auto"/>
        <w:bottom w:val="none" w:sz="0" w:space="0" w:color="auto"/>
        <w:right w:val="none" w:sz="0" w:space="0" w:color="auto"/>
      </w:divBdr>
    </w:div>
    <w:div w:id="143694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visor.mn.gov/statutes/cite/116M.14"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6EB0A1-E070-467C-AE88-A3E8D81E1CF5}"/>
</file>

<file path=customXml/itemProps2.xml><?xml version="1.0" encoding="utf-8"?>
<ds:datastoreItem xmlns:ds="http://schemas.openxmlformats.org/officeDocument/2006/customXml" ds:itemID="{EB56E442-4AD5-406C-A299-4F95F5183C9F}"/>
</file>

<file path=customXml/itemProps3.xml><?xml version="1.0" encoding="utf-8"?>
<ds:datastoreItem xmlns:ds="http://schemas.openxmlformats.org/officeDocument/2006/customXml" ds:itemID="{104E2B02-F453-4744-8279-C23CCB98B832}"/>
</file>

<file path=docProps/app.xml><?xml version="1.0" encoding="utf-8"?>
<Properties xmlns="http://schemas.openxmlformats.org/officeDocument/2006/extended-properties" xmlns:vt="http://schemas.openxmlformats.org/officeDocument/2006/docPropsVTypes">
  <Template>Normal</Template>
  <TotalTime>5690</TotalTime>
  <Pages>3</Pages>
  <Words>911</Words>
  <Characters>4717</Characters>
  <Application>Microsoft Office Word</Application>
  <DocSecurity>0</DocSecurity>
  <Lines>80</Lines>
  <Paragraphs>32</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Mpande-Olson, Zukiswa (DEED)</dc:creator>
  <cp:keywords/>
  <dc:description/>
  <cp:lastModifiedBy>Roman, Vanessa (She/Her/Hers) (DEED)</cp:lastModifiedBy>
  <cp:revision>3</cp:revision>
  <dcterms:created xsi:type="dcterms:W3CDTF">2024-02-16T20:14:00Z</dcterms:created>
  <dcterms:modified xsi:type="dcterms:W3CDTF">2024-02-21T16:45:00Z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510f355b2b3ea347f077049995f9885037399b1a815adaafcdb4081c08b71872</vt:lpwstr>
  </property>
</Properties>
</file>