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F3" w:rsidRPr="00F223E6" w:rsidRDefault="00F223E6" w:rsidP="00254BA8">
      <w:pPr>
        <w:pStyle w:val="Title"/>
        <w:spacing w:before="0" w:after="0"/>
      </w:pPr>
      <w:r w:rsidRPr="00F223E6">
        <w:t xml:space="preserve">SSB </w:t>
      </w:r>
      <w:r w:rsidRPr="00DB79C1">
        <w:t>Invoicing</w:t>
      </w:r>
      <w:r w:rsidRPr="00F223E6">
        <w:t xml:space="preserve"> Process</w:t>
      </w:r>
    </w:p>
    <w:p w:rsidR="00F223E6" w:rsidRPr="00F223E6" w:rsidRDefault="00F223E6" w:rsidP="00DB79C1">
      <w:pPr>
        <w:rPr>
          <w:rFonts w:asciiTheme="minorHAnsi" w:hAnsiTheme="minorHAnsi"/>
          <w:i/>
        </w:rPr>
      </w:pPr>
      <w:r w:rsidRPr="00F223E6">
        <w:rPr>
          <w:rFonts w:asciiTheme="minorHAnsi" w:hAnsiTheme="minorHAnsi"/>
          <w:i/>
        </w:rPr>
        <w:t>Effective July 1</w:t>
      </w:r>
      <w:r w:rsidRPr="00F223E6">
        <w:rPr>
          <w:rFonts w:asciiTheme="minorHAnsi" w:hAnsiTheme="minorHAnsi"/>
          <w:i/>
          <w:vertAlign w:val="superscript"/>
        </w:rPr>
        <w:t>st</w:t>
      </w:r>
      <w:r w:rsidRPr="00F223E6">
        <w:rPr>
          <w:rFonts w:asciiTheme="minorHAnsi" w:hAnsiTheme="minorHAnsi"/>
          <w:i/>
        </w:rPr>
        <w:t xml:space="preserve">, 2018, all Workforce Development Unit </w:t>
      </w:r>
      <w:r>
        <w:rPr>
          <w:rFonts w:asciiTheme="minorHAnsi" w:hAnsiTheme="minorHAnsi"/>
          <w:i/>
        </w:rPr>
        <w:t xml:space="preserve">(WDU) </w:t>
      </w:r>
      <w:r w:rsidRPr="00F223E6">
        <w:rPr>
          <w:rFonts w:asciiTheme="minorHAnsi" w:hAnsiTheme="minorHAnsi"/>
          <w:i/>
        </w:rPr>
        <w:t>client invoices and reports must be su</w:t>
      </w:r>
      <w:r w:rsidR="00DB79C1">
        <w:rPr>
          <w:rFonts w:asciiTheme="minorHAnsi" w:hAnsiTheme="minorHAnsi"/>
          <w:i/>
        </w:rPr>
        <w:t>bmitted to the Central Mailbox.</w:t>
      </w:r>
      <w:r w:rsidR="0098218E">
        <w:rPr>
          <w:rFonts w:asciiTheme="minorHAnsi" w:hAnsiTheme="minorHAnsi"/>
          <w:i/>
        </w:rPr>
        <w:t xml:space="preserve"> Senior Services Unit (SSU) client invoices and reports will still be submitted to the appropriate SSU staff person.</w:t>
      </w:r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230"/>
      </w:tblGrid>
      <w:tr w:rsidR="00F223E6" w:rsidTr="00F223E6">
        <w:trPr>
          <w:trHeight w:val="170"/>
          <w:tblHeader/>
        </w:trPr>
        <w:tc>
          <w:tcPr>
            <w:tcW w:w="4050" w:type="dxa"/>
            <w:tcBorders>
              <w:bottom w:val="single" w:sz="24" w:space="0" w:color="auto"/>
            </w:tcBorders>
          </w:tcPr>
          <w:p w:rsidR="00F223E6" w:rsidRPr="00F223E6" w:rsidRDefault="00F223E6" w:rsidP="00F223E6">
            <w:pPr>
              <w:spacing w:after="240"/>
              <w:rPr>
                <w:rFonts w:asciiTheme="minorHAnsi" w:hAnsiTheme="minorHAnsi"/>
                <w:color w:val="FFFFFF" w:themeColor="background1"/>
                <w:sz w:val="4"/>
                <w:szCs w:val="4"/>
              </w:rPr>
            </w:pPr>
            <w:r w:rsidRPr="00F223E6">
              <w:rPr>
                <w:rFonts w:asciiTheme="minorHAnsi" w:hAnsiTheme="minorHAnsi"/>
                <w:color w:val="FFFFFF" w:themeColor="background1"/>
                <w:sz w:val="4"/>
                <w:szCs w:val="4"/>
              </w:rPr>
              <w:t>Central Mailbox Type</w:t>
            </w:r>
          </w:p>
        </w:tc>
        <w:tc>
          <w:tcPr>
            <w:tcW w:w="4230" w:type="dxa"/>
            <w:tcBorders>
              <w:bottom w:val="single" w:sz="24" w:space="0" w:color="auto"/>
            </w:tcBorders>
          </w:tcPr>
          <w:p w:rsidR="00F223E6" w:rsidRPr="00F223E6" w:rsidRDefault="00F223E6" w:rsidP="00F223E6">
            <w:pPr>
              <w:rPr>
                <w:rFonts w:asciiTheme="minorHAnsi" w:hAnsiTheme="minorHAnsi"/>
                <w:color w:val="FFFFFF" w:themeColor="background1"/>
                <w:sz w:val="4"/>
                <w:szCs w:val="4"/>
              </w:rPr>
            </w:pPr>
            <w:r w:rsidRPr="00F223E6">
              <w:rPr>
                <w:rFonts w:asciiTheme="minorHAnsi" w:hAnsiTheme="minorHAnsi"/>
                <w:color w:val="FFFFFF" w:themeColor="background1"/>
                <w:sz w:val="4"/>
                <w:szCs w:val="4"/>
              </w:rPr>
              <w:t>Address</w:t>
            </w:r>
          </w:p>
        </w:tc>
      </w:tr>
      <w:tr w:rsidR="00F223E6" w:rsidTr="00F223E6">
        <w:tc>
          <w:tcPr>
            <w:tcW w:w="4050" w:type="dxa"/>
            <w:tcBorders>
              <w:top w:val="single" w:sz="24" w:space="0" w:color="auto"/>
              <w:left w:val="single" w:sz="24" w:space="0" w:color="auto"/>
            </w:tcBorders>
          </w:tcPr>
          <w:p w:rsidR="00F223E6" w:rsidRDefault="00F223E6" w:rsidP="00F223E6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Central Mailbox Email</w:t>
            </w:r>
          </w:p>
        </w:tc>
        <w:tc>
          <w:tcPr>
            <w:tcW w:w="4230" w:type="dxa"/>
            <w:tcBorders>
              <w:top w:val="single" w:sz="24" w:space="0" w:color="auto"/>
              <w:right w:val="single" w:sz="24" w:space="0" w:color="auto"/>
            </w:tcBorders>
          </w:tcPr>
          <w:p w:rsidR="00F223E6" w:rsidRDefault="00254BA8" w:rsidP="00F223E6">
            <w:pPr>
              <w:rPr>
                <w:rFonts w:asciiTheme="minorHAnsi" w:hAnsiTheme="minorHAnsi"/>
              </w:rPr>
            </w:pPr>
            <w:hyperlink r:id="rId8" w:history="1">
              <w:r w:rsidRPr="00DA5D7C">
                <w:rPr>
                  <w:rStyle w:val="Hyperlink"/>
                  <w:rFonts w:asciiTheme="minorHAnsi" w:hAnsiTheme="minorHAnsi"/>
                </w:rPr>
                <w:t>SSB.invoice@state.mn.us</w:t>
              </w:r>
            </w:hyperlink>
            <w:r w:rsidR="00F223E6">
              <w:rPr>
                <w:rFonts w:asciiTheme="minorHAnsi" w:hAnsiTheme="minorHAnsi"/>
              </w:rPr>
              <w:t xml:space="preserve"> </w:t>
            </w:r>
          </w:p>
        </w:tc>
      </w:tr>
      <w:tr w:rsidR="00F223E6" w:rsidTr="005A37D9">
        <w:tc>
          <w:tcPr>
            <w:tcW w:w="4050" w:type="dxa"/>
            <w:tcBorders>
              <w:left w:val="single" w:sz="24" w:space="0" w:color="auto"/>
            </w:tcBorders>
          </w:tcPr>
          <w:p w:rsidR="00F223E6" w:rsidRDefault="00F223E6" w:rsidP="00F223E6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Central Mailbox Address</w:t>
            </w:r>
          </w:p>
        </w:tc>
        <w:tc>
          <w:tcPr>
            <w:tcW w:w="4230" w:type="dxa"/>
            <w:tcBorders>
              <w:right w:val="single" w:sz="24" w:space="0" w:color="auto"/>
            </w:tcBorders>
          </w:tcPr>
          <w:p w:rsidR="00F223E6" w:rsidRDefault="00F223E6" w:rsidP="00F223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SSB Invoice </w:t>
            </w:r>
          </w:p>
          <w:p w:rsidR="00F223E6" w:rsidRDefault="00F223E6" w:rsidP="00F223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2200 University Ave West </w:t>
            </w:r>
          </w:p>
          <w:p w:rsidR="00F223E6" w:rsidRDefault="00F223E6" w:rsidP="00F223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Suite 240 </w:t>
            </w:r>
          </w:p>
          <w:p w:rsidR="005A37D9" w:rsidRDefault="00F223E6" w:rsidP="005A37D9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St. Paul, MN 55114</w:t>
            </w:r>
          </w:p>
        </w:tc>
      </w:tr>
      <w:tr w:rsidR="005A37D9" w:rsidTr="00F223E6">
        <w:tc>
          <w:tcPr>
            <w:tcW w:w="4050" w:type="dxa"/>
            <w:tcBorders>
              <w:left w:val="single" w:sz="24" w:space="0" w:color="auto"/>
              <w:bottom w:val="single" w:sz="24" w:space="0" w:color="auto"/>
            </w:tcBorders>
          </w:tcPr>
          <w:p w:rsidR="005A37D9" w:rsidRDefault="005A37D9" w:rsidP="00F223E6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Central Mailbox Fax</w:t>
            </w: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</w:tcPr>
          <w:p w:rsidR="005A37D9" w:rsidRDefault="00254BA8" w:rsidP="00F223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Attn: SSB Invoice</w:t>
            </w:r>
          </w:p>
          <w:p w:rsidR="005A37D9" w:rsidRDefault="005A37D9" w:rsidP="00F223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(651) 649-5927</w:t>
            </w:r>
          </w:p>
        </w:tc>
      </w:tr>
    </w:tbl>
    <w:p w:rsidR="00F223E6" w:rsidRPr="00F223E6" w:rsidRDefault="00F223E6" w:rsidP="00A7084B">
      <w:pPr>
        <w:spacing w:before="240"/>
        <w:rPr>
          <w:rFonts w:asciiTheme="minorHAnsi" w:hAnsiTheme="minorHAnsi"/>
          <w:b/>
          <w:u w:val="single"/>
        </w:rPr>
      </w:pPr>
      <w:r w:rsidRPr="00F223E6">
        <w:rPr>
          <w:rFonts w:asciiTheme="minorHAnsi" w:hAnsiTheme="minorHAnsi"/>
          <w:b/>
          <w:u w:val="single"/>
        </w:rPr>
        <w:t>Invoicing Procedure</w:t>
      </w:r>
    </w:p>
    <w:p w:rsidR="008B14A6" w:rsidRPr="008B14A6" w:rsidRDefault="00F223E6" w:rsidP="008B14A6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hAnsiTheme="minorHAnsi"/>
          <w:szCs w:val="24"/>
        </w:rPr>
      </w:pPr>
      <w:r w:rsidRPr="00F223E6">
        <w:rPr>
          <w:rFonts w:asciiTheme="minorHAnsi" w:hAnsiTheme="minorHAnsi"/>
          <w:szCs w:val="24"/>
        </w:rPr>
        <w:t>Submit all WDU client invoices and reports to the Central Mailbox</w:t>
      </w:r>
      <w:r w:rsidR="00DB79C1">
        <w:rPr>
          <w:rFonts w:asciiTheme="minorHAnsi" w:hAnsiTheme="minorHAnsi"/>
          <w:szCs w:val="24"/>
        </w:rPr>
        <w:t>. Invoices and reports sent elsewhere will be returned to you for resubmission.</w:t>
      </w:r>
    </w:p>
    <w:p w:rsidR="008B14A6" w:rsidRPr="008B14A6" w:rsidRDefault="008B14A6" w:rsidP="008B14A6">
      <w:pPr>
        <w:pStyle w:val="ListParagraph"/>
        <w:numPr>
          <w:ilvl w:val="1"/>
          <w:numId w:val="6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Invoices must be submitted within 90 calendar days from the end date of the authorization or the last date of service, whichever oc</w:t>
      </w:r>
      <w:r w:rsidRPr="008B14A6">
        <w:rPr>
          <w:rFonts w:asciiTheme="minorHAnsi" w:hAnsiTheme="minorHAnsi"/>
          <w:szCs w:val="24"/>
        </w:rPr>
        <w:t>curs first. Failure to submit an invoice w</w:t>
      </w:r>
      <w:r>
        <w:rPr>
          <w:rFonts w:asciiTheme="minorHAnsi" w:hAnsiTheme="minorHAnsi"/>
          <w:szCs w:val="24"/>
        </w:rPr>
        <w:t>ithin 90 days will result in non</w:t>
      </w:r>
      <w:r w:rsidRPr="008B14A6">
        <w:rPr>
          <w:rFonts w:asciiTheme="minorHAnsi" w:hAnsiTheme="minorHAnsi"/>
          <w:szCs w:val="24"/>
        </w:rPr>
        <w:t xml:space="preserve">-payment of that service. </w:t>
      </w:r>
    </w:p>
    <w:p w:rsidR="008B14A6" w:rsidRDefault="008B14A6" w:rsidP="008B14A6">
      <w:pPr>
        <w:pStyle w:val="ListParagraph"/>
        <w:numPr>
          <w:ilvl w:val="1"/>
          <w:numId w:val="6"/>
        </w:numPr>
        <w:spacing w:before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Monthly reports are due within 10 business days of the end of each month.</w:t>
      </w:r>
    </w:p>
    <w:p w:rsidR="008B14A6" w:rsidRPr="008B14A6" w:rsidRDefault="00F223E6" w:rsidP="008B14A6">
      <w:pPr>
        <w:pStyle w:val="ListParagraph"/>
        <w:numPr>
          <w:ilvl w:val="1"/>
          <w:numId w:val="6"/>
        </w:numPr>
        <w:spacing w:before="24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</w:t>
      </w:r>
      <w:r w:rsidR="008B14A6">
        <w:rPr>
          <w:rFonts w:asciiTheme="minorHAnsi" w:hAnsiTheme="minorHAnsi"/>
          <w:szCs w:val="24"/>
        </w:rPr>
        <w:t>voices sent without a report will be returned to you. You must submit the report either before or with an invoice.</w:t>
      </w:r>
      <w:bookmarkStart w:id="0" w:name="_GoBack"/>
      <w:bookmarkEnd w:id="0"/>
    </w:p>
    <w:p w:rsidR="00F223E6" w:rsidRPr="00DB79C1" w:rsidRDefault="00F223E6" w:rsidP="00DB79C1">
      <w:pPr>
        <w:pStyle w:val="ListParagraph"/>
        <w:numPr>
          <w:ilvl w:val="0"/>
          <w:numId w:val="6"/>
        </w:numPr>
        <w:spacing w:before="240"/>
        <w:contextualSpacing w:val="0"/>
        <w:rPr>
          <w:rFonts w:asciiTheme="minorHAnsi" w:hAnsiTheme="minorHAnsi"/>
          <w:szCs w:val="24"/>
        </w:rPr>
      </w:pPr>
      <w:r w:rsidRPr="00F223E6">
        <w:rPr>
          <w:rFonts w:asciiTheme="minorHAnsi" w:hAnsiTheme="minorHAnsi"/>
          <w:szCs w:val="24"/>
        </w:rPr>
        <w:t>You will receive a notification that the invoice and report have been received and are being reviewed for accuracy and further processing</w:t>
      </w:r>
      <w:r w:rsidR="00DB79C1">
        <w:rPr>
          <w:rFonts w:asciiTheme="minorHAnsi" w:hAnsiTheme="minorHAnsi"/>
          <w:szCs w:val="24"/>
        </w:rPr>
        <w:t xml:space="preserve">. </w:t>
      </w:r>
      <w:r w:rsidRPr="00DB79C1">
        <w:rPr>
          <w:rFonts w:asciiTheme="minorHAnsi" w:hAnsiTheme="minorHAnsi"/>
          <w:szCs w:val="24"/>
        </w:rPr>
        <w:t>If you do not receive this notification within two business days, please confirm receipt via email to the Central Mailbox</w:t>
      </w:r>
      <w:r w:rsidR="00DB79C1" w:rsidRPr="00DB79C1">
        <w:rPr>
          <w:rFonts w:asciiTheme="minorHAnsi" w:hAnsiTheme="minorHAnsi"/>
          <w:szCs w:val="24"/>
        </w:rPr>
        <w:t>.</w:t>
      </w:r>
    </w:p>
    <w:p w:rsidR="008B14A6" w:rsidRDefault="008B14A6" w:rsidP="008B14A6">
      <w:pPr>
        <w:pStyle w:val="ListParagraph"/>
        <w:numPr>
          <w:ilvl w:val="0"/>
          <w:numId w:val="6"/>
        </w:numPr>
        <w:spacing w:before="24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Invoices will be reviewed for accuracy. If an invoice is inaccurate, it will be returned to you for correction and resubmission. </w:t>
      </w:r>
    </w:p>
    <w:p w:rsidR="008B14A6" w:rsidRPr="00F223E6" w:rsidRDefault="008B14A6" w:rsidP="008B14A6">
      <w:pPr>
        <w:pStyle w:val="ListParagraph"/>
        <w:numPr>
          <w:ilvl w:val="0"/>
          <w:numId w:val="6"/>
        </w:numPr>
        <w:spacing w:before="24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the invoice is accurate and the services provided </w:t>
      </w:r>
      <w:r w:rsidR="00DB79C1">
        <w:rPr>
          <w:rFonts w:asciiTheme="minorHAnsi" w:hAnsiTheme="minorHAnsi"/>
          <w:szCs w:val="24"/>
        </w:rPr>
        <w:t>align with the services requested, the invoice will be processed for payment. Payments will be made within 30 calendar days from the receive date of an accurate invoice.</w:t>
      </w:r>
    </w:p>
    <w:p w:rsidR="00F223E6" w:rsidRDefault="00DB79C1" w:rsidP="00F223E6">
      <w:pPr>
        <w:spacing w:before="2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Who to Contact</w:t>
      </w:r>
    </w:p>
    <w:p w:rsidR="00DB79C1" w:rsidRPr="00DB79C1" w:rsidRDefault="00DB79C1" w:rsidP="00DB79C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B79C1">
        <w:rPr>
          <w:rFonts w:asciiTheme="minorHAnsi" w:hAnsiTheme="minorHAnsi"/>
        </w:rPr>
        <w:t xml:space="preserve">Authorization requests or client-specific questions: </w:t>
      </w:r>
      <w:r>
        <w:rPr>
          <w:rFonts w:asciiTheme="minorHAnsi" w:hAnsiTheme="minorHAnsi"/>
        </w:rPr>
        <w:t>Assigned</w:t>
      </w:r>
      <w:r w:rsidRPr="00DB79C1">
        <w:rPr>
          <w:rFonts w:asciiTheme="minorHAnsi" w:hAnsiTheme="minorHAnsi"/>
        </w:rPr>
        <w:t xml:space="preserve"> counselor or VR-Tech</w:t>
      </w:r>
    </w:p>
    <w:p w:rsidR="00DB79C1" w:rsidRPr="00DB79C1" w:rsidRDefault="00DB79C1" w:rsidP="00DB79C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B79C1">
        <w:rPr>
          <w:rFonts w:asciiTheme="minorHAnsi" w:hAnsiTheme="minorHAnsi"/>
        </w:rPr>
        <w:t xml:space="preserve">Vendor-specific questions/concerns: Jennifer Beilke at </w:t>
      </w:r>
      <w:hyperlink r:id="rId9" w:history="1">
        <w:r w:rsidRPr="00DB79C1">
          <w:rPr>
            <w:rStyle w:val="Hyperlink"/>
            <w:rFonts w:asciiTheme="minorHAnsi" w:hAnsiTheme="minorHAnsi"/>
          </w:rPr>
          <w:t>Jennifer.beilke@state.mn.us</w:t>
        </w:r>
      </w:hyperlink>
      <w:r w:rsidRPr="00DB79C1">
        <w:rPr>
          <w:rFonts w:asciiTheme="minorHAnsi" w:hAnsiTheme="minorHAnsi"/>
        </w:rPr>
        <w:t xml:space="preserve"> or 651-539-2273</w:t>
      </w:r>
    </w:p>
    <w:p w:rsidR="00DB79C1" w:rsidRDefault="00DB79C1" w:rsidP="00DB79C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B79C1">
        <w:rPr>
          <w:rFonts w:asciiTheme="minorHAnsi" w:hAnsiTheme="minorHAnsi"/>
        </w:rPr>
        <w:t xml:space="preserve">Questions regarding receipt of invoices or reports: Central Mailbox Manager at </w:t>
      </w:r>
      <w:hyperlink r:id="rId10" w:history="1">
        <w:r w:rsidR="00254BA8" w:rsidRPr="00DA5D7C">
          <w:rPr>
            <w:rStyle w:val="Hyperlink"/>
            <w:rFonts w:asciiTheme="minorHAnsi" w:hAnsiTheme="minorHAnsi"/>
          </w:rPr>
          <w:t>SSB.invoice@state.mn.us</w:t>
        </w:r>
      </w:hyperlink>
      <w:r w:rsidRPr="00DB79C1">
        <w:rPr>
          <w:rFonts w:asciiTheme="minorHAnsi" w:hAnsiTheme="minorHAnsi"/>
        </w:rPr>
        <w:t xml:space="preserve"> or 651-539-2356</w:t>
      </w:r>
    </w:p>
    <w:p w:rsidR="00DB79C1" w:rsidRDefault="002C0E34" w:rsidP="002C0E34">
      <w:pPr>
        <w:pStyle w:val="Title"/>
        <w:spacing w:before="720"/>
      </w:pPr>
      <w:r>
        <w:lastRenderedPageBreak/>
        <w:t>Checklist:</w:t>
      </w:r>
      <w:r w:rsidR="00DB79C1" w:rsidRPr="002C0E34">
        <w:t xml:space="preserve"> </w:t>
      </w:r>
      <w:r>
        <w:t>Is My Invoice Accurate?</w:t>
      </w:r>
    </w:p>
    <w:p w:rsidR="008A6ABA" w:rsidRPr="008A6ABA" w:rsidRDefault="008A6ABA" w:rsidP="008A6ABA">
      <w:pPr>
        <w:spacing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Does my invoice have-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Contractor name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Contractor address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Contractor contact information (e.g. telephone #, FAX #, email etc.)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Remit to address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Date of invoice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Unique invoice number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Bill To information (include counselor name)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2C0E34">
        <w:rPr>
          <w:rFonts w:asciiTheme="minorHAnsi" w:hAnsiTheme="minorHAnsi"/>
          <w:sz w:val="28"/>
          <w:szCs w:val="28"/>
        </w:rPr>
        <w:t>uthorization number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</w:rPr>
        <w:t>lient</w:t>
      </w:r>
      <w:r w:rsidRPr="002C0E34">
        <w:rPr>
          <w:rFonts w:asciiTheme="minorHAnsi" w:hAnsiTheme="minorHAnsi"/>
          <w:sz w:val="28"/>
          <w:szCs w:val="28"/>
        </w:rPr>
        <w:t xml:space="preserve"> initials (NOT full name) </w:t>
      </w:r>
      <w:r>
        <w:rPr>
          <w:rFonts w:asciiTheme="minorHAnsi" w:hAnsiTheme="minorHAnsi"/>
          <w:sz w:val="28"/>
          <w:szCs w:val="28"/>
        </w:rPr>
        <w:t>or client record number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Actual dates of service (if hourly</w:t>
      </w:r>
      <w:r>
        <w:rPr>
          <w:rFonts w:asciiTheme="minorHAnsi" w:hAnsiTheme="minorHAnsi"/>
          <w:sz w:val="28"/>
          <w:szCs w:val="28"/>
        </w:rPr>
        <w:t>, list each date</w:t>
      </w:r>
      <w:r w:rsidRPr="002C0E34">
        <w:rPr>
          <w:rFonts w:asciiTheme="minorHAnsi" w:hAnsiTheme="minorHAnsi"/>
          <w:sz w:val="28"/>
          <w:szCs w:val="28"/>
        </w:rPr>
        <w:t xml:space="preserve"> separately)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Type of service being provided (</w:t>
      </w:r>
      <w:r>
        <w:rPr>
          <w:rFonts w:asciiTheme="minorHAnsi" w:hAnsiTheme="minorHAnsi"/>
          <w:sz w:val="28"/>
          <w:szCs w:val="28"/>
        </w:rPr>
        <w:t xml:space="preserve">e.g. </w:t>
      </w:r>
      <w:r w:rsidRPr="002C0E34">
        <w:rPr>
          <w:rFonts w:asciiTheme="minorHAnsi" w:hAnsiTheme="minorHAnsi"/>
          <w:sz w:val="28"/>
          <w:szCs w:val="28"/>
        </w:rPr>
        <w:t>O&amp;M, Braille, JAWS etc.)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Unit of measure (</w:t>
      </w:r>
      <w:r>
        <w:rPr>
          <w:rFonts w:asciiTheme="minorHAnsi" w:hAnsiTheme="minorHAnsi"/>
          <w:sz w:val="28"/>
          <w:szCs w:val="28"/>
        </w:rPr>
        <w:t xml:space="preserve">e.g. </w:t>
      </w:r>
      <w:r w:rsidRPr="002C0E34">
        <w:rPr>
          <w:rFonts w:asciiTheme="minorHAnsi" w:hAnsiTheme="minorHAnsi"/>
          <w:sz w:val="28"/>
          <w:szCs w:val="28"/>
        </w:rPr>
        <w:t>hour, week, miles)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Unit price</w:t>
      </w:r>
    </w:p>
    <w:p w:rsidR="002C0E34" w:rsidRP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>Subtotal of each services</w:t>
      </w:r>
    </w:p>
    <w:p w:rsidR="002C0E34" w:rsidRDefault="002C0E34" w:rsidP="002C0E34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2C0E34">
        <w:rPr>
          <w:rFonts w:asciiTheme="minorHAnsi" w:hAnsiTheme="minorHAnsi"/>
          <w:sz w:val="28"/>
          <w:szCs w:val="28"/>
        </w:rPr>
        <w:t xml:space="preserve">Total amount </w:t>
      </w:r>
    </w:p>
    <w:p w:rsidR="008A6ABA" w:rsidRDefault="008A6ABA" w:rsidP="008A6ABA">
      <w:pPr>
        <w:spacing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AND-</w:t>
      </w:r>
    </w:p>
    <w:p w:rsidR="008A6ABA" w:rsidRDefault="008A6ABA" w:rsidP="008A6ABA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Report has been submitted or is being submitted with the invoice</w:t>
      </w:r>
    </w:p>
    <w:p w:rsidR="008A6ABA" w:rsidRDefault="008A6ABA" w:rsidP="008A6ABA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Invoice is less tha</w:t>
      </w:r>
      <w:r w:rsidR="00A52C83">
        <w:rPr>
          <w:rFonts w:asciiTheme="minorHAnsi" w:hAnsiTheme="minorHAnsi"/>
          <w:sz w:val="28"/>
          <w:szCs w:val="28"/>
        </w:rPr>
        <w:t>n 90 days after the last date of service</w:t>
      </w:r>
      <w:r>
        <w:rPr>
          <w:rFonts w:asciiTheme="minorHAnsi" w:hAnsiTheme="minorHAnsi"/>
          <w:sz w:val="28"/>
          <w:szCs w:val="28"/>
        </w:rPr>
        <w:t>/last date of authorization</w:t>
      </w:r>
    </w:p>
    <w:p w:rsidR="008A6ABA" w:rsidRDefault="008A6ABA" w:rsidP="008A6ABA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Services provided align with services requested</w:t>
      </w:r>
    </w:p>
    <w:p w:rsidR="008A6ABA" w:rsidRPr="008A6ABA" w:rsidRDefault="008A6ABA" w:rsidP="008A6ABA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Report describes in sufficient detail what occurred</w:t>
      </w:r>
      <w:r w:rsidR="00A52C83">
        <w:rPr>
          <w:rFonts w:asciiTheme="minorHAnsi" w:hAnsiTheme="minorHAnsi"/>
          <w:sz w:val="28"/>
          <w:szCs w:val="28"/>
        </w:rPr>
        <w:t xml:space="preserve"> during the dates of service</w:t>
      </w:r>
    </w:p>
    <w:sectPr w:rsidR="008A6ABA" w:rsidRPr="008A6ABA" w:rsidSect="00F223E6">
      <w:headerReference w:type="default" r:id="rId11"/>
      <w:footerReference w:type="defaul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89" w:rsidRDefault="00547889" w:rsidP="00D77387">
      <w:r>
        <w:separator/>
      </w:r>
    </w:p>
  </w:endnote>
  <w:endnote w:type="continuationSeparator" w:id="0">
    <w:p w:rsidR="00547889" w:rsidRDefault="00547889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:rsidR="002B447D" w:rsidRPr="004A1BBE" w:rsidRDefault="00D44588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State Services for the Blind</w:t>
    </w:r>
  </w:p>
  <w:p w:rsidR="00C76AFE" w:rsidRPr="004A1BBE" w:rsidRDefault="001838EF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2200 University Ave W, Suite 240, St. Paul, MN 55114</w:t>
    </w:r>
  </w:p>
  <w:p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proofErr w:type="gramStart"/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  <w:proofErr w:type="gramEnd"/>
  </w:p>
  <w:p w:rsidR="002B447D" w:rsidRDefault="00C37411">
    <w:pPr>
      <w:pStyle w:val="Footer"/>
    </w:pPr>
    <w:r>
      <w:t>Rev. 6.15.18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89" w:rsidRDefault="00547889" w:rsidP="00D77387">
      <w:r>
        <w:separator/>
      </w:r>
    </w:p>
  </w:footnote>
  <w:footnote w:type="continuationSeparator" w:id="0">
    <w:p w:rsidR="00547889" w:rsidRDefault="00547889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32" w:rsidRDefault="00D44588" w:rsidP="002C0E34">
    <w:pPr>
      <w:pStyle w:val="Header"/>
      <w:spacing w:after="240"/>
      <w:ind w:left="-720"/>
    </w:pPr>
    <w:r>
      <w:rPr>
        <w:noProof/>
      </w:rPr>
      <w:drawing>
        <wp:inline distT="0" distB="0" distL="0" distR="0">
          <wp:extent cx="8216900" cy="1143000"/>
          <wp:effectExtent l="0" t="0" r="0" b="0"/>
          <wp:docPr id="7" name="Picture 7" descr="Minnesota Department of Employment and Economic Development, State Services for the B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B DEED 2016 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296" cy="114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308"/>
    <w:multiLevelType w:val="hybridMultilevel"/>
    <w:tmpl w:val="F58A6482"/>
    <w:lvl w:ilvl="0" w:tplc="4A005CF8">
      <w:start w:val="3"/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15E"/>
    <w:multiLevelType w:val="hybridMultilevel"/>
    <w:tmpl w:val="A2C63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26A8"/>
    <w:multiLevelType w:val="hybridMultilevel"/>
    <w:tmpl w:val="4E5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0E03"/>
    <w:multiLevelType w:val="hybridMultilevel"/>
    <w:tmpl w:val="30326FE0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C7BB3"/>
    <w:multiLevelType w:val="hybridMultilevel"/>
    <w:tmpl w:val="97BA22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B366B"/>
    <w:multiLevelType w:val="hybridMultilevel"/>
    <w:tmpl w:val="F00245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6D1C"/>
    <w:multiLevelType w:val="hybridMultilevel"/>
    <w:tmpl w:val="2622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78CD"/>
    <w:multiLevelType w:val="hybridMultilevel"/>
    <w:tmpl w:val="B00A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3"/>
    <w:rsid w:val="000333C3"/>
    <w:rsid w:val="000A0B25"/>
    <w:rsid w:val="000B133D"/>
    <w:rsid w:val="000C4E9C"/>
    <w:rsid w:val="000F6F96"/>
    <w:rsid w:val="001014FF"/>
    <w:rsid w:val="001838EF"/>
    <w:rsid w:val="001E08AD"/>
    <w:rsid w:val="001E1277"/>
    <w:rsid w:val="00254BA8"/>
    <w:rsid w:val="00261B36"/>
    <w:rsid w:val="002A750C"/>
    <w:rsid w:val="002B447D"/>
    <w:rsid w:val="002C0E34"/>
    <w:rsid w:val="002C1910"/>
    <w:rsid w:val="002D36EA"/>
    <w:rsid w:val="002F1EF3"/>
    <w:rsid w:val="002F48A8"/>
    <w:rsid w:val="003B3244"/>
    <w:rsid w:val="00491043"/>
    <w:rsid w:val="004A1BBE"/>
    <w:rsid w:val="00547889"/>
    <w:rsid w:val="005A33EE"/>
    <w:rsid w:val="005A37D9"/>
    <w:rsid w:val="005B1F42"/>
    <w:rsid w:val="005D76AE"/>
    <w:rsid w:val="00605827"/>
    <w:rsid w:val="0069235D"/>
    <w:rsid w:val="00695A6F"/>
    <w:rsid w:val="006A001D"/>
    <w:rsid w:val="006C0CD9"/>
    <w:rsid w:val="0070650C"/>
    <w:rsid w:val="00716698"/>
    <w:rsid w:val="007459E9"/>
    <w:rsid w:val="00755223"/>
    <w:rsid w:val="00790C44"/>
    <w:rsid w:val="008A5A23"/>
    <w:rsid w:val="008A6ABA"/>
    <w:rsid w:val="008B14A6"/>
    <w:rsid w:val="008C662B"/>
    <w:rsid w:val="008F167C"/>
    <w:rsid w:val="00922D42"/>
    <w:rsid w:val="00924416"/>
    <w:rsid w:val="0095767D"/>
    <w:rsid w:val="00980E53"/>
    <w:rsid w:val="0098218E"/>
    <w:rsid w:val="009843C6"/>
    <w:rsid w:val="009D060B"/>
    <w:rsid w:val="009D41E0"/>
    <w:rsid w:val="00A21FE4"/>
    <w:rsid w:val="00A52C83"/>
    <w:rsid w:val="00A7084B"/>
    <w:rsid w:val="00A81B3D"/>
    <w:rsid w:val="00AB5332"/>
    <w:rsid w:val="00AC22A3"/>
    <w:rsid w:val="00AE652B"/>
    <w:rsid w:val="00B24C38"/>
    <w:rsid w:val="00C36DDA"/>
    <w:rsid w:val="00C37411"/>
    <w:rsid w:val="00C76AFE"/>
    <w:rsid w:val="00C97E23"/>
    <w:rsid w:val="00D44588"/>
    <w:rsid w:val="00D77387"/>
    <w:rsid w:val="00D83905"/>
    <w:rsid w:val="00DA146E"/>
    <w:rsid w:val="00DA2DCD"/>
    <w:rsid w:val="00DB79C1"/>
    <w:rsid w:val="00DE0D84"/>
    <w:rsid w:val="00DE7B1E"/>
    <w:rsid w:val="00E610B2"/>
    <w:rsid w:val="00E91BA6"/>
    <w:rsid w:val="00EC5B5C"/>
    <w:rsid w:val="00F223E6"/>
    <w:rsid w:val="00F26EA5"/>
    <w:rsid w:val="00F5156F"/>
    <w:rsid w:val="00F6546A"/>
    <w:rsid w:val="00F7780C"/>
    <w:rsid w:val="00F8016F"/>
    <w:rsid w:val="00FC2994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paragraph" w:styleId="Title">
    <w:name w:val="Title"/>
    <w:basedOn w:val="Normal"/>
    <w:next w:val="Normal"/>
    <w:link w:val="TitleChar"/>
    <w:qFormat/>
    <w:rsid w:val="00DB79C1"/>
    <w:pPr>
      <w:spacing w:before="240" w:after="240"/>
      <w:jc w:val="center"/>
    </w:pPr>
    <w:rPr>
      <w:rFonts w:asciiTheme="minorHAnsi" w:hAnsiTheme="minorHAnsi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B79C1"/>
    <w:rPr>
      <w:rFonts w:asciiTheme="minorHAnsi" w:hAnsiTheme="minorHAnsi"/>
      <w:b/>
      <w:sz w:val="32"/>
      <w:szCs w:val="32"/>
      <w:u w:val="single"/>
    </w:rPr>
  </w:style>
  <w:style w:type="table" w:styleId="TableGrid">
    <w:name w:val="Table Grid"/>
    <w:basedOn w:val="TableNormal"/>
    <w:rsid w:val="00F2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B.invoice@state.mn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SB.invoice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beilke@state.mn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2D5E4-E532-44DB-942E-0CD527D57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22217-1362-4363-BA87-CE71386B62BA}"/>
</file>

<file path=customXml/itemProps3.xml><?xml version="1.0" encoding="utf-8"?>
<ds:datastoreItem xmlns:ds="http://schemas.openxmlformats.org/officeDocument/2006/customXml" ds:itemID="{65B60CDE-9E00-41A4-927F-0A3F5950BFB2}"/>
</file>

<file path=customXml/itemProps4.xml><?xml version="1.0" encoding="utf-8"?>
<ds:datastoreItem xmlns:ds="http://schemas.openxmlformats.org/officeDocument/2006/customXml" ds:itemID="{523BBBD0-826A-4784-86A1-01EBBD7ED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DEED</Company>
  <LinksUpToDate>false</LinksUpToDate>
  <CharactersWithSpaces>2996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WFCUSER</dc:creator>
  <cp:keywords/>
  <dc:description/>
  <cp:lastModifiedBy>Jerde, Natasha N (DEED)</cp:lastModifiedBy>
  <cp:revision>2</cp:revision>
  <cp:lastPrinted>2009-12-21T17:36:00Z</cp:lastPrinted>
  <dcterms:created xsi:type="dcterms:W3CDTF">2018-06-22T11:33:00Z</dcterms:created>
  <dcterms:modified xsi:type="dcterms:W3CDTF">2018-06-22T11:33:00Z</dcterms:modified>
</cp:coreProperties>
</file>