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8E1F" w14:textId="77777777" w:rsidR="000365CC" w:rsidRPr="000365CC" w:rsidRDefault="000365CC" w:rsidP="0066116B">
      <w:pPr>
        <w:rPr>
          <w:rFonts w:ascii="Times New Roman" w:hAnsi="Times New Roman"/>
          <w:b/>
          <w:sz w:val="48"/>
          <w:szCs w:val="48"/>
        </w:rPr>
      </w:pPr>
      <w:r w:rsidRPr="000365CC">
        <w:rPr>
          <w:rFonts w:ascii="Times New Roman" w:hAnsi="Times New Roman"/>
          <w:b/>
          <w:sz w:val="48"/>
          <w:szCs w:val="48"/>
        </w:rPr>
        <w:t>WIOA Young Adult Program</w:t>
      </w:r>
    </w:p>
    <w:p w14:paraId="6CF11386" w14:textId="77777777" w:rsidR="0066116B" w:rsidRPr="000365CC" w:rsidRDefault="000365CC" w:rsidP="000365CC">
      <w:pPr>
        <w:spacing w:before="240"/>
        <w:rPr>
          <w:rFonts w:ascii="Times New Roman" w:hAnsi="Times New Roman"/>
          <w:b/>
          <w:sz w:val="28"/>
          <w:szCs w:val="28"/>
        </w:rPr>
      </w:pPr>
      <w:r>
        <w:rPr>
          <w:rFonts w:ascii="Times New Roman" w:hAnsi="Times New Roman"/>
          <w:b/>
          <w:sz w:val="28"/>
          <w:szCs w:val="28"/>
        </w:rPr>
        <w:t>Chapter 15: Measurable Skills Gain</w:t>
      </w:r>
      <w:r w:rsidR="0066116B" w:rsidRPr="000365CC">
        <w:rPr>
          <w:rFonts w:ascii="Times New Roman" w:hAnsi="Times New Roman"/>
          <w:b/>
          <w:sz w:val="28"/>
          <w:szCs w:val="28"/>
        </w:rPr>
        <w:t xml:space="preserve"> –</w:t>
      </w:r>
      <w:r>
        <w:rPr>
          <w:rFonts w:ascii="Times New Roman" w:hAnsi="Times New Roman"/>
          <w:b/>
          <w:sz w:val="28"/>
          <w:szCs w:val="28"/>
        </w:rPr>
        <w:t xml:space="preserve">Educational Functioning Level </w:t>
      </w:r>
      <w:r w:rsidR="0066116B" w:rsidRPr="000365CC">
        <w:rPr>
          <w:rFonts w:ascii="Times New Roman" w:hAnsi="Times New Roman"/>
          <w:b/>
          <w:sz w:val="28"/>
          <w:szCs w:val="28"/>
        </w:rPr>
        <w:t>(EFL)</w:t>
      </w:r>
    </w:p>
    <w:p w14:paraId="7786FAD4" w14:textId="77777777" w:rsidR="0066116B" w:rsidRDefault="0066116B" w:rsidP="0066116B"/>
    <w:p w14:paraId="1051A0AA" w14:textId="77777777" w:rsidR="0066116B" w:rsidRPr="000365CC" w:rsidRDefault="0066116B" w:rsidP="0066116B">
      <w:pPr>
        <w:rPr>
          <w:rFonts w:ascii="Times New Roman" w:hAnsi="Times New Roman"/>
          <w:sz w:val="24"/>
          <w:szCs w:val="24"/>
        </w:rPr>
      </w:pPr>
      <w:r w:rsidRPr="000365CC">
        <w:rPr>
          <w:rFonts w:ascii="Times New Roman" w:hAnsi="Times New Roman"/>
          <w:sz w:val="24"/>
          <w:szCs w:val="24"/>
        </w:rPr>
        <w:t>Summary</w:t>
      </w:r>
    </w:p>
    <w:p w14:paraId="268D40CC" w14:textId="527C02F6" w:rsidR="0066116B" w:rsidRPr="000365CC" w:rsidRDefault="0066116B" w:rsidP="0066116B">
      <w:pPr>
        <w:rPr>
          <w:rFonts w:ascii="Times New Roman" w:hAnsi="Times New Roman"/>
          <w:sz w:val="24"/>
          <w:szCs w:val="24"/>
        </w:rPr>
      </w:pPr>
      <w:r w:rsidRPr="000365CC">
        <w:rPr>
          <w:rFonts w:ascii="Times New Roman" w:hAnsi="Times New Roman"/>
          <w:sz w:val="24"/>
          <w:szCs w:val="24"/>
        </w:rPr>
        <w:t xml:space="preserve">This policy provides background on when (or if) to use testing results from approved basic skills tests </w:t>
      </w:r>
      <w:proofErr w:type="gramStart"/>
      <w:r w:rsidRPr="000365CC">
        <w:rPr>
          <w:rFonts w:ascii="Times New Roman" w:hAnsi="Times New Roman"/>
          <w:sz w:val="24"/>
          <w:szCs w:val="24"/>
        </w:rPr>
        <w:t>as a way to</w:t>
      </w:r>
      <w:proofErr w:type="gramEnd"/>
      <w:r w:rsidRPr="000365CC">
        <w:rPr>
          <w:rFonts w:ascii="Times New Roman" w:hAnsi="Times New Roman"/>
          <w:sz w:val="24"/>
          <w:szCs w:val="24"/>
        </w:rPr>
        <w:t xml:space="preserve"> meet the Measurable Skills Gain (MSG) performance indicator</w:t>
      </w:r>
      <w:r w:rsidR="005323F8">
        <w:rPr>
          <w:rFonts w:ascii="Times New Roman" w:hAnsi="Times New Roman"/>
          <w:sz w:val="24"/>
          <w:szCs w:val="24"/>
        </w:rPr>
        <w:t xml:space="preserve"> </w:t>
      </w:r>
      <w:r w:rsidR="005323F8" w:rsidRPr="00C82789">
        <w:rPr>
          <w:rFonts w:ascii="Times New Roman" w:hAnsi="Times New Roman"/>
          <w:sz w:val="24"/>
          <w:szCs w:val="24"/>
        </w:rPr>
        <w:t>for WIOA Youth</w:t>
      </w:r>
      <w:r w:rsidR="00337A95" w:rsidRPr="00C82789">
        <w:rPr>
          <w:rFonts w:ascii="Times New Roman" w:hAnsi="Times New Roman"/>
          <w:sz w:val="24"/>
          <w:szCs w:val="24"/>
        </w:rPr>
        <w:t xml:space="preserve"> </w:t>
      </w:r>
      <w:r w:rsidR="00AB3D71" w:rsidRPr="00AB3D71">
        <w:rPr>
          <w:rFonts w:ascii="Times New Roman" w:hAnsi="Times New Roman"/>
          <w:sz w:val="24"/>
          <w:szCs w:val="24"/>
          <w:highlight w:val="yellow"/>
        </w:rPr>
        <w:t>participants</w:t>
      </w:r>
      <w:r w:rsidR="00AB3D71">
        <w:rPr>
          <w:rFonts w:ascii="Times New Roman" w:hAnsi="Times New Roman"/>
          <w:sz w:val="24"/>
          <w:szCs w:val="24"/>
        </w:rPr>
        <w:t xml:space="preserve"> </w:t>
      </w:r>
      <w:r w:rsidR="00337A95" w:rsidRPr="00C82789">
        <w:rPr>
          <w:rFonts w:ascii="Times New Roman" w:hAnsi="Times New Roman"/>
          <w:sz w:val="24"/>
          <w:szCs w:val="24"/>
        </w:rPr>
        <w:t>ONLY</w:t>
      </w:r>
      <w:r w:rsidRPr="00C82789">
        <w:rPr>
          <w:rFonts w:ascii="Times New Roman" w:hAnsi="Times New Roman"/>
          <w:sz w:val="24"/>
          <w:szCs w:val="24"/>
        </w:rPr>
        <w:t>.</w:t>
      </w:r>
    </w:p>
    <w:p w14:paraId="13FB9DF1" w14:textId="77777777" w:rsidR="0066116B" w:rsidRPr="000365CC" w:rsidRDefault="0066116B" w:rsidP="0066116B">
      <w:pPr>
        <w:rPr>
          <w:rFonts w:ascii="Times New Roman" w:hAnsi="Times New Roman"/>
          <w:sz w:val="24"/>
          <w:szCs w:val="24"/>
        </w:rPr>
      </w:pPr>
    </w:p>
    <w:p w14:paraId="36E6D322" w14:textId="77777777" w:rsidR="0066116B" w:rsidRPr="000365CC" w:rsidRDefault="0066116B" w:rsidP="0066116B">
      <w:pPr>
        <w:rPr>
          <w:rFonts w:ascii="Times New Roman" w:hAnsi="Times New Roman"/>
          <w:sz w:val="24"/>
          <w:szCs w:val="24"/>
        </w:rPr>
      </w:pPr>
      <w:r w:rsidRPr="000365CC">
        <w:rPr>
          <w:rFonts w:ascii="Times New Roman" w:hAnsi="Times New Roman"/>
          <w:sz w:val="24"/>
          <w:szCs w:val="24"/>
        </w:rPr>
        <w:t>Relevant Laws, Rules or Policies</w:t>
      </w:r>
    </w:p>
    <w:p w14:paraId="216D5A1F" w14:textId="025A2F76" w:rsidR="00AB3D71" w:rsidRPr="00AB3D71" w:rsidRDefault="001C73DA" w:rsidP="00AB3D71">
      <w:pPr>
        <w:rPr>
          <w:rFonts w:ascii="Times New Roman" w:eastAsia="Times New Roman" w:hAnsi="Times New Roman"/>
          <w:color w:val="0000FF"/>
          <w:sz w:val="24"/>
          <w:szCs w:val="18"/>
        </w:rPr>
      </w:pPr>
      <w:hyperlink r:id="rId10" w:anchor="current-reporting-req" w:history="1">
        <w:r w:rsidR="00AB3D71" w:rsidRPr="00AB3D71">
          <w:rPr>
            <w:rStyle w:val="Hyperlink"/>
            <w:rFonts w:ascii="Times New Roman" w:eastAsia="Times New Roman" w:hAnsi="Times New Roman"/>
            <w:color w:val="0000FF"/>
            <w:sz w:val="24"/>
            <w:szCs w:val="18"/>
            <w:highlight w:val="yellow"/>
          </w:rPr>
          <w:t>WIOA Participant Individual Record Layout (PIRL)</w:t>
        </w:r>
      </w:hyperlink>
    </w:p>
    <w:p w14:paraId="503E9C1D" w14:textId="228D4A6F" w:rsidR="0066116B" w:rsidRPr="000365CC" w:rsidRDefault="001C73DA" w:rsidP="000365CC">
      <w:pPr>
        <w:jc w:val="both"/>
        <w:rPr>
          <w:rFonts w:ascii="Times New Roman" w:eastAsia="Times New Roman" w:hAnsi="Times New Roman"/>
          <w:sz w:val="24"/>
          <w:szCs w:val="24"/>
        </w:rPr>
      </w:pPr>
      <w:hyperlink r:id="rId11" w:history="1">
        <w:r w:rsidR="000365CC" w:rsidRPr="000365CC">
          <w:rPr>
            <w:rFonts w:ascii="Times New Roman" w:eastAsia="Times New Roman" w:hAnsi="Times New Roman"/>
            <w:color w:val="0000FF"/>
            <w:sz w:val="24"/>
            <w:szCs w:val="24"/>
            <w:u w:val="single"/>
            <w:lang w:val="en"/>
          </w:rPr>
          <w:t>Workforce Innovation and Opportunity Act (Public Law 113-128)</w:t>
        </w:r>
      </w:hyperlink>
    </w:p>
    <w:p w14:paraId="0CF7D96F" w14:textId="77777777" w:rsidR="000365CC" w:rsidRPr="000365CC" w:rsidRDefault="000365CC" w:rsidP="000365CC">
      <w:pPr>
        <w:jc w:val="both"/>
        <w:rPr>
          <w:rFonts w:ascii="Times New Roman" w:eastAsia="Times New Roman" w:hAnsi="Times New Roman"/>
          <w:color w:val="0000FF"/>
          <w:sz w:val="24"/>
          <w:szCs w:val="24"/>
          <w:u w:val="single"/>
        </w:rPr>
      </w:pPr>
      <w:r w:rsidRPr="000365CC">
        <w:rPr>
          <w:rFonts w:ascii="Times New Roman" w:eastAsia="Times New Roman" w:hAnsi="Times New Roman"/>
          <w:color w:val="0000FF"/>
          <w:sz w:val="24"/>
          <w:szCs w:val="24"/>
          <w:u w:val="single"/>
        </w:rPr>
        <w:fldChar w:fldCharType="begin"/>
      </w:r>
      <w:r w:rsidRPr="000365CC">
        <w:rPr>
          <w:rFonts w:ascii="Times New Roman" w:eastAsia="Times New Roman" w:hAnsi="Times New Roman"/>
          <w:color w:val="0000FF"/>
          <w:sz w:val="24"/>
          <w:szCs w:val="24"/>
          <w:u w:val="single"/>
        </w:rPr>
        <w:instrText xml:space="preserve"> HYPERLINK "https://www.gpo.gov/fdsys/pkg/FR-2016-08-19/pdf/2016-15975.pdf" </w:instrText>
      </w:r>
      <w:r w:rsidRPr="000365CC">
        <w:rPr>
          <w:rFonts w:ascii="Times New Roman" w:eastAsia="Times New Roman" w:hAnsi="Times New Roman"/>
          <w:color w:val="0000FF"/>
          <w:sz w:val="24"/>
          <w:szCs w:val="24"/>
          <w:u w:val="single"/>
        </w:rPr>
      </w:r>
      <w:r w:rsidRPr="000365CC">
        <w:rPr>
          <w:rFonts w:ascii="Times New Roman" w:eastAsia="Times New Roman" w:hAnsi="Times New Roman"/>
          <w:color w:val="0000FF"/>
          <w:sz w:val="24"/>
          <w:szCs w:val="24"/>
          <w:u w:val="single"/>
        </w:rPr>
        <w:fldChar w:fldCharType="separate"/>
      </w:r>
      <w:r w:rsidRPr="000365CC">
        <w:rPr>
          <w:rFonts w:ascii="Times New Roman" w:eastAsia="Times New Roman" w:hAnsi="Times New Roman"/>
          <w:color w:val="0000FF"/>
          <w:sz w:val="24"/>
          <w:szCs w:val="24"/>
          <w:u w:val="single"/>
        </w:rPr>
        <w:t>WIOA Final Rule (Dated 08-19-2016)</w:t>
      </w:r>
    </w:p>
    <w:p w14:paraId="1B5D2316" w14:textId="77777777" w:rsidR="0066116B" w:rsidRPr="000365CC" w:rsidRDefault="000365CC" w:rsidP="000365CC">
      <w:pPr>
        <w:jc w:val="both"/>
        <w:rPr>
          <w:rFonts w:ascii="Times New Roman" w:eastAsia="Times New Roman" w:hAnsi="Times New Roman"/>
          <w:color w:val="0000FF"/>
          <w:sz w:val="24"/>
          <w:szCs w:val="24"/>
        </w:rPr>
      </w:pPr>
      <w:r w:rsidRPr="000365CC">
        <w:rPr>
          <w:rFonts w:ascii="Times New Roman" w:eastAsia="Times New Roman" w:hAnsi="Times New Roman"/>
          <w:color w:val="0000FF"/>
          <w:sz w:val="24"/>
          <w:szCs w:val="24"/>
          <w:u w:val="single"/>
        </w:rPr>
        <w:fldChar w:fldCharType="end"/>
      </w:r>
      <w:hyperlink r:id="rId12" w:history="1">
        <w:r w:rsidRPr="000365CC">
          <w:rPr>
            <w:rFonts w:ascii="Times New Roman" w:eastAsia="Times New Roman" w:hAnsi="Times New Roman"/>
            <w:color w:val="0000FF"/>
            <w:sz w:val="24"/>
            <w:szCs w:val="24"/>
            <w:u w:val="single"/>
          </w:rPr>
          <w:t>WIOA Final Rule: Unified and Combined State Plans, Performance Accountability, and the One-Stop System Joint Provisions (Dated 08-19-2016)</w:t>
        </w:r>
      </w:hyperlink>
    </w:p>
    <w:p w14:paraId="09B4F8D3" w14:textId="77777777" w:rsidR="00B17BD4" w:rsidRPr="004820E2" w:rsidRDefault="00B17BD4" w:rsidP="004820E2">
      <w:pPr>
        <w:pStyle w:val="BodyText"/>
        <w:ind w:left="0" w:right="-590" w:firstLine="0"/>
        <w:rPr>
          <w:rStyle w:val="Hyperlink"/>
          <w:color w:val="0000FF"/>
        </w:rPr>
      </w:pPr>
      <w:r w:rsidRPr="004820E2">
        <w:fldChar w:fldCharType="begin"/>
      </w:r>
      <w:r w:rsidRPr="004820E2">
        <w:instrText xml:space="preserve"> HYPERLINK "https://wdr.doleta.gov/directives/corr_doc.cfm?docn=3255" </w:instrText>
      </w:r>
      <w:r w:rsidRPr="004820E2">
        <w:fldChar w:fldCharType="separate"/>
      </w:r>
      <w:r w:rsidRPr="004820E2">
        <w:rPr>
          <w:rStyle w:val="Hyperlink"/>
          <w:color w:val="0000FF"/>
        </w:rPr>
        <w:t>U.S. Dept. of Labor Training and Employment Guidance Letter No. 10-16 Change 1 (Dated 8-23-17)</w:t>
      </w:r>
    </w:p>
    <w:p w14:paraId="7EBA5C43" w14:textId="77777777" w:rsidR="00B17BD4" w:rsidRPr="004820E2" w:rsidRDefault="00B17BD4" w:rsidP="004820E2">
      <w:pPr>
        <w:spacing w:before="4"/>
        <w:rPr>
          <w:rFonts w:ascii="Times New Roman" w:eastAsia="Calibri" w:hAnsi="Times New Roman"/>
          <w:color w:val="0000FF"/>
          <w:sz w:val="24"/>
          <w:szCs w:val="24"/>
          <w:u w:val="single"/>
        </w:rPr>
      </w:pPr>
      <w:r w:rsidRPr="004820E2">
        <w:rPr>
          <w:rFonts w:ascii="Times New Roman" w:eastAsia="Times New Roman" w:hAnsi="Times New Roman"/>
          <w:sz w:val="24"/>
          <w:szCs w:val="24"/>
        </w:rPr>
        <w:fldChar w:fldCharType="end"/>
      </w:r>
      <w:hyperlink r:id="rId13" w:history="1">
        <w:r w:rsidRPr="004820E2">
          <w:rPr>
            <w:rFonts w:ascii="Times New Roman" w:eastAsia="Calibri" w:hAnsi="Times New Roman"/>
            <w:color w:val="0000FF"/>
            <w:sz w:val="24"/>
            <w:szCs w:val="24"/>
            <w:u w:val="single"/>
          </w:rPr>
          <w:t>U.S. Dept. of Labor Training and Employment Guidance Letter No. 21-16 (Dated 3-2-17)</w:t>
        </w:r>
      </w:hyperlink>
    </w:p>
    <w:p w14:paraId="63F03499" w14:textId="77777777" w:rsidR="004820E2" w:rsidRPr="0013146C" w:rsidRDefault="001C73DA" w:rsidP="004820E2">
      <w:pPr>
        <w:pStyle w:val="NoSpacing"/>
        <w:rPr>
          <w:rStyle w:val="Hyperlink"/>
          <w:rFonts w:ascii="Times New Roman" w:hAnsi="Times New Roman"/>
          <w:color w:val="0000FF"/>
          <w:sz w:val="24"/>
          <w:szCs w:val="24"/>
        </w:rPr>
      </w:pPr>
      <w:hyperlink r:id="rId14" w:history="1">
        <w:r w:rsidR="004820E2" w:rsidRPr="0013146C">
          <w:rPr>
            <w:rStyle w:val="Hyperlink"/>
            <w:rFonts w:ascii="Times New Roman" w:hAnsi="Times New Roman"/>
            <w:sz w:val="24"/>
            <w:szCs w:val="24"/>
          </w:rPr>
          <w:t>National Reporting System for Adult Education, NRS Test Benchmarks, August, 2019</w:t>
        </w:r>
      </w:hyperlink>
    </w:p>
    <w:p w14:paraId="15CB009B" w14:textId="2750DB0C" w:rsidR="00B17BD4" w:rsidRPr="0013146C" w:rsidRDefault="001C73DA" w:rsidP="004820E2">
      <w:pPr>
        <w:pStyle w:val="NoSpacing"/>
        <w:rPr>
          <w:rFonts w:ascii="Times New Roman" w:hAnsi="Times New Roman" w:cs="Times New Roman"/>
          <w:sz w:val="24"/>
          <w:szCs w:val="24"/>
        </w:rPr>
      </w:pPr>
      <w:hyperlink r:id="rId15" w:history="1">
        <w:r w:rsidR="00B17BD4" w:rsidRPr="0013146C">
          <w:rPr>
            <w:rStyle w:val="Hyperlink"/>
            <w:rFonts w:ascii="Times New Roman" w:hAnsi="Times New Roman" w:cs="Times New Roman"/>
            <w:color w:val="0000FF"/>
            <w:sz w:val="24"/>
            <w:szCs w:val="24"/>
          </w:rPr>
          <w:t>U.S. Dept. of Labor Training and Employment Notice No. 22-19 (Dated 4-3-20)</w:t>
        </w:r>
      </w:hyperlink>
    </w:p>
    <w:p w14:paraId="4AB46811" w14:textId="77777777" w:rsidR="00B17BD4" w:rsidRPr="00B32677" w:rsidRDefault="001C73DA" w:rsidP="004820E2">
      <w:pPr>
        <w:pStyle w:val="NoSpacing"/>
        <w:rPr>
          <w:rFonts w:ascii="Times New Roman" w:hAnsi="Times New Roman" w:cs="Times New Roman"/>
          <w:color w:val="0000FF"/>
          <w:sz w:val="24"/>
          <w:szCs w:val="24"/>
          <w:u w:val="single"/>
        </w:rPr>
      </w:pPr>
      <w:hyperlink r:id="rId16" w:history="1">
        <w:r w:rsidR="00B17BD4" w:rsidRPr="004820E2">
          <w:rPr>
            <w:rStyle w:val="Hyperlink"/>
            <w:rFonts w:ascii="Times New Roman" w:hAnsi="Times New Roman" w:cs="Times New Roman"/>
            <w:sz w:val="24"/>
            <w:szCs w:val="24"/>
          </w:rPr>
          <w:t>Office of Management and Budget Code of Federal Regulations 2 CFR 200</w:t>
        </w:r>
      </w:hyperlink>
      <w:r w:rsidR="00B17BD4" w:rsidRPr="004820E2">
        <w:rPr>
          <w:rStyle w:val="Hyperlink"/>
          <w:rFonts w:ascii="Times New Roman" w:hAnsi="Times New Roman" w:cs="Times New Roman"/>
          <w:sz w:val="24"/>
          <w:szCs w:val="24"/>
        </w:rPr>
        <w:t xml:space="preserve"> (Uniform Guidance)</w:t>
      </w:r>
    </w:p>
    <w:p w14:paraId="06093044" w14:textId="77777777" w:rsidR="00B17BD4" w:rsidRPr="004820E2" w:rsidRDefault="001C73DA" w:rsidP="004820E2">
      <w:pPr>
        <w:pStyle w:val="NoSpacing"/>
        <w:rPr>
          <w:rStyle w:val="Hyperlink"/>
          <w:rFonts w:ascii="Times New Roman" w:hAnsi="Times New Roman" w:cs="Times New Roman"/>
          <w:color w:val="0000FF"/>
          <w:sz w:val="24"/>
          <w:szCs w:val="24"/>
        </w:rPr>
      </w:pPr>
      <w:hyperlink r:id="rId17" w:history="1">
        <w:r w:rsidR="00B17BD4" w:rsidRPr="004820E2">
          <w:rPr>
            <w:rStyle w:val="Hyperlink"/>
            <w:rFonts w:ascii="Times New Roman" w:hAnsi="Times New Roman" w:cs="Times New Roman"/>
            <w:color w:val="0000FF"/>
            <w:sz w:val="24"/>
            <w:szCs w:val="24"/>
          </w:rPr>
          <w:t>U.S. Dept. of Labor Training and Employment Notice No. 12-21 (Dated 10-15-21)</w:t>
        </w:r>
      </w:hyperlink>
    </w:p>
    <w:p w14:paraId="298D5D3F" w14:textId="77777777" w:rsidR="00B17BD4" w:rsidRDefault="001C73DA" w:rsidP="004820E2">
      <w:pPr>
        <w:pStyle w:val="NoSpacing"/>
        <w:rPr>
          <w:rStyle w:val="Hyperlink"/>
          <w:rFonts w:ascii="Times New Roman" w:hAnsi="Times New Roman" w:cs="Times New Roman"/>
          <w:color w:val="FF0000"/>
          <w:sz w:val="24"/>
          <w:szCs w:val="24"/>
        </w:rPr>
      </w:pPr>
      <w:hyperlink r:id="rId18" w:history="1">
        <w:r w:rsidR="00B17BD4" w:rsidRPr="00712660">
          <w:rPr>
            <w:rStyle w:val="Hyperlink"/>
            <w:rFonts w:ascii="Times New Roman" w:hAnsi="Times New Roman" w:cs="Times New Roman"/>
            <w:sz w:val="24"/>
            <w:szCs w:val="24"/>
          </w:rPr>
          <w:t>U.S. Dept. of Labor Training and Employment Notice No. 14-21 (Dated 10-27-21)</w:t>
        </w:r>
      </w:hyperlink>
    </w:p>
    <w:p w14:paraId="1DDA765C" w14:textId="7B81E7B9" w:rsidR="00812BAF" w:rsidRPr="00C82789" w:rsidRDefault="001C73DA" w:rsidP="004820E2">
      <w:pPr>
        <w:pStyle w:val="NoSpacing"/>
        <w:rPr>
          <w:rStyle w:val="Hyperlink"/>
          <w:rFonts w:ascii="Times New Roman" w:hAnsi="Times New Roman"/>
          <w:color w:val="0000FF"/>
          <w:sz w:val="24"/>
          <w:szCs w:val="24"/>
        </w:rPr>
      </w:pPr>
      <w:hyperlink r:id="rId19" w:history="1">
        <w:r w:rsidR="00B17BD4" w:rsidRPr="00686E89">
          <w:rPr>
            <w:rStyle w:val="Hyperlink"/>
            <w:rFonts w:ascii="Times New Roman" w:hAnsi="Times New Roman" w:cs="Times New Roman"/>
            <w:sz w:val="24"/>
            <w:szCs w:val="24"/>
          </w:rPr>
          <w:t>U.S. Dept. of Labor Training and Employment Notice No. 18-21 (Dated 1-4-22)</w:t>
        </w:r>
      </w:hyperlink>
      <w:r w:rsidR="00812BAF" w:rsidRPr="00C82789">
        <w:rPr>
          <w:rStyle w:val="Hyperlink"/>
          <w:rFonts w:ascii="Times New Roman" w:hAnsi="Times New Roman"/>
          <w:color w:val="0000FF"/>
          <w:sz w:val="24"/>
          <w:szCs w:val="24"/>
        </w:rPr>
        <w:t xml:space="preserve"> </w:t>
      </w:r>
    </w:p>
    <w:p w14:paraId="0425ADCF" w14:textId="77777777" w:rsidR="00846DCA" w:rsidRPr="008D4862" w:rsidRDefault="001C73DA" w:rsidP="00846DCA">
      <w:pPr>
        <w:rPr>
          <w:rFonts w:ascii="Times New Roman" w:eastAsia="Times New Roman" w:hAnsi="Times New Roman"/>
          <w:sz w:val="24"/>
          <w:szCs w:val="24"/>
          <w:u w:val="single"/>
        </w:rPr>
      </w:pPr>
      <w:hyperlink r:id="rId20" w:history="1">
        <w:r w:rsidR="00846DCA" w:rsidRPr="003B27EA">
          <w:rPr>
            <w:rStyle w:val="Hyperlink"/>
            <w:rFonts w:ascii="Times New Roman" w:eastAsia="Arial" w:hAnsi="Times New Roman"/>
            <w:sz w:val="24"/>
            <w:szCs w:val="24"/>
          </w:rPr>
          <w:t>2018 WIOA Core Monitoring Guide</w:t>
        </w:r>
      </w:hyperlink>
    </w:p>
    <w:p w14:paraId="3306897C" w14:textId="77777777" w:rsidR="00AB3D71" w:rsidRPr="00302A7C" w:rsidRDefault="001C73DA" w:rsidP="00AB3D71">
      <w:pPr>
        <w:pStyle w:val="NoSpacing"/>
        <w:rPr>
          <w:rStyle w:val="Hyperlink"/>
          <w:rFonts w:ascii="Times New Roman" w:hAnsi="Times New Roman" w:cs="Times New Roman"/>
          <w:color w:val="auto"/>
          <w:sz w:val="24"/>
          <w:szCs w:val="24"/>
        </w:rPr>
      </w:pPr>
      <w:hyperlink r:id="rId21" w:history="1">
        <w:r w:rsidR="00AB3D71" w:rsidRPr="00302A7C">
          <w:rPr>
            <w:rStyle w:val="Hyperlink"/>
            <w:rFonts w:ascii="Times New Roman" w:hAnsi="Times New Roman" w:cs="Times New Roman"/>
            <w:color w:val="auto"/>
            <w:sz w:val="24"/>
            <w:szCs w:val="24"/>
          </w:rPr>
          <w:t>U.S. Dept. of Labor Training and Employment Guidance Letter No. 10-16, Change 2 (Dated 9-15-22)</w:t>
        </w:r>
      </w:hyperlink>
    </w:p>
    <w:p w14:paraId="1CD52C19" w14:textId="77777777" w:rsidR="00AB3D71" w:rsidRPr="00302A7C" w:rsidRDefault="001C73DA" w:rsidP="00AB3D71">
      <w:pPr>
        <w:pStyle w:val="NoSpacing"/>
        <w:rPr>
          <w:rStyle w:val="Hyperlink"/>
          <w:rFonts w:ascii="Times New Roman" w:hAnsi="Times New Roman" w:cs="Times New Roman"/>
          <w:color w:val="auto"/>
          <w:sz w:val="24"/>
          <w:szCs w:val="24"/>
        </w:rPr>
      </w:pPr>
      <w:hyperlink r:id="rId22" w:history="1">
        <w:r w:rsidR="00AB3D71" w:rsidRPr="00302A7C">
          <w:rPr>
            <w:rStyle w:val="Hyperlink"/>
            <w:rFonts w:ascii="Times New Roman" w:hAnsi="Times New Roman" w:cs="Times New Roman"/>
            <w:color w:val="auto"/>
            <w:sz w:val="24"/>
            <w:szCs w:val="24"/>
          </w:rPr>
          <w:t>U.S. Dept. of Labor Training and Employment Guidance Letter No. 23-19, Change 1 (Dated 10-25-22</w:t>
        </w:r>
      </w:hyperlink>
      <w:r w:rsidR="00AB3D71" w:rsidRPr="00302A7C">
        <w:rPr>
          <w:rStyle w:val="Hyperlink"/>
          <w:rFonts w:ascii="Times New Roman" w:hAnsi="Times New Roman" w:cs="Times New Roman"/>
          <w:color w:val="auto"/>
          <w:sz w:val="24"/>
          <w:szCs w:val="24"/>
        </w:rPr>
        <w:t>)</w:t>
      </w:r>
    </w:p>
    <w:p w14:paraId="39096A96" w14:textId="77777777" w:rsidR="00AB3D71" w:rsidRPr="00302A7C" w:rsidRDefault="001C73DA" w:rsidP="00AB3D71">
      <w:pPr>
        <w:rPr>
          <w:rStyle w:val="Hyperlink"/>
          <w:rFonts w:ascii="Times New Roman" w:hAnsi="Times New Roman"/>
          <w:color w:val="auto"/>
          <w:sz w:val="24"/>
          <w:szCs w:val="24"/>
        </w:rPr>
      </w:pPr>
      <w:hyperlink r:id="rId23" w:history="1">
        <w:r w:rsidR="00AB3D71" w:rsidRPr="00302A7C">
          <w:rPr>
            <w:rStyle w:val="Hyperlink"/>
            <w:rFonts w:ascii="Times New Roman" w:hAnsi="Times New Roman"/>
            <w:color w:val="auto"/>
            <w:sz w:val="24"/>
            <w:szCs w:val="24"/>
          </w:rPr>
          <w:t>U.S. Dept. of Labor Training and Employment Guidance Letter No. 9-22 (Dated March 2, 2023)</w:t>
        </w:r>
      </w:hyperlink>
    </w:p>
    <w:p w14:paraId="394ADC7A" w14:textId="77777777" w:rsidR="00AB3D71" w:rsidRPr="00302A7C" w:rsidRDefault="001C73DA" w:rsidP="00AB3D71">
      <w:pPr>
        <w:rPr>
          <w:rFonts w:ascii="Times New Roman" w:eastAsia="Times New Roman" w:hAnsi="Times New Roman"/>
          <w:sz w:val="24"/>
          <w:szCs w:val="18"/>
        </w:rPr>
      </w:pPr>
      <w:hyperlink r:id="rId24" w:history="1">
        <w:r w:rsidR="00AB3D71" w:rsidRPr="00302A7C">
          <w:rPr>
            <w:rStyle w:val="Hyperlink"/>
            <w:rFonts w:ascii="Times New Roman" w:hAnsi="Times New Roman"/>
            <w:color w:val="auto"/>
            <w:sz w:val="24"/>
            <w:szCs w:val="24"/>
          </w:rPr>
          <w:t>U.S. Dept. of Labor Training and Employment Guidance Letter No. 23-19, Change 2 (Dated 5-12-23)</w:t>
        </w:r>
      </w:hyperlink>
    </w:p>
    <w:p w14:paraId="1ED6F24E" w14:textId="204954D8" w:rsidR="0066116B" w:rsidRPr="00302A7C" w:rsidRDefault="001C73DA" w:rsidP="0066116B">
      <w:pPr>
        <w:rPr>
          <w:rFonts w:ascii="Times New Roman" w:hAnsi="Times New Roman"/>
          <w:sz w:val="24"/>
          <w:szCs w:val="24"/>
          <w:highlight w:val="yellow"/>
        </w:rPr>
      </w:pPr>
      <w:hyperlink r:id="rId25" w:history="1">
        <w:r w:rsidR="009E79D2" w:rsidRPr="00302A7C">
          <w:rPr>
            <w:rStyle w:val="Hyperlink"/>
            <w:rFonts w:ascii="Times New Roman" w:hAnsi="Times New Roman"/>
            <w:sz w:val="24"/>
            <w:szCs w:val="24"/>
            <w:highlight w:val="yellow"/>
          </w:rPr>
          <w:t>Federal Register</w:t>
        </w:r>
      </w:hyperlink>
      <w:r w:rsidR="009E79D2" w:rsidRPr="00302A7C">
        <w:rPr>
          <w:rFonts w:ascii="Times New Roman" w:hAnsi="Times New Roman"/>
          <w:sz w:val="24"/>
          <w:szCs w:val="24"/>
          <w:highlight w:val="yellow"/>
        </w:rPr>
        <w:t xml:space="preserve"> July 13.2023</w:t>
      </w:r>
    </w:p>
    <w:p w14:paraId="371A4F63" w14:textId="6FB1B980" w:rsidR="00C82789" w:rsidRDefault="001C73DA" w:rsidP="0066116B">
      <w:pPr>
        <w:rPr>
          <w:rFonts w:ascii="Times New Roman" w:hAnsi="Times New Roman"/>
          <w:sz w:val="24"/>
          <w:szCs w:val="24"/>
        </w:rPr>
      </w:pPr>
      <w:hyperlink r:id="rId26" w:history="1">
        <w:r w:rsidR="002C4002" w:rsidRPr="002C0378">
          <w:rPr>
            <w:rStyle w:val="Hyperlink"/>
            <w:rFonts w:ascii="Times New Roman" w:hAnsi="Times New Roman"/>
            <w:sz w:val="24"/>
            <w:szCs w:val="24"/>
            <w:highlight w:val="yellow"/>
          </w:rPr>
          <w:t>Minnesota assessment policy</w:t>
        </w:r>
      </w:hyperlink>
      <w:r w:rsidR="002C4002" w:rsidRPr="002C0378">
        <w:rPr>
          <w:rFonts w:ascii="Times New Roman" w:hAnsi="Times New Roman"/>
          <w:sz w:val="24"/>
          <w:szCs w:val="24"/>
          <w:highlight w:val="yellow"/>
        </w:rPr>
        <w:t>, October 31, 2023</w:t>
      </w:r>
    </w:p>
    <w:p w14:paraId="102648CE" w14:textId="77777777" w:rsidR="002C4002" w:rsidRPr="00302A7C" w:rsidRDefault="002C4002" w:rsidP="0066116B">
      <w:pPr>
        <w:rPr>
          <w:rFonts w:ascii="Times New Roman" w:hAnsi="Times New Roman"/>
          <w:sz w:val="24"/>
          <w:szCs w:val="24"/>
        </w:rPr>
      </w:pPr>
    </w:p>
    <w:p w14:paraId="07645386" w14:textId="77777777" w:rsidR="0066116B" w:rsidRPr="00302A7C" w:rsidRDefault="0066116B" w:rsidP="0066116B">
      <w:pPr>
        <w:rPr>
          <w:rFonts w:ascii="Times New Roman" w:hAnsi="Times New Roman"/>
          <w:sz w:val="24"/>
          <w:szCs w:val="24"/>
          <w:highlight w:val="yellow"/>
        </w:rPr>
      </w:pPr>
      <w:r w:rsidRPr="00302A7C">
        <w:rPr>
          <w:rFonts w:ascii="Times New Roman" w:hAnsi="Times New Roman"/>
          <w:sz w:val="24"/>
          <w:szCs w:val="24"/>
          <w:highlight w:val="yellow"/>
        </w:rPr>
        <w:t>Effective Date</w:t>
      </w:r>
    </w:p>
    <w:p w14:paraId="2EE4E4E4" w14:textId="76B5E3A2" w:rsidR="0066116B" w:rsidRPr="00302A7C" w:rsidRDefault="00302A7C" w:rsidP="0066116B">
      <w:pPr>
        <w:rPr>
          <w:rFonts w:ascii="Times New Roman" w:hAnsi="Times New Roman"/>
          <w:sz w:val="24"/>
          <w:szCs w:val="24"/>
          <w:highlight w:val="yellow"/>
        </w:rPr>
      </w:pPr>
      <w:r w:rsidRPr="00302A7C">
        <w:rPr>
          <w:rFonts w:ascii="Times New Roman" w:hAnsi="Times New Roman"/>
          <w:sz w:val="24"/>
          <w:szCs w:val="24"/>
          <w:highlight w:val="yellow"/>
        </w:rPr>
        <w:t>10/31/2023</w:t>
      </w:r>
    </w:p>
    <w:p w14:paraId="1E2DD4EC" w14:textId="77777777" w:rsidR="0066116B" w:rsidRPr="00302A7C" w:rsidRDefault="0066116B" w:rsidP="0066116B">
      <w:pPr>
        <w:rPr>
          <w:rFonts w:ascii="Times New Roman" w:hAnsi="Times New Roman"/>
          <w:sz w:val="24"/>
          <w:szCs w:val="24"/>
          <w:highlight w:val="yellow"/>
        </w:rPr>
      </w:pPr>
    </w:p>
    <w:p w14:paraId="5F4E3042" w14:textId="77777777" w:rsidR="0066116B" w:rsidRPr="00302A7C" w:rsidRDefault="0066116B" w:rsidP="0066116B">
      <w:pPr>
        <w:rPr>
          <w:rFonts w:ascii="Times New Roman" w:hAnsi="Times New Roman"/>
          <w:sz w:val="24"/>
          <w:szCs w:val="24"/>
          <w:highlight w:val="yellow"/>
        </w:rPr>
      </w:pPr>
      <w:r w:rsidRPr="00302A7C">
        <w:rPr>
          <w:rFonts w:ascii="Times New Roman" w:hAnsi="Times New Roman"/>
          <w:sz w:val="24"/>
          <w:szCs w:val="24"/>
          <w:highlight w:val="yellow"/>
        </w:rPr>
        <w:t>Last Updated</w:t>
      </w:r>
    </w:p>
    <w:p w14:paraId="559E3B9A" w14:textId="609E3D82" w:rsidR="0066116B" w:rsidRPr="001C73DA" w:rsidRDefault="00302A7C" w:rsidP="0066116B">
      <w:pPr>
        <w:rPr>
          <w:rFonts w:ascii="Times New Roman" w:hAnsi="Times New Roman"/>
          <w:sz w:val="24"/>
          <w:szCs w:val="24"/>
        </w:rPr>
      </w:pPr>
      <w:r w:rsidRPr="001C73DA">
        <w:rPr>
          <w:rFonts w:ascii="Times New Roman" w:hAnsi="Times New Roman"/>
          <w:sz w:val="24"/>
          <w:szCs w:val="24"/>
          <w:highlight w:val="yellow"/>
        </w:rPr>
        <w:t>11/0</w:t>
      </w:r>
      <w:r w:rsidR="002C0378" w:rsidRPr="001C73DA">
        <w:rPr>
          <w:rFonts w:ascii="Times New Roman" w:hAnsi="Times New Roman"/>
          <w:sz w:val="24"/>
          <w:szCs w:val="24"/>
          <w:highlight w:val="yellow"/>
        </w:rPr>
        <w:t>7</w:t>
      </w:r>
      <w:r w:rsidRPr="001C73DA">
        <w:rPr>
          <w:rFonts w:ascii="Times New Roman" w:hAnsi="Times New Roman"/>
          <w:sz w:val="24"/>
          <w:szCs w:val="24"/>
          <w:highlight w:val="yellow"/>
        </w:rPr>
        <w:t>/2023</w:t>
      </w:r>
    </w:p>
    <w:p w14:paraId="326164CE" w14:textId="77777777" w:rsidR="0066116B" w:rsidRPr="000365CC" w:rsidRDefault="0066116B" w:rsidP="0066116B">
      <w:pPr>
        <w:rPr>
          <w:rFonts w:ascii="Times New Roman" w:hAnsi="Times New Roman"/>
          <w:sz w:val="24"/>
          <w:szCs w:val="24"/>
        </w:rPr>
      </w:pPr>
    </w:p>
    <w:p w14:paraId="5D64EEDA" w14:textId="77777777" w:rsidR="0066116B" w:rsidRPr="000365CC" w:rsidRDefault="0066116B" w:rsidP="0066116B">
      <w:pPr>
        <w:rPr>
          <w:rFonts w:ascii="Times New Roman" w:hAnsi="Times New Roman"/>
          <w:sz w:val="24"/>
          <w:szCs w:val="24"/>
        </w:rPr>
      </w:pPr>
      <w:r w:rsidRPr="000365CC">
        <w:rPr>
          <w:rFonts w:ascii="Times New Roman" w:hAnsi="Times New Roman"/>
          <w:sz w:val="24"/>
          <w:szCs w:val="24"/>
        </w:rPr>
        <w:t>Contact</w:t>
      </w:r>
    </w:p>
    <w:p w14:paraId="29219939" w14:textId="5606EE68" w:rsidR="0066116B" w:rsidRDefault="00302A7C" w:rsidP="0066116B">
      <w:pPr>
        <w:rPr>
          <w:rFonts w:ascii="Times New Roman" w:hAnsi="Times New Roman"/>
          <w:sz w:val="24"/>
          <w:szCs w:val="24"/>
        </w:rPr>
      </w:pPr>
      <w:r>
        <w:rPr>
          <w:rFonts w:ascii="Times New Roman" w:hAnsi="Times New Roman"/>
          <w:sz w:val="24"/>
          <w:szCs w:val="24"/>
        </w:rPr>
        <w:t>Ahmed Mohidin</w:t>
      </w:r>
    </w:p>
    <w:p w14:paraId="62F4DF79" w14:textId="65F1EB86" w:rsidR="00302A7C" w:rsidRPr="000365CC" w:rsidRDefault="00302A7C" w:rsidP="0066116B">
      <w:pPr>
        <w:rPr>
          <w:rFonts w:ascii="Times New Roman" w:hAnsi="Times New Roman"/>
          <w:sz w:val="24"/>
          <w:szCs w:val="24"/>
        </w:rPr>
      </w:pPr>
      <w:r>
        <w:rPr>
          <w:rFonts w:ascii="Times New Roman" w:hAnsi="Times New Roman"/>
          <w:sz w:val="24"/>
          <w:szCs w:val="24"/>
        </w:rPr>
        <w:t>Email:  Ahmed.Mohidin@state.mn.us</w:t>
      </w:r>
    </w:p>
    <w:p w14:paraId="08FFF248" w14:textId="77777777" w:rsidR="0066116B" w:rsidRPr="000365CC" w:rsidRDefault="000365CC" w:rsidP="0066116B">
      <w:pPr>
        <w:rPr>
          <w:rFonts w:ascii="Times New Roman" w:hAnsi="Times New Roman"/>
          <w:sz w:val="24"/>
          <w:szCs w:val="24"/>
        </w:rPr>
      </w:pPr>
      <w:r>
        <w:rPr>
          <w:rFonts w:ascii="Times New Roman" w:hAnsi="Times New Roman"/>
          <w:sz w:val="24"/>
          <w:szCs w:val="24"/>
        </w:rPr>
        <w:t xml:space="preserve">Phone: </w:t>
      </w:r>
      <w:r w:rsidR="0066116B" w:rsidRPr="000365CC">
        <w:rPr>
          <w:rFonts w:ascii="Times New Roman" w:hAnsi="Times New Roman"/>
          <w:sz w:val="24"/>
          <w:szCs w:val="24"/>
        </w:rPr>
        <w:t>651-259-7547</w:t>
      </w:r>
    </w:p>
    <w:p w14:paraId="5DFE6E13" w14:textId="77777777" w:rsidR="0066116B" w:rsidRPr="000365CC" w:rsidRDefault="0066116B" w:rsidP="0066116B">
      <w:pPr>
        <w:rPr>
          <w:rFonts w:ascii="Times New Roman" w:hAnsi="Times New Roman"/>
          <w:sz w:val="24"/>
          <w:szCs w:val="24"/>
        </w:rPr>
      </w:pPr>
      <w:r w:rsidRPr="000365CC">
        <w:rPr>
          <w:rFonts w:ascii="Times New Roman" w:hAnsi="Times New Roman"/>
          <w:sz w:val="24"/>
          <w:szCs w:val="24"/>
        </w:rPr>
        <w:t>Fa</w:t>
      </w:r>
      <w:r w:rsidR="000365CC">
        <w:rPr>
          <w:rFonts w:ascii="Times New Roman" w:hAnsi="Times New Roman"/>
          <w:sz w:val="24"/>
          <w:szCs w:val="24"/>
        </w:rPr>
        <w:t xml:space="preserve">x: </w:t>
      </w:r>
      <w:r w:rsidRPr="000365CC">
        <w:rPr>
          <w:rFonts w:ascii="Times New Roman" w:hAnsi="Times New Roman"/>
          <w:sz w:val="24"/>
          <w:szCs w:val="24"/>
        </w:rPr>
        <w:t>651-215-3842</w:t>
      </w:r>
    </w:p>
    <w:p w14:paraId="54B62F29" w14:textId="77777777" w:rsidR="00302A7C" w:rsidRDefault="00302A7C" w:rsidP="0066116B">
      <w:pPr>
        <w:rPr>
          <w:rFonts w:ascii="Times New Roman" w:hAnsi="Times New Roman"/>
          <w:sz w:val="24"/>
          <w:szCs w:val="24"/>
        </w:rPr>
      </w:pPr>
    </w:p>
    <w:p w14:paraId="567E769B" w14:textId="77777777" w:rsidR="00302A7C" w:rsidRDefault="00302A7C" w:rsidP="0066116B">
      <w:pPr>
        <w:rPr>
          <w:rFonts w:ascii="Times New Roman" w:hAnsi="Times New Roman"/>
          <w:sz w:val="24"/>
          <w:szCs w:val="24"/>
        </w:rPr>
      </w:pPr>
    </w:p>
    <w:p w14:paraId="7C9C17AA" w14:textId="6C3C0AFD" w:rsidR="0066116B" w:rsidRPr="000365CC" w:rsidRDefault="0066116B" w:rsidP="0066116B">
      <w:pPr>
        <w:rPr>
          <w:rFonts w:ascii="Times New Roman" w:hAnsi="Times New Roman"/>
          <w:sz w:val="24"/>
          <w:szCs w:val="24"/>
        </w:rPr>
      </w:pPr>
      <w:r w:rsidRPr="000365CC">
        <w:rPr>
          <w:rFonts w:ascii="Times New Roman" w:hAnsi="Times New Roman"/>
          <w:sz w:val="24"/>
          <w:szCs w:val="24"/>
        </w:rPr>
        <w:lastRenderedPageBreak/>
        <w:t>Policy</w:t>
      </w:r>
    </w:p>
    <w:p w14:paraId="0B44C335" w14:textId="77777777" w:rsidR="0066116B" w:rsidRPr="000365CC" w:rsidRDefault="0066116B" w:rsidP="0066116B">
      <w:pPr>
        <w:rPr>
          <w:rFonts w:ascii="Times New Roman" w:hAnsi="Times New Roman"/>
          <w:sz w:val="24"/>
          <w:szCs w:val="24"/>
        </w:rPr>
      </w:pPr>
    </w:p>
    <w:p w14:paraId="680171D6" w14:textId="77777777" w:rsidR="0066116B" w:rsidRPr="000365CC" w:rsidRDefault="0066116B" w:rsidP="0066116B">
      <w:pPr>
        <w:rPr>
          <w:rFonts w:ascii="Times New Roman" w:hAnsi="Times New Roman"/>
          <w:b/>
          <w:sz w:val="24"/>
          <w:szCs w:val="24"/>
        </w:rPr>
      </w:pPr>
      <w:r w:rsidRPr="000365CC">
        <w:rPr>
          <w:rFonts w:ascii="Times New Roman" w:hAnsi="Times New Roman"/>
          <w:b/>
          <w:sz w:val="24"/>
          <w:szCs w:val="24"/>
        </w:rPr>
        <w:t>Action Required</w:t>
      </w:r>
    </w:p>
    <w:p w14:paraId="1A7917AE" w14:textId="77777777" w:rsidR="00395F28" w:rsidRPr="000365CC" w:rsidRDefault="0074717F" w:rsidP="0066116B">
      <w:pPr>
        <w:rPr>
          <w:rFonts w:ascii="Times New Roman" w:hAnsi="Times New Roman"/>
          <w:sz w:val="24"/>
          <w:szCs w:val="24"/>
        </w:rPr>
      </w:pPr>
      <w:r w:rsidRPr="000365CC">
        <w:rPr>
          <w:rFonts w:ascii="Times New Roman" w:hAnsi="Times New Roman"/>
          <w:sz w:val="24"/>
          <w:szCs w:val="24"/>
        </w:rPr>
        <w:t xml:space="preserve">Local Workforce Development Areas (WDAs) have </w:t>
      </w:r>
      <w:r w:rsidR="0066116B" w:rsidRPr="000365CC">
        <w:rPr>
          <w:rFonts w:ascii="Times New Roman" w:hAnsi="Times New Roman"/>
          <w:sz w:val="24"/>
          <w:szCs w:val="24"/>
        </w:rPr>
        <w:t xml:space="preserve">five </w:t>
      </w:r>
      <w:r w:rsidRPr="000365CC">
        <w:rPr>
          <w:rFonts w:ascii="Times New Roman" w:hAnsi="Times New Roman"/>
          <w:sz w:val="24"/>
          <w:szCs w:val="24"/>
        </w:rPr>
        <w:t xml:space="preserve">different </w:t>
      </w:r>
      <w:r w:rsidR="0066116B" w:rsidRPr="000365CC">
        <w:rPr>
          <w:rFonts w:ascii="Times New Roman" w:hAnsi="Times New Roman"/>
          <w:sz w:val="24"/>
          <w:szCs w:val="24"/>
        </w:rPr>
        <w:t xml:space="preserve">options under the </w:t>
      </w:r>
      <w:r w:rsidRPr="000365CC">
        <w:rPr>
          <w:rFonts w:ascii="Times New Roman" w:hAnsi="Times New Roman"/>
          <w:sz w:val="24"/>
          <w:szCs w:val="24"/>
        </w:rPr>
        <w:t xml:space="preserve">WIOA </w:t>
      </w:r>
      <w:r w:rsidR="0066116B" w:rsidRPr="000365CC">
        <w:rPr>
          <w:rFonts w:ascii="Times New Roman" w:hAnsi="Times New Roman"/>
          <w:sz w:val="24"/>
          <w:szCs w:val="24"/>
        </w:rPr>
        <w:t xml:space="preserve">Measurable Skills Gain performance measure </w:t>
      </w:r>
      <w:r w:rsidR="00085198">
        <w:rPr>
          <w:rFonts w:ascii="Times New Roman" w:hAnsi="Times New Roman"/>
          <w:sz w:val="24"/>
          <w:szCs w:val="24"/>
        </w:rPr>
        <w:t xml:space="preserve">for a participant </w:t>
      </w:r>
      <w:r w:rsidRPr="000365CC">
        <w:rPr>
          <w:rFonts w:ascii="Times New Roman" w:hAnsi="Times New Roman"/>
          <w:sz w:val="24"/>
          <w:szCs w:val="24"/>
        </w:rPr>
        <w:t xml:space="preserve">to be counted in the numerator. One available option is “Documented achievement of at least one educational functioning level of a participant who is receiving instruction below the </w:t>
      </w:r>
      <w:r w:rsidR="00395F28" w:rsidRPr="000365CC">
        <w:rPr>
          <w:rFonts w:ascii="Times New Roman" w:hAnsi="Times New Roman"/>
          <w:sz w:val="24"/>
          <w:szCs w:val="24"/>
        </w:rPr>
        <w:t>postsecondary education level.”</w:t>
      </w:r>
    </w:p>
    <w:p w14:paraId="328E2822" w14:textId="77777777" w:rsidR="00395F28" w:rsidRPr="000365CC" w:rsidRDefault="00395F28" w:rsidP="0066116B">
      <w:pPr>
        <w:rPr>
          <w:rFonts w:ascii="Times New Roman" w:hAnsi="Times New Roman"/>
          <w:sz w:val="24"/>
          <w:szCs w:val="24"/>
        </w:rPr>
      </w:pPr>
    </w:p>
    <w:p w14:paraId="12A6637E" w14:textId="265F82F6" w:rsidR="0066116B" w:rsidRPr="000365CC" w:rsidRDefault="0074717F" w:rsidP="0066116B">
      <w:pPr>
        <w:rPr>
          <w:rFonts w:ascii="Times New Roman" w:hAnsi="Times New Roman"/>
          <w:sz w:val="24"/>
          <w:szCs w:val="24"/>
        </w:rPr>
      </w:pPr>
      <w:r w:rsidRPr="000365CC">
        <w:rPr>
          <w:rFonts w:ascii="Times New Roman" w:hAnsi="Times New Roman"/>
          <w:sz w:val="24"/>
          <w:szCs w:val="24"/>
        </w:rPr>
        <w:t xml:space="preserve">This policy focuses </w:t>
      </w:r>
      <w:r w:rsidR="00FA250E">
        <w:rPr>
          <w:rFonts w:ascii="Times New Roman" w:hAnsi="Times New Roman"/>
          <w:sz w:val="24"/>
          <w:szCs w:val="24"/>
        </w:rPr>
        <w:t>ONLY</w:t>
      </w:r>
      <w:r w:rsidRPr="000365CC">
        <w:rPr>
          <w:rFonts w:ascii="Times New Roman" w:hAnsi="Times New Roman"/>
          <w:sz w:val="24"/>
          <w:szCs w:val="24"/>
        </w:rPr>
        <w:t xml:space="preserve"> on Educational Functioning Levels (EFLs)</w:t>
      </w:r>
      <w:r w:rsidR="000A00F1" w:rsidRPr="000365CC">
        <w:rPr>
          <w:rFonts w:ascii="Times New Roman" w:hAnsi="Times New Roman"/>
          <w:sz w:val="24"/>
          <w:szCs w:val="24"/>
        </w:rPr>
        <w:t xml:space="preserve"> as part of the Measurable Skills Gain performance measure</w:t>
      </w:r>
      <w:r w:rsidR="00AB3D71">
        <w:rPr>
          <w:rFonts w:ascii="Times New Roman" w:hAnsi="Times New Roman"/>
          <w:sz w:val="24"/>
          <w:szCs w:val="24"/>
        </w:rPr>
        <w:t xml:space="preserve"> for WIOA Youth</w:t>
      </w:r>
      <w:r w:rsidRPr="00846DCA">
        <w:rPr>
          <w:rFonts w:ascii="Times New Roman" w:hAnsi="Times New Roman"/>
          <w:sz w:val="24"/>
          <w:szCs w:val="24"/>
        </w:rPr>
        <w:t>.</w:t>
      </w:r>
      <w:r w:rsidR="00C82789" w:rsidRPr="00846DCA">
        <w:rPr>
          <w:rFonts w:ascii="Times New Roman" w:hAnsi="Times New Roman"/>
          <w:sz w:val="24"/>
          <w:szCs w:val="24"/>
        </w:rPr>
        <w:t xml:space="preserve"> Please note that information relating to using EFL gain under the Measurable Skills Gain performance measure may be subject to data validation requirements.</w:t>
      </w:r>
    </w:p>
    <w:p w14:paraId="144382A9" w14:textId="77777777" w:rsidR="0066116B" w:rsidRPr="000365CC" w:rsidRDefault="0066116B" w:rsidP="0066116B">
      <w:pPr>
        <w:rPr>
          <w:rFonts w:ascii="Times New Roman" w:hAnsi="Times New Roman"/>
          <w:sz w:val="24"/>
          <w:szCs w:val="24"/>
        </w:rPr>
      </w:pPr>
    </w:p>
    <w:p w14:paraId="7CF85579" w14:textId="77777777" w:rsidR="0066116B" w:rsidRPr="000365CC" w:rsidRDefault="0066116B" w:rsidP="0066116B">
      <w:pPr>
        <w:rPr>
          <w:rFonts w:ascii="Times New Roman" w:hAnsi="Times New Roman"/>
          <w:b/>
          <w:sz w:val="24"/>
          <w:szCs w:val="24"/>
        </w:rPr>
      </w:pPr>
      <w:r w:rsidRPr="000365CC">
        <w:rPr>
          <w:rFonts w:ascii="Times New Roman" w:hAnsi="Times New Roman"/>
          <w:b/>
          <w:sz w:val="24"/>
          <w:szCs w:val="24"/>
        </w:rPr>
        <w:t>Background</w:t>
      </w:r>
    </w:p>
    <w:p w14:paraId="5DF3F91E" w14:textId="77777777" w:rsidR="0066116B" w:rsidRPr="000365CC" w:rsidRDefault="00B81A3D" w:rsidP="0066116B">
      <w:pPr>
        <w:rPr>
          <w:rFonts w:ascii="Times New Roman" w:hAnsi="Times New Roman"/>
          <w:sz w:val="24"/>
          <w:szCs w:val="24"/>
        </w:rPr>
      </w:pPr>
      <w:r w:rsidRPr="000365CC">
        <w:rPr>
          <w:rFonts w:ascii="Times New Roman" w:hAnsi="Times New Roman"/>
          <w:sz w:val="24"/>
          <w:szCs w:val="24"/>
        </w:rPr>
        <w:t xml:space="preserve">The concept of using EFLs as a performance measure was initially introduced in 2004 under the Workforce Investment Act (WIA). Beginning in 2005, any new youth participant </w:t>
      </w:r>
      <w:r w:rsidR="00876418" w:rsidRPr="000365CC">
        <w:rPr>
          <w:rFonts w:ascii="Times New Roman" w:hAnsi="Times New Roman"/>
          <w:sz w:val="24"/>
          <w:szCs w:val="24"/>
        </w:rPr>
        <w:t xml:space="preserve">who was out of school at the time of enrollment was required to take a basic skills test using one of the National Reporting System (NRS) </w:t>
      </w:r>
      <w:r w:rsidR="00795444" w:rsidRPr="000365CC">
        <w:rPr>
          <w:rFonts w:ascii="Times New Roman" w:hAnsi="Times New Roman"/>
          <w:sz w:val="24"/>
          <w:szCs w:val="24"/>
        </w:rPr>
        <w:t>approved testing instruments.</w:t>
      </w:r>
      <w:r w:rsidR="00876418" w:rsidRPr="000365CC">
        <w:rPr>
          <w:rFonts w:ascii="Times New Roman" w:hAnsi="Times New Roman"/>
          <w:sz w:val="24"/>
          <w:szCs w:val="24"/>
        </w:rPr>
        <w:t xml:space="preserve"> This only applied to WIA youth</w:t>
      </w:r>
      <w:r w:rsidR="00085198">
        <w:rPr>
          <w:rFonts w:ascii="Times New Roman" w:hAnsi="Times New Roman"/>
          <w:sz w:val="24"/>
          <w:szCs w:val="24"/>
        </w:rPr>
        <w:t xml:space="preserve"> </w:t>
      </w:r>
      <w:r w:rsidR="00085198" w:rsidRPr="00BA030C">
        <w:rPr>
          <w:rFonts w:ascii="Times New Roman" w:hAnsi="Times New Roman"/>
          <w:sz w:val="24"/>
          <w:szCs w:val="24"/>
        </w:rPr>
        <w:t>who were out of school at the time of enrollment</w:t>
      </w:r>
      <w:r w:rsidR="00876418" w:rsidRPr="00BA030C">
        <w:rPr>
          <w:rFonts w:ascii="Times New Roman" w:hAnsi="Times New Roman"/>
          <w:sz w:val="24"/>
          <w:szCs w:val="24"/>
        </w:rPr>
        <w:t xml:space="preserve">—no other WIA Title I </w:t>
      </w:r>
      <w:proofErr w:type="gramStart"/>
      <w:r w:rsidR="00876418" w:rsidRPr="00BA030C">
        <w:rPr>
          <w:rFonts w:ascii="Times New Roman" w:hAnsi="Times New Roman"/>
          <w:sz w:val="24"/>
          <w:szCs w:val="24"/>
        </w:rPr>
        <w:t>p</w:t>
      </w:r>
      <w:r w:rsidR="00876418" w:rsidRPr="000365CC">
        <w:rPr>
          <w:rFonts w:ascii="Times New Roman" w:hAnsi="Times New Roman"/>
          <w:sz w:val="24"/>
          <w:szCs w:val="24"/>
        </w:rPr>
        <w:t>rograms</w:t>
      </w:r>
      <w:proofErr w:type="gramEnd"/>
      <w:r w:rsidR="00876418" w:rsidRPr="000365CC">
        <w:rPr>
          <w:rFonts w:ascii="Times New Roman" w:hAnsi="Times New Roman"/>
          <w:sz w:val="24"/>
          <w:szCs w:val="24"/>
        </w:rPr>
        <w:t xml:space="preserve"> had this requirement.</w:t>
      </w:r>
    </w:p>
    <w:p w14:paraId="73A8DEF8" w14:textId="77777777" w:rsidR="0066116B" w:rsidRPr="000365CC" w:rsidRDefault="0066116B" w:rsidP="0066116B">
      <w:pPr>
        <w:rPr>
          <w:rFonts w:ascii="Times New Roman" w:hAnsi="Times New Roman"/>
          <w:sz w:val="24"/>
          <w:szCs w:val="24"/>
        </w:rPr>
      </w:pPr>
    </w:p>
    <w:p w14:paraId="307EBF97" w14:textId="77777777" w:rsidR="00ED7EC3" w:rsidRDefault="00876418" w:rsidP="0066116B">
      <w:pPr>
        <w:rPr>
          <w:rFonts w:ascii="Times New Roman" w:hAnsi="Times New Roman"/>
          <w:sz w:val="24"/>
          <w:szCs w:val="24"/>
        </w:rPr>
      </w:pPr>
      <w:r w:rsidRPr="000365CC">
        <w:rPr>
          <w:rFonts w:ascii="Times New Roman" w:hAnsi="Times New Roman"/>
          <w:sz w:val="24"/>
          <w:szCs w:val="24"/>
        </w:rPr>
        <w:t>Under WIOA, howeve</w:t>
      </w:r>
      <w:r w:rsidR="00795444" w:rsidRPr="000365CC">
        <w:rPr>
          <w:rFonts w:ascii="Times New Roman" w:hAnsi="Times New Roman"/>
          <w:sz w:val="24"/>
          <w:szCs w:val="24"/>
        </w:rPr>
        <w:t>r,</w:t>
      </w:r>
      <w:r w:rsidR="008E062D" w:rsidRPr="000365CC">
        <w:rPr>
          <w:rFonts w:ascii="Times New Roman" w:hAnsi="Times New Roman"/>
          <w:sz w:val="24"/>
          <w:szCs w:val="24"/>
        </w:rPr>
        <w:t xml:space="preserve"> the Measurable Skill Gain performance meas</w:t>
      </w:r>
      <w:r w:rsidR="00BA0A25" w:rsidRPr="000365CC">
        <w:rPr>
          <w:rFonts w:ascii="Times New Roman" w:hAnsi="Times New Roman"/>
          <w:sz w:val="24"/>
          <w:szCs w:val="24"/>
        </w:rPr>
        <w:t xml:space="preserve">ure </w:t>
      </w:r>
      <w:r w:rsidR="002B3C17" w:rsidRPr="000365CC">
        <w:rPr>
          <w:rFonts w:ascii="Times New Roman" w:hAnsi="Times New Roman"/>
          <w:sz w:val="24"/>
          <w:szCs w:val="24"/>
        </w:rPr>
        <w:t xml:space="preserve">not only </w:t>
      </w:r>
      <w:r w:rsidR="00BA0A25" w:rsidRPr="000365CC">
        <w:rPr>
          <w:rFonts w:ascii="Times New Roman" w:hAnsi="Times New Roman"/>
          <w:sz w:val="24"/>
          <w:szCs w:val="24"/>
        </w:rPr>
        <w:t xml:space="preserve">applies to all programs within Title </w:t>
      </w:r>
      <w:proofErr w:type="gramStart"/>
      <w:r w:rsidR="00BA0A25" w:rsidRPr="000365CC">
        <w:rPr>
          <w:rFonts w:ascii="Times New Roman" w:hAnsi="Times New Roman"/>
          <w:sz w:val="24"/>
          <w:szCs w:val="24"/>
        </w:rPr>
        <w:t>I, but</w:t>
      </w:r>
      <w:proofErr w:type="gramEnd"/>
      <w:r w:rsidR="00BA0A25" w:rsidRPr="000365CC">
        <w:rPr>
          <w:rFonts w:ascii="Times New Roman" w:hAnsi="Times New Roman"/>
          <w:sz w:val="24"/>
          <w:szCs w:val="24"/>
        </w:rPr>
        <w:t xml:space="preserve"> is also included in the other titles as well.</w:t>
      </w:r>
      <w:r w:rsidR="002B3C17" w:rsidRPr="000365CC">
        <w:rPr>
          <w:rFonts w:ascii="Times New Roman" w:hAnsi="Times New Roman"/>
          <w:sz w:val="24"/>
          <w:szCs w:val="24"/>
        </w:rPr>
        <w:t xml:space="preserve"> </w:t>
      </w:r>
      <w:r w:rsidR="00ED7EC3" w:rsidRPr="000365CC">
        <w:rPr>
          <w:rFonts w:ascii="Times New Roman" w:hAnsi="Times New Roman"/>
          <w:sz w:val="24"/>
          <w:szCs w:val="24"/>
        </w:rPr>
        <w:t>Sinc</w:t>
      </w:r>
      <w:r w:rsidR="002B3C17" w:rsidRPr="000365CC">
        <w:rPr>
          <w:rFonts w:ascii="Times New Roman" w:hAnsi="Times New Roman"/>
          <w:sz w:val="24"/>
          <w:szCs w:val="24"/>
        </w:rPr>
        <w:t xml:space="preserve">e these </w:t>
      </w:r>
      <w:r w:rsidR="00ED7EC3" w:rsidRPr="000365CC">
        <w:rPr>
          <w:rFonts w:ascii="Times New Roman" w:hAnsi="Times New Roman"/>
          <w:sz w:val="24"/>
          <w:szCs w:val="24"/>
        </w:rPr>
        <w:t xml:space="preserve">new WIOA </w:t>
      </w:r>
      <w:r w:rsidR="000A00F1" w:rsidRPr="000365CC">
        <w:rPr>
          <w:rFonts w:ascii="Times New Roman" w:hAnsi="Times New Roman"/>
          <w:sz w:val="24"/>
          <w:szCs w:val="24"/>
        </w:rPr>
        <w:t>measures</w:t>
      </w:r>
      <w:r w:rsidR="002B3C17" w:rsidRPr="000365CC">
        <w:rPr>
          <w:rFonts w:ascii="Times New Roman" w:hAnsi="Times New Roman"/>
          <w:sz w:val="24"/>
          <w:szCs w:val="24"/>
        </w:rPr>
        <w:t xml:space="preserve"> apply across </w:t>
      </w:r>
      <w:r w:rsidR="00ED7EC3" w:rsidRPr="000365CC">
        <w:rPr>
          <w:rFonts w:ascii="Times New Roman" w:hAnsi="Times New Roman"/>
          <w:sz w:val="24"/>
          <w:szCs w:val="24"/>
        </w:rPr>
        <w:t xml:space="preserve">multiple titles, a participant enrolled in one (or possibly more) programs only </w:t>
      </w:r>
      <w:proofErr w:type="gramStart"/>
      <w:r w:rsidR="00ED7EC3" w:rsidRPr="000365CC">
        <w:rPr>
          <w:rFonts w:ascii="Times New Roman" w:hAnsi="Times New Roman"/>
          <w:sz w:val="24"/>
          <w:szCs w:val="24"/>
        </w:rPr>
        <w:t>has to</w:t>
      </w:r>
      <w:proofErr w:type="gramEnd"/>
      <w:r w:rsidR="00ED7EC3" w:rsidRPr="000365CC">
        <w:rPr>
          <w:rFonts w:ascii="Times New Roman" w:hAnsi="Times New Roman"/>
          <w:sz w:val="24"/>
          <w:szCs w:val="24"/>
        </w:rPr>
        <w:t xml:space="preserve"> achieve a “positive” outcome on at least one of the five possible choices. There are other substantive differences between the old WIA “literacy/numeracy” measure and the new “Measurable Skills Gain” measure</w:t>
      </w:r>
      <w:r w:rsidR="00085198">
        <w:rPr>
          <w:rFonts w:ascii="Times New Roman" w:hAnsi="Times New Roman"/>
          <w:sz w:val="24"/>
          <w:szCs w:val="24"/>
        </w:rPr>
        <w:t xml:space="preserve"> </w:t>
      </w:r>
      <w:r w:rsidR="00085198" w:rsidRPr="00BA030C">
        <w:rPr>
          <w:rFonts w:ascii="Times New Roman" w:hAnsi="Times New Roman"/>
          <w:sz w:val="24"/>
          <w:szCs w:val="24"/>
        </w:rPr>
        <w:t>under WIOA</w:t>
      </w:r>
      <w:r w:rsidR="00ED7EC3" w:rsidRPr="00BA030C">
        <w:rPr>
          <w:rFonts w:ascii="Times New Roman" w:hAnsi="Times New Roman"/>
          <w:sz w:val="24"/>
          <w:szCs w:val="24"/>
        </w:rPr>
        <w:t xml:space="preserve">. These changes </w:t>
      </w:r>
      <w:r w:rsidR="00085198" w:rsidRPr="00BA030C">
        <w:rPr>
          <w:rFonts w:ascii="Times New Roman" w:hAnsi="Times New Roman"/>
          <w:sz w:val="24"/>
          <w:szCs w:val="24"/>
        </w:rPr>
        <w:t>may</w:t>
      </w:r>
      <w:r w:rsidR="00ED7EC3" w:rsidRPr="000365CC">
        <w:rPr>
          <w:rFonts w:ascii="Times New Roman" w:hAnsi="Times New Roman"/>
          <w:sz w:val="24"/>
          <w:szCs w:val="24"/>
        </w:rPr>
        <w:t xml:space="preserve"> impact program staff working with participants under the WIOA Youth Formula Grant Program. </w:t>
      </w:r>
    </w:p>
    <w:p w14:paraId="0988C220" w14:textId="77777777" w:rsidR="005323F8" w:rsidRDefault="005323F8" w:rsidP="0066116B">
      <w:pPr>
        <w:rPr>
          <w:rFonts w:ascii="Times New Roman" w:hAnsi="Times New Roman"/>
          <w:sz w:val="24"/>
          <w:szCs w:val="24"/>
        </w:rPr>
      </w:pPr>
    </w:p>
    <w:p w14:paraId="5E8BF6ED" w14:textId="77777777" w:rsidR="00ED7EC3" w:rsidRPr="000365CC" w:rsidRDefault="00ED7EC3" w:rsidP="0066116B">
      <w:pPr>
        <w:rPr>
          <w:rFonts w:ascii="Times New Roman" w:hAnsi="Times New Roman"/>
          <w:b/>
          <w:sz w:val="24"/>
          <w:szCs w:val="24"/>
        </w:rPr>
      </w:pPr>
      <w:r w:rsidRPr="000365CC">
        <w:rPr>
          <w:rFonts w:ascii="Times New Roman" w:hAnsi="Times New Roman"/>
          <w:b/>
          <w:sz w:val="24"/>
          <w:szCs w:val="24"/>
        </w:rPr>
        <w:t>Operational Concepts</w:t>
      </w:r>
      <w:r w:rsidR="00812BAF">
        <w:rPr>
          <w:rFonts w:ascii="Times New Roman" w:hAnsi="Times New Roman"/>
          <w:b/>
          <w:sz w:val="24"/>
          <w:szCs w:val="24"/>
        </w:rPr>
        <w:t xml:space="preserve"> u</w:t>
      </w:r>
      <w:r w:rsidR="000A00F1" w:rsidRPr="000365CC">
        <w:rPr>
          <w:rFonts w:ascii="Times New Roman" w:hAnsi="Times New Roman"/>
          <w:b/>
          <w:sz w:val="24"/>
          <w:szCs w:val="24"/>
        </w:rPr>
        <w:t>nder WIOA</w:t>
      </w:r>
    </w:p>
    <w:p w14:paraId="3A8CCFDE" w14:textId="77777777" w:rsidR="00ED7EC3" w:rsidRPr="000365CC" w:rsidRDefault="00ED7EC3" w:rsidP="0066116B">
      <w:pPr>
        <w:rPr>
          <w:rFonts w:ascii="Times New Roman" w:hAnsi="Times New Roman"/>
          <w:sz w:val="24"/>
          <w:szCs w:val="24"/>
        </w:rPr>
      </w:pPr>
    </w:p>
    <w:p w14:paraId="470F5575" w14:textId="77777777" w:rsidR="0066116B" w:rsidRPr="000365CC" w:rsidRDefault="000A00F1" w:rsidP="0066116B">
      <w:pPr>
        <w:rPr>
          <w:rFonts w:ascii="Times New Roman" w:hAnsi="Times New Roman"/>
          <w:sz w:val="24"/>
          <w:szCs w:val="24"/>
        </w:rPr>
      </w:pPr>
      <w:r w:rsidRPr="000365CC">
        <w:rPr>
          <w:rFonts w:ascii="Times New Roman" w:hAnsi="Times New Roman"/>
          <w:sz w:val="24"/>
          <w:szCs w:val="24"/>
        </w:rPr>
        <w:t>S</w:t>
      </w:r>
      <w:r w:rsidR="00ED7EC3" w:rsidRPr="000365CC">
        <w:rPr>
          <w:rFonts w:ascii="Times New Roman" w:hAnsi="Times New Roman"/>
          <w:sz w:val="24"/>
          <w:szCs w:val="24"/>
        </w:rPr>
        <w:t xml:space="preserve">ubstantive changes </w:t>
      </w:r>
      <w:r w:rsidRPr="000365CC">
        <w:rPr>
          <w:rFonts w:ascii="Times New Roman" w:hAnsi="Times New Roman"/>
          <w:sz w:val="24"/>
          <w:szCs w:val="24"/>
        </w:rPr>
        <w:t xml:space="preserve">from previous practice under WIA </w:t>
      </w:r>
      <w:r w:rsidR="00ED7EC3" w:rsidRPr="000365CC">
        <w:rPr>
          <w:rFonts w:ascii="Times New Roman" w:hAnsi="Times New Roman"/>
          <w:sz w:val="24"/>
          <w:szCs w:val="24"/>
        </w:rPr>
        <w:t>include the following:</w:t>
      </w:r>
    </w:p>
    <w:p w14:paraId="324E533B" w14:textId="77777777" w:rsidR="00ED7EC3" w:rsidRPr="000365CC" w:rsidRDefault="00ED7EC3" w:rsidP="0066116B">
      <w:pPr>
        <w:rPr>
          <w:rFonts w:ascii="Times New Roman" w:hAnsi="Times New Roman"/>
          <w:sz w:val="24"/>
          <w:szCs w:val="24"/>
        </w:rPr>
      </w:pPr>
    </w:p>
    <w:p w14:paraId="01DBBD3A" w14:textId="77777777" w:rsidR="005323F8" w:rsidRPr="00C82789" w:rsidRDefault="005323F8" w:rsidP="00ED7EC3">
      <w:pPr>
        <w:pStyle w:val="ListParagraph"/>
        <w:numPr>
          <w:ilvl w:val="0"/>
          <w:numId w:val="2"/>
        </w:numPr>
        <w:rPr>
          <w:rFonts w:ascii="Times New Roman" w:hAnsi="Times New Roman"/>
          <w:sz w:val="24"/>
          <w:szCs w:val="24"/>
        </w:rPr>
      </w:pPr>
      <w:r w:rsidRPr="00C82789">
        <w:rPr>
          <w:rFonts w:ascii="Times New Roman" w:hAnsi="Times New Roman"/>
          <w:sz w:val="24"/>
          <w:szCs w:val="24"/>
        </w:rPr>
        <w:t>WIOA Youth participants who are included in the Measurable Skill Gain performance measure include ALL ISY attending secondary OR postsecondary school. Only those out-of-school youth (OSY) who meet one or more of the criteria below are included in the MSG calculation:</w:t>
      </w:r>
    </w:p>
    <w:p w14:paraId="65F715C9" w14:textId="77777777" w:rsidR="005323F8" w:rsidRPr="00C82789" w:rsidRDefault="005323F8" w:rsidP="005323F8">
      <w:pPr>
        <w:pStyle w:val="ListParagraph"/>
        <w:rPr>
          <w:rFonts w:ascii="Times New Roman" w:hAnsi="Times New Roman"/>
          <w:sz w:val="24"/>
          <w:szCs w:val="24"/>
        </w:rPr>
      </w:pPr>
    </w:p>
    <w:p w14:paraId="530BB74F" w14:textId="77777777" w:rsidR="005323F8" w:rsidRPr="00C82789" w:rsidRDefault="005323F8" w:rsidP="005323F8">
      <w:pPr>
        <w:pStyle w:val="ListParagraph"/>
        <w:numPr>
          <w:ilvl w:val="1"/>
          <w:numId w:val="2"/>
        </w:numPr>
        <w:rPr>
          <w:rFonts w:ascii="Times New Roman" w:hAnsi="Times New Roman"/>
          <w:sz w:val="24"/>
          <w:szCs w:val="24"/>
        </w:rPr>
      </w:pPr>
      <w:r w:rsidRPr="00C82789">
        <w:rPr>
          <w:rFonts w:ascii="Times New Roman" w:hAnsi="Times New Roman"/>
          <w:sz w:val="24"/>
          <w:szCs w:val="24"/>
        </w:rPr>
        <w:t xml:space="preserve">OSY participants with an open Occupational Skills Training </w:t>
      </w:r>
      <w:proofErr w:type="gramStart"/>
      <w:r w:rsidRPr="00C82789">
        <w:rPr>
          <w:rFonts w:ascii="Times New Roman" w:hAnsi="Times New Roman"/>
          <w:sz w:val="24"/>
          <w:szCs w:val="24"/>
        </w:rPr>
        <w:t>activity;</w:t>
      </w:r>
      <w:proofErr w:type="gramEnd"/>
    </w:p>
    <w:p w14:paraId="038422C7" w14:textId="77777777" w:rsidR="00A472E7" w:rsidRPr="00C82789" w:rsidRDefault="005323F8" w:rsidP="005323F8">
      <w:pPr>
        <w:pStyle w:val="ListParagraph"/>
        <w:numPr>
          <w:ilvl w:val="1"/>
          <w:numId w:val="2"/>
        </w:numPr>
        <w:rPr>
          <w:rFonts w:ascii="Times New Roman" w:hAnsi="Times New Roman"/>
          <w:sz w:val="24"/>
          <w:szCs w:val="24"/>
        </w:rPr>
      </w:pPr>
      <w:r w:rsidRPr="00C82789">
        <w:rPr>
          <w:rFonts w:ascii="Times New Roman" w:hAnsi="Times New Roman"/>
          <w:sz w:val="24"/>
          <w:szCs w:val="24"/>
        </w:rPr>
        <w:t xml:space="preserve">OSY participants </w:t>
      </w:r>
      <w:r w:rsidR="00A472E7" w:rsidRPr="00C82789">
        <w:rPr>
          <w:rFonts w:ascii="Times New Roman" w:hAnsi="Times New Roman"/>
          <w:sz w:val="24"/>
          <w:szCs w:val="24"/>
        </w:rPr>
        <w:t>returning to</w:t>
      </w:r>
      <w:r w:rsidRPr="00C82789">
        <w:rPr>
          <w:rFonts w:ascii="Times New Roman" w:hAnsi="Times New Roman"/>
          <w:sz w:val="24"/>
          <w:szCs w:val="24"/>
        </w:rPr>
        <w:t xml:space="preserve"> secondary education at or above the 9</w:t>
      </w:r>
      <w:r w:rsidRPr="00C82789">
        <w:rPr>
          <w:rFonts w:ascii="Times New Roman" w:hAnsi="Times New Roman"/>
          <w:sz w:val="24"/>
          <w:szCs w:val="24"/>
          <w:vertAlign w:val="superscript"/>
        </w:rPr>
        <w:t>th</w:t>
      </w:r>
      <w:r w:rsidRPr="00C82789">
        <w:rPr>
          <w:rFonts w:ascii="Times New Roman" w:hAnsi="Times New Roman"/>
          <w:sz w:val="24"/>
          <w:szCs w:val="24"/>
        </w:rPr>
        <w:t xml:space="preserve"> grade level</w:t>
      </w:r>
      <w:r w:rsidR="00A472E7" w:rsidRPr="00C82789">
        <w:rPr>
          <w:rFonts w:ascii="Times New Roman" w:hAnsi="Times New Roman"/>
          <w:sz w:val="24"/>
          <w:szCs w:val="24"/>
        </w:rPr>
        <w:t xml:space="preserve"> during participation in the WIOA Youth </w:t>
      </w:r>
      <w:proofErr w:type="gramStart"/>
      <w:r w:rsidR="00A472E7" w:rsidRPr="00C82789">
        <w:rPr>
          <w:rFonts w:ascii="Times New Roman" w:hAnsi="Times New Roman"/>
          <w:sz w:val="24"/>
          <w:szCs w:val="24"/>
        </w:rPr>
        <w:t>Program;</w:t>
      </w:r>
      <w:proofErr w:type="gramEnd"/>
    </w:p>
    <w:p w14:paraId="7F36CDEF" w14:textId="77777777" w:rsidR="00A472E7" w:rsidRPr="00C82789" w:rsidRDefault="00A472E7" w:rsidP="005323F8">
      <w:pPr>
        <w:pStyle w:val="ListParagraph"/>
        <w:numPr>
          <w:ilvl w:val="1"/>
          <w:numId w:val="2"/>
        </w:numPr>
        <w:rPr>
          <w:rFonts w:ascii="Times New Roman" w:hAnsi="Times New Roman"/>
          <w:sz w:val="24"/>
          <w:szCs w:val="24"/>
        </w:rPr>
      </w:pPr>
      <w:r w:rsidRPr="00C82789">
        <w:rPr>
          <w:rFonts w:ascii="Times New Roman" w:hAnsi="Times New Roman"/>
          <w:sz w:val="24"/>
          <w:szCs w:val="24"/>
        </w:rPr>
        <w:t xml:space="preserve">OSY participants who enroll into postsecondary education during participation in the WIOA Youth </w:t>
      </w:r>
      <w:proofErr w:type="gramStart"/>
      <w:r w:rsidRPr="00C82789">
        <w:rPr>
          <w:rFonts w:ascii="Times New Roman" w:hAnsi="Times New Roman"/>
          <w:sz w:val="24"/>
          <w:szCs w:val="24"/>
        </w:rPr>
        <w:t>Program;</w:t>
      </w:r>
      <w:proofErr w:type="gramEnd"/>
    </w:p>
    <w:p w14:paraId="74873904" w14:textId="77777777" w:rsidR="00A472E7" w:rsidRPr="00C82789" w:rsidRDefault="00A472E7" w:rsidP="005323F8">
      <w:pPr>
        <w:pStyle w:val="ListParagraph"/>
        <w:numPr>
          <w:ilvl w:val="1"/>
          <w:numId w:val="2"/>
        </w:numPr>
        <w:rPr>
          <w:rFonts w:ascii="Times New Roman" w:hAnsi="Times New Roman"/>
          <w:sz w:val="24"/>
          <w:szCs w:val="24"/>
        </w:rPr>
      </w:pPr>
      <w:r w:rsidRPr="00C82789">
        <w:rPr>
          <w:rFonts w:ascii="Times New Roman" w:hAnsi="Times New Roman"/>
          <w:sz w:val="24"/>
          <w:szCs w:val="24"/>
        </w:rPr>
        <w:t>OSY participants enrolled in a Title II-funded adult education at or above the 9</w:t>
      </w:r>
      <w:r w:rsidRPr="00C82789">
        <w:rPr>
          <w:rFonts w:ascii="Times New Roman" w:hAnsi="Times New Roman"/>
          <w:sz w:val="24"/>
          <w:szCs w:val="24"/>
          <w:vertAlign w:val="superscript"/>
        </w:rPr>
        <w:t>th</w:t>
      </w:r>
      <w:r w:rsidRPr="00C82789">
        <w:rPr>
          <w:rFonts w:ascii="Times New Roman" w:hAnsi="Times New Roman"/>
          <w:sz w:val="24"/>
          <w:szCs w:val="24"/>
        </w:rPr>
        <w:t xml:space="preserve"> grade level during participation in the WIOA Youth </w:t>
      </w:r>
      <w:proofErr w:type="gramStart"/>
      <w:r w:rsidRPr="00C82789">
        <w:rPr>
          <w:rFonts w:ascii="Times New Roman" w:hAnsi="Times New Roman"/>
          <w:sz w:val="24"/>
          <w:szCs w:val="24"/>
        </w:rPr>
        <w:t>Program;</w:t>
      </w:r>
      <w:proofErr w:type="gramEnd"/>
    </w:p>
    <w:p w14:paraId="02A33D93" w14:textId="77777777" w:rsidR="00A472E7" w:rsidRPr="00C82789" w:rsidRDefault="00A472E7" w:rsidP="005323F8">
      <w:pPr>
        <w:pStyle w:val="ListParagraph"/>
        <w:numPr>
          <w:ilvl w:val="1"/>
          <w:numId w:val="2"/>
        </w:numPr>
        <w:rPr>
          <w:rFonts w:ascii="Times New Roman" w:hAnsi="Times New Roman"/>
          <w:sz w:val="24"/>
          <w:szCs w:val="24"/>
        </w:rPr>
      </w:pPr>
      <w:r w:rsidRPr="00C82789">
        <w:rPr>
          <w:rFonts w:ascii="Times New Roman" w:hAnsi="Times New Roman"/>
          <w:sz w:val="24"/>
          <w:szCs w:val="24"/>
        </w:rPr>
        <w:t>OSY participants who are also participants in a federally-funded YouthBuild Program (does NOT include state-funded Youthbuild programs); and,</w:t>
      </w:r>
    </w:p>
    <w:p w14:paraId="4B7DF244" w14:textId="40863FA2" w:rsidR="00A472E7" w:rsidRPr="00C82789" w:rsidRDefault="00A472E7" w:rsidP="005323F8">
      <w:pPr>
        <w:pStyle w:val="ListParagraph"/>
        <w:numPr>
          <w:ilvl w:val="1"/>
          <w:numId w:val="2"/>
        </w:numPr>
        <w:rPr>
          <w:rFonts w:ascii="Times New Roman" w:hAnsi="Times New Roman"/>
          <w:sz w:val="24"/>
          <w:szCs w:val="24"/>
        </w:rPr>
      </w:pPr>
      <w:r w:rsidRPr="00C82789">
        <w:rPr>
          <w:rFonts w:ascii="Times New Roman" w:hAnsi="Times New Roman"/>
          <w:sz w:val="24"/>
          <w:szCs w:val="24"/>
        </w:rPr>
        <w:lastRenderedPageBreak/>
        <w:t>OSY participants enrolled in Job Corps during participation in the WIOA Youth Program</w:t>
      </w:r>
      <w:r w:rsidRPr="00C82789">
        <w:rPr>
          <w:rFonts w:ascii="Times New Roman" w:hAnsi="Times New Roman"/>
          <w:sz w:val="24"/>
          <w:szCs w:val="24"/>
        </w:rPr>
        <w:br/>
      </w:r>
    </w:p>
    <w:p w14:paraId="39C3E795" w14:textId="265F2392" w:rsidR="005323F8" w:rsidRPr="00C82789" w:rsidRDefault="00A472E7" w:rsidP="00A472E7">
      <w:pPr>
        <w:pStyle w:val="ListParagraph"/>
        <w:numPr>
          <w:ilvl w:val="0"/>
          <w:numId w:val="2"/>
        </w:numPr>
        <w:rPr>
          <w:rFonts w:ascii="Times New Roman" w:hAnsi="Times New Roman"/>
          <w:sz w:val="24"/>
          <w:szCs w:val="24"/>
        </w:rPr>
      </w:pPr>
      <w:r w:rsidRPr="00C82789">
        <w:rPr>
          <w:rFonts w:ascii="Times New Roman" w:hAnsi="Times New Roman"/>
          <w:b/>
          <w:sz w:val="24"/>
          <w:szCs w:val="24"/>
        </w:rPr>
        <w:t>IMPORTANT:</w:t>
      </w:r>
      <w:r w:rsidRPr="00C82789">
        <w:rPr>
          <w:rFonts w:ascii="Times New Roman" w:hAnsi="Times New Roman"/>
          <w:sz w:val="24"/>
          <w:szCs w:val="24"/>
        </w:rPr>
        <w:t xml:space="preserve"> </w:t>
      </w:r>
      <w:r w:rsidR="00BA030C" w:rsidRPr="00302A7C">
        <w:rPr>
          <w:rFonts w:ascii="Times New Roman" w:hAnsi="Times New Roman"/>
          <w:sz w:val="24"/>
          <w:szCs w:val="24"/>
        </w:rPr>
        <w:t>WIOA Youth p</w:t>
      </w:r>
      <w:r w:rsidR="00C21007" w:rsidRPr="00302A7C">
        <w:rPr>
          <w:rFonts w:ascii="Times New Roman" w:hAnsi="Times New Roman"/>
          <w:sz w:val="24"/>
          <w:szCs w:val="24"/>
        </w:rPr>
        <w:t xml:space="preserve">articipants </w:t>
      </w:r>
      <w:r w:rsidR="00AB3D71" w:rsidRPr="00302A7C">
        <w:rPr>
          <w:rFonts w:ascii="Times New Roman" w:hAnsi="Times New Roman"/>
          <w:sz w:val="24"/>
          <w:szCs w:val="24"/>
        </w:rPr>
        <w:t xml:space="preserve">included in the WIOA Youth MSG denominator and </w:t>
      </w:r>
      <w:r w:rsidR="009519D3">
        <w:rPr>
          <w:rFonts w:ascii="Times New Roman" w:hAnsi="Times New Roman"/>
          <w:sz w:val="24"/>
          <w:szCs w:val="24"/>
        </w:rPr>
        <w:t xml:space="preserve">who </w:t>
      </w:r>
      <w:r w:rsidR="00AB3D71" w:rsidRPr="00302A7C">
        <w:rPr>
          <w:rFonts w:ascii="Times New Roman" w:hAnsi="Times New Roman"/>
          <w:sz w:val="24"/>
          <w:szCs w:val="24"/>
        </w:rPr>
        <w:t>are co</w:t>
      </w:r>
      <w:r w:rsidR="00D21A89">
        <w:rPr>
          <w:rFonts w:ascii="Times New Roman" w:hAnsi="Times New Roman"/>
          <w:sz w:val="24"/>
          <w:szCs w:val="24"/>
        </w:rPr>
        <w:t>-</w:t>
      </w:r>
      <w:r w:rsidR="00AB3D71" w:rsidRPr="00302A7C">
        <w:rPr>
          <w:rFonts w:ascii="Times New Roman" w:hAnsi="Times New Roman"/>
          <w:sz w:val="24"/>
          <w:szCs w:val="24"/>
        </w:rPr>
        <w:t>enrolled in</w:t>
      </w:r>
      <w:r w:rsidR="00C21007" w:rsidRPr="00302A7C">
        <w:rPr>
          <w:rFonts w:ascii="Times New Roman" w:hAnsi="Times New Roman"/>
          <w:sz w:val="24"/>
          <w:szCs w:val="24"/>
        </w:rPr>
        <w:t xml:space="preserve"> other WIOA Title I, Title II and Title IV programs</w:t>
      </w:r>
      <w:r w:rsidR="00AB3D71" w:rsidRPr="00302A7C">
        <w:rPr>
          <w:rFonts w:ascii="Times New Roman" w:hAnsi="Times New Roman"/>
          <w:sz w:val="24"/>
          <w:szCs w:val="24"/>
        </w:rPr>
        <w:t xml:space="preserve"> MAY also be included in the MSG for those program</w:t>
      </w:r>
      <w:r w:rsidR="00AB3D71" w:rsidRPr="00D21A89">
        <w:rPr>
          <w:rFonts w:ascii="Times New Roman" w:hAnsi="Times New Roman"/>
          <w:sz w:val="24"/>
          <w:szCs w:val="24"/>
        </w:rPr>
        <w:t>s</w:t>
      </w:r>
      <w:r w:rsidR="00C21007" w:rsidRPr="00D21A89">
        <w:rPr>
          <w:rFonts w:ascii="Times New Roman" w:hAnsi="Times New Roman"/>
          <w:sz w:val="24"/>
          <w:szCs w:val="24"/>
        </w:rPr>
        <w:t>.</w:t>
      </w:r>
      <w:r w:rsidR="00C21007" w:rsidRPr="00C82789">
        <w:rPr>
          <w:rFonts w:ascii="Times New Roman" w:hAnsi="Times New Roman"/>
          <w:sz w:val="24"/>
          <w:szCs w:val="24"/>
        </w:rPr>
        <w:t xml:space="preserve"> Please consult appropriate policy(</w:t>
      </w:r>
      <w:proofErr w:type="spellStart"/>
      <w:r w:rsidR="00C21007" w:rsidRPr="00C82789">
        <w:rPr>
          <w:rFonts w:ascii="Times New Roman" w:hAnsi="Times New Roman"/>
          <w:sz w:val="24"/>
          <w:szCs w:val="24"/>
        </w:rPr>
        <w:t>ies</w:t>
      </w:r>
      <w:proofErr w:type="spellEnd"/>
      <w:r w:rsidR="00C21007" w:rsidRPr="00C82789">
        <w:rPr>
          <w:rFonts w:ascii="Times New Roman" w:hAnsi="Times New Roman"/>
          <w:sz w:val="24"/>
          <w:szCs w:val="24"/>
        </w:rPr>
        <w:t xml:space="preserve">) from the other programs to determine </w:t>
      </w:r>
      <w:proofErr w:type="gramStart"/>
      <w:r w:rsidR="00C21007" w:rsidRPr="00C82789">
        <w:rPr>
          <w:rFonts w:ascii="Times New Roman" w:hAnsi="Times New Roman"/>
          <w:sz w:val="24"/>
          <w:szCs w:val="24"/>
        </w:rPr>
        <w:t>whether or not</w:t>
      </w:r>
      <w:proofErr w:type="gramEnd"/>
      <w:r w:rsidR="00C21007" w:rsidRPr="00C82789">
        <w:rPr>
          <w:rFonts w:ascii="Times New Roman" w:hAnsi="Times New Roman"/>
          <w:sz w:val="24"/>
          <w:szCs w:val="24"/>
        </w:rPr>
        <w:t xml:space="preserve"> a co</w:t>
      </w:r>
      <w:r w:rsidR="009519D3">
        <w:rPr>
          <w:rFonts w:ascii="Times New Roman" w:hAnsi="Times New Roman"/>
          <w:sz w:val="24"/>
          <w:szCs w:val="24"/>
        </w:rPr>
        <w:t>-</w:t>
      </w:r>
      <w:r w:rsidR="00C21007" w:rsidRPr="00C82789">
        <w:rPr>
          <w:rFonts w:ascii="Times New Roman" w:hAnsi="Times New Roman"/>
          <w:sz w:val="24"/>
          <w:szCs w:val="24"/>
        </w:rPr>
        <w:t>enrolled WIOA Youth is included in the other program(s)</w:t>
      </w:r>
      <w:r w:rsidR="00BA030C" w:rsidRPr="00C82789">
        <w:rPr>
          <w:rFonts w:ascii="Times New Roman" w:hAnsi="Times New Roman"/>
          <w:sz w:val="24"/>
          <w:szCs w:val="24"/>
        </w:rPr>
        <w:t xml:space="preserve"> MSG denominator</w:t>
      </w:r>
      <w:r w:rsidR="00C21007" w:rsidRPr="00C82789">
        <w:rPr>
          <w:rFonts w:ascii="Times New Roman" w:hAnsi="Times New Roman"/>
          <w:sz w:val="24"/>
          <w:szCs w:val="24"/>
        </w:rPr>
        <w:t xml:space="preserve">. </w:t>
      </w:r>
      <w:r w:rsidR="005323F8" w:rsidRPr="00C82789">
        <w:rPr>
          <w:rFonts w:ascii="Times New Roman" w:hAnsi="Times New Roman"/>
          <w:sz w:val="24"/>
          <w:szCs w:val="24"/>
        </w:rPr>
        <w:br/>
      </w:r>
    </w:p>
    <w:p w14:paraId="2B98178C" w14:textId="77777777" w:rsidR="008B22E1" w:rsidRPr="000365CC" w:rsidRDefault="008B22E1" w:rsidP="00ED7EC3">
      <w:pPr>
        <w:pStyle w:val="ListParagraph"/>
        <w:numPr>
          <w:ilvl w:val="0"/>
          <w:numId w:val="2"/>
        </w:numPr>
        <w:rPr>
          <w:rFonts w:ascii="Times New Roman" w:hAnsi="Times New Roman"/>
          <w:sz w:val="24"/>
          <w:szCs w:val="24"/>
        </w:rPr>
      </w:pPr>
      <w:r w:rsidRPr="000365CC">
        <w:rPr>
          <w:rFonts w:ascii="Times New Roman" w:hAnsi="Times New Roman"/>
          <w:sz w:val="24"/>
          <w:szCs w:val="24"/>
        </w:rPr>
        <w:t xml:space="preserve">For purposes of ONLY the basic skills assessment portion of the objective assessment, local programs are NOT required </w:t>
      </w:r>
      <w:r w:rsidR="00BE18CA" w:rsidRPr="000365CC">
        <w:rPr>
          <w:rFonts w:ascii="Times New Roman" w:hAnsi="Times New Roman"/>
          <w:sz w:val="24"/>
          <w:szCs w:val="24"/>
        </w:rPr>
        <w:t>to use assessments approved for use in the NRS, nor are they required to determine an individual’s grade level equivalent or EFL, although use of these tools are permitted. (TEGL 21-16, p8)</w:t>
      </w:r>
      <w:r w:rsidR="00BE18CA" w:rsidRPr="000365CC">
        <w:rPr>
          <w:rFonts w:ascii="Times New Roman" w:hAnsi="Times New Roman"/>
          <w:sz w:val="24"/>
          <w:szCs w:val="24"/>
        </w:rPr>
        <w:br/>
      </w:r>
    </w:p>
    <w:p w14:paraId="04CC163A" w14:textId="77777777" w:rsidR="005026D4" w:rsidRPr="000365CC" w:rsidRDefault="005026D4" w:rsidP="00ED7EC3">
      <w:pPr>
        <w:pStyle w:val="ListParagraph"/>
        <w:numPr>
          <w:ilvl w:val="0"/>
          <w:numId w:val="2"/>
        </w:numPr>
        <w:rPr>
          <w:rFonts w:ascii="Times New Roman" w:hAnsi="Times New Roman"/>
          <w:sz w:val="24"/>
          <w:szCs w:val="24"/>
        </w:rPr>
      </w:pPr>
      <w:r w:rsidRPr="000365CC">
        <w:rPr>
          <w:rFonts w:ascii="Times New Roman" w:hAnsi="Times New Roman"/>
          <w:sz w:val="24"/>
          <w:szCs w:val="24"/>
        </w:rPr>
        <w:t xml:space="preserve">Local service providers may opt to use other formalized testing instruments to measure skills-related gains. It is also important that, in addition to being valid and reliable, any formalized testing used </w:t>
      </w:r>
      <w:proofErr w:type="gramStart"/>
      <w:r w:rsidRPr="000365CC">
        <w:rPr>
          <w:rFonts w:ascii="Times New Roman" w:hAnsi="Times New Roman"/>
          <w:sz w:val="24"/>
          <w:szCs w:val="24"/>
        </w:rPr>
        <w:t>be</w:t>
      </w:r>
      <w:proofErr w:type="gramEnd"/>
      <w:r w:rsidRPr="000365CC">
        <w:rPr>
          <w:rFonts w:ascii="Times New Roman" w:hAnsi="Times New Roman"/>
          <w:sz w:val="24"/>
          <w:szCs w:val="24"/>
        </w:rPr>
        <w:t xml:space="preserve"> appropriate, fair, cost-effective, matched to the test administrator’s qualifications, and easy to administer and interpret.</w:t>
      </w:r>
      <w:r w:rsidR="005E6654" w:rsidRPr="000365CC">
        <w:rPr>
          <w:rFonts w:ascii="Times New Roman" w:hAnsi="Times New Roman"/>
          <w:sz w:val="24"/>
          <w:szCs w:val="24"/>
        </w:rPr>
        <w:t xml:space="preserve"> (TEGL 21-16, p8)</w:t>
      </w:r>
      <w:r w:rsidRPr="000365CC">
        <w:rPr>
          <w:rFonts w:ascii="Times New Roman" w:hAnsi="Times New Roman"/>
          <w:sz w:val="24"/>
          <w:szCs w:val="24"/>
        </w:rPr>
        <w:br/>
      </w:r>
    </w:p>
    <w:p w14:paraId="247D63AC" w14:textId="77777777" w:rsidR="005E6654" w:rsidRPr="00BA030C" w:rsidRDefault="005E6654" w:rsidP="00ED7EC3">
      <w:pPr>
        <w:pStyle w:val="ListParagraph"/>
        <w:numPr>
          <w:ilvl w:val="0"/>
          <w:numId w:val="2"/>
        </w:numPr>
        <w:rPr>
          <w:rFonts w:ascii="Times New Roman" w:hAnsi="Times New Roman"/>
          <w:sz w:val="24"/>
          <w:szCs w:val="24"/>
        </w:rPr>
      </w:pPr>
      <w:r w:rsidRPr="00BA030C">
        <w:rPr>
          <w:rFonts w:ascii="Times New Roman" w:hAnsi="Times New Roman"/>
          <w:sz w:val="24"/>
          <w:szCs w:val="24"/>
        </w:rPr>
        <w:t>Alternatively, skills related gains may also be determined through less formal alternative assessment techniques such as observation, folder reviews, or interviews. Interviews may be particularly appropriate for youth with disabilities given accessibility issues related to formalized instruments. (TEGL 21-16, p8)</w:t>
      </w:r>
      <w:r w:rsidRPr="00BA030C">
        <w:rPr>
          <w:rFonts w:ascii="Times New Roman" w:hAnsi="Times New Roman"/>
          <w:sz w:val="24"/>
          <w:szCs w:val="24"/>
        </w:rPr>
        <w:br/>
      </w:r>
    </w:p>
    <w:p w14:paraId="79658497" w14:textId="5C30FEBE" w:rsidR="00B17BD4" w:rsidRPr="00BA030C" w:rsidRDefault="00BE18CA" w:rsidP="00B17BD4">
      <w:pPr>
        <w:pStyle w:val="ListParagraph"/>
        <w:numPr>
          <w:ilvl w:val="0"/>
          <w:numId w:val="2"/>
        </w:numPr>
        <w:rPr>
          <w:rFonts w:ascii="Times New Roman" w:hAnsi="Times New Roman"/>
          <w:sz w:val="24"/>
          <w:szCs w:val="24"/>
        </w:rPr>
      </w:pPr>
      <w:r w:rsidRPr="00BA030C">
        <w:rPr>
          <w:rFonts w:ascii="Times New Roman" w:hAnsi="Times New Roman"/>
          <w:sz w:val="24"/>
          <w:szCs w:val="24"/>
        </w:rPr>
        <w:t>Outside of use as part of the objective assessment as described previously, if a local program wants to measure EFL gains after enrollment under the MSG performance measure, the local program can only use one of the NRS-approved assessments. The pre-test and post-test must use the same testing tool. (TEGL 21-16, p8)</w:t>
      </w:r>
      <w:r w:rsidR="00FA250E" w:rsidRPr="00BA030C">
        <w:rPr>
          <w:rFonts w:ascii="Times New Roman" w:hAnsi="Times New Roman"/>
          <w:sz w:val="24"/>
          <w:szCs w:val="24"/>
        </w:rPr>
        <w:t xml:space="preserve">. </w:t>
      </w:r>
    </w:p>
    <w:p w14:paraId="7C7A3B5F" w14:textId="0553EF1E" w:rsidR="000006EC" w:rsidRPr="00302A7C" w:rsidRDefault="00D73B39" w:rsidP="00A001E4">
      <w:pPr>
        <w:pStyle w:val="ListParagraph"/>
        <w:rPr>
          <w:rFonts w:ascii="Times New Roman" w:hAnsi="Times New Roman"/>
          <w:sz w:val="24"/>
          <w:szCs w:val="24"/>
          <w:highlight w:val="yellow"/>
        </w:rPr>
      </w:pPr>
      <w:r w:rsidRPr="00BA030C">
        <w:rPr>
          <w:rFonts w:ascii="Times New Roman" w:hAnsi="Times New Roman"/>
          <w:sz w:val="24"/>
          <w:szCs w:val="24"/>
        </w:rPr>
        <w:br/>
      </w:r>
      <w:r w:rsidRPr="00302A7C">
        <w:rPr>
          <w:rFonts w:ascii="Times New Roman" w:hAnsi="Times New Roman"/>
          <w:sz w:val="24"/>
          <w:szCs w:val="24"/>
          <w:highlight w:val="yellow"/>
        </w:rPr>
        <w:t>If a WIOA service provid</w:t>
      </w:r>
      <w:r w:rsidR="005C4A5E" w:rsidRPr="00302A7C">
        <w:rPr>
          <w:rFonts w:ascii="Times New Roman" w:hAnsi="Times New Roman"/>
          <w:sz w:val="24"/>
          <w:szCs w:val="24"/>
          <w:highlight w:val="yellow"/>
        </w:rPr>
        <w:t xml:space="preserve">er </w:t>
      </w:r>
      <w:r w:rsidR="000006EC" w:rsidRPr="00302A7C">
        <w:rPr>
          <w:rFonts w:ascii="Times New Roman" w:hAnsi="Times New Roman"/>
          <w:sz w:val="24"/>
          <w:szCs w:val="24"/>
          <w:highlight w:val="yellow"/>
        </w:rPr>
        <w:t xml:space="preserve">intends to administer </w:t>
      </w:r>
      <w:r w:rsidRPr="00302A7C">
        <w:rPr>
          <w:rFonts w:ascii="Times New Roman" w:hAnsi="Times New Roman"/>
          <w:sz w:val="24"/>
          <w:szCs w:val="24"/>
          <w:highlight w:val="yellow"/>
        </w:rPr>
        <w:t xml:space="preserve">pre- and post-testing of </w:t>
      </w:r>
      <w:r w:rsidR="000006EC" w:rsidRPr="00302A7C">
        <w:rPr>
          <w:rFonts w:ascii="Times New Roman" w:hAnsi="Times New Roman"/>
          <w:sz w:val="24"/>
          <w:szCs w:val="24"/>
          <w:highlight w:val="yellow"/>
        </w:rPr>
        <w:t xml:space="preserve">WIOA Title I </w:t>
      </w:r>
      <w:r w:rsidRPr="00302A7C">
        <w:rPr>
          <w:rFonts w:ascii="Times New Roman" w:hAnsi="Times New Roman"/>
          <w:sz w:val="24"/>
          <w:szCs w:val="24"/>
          <w:highlight w:val="yellow"/>
        </w:rPr>
        <w:t xml:space="preserve">participants </w:t>
      </w:r>
      <w:r w:rsidR="005C4A5E" w:rsidRPr="00302A7C">
        <w:rPr>
          <w:rFonts w:ascii="Times New Roman" w:hAnsi="Times New Roman"/>
          <w:sz w:val="24"/>
          <w:szCs w:val="24"/>
          <w:highlight w:val="yellow"/>
        </w:rPr>
        <w:t xml:space="preserve">towards meeting the EFL gain </w:t>
      </w:r>
      <w:r w:rsidR="000006EC" w:rsidRPr="00302A7C">
        <w:rPr>
          <w:rFonts w:ascii="Times New Roman" w:hAnsi="Times New Roman"/>
          <w:sz w:val="24"/>
          <w:szCs w:val="24"/>
          <w:highlight w:val="yellow"/>
        </w:rPr>
        <w:t xml:space="preserve">component </w:t>
      </w:r>
      <w:r w:rsidR="005C4A5E" w:rsidRPr="00302A7C">
        <w:rPr>
          <w:rFonts w:ascii="Times New Roman" w:hAnsi="Times New Roman"/>
          <w:sz w:val="24"/>
          <w:szCs w:val="24"/>
          <w:highlight w:val="yellow"/>
        </w:rPr>
        <w:t xml:space="preserve">of </w:t>
      </w:r>
      <w:r w:rsidR="000006EC" w:rsidRPr="00302A7C">
        <w:rPr>
          <w:rFonts w:ascii="Times New Roman" w:hAnsi="Times New Roman"/>
          <w:sz w:val="24"/>
          <w:szCs w:val="24"/>
          <w:highlight w:val="yellow"/>
        </w:rPr>
        <w:t>the Measurable Skill Gain</w:t>
      </w:r>
      <w:r w:rsidR="007E1613" w:rsidRPr="00302A7C">
        <w:rPr>
          <w:rFonts w:ascii="Times New Roman" w:hAnsi="Times New Roman"/>
          <w:sz w:val="24"/>
          <w:szCs w:val="24"/>
          <w:highlight w:val="yellow"/>
        </w:rPr>
        <w:t xml:space="preserve"> </w:t>
      </w:r>
      <w:r w:rsidR="000006EC" w:rsidRPr="00302A7C">
        <w:rPr>
          <w:rFonts w:ascii="Times New Roman" w:hAnsi="Times New Roman"/>
          <w:sz w:val="24"/>
          <w:szCs w:val="24"/>
          <w:highlight w:val="yellow"/>
        </w:rPr>
        <w:t>performance measure</w:t>
      </w:r>
      <w:r w:rsidRPr="00302A7C">
        <w:rPr>
          <w:rFonts w:ascii="Times New Roman" w:hAnsi="Times New Roman"/>
          <w:sz w:val="24"/>
          <w:szCs w:val="24"/>
          <w:highlight w:val="yellow"/>
        </w:rPr>
        <w:t>,</w:t>
      </w:r>
      <w:r w:rsidR="007E1613" w:rsidRPr="00302A7C">
        <w:rPr>
          <w:rFonts w:ascii="Times New Roman" w:hAnsi="Times New Roman"/>
          <w:sz w:val="24"/>
          <w:szCs w:val="24"/>
          <w:highlight w:val="yellow"/>
        </w:rPr>
        <w:t xml:space="preserve"> it needs to use only acceptable testing instruments as detailed by the National Reporting System’s latest issuance in July 2023</w:t>
      </w:r>
      <w:r w:rsidR="001F55C7" w:rsidRPr="00302A7C">
        <w:rPr>
          <w:rFonts w:ascii="Times New Roman" w:hAnsi="Times New Roman"/>
          <w:sz w:val="24"/>
          <w:szCs w:val="24"/>
          <w:highlight w:val="yellow"/>
        </w:rPr>
        <w:t xml:space="preserve"> </w:t>
      </w:r>
      <w:hyperlink r:id="rId27" w:history="1">
        <w:r w:rsidR="00AB0F9B" w:rsidRPr="00302A7C">
          <w:rPr>
            <w:rStyle w:val="Hyperlink"/>
            <w:rFonts w:ascii="Times New Roman" w:hAnsi="Times New Roman"/>
            <w:sz w:val="24"/>
            <w:szCs w:val="24"/>
            <w:highlight w:val="yellow"/>
          </w:rPr>
          <w:t>Federal Register</w:t>
        </w:r>
      </w:hyperlink>
      <w:r w:rsidR="00AB0F9B" w:rsidRPr="00302A7C">
        <w:rPr>
          <w:rFonts w:ascii="Times New Roman" w:hAnsi="Times New Roman"/>
          <w:sz w:val="24"/>
          <w:szCs w:val="24"/>
          <w:highlight w:val="yellow"/>
        </w:rPr>
        <w:t xml:space="preserve"> </w:t>
      </w:r>
      <w:r w:rsidR="007E1613" w:rsidRPr="00302A7C">
        <w:rPr>
          <w:rFonts w:ascii="Times New Roman" w:hAnsi="Times New Roman"/>
          <w:sz w:val="24"/>
          <w:szCs w:val="24"/>
          <w:highlight w:val="yellow"/>
        </w:rPr>
        <w:t>and issued by the Minnesota Department of Education</w:t>
      </w:r>
      <w:r w:rsidR="009A6587" w:rsidRPr="00302A7C">
        <w:rPr>
          <w:rFonts w:ascii="Times New Roman" w:hAnsi="Times New Roman"/>
          <w:sz w:val="24"/>
          <w:szCs w:val="24"/>
          <w:highlight w:val="yellow"/>
        </w:rPr>
        <w:t xml:space="preserve"> </w:t>
      </w:r>
      <w:r w:rsidR="00A001E4" w:rsidRPr="00302A7C">
        <w:rPr>
          <w:rFonts w:ascii="Times New Roman" w:hAnsi="Times New Roman"/>
          <w:sz w:val="24"/>
          <w:szCs w:val="24"/>
          <w:highlight w:val="yellow"/>
        </w:rPr>
        <w:t xml:space="preserve">. </w:t>
      </w:r>
      <w:hyperlink r:id="rId28" w:history="1">
        <w:r w:rsidR="002C4002" w:rsidRPr="002C4002">
          <w:rPr>
            <w:rStyle w:val="Hyperlink"/>
            <w:rFonts w:ascii="Times New Roman" w:hAnsi="Times New Roman"/>
            <w:sz w:val="24"/>
            <w:szCs w:val="24"/>
            <w:highlight w:val="yellow"/>
          </w:rPr>
          <w:t>Minnesota assessment policy</w:t>
        </w:r>
      </w:hyperlink>
    </w:p>
    <w:p w14:paraId="5DCE8EE0" w14:textId="584C1931" w:rsidR="009E79D2" w:rsidRPr="00302A7C" w:rsidRDefault="009E79D2" w:rsidP="00A001E4">
      <w:pPr>
        <w:pStyle w:val="ListParagraph"/>
        <w:rPr>
          <w:rFonts w:ascii="Times New Roman" w:hAnsi="Times New Roman"/>
          <w:sz w:val="24"/>
          <w:szCs w:val="24"/>
          <w:highlight w:val="yellow"/>
        </w:rPr>
      </w:pPr>
    </w:p>
    <w:p w14:paraId="54442144" w14:textId="77777777" w:rsidR="009E79D2" w:rsidRPr="00302A7C" w:rsidRDefault="009E79D2" w:rsidP="009E79D2">
      <w:pPr>
        <w:ind w:left="720"/>
        <w:jc w:val="both"/>
        <w:rPr>
          <w:rFonts w:ascii="Times New Roman" w:hAnsi="Times New Roman"/>
          <w:sz w:val="24"/>
          <w:szCs w:val="24"/>
          <w:highlight w:val="yellow"/>
        </w:rPr>
      </w:pPr>
      <w:r w:rsidRPr="00302A7C">
        <w:rPr>
          <w:rFonts w:ascii="Times New Roman" w:hAnsi="Times New Roman"/>
          <w:sz w:val="24"/>
          <w:szCs w:val="24"/>
          <w:highlight w:val="yellow"/>
        </w:rPr>
        <w:t>Minnesota has authorized the BEST Plus, CASAS, and TABE standardized assessments for use in establishing NRS educational functioning levels. Additionally, assessments within these test systems:</w:t>
      </w:r>
    </w:p>
    <w:p w14:paraId="54BD16FA" w14:textId="77777777" w:rsidR="009E79D2" w:rsidRPr="00302A7C" w:rsidRDefault="009E79D2" w:rsidP="009E79D2">
      <w:pPr>
        <w:pStyle w:val="ListParagraph"/>
        <w:numPr>
          <w:ilvl w:val="0"/>
          <w:numId w:val="6"/>
        </w:numPr>
        <w:spacing w:before="200" w:after="200" w:line="271" w:lineRule="auto"/>
        <w:contextualSpacing/>
        <w:rPr>
          <w:rFonts w:ascii="Times New Roman" w:hAnsi="Times New Roman"/>
          <w:sz w:val="24"/>
          <w:szCs w:val="24"/>
          <w:highlight w:val="yellow"/>
        </w:rPr>
      </w:pPr>
      <w:r w:rsidRPr="00302A7C">
        <w:rPr>
          <w:rFonts w:ascii="Times New Roman" w:hAnsi="Times New Roman"/>
          <w:sz w:val="24"/>
          <w:szCs w:val="24"/>
          <w:highlight w:val="yellow"/>
        </w:rPr>
        <w:t xml:space="preserve">Are appropriate for measuring literacy and language development of adult </w:t>
      </w:r>
      <w:proofErr w:type="gramStart"/>
      <w:r w:rsidRPr="00302A7C">
        <w:rPr>
          <w:rFonts w:ascii="Times New Roman" w:hAnsi="Times New Roman"/>
          <w:sz w:val="24"/>
          <w:szCs w:val="24"/>
          <w:highlight w:val="yellow"/>
        </w:rPr>
        <w:t>learners</w:t>
      </w:r>
      <w:proofErr w:type="gramEnd"/>
    </w:p>
    <w:p w14:paraId="75275686" w14:textId="77777777" w:rsidR="009E79D2" w:rsidRPr="00302A7C" w:rsidRDefault="009E79D2" w:rsidP="009E79D2">
      <w:pPr>
        <w:pStyle w:val="ListParagraph"/>
        <w:numPr>
          <w:ilvl w:val="0"/>
          <w:numId w:val="6"/>
        </w:numPr>
        <w:spacing w:before="200" w:after="200" w:line="271" w:lineRule="auto"/>
        <w:contextualSpacing/>
        <w:rPr>
          <w:rFonts w:ascii="Times New Roman" w:hAnsi="Times New Roman"/>
          <w:sz w:val="24"/>
          <w:szCs w:val="24"/>
          <w:highlight w:val="yellow"/>
        </w:rPr>
      </w:pPr>
      <w:r w:rsidRPr="00302A7C">
        <w:rPr>
          <w:rFonts w:ascii="Times New Roman" w:hAnsi="Times New Roman"/>
          <w:sz w:val="24"/>
          <w:szCs w:val="24"/>
          <w:highlight w:val="yellow"/>
        </w:rPr>
        <w:t xml:space="preserve">Have standardized administration and scoring </w:t>
      </w:r>
      <w:proofErr w:type="gramStart"/>
      <w:r w:rsidRPr="00302A7C">
        <w:rPr>
          <w:rFonts w:ascii="Times New Roman" w:hAnsi="Times New Roman"/>
          <w:sz w:val="24"/>
          <w:szCs w:val="24"/>
          <w:highlight w:val="yellow"/>
        </w:rPr>
        <w:t>procedures</w:t>
      </w:r>
      <w:proofErr w:type="gramEnd"/>
    </w:p>
    <w:p w14:paraId="012F4D7E" w14:textId="77777777" w:rsidR="009E79D2" w:rsidRPr="00302A7C" w:rsidRDefault="009E79D2" w:rsidP="009E79D2">
      <w:pPr>
        <w:pStyle w:val="ListParagraph"/>
        <w:numPr>
          <w:ilvl w:val="0"/>
          <w:numId w:val="6"/>
        </w:numPr>
        <w:spacing w:before="200" w:after="200" w:line="271" w:lineRule="auto"/>
        <w:contextualSpacing/>
        <w:rPr>
          <w:rFonts w:ascii="Times New Roman" w:hAnsi="Times New Roman"/>
          <w:sz w:val="24"/>
          <w:szCs w:val="24"/>
          <w:highlight w:val="yellow"/>
        </w:rPr>
      </w:pPr>
      <w:r w:rsidRPr="00302A7C">
        <w:rPr>
          <w:rFonts w:ascii="Times New Roman" w:hAnsi="Times New Roman"/>
          <w:sz w:val="24"/>
          <w:szCs w:val="24"/>
          <w:highlight w:val="yellow"/>
        </w:rPr>
        <w:t>Have alternate, equivalent, forms for pre- and post-</w:t>
      </w:r>
      <w:proofErr w:type="gramStart"/>
      <w:r w:rsidRPr="00302A7C">
        <w:rPr>
          <w:rFonts w:ascii="Times New Roman" w:hAnsi="Times New Roman"/>
          <w:sz w:val="24"/>
          <w:szCs w:val="24"/>
          <w:highlight w:val="yellow"/>
        </w:rPr>
        <w:t>testing</w:t>
      </w:r>
      <w:proofErr w:type="gramEnd"/>
    </w:p>
    <w:p w14:paraId="0EBC832A" w14:textId="2858C26E" w:rsidR="009E79D2" w:rsidRPr="00302A7C" w:rsidRDefault="009E79D2" w:rsidP="009E79D2">
      <w:pPr>
        <w:pStyle w:val="ListParagraph"/>
        <w:numPr>
          <w:ilvl w:val="0"/>
          <w:numId w:val="6"/>
        </w:numPr>
        <w:spacing w:before="200" w:after="200" w:line="271" w:lineRule="auto"/>
        <w:contextualSpacing/>
        <w:rPr>
          <w:rFonts w:ascii="Times New Roman" w:hAnsi="Times New Roman"/>
          <w:sz w:val="24"/>
          <w:szCs w:val="24"/>
          <w:highlight w:val="yellow"/>
        </w:rPr>
      </w:pPr>
      <w:r w:rsidRPr="00302A7C">
        <w:rPr>
          <w:rFonts w:ascii="Times New Roman" w:hAnsi="Times New Roman"/>
          <w:sz w:val="24"/>
          <w:szCs w:val="24"/>
          <w:highlight w:val="yellow"/>
        </w:rPr>
        <w:t>Have evidence linking them to the NRS Educational Functioning Levels</w:t>
      </w:r>
    </w:p>
    <w:p w14:paraId="7027AD68" w14:textId="227A33BE" w:rsidR="009E79D2" w:rsidRPr="00302A7C" w:rsidRDefault="009E79D2" w:rsidP="009E79D2">
      <w:pPr>
        <w:spacing w:before="200" w:after="200" w:line="271" w:lineRule="auto"/>
        <w:contextualSpacing/>
        <w:rPr>
          <w:rFonts w:ascii="Times New Roman" w:hAnsi="Times New Roman"/>
          <w:sz w:val="24"/>
          <w:szCs w:val="24"/>
          <w:highlight w:val="yellow"/>
        </w:rPr>
      </w:pPr>
    </w:p>
    <w:p w14:paraId="451FB380" w14:textId="6687BD2C" w:rsidR="009E79D2" w:rsidRPr="00302A7C" w:rsidRDefault="009E79D2" w:rsidP="009E79D2">
      <w:pPr>
        <w:spacing w:before="200" w:after="200" w:line="271" w:lineRule="auto"/>
        <w:contextualSpacing/>
        <w:rPr>
          <w:rFonts w:ascii="Times New Roman" w:hAnsi="Times New Roman"/>
          <w:sz w:val="24"/>
          <w:szCs w:val="24"/>
          <w:highlight w:val="yellow"/>
        </w:rPr>
      </w:pPr>
    </w:p>
    <w:p w14:paraId="00713A26" w14:textId="17DB99FB" w:rsidR="009E79D2" w:rsidRPr="00302A7C" w:rsidRDefault="009E79D2" w:rsidP="009E79D2">
      <w:pPr>
        <w:spacing w:before="200" w:after="200" w:line="271" w:lineRule="auto"/>
        <w:contextualSpacing/>
        <w:rPr>
          <w:rFonts w:ascii="Times New Roman" w:hAnsi="Times New Roman"/>
          <w:sz w:val="24"/>
          <w:szCs w:val="24"/>
          <w:highlight w:val="yellow"/>
        </w:rPr>
      </w:pPr>
    </w:p>
    <w:p w14:paraId="5EAEFE4F" w14:textId="77777777" w:rsidR="009E79D2" w:rsidRPr="00302A7C" w:rsidRDefault="009E79D2" w:rsidP="009E79D2">
      <w:pPr>
        <w:spacing w:before="200" w:after="200" w:line="271" w:lineRule="auto"/>
        <w:contextualSpacing/>
        <w:rPr>
          <w:rFonts w:ascii="Times New Roman" w:hAnsi="Times New Roman"/>
          <w:sz w:val="24"/>
          <w:szCs w:val="24"/>
          <w:highlight w:val="yellow"/>
        </w:rPr>
      </w:pPr>
    </w:p>
    <w:p w14:paraId="71009210" w14:textId="77777777" w:rsidR="009E79D2" w:rsidRPr="001C73DA" w:rsidRDefault="009E79D2" w:rsidP="009E79D2">
      <w:pPr>
        <w:pStyle w:val="Heading3"/>
        <w:rPr>
          <w:rFonts w:cstheme="minorHAnsi"/>
          <w:color w:val="auto"/>
          <w:szCs w:val="26"/>
          <w:highlight w:val="yellow"/>
        </w:rPr>
      </w:pPr>
      <w:bookmarkStart w:id="0" w:name="_Toc146807227"/>
      <w:r w:rsidRPr="001C73DA">
        <w:rPr>
          <w:rFonts w:cstheme="minorHAnsi"/>
          <w:color w:val="auto"/>
          <w:szCs w:val="26"/>
          <w:highlight w:val="yellow"/>
        </w:rPr>
        <w:t>BEST Plus 3.0</w:t>
      </w:r>
      <w:bookmarkEnd w:id="0"/>
    </w:p>
    <w:p w14:paraId="3DF050CF" w14:textId="77777777" w:rsidR="009E79D2" w:rsidRPr="00302A7C" w:rsidRDefault="009E79D2" w:rsidP="009E79D2">
      <w:pPr>
        <w:rPr>
          <w:i/>
          <w:highlight w:val="yellow"/>
        </w:rPr>
      </w:pPr>
      <w:r w:rsidRPr="00302A7C">
        <w:rPr>
          <w:i/>
          <w:highlight w:val="yellow"/>
        </w:rPr>
        <w:t xml:space="preserve">For Levels:  </w:t>
      </w:r>
      <w:r w:rsidRPr="00302A7C">
        <w:rPr>
          <w:b/>
          <w:i/>
          <w:highlight w:val="yellow"/>
        </w:rPr>
        <w:t>ESL 1-6</w:t>
      </w:r>
    </w:p>
    <w:tbl>
      <w:tblPr>
        <w:tblStyle w:val="TableGrid"/>
        <w:tblW w:w="9625" w:type="dxa"/>
        <w:tblLayout w:type="fixed"/>
        <w:tblLook w:val="0420" w:firstRow="1" w:lastRow="0" w:firstColumn="0" w:lastColumn="0" w:noHBand="0" w:noVBand="1"/>
      </w:tblPr>
      <w:tblGrid>
        <w:gridCol w:w="2065"/>
        <w:gridCol w:w="1410"/>
        <w:gridCol w:w="2820"/>
        <w:gridCol w:w="1710"/>
        <w:gridCol w:w="1620"/>
      </w:tblGrid>
      <w:tr w:rsidR="009E79D2" w:rsidRPr="00302A7C" w14:paraId="22C1BC68" w14:textId="77777777" w:rsidTr="001C73DA">
        <w:tc>
          <w:tcPr>
            <w:tcW w:w="2065" w:type="dxa"/>
          </w:tcPr>
          <w:p w14:paraId="4758E11A" w14:textId="77777777" w:rsidR="009E79D2" w:rsidRPr="00D21A89" w:rsidRDefault="009E79D2" w:rsidP="0092227E">
            <w:pPr>
              <w:rPr>
                <w:b/>
                <w:i/>
                <w:color w:val="000000" w:themeColor="text1"/>
                <w:highlight w:val="yellow"/>
              </w:rPr>
            </w:pPr>
            <w:r w:rsidRPr="00D21A89">
              <w:rPr>
                <w:b/>
                <w:i/>
                <w:color w:val="000000" w:themeColor="text1"/>
                <w:highlight w:val="yellow"/>
              </w:rPr>
              <w:t>Name/Series</w:t>
            </w:r>
          </w:p>
        </w:tc>
        <w:tc>
          <w:tcPr>
            <w:tcW w:w="1410" w:type="dxa"/>
          </w:tcPr>
          <w:p w14:paraId="37C07C5C" w14:textId="77777777" w:rsidR="009E79D2" w:rsidRPr="00D21A89" w:rsidRDefault="009E79D2" w:rsidP="0092227E">
            <w:pPr>
              <w:rPr>
                <w:b/>
                <w:i/>
                <w:color w:val="000000" w:themeColor="text1"/>
                <w:highlight w:val="yellow"/>
              </w:rPr>
            </w:pPr>
            <w:r w:rsidRPr="00D21A89">
              <w:rPr>
                <w:b/>
                <w:i/>
                <w:color w:val="000000" w:themeColor="text1"/>
                <w:highlight w:val="yellow"/>
              </w:rPr>
              <w:t>Content</w:t>
            </w:r>
          </w:p>
        </w:tc>
        <w:tc>
          <w:tcPr>
            <w:tcW w:w="2820" w:type="dxa"/>
          </w:tcPr>
          <w:p w14:paraId="6E6FAE0F" w14:textId="77777777" w:rsidR="009E79D2" w:rsidRPr="00D21A89" w:rsidRDefault="009E79D2" w:rsidP="0092227E">
            <w:pPr>
              <w:rPr>
                <w:b/>
                <w:i/>
                <w:color w:val="000000" w:themeColor="text1"/>
                <w:highlight w:val="yellow"/>
              </w:rPr>
            </w:pPr>
            <w:r w:rsidRPr="00D21A89">
              <w:rPr>
                <w:b/>
                <w:i/>
                <w:color w:val="000000" w:themeColor="text1"/>
                <w:highlight w:val="yellow"/>
              </w:rPr>
              <w:t>Format</w:t>
            </w:r>
          </w:p>
        </w:tc>
        <w:tc>
          <w:tcPr>
            <w:tcW w:w="1710" w:type="dxa"/>
          </w:tcPr>
          <w:p w14:paraId="4D757115" w14:textId="77777777" w:rsidR="009E79D2" w:rsidRPr="00D21A89" w:rsidRDefault="009E79D2" w:rsidP="0092227E">
            <w:pPr>
              <w:rPr>
                <w:b/>
                <w:i/>
                <w:color w:val="000000" w:themeColor="text1"/>
                <w:highlight w:val="yellow"/>
              </w:rPr>
            </w:pPr>
            <w:r w:rsidRPr="00D21A89">
              <w:rPr>
                <w:b/>
                <w:i/>
                <w:color w:val="000000" w:themeColor="text1"/>
                <w:highlight w:val="yellow"/>
              </w:rPr>
              <w:t>Forms/Levels</w:t>
            </w:r>
          </w:p>
        </w:tc>
        <w:tc>
          <w:tcPr>
            <w:tcW w:w="1620" w:type="dxa"/>
          </w:tcPr>
          <w:p w14:paraId="2D800161" w14:textId="77777777" w:rsidR="009E79D2" w:rsidRPr="00D21A89" w:rsidRDefault="009E79D2" w:rsidP="0092227E">
            <w:pPr>
              <w:rPr>
                <w:b/>
                <w:i/>
                <w:color w:val="000000" w:themeColor="text1"/>
                <w:highlight w:val="yellow"/>
              </w:rPr>
            </w:pPr>
            <w:r w:rsidRPr="00D21A89">
              <w:rPr>
                <w:b/>
                <w:i/>
                <w:color w:val="000000" w:themeColor="text1"/>
                <w:highlight w:val="yellow"/>
              </w:rPr>
              <w:t>Usage Date</w:t>
            </w:r>
          </w:p>
        </w:tc>
      </w:tr>
      <w:tr w:rsidR="009E79D2" w:rsidRPr="00302A7C" w14:paraId="5FD43DF6" w14:textId="77777777" w:rsidTr="001C73DA">
        <w:tc>
          <w:tcPr>
            <w:tcW w:w="2065" w:type="dxa"/>
          </w:tcPr>
          <w:p w14:paraId="7D65B745" w14:textId="77777777" w:rsidR="009E79D2" w:rsidRPr="00302A7C" w:rsidRDefault="009E79D2" w:rsidP="0092227E">
            <w:pPr>
              <w:rPr>
                <w:b/>
                <w:highlight w:val="yellow"/>
              </w:rPr>
            </w:pPr>
            <w:r w:rsidRPr="00302A7C">
              <w:rPr>
                <w:b/>
                <w:highlight w:val="yellow"/>
              </w:rPr>
              <w:t>Basic English Skills Test (BEST) Plus 3.0</w:t>
            </w:r>
          </w:p>
        </w:tc>
        <w:tc>
          <w:tcPr>
            <w:tcW w:w="1410" w:type="dxa"/>
          </w:tcPr>
          <w:p w14:paraId="4234DBEF" w14:textId="77777777" w:rsidR="009E79D2" w:rsidRPr="00302A7C" w:rsidRDefault="009E79D2" w:rsidP="0092227E">
            <w:pPr>
              <w:rPr>
                <w:highlight w:val="yellow"/>
              </w:rPr>
            </w:pPr>
            <w:r w:rsidRPr="00302A7C">
              <w:rPr>
                <w:highlight w:val="yellow"/>
              </w:rPr>
              <w:t>ESL</w:t>
            </w:r>
          </w:p>
        </w:tc>
        <w:tc>
          <w:tcPr>
            <w:tcW w:w="2820" w:type="dxa"/>
          </w:tcPr>
          <w:p w14:paraId="00E6420F" w14:textId="77777777" w:rsidR="009E79D2" w:rsidRPr="00302A7C" w:rsidRDefault="009E79D2" w:rsidP="0092227E">
            <w:pPr>
              <w:rPr>
                <w:highlight w:val="yellow"/>
              </w:rPr>
            </w:pPr>
            <w:r w:rsidRPr="00302A7C">
              <w:rPr>
                <w:highlight w:val="yellow"/>
              </w:rPr>
              <w:t xml:space="preserve">Computer-Adaptive and Form, </w:t>
            </w:r>
          </w:p>
          <w:p w14:paraId="1C80F1F3" w14:textId="77777777" w:rsidR="009E79D2" w:rsidRPr="00302A7C" w:rsidRDefault="009E79D2" w:rsidP="0092227E">
            <w:pPr>
              <w:rPr>
                <w:highlight w:val="yellow"/>
              </w:rPr>
            </w:pPr>
            <w:r w:rsidRPr="00302A7C">
              <w:rPr>
                <w:highlight w:val="yellow"/>
              </w:rPr>
              <w:t>Paper Form</w:t>
            </w:r>
          </w:p>
        </w:tc>
        <w:tc>
          <w:tcPr>
            <w:tcW w:w="1710" w:type="dxa"/>
          </w:tcPr>
          <w:p w14:paraId="19CEA91C" w14:textId="77777777" w:rsidR="009E79D2" w:rsidRPr="00302A7C" w:rsidRDefault="009E79D2" w:rsidP="0092227E">
            <w:pPr>
              <w:rPr>
                <w:highlight w:val="yellow"/>
              </w:rPr>
            </w:pPr>
            <w:r w:rsidRPr="00302A7C">
              <w:rPr>
                <w:highlight w:val="yellow"/>
              </w:rPr>
              <w:t>1 and 2</w:t>
            </w:r>
          </w:p>
        </w:tc>
        <w:tc>
          <w:tcPr>
            <w:tcW w:w="1620" w:type="dxa"/>
          </w:tcPr>
          <w:p w14:paraId="283A4E22" w14:textId="77777777" w:rsidR="009E79D2" w:rsidRPr="00302A7C" w:rsidRDefault="009E79D2" w:rsidP="0092227E">
            <w:pPr>
              <w:rPr>
                <w:highlight w:val="yellow"/>
              </w:rPr>
            </w:pPr>
            <w:r w:rsidRPr="00302A7C">
              <w:rPr>
                <w:highlight w:val="yellow"/>
              </w:rPr>
              <w:t>Now–July 13, 2030</w:t>
            </w:r>
          </w:p>
        </w:tc>
      </w:tr>
    </w:tbl>
    <w:p w14:paraId="6C59F320" w14:textId="77777777" w:rsidR="009E79D2" w:rsidRPr="001C73DA" w:rsidRDefault="009E79D2" w:rsidP="009E79D2">
      <w:pPr>
        <w:pStyle w:val="Heading3"/>
        <w:rPr>
          <w:color w:val="auto"/>
          <w:highlight w:val="yellow"/>
        </w:rPr>
      </w:pPr>
      <w:bookmarkStart w:id="1" w:name="_Toc146807228"/>
      <w:r w:rsidRPr="001C73DA">
        <w:rPr>
          <w:color w:val="auto"/>
          <w:highlight w:val="yellow"/>
        </w:rPr>
        <w:t>CASAS</w:t>
      </w:r>
      <w:bookmarkEnd w:id="1"/>
    </w:p>
    <w:p w14:paraId="51D0F23C" w14:textId="77777777" w:rsidR="009E79D2" w:rsidRPr="00302A7C" w:rsidRDefault="009E79D2" w:rsidP="009E79D2">
      <w:pPr>
        <w:rPr>
          <w:i/>
          <w:highlight w:val="yellow"/>
        </w:rPr>
      </w:pPr>
      <w:r w:rsidRPr="00302A7C">
        <w:rPr>
          <w:i/>
          <w:highlight w:val="yellow"/>
        </w:rPr>
        <w:t xml:space="preserve">For Levels:  </w:t>
      </w:r>
      <w:r w:rsidRPr="00302A7C">
        <w:rPr>
          <w:b/>
          <w:i/>
          <w:highlight w:val="yellow"/>
        </w:rPr>
        <w:t>ABE 1-6</w:t>
      </w:r>
    </w:p>
    <w:tbl>
      <w:tblPr>
        <w:tblStyle w:val="TableGrid"/>
        <w:tblW w:w="9625" w:type="dxa"/>
        <w:tblLayout w:type="fixed"/>
        <w:tblLook w:val="0420" w:firstRow="1" w:lastRow="0" w:firstColumn="0" w:lastColumn="0" w:noHBand="0" w:noVBand="1"/>
      </w:tblPr>
      <w:tblGrid>
        <w:gridCol w:w="2065"/>
        <w:gridCol w:w="1410"/>
        <w:gridCol w:w="2820"/>
        <w:gridCol w:w="1710"/>
        <w:gridCol w:w="1620"/>
      </w:tblGrid>
      <w:tr w:rsidR="009E79D2" w:rsidRPr="00302A7C" w14:paraId="1C6B9BD6" w14:textId="77777777" w:rsidTr="001C73DA">
        <w:tc>
          <w:tcPr>
            <w:tcW w:w="2065" w:type="dxa"/>
          </w:tcPr>
          <w:p w14:paraId="57E9B8F1" w14:textId="77777777" w:rsidR="009E79D2" w:rsidRPr="00D21A89" w:rsidRDefault="009E79D2" w:rsidP="0092227E">
            <w:pPr>
              <w:jc w:val="both"/>
              <w:rPr>
                <w:b/>
                <w:i/>
                <w:color w:val="000000" w:themeColor="text1"/>
                <w:highlight w:val="yellow"/>
              </w:rPr>
            </w:pPr>
            <w:r w:rsidRPr="00D21A89">
              <w:rPr>
                <w:b/>
                <w:i/>
                <w:color w:val="000000" w:themeColor="text1"/>
                <w:highlight w:val="yellow"/>
              </w:rPr>
              <w:t>Name/Series</w:t>
            </w:r>
          </w:p>
        </w:tc>
        <w:tc>
          <w:tcPr>
            <w:tcW w:w="1410" w:type="dxa"/>
          </w:tcPr>
          <w:p w14:paraId="3C68EAE4" w14:textId="77777777" w:rsidR="009E79D2" w:rsidRPr="00D21A89" w:rsidRDefault="009E79D2" w:rsidP="0092227E">
            <w:pPr>
              <w:jc w:val="both"/>
              <w:rPr>
                <w:b/>
                <w:i/>
                <w:color w:val="000000" w:themeColor="text1"/>
                <w:highlight w:val="yellow"/>
              </w:rPr>
            </w:pPr>
            <w:r w:rsidRPr="00D21A89">
              <w:rPr>
                <w:b/>
                <w:i/>
                <w:color w:val="000000" w:themeColor="text1"/>
                <w:highlight w:val="yellow"/>
              </w:rPr>
              <w:t>Content</w:t>
            </w:r>
          </w:p>
        </w:tc>
        <w:tc>
          <w:tcPr>
            <w:tcW w:w="2820" w:type="dxa"/>
          </w:tcPr>
          <w:p w14:paraId="2007F18A" w14:textId="77777777" w:rsidR="009E79D2" w:rsidRPr="00D21A89" w:rsidRDefault="009E79D2" w:rsidP="0092227E">
            <w:pPr>
              <w:jc w:val="both"/>
              <w:rPr>
                <w:b/>
                <w:i/>
                <w:color w:val="000000" w:themeColor="text1"/>
                <w:highlight w:val="yellow"/>
              </w:rPr>
            </w:pPr>
            <w:r w:rsidRPr="00D21A89">
              <w:rPr>
                <w:b/>
                <w:i/>
                <w:color w:val="000000" w:themeColor="text1"/>
                <w:highlight w:val="yellow"/>
              </w:rPr>
              <w:t>Format</w:t>
            </w:r>
          </w:p>
        </w:tc>
        <w:tc>
          <w:tcPr>
            <w:tcW w:w="1710" w:type="dxa"/>
          </w:tcPr>
          <w:p w14:paraId="6BCA0443" w14:textId="77777777" w:rsidR="009E79D2" w:rsidRPr="00D21A89" w:rsidRDefault="009E79D2" w:rsidP="0092227E">
            <w:pPr>
              <w:jc w:val="both"/>
              <w:rPr>
                <w:b/>
                <w:i/>
                <w:color w:val="000000" w:themeColor="text1"/>
                <w:highlight w:val="yellow"/>
              </w:rPr>
            </w:pPr>
            <w:r w:rsidRPr="00D21A89">
              <w:rPr>
                <w:b/>
                <w:i/>
                <w:color w:val="000000" w:themeColor="text1"/>
                <w:highlight w:val="yellow"/>
              </w:rPr>
              <w:t>Forms/Levels</w:t>
            </w:r>
          </w:p>
        </w:tc>
        <w:tc>
          <w:tcPr>
            <w:tcW w:w="1620" w:type="dxa"/>
          </w:tcPr>
          <w:p w14:paraId="401262F8" w14:textId="77777777" w:rsidR="009E79D2" w:rsidRPr="00D21A89" w:rsidRDefault="009E79D2" w:rsidP="0092227E">
            <w:pPr>
              <w:jc w:val="both"/>
              <w:rPr>
                <w:b/>
                <w:i/>
                <w:color w:val="000000" w:themeColor="text1"/>
                <w:highlight w:val="yellow"/>
              </w:rPr>
            </w:pPr>
            <w:r w:rsidRPr="00D21A89">
              <w:rPr>
                <w:b/>
                <w:i/>
                <w:color w:val="000000" w:themeColor="text1"/>
                <w:highlight w:val="yellow"/>
              </w:rPr>
              <w:t>Usage Date</w:t>
            </w:r>
          </w:p>
        </w:tc>
      </w:tr>
      <w:tr w:rsidR="009E79D2" w:rsidRPr="00302A7C" w14:paraId="5B90630E" w14:textId="77777777" w:rsidTr="001C73DA">
        <w:tc>
          <w:tcPr>
            <w:tcW w:w="2065" w:type="dxa"/>
          </w:tcPr>
          <w:p w14:paraId="67462F1D" w14:textId="77777777" w:rsidR="009E79D2" w:rsidRPr="00302A7C" w:rsidRDefault="009E79D2" w:rsidP="0092227E">
            <w:pPr>
              <w:rPr>
                <w:b/>
                <w:highlight w:val="yellow"/>
              </w:rPr>
            </w:pPr>
            <w:r w:rsidRPr="00302A7C">
              <w:rPr>
                <w:b/>
                <w:highlight w:val="yellow"/>
              </w:rPr>
              <w:t>GOALS</w:t>
            </w:r>
          </w:p>
        </w:tc>
        <w:tc>
          <w:tcPr>
            <w:tcW w:w="1410" w:type="dxa"/>
          </w:tcPr>
          <w:p w14:paraId="0A8A6B97" w14:textId="77777777" w:rsidR="009E79D2" w:rsidRPr="00302A7C" w:rsidRDefault="009E79D2" w:rsidP="0092227E">
            <w:pPr>
              <w:rPr>
                <w:highlight w:val="yellow"/>
              </w:rPr>
            </w:pPr>
            <w:r w:rsidRPr="00302A7C">
              <w:rPr>
                <w:highlight w:val="yellow"/>
              </w:rPr>
              <w:t>Reading</w:t>
            </w:r>
          </w:p>
        </w:tc>
        <w:tc>
          <w:tcPr>
            <w:tcW w:w="2820" w:type="dxa"/>
          </w:tcPr>
          <w:p w14:paraId="7B4E4396" w14:textId="77777777" w:rsidR="009E79D2" w:rsidRPr="00302A7C" w:rsidRDefault="009E79D2" w:rsidP="0092227E">
            <w:pPr>
              <w:rPr>
                <w:highlight w:val="yellow"/>
              </w:rPr>
            </w:pPr>
            <w:r w:rsidRPr="00302A7C">
              <w:rPr>
                <w:highlight w:val="yellow"/>
              </w:rPr>
              <w:t xml:space="preserve">Computer Form, </w:t>
            </w:r>
          </w:p>
          <w:p w14:paraId="0483D97E" w14:textId="77777777" w:rsidR="009E79D2" w:rsidRPr="00302A7C" w:rsidRDefault="009E79D2" w:rsidP="0092227E">
            <w:pPr>
              <w:rPr>
                <w:highlight w:val="yellow"/>
              </w:rPr>
            </w:pPr>
            <w:r w:rsidRPr="00302A7C">
              <w:rPr>
                <w:highlight w:val="yellow"/>
              </w:rPr>
              <w:t>Paper Form</w:t>
            </w:r>
          </w:p>
        </w:tc>
        <w:tc>
          <w:tcPr>
            <w:tcW w:w="1710" w:type="dxa"/>
          </w:tcPr>
          <w:p w14:paraId="513B5DF6" w14:textId="77777777" w:rsidR="009E79D2" w:rsidRPr="00302A7C" w:rsidRDefault="009E79D2" w:rsidP="0092227E">
            <w:pPr>
              <w:rPr>
                <w:highlight w:val="yellow"/>
              </w:rPr>
            </w:pPr>
            <w:r w:rsidRPr="00302A7C">
              <w:rPr>
                <w:highlight w:val="yellow"/>
              </w:rPr>
              <w:t>901R–908R</w:t>
            </w:r>
          </w:p>
        </w:tc>
        <w:tc>
          <w:tcPr>
            <w:tcW w:w="1620" w:type="dxa"/>
          </w:tcPr>
          <w:p w14:paraId="6D908021" w14:textId="77777777" w:rsidR="009E79D2" w:rsidRPr="00302A7C" w:rsidRDefault="009E79D2" w:rsidP="0092227E">
            <w:pPr>
              <w:rPr>
                <w:highlight w:val="yellow"/>
              </w:rPr>
            </w:pPr>
            <w:r w:rsidRPr="00302A7C">
              <w:rPr>
                <w:highlight w:val="yellow"/>
              </w:rPr>
              <w:t>Now–June 30, 2025*</w:t>
            </w:r>
          </w:p>
        </w:tc>
      </w:tr>
      <w:tr w:rsidR="009E79D2" w:rsidRPr="00302A7C" w14:paraId="60ADF48B" w14:textId="77777777" w:rsidTr="001C73DA">
        <w:tc>
          <w:tcPr>
            <w:tcW w:w="2065" w:type="dxa"/>
          </w:tcPr>
          <w:p w14:paraId="4D34EDAC" w14:textId="77777777" w:rsidR="009E79D2" w:rsidRPr="00302A7C" w:rsidRDefault="009E79D2" w:rsidP="0092227E">
            <w:pPr>
              <w:rPr>
                <w:b/>
                <w:highlight w:val="yellow"/>
              </w:rPr>
            </w:pPr>
            <w:r w:rsidRPr="00302A7C">
              <w:rPr>
                <w:b/>
                <w:highlight w:val="yellow"/>
              </w:rPr>
              <w:t>Math GOALS 2</w:t>
            </w:r>
          </w:p>
        </w:tc>
        <w:tc>
          <w:tcPr>
            <w:tcW w:w="1410" w:type="dxa"/>
          </w:tcPr>
          <w:p w14:paraId="028EB44F" w14:textId="77777777" w:rsidR="009E79D2" w:rsidRPr="00302A7C" w:rsidRDefault="009E79D2" w:rsidP="0092227E">
            <w:pPr>
              <w:rPr>
                <w:highlight w:val="yellow"/>
              </w:rPr>
            </w:pPr>
            <w:r w:rsidRPr="00302A7C">
              <w:rPr>
                <w:highlight w:val="yellow"/>
              </w:rPr>
              <w:t>Math</w:t>
            </w:r>
          </w:p>
        </w:tc>
        <w:tc>
          <w:tcPr>
            <w:tcW w:w="2820" w:type="dxa"/>
          </w:tcPr>
          <w:p w14:paraId="37A7DF7D" w14:textId="77777777" w:rsidR="009E79D2" w:rsidRPr="00302A7C" w:rsidRDefault="009E79D2" w:rsidP="0092227E">
            <w:pPr>
              <w:rPr>
                <w:highlight w:val="yellow"/>
              </w:rPr>
            </w:pPr>
            <w:r w:rsidRPr="00302A7C">
              <w:rPr>
                <w:highlight w:val="yellow"/>
              </w:rPr>
              <w:t xml:space="preserve">Computer Form, </w:t>
            </w:r>
          </w:p>
          <w:p w14:paraId="3E359F5F" w14:textId="77777777" w:rsidR="009E79D2" w:rsidRPr="00302A7C" w:rsidRDefault="009E79D2" w:rsidP="0092227E">
            <w:pPr>
              <w:rPr>
                <w:highlight w:val="yellow"/>
              </w:rPr>
            </w:pPr>
            <w:r w:rsidRPr="00302A7C">
              <w:rPr>
                <w:highlight w:val="yellow"/>
              </w:rPr>
              <w:t>Paper Form</w:t>
            </w:r>
          </w:p>
        </w:tc>
        <w:tc>
          <w:tcPr>
            <w:tcW w:w="1710" w:type="dxa"/>
          </w:tcPr>
          <w:p w14:paraId="2A2FCBA4" w14:textId="77777777" w:rsidR="009E79D2" w:rsidRPr="00302A7C" w:rsidRDefault="009E79D2" w:rsidP="0092227E">
            <w:pPr>
              <w:rPr>
                <w:highlight w:val="yellow"/>
              </w:rPr>
            </w:pPr>
            <w:r w:rsidRPr="00302A7C">
              <w:rPr>
                <w:highlight w:val="yellow"/>
              </w:rPr>
              <w:t>921M-930M</w:t>
            </w:r>
          </w:p>
        </w:tc>
        <w:tc>
          <w:tcPr>
            <w:tcW w:w="1620" w:type="dxa"/>
          </w:tcPr>
          <w:p w14:paraId="06A41B0A" w14:textId="77777777" w:rsidR="009E79D2" w:rsidRPr="00302A7C" w:rsidRDefault="009E79D2" w:rsidP="0092227E">
            <w:pPr>
              <w:rPr>
                <w:highlight w:val="yellow"/>
              </w:rPr>
            </w:pPr>
            <w:r w:rsidRPr="00302A7C">
              <w:rPr>
                <w:highlight w:val="yellow"/>
              </w:rPr>
              <w:t>Now–July 13, 2030</w:t>
            </w:r>
          </w:p>
        </w:tc>
      </w:tr>
    </w:tbl>
    <w:p w14:paraId="0C8B7541" w14:textId="77777777" w:rsidR="009E79D2" w:rsidRPr="00302A7C" w:rsidRDefault="009E79D2" w:rsidP="009E79D2">
      <w:pPr>
        <w:rPr>
          <w:i/>
          <w:highlight w:val="yellow"/>
        </w:rPr>
      </w:pPr>
      <w:r w:rsidRPr="00302A7C">
        <w:rPr>
          <w:i/>
          <w:highlight w:val="yellow"/>
        </w:rPr>
        <w:t xml:space="preserve">For Levels:  </w:t>
      </w:r>
      <w:r w:rsidRPr="00302A7C">
        <w:rPr>
          <w:b/>
          <w:i/>
          <w:highlight w:val="yellow"/>
        </w:rPr>
        <w:t>ESL 1-6</w:t>
      </w:r>
    </w:p>
    <w:tbl>
      <w:tblPr>
        <w:tblStyle w:val="TableGrid"/>
        <w:tblW w:w="9625" w:type="dxa"/>
        <w:tblLayout w:type="fixed"/>
        <w:tblLook w:val="0420" w:firstRow="1" w:lastRow="0" w:firstColumn="0" w:lastColumn="0" w:noHBand="0" w:noVBand="1"/>
      </w:tblPr>
      <w:tblGrid>
        <w:gridCol w:w="2065"/>
        <w:gridCol w:w="1395"/>
        <w:gridCol w:w="2835"/>
        <w:gridCol w:w="1710"/>
        <w:gridCol w:w="1620"/>
      </w:tblGrid>
      <w:tr w:rsidR="009E79D2" w:rsidRPr="00302A7C" w14:paraId="72C7BA9F" w14:textId="77777777" w:rsidTr="001C73DA">
        <w:tc>
          <w:tcPr>
            <w:tcW w:w="2065" w:type="dxa"/>
          </w:tcPr>
          <w:p w14:paraId="5D1E02A6" w14:textId="77777777" w:rsidR="009E79D2" w:rsidRPr="00D21A89" w:rsidRDefault="009E79D2" w:rsidP="0092227E">
            <w:pPr>
              <w:jc w:val="both"/>
              <w:rPr>
                <w:b/>
                <w:i/>
                <w:color w:val="000000" w:themeColor="text1"/>
                <w:highlight w:val="yellow"/>
              </w:rPr>
            </w:pPr>
            <w:r w:rsidRPr="00D21A89">
              <w:rPr>
                <w:b/>
                <w:i/>
                <w:color w:val="000000" w:themeColor="text1"/>
                <w:highlight w:val="yellow"/>
              </w:rPr>
              <w:t>Name/Series</w:t>
            </w:r>
          </w:p>
        </w:tc>
        <w:tc>
          <w:tcPr>
            <w:tcW w:w="1395" w:type="dxa"/>
          </w:tcPr>
          <w:p w14:paraId="63587172" w14:textId="77777777" w:rsidR="009E79D2" w:rsidRPr="00D21A89" w:rsidRDefault="009E79D2" w:rsidP="0092227E">
            <w:pPr>
              <w:jc w:val="both"/>
              <w:rPr>
                <w:b/>
                <w:i/>
                <w:color w:val="000000" w:themeColor="text1"/>
                <w:highlight w:val="yellow"/>
              </w:rPr>
            </w:pPr>
            <w:r w:rsidRPr="00D21A89">
              <w:rPr>
                <w:b/>
                <w:i/>
                <w:color w:val="000000" w:themeColor="text1"/>
                <w:highlight w:val="yellow"/>
              </w:rPr>
              <w:t>Content</w:t>
            </w:r>
          </w:p>
        </w:tc>
        <w:tc>
          <w:tcPr>
            <w:tcW w:w="2835" w:type="dxa"/>
          </w:tcPr>
          <w:p w14:paraId="530505C5" w14:textId="77777777" w:rsidR="009E79D2" w:rsidRPr="00D21A89" w:rsidRDefault="009E79D2" w:rsidP="0092227E">
            <w:pPr>
              <w:jc w:val="both"/>
              <w:rPr>
                <w:b/>
                <w:i/>
                <w:color w:val="000000" w:themeColor="text1"/>
                <w:highlight w:val="yellow"/>
              </w:rPr>
            </w:pPr>
            <w:r w:rsidRPr="00D21A89">
              <w:rPr>
                <w:b/>
                <w:i/>
                <w:color w:val="000000" w:themeColor="text1"/>
                <w:highlight w:val="yellow"/>
              </w:rPr>
              <w:t>Format</w:t>
            </w:r>
          </w:p>
        </w:tc>
        <w:tc>
          <w:tcPr>
            <w:tcW w:w="1710" w:type="dxa"/>
          </w:tcPr>
          <w:p w14:paraId="02BB2ADD" w14:textId="77777777" w:rsidR="009E79D2" w:rsidRPr="00D21A89" w:rsidRDefault="009E79D2" w:rsidP="0092227E">
            <w:pPr>
              <w:jc w:val="both"/>
              <w:rPr>
                <w:b/>
                <w:i/>
                <w:color w:val="000000" w:themeColor="text1"/>
                <w:highlight w:val="yellow"/>
              </w:rPr>
            </w:pPr>
            <w:r w:rsidRPr="00D21A89">
              <w:rPr>
                <w:b/>
                <w:i/>
                <w:color w:val="000000" w:themeColor="text1"/>
                <w:highlight w:val="yellow"/>
              </w:rPr>
              <w:t>Forms/Levels</w:t>
            </w:r>
          </w:p>
        </w:tc>
        <w:tc>
          <w:tcPr>
            <w:tcW w:w="1620" w:type="dxa"/>
          </w:tcPr>
          <w:p w14:paraId="61682106" w14:textId="77777777" w:rsidR="009E79D2" w:rsidRPr="00D21A89" w:rsidRDefault="009E79D2" w:rsidP="0092227E">
            <w:pPr>
              <w:jc w:val="both"/>
              <w:rPr>
                <w:b/>
                <w:i/>
                <w:color w:val="000000" w:themeColor="text1"/>
                <w:highlight w:val="yellow"/>
              </w:rPr>
            </w:pPr>
            <w:r w:rsidRPr="00D21A89">
              <w:rPr>
                <w:b/>
                <w:i/>
                <w:color w:val="000000" w:themeColor="text1"/>
                <w:highlight w:val="yellow"/>
              </w:rPr>
              <w:t>Usage Date</w:t>
            </w:r>
          </w:p>
        </w:tc>
      </w:tr>
      <w:tr w:rsidR="009E79D2" w:rsidRPr="00302A7C" w14:paraId="3E1B25F9" w14:textId="77777777" w:rsidTr="001C73DA">
        <w:tc>
          <w:tcPr>
            <w:tcW w:w="2065" w:type="dxa"/>
          </w:tcPr>
          <w:p w14:paraId="734F55A0" w14:textId="77777777" w:rsidR="009E79D2" w:rsidRPr="00302A7C" w:rsidRDefault="009E79D2" w:rsidP="0092227E">
            <w:pPr>
              <w:rPr>
                <w:b/>
                <w:highlight w:val="yellow"/>
              </w:rPr>
            </w:pPr>
            <w:r w:rsidRPr="00302A7C">
              <w:rPr>
                <w:b/>
                <w:highlight w:val="yellow"/>
              </w:rPr>
              <w:t>Listening STEPS</w:t>
            </w:r>
          </w:p>
        </w:tc>
        <w:tc>
          <w:tcPr>
            <w:tcW w:w="1395" w:type="dxa"/>
          </w:tcPr>
          <w:p w14:paraId="4594E2AC" w14:textId="77777777" w:rsidR="009E79D2" w:rsidRPr="00302A7C" w:rsidRDefault="009E79D2" w:rsidP="0092227E">
            <w:pPr>
              <w:rPr>
                <w:highlight w:val="yellow"/>
              </w:rPr>
            </w:pPr>
            <w:r w:rsidRPr="00302A7C">
              <w:rPr>
                <w:highlight w:val="yellow"/>
              </w:rPr>
              <w:t>Listening</w:t>
            </w:r>
          </w:p>
        </w:tc>
        <w:tc>
          <w:tcPr>
            <w:tcW w:w="2835" w:type="dxa"/>
          </w:tcPr>
          <w:p w14:paraId="7BC8AA96" w14:textId="77777777" w:rsidR="009E79D2" w:rsidRPr="00302A7C" w:rsidRDefault="009E79D2" w:rsidP="0092227E">
            <w:pPr>
              <w:rPr>
                <w:highlight w:val="yellow"/>
              </w:rPr>
            </w:pPr>
            <w:r w:rsidRPr="00302A7C">
              <w:rPr>
                <w:highlight w:val="yellow"/>
              </w:rPr>
              <w:t>Computer Form,</w:t>
            </w:r>
          </w:p>
          <w:p w14:paraId="5C452EFB" w14:textId="77777777" w:rsidR="009E79D2" w:rsidRPr="00302A7C" w:rsidRDefault="009E79D2" w:rsidP="0092227E">
            <w:pPr>
              <w:rPr>
                <w:highlight w:val="yellow"/>
              </w:rPr>
            </w:pPr>
            <w:r w:rsidRPr="00302A7C">
              <w:rPr>
                <w:highlight w:val="yellow"/>
              </w:rPr>
              <w:t>Paper Form with CD</w:t>
            </w:r>
          </w:p>
        </w:tc>
        <w:tc>
          <w:tcPr>
            <w:tcW w:w="1710" w:type="dxa"/>
          </w:tcPr>
          <w:p w14:paraId="65284200" w14:textId="77777777" w:rsidR="009E79D2" w:rsidRPr="00302A7C" w:rsidRDefault="009E79D2" w:rsidP="0092227E">
            <w:pPr>
              <w:rPr>
                <w:highlight w:val="yellow"/>
              </w:rPr>
            </w:pPr>
            <w:r w:rsidRPr="00302A7C">
              <w:rPr>
                <w:highlight w:val="yellow"/>
              </w:rPr>
              <w:t>621L-630L</w:t>
            </w:r>
          </w:p>
        </w:tc>
        <w:tc>
          <w:tcPr>
            <w:tcW w:w="1620" w:type="dxa"/>
          </w:tcPr>
          <w:p w14:paraId="5478ECA4" w14:textId="77777777" w:rsidR="009E79D2" w:rsidRPr="00302A7C" w:rsidRDefault="009E79D2" w:rsidP="0092227E">
            <w:pPr>
              <w:rPr>
                <w:highlight w:val="yellow"/>
              </w:rPr>
            </w:pPr>
            <w:r w:rsidRPr="00302A7C">
              <w:rPr>
                <w:highlight w:val="yellow"/>
              </w:rPr>
              <w:t>Now–July 13, 2030</w:t>
            </w:r>
          </w:p>
        </w:tc>
      </w:tr>
      <w:tr w:rsidR="009E79D2" w:rsidRPr="00302A7C" w14:paraId="2FA185B9" w14:textId="77777777" w:rsidTr="001C73DA">
        <w:tc>
          <w:tcPr>
            <w:tcW w:w="2065" w:type="dxa"/>
          </w:tcPr>
          <w:p w14:paraId="328C857E" w14:textId="77777777" w:rsidR="009E79D2" w:rsidRPr="00302A7C" w:rsidRDefault="009E79D2" w:rsidP="0092227E">
            <w:pPr>
              <w:rPr>
                <w:b/>
                <w:highlight w:val="yellow"/>
              </w:rPr>
            </w:pPr>
            <w:r w:rsidRPr="00302A7C">
              <w:rPr>
                <w:b/>
                <w:highlight w:val="yellow"/>
              </w:rPr>
              <w:t>Reading STEPS</w:t>
            </w:r>
          </w:p>
        </w:tc>
        <w:tc>
          <w:tcPr>
            <w:tcW w:w="1395" w:type="dxa"/>
          </w:tcPr>
          <w:p w14:paraId="53EA09EA" w14:textId="77777777" w:rsidR="009E79D2" w:rsidRPr="00302A7C" w:rsidRDefault="009E79D2" w:rsidP="0092227E">
            <w:pPr>
              <w:rPr>
                <w:highlight w:val="yellow"/>
              </w:rPr>
            </w:pPr>
            <w:r w:rsidRPr="00302A7C">
              <w:rPr>
                <w:highlight w:val="yellow"/>
              </w:rPr>
              <w:t>Reading</w:t>
            </w:r>
          </w:p>
        </w:tc>
        <w:tc>
          <w:tcPr>
            <w:tcW w:w="2835" w:type="dxa"/>
          </w:tcPr>
          <w:p w14:paraId="548B395D" w14:textId="77777777" w:rsidR="009E79D2" w:rsidRPr="00302A7C" w:rsidRDefault="009E79D2" w:rsidP="0092227E">
            <w:pPr>
              <w:rPr>
                <w:highlight w:val="yellow"/>
              </w:rPr>
            </w:pPr>
            <w:r w:rsidRPr="00302A7C">
              <w:rPr>
                <w:highlight w:val="yellow"/>
              </w:rPr>
              <w:t xml:space="preserve">Computer Form, </w:t>
            </w:r>
          </w:p>
          <w:p w14:paraId="7C247913" w14:textId="77777777" w:rsidR="009E79D2" w:rsidRPr="00302A7C" w:rsidRDefault="009E79D2" w:rsidP="0092227E">
            <w:pPr>
              <w:rPr>
                <w:highlight w:val="yellow"/>
              </w:rPr>
            </w:pPr>
            <w:r w:rsidRPr="00302A7C">
              <w:rPr>
                <w:highlight w:val="yellow"/>
              </w:rPr>
              <w:t>Paper Form</w:t>
            </w:r>
          </w:p>
        </w:tc>
        <w:tc>
          <w:tcPr>
            <w:tcW w:w="1710" w:type="dxa"/>
          </w:tcPr>
          <w:p w14:paraId="1E45DB5F" w14:textId="77777777" w:rsidR="009E79D2" w:rsidRPr="00302A7C" w:rsidRDefault="009E79D2" w:rsidP="0092227E">
            <w:pPr>
              <w:rPr>
                <w:highlight w:val="yellow"/>
              </w:rPr>
            </w:pPr>
            <w:r w:rsidRPr="00302A7C">
              <w:rPr>
                <w:highlight w:val="yellow"/>
              </w:rPr>
              <w:t>621R-630R</w:t>
            </w:r>
          </w:p>
        </w:tc>
        <w:tc>
          <w:tcPr>
            <w:tcW w:w="1620" w:type="dxa"/>
          </w:tcPr>
          <w:p w14:paraId="78FD7C96" w14:textId="77777777" w:rsidR="009E79D2" w:rsidRPr="00302A7C" w:rsidRDefault="009E79D2" w:rsidP="0092227E">
            <w:pPr>
              <w:rPr>
                <w:highlight w:val="yellow"/>
              </w:rPr>
            </w:pPr>
            <w:r w:rsidRPr="00302A7C">
              <w:rPr>
                <w:highlight w:val="yellow"/>
              </w:rPr>
              <w:t>Now–July 13, 2030</w:t>
            </w:r>
          </w:p>
        </w:tc>
      </w:tr>
    </w:tbl>
    <w:p w14:paraId="6293CE2A" w14:textId="77777777" w:rsidR="009E79D2" w:rsidRPr="001C73DA" w:rsidRDefault="009E79D2" w:rsidP="009E79D2">
      <w:pPr>
        <w:pStyle w:val="Heading3"/>
        <w:rPr>
          <w:color w:val="auto"/>
          <w:highlight w:val="yellow"/>
        </w:rPr>
      </w:pPr>
      <w:bookmarkStart w:id="2" w:name="_Toc146807229"/>
      <w:r w:rsidRPr="001C73DA">
        <w:rPr>
          <w:color w:val="auto"/>
          <w:highlight w:val="yellow"/>
        </w:rPr>
        <w:t>TABE</w:t>
      </w:r>
      <w:bookmarkEnd w:id="2"/>
    </w:p>
    <w:p w14:paraId="5B5917CB" w14:textId="77777777" w:rsidR="009E79D2" w:rsidRPr="00302A7C" w:rsidRDefault="009E79D2" w:rsidP="009E79D2">
      <w:pPr>
        <w:rPr>
          <w:i/>
          <w:highlight w:val="yellow"/>
        </w:rPr>
      </w:pPr>
      <w:r w:rsidRPr="00302A7C">
        <w:rPr>
          <w:i/>
          <w:highlight w:val="yellow"/>
        </w:rPr>
        <w:t xml:space="preserve">For Levels:  </w:t>
      </w:r>
      <w:r w:rsidRPr="00302A7C">
        <w:rPr>
          <w:b/>
          <w:i/>
          <w:highlight w:val="yellow"/>
        </w:rPr>
        <w:t>ABE 1-6</w:t>
      </w:r>
    </w:p>
    <w:tbl>
      <w:tblPr>
        <w:tblStyle w:val="TableGrid"/>
        <w:tblW w:w="9626" w:type="dxa"/>
        <w:tblLayout w:type="fixed"/>
        <w:tblLook w:val="0420" w:firstRow="1" w:lastRow="0" w:firstColumn="0" w:lastColumn="0" w:noHBand="0" w:noVBand="1"/>
      </w:tblPr>
      <w:tblGrid>
        <w:gridCol w:w="2066"/>
        <w:gridCol w:w="1410"/>
        <w:gridCol w:w="2820"/>
        <w:gridCol w:w="1711"/>
        <w:gridCol w:w="1619"/>
      </w:tblGrid>
      <w:tr w:rsidR="009E79D2" w:rsidRPr="00302A7C" w14:paraId="679058D8" w14:textId="77777777" w:rsidTr="001C73DA">
        <w:tc>
          <w:tcPr>
            <w:tcW w:w="2066" w:type="dxa"/>
          </w:tcPr>
          <w:p w14:paraId="03F2AE3A" w14:textId="77777777" w:rsidR="009E79D2" w:rsidRPr="00D21A89" w:rsidRDefault="009E79D2" w:rsidP="0092227E">
            <w:pPr>
              <w:rPr>
                <w:b/>
                <w:i/>
                <w:color w:val="000000" w:themeColor="text1"/>
                <w:highlight w:val="yellow"/>
              </w:rPr>
            </w:pPr>
            <w:r w:rsidRPr="00D21A89">
              <w:rPr>
                <w:b/>
                <w:i/>
                <w:color w:val="000000" w:themeColor="text1"/>
                <w:highlight w:val="yellow"/>
              </w:rPr>
              <w:t>Name/Series</w:t>
            </w:r>
          </w:p>
        </w:tc>
        <w:tc>
          <w:tcPr>
            <w:tcW w:w="1410" w:type="dxa"/>
          </w:tcPr>
          <w:p w14:paraId="101294A1" w14:textId="77777777" w:rsidR="009E79D2" w:rsidRPr="00D21A89" w:rsidRDefault="009E79D2" w:rsidP="0092227E">
            <w:pPr>
              <w:rPr>
                <w:b/>
                <w:i/>
                <w:color w:val="000000" w:themeColor="text1"/>
                <w:highlight w:val="yellow"/>
              </w:rPr>
            </w:pPr>
            <w:r w:rsidRPr="00D21A89">
              <w:rPr>
                <w:b/>
                <w:i/>
                <w:color w:val="000000" w:themeColor="text1"/>
                <w:highlight w:val="yellow"/>
              </w:rPr>
              <w:t>Content</w:t>
            </w:r>
          </w:p>
        </w:tc>
        <w:tc>
          <w:tcPr>
            <w:tcW w:w="2820" w:type="dxa"/>
          </w:tcPr>
          <w:p w14:paraId="33DCA8C0" w14:textId="77777777" w:rsidR="009E79D2" w:rsidRPr="00D21A89" w:rsidRDefault="009E79D2" w:rsidP="0092227E">
            <w:pPr>
              <w:rPr>
                <w:b/>
                <w:i/>
                <w:color w:val="000000" w:themeColor="text1"/>
                <w:highlight w:val="yellow"/>
              </w:rPr>
            </w:pPr>
            <w:r w:rsidRPr="00D21A89">
              <w:rPr>
                <w:b/>
                <w:i/>
                <w:color w:val="000000" w:themeColor="text1"/>
                <w:highlight w:val="yellow"/>
              </w:rPr>
              <w:t>Format</w:t>
            </w:r>
          </w:p>
        </w:tc>
        <w:tc>
          <w:tcPr>
            <w:tcW w:w="1711" w:type="dxa"/>
          </w:tcPr>
          <w:p w14:paraId="3342936F" w14:textId="77777777" w:rsidR="009E79D2" w:rsidRPr="00D21A89" w:rsidRDefault="009E79D2" w:rsidP="0092227E">
            <w:pPr>
              <w:rPr>
                <w:b/>
                <w:i/>
                <w:color w:val="000000" w:themeColor="text1"/>
                <w:highlight w:val="yellow"/>
              </w:rPr>
            </w:pPr>
            <w:r w:rsidRPr="00D21A89">
              <w:rPr>
                <w:b/>
                <w:i/>
                <w:color w:val="000000" w:themeColor="text1"/>
                <w:highlight w:val="yellow"/>
              </w:rPr>
              <w:t>Forms/Levels</w:t>
            </w:r>
          </w:p>
        </w:tc>
        <w:tc>
          <w:tcPr>
            <w:tcW w:w="1619" w:type="dxa"/>
          </w:tcPr>
          <w:p w14:paraId="1C1EE052" w14:textId="77777777" w:rsidR="009E79D2" w:rsidRPr="00D21A89" w:rsidRDefault="009E79D2" w:rsidP="0092227E">
            <w:pPr>
              <w:rPr>
                <w:b/>
                <w:i/>
                <w:color w:val="000000" w:themeColor="text1"/>
                <w:highlight w:val="yellow"/>
              </w:rPr>
            </w:pPr>
            <w:r w:rsidRPr="00D21A89">
              <w:rPr>
                <w:b/>
                <w:i/>
                <w:color w:val="000000" w:themeColor="text1"/>
                <w:highlight w:val="yellow"/>
              </w:rPr>
              <w:t>Usage Date</w:t>
            </w:r>
          </w:p>
        </w:tc>
      </w:tr>
      <w:tr w:rsidR="009E79D2" w14:paraId="63C7C5D9" w14:textId="77777777" w:rsidTr="001C73DA">
        <w:tc>
          <w:tcPr>
            <w:tcW w:w="2066" w:type="dxa"/>
          </w:tcPr>
          <w:p w14:paraId="27AD3302" w14:textId="77777777" w:rsidR="009E79D2" w:rsidRPr="00302A7C" w:rsidRDefault="009E79D2" w:rsidP="0092227E">
            <w:pPr>
              <w:rPr>
                <w:b/>
                <w:highlight w:val="yellow"/>
              </w:rPr>
            </w:pPr>
            <w:r w:rsidRPr="00302A7C">
              <w:rPr>
                <w:b/>
                <w:highlight w:val="yellow"/>
              </w:rPr>
              <w:t>11 and 12</w:t>
            </w:r>
          </w:p>
        </w:tc>
        <w:tc>
          <w:tcPr>
            <w:tcW w:w="1410" w:type="dxa"/>
          </w:tcPr>
          <w:p w14:paraId="3A8A93B7" w14:textId="77777777" w:rsidR="009E79D2" w:rsidRPr="00302A7C" w:rsidRDefault="009E79D2" w:rsidP="009E79D2">
            <w:pPr>
              <w:numPr>
                <w:ilvl w:val="0"/>
                <w:numId w:val="5"/>
              </w:numPr>
              <w:ind w:left="276" w:hanging="180"/>
              <w:rPr>
                <w:highlight w:val="yellow"/>
              </w:rPr>
            </w:pPr>
            <w:r w:rsidRPr="00302A7C">
              <w:rPr>
                <w:highlight w:val="yellow"/>
              </w:rPr>
              <w:t>Reading</w:t>
            </w:r>
          </w:p>
          <w:p w14:paraId="7151B1F6" w14:textId="77777777" w:rsidR="009E79D2" w:rsidRPr="00302A7C" w:rsidRDefault="009E79D2" w:rsidP="009E79D2">
            <w:pPr>
              <w:numPr>
                <w:ilvl w:val="0"/>
                <w:numId w:val="5"/>
              </w:numPr>
              <w:ind w:left="276" w:hanging="180"/>
              <w:rPr>
                <w:highlight w:val="yellow"/>
              </w:rPr>
            </w:pPr>
            <w:r w:rsidRPr="00302A7C">
              <w:rPr>
                <w:highlight w:val="yellow"/>
              </w:rPr>
              <w:t>Math</w:t>
            </w:r>
          </w:p>
          <w:p w14:paraId="66252C71" w14:textId="77777777" w:rsidR="009E79D2" w:rsidRPr="00302A7C" w:rsidRDefault="009E79D2" w:rsidP="009E79D2">
            <w:pPr>
              <w:numPr>
                <w:ilvl w:val="0"/>
                <w:numId w:val="5"/>
              </w:numPr>
              <w:ind w:left="276" w:hanging="180"/>
              <w:rPr>
                <w:highlight w:val="yellow"/>
              </w:rPr>
            </w:pPr>
            <w:r w:rsidRPr="00302A7C">
              <w:rPr>
                <w:highlight w:val="yellow"/>
              </w:rPr>
              <w:t>Language</w:t>
            </w:r>
          </w:p>
        </w:tc>
        <w:tc>
          <w:tcPr>
            <w:tcW w:w="2820" w:type="dxa"/>
          </w:tcPr>
          <w:p w14:paraId="3B26D17A" w14:textId="77777777" w:rsidR="009E79D2" w:rsidRPr="00302A7C" w:rsidRDefault="009E79D2" w:rsidP="0092227E">
            <w:pPr>
              <w:rPr>
                <w:highlight w:val="yellow"/>
              </w:rPr>
            </w:pPr>
            <w:r w:rsidRPr="00302A7C">
              <w:rPr>
                <w:highlight w:val="yellow"/>
              </w:rPr>
              <w:t>Computer Form,</w:t>
            </w:r>
          </w:p>
          <w:p w14:paraId="5B3F1AC6" w14:textId="77777777" w:rsidR="009E79D2" w:rsidRPr="00302A7C" w:rsidRDefault="009E79D2" w:rsidP="0092227E">
            <w:pPr>
              <w:rPr>
                <w:highlight w:val="yellow"/>
              </w:rPr>
            </w:pPr>
            <w:r w:rsidRPr="00302A7C">
              <w:rPr>
                <w:highlight w:val="yellow"/>
              </w:rPr>
              <w:t>Paper Form</w:t>
            </w:r>
          </w:p>
        </w:tc>
        <w:tc>
          <w:tcPr>
            <w:tcW w:w="1711" w:type="dxa"/>
          </w:tcPr>
          <w:p w14:paraId="1EF2F586" w14:textId="77777777" w:rsidR="009E79D2" w:rsidRPr="00302A7C" w:rsidRDefault="009E79D2" w:rsidP="0092227E">
            <w:pPr>
              <w:rPr>
                <w:highlight w:val="yellow"/>
              </w:rPr>
            </w:pPr>
            <w:r w:rsidRPr="00302A7C">
              <w:rPr>
                <w:highlight w:val="yellow"/>
              </w:rPr>
              <w:t>L (Literacy)</w:t>
            </w:r>
          </w:p>
          <w:p w14:paraId="69C1D61E" w14:textId="77777777" w:rsidR="009E79D2" w:rsidRPr="00302A7C" w:rsidRDefault="009E79D2" w:rsidP="0092227E">
            <w:pPr>
              <w:rPr>
                <w:highlight w:val="yellow"/>
              </w:rPr>
            </w:pPr>
            <w:r w:rsidRPr="00302A7C">
              <w:rPr>
                <w:highlight w:val="yellow"/>
              </w:rPr>
              <w:t>E (Easy)</w:t>
            </w:r>
          </w:p>
          <w:p w14:paraId="4C401ED4" w14:textId="77777777" w:rsidR="009E79D2" w:rsidRPr="00302A7C" w:rsidRDefault="009E79D2" w:rsidP="0092227E">
            <w:pPr>
              <w:rPr>
                <w:highlight w:val="yellow"/>
              </w:rPr>
            </w:pPr>
            <w:r w:rsidRPr="00302A7C">
              <w:rPr>
                <w:highlight w:val="yellow"/>
              </w:rPr>
              <w:t>M (Medium)</w:t>
            </w:r>
          </w:p>
          <w:p w14:paraId="52EB945D" w14:textId="77777777" w:rsidR="009E79D2" w:rsidRPr="00302A7C" w:rsidRDefault="009E79D2" w:rsidP="0092227E">
            <w:pPr>
              <w:rPr>
                <w:highlight w:val="yellow"/>
              </w:rPr>
            </w:pPr>
            <w:r w:rsidRPr="00302A7C">
              <w:rPr>
                <w:highlight w:val="yellow"/>
              </w:rPr>
              <w:t>D (Difficult)</w:t>
            </w:r>
          </w:p>
          <w:p w14:paraId="32A79C76" w14:textId="77777777" w:rsidR="009E79D2" w:rsidRPr="00302A7C" w:rsidRDefault="009E79D2" w:rsidP="0092227E">
            <w:pPr>
              <w:rPr>
                <w:highlight w:val="yellow"/>
              </w:rPr>
            </w:pPr>
            <w:r w:rsidRPr="00302A7C">
              <w:rPr>
                <w:highlight w:val="yellow"/>
              </w:rPr>
              <w:t>A (Advanced)</w:t>
            </w:r>
          </w:p>
        </w:tc>
        <w:tc>
          <w:tcPr>
            <w:tcW w:w="1619" w:type="dxa"/>
          </w:tcPr>
          <w:p w14:paraId="632A2B30" w14:textId="77777777" w:rsidR="009E79D2" w:rsidRDefault="009E79D2" w:rsidP="0092227E">
            <w:r w:rsidRPr="00302A7C">
              <w:rPr>
                <w:highlight w:val="yellow"/>
              </w:rPr>
              <w:t>Now–June 30, 2025*</w:t>
            </w:r>
          </w:p>
        </w:tc>
      </w:tr>
    </w:tbl>
    <w:p w14:paraId="01FE07E1" w14:textId="77777777" w:rsidR="009E79D2" w:rsidRDefault="009E79D2" w:rsidP="009E79D2">
      <w:pPr>
        <w:rPr>
          <w:i/>
        </w:rPr>
      </w:pPr>
    </w:p>
    <w:p w14:paraId="3AB6497B" w14:textId="77777777" w:rsidR="004B4175" w:rsidRDefault="004B4175" w:rsidP="004B4175">
      <w:pPr>
        <w:rPr>
          <w:i/>
        </w:rPr>
      </w:pPr>
      <w:r w:rsidRPr="004B4175">
        <w:rPr>
          <w:i/>
          <w:highlight w:val="yellow"/>
        </w:rPr>
        <w:t xml:space="preserve">*Notes about Usage Date: 1. The federal approval date may end midyear, but providers are typically allowed to use the test through the end of the federal reporting year, which ends June 30; and 2. Usage Date could be </w:t>
      </w:r>
      <w:proofErr w:type="gramStart"/>
      <w:r w:rsidRPr="004B4175">
        <w:rPr>
          <w:i/>
          <w:highlight w:val="yellow"/>
        </w:rPr>
        <w:t>extended, if</w:t>
      </w:r>
      <w:proofErr w:type="gramEnd"/>
      <w:r w:rsidRPr="004B4175">
        <w:rPr>
          <w:i/>
          <w:highlight w:val="yellow"/>
        </w:rPr>
        <w:t xml:space="preserve"> the U.S. Department of Education extends the approved usage dates.</w:t>
      </w:r>
    </w:p>
    <w:p w14:paraId="7A6F4344" w14:textId="77777777" w:rsidR="009E79D2" w:rsidRDefault="009E79D2" w:rsidP="00A001E4">
      <w:pPr>
        <w:pStyle w:val="ListParagraph"/>
        <w:rPr>
          <w:rFonts w:ascii="Times New Roman" w:hAnsi="Times New Roman"/>
          <w:sz w:val="24"/>
          <w:szCs w:val="24"/>
        </w:rPr>
      </w:pPr>
    </w:p>
    <w:p w14:paraId="151C6A0E" w14:textId="4C7DB96A" w:rsidR="000006EC" w:rsidRPr="009E79D2" w:rsidRDefault="000006EC" w:rsidP="009E79D2">
      <w:pPr>
        <w:rPr>
          <w:rFonts w:ascii="Times New Roman" w:hAnsi="Times New Roman"/>
          <w:sz w:val="24"/>
          <w:szCs w:val="24"/>
        </w:rPr>
      </w:pPr>
    </w:p>
    <w:p w14:paraId="7E1D4C76" w14:textId="77777777" w:rsidR="00ED7EC3" w:rsidRPr="000365CC" w:rsidRDefault="0095594C" w:rsidP="00ED7EC3">
      <w:pPr>
        <w:pStyle w:val="ListParagraph"/>
        <w:numPr>
          <w:ilvl w:val="0"/>
          <w:numId w:val="2"/>
        </w:numPr>
        <w:rPr>
          <w:rFonts w:ascii="Times New Roman" w:hAnsi="Times New Roman"/>
          <w:sz w:val="24"/>
          <w:szCs w:val="24"/>
        </w:rPr>
      </w:pPr>
      <w:r w:rsidRPr="000365CC">
        <w:rPr>
          <w:rFonts w:ascii="Times New Roman" w:hAnsi="Times New Roman"/>
          <w:sz w:val="24"/>
          <w:szCs w:val="24"/>
        </w:rPr>
        <w:t xml:space="preserve">Local program staff </w:t>
      </w:r>
      <w:r w:rsidRPr="000365CC">
        <w:rPr>
          <w:rFonts w:ascii="Times New Roman" w:hAnsi="Times New Roman"/>
          <w:sz w:val="24"/>
          <w:szCs w:val="24"/>
          <w:u w:val="single"/>
        </w:rPr>
        <w:t>may</w:t>
      </w:r>
      <w:r w:rsidRPr="000365CC">
        <w:rPr>
          <w:rFonts w:ascii="Times New Roman" w:hAnsi="Times New Roman"/>
          <w:sz w:val="24"/>
          <w:szCs w:val="24"/>
        </w:rPr>
        <w:t xml:space="preserve"> measure EFL gains one of three ways:</w:t>
      </w:r>
      <w:r w:rsidRPr="000365CC">
        <w:rPr>
          <w:rFonts w:ascii="Times New Roman" w:hAnsi="Times New Roman"/>
          <w:sz w:val="24"/>
          <w:szCs w:val="24"/>
        </w:rPr>
        <w:br/>
      </w:r>
    </w:p>
    <w:p w14:paraId="450B3F9B" w14:textId="77777777" w:rsidR="0095594C" w:rsidRPr="000365CC" w:rsidRDefault="0095594C" w:rsidP="0095594C">
      <w:pPr>
        <w:pStyle w:val="ListParagraph"/>
        <w:numPr>
          <w:ilvl w:val="1"/>
          <w:numId w:val="2"/>
        </w:numPr>
        <w:rPr>
          <w:rFonts w:ascii="Times New Roman" w:hAnsi="Times New Roman"/>
          <w:sz w:val="24"/>
          <w:szCs w:val="24"/>
        </w:rPr>
      </w:pPr>
      <w:r w:rsidRPr="000365CC">
        <w:rPr>
          <w:rFonts w:ascii="Times New Roman" w:hAnsi="Times New Roman"/>
          <w:sz w:val="24"/>
          <w:szCs w:val="24"/>
        </w:rPr>
        <w:t xml:space="preserve">Compare the participant’s initial EFL, as measured by a pre-test, with his or her EFL as measured by a </w:t>
      </w:r>
      <w:proofErr w:type="gramStart"/>
      <w:r w:rsidRPr="000365CC">
        <w:rPr>
          <w:rFonts w:ascii="Times New Roman" w:hAnsi="Times New Roman"/>
          <w:sz w:val="24"/>
          <w:szCs w:val="24"/>
        </w:rPr>
        <w:t>post-test;</w:t>
      </w:r>
      <w:proofErr w:type="gramEnd"/>
    </w:p>
    <w:p w14:paraId="5B93F725" w14:textId="77777777" w:rsidR="008B22E1" w:rsidRPr="000365CC" w:rsidRDefault="008B22E1" w:rsidP="0095594C">
      <w:pPr>
        <w:pStyle w:val="ListParagraph"/>
        <w:numPr>
          <w:ilvl w:val="1"/>
          <w:numId w:val="2"/>
        </w:numPr>
        <w:rPr>
          <w:rFonts w:ascii="Times New Roman" w:hAnsi="Times New Roman"/>
          <w:sz w:val="24"/>
          <w:szCs w:val="24"/>
        </w:rPr>
      </w:pPr>
      <w:r w:rsidRPr="00DF06FD">
        <w:rPr>
          <w:rFonts w:ascii="Times New Roman" w:hAnsi="Times New Roman"/>
          <w:sz w:val="24"/>
          <w:szCs w:val="24"/>
        </w:rPr>
        <w:t>Adult high-school programs that lead to a secondary school diploma or equivalent</w:t>
      </w:r>
      <w:r w:rsidRPr="000365CC">
        <w:rPr>
          <w:rFonts w:ascii="Times New Roman" w:hAnsi="Times New Roman"/>
          <w:sz w:val="24"/>
          <w:szCs w:val="24"/>
        </w:rPr>
        <w:t xml:space="preserve"> may measure and report educational gain through the awarding of credits or Carnegie units; or,</w:t>
      </w:r>
    </w:p>
    <w:p w14:paraId="567D3E7A" w14:textId="77777777" w:rsidR="008B22E1" w:rsidRPr="000365CC" w:rsidRDefault="008B22E1" w:rsidP="0095594C">
      <w:pPr>
        <w:pStyle w:val="ListParagraph"/>
        <w:numPr>
          <w:ilvl w:val="1"/>
          <w:numId w:val="2"/>
        </w:numPr>
        <w:rPr>
          <w:rFonts w:ascii="Times New Roman" w:hAnsi="Times New Roman"/>
          <w:sz w:val="24"/>
          <w:szCs w:val="24"/>
        </w:rPr>
      </w:pPr>
      <w:r w:rsidRPr="000365CC">
        <w:rPr>
          <w:rFonts w:ascii="Times New Roman" w:hAnsi="Times New Roman"/>
          <w:sz w:val="24"/>
          <w:szCs w:val="24"/>
        </w:rPr>
        <w:t xml:space="preserve">Reporting an EFL for participants who exit a program below the postsecondary level and enroll in postsecondary education and training during the program year </w:t>
      </w:r>
      <w:r w:rsidRPr="000365CC">
        <w:rPr>
          <w:rFonts w:ascii="Times New Roman" w:hAnsi="Times New Roman"/>
          <w:sz w:val="24"/>
          <w:szCs w:val="24"/>
        </w:rPr>
        <w:lastRenderedPageBreak/>
        <w:t>(between 7/1 and 6/30 of the following year). A program below the postsecondary level applies to participants enrolled in a basic education program.</w:t>
      </w:r>
      <w:r w:rsidR="00BE18CA" w:rsidRPr="000365CC">
        <w:rPr>
          <w:rFonts w:ascii="Times New Roman" w:hAnsi="Times New Roman"/>
          <w:sz w:val="24"/>
          <w:szCs w:val="24"/>
        </w:rPr>
        <w:t xml:space="preserve"> </w:t>
      </w:r>
      <w:r w:rsidR="000A00F1" w:rsidRPr="000365CC">
        <w:rPr>
          <w:rFonts w:ascii="Times New Roman" w:hAnsi="Times New Roman"/>
          <w:sz w:val="24"/>
          <w:szCs w:val="24"/>
        </w:rPr>
        <w:t xml:space="preserve">(TEGL 10-16, </w:t>
      </w:r>
      <w:r w:rsidR="00085198">
        <w:rPr>
          <w:rFonts w:ascii="Times New Roman" w:hAnsi="Times New Roman"/>
          <w:sz w:val="24"/>
          <w:szCs w:val="24"/>
        </w:rPr>
        <w:t>Change 1</w:t>
      </w:r>
      <w:r w:rsidR="00085198" w:rsidRPr="00BA030C">
        <w:rPr>
          <w:rFonts w:ascii="Times New Roman" w:hAnsi="Times New Roman"/>
          <w:sz w:val="24"/>
          <w:szCs w:val="24"/>
        </w:rPr>
        <w:t xml:space="preserve">, </w:t>
      </w:r>
      <w:r w:rsidR="000A00F1" w:rsidRPr="00BA030C">
        <w:rPr>
          <w:rFonts w:ascii="Times New Roman" w:hAnsi="Times New Roman"/>
          <w:sz w:val="24"/>
          <w:szCs w:val="24"/>
        </w:rPr>
        <w:t>p</w:t>
      </w:r>
      <w:r w:rsidR="00085198" w:rsidRPr="00BA030C">
        <w:rPr>
          <w:rFonts w:ascii="Times New Roman" w:hAnsi="Times New Roman"/>
          <w:sz w:val="24"/>
          <w:szCs w:val="24"/>
        </w:rPr>
        <w:t>19</w:t>
      </w:r>
      <w:r w:rsidR="000A00F1" w:rsidRPr="00BA030C">
        <w:rPr>
          <w:rFonts w:ascii="Times New Roman" w:hAnsi="Times New Roman"/>
          <w:sz w:val="24"/>
          <w:szCs w:val="24"/>
        </w:rPr>
        <w:t>)</w:t>
      </w:r>
      <w:r w:rsidRPr="000365CC">
        <w:rPr>
          <w:rFonts w:ascii="Times New Roman" w:hAnsi="Times New Roman"/>
          <w:sz w:val="24"/>
          <w:szCs w:val="24"/>
        </w:rPr>
        <w:br/>
      </w:r>
    </w:p>
    <w:p w14:paraId="1DD2A7B6" w14:textId="77777777" w:rsidR="008B22E1" w:rsidRPr="000365CC" w:rsidRDefault="000A00F1" w:rsidP="008B22E1">
      <w:pPr>
        <w:pStyle w:val="ListParagraph"/>
        <w:numPr>
          <w:ilvl w:val="0"/>
          <w:numId w:val="2"/>
        </w:numPr>
        <w:rPr>
          <w:rFonts w:ascii="Times New Roman" w:hAnsi="Times New Roman"/>
          <w:sz w:val="24"/>
          <w:szCs w:val="24"/>
        </w:rPr>
      </w:pPr>
      <w:r w:rsidRPr="000365CC">
        <w:rPr>
          <w:rFonts w:ascii="Times New Roman" w:hAnsi="Times New Roman"/>
          <w:sz w:val="24"/>
          <w:szCs w:val="24"/>
        </w:rPr>
        <w:t xml:space="preserve">For in-school youth enrolled in secondary education, local programs may use Minnesota </w:t>
      </w:r>
      <w:r w:rsidR="00212B7D" w:rsidRPr="000365CC">
        <w:rPr>
          <w:rFonts w:ascii="Times New Roman" w:hAnsi="Times New Roman"/>
          <w:sz w:val="24"/>
          <w:szCs w:val="24"/>
        </w:rPr>
        <w:t xml:space="preserve">Comprehensive Assessment (MCA) test results to satisfy the basic skills assessment portion of the objective assessment process. </w:t>
      </w:r>
      <w:r w:rsidR="00212B7D" w:rsidRPr="000365CC">
        <w:rPr>
          <w:rFonts w:ascii="Times New Roman" w:hAnsi="Times New Roman"/>
          <w:sz w:val="24"/>
          <w:szCs w:val="24"/>
        </w:rPr>
        <w:br/>
      </w:r>
    </w:p>
    <w:p w14:paraId="3578BF58" w14:textId="77777777" w:rsidR="00212B7D" w:rsidRPr="00BA030C" w:rsidRDefault="00212B7D" w:rsidP="008B22E1">
      <w:pPr>
        <w:pStyle w:val="ListParagraph"/>
        <w:numPr>
          <w:ilvl w:val="0"/>
          <w:numId w:val="2"/>
        </w:numPr>
        <w:rPr>
          <w:rFonts w:ascii="Times New Roman" w:hAnsi="Times New Roman"/>
          <w:sz w:val="24"/>
          <w:szCs w:val="24"/>
        </w:rPr>
      </w:pPr>
      <w:r w:rsidRPr="00BA030C">
        <w:rPr>
          <w:rFonts w:ascii="Times New Roman" w:hAnsi="Times New Roman"/>
          <w:sz w:val="24"/>
          <w:szCs w:val="24"/>
        </w:rPr>
        <w:t>Local programs may use previous basic skills assessment results if such previous assessments have been conducted within the last six months.</w:t>
      </w:r>
      <w:r w:rsidR="00BC1685" w:rsidRPr="00BA030C">
        <w:rPr>
          <w:rFonts w:ascii="Times New Roman" w:hAnsi="Times New Roman"/>
          <w:sz w:val="24"/>
          <w:szCs w:val="24"/>
        </w:rPr>
        <w:br/>
      </w:r>
    </w:p>
    <w:p w14:paraId="74515EB8" w14:textId="6B91FD81" w:rsidR="00BC1685" w:rsidRPr="00BA030C" w:rsidRDefault="00085198" w:rsidP="008B22E1">
      <w:pPr>
        <w:pStyle w:val="ListParagraph"/>
        <w:numPr>
          <w:ilvl w:val="0"/>
          <w:numId w:val="2"/>
        </w:numPr>
        <w:rPr>
          <w:rFonts w:ascii="Times New Roman" w:hAnsi="Times New Roman"/>
          <w:sz w:val="24"/>
          <w:szCs w:val="24"/>
        </w:rPr>
      </w:pPr>
      <w:r w:rsidRPr="00BA030C">
        <w:rPr>
          <w:rFonts w:ascii="Times New Roman" w:hAnsi="Times New Roman"/>
          <w:sz w:val="24"/>
          <w:szCs w:val="24"/>
        </w:rPr>
        <w:t>U</w:t>
      </w:r>
      <w:r w:rsidR="00873BEE" w:rsidRPr="00BA030C">
        <w:rPr>
          <w:rFonts w:ascii="Times New Roman" w:hAnsi="Times New Roman"/>
          <w:sz w:val="24"/>
          <w:szCs w:val="24"/>
        </w:rPr>
        <w:t>nder WIOA,</w:t>
      </w:r>
      <w:r w:rsidR="00EE583F" w:rsidRPr="00BA030C">
        <w:rPr>
          <w:rFonts w:ascii="Times New Roman" w:hAnsi="Times New Roman"/>
          <w:sz w:val="24"/>
          <w:szCs w:val="24"/>
        </w:rPr>
        <w:t xml:space="preserve"> if the local service provider </w:t>
      </w:r>
      <w:r w:rsidR="003C2211" w:rsidRPr="00BA030C">
        <w:rPr>
          <w:rFonts w:ascii="Times New Roman" w:hAnsi="Times New Roman"/>
          <w:sz w:val="24"/>
          <w:szCs w:val="24"/>
        </w:rPr>
        <w:t>wants</w:t>
      </w:r>
      <w:r w:rsidR="00EE583F" w:rsidRPr="00BA030C">
        <w:rPr>
          <w:rFonts w:ascii="Times New Roman" w:hAnsi="Times New Roman"/>
          <w:sz w:val="24"/>
          <w:szCs w:val="24"/>
        </w:rPr>
        <w:t xml:space="preserve"> to use </w:t>
      </w:r>
      <w:r w:rsidR="003C2211" w:rsidRPr="00BA030C">
        <w:rPr>
          <w:rFonts w:ascii="Times New Roman" w:hAnsi="Times New Roman"/>
          <w:sz w:val="24"/>
          <w:szCs w:val="24"/>
        </w:rPr>
        <w:t xml:space="preserve">the EFL gain as a way for a participant to be included in the Measurable Skills Gain numerator, </w:t>
      </w:r>
      <w:r w:rsidR="001B2B0F" w:rsidRPr="00BA030C">
        <w:rPr>
          <w:rFonts w:ascii="Times New Roman" w:hAnsi="Times New Roman"/>
          <w:sz w:val="24"/>
          <w:szCs w:val="24"/>
        </w:rPr>
        <w:t>a post-test that documents a gain of at least one EFL must occur on or before June 30</w:t>
      </w:r>
      <w:r w:rsidR="00395F28" w:rsidRPr="00BA030C">
        <w:rPr>
          <w:rFonts w:ascii="Times New Roman" w:hAnsi="Times New Roman"/>
          <w:sz w:val="24"/>
          <w:szCs w:val="24"/>
        </w:rPr>
        <w:t xml:space="preserve"> using the same testing instrument</w:t>
      </w:r>
      <w:r w:rsidR="00DF06FD" w:rsidRPr="00BA030C">
        <w:rPr>
          <w:rFonts w:ascii="Times New Roman" w:hAnsi="Times New Roman"/>
          <w:sz w:val="24"/>
          <w:szCs w:val="24"/>
        </w:rPr>
        <w:t>.</w:t>
      </w:r>
      <w:r w:rsidR="00821198" w:rsidRPr="00BA030C">
        <w:rPr>
          <w:rFonts w:ascii="Times New Roman" w:hAnsi="Times New Roman"/>
          <w:sz w:val="24"/>
          <w:szCs w:val="24"/>
        </w:rPr>
        <w:br/>
      </w:r>
      <w:r w:rsidR="00821198" w:rsidRPr="00BA030C">
        <w:rPr>
          <w:rFonts w:ascii="Times New Roman" w:hAnsi="Times New Roman"/>
          <w:sz w:val="24"/>
          <w:szCs w:val="24"/>
        </w:rPr>
        <w:br/>
      </w:r>
      <w:r w:rsidR="000006EC" w:rsidRPr="00BA030C">
        <w:rPr>
          <w:rFonts w:ascii="Times New Roman" w:hAnsi="Times New Roman"/>
          <w:b/>
          <w:sz w:val="24"/>
          <w:szCs w:val="24"/>
        </w:rPr>
        <w:t xml:space="preserve">IMPORTANT </w:t>
      </w:r>
      <w:r w:rsidR="001B2B0F" w:rsidRPr="00BA030C">
        <w:rPr>
          <w:rFonts w:ascii="Times New Roman" w:hAnsi="Times New Roman"/>
          <w:b/>
          <w:sz w:val="24"/>
          <w:szCs w:val="24"/>
        </w:rPr>
        <w:t>NOTE:</w:t>
      </w:r>
      <w:r w:rsidR="001B2B0F" w:rsidRPr="00BA030C">
        <w:rPr>
          <w:rFonts w:ascii="Times New Roman" w:hAnsi="Times New Roman"/>
          <w:sz w:val="24"/>
          <w:szCs w:val="24"/>
        </w:rPr>
        <w:t xml:space="preserve"> EFL gain is just one of five different ways for the participant to be included in the MSG numerator.</w:t>
      </w:r>
      <w:r w:rsidR="00821198" w:rsidRPr="00BA030C">
        <w:rPr>
          <w:rFonts w:ascii="Times New Roman" w:hAnsi="Times New Roman"/>
          <w:sz w:val="24"/>
          <w:szCs w:val="24"/>
        </w:rPr>
        <w:t xml:space="preserve"> Whether or not a local program operator chooses to use (or not use) the EFL gain approach is</w:t>
      </w:r>
      <w:r w:rsidR="00395F28" w:rsidRPr="00BA030C">
        <w:rPr>
          <w:rFonts w:ascii="Times New Roman" w:hAnsi="Times New Roman"/>
          <w:sz w:val="24"/>
          <w:szCs w:val="24"/>
        </w:rPr>
        <w:t xml:space="preserve"> decided on </w:t>
      </w:r>
      <w:r w:rsidR="00821198" w:rsidRPr="00BA030C">
        <w:rPr>
          <w:rFonts w:ascii="Times New Roman" w:hAnsi="Times New Roman"/>
          <w:sz w:val="24"/>
          <w:szCs w:val="24"/>
        </w:rPr>
        <w:t>a local</w:t>
      </w:r>
      <w:r w:rsidR="00395F28" w:rsidRPr="00BA030C">
        <w:rPr>
          <w:rFonts w:ascii="Times New Roman" w:hAnsi="Times New Roman"/>
          <w:sz w:val="24"/>
          <w:szCs w:val="24"/>
        </w:rPr>
        <w:t>, case-by-case</w:t>
      </w:r>
      <w:r w:rsidR="00821198" w:rsidRPr="00BA030C">
        <w:rPr>
          <w:rFonts w:ascii="Times New Roman" w:hAnsi="Times New Roman"/>
          <w:sz w:val="24"/>
          <w:szCs w:val="24"/>
        </w:rPr>
        <w:t xml:space="preserve"> </w:t>
      </w:r>
      <w:r w:rsidR="00395F28" w:rsidRPr="00BA030C">
        <w:rPr>
          <w:rFonts w:ascii="Times New Roman" w:hAnsi="Times New Roman"/>
          <w:sz w:val="24"/>
          <w:szCs w:val="24"/>
        </w:rPr>
        <w:t>basis</w:t>
      </w:r>
      <w:r w:rsidR="00821198" w:rsidRPr="00BA030C">
        <w:rPr>
          <w:rFonts w:ascii="Times New Roman" w:hAnsi="Times New Roman"/>
          <w:sz w:val="24"/>
          <w:szCs w:val="24"/>
        </w:rPr>
        <w:t>.</w:t>
      </w:r>
      <w:r w:rsidR="001B2B0F" w:rsidRPr="00BA030C">
        <w:rPr>
          <w:rFonts w:ascii="Times New Roman" w:hAnsi="Times New Roman"/>
          <w:sz w:val="24"/>
          <w:szCs w:val="24"/>
        </w:rPr>
        <w:t xml:space="preserve"> </w:t>
      </w:r>
      <w:r w:rsidR="004051DF" w:rsidRPr="00BA030C">
        <w:rPr>
          <w:rFonts w:ascii="Times New Roman" w:hAnsi="Times New Roman"/>
          <w:sz w:val="24"/>
          <w:szCs w:val="24"/>
        </w:rPr>
        <w:t>The participant will only be counted once in the numerator and/or denominator and only needs to satisfy one of the five available methods to be counted in the numerator.</w:t>
      </w:r>
      <w:r w:rsidR="00C82789">
        <w:rPr>
          <w:rFonts w:ascii="Times New Roman" w:hAnsi="Times New Roman"/>
          <w:sz w:val="24"/>
          <w:szCs w:val="24"/>
        </w:rPr>
        <w:t xml:space="preserve"> </w:t>
      </w:r>
      <w:r w:rsidR="00C82789" w:rsidRPr="00846DCA">
        <w:rPr>
          <w:rFonts w:ascii="Times New Roman" w:hAnsi="Times New Roman"/>
          <w:sz w:val="24"/>
          <w:szCs w:val="24"/>
        </w:rPr>
        <w:t>Information collected and documented in Workforce One may be subject to data validation requirements.</w:t>
      </w:r>
    </w:p>
    <w:p w14:paraId="70ABAB2F" w14:textId="77777777" w:rsidR="00982CB7" w:rsidRPr="000365CC" w:rsidRDefault="00982CB7">
      <w:pPr>
        <w:rPr>
          <w:rFonts w:ascii="Times New Roman" w:hAnsi="Times New Roman"/>
          <w:sz w:val="24"/>
          <w:szCs w:val="24"/>
        </w:rPr>
      </w:pPr>
    </w:p>
    <w:sectPr w:rsidR="00982CB7" w:rsidRPr="000365CC" w:rsidSect="00B17BD4">
      <w:headerReference w:type="default" r:id="rId2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C12A" w14:textId="77777777" w:rsidR="001C3CAC" w:rsidRDefault="001C3CAC" w:rsidP="00AC3E30">
      <w:r>
        <w:separator/>
      </w:r>
    </w:p>
  </w:endnote>
  <w:endnote w:type="continuationSeparator" w:id="0">
    <w:p w14:paraId="7F1E3AF9" w14:textId="77777777" w:rsidR="001C3CAC" w:rsidRDefault="001C3CAC" w:rsidP="00AC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7F7F" w14:textId="77777777" w:rsidR="001C3CAC" w:rsidRDefault="001C3CAC" w:rsidP="00AC3E30">
      <w:r>
        <w:separator/>
      </w:r>
    </w:p>
  </w:footnote>
  <w:footnote w:type="continuationSeparator" w:id="0">
    <w:p w14:paraId="0EFCFFEA" w14:textId="77777777" w:rsidR="001C3CAC" w:rsidRDefault="001C3CAC" w:rsidP="00AC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841B" w14:textId="77777777" w:rsidR="00AC3E30" w:rsidRDefault="00AC3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C72"/>
    <w:multiLevelType w:val="hybridMultilevel"/>
    <w:tmpl w:val="3DF68EB6"/>
    <w:lvl w:ilvl="0" w:tplc="BF720D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024517"/>
    <w:multiLevelType w:val="multilevel"/>
    <w:tmpl w:val="AE383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95359F"/>
    <w:multiLevelType w:val="hybridMultilevel"/>
    <w:tmpl w:val="0DC803AC"/>
    <w:lvl w:ilvl="0" w:tplc="7772CA48">
      <w:numFmt w:val="bullet"/>
      <w:lvlText w:val=""/>
      <w:lvlJc w:val="left"/>
      <w:pPr>
        <w:ind w:left="720" w:hanging="360"/>
      </w:pPr>
      <w:rPr>
        <w:rFonts w:ascii="Symbol" w:eastAsiaTheme="minorHAnsi"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F19D6"/>
    <w:multiLevelType w:val="multilevel"/>
    <w:tmpl w:val="D7161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2D6B32"/>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5731430">
    <w:abstractNumId w:val="0"/>
  </w:num>
  <w:num w:numId="2" w16cid:durableId="1502962922">
    <w:abstractNumId w:val="2"/>
  </w:num>
  <w:num w:numId="3" w16cid:durableId="2130315479">
    <w:abstractNumId w:val="0"/>
  </w:num>
  <w:num w:numId="4" w16cid:durableId="1922369905">
    <w:abstractNumId w:val="3"/>
  </w:num>
  <w:num w:numId="5" w16cid:durableId="1929923728">
    <w:abstractNumId w:val="1"/>
  </w:num>
  <w:num w:numId="6" w16cid:durableId="21826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6B"/>
    <w:rsid w:val="000006EC"/>
    <w:rsid w:val="000365CC"/>
    <w:rsid w:val="00085198"/>
    <w:rsid w:val="000A00F1"/>
    <w:rsid w:val="00126D6F"/>
    <w:rsid w:val="0013146C"/>
    <w:rsid w:val="001B2B0F"/>
    <w:rsid w:val="001C3CAC"/>
    <w:rsid w:val="001C73DA"/>
    <w:rsid w:val="001F55C7"/>
    <w:rsid w:val="00212B7D"/>
    <w:rsid w:val="002142CF"/>
    <w:rsid w:val="002B3C17"/>
    <w:rsid w:val="002C0378"/>
    <w:rsid w:val="002C4002"/>
    <w:rsid w:val="00302A7C"/>
    <w:rsid w:val="00305D2A"/>
    <w:rsid w:val="00337A95"/>
    <w:rsid w:val="00395F28"/>
    <w:rsid w:val="003C2211"/>
    <w:rsid w:val="004051DF"/>
    <w:rsid w:val="004820E2"/>
    <w:rsid w:val="004A2A60"/>
    <w:rsid w:val="004B4175"/>
    <w:rsid w:val="005026D4"/>
    <w:rsid w:val="005323F8"/>
    <w:rsid w:val="005871DA"/>
    <w:rsid w:val="005C4A5E"/>
    <w:rsid w:val="005E6654"/>
    <w:rsid w:val="0066116B"/>
    <w:rsid w:val="006E5F28"/>
    <w:rsid w:val="0074717F"/>
    <w:rsid w:val="00794C74"/>
    <w:rsid w:val="00795444"/>
    <w:rsid w:val="007C0E99"/>
    <w:rsid w:val="007E1613"/>
    <w:rsid w:val="00812BAF"/>
    <w:rsid w:val="00821198"/>
    <w:rsid w:val="00846DCA"/>
    <w:rsid w:val="0087338C"/>
    <w:rsid w:val="00873BEE"/>
    <w:rsid w:val="00875F24"/>
    <w:rsid w:val="00876418"/>
    <w:rsid w:val="008901A5"/>
    <w:rsid w:val="008B22E1"/>
    <w:rsid w:val="008B5882"/>
    <w:rsid w:val="008E062D"/>
    <w:rsid w:val="009519D3"/>
    <w:rsid w:val="0095594C"/>
    <w:rsid w:val="00982CB7"/>
    <w:rsid w:val="009A6587"/>
    <w:rsid w:val="009E79D2"/>
    <w:rsid w:val="00A001E4"/>
    <w:rsid w:val="00A472E7"/>
    <w:rsid w:val="00AB0F9B"/>
    <w:rsid w:val="00AB3D71"/>
    <w:rsid w:val="00AC3E30"/>
    <w:rsid w:val="00B17BD4"/>
    <w:rsid w:val="00B81A3D"/>
    <w:rsid w:val="00BA030C"/>
    <w:rsid w:val="00BA0A25"/>
    <w:rsid w:val="00BC1685"/>
    <w:rsid w:val="00BC48EB"/>
    <w:rsid w:val="00BE18CA"/>
    <w:rsid w:val="00C21007"/>
    <w:rsid w:val="00C60E15"/>
    <w:rsid w:val="00C82789"/>
    <w:rsid w:val="00D21A89"/>
    <w:rsid w:val="00D73B39"/>
    <w:rsid w:val="00DF06FD"/>
    <w:rsid w:val="00E660E1"/>
    <w:rsid w:val="00ED7EC3"/>
    <w:rsid w:val="00EE583F"/>
    <w:rsid w:val="00EF52D5"/>
    <w:rsid w:val="00F35836"/>
    <w:rsid w:val="00F87AF3"/>
    <w:rsid w:val="00FA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CAA26"/>
  <w15:chartTrackingRefBased/>
  <w15:docId w15:val="{48EBC90E-2423-4F8A-8C3F-EC89DCE0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6B"/>
    <w:pPr>
      <w:spacing w:after="0" w:line="240" w:lineRule="auto"/>
    </w:pPr>
    <w:rPr>
      <w:rFonts w:ascii="Calibri" w:hAnsi="Calibri" w:cs="Times New Roman"/>
    </w:rPr>
  </w:style>
  <w:style w:type="paragraph" w:styleId="Heading3">
    <w:name w:val="heading 3"/>
    <w:next w:val="Normal"/>
    <w:link w:val="Heading3Char"/>
    <w:uiPriority w:val="1"/>
    <w:qFormat/>
    <w:rsid w:val="009E79D2"/>
    <w:pPr>
      <w:keepNext/>
      <w:spacing w:before="240" w:after="120" w:line="271" w:lineRule="auto"/>
      <w:outlineLvl w:val="2"/>
    </w:pPr>
    <w:rPr>
      <w:rFonts w:eastAsiaTheme="majorEastAsia" w:cs="Arial"/>
      <w:b/>
      <w:color w:val="5B9BD5" w:themeColor="accen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6B"/>
    <w:rPr>
      <w:color w:val="0563C1"/>
      <w:u w:val="single"/>
    </w:rPr>
  </w:style>
  <w:style w:type="paragraph" w:styleId="ListParagraph">
    <w:name w:val="List Paragraph"/>
    <w:basedOn w:val="Normal"/>
    <w:link w:val="ListParagraphChar"/>
    <w:uiPriority w:val="1"/>
    <w:qFormat/>
    <w:rsid w:val="0066116B"/>
    <w:pPr>
      <w:ind w:left="720"/>
    </w:pPr>
  </w:style>
  <w:style w:type="character" w:styleId="FollowedHyperlink">
    <w:name w:val="FollowedHyperlink"/>
    <w:basedOn w:val="DefaultParagraphFont"/>
    <w:uiPriority w:val="99"/>
    <w:semiHidden/>
    <w:unhideWhenUsed/>
    <w:rsid w:val="00812BAF"/>
    <w:rPr>
      <w:color w:val="954F72" w:themeColor="followedHyperlink"/>
      <w:u w:val="single"/>
    </w:rPr>
  </w:style>
  <w:style w:type="paragraph" w:styleId="BalloonText">
    <w:name w:val="Balloon Text"/>
    <w:basedOn w:val="Normal"/>
    <w:link w:val="BalloonTextChar"/>
    <w:uiPriority w:val="99"/>
    <w:semiHidden/>
    <w:unhideWhenUsed/>
    <w:rsid w:val="00AC3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30"/>
    <w:rPr>
      <w:rFonts w:ascii="Segoe UI" w:hAnsi="Segoe UI" w:cs="Segoe UI"/>
      <w:sz w:val="18"/>
      <w:szCs w:val="18"/>
    </w:rPr>
  </w:style>
  <w:style w:type="paragraph" w:styleId="Header">
    <w:name w:val="header"/>
    <w:basedOn w:val="Normal"/>
    <w:link w:val="HeaderChar"/>
    <w:uiPriority w:val="99"/>
    <w:unhideWhenUsed/>
    <w:rsid w:val="00AC3E30"/>
    <w:pPr>
      <w:tabs>
        <w:tab w:val="center" w:pos="4680"/>
        <w:tab w:val="right" w:pos="9360"/>
      </w:tabs>
    </w:pPr>
  </w:style>
  <w:style w:type="character" w:customStyle="1" w:styleId="HeaderChar">
    <w:name w:val="Header Char"/>
    <w:basedOn w:val="DefaultParagraphFont"/>
    <w:link w:val="Header"/>
    <w:uiPriority w:val="99"/>
    <w:rsid w:val="00AC3E30"/>
    <w:rPr>
      <w:rFonts w:ascii="Calibri" w:hAnsi="Calibri" w:cs="Times New Roman"/>
    </w:rPr>
  </w:style>
  <w:style w:type="paragraph" w:styleId="Footer">
    <w:name w:val="footer"/>
    <w:basedOn w:val="Normal"/>
    <w:link w:val="FooterChar"/>
    <w:uiPriority w:val="99"/>
    <w:unhideWhenUsed/>
    <w:rsid w:val="00AC3E30"/>
    <w:pPr>
      <w:tabs>
        <w:tab w:val="center" w:pos="4680"/>
        <w:tab w:val="right" w:pos="9360"/>
      </w:tabs>
    </w:pPr>
  </w:style>
  <w:style w:type="character" w:customStyle="1" w:styleId="FooterChar">
    <w:name w:val="Footer Char"/>
    <w:basedOn w:val="DefaultParagraphFont"/>
    <w:link w:val="Footer"/>
    <w:uiPriority w:val="99"/>
    <w:rsid w:val="00AC3E30"/>
    <w:rPr>
      <w:rFonts w:ascii="Calibri" w:hAnsi="Calibri" w:cs="Times New Roman"/>
    </w:rPr>
  </w:style>
  <w:style w:type="character" w:styleId="UnresolvedMention">
    <w:name w:val="Unresolved Mention"/>
    <w:basedOn w:val="DefaultParagraphFont"/>
    <w:uiPriority w:val="99"/>
    <w:semiHidden/>
    <w:unhideWhenUsed/>
    <w:rsid w:val="00EF52D5"/>
    <w:rPr>
      <w:color w:val="605E5C"/>
      <w:shd w:val="clear" w:color="auto" w:fill="E1DFDD"/>
    </w:rPr>
  </w:style>
  <w:style w:type="paragraph" w:styleId="BodyText">
    <w:name w:val="Body Text"/>
    <w:basedOn w:val="Normal"/>
    <w:link w:val="BodyTextChar"/>
    <w:uiPriority w:val="1"/>
    <w:qFormat/>
    <w:rsid w:val="00B17BD4"/>
    <w:pPr>
      <w:widowControl w:val="0"/>
      <w:ind w:left="100"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B17BD4"/>
    <w:rPr>
      <w:rFonts w:ascii="Times New Roman" w:eastAsia="Times New Roman" w:hAnsi="Times New Roman"/>
      <w:sz w:val="24"/>
      <w:szCs w:val="24"/>
    </w:rPr>
  </w:style>
  <w:style w:type="paragraph" w:styleId="NoSpacing">
    <w:name w:val="No Spacing"/>
    <w:uiPriority w:val="1"/>
    <w:qFormat/>
    <w:rsid w:val="00B17BD4"/>
    <w:pPr>
      <w:spacing w:after="0" w:line="240" w:lineRule="auto"/>
      <w:jc w:val="both"/>
    </w:pPr>
    <w:rPr>
      <w:rFonts w:eastAsiaTheme="minorEastAsia"/>
    </w:rPr>
  </w:style>
  <w:style w:type="character" w:customStyle="1" w:styleId="Heading3Char">
    <w:name w:val="Heading 3 Char"/>
    <w:basedOn w:val="DefaultParagraphFont"/>
    <w:link w:val="Heading3"/>
    <w:uiPriority w:val="1"/>
    <w:rsid w:val="009E79D2"/>
    <w:rPr>
      <w:rFonts w:eastAsiaTheme="majorEastAsia" w:cs="Arial"/>
      <w:b/>
      <w:color w:val="5B9BD5" w:themeColor="accent1"/>
      <w:sz w:val="26"/>
      <w:szCs w:val="24"/>
    </w:rPr>
  </w:style>
  <w:style w:type="character" w:customStyle="1" w:styleId="ListParagraphChar">
    <w:name w:val="List Paragraph Char"/>
    <w:basedOn w:val="DefaultParagraphFont"/>
    <w:link w:val="ListParagraph"/>
    <w:uiPriority w:val="1"/>
    <w:rsid w:val="009E79D2"/>
    <w:rPr>
      <w:rFonts w:ascii="Calibri" w:hAnsi="Calibri" w:cs="Times New Roman"/>
    </w:rPr>
  </w:style>
  <w:style w:type="paragraph" w:customStyle="1" w:styleId="NumberListLevel3">
    <w:name w:val="Number List Level 3"/>
    <w:basedOn w:val="ListParagraph"/>
    <w:qFormat/>
    <w:rsid w:val="009E79D2"/>
    <w:pPr>
      <w:spacing w:before="120" w:after="120"/>
      <w:ind w:left="1440" w:hanging="360"/>
      <w:contextualSpacing/>
    </w:pPr>
    <w:rPr>
      <w:rFonts w:eastAsia="Calibri" w:cs="Calibri"/>
    </w:rPr>
  </w:style>
  <w:style w:type="table" w:styleId="TableGrid">
    <w:name w:val="Table Grid"/>
    <w:basedOn w:val="TableNormal"/>
    <w:uiPriority w:val="39"/>
    <w:rsid w:val="001C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7286">
      <w:bodyDiv w:val="1"/>
      <w:marLeft w:val="0"/>
      <w:marRight w:val="0"/>
      <w:marTop w:val="0"/>
      <w:marBottom w:val="0"/>
      <w:divBdr>
        <w:top w:val="none" w:sz="0" w:space="0" w:color="auto"/>
        <w:left w:val="none" w:sz="0" w:space="0" w:color="auto"/>
        <w:bottom w:val="none" w:sz="0" w:space="0" w:color="auto"/>
        <w:right w:val="none" w:sz="0" w:space="0" w:color="auto"/>
      </w:divBdr>
    </w:div>
    <w:div w:id="181359259">
      <w:bodyDiv w:val="1"/>
      <w:marLeft w:val="0"/>
      <w:marRight w:val="0"/>
      <w:marTop w:val="0"/>
      <w:marBottom w:val="0"/>
      <w:divBdr>
        <w:top w:val="none" w:sz="0" w:space="0" w:color="auto"/>
        <w:left w:val="none" w:sz="0" w:space="0" w:color="auto"/>
        <w:bottom w:val="none" w:sz="0" w:space="0" w:color="auto"/>
        <w:right w:val="none" w:sz="0" w:space="0" w:color="auto"/>
      </w:divBdr>
    </w:div>
    <w:div w:id="13697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dr.doleta.gov/directives/corr_doc.cfm?DOCN=7159" TargetMode="External"/><Relationship Id="rId18" Type="http://schemas.openxmlformats.org/officeDocument/2006/relationships/hyperlink" Target="https://wdr.doleta.gov/directives/corr_doc.cfm?DOCN=6118" TargetMode="External"/><Relationship Id="rId26" Type="http://schemas.openxmlformats.org/officeDocument/2006/relationships/hyperlink" Target="http://mnabe.org/abe-law-policy/mn-abe-policies" TargetMode="External"/><Relationship Id="rId3" Type="http://schemas.openxmlformats.org/officeDocument/2006/relationships/customXml" Target="../customXml/item3.xml"/><Relationship Id="rId21" Type="http://schemas.openxmlformats.org/officeDocument/2006/relationships/hyperlink" Target="https://www.dol.gov/sites/dolgov/files/ETA/advisories/TEGL/2022/TEGL%2010-16%20Change%202/TEGL%2010-16%20Change%202.pdf" TargetMode="External"/><Relationship Id="rId7" Type="http://schemas.openxmlformats.org/officeDocument/2006/relationships/webSettings" Target="webSettings.xml"/><Relationship Id="rId12" Type="http://schemas.openxmlformats.org/officeDocument/2006/relationships/hyperlink" Target="https://www.gpo.gov/fdsys/pkg/FR-2016-08-19/pdf/2016-15977.pdf" TargetMode="External"/><Relationship Id="rId17" Type="http://schemas.openxmlformats.org/officeDocument/2006/relationships/hyperlink" Target="https://wdr.doleta.gov/directives/corr_doc.cfm?docn=9977" TargetMode="External"/><Relationship Id="rId25" Type="http://schemas.openxmlformats.org/officeDocument/2006/relationships/hyperlink" Target="https://www.federalregister.gov/documents/2023/07/13/2023-14825/tests-determined-to" TargetMode="External"/><Relationship Id="rId2" Type="http://schemas.openxmlformats.org/officeDocument/2006/relationships/customXml" Target="../customXml/item2.xml"/><Relationship Id="rId16" Type="http://schemas.openxmlformats.org/officeDocument/2006/relationships/hyperlink" Target="https://gov.ecfr.io/cgi-bin/text-idx?SID=970b58af63fde7ba10fd201add7ec48c&amp;mc=true&amp;tpl=/ecfrbrowse/Title02/2cfr200_main_02.tpl" TargetMode="External"/><Relationship Id="rId20" Type="http://schemas.openxmlformats.org/officeDocument/2006/relationships/hyperlink" Target="https://doleta.gov/grants/pdf/2018_Core_Monitoring_Guid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po.gov/fdsys/pkg/PLAW-113publ128/html/PLAW-113publ128.htm" TargetMode="External"/><Relationship Id="rId24" Type="http://schemas.openxmlformats.org/officeDocument/2006/relationships/hyperlink" Target="https://www.dol.gov/agencies/eta/advisories/tegl-23-19-change-2" TargetMode="External"/><Relationship Id="rId5" Type="http://schemas.openxmlformats.org/officeDocument/2006/relationships/styles" Target="styles.xml"/><Relationship Id="rId15" Type="http://schemas.openxmlformats.org/officeDocument/2006/relationships/hyperlink" Target="https://wdr.doleta.gov/directives/corr_doc.cfm?DOCN=8754" TargetMode="External"/><Relationship Id="rId23" Type="http://schemas.openxmlformats.org/officeDocument/2006/relationships/hyperlink" Target="https://www.dol.gov/agencies/eta/advisories/tegl-09-22" TargetMode="External"/><Relationship Id="rId28" Type="http://schemas.openxmlformats.org/officeDocument/2006/relationships/hyperlink" Target="http://mnabe.org/abe-law-policy/mn-abe-policies" TargetMode="External"/><Relationship Id="rId10" Type="http://schemas.openxmlformats.org/officeDocument/2006/relationships/hyperlink" Target="https://www.doleta.gov/performance/reporting/" TargetMode="External"/><Relationship Id="rId19" Type="http://schemas.openxmlformats.org/officeDocument/2006/relationships/hyperlink" Target="https://wdr.doleta.gov/directives/corr_doc.cfm?DOCN=3439"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rsweb.org/resources/test-benchmarks-nrs-educational-functioning-levels-efl-updated-august-2019" TargetMode="External"/><Relationship Id="rId22" Type="http://schemas.openxmlformats.org/officeDocument/2006/relationships/hyperlink" Target="https://www.dol.gov/sites/dolgov/files/ETA/advisories/TEGL/2019/TEGL%2023-19%20Change%201/TEGL%2023-19%2C%20Change%201%20%28Complete%20document%29.pdf" TargetMode="External"/><Relationship Id="rId27" Type="http://schemas.openxmlformats.org/officeDocument/2006/relationships/hyperlink" Target="https://www.federalregister.gov/documents/2023/07/13/2023-14825/tests-determined-t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908F1-A17F-450F-98A0-40D91358A7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D80EF15-CA38-43DE-9763-7BBDE0BC6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24F689-3AD1-4D57-8108-3C0DB75833DB}">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199</TotalTime>
  <Pages>5</Pages>
  <Words>1825</Words>
  <Characters>10408</Characters>
  <Application>Microsoft Office Word</Application>
  <DocSecurity>2</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John R (DEED)</dc:creator>
  <cp:keywords/>
  <dc:description/>
  <cp:lastModifiedBy>Douma, Lynn (DEED)</cp:lastModifiedBy>
  <cp:revision>3</cp:revision>
  <cp:lastPrinted>2018-11-08T12:43:00Z</cp:lastPrinted>
  <dcterms:created xsi:type="dcterms:W3CDTF">2023-11-07T19:04:00Z</dcterms:created>
  <dcterms:modified xsi:type="dcterms:W3CDTF">2023-11-07T21:14:00Z</dcterms:modified>
</cp:coreProperties>
</file>