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607E" w14:textId="77777777" w:rsidR="000C09F3" w:rsidRDefault="000C09F3" w:rsidP="000C09F3">
      <w:pPr>
        <w:pStyle w:val="Heading1"/>
      </w:pPr>
      <w:bookmarkStart w:id="0" w:name="_Toc161152934"/>
      <w:bookmarkStart w:id="1" w:name="_Toc152060429"/>
      <w:r>
        <w:t>Youth Support Services</w:t>
      </w:r>
      <w:bookmarkEnd w:id="0"/>
      <w:r w:rsidR="004127B9">
        <w:t xml:space="preserve"> </w:t>
      </w:r>
    </w:p>
    <w:p w14:paraId="4C5728FE" w14:textId="3F4A8EC9" w:rsidR="004127B9" w:rsidRDefault="000C09F3" w:rsidP="000C09F3">
      <w:pPr>
        <w:pStyle w:val="Heading1"/>
      </w:pPr>
      <w:bookmarkStart w:id="2" w:name="_Toc161152935"/>
      <w:r>
        <w:t xml:space="preserve">Competitive Grant </w:t>
      </w:r>
      <w:r w:rsidR="004127B9">
        <w:t>Program Policy</w:t>
      </w:r>
      <w:bookmarkEnd w:id="1"/>
      <w:bookmarkEnd w:id="2"/>
    </w:p>
    <w:p w14:paraId="52FE6D55" w14:textId="77777777" w:rsidR="000C09F3" w:rsidRDefault="000C09F3" w:rsidP="000C09F3"/>
    <w:p w14:paraId="1521C26B" w14:textId="77777777" w:rsidR="000C09F3" w:rsidRPr="000C09F3" w:rsidRDefault="000C09F3" w:rsidP="000C09F3"/>
    <w:p w14:paraId="0F4CF570" w14:textId="7EDBCA7A" w:rsidR="000C09F3" w:rsidRDefault="000C09F3" w:rsidP="00654C73">
      <w:pPr>
        <w:pStyle w:val="Heading2"/>
      </w:pPr>
    </w:p>
    <w:p w14:paraId="2C0D4905" w14:textId="77777777" w:rsidR="00654C73" w:rsidRDefault="00654C73" w:rsidP="00654C73"/>
    <w:p w14:paraId="4BC1B703" w14:textId="77777777" w:rsidR="00654C73" w:rsidRDefault="00654C73" w:rsidP="00654C73"/>
    <w:p w14:paraId="6F363601" w14:textId="77777777" w:rsidR="00654C73" w:rsidRDefault="00654C73" w:rsidP="00654C73"/>
    <w:p w14:paraId="00330C16" w14:textId="77777777" w:rsidR="00654C73" w:rsidRDefault="00654C73" w:rsidP="00654C73"/>
    <w:p w14:paraId="192699E3" w14:textId="77777777" w:rsidR="00654C73" w:rsidRPr="00654C73" w:rsidRDefault="00654C73" w:rsidP="00654C73"/>
    <w:p w14:paraId="1C90D566" w14:textId="6B7C7C70" w:rsidR="004127B9" w:rsidRDefault="004127B9" w:rsidP="004127B9">
      <w:r>
        <w:t>Effective Date 7/1/20</w:t>
      </w:r>
      <w:r w:rsidR="007C0AD2">
        <w:t>23</w:t>
      </w:r>
    </w:p>
    <w:p w14:paraId="4C90AF31" w14:textId="2F18577A" w:rsidR="004127B9" w:rsidRDefault="004127B9" w:rsidP="00571F7B">
      <w:pPr>
        <w:spacing w:after="1200"/>
      </w:pPr>
      <w:r>
        <w:t xml:space="preserve">Last Updated </w:t>
      </w:r>
      <w:proofErr w:type="gramStart"/>
      <w:r w:rsidR="007C0AD2">
        <w:t>3/12</w:t>
      </w:r>
      <w:r>
        <w:t>/202</w:t>
      </w:r>
      <w:r w:rsidR="007C0AD2">
        <w:t>4</w:t>
      </w:r>
      <w:proofErr w:type="gramEnd"/>
    </w:p>
    <w:p w14:paraId="445F6552" w14:textId="77777777" w:rsidR="007C0AD2" w:rsidRDefault="004127B9" w:rsidP="00571F7B">
      <w:pPr>
        <w:spacing w:after="0"/>
      </w:pPr>
      <w:r>
        <w:t>Contact</w:t>
      </w:r>
      <w:r w:rsidR="007E06E7">
        <w:t xml:space="preserve">: </w:t>
      </w:r>
    </w:p>
    <w:p w14:paraId="205FF422" w14:textId="4A7D4F7E" w:rsidR="004127B9" w:rsidRDefault="007C0AD2" w:rsidP="00571F7B">
      <w:pPr>
        <w:spacing w:after="0"/>
      </w:pPr>
      <w:r>
        <w:t>Kathy Young</w:t>
      </w:r>
    </w:p>
    <w:p w14:paraId="1C258E67" w14:textId="42AE305A" w:rsidR="004127B9" w:rsidRDefault="004127B9" w:rsidP="00571F7B">
      <w:pPr>
        <w:spacing w:after="0"/>
      </w:pPr>
      <w:r>
        <w:t xml:space="preserve">Email: </w:t>
      </w:r>
      <w:hyperlink r:id="rId8" w:history="1">
        <w:r w:rsidR="007C0AD2" w:rsidRPr="009D06DB">
          <w:rPr>
            <w:rStyle w:val="Hyperlink"/>
          </w:rPr>
          <w:t>kathy.young@state.mn.us</w:t>
        </w:r>
      </w:hyperlink>
    </w:p>
    <w:p w14:paraId="67D4B4EC" w14:textId="28346E24" w:rsidR="004127B9" w:rsidRDefault="004127B9" w:rsidP="00571F7B">
      <w:pPr>
        <w:spacing w:after="1200"/>
      </w:pPr>
      <w:r>
        <w:t>Phone:</w:t>
      </w:r>
      <w:r w:rsidR="00A72D6F">
        <w:t xml:space="preserve"> </w:t>
      </w:r>
      <w:r>
        <w:t>651.259.7</w:t>
      </w:r>
      <w:r w:rsidR="007C0AD2">
        <w:t>615</w:t>
      </w:r>
    </w:p>
    <w:p w14:paraId="759E9288" w14:textId="77777777" w:rsidR="007C0AD2" w:rsidRDefault="004127B9" w:rsidP="004127B9">
      <w:r>
        <w:t xml:space="preserve">Youth </w:t>
      </w:r>
      <w:r w:rsidR="007C0AD2">
        <w:t xml:space="preserve">Support Services </w:t>
      </w:r>
      <w:r>
        <w:t xml:space="preserve">website: </w:t>
      </w:r>
    </w:p>
    <w:p w14:paraId="3E623012" w14:textId="1D890888" w:rsidR="007E06E7" w:rsidRDefault="001E35F6" w:rsidP="004127B9">
      <w:hyperlink r:id="rId9" w:history="1">
        <w:r w:rsidR="007C0AD2" w:rsidRPr="009D06DB">
          <w:rPr>
            <w:rStyle w:val="Hyperlink"/>
          </w:rPr>
          <w:t>https://mn.gov/deed/programs-services/office-youth-development/special/youth-support/</w:t>
        </w:r>
      </w:hyperlink>
    </w:p>
    <w:p w14:paraId="38A10904" w14:textId="77777777" w:rsidR="007C0AD2" w:rsidRDefault="007C0AD2" w:rsidP="004127B9"/>
    <w:p w14:paraId="5C8F0540" w14:textId="77777777" w:rsidR="007E06E7" w:rsidRDefault="007E06E7">
      <w:r>
        <w:br w:type="page"/>
      </w:r>
    </w:p>
    <w:sdt>
      <w:sdtPr>
        <w:rPr>
          <w:rFonts w:asciiTheme="minorHAnsi" w:eastAsiaTheme="minorHAnsi" w:hAnsiTheme="minorHAnsi" w:cstheme="minorBidi"/>
          <w:color w:val="auto"/>
          <w:sz w:val="22"/>
          <w:szCs w:val="22"/>
        </w:rPr>
        <w:id w:val="-789896240"/>
        <w:docPartObj>
          <w:docPartGallery w:val="Table of Contents"/>
          <w:docPartUnique/>
        </w:docPartObj>
      </w:sdtPr>
      <w:sdtEndPr>
        <w:rPr>
          <w:b/>
          <w:bCs/>
          <w:noProof/>
        </w:rPr>
      </w:sdtEndPr>
      <w:sdtContent>
        <w:p w14:paraId="5BC5800F" w14:textId="3E128B47" w:rsidR="00571F7B" w:rsidRDefault="00571F7B">
          <w:pPr>
            <w:pStyle w:val="TOCHeading"/>
          </w:pPr>
          <w:r>
            <w:t>Contents</w:t>
          </w:r>
        </w:p>
        <w:p w14:paraId="3F700F5F" w14:textId="6BBE7895" w:rsidR="002B566D" w:rsidRDefault="00571F7B">
          <w:pPr>
            <w:pStyle w:val="TOC1"/>
            <w:tabs>
              <w:tab w:val="right" w:leader="dot" w:pos="10790"/>
            </w:tabs>
            <w:rPr>
              <w:rFonts w:eastAsiaTheme="minorEastAsia"/>
              <w:noProof/>
              <w:kern w:val="2"/>
              <w14:ligatures w14:val="standardContextual"/>
            </w:rPr>
          </w:pPr>
          <w:r>
            <w:fldChar w:fldCharType="begin"/>
          </w:r>
          <w:r>
            <w:instrText xml:space="preserve"> TOC \o "1-3" \h \z \u </w:instrText>
          </w:r>
          <w:r>
            <w:fldChar w:fldCharType="separate"/>
          </w:r>
          <w:hyperlink w:anchor="_Toc161152934" w:history="1">
            <w:r w:rsidR="002B566D" w:rsidRPr="00BA6054">
              <w:rPr>
                <w:rStyle w:val="Hyperlink"/>
                <w:noProof/>
              </w:rPr>
              <w:t>Youth Support Services</w:t>
            </w:r>
            <w:r w:rsidR="002B566D">
              <w:rPr>
                <w:noProof/>
                <w:webHidden/>
              </w:rPr>
              <w:tab/>
            </w:r>
            <w:r w:rsidR="002B566D">
              <w:rPr>
                <w:noProof/>
                <w:webHidden/>
              </w:rPr>
              <w:fldChar w:fldCharType="begin"/>
            </w:r>
            <w:r w:rsidR="002B566D">
              <w:rPr>
                <w:noProof/>
                <w:webHidden/>
              </w:rPr>
              <w:instrText xml:space="preserve"> PAGEREF _Toc161152934 \h </w:instrText>
            </w:r>
            <w:r w:rsidR="002B566D">
              <w:rPr>
                <w:noProof/>
                <w:webHidden/>
              </w:rPr>
            </w:r>
            <w:r w:rsidR="002B566D">
              <w:rPr>
                <w:noProof/>
                <w:webHidden/>
              </w:rPr>
              <w:fldChar w:fldCharType="separate"/>
            </w:r>
            <w:r w:rsidR="002B566D">
              <w:rPr>
                <w:noProof/>
                <w:webHidden/>
              </w:rPr>
              <w:t>1</w:t>
            </w:r>
            <w:r w:rsidR="002B566D">
              <w:rPr>
                <w:noProof/>
                <w:webHidden/>
              </w:rPr>
              <w:fldChar w:fldCharType="end"/>
            </w:r>
          </w:hyperlink>
        </w:p>
        <w:p w14:paraId="490A9869" w14:textId="5669F468" w:rsidR="002B566D" w:rsidRDefault="001E35F6">
          <w:pPr>
            <w:pStyle w:val="TOC1"/>
            <w:tabs>
              <w:tab w:val="right" w:leader="dot" w:pos="10790"/>
            </w:tabs>
            <w:rPr>
              <w:rFonts w:eastAsiaTheme="minorEastAsia"/>
              <w:noProof/>
              <w:kern w:val="2"/>
              <w14:ligatures w14:val="standardContextual"/>
            </w:rPr>
          </w:pPr>
          <w:hyperlink w:anchor="_Toc161152935" w:history="1">
            <w:r w:rsidR="002B566D" w:rsidRPr="00BA6054">
              <w:rPr>
                <w:rStyle w:val="Hyperlink"/>
                <w:noProof/>
              </w:rPr>
              <w:t>Competitive Grant Program Policy</w:t>
            </w:r>
            <w:r w:rsidR="002B566D">
              <w:rPr>
                <w:noProof/>
                <w:webHidden/>
              </w:rPr>
              <w:tab/>
            </w:r>
            <w:r w:rsidR="002B566D">
              <w:rPr>
                <w:noProof/>
                <w:webHidden/>
              </w:rPr>
              <w:fldChar w:fldCharType="begin"/>
            </w:r>
            <w:r w:rsidR="002B566D">
              <w:rPr>
                <w:noProof/>
                <w:webHidden/>
              </w:rPr>
              <w:instrText xml:space="preserve"> PAGEREF _Toc161152935 \h </w:instrText>
            </w:r>
            <w:r w:rsidR="002B566D">
              <w:rPr>
                <w:noProof/>
                <w:webHidden/>
              </w:rPr>
            </w:r>
            <w:r w:rsidR="002B566D">
              <w:rPr>
                <w:noProof/>
                <w:webHidden/>
              </w:rPr>
              <w:fldChar w:fldCharType="separate"/>
            </w:r>
            <w:r w:rsidR="002B566D">
              <w:rPr>
                <w:noProof/>
                <w:webHidden/>
              </w:rPr>
              <w:t>1</w:t>
            </w:r>
            <w:r w:rsidR="002B566D">
              <w:rPr>
                <w:noProof/>
                <w:webHidden/>
              </w:rPr>
              <w:fldChar w:fldCharType="end"/>
            </w:r>
          </w:hyperlink>
        </w:p>
        <w:p w14:paraId="3685D960" w14:textId="4368862A" w:rsidR="002B566D" w:rsidRDefault="001E35F6">
          <w:pPr>
            <w:pStyle w:val="TOC2"/>
            <w:tabs>
              <w:tab w:val="right" w:leader="dot" w:pos="10790"/>
            </w:tabs>
            <w:rPr>
              <w:rFonts w:eastAsiaTheme="minorEastAsia"/>
              <w:noProof/>
              <w:kern w:val="2"/>
              <w14:ligatures w14:val="standardContextual"/>
            </w:rPr>
          </w:pPr>
          <w:hyperlink w:anchor="_Toc161152936" w:history="1">
            <w:r w:rsidR="002B566D" w:rsidRPr="00BA6054">
              <w:rPr>
                <w:rStyle w:val="Hyperlink"/>
                <w:noProof/>
              </w:rPr>
              <w:t>Section 1: Program Overview and Eligibility</w:t>
            </w:r>
            <w:r w:rsidR="002B566D">
              <w:rPr>
                <w:noProof/>
                <w:webHidden/>
              </w:rPr>
              <w:tab/>
            </w:r>
            <w:r w:rsidR="002B566D">
              <w:rPr>
                <w:noProof/>
                <w:webHidden/>
              </w:rPr>
              <w:fldChar w:fldCharType="begin"/>
            </w:r>
            <w:r w:rsidR="002B566D">
              <w:rPr>
                <w:noProof/>
                <w:webHidden/>
              </w:rPr>
              <w:instrText xml:space="preserve"> PAGEREF _Toc161152936 \h </w:instrText>
            </w:r>
            <w:r w:rsidR="002B566D">
              <w:rPr>
                <w:noProof/>
                <w:webHidden/>
              </w:rPr>
            </w:r>
            <w:r w:rsidR="002B566D">
              <w:rPr>
                <w:noProof/>
                <w:webHidden/>
              </w:rPr>
              <w:fldChar w:fldCharType="separate"/>
            </w:r>
            <w:r w:rsidR="002B566D">
              <w:rPr>
                <w:noProof/>
                <w:webHidden/>
              </w:rPr>
              <w:t>3</w:t>
            </w:r>
            <w:r w:rsidR="002B566D">
              <w:rPr>
                <w:noProof/>
                <w:webHidden/>
              </w:rPr>
              <w:fldChar w:fldCharType="end"/>
            </w:r>
          </w:hyperlink>
        </w:p>
        <w:p w14:paraId="47F0FA90" w14:textId="581E33A6" w:rsidR="002B566D" w:rsidRDefault="001E35F6">
          <w:pPr>
            <w:pStyle w:val="TOC3"/>
            <w:tabs>
              <w:tab w:val="right" w:leader="dot" w:pos="10790"/>
            </w:tabs>
            <w:rPr>
              <w:rFonts w:eastAsiaTheme="minorEastAsia"/>
              <w:noProof/>
              <w:kern w:val="2"/>
              <w14:ligatures w14:val="standardContextual"/>
            </w:rPr>
          </w:pPr>
          <w:hyperlink w:anchor="_Toc161152937" w:history="1">
            <w:r w:rsidR="002B566D" w:rsidRPr="00BA6054">
              <w:rPr>
                <w:rStyle w:val="Hyperlink"/>
                <w:noProof/>
              </w:rPr>
              <w:t>Allowable Activities:</w:t>
            </w:r>
            <w:r w:rsidR="002B566D">
              <w:rPr>
                <w:noProof/>
                <w:webHidden/>
              </w:rPr>
              <w:tab/>
            </w:r>
            <w:r w:rsidR="002B566D">
              <w:rPr>
                <w:noProof/>
                <w:webHidden/>
              </w:rPr>
              <w:fldChar w:fldCharType="begin"/>
            </w:r>
            <w:r w:rsidR="002B566D">
              <w:rPr>
                <w:noProof/>
                <w:webHidden/>
              </w:rPr>
              <w:instrText xml:space="preserve"> PAGEREF _Toc161152937 \h </w:instrText>
            </w:r>
            <w:r w:rsidR="002B566D">
              <w:rPr>
                <w:noProof/>
                <w:webHidden/>
              </w:rPr>
            </w:r>
            <w:r w:rsidR="002B566D">
              <w:rPr>
                <w:noProof/>
                <w:webHidden/>
              </w:rPr>
              <w:fldChar w:fldCharType="separate"/>
            </w:r>
            <w:r w:rsidR="002B566D">
              <w:rPr>
                <w:noProof/>
                <w:webHidden/>
              </w:rPr>
              <w:t>3</w:t>
            </w:r>
            <w:r w:rsidR="002B566D">
              <w:rPr>
                <w:noProof/>
                <w:webHidden/>
              </w:rPr>
              <w:fldChar w:fldCharType="end"/>
            </w:r>
          </w:hyperlink>
        </w:p>
        <w:p w14:paraId="02C9331E" w14:textId="48E35E98" w:rsidR="002B566D" w:rsidRDefault="001E35F6">
          <w:pPr>
            <w:pStyle w:val="TOC3"/>
            <w:tabs>
              <w:tab w:val="right" w:leader="dot" w:pos="10790"/>
            </w:tabs>
            <w:rPr>
              <w:rFonts w:eastAsiaTheme="minorEastAsia"/>
              <w:noProof/>
              <w:kern w:val="2"/>
              <w14:ligatures w14:val="standardContextual"/>
            </w:rPr>
          </w:pPr>
          <w:hyperlink w:anchor="_Toc161152938" w:history="1">
            <w:r w:rsidR="002B566D" w:rsidRPr="00BA6054">
              <w:rPr>
                <w:rStyle w:val="Hyperlink"/>
                <w:noProof/>
              </w:rPr>
              <w:t>Participant Eligibility:</w:t>
            </w:r>
            <w:r w:rsidR="002B566D">
              <w:rPr>
                <w:noProof/>
                <w:webHidden/>
              </w:rPr>
              <w:tab/>
            </w:r>
            <w:r w:rsidR="002B566D">
              <w:rPr>
                <w:noProof/>
                <w:webHidden/>
              </w:rPr>
              <w:fldChar w:fldCharType="begin"/>
            </w:r>
            <w:r w:rsidR="002B566D">
              <w:rPr>
                <w:noProof/>
                <w:webHidden/>
              </w:rPr>
              <w:instrText xml:space="preserve"> PAGEREF _Toc161152938 \h </w:instrText>
            </w:r>
            <w:r w:rsidR="002B566D">
              <w:rPr>
                <w:noProof/>
                <w:webHidden/>
              </w:rPr>
            </w:r>
            <w:r w:rsidR="002B566D">
              <w:rPr>
                <w:noProof/>
                <w:webHidden/>
              </w:rPr>
              <w:fldChar w:fldCharType="separate"/>
            </w:r>
            <w:r w:rsidR="002B566D">
              <w:rPr>
                <w:noProof/>
                <w:webHidden/>
              </w:rPr>
              <w:t>3</w:t>
            </w:r>
            <w:r w:rsidR="002B566D">
              <w:rPr>
                <w:noProof/>
                <w:webHidden/>
              </w:rPr>
              <w:fldChar w:fldCharType="end"/>
            </w:r>
          </w:hyperlink>
        </w:p>
        <w:p w14:paraId="7BBAC057" w14:textId="28843AE5" w:rsidR="002B566D" w:rsidRDefault="001E35F6">
          <w:pPr>
            <w:pStyle w:val="TOC2"/>
            <w:tabs>
              <w:tab w:val="right" w:leader="dot" w:pos="10790"/>
            </w:tabs>
            <w:rPr>
              <w:rFonts w:eastAsiaTheme="minorEastAsia"/>
              <w:noProof/>
              <w:kern w:val="2"/>
              <w14:ligatures w14:val="standardContextual"/>
            </w:rPr>
          </w:pPr>
          <w:hyperlink w:anchor="_Toc161152939" w:history="1">
            <w:r w:rsidR="002B566D" w:rsidRPr="00BA6054">
              <w:rPr>
                <w:rStyle w:val="Hyperlink"/>
                <w:noProof/>
              </w:rPr>
              <w:t>Section 2: Collaboration</w:t>
            </w:r>
            <w:r w:rsidR="002B566D">
              <w:rPr>
                <w:noProof/>
                <w:webHidden/>
              </w:rPr>
              <w:tab/>
            </w:r>
            <w:r w:rsidR="002B566D">
              <w:rPr>
                <w:noProof/>
                <w:webHidden/>
              </w:rPr>
              <w:fldChar w:fldCharType="begin"/>
            </w:r>
            <w:r w:rsidR="002B566D">
              <w:rPr>
                <w:noProof/>
                <w:webHidden/>
              </w:rPr>
              <w:instrText xml:space="preserve"> PAGEREF _Toc161152939 \h </w:instrText>
            </w:r>
            <w:r w:rsidR="002B566D">
              <w:rPr>
                <w:noProof/>
                <w:webHidden/>
              </w:rPr>
            </w:r>
            <w:r w:rsidR="002B566D">
              <w:rPr>
                <w:noProof/>
                <w:webHidden/>
              </w:rPr>
              <w:fldChar w:fldCharType="separate"/>
            </w:r>
            <w:r w:rsidR="002B566D">
              <w:rPr>
                <w:noProof/>
                <w:webHidden/>
              </w:rPr>
              <w:t>3</w:t>
            </w:r>
            <w:r w:rsidR="002B566D">
              <w:rPr>
                <w:noProof/>
                <w:webHidden/>
              </w:rPr>
              <w:fldChar w:fldCharType="end"/>
            </w:r>
          </w:hyperlink>
        </w:p>
        <w:p w14:paraId="4671BD86" w14:textId="66E3446C" w:rsidR="002B566D" w:rsidRDefault="001E35F6">
          <w:pPr>
            <w:pStyle w:val="TOC2"/>
            <w:tabs>
              <w:tab w:val="right" w:leader="dot" w:pos="10790"/>
            </w:tabs>
            <w:rPr>
              <w:rFonts w:eastAsiaTheme="minorEastAsia"/>
              <w:noProof/>
              <w:kern w:val="2"/>
              <w14:ligatures w14:val="standardContextual"/>
            </w:rPr>
          </w:pPr>
          <w:hyperlink w:anchor="_Toc161152940" w:history="1">
            <w:r w:rsidR="002B566D" w:rsidRPr="00BA6054">
              <w:rPr>
                <w:rStyle w:val="Hyperlink"/>
                <w:noProof/>
              </w:rPr>
              <w:t>Section 3: Earned Safe and Sick Time</w:t>
            </w:r>
            <w:r w:rsidR="002B566D">
              <w:rPr>
                <w:noProof/>
                <w:webHidden/>
              </w:rPr>
              <w:tab/>
            </w:r>
            <w:r w:rsidR="002B566D">
              <w:rPr>
                <w:noProof/>
                <w:webHidden/>
              </w:rPr>
              <w:fldChar w:fldCharType="begin"/>
            </w:r>
            <w:r w:rsidR="002B566D">
              <w:rPr>
                <w:noProof/>
                <w:webHidden/>
              </w:rPr>
              <w:instrText xml:space="preserve"> PAGEREF _Toc161152940 \h </w:instrText>
            </w:r>
            <w:r w:rsidR="002B566D">
              <w:rPr>
                <w:noProof/>
                <w:webHidden/>
              </w:rPr>
            </w:r>
            <w:r w:rsidR="002B566D">
              <w:rPr>
                <w:noProof/>
                <w:webHidden/>
              </w:rPr>
              <w:fldChar w:fldCharType="separate"/>
            </w:r>
            <w:r w:rsidR="002B566D">
              <w:rPr>
                <w:noProof/>
                <w:webHidden/>
              </w:rPr>
              <w:t>4</w:t>
            </w:r>
            <w:r w:rsidR="002B566D">
              <w:rPr>
                <w:noProof/>
                <w:webHidden/>
              </w:rPr>
              <w:fldChar w:fldCharType="end"/>
            </w:r>
          </w:hyperlink>
        </w:p>
        <w:p w14:paraId="14808816" w14:textId="7632DF07" w:rsidR="002B566D" w:rsidRDefault="001E35F6">
          <w:pPr>
            <w:pStyle w:val="TOC2"/>
            <w:tabs>
              <w:tab w:val="right" w:leader="dot" w:pos="10790"/>
            </w:tabs>
            <w:rPr>
              <w:rFonts w:eastAsiaTheme="minorEastAsia"/>
              <w:noProof/>
              <w:kern w:val="2"/>
              <w14:ligatures w14:val="standardContextual"/>
            </w:rPr>
          </w:pPr>
          <w:hyperlink w:anchor="_Toc161152941" w:history="1">
            <w:r w:rsidR="002B566D" w:rsidRPr="00BA6054">
              <w:rPr>
                <w:rStyle w:val="Hyperlink"/>
                <w:noProof/>
              </w:rPr>
              <w:t>Section 4: Use of Stipends and/or Incentives</w:t>
            </w:r>
            <w:r w:rsidR="002B566D">
              <w:rPr>
                <w:noProof/>
                <w:webHidden/>
              </w:rPr>
              <w:tab/>
            </w:r>
            <w:r w:rsidR="002B566D">
              <w:rPr>
                <w:noProof/>
                <w:webHidden/>
              </w:rPr>
              <w:fldChar w:fldCharType="begin"/>
            </w:r>
            <w:r w:rsidR="002B566D">
              <w:rPr>
                <w:noProof/>
                <w:webHidden/>
              </w:rPr>
              <w:instrText xml:space="preserve"> PAGEREF _Toc161152941 \h </w:instrText>
            </w:r>
            <w:r w:rsidR="002B566D">
              <w:rPr>
                <w:noProof/>
                <w:webHidden/>
              </w:rPr>
            </w:r>
            <w:r w:rsidR="002B566D">
              <w:rPr>
                <w:noProof/>
                <w:webHidden/>
              </w:rPr>
              <w:fldChar w:fldCharType="separate"/>
            </w:r>
            <w:r w:rsidR="002B566D">
              <w:rPr>
                <w:noProof/>
                <w:webHidden/>
              </w:rPr>
              <w:t>4</w:t>
            </w:r>
            <w:r w:rsidR="002B566D">
              <w:rPr>
                <w:noProof/>
                <w:webHidden/>
              </w:rPr>
              <w:fldChar w:fldCharType="end"/>
            </w:r>
          </w:hyperlink>
        </w:p>
        <w:p w14:paraId="21F175A2" w14:textId="7D331BD5" w:rsidR="002B566D" w:rsidRDefault="001E35F6">
          <w:pPr>
            <w:pStyle w:val="TOC2"/>
            <w:tabs>
              <w:tab w:val="right" w:leader="dot" w:pos="10790"/>
            </w:tabs>
            <w:rPr>
              <w:rFonts w:eastAsiaTheme="minorEastAsia"/>
              <w:noProof/>
              <w:kern w:val="2"/>
              <w14:ligatures w14:val="standardContextual"/>
            </w:rPr>
          </w:pPr>
          <w:hyperlink w:anchor="_Toc161152942" w:history="1">
            <w:r w:rsidR="002B566D" w:rsidRPr="00BA6054">
              <w:rPr>
                <w:rStyle w:val="Hyperlink"/>
                <w:noProof/>
              </w:rPr>
              <w:t>Section 5: Reporting</w:t>
            </w:r>
            <w:r w:rsidR="002B566D">
              <w:rPr>
                <w:noProof/>
                <w:webHidden/>
              </w:rPr>
              <w:tab/>
            </w:r>
            <w:r w:rsidR="002B566D">
              <w:rPr>
                <w:noProof/>
                <w:webHidden/>
              </w:rPr>
              <w:fldChar w:fldCharType="begin"/>
            </w:r>
            <w:r w:rsidR="002B566D">
              <w:rPr>
                <w:noProof/>
                <w:webHidden/>
              </w:rPr>
              <w:instrText xml:space="preserve"> PAGEREF _Toc161152942 \h </w:instrText>
            </w:r>
            <w:r w:rsidR="002B566D">
              <w:rPr>
                <w:noProof/>
                <w:webHidden/>
              </w:rPr>
            </w:r>
            <w:r w:rsidR="002B566D">
              <w:rPr>
                <w:noProof/>
                <w:webHidden/>
              </w:rPr>
              <w:fldChar w:fldCharType="separate"/>
            </w:r>
            <w:r w:rsidR="002B566D">
              <w:rPr>
                <w:noProof/>
                <w:webHidden/>
              </w:rPr>
              <w:t>4</w:t>
            </w:r>
            <w:r w:rsidR="002B566D">
              <w:rPr>
                <w:noProof/>
                <w:webHidden/>
              </w:rPr>
              <w:fldChar w:fldCharType="end"/>
            </w:r>
          </w:hyperlink>
        </w:p>
        <w:p w14:paraId="473A7FD3" w14:textId="68899B51" w:rsidR="002B566D" w:rsidRDefault="001E35F6">
          <w:pPr>
            <w:pStyle w:val="TOC3"/>
            <w:tabs>
              <w:tab w:val="right" w:leader="dot" w:pos="10790"/>
            </w:tabs>
            <w:rPr>
              <w:rFonts w:eastAsiaTheme="minorEastAsia"/>
              <w:noProof/>
              <w:kern w:val="2"/>
              <w14:ligatures w14:val="standardContextual"/>
            </w:rPr>
          </w:pPr>
          <w:hyperlink w:anchor="_Toc161152943" w:history="1">
            <w:r w:rsidR="002B566D" w:rsidRPr="00BA6054">
              <w:rPr>
                <w:rStyle w:val="Hyperlink"/>
                <w:noProof/>
              </w:rPr>
              <w:t>Workforce One:</w:t>
            </w:r>
            <w:r w:rsidR="002B566D">
              <w:rPr>
                <w:noProof/>
                <w:webHidden/>
              </w:rPr>
              <w:tab/>
            </w:r>
            <w:r w:rsidR="002B566D">
              <w:rPr>
                <w:noProof/>
                <w:webHidden/>
              </w:rPr>
              <w:fldChar w:fldCharType="begin"/>
            </w:r>
            <w:r w:rsidR="002B566D">
              <w:rPr>
                <w:noProof/>
                <w:webHidden/>
              </w:rPr>
              <w:instrText xml:space="preserve"> PAGEREF _Toc161152943 \h </w:instrText>
            </w:r>
            <w:r w:rsidR="002B566D">
              <w:rPr>
                <w:noProof/>
                <w:webHidden/>
              </w:rPr>
            </w:r>
            <w:r w:rsidR="002B566D">
              <w:rPr>
                <w:noProof/>
                <w:webHidden/>
              </w:rPr>
              <w:fldChar w:fldCharType="separate"/>
            </w:r>
            <w:r w:rsidR="002B566D">
              <w:rPr>
                <w:noProof/>
                <w:webHidden/>
              </w:rPr>
              <w:t>4</w:t>
            </w:r>
            <w:r w:rsidR="002B566D">
              <w:rPr>
                <w:noProof/>
                <w:webHidden/>
              </w:rPr>
              <w:fldChar w:fldCharType="end"/>
            </w:r>
          </w:hyperlink>
        </w:p>
        <w:p w14:paraId="2A468F6E" w14:textId="30DF8639" w:rsidR="002B566D" w:rsidRDefault="001E35F6">
          <w:pPr>
            <w:pStyle w:val="TOC2"/>
            <w:tabs>
              <w:tab w:val="right" w:leader="dot" w:pos="10790"/>
            </w:tabs>
            <w:rPr>
              <w:rFonts w:eastAsiaTheme="minorEastAsia"/>
              <w:noProof/>
              <w:kern w:val="2"/>
              <w14:ligatures w14:val="standardContextual"/>
            </w:rPr>
          </w:pPr>
          <w:hyperlink w:anchor="_Toc161152944" w:history="1">
            <w:r w:rsidR="002B566D" w:rsidRPr="00BA6054">
              <w:rPr>
                <w:rStyle w:val="Hyperlink"/>
                <w:noProof/>
              </w:rPr>
              <w:t>Section 6: Reimbursement</w:t>
            </w:r>
            <w:r w:rsidR="002B566D">
              <w:rPr>
                <w:noProof/>
                <w:webHidden/>
              </w:rPr>
              <w:tab/>
            </w:r>
            <w:r w:rsidR="002B566D">
              <w:rPr>
                <w:noProof/>
                <w:webHidden/>
              </w:rPr>
              <w:fldChar w:fldCharType="begin"/>
            </w:r>
            <w:r w:rsidR="002B566D">
              <w:rPr>
                <w:noProof/>
                <w:webHidden/>
              </w:rPr>
              <w:instrText xml:space="preserve"> PAGEREF _Toc161152944 \h </w:instrText>
            </w:r>
            <w:r w:rsidR="002B566D">
              <w:rPr>
                <w:noProof/>
                <w:webHidden/>
              </w:rPr>
            </w:r>
            <w:r w:rsidR="002B566D">
              <w:rPr>
                <w:noProof/>
                <w:webHidden/>
              </w:rPr>
              <w:fldChar w:fldCharType="separate"/>
            </w:r>
            <w:r w:rsidR="002B566D">
              <w:rPr>
                <w:noProof/>
                <w:webHidden/>
              </w:rPr>
              <w:t>5</w:t>
            </w:r>
            <w:r w:rsidR="002B566D">
              <w:rPr>
                <w:noProof/>
                <w:webHidden/>
              </w:rPr>
              <w:fldChar w:fldCharType="end"/>
            </w:r>
          </w:hyperlink>
        </w:p>
        <w:p w14:paraId="6FF93744" w14:textId="1CA9E3DC" w:rsidR="002B566D" w:rsidRDefault="001E35F6">
          <w:pPr>
            <w:pStyle w:val="TOC2"/>
            <w:tabs>
              <w:tab w:val="right" w:leader="dot" w:pos="10790"/>
            </w:tabs>
            <w:rPr>
              <w:rFonts w:eastAsiaTheme="minorEastAsia"/>
              <w:noProof/>
              <w:kern w:val="2"/>
              <w14:ligatures w14:val="standardContextual"/>
            </w:rPr>
          </w:pPr>
          <w:hyperlink w:anchor="_Toc161152945" w:history="1">
            <w:r w:rsidR="002B566D" w:rsidRPr="00BA6054">
              <w:rPr>
                <w:rStyle w:val="Hyperlink"/>
                <w:noProof/>
              </w:rPr>
              <w:t>Section 7: Grant Modifications and Extensions</w:t>
            </w:r>
            <w:r w:rsidR="002B566D">
              <w:rPr>
                <w:noProof/>
                <w:webHidden/>
              </w:rPr>
              <w:tab/>
            </w:r>
            <w:r w:rsidR="002B566D">
              <w:rPr>
                <w:noProof/>
                <w:webHidden/>
              </w:rPr>
              <w:fldChar w:fldCharType="begin"/>
            </w:r>
            <w:r w:rsidR="002B566D">
              <w:rPr>
                <w:noProof/>
                <w:webHidden/>
              </w:rPr>
              <w:instrText xml:space="preserve"> PAGEREF _Toc161152945 \h </w:instrText>
            </w:r>
            <w:r w:rsidR="002B566D">
              <w:rPr>
                <w:noProof/>
                <w:webHidden/>
              </w:rPr>
            </w:r>
            <w:r w:rsidR="002B566D">
              <w:rPr>
                <w:noProof/>
                <w:webHidden/>
              </w:rPr>
              <w:fldChar w:fldCharType="separate"/>
            </w:r>
            <w:r w:rsidR="002B566D">
              <w:rPr>
                <w:noProof/>
                <w:webHidden/>
              </w:rPr>
              <w:t>5</w:t>
            </w:r>
            <w:r w:rsidR="002B566D">
              <w:rPr>
                <w:noProof/>
                <w:webHidden/>
              </w:rPr>
              <w:fldChar w:fldCharType="end"/>
            </w:r>
          </w:hyperlink>
        </w:p>
        <w:p w14:paraId="42CE9EE8" w14:textId="46CA1068" w:rsidR="00571F7B" w:rsidRDefault="00571F7B">
          <w:r>
            <w:rPr>
              <w:b/>
              <w:bCs/>
              <w:noProof/>
            </w:rPr>
            <w:fldChar w:fldCharType="end"/>
          </w:r>
        </w:p>
      </w:sdtContent>
    </w:sdt>
    <w:p w14:paraId="26DAF7E2" w14:textId="1B5F64B6" w:rsidR="008A0D4E" w:rsidRDefault="008A0D4E" w:rsidP="004127B9"/>
    <w:p w14:paraId="72C7FECE" w14:textId="77777777" w:rsidR="007E06E7" w:rsidRDefault="007E06E7" w:rsidP="004127B9">
      <w:pPr>
        <w:sectPr w:rsidR="007E06E7" w:rsidSect="001C05F1">
          <w:pgSz w:w="12240" w:h="15840"/>
          <w:pgMar w:top="720" w:right="720" w:bottom="720" w:left="720" w:header="720" w:footer="720" w:gutter="0"/>
          <w:cols w:space="720"/>
          <w:docGrid w:linePitch="360"/>
        </w:sectPr>
      </w:pPr>
    </w:p>
    <w:p w14:paraId="4F5FEDAE" w14:textId="7F498518" w:rsidR="00654C73" w:rsidRDefault="007E06E7" w:rsidP="00654C73">
      <w:pPr>
        <w:pStyle w:val="Heading2"/>
      </w:pPr>
      <w:bookmarkStart w:id="3" w:name="_Toc161152936"/>
      <w:r>
        <w:lastRenderedPageBreak/>
        <w:t>Section 1: Program Overview and Eligibility</w:t>
      </w:r>
      <w:bookmarkEnd w:id="3"/>
    </w:p>
    <w:p w14:paraId="3B888455" w14:textId="4283F037" w:rsidR="00654C73" w:rsidRPr="003538B6" w:rsidRDefault="00654C73" w:rsidP="00654C73">
      <w:pPr>
        <w:pStyle w:val="BodyText"/>
        <w:rPr>
          <w:rFonts w:asciiTheme="majorHAnsi" w:hAnsiTheme="majorHAnsi" w:cstheme="majorHAnsi"/>
        </w:rPr>
      </w:pPr>
      <w:r w:rsidRPr="00D972DB">
        <w:t>The Minnesota Legislature appropriated $1,000,000 each year in State Fiscal Year (SFY) 202</w:t>
      </w:r>
      <w:r>
        <w:t>4</w:t>
      </w:r>
      <w:r w:rsidRPr="00D972DB">
        <w:t xml:space="preserve"> and 202</w:t>
      </w:r>
      <w:r>
        <w:t>5</w:t>
      </w:r>
      <w:r w:rsidRPr="00D972DB">
        <w:t xml:space="preserve"> for a competitive grant program to provide grants to organizations that provide support services for individuals. Of this appropriation, $475,000 per SFY </w:t>
      </w:r>
      <w:r>
        <w:t xml:space="preserve">was </w:t>
      </w:r>
      <w:r w:rsidRPr="00D972DB">
        <w:t>available for grant</w:t>
      </w:r>
      <w:r>
        <w:t xml:space="preserve"> awards </w:t>
      </w:r>
      <w:r w:rsidRPr="00D972DB">
        <w:t>under the Youth Support Services competitive grant program</w:t>
      </w:r>
      <w:r>
        <w:t>.</w:t>
      </w:r>
      <w:r w:rsidRPr="00D972DB">
        <w:t xml:space="preserve"> </w:t>
      </w:r>
      <w:r w:rsidRPr="003538B6">
        <w:rPr>
          <w:rFonts w:asciiTheme="majorHAnsi" w:hAnsiTheme="majorHAnsi" w:cstheme="majorHAnsi"/>
        </w:rPr>
        <w:t>(</w:t>
      </w:r>
      <w:hyperlink r:id="rId10" w:history="1">
        <w:r w:rsidRPr="000C09F3">
          <w:rPr>
            <w:rStyle w:val="Hyperlink"/>
            <w:rFonts w:asciiTheme="majorHAnsi" w:hAnsiTheme="majorHAnsi" w:cstheme="majorHAnsi"/>
          </w:rPr>
          <w:t>Minnesota Session Laws – 2023, Chapter 53, S.F. 3035, Article 20, Section 2, Subdivision 3(k)</w:t>
        </w:r>
      </w:hyperlink>
      <w:r w:rsidRPr="003538B6">
        <w:rPr>
          <w:rFonts w:asciiTheme="majorHAnsi" w:hAnsiTheme="majorHAnsi" w:cstheme="majorHAnsi"/>
        </w:rPr>
        <w:t xml:space="preserve">) </w:t>
      </w:r>
    </w:p>
    <w:p w14:paraId="454C11DB" w14:textId="77777777" w:rsidR="00654C73" w:rsidRPr="00561369" w:rsidRDefault="00654C73" w:rsidP="00654C73">
      <w:pPr>
        <w:rPr>
          <w:b/>
        </w:rPr>
      </w:pPr>
      <w:r w:rsidRPr="00EF42A6">
        <w:t>Eligible applicants or “eligible organization</w:t>
      </w:r>
      <w:r>
        <w:t>s</w:t>
      </w:r>
      <w:r w:rsidRPr="00EF42A6">
        <w:t xml:space="preserve">” </w:t>
      </w:r>
      <w:r>
        <w:t xml:space="preserve">include local </w:t>
      </w:r>
      <w:r w:rsidRPr="00EF42A6">
        <w:t>government unit</w:t>
      </w:r>
      <w:r>
        <w:t>s (including tribal governments)</w:t>
      </w:r>
      <w:r w:rsidRPr="00EF42A6">
        <w:t>, nonprofit</w:t>
      </w:r>
      <w:r>
        <w:t>/community-based</w:t>
      </w:r>
      <w:r w:rsidRPr="00EF42A6">
        <w:t xml:space="preserve"> organization</w:t>
      </w:r>
      <w:r>
        <w:t>s</w:t>
      </w:r>
      <w:r w:rsidRPr="00EF42A6">
        <w:t>, community action agenc</w:t>
      </w:r>
      <w:r>
        <w:t>ies and</w:t>
      </w:r>
      <w:r w:rsidRPr="00EF42A6">
        <w:t xml:space="preserve"> public-school district</w:t>
      </w:r>
      <w:r>
        <w:t>s</w:t>
      </w:r>
      <w:r w:rsidRPr="00EF42A6">
        <w:t>.</w:t>
      </w:r>
    </w:p>
    <w:p w14:paraId="690C4350" w14:textId="399EB09C" w:rsidR="007E06E7" w:rsidRPr="00644E53" w:rsidRDefault="00654C73" w:rsidP="00644E53">
      <w:pPr>
        <w:pStyle w:val="Heading3"/>
      </w:pPr>
      <w:bookmarkStart w:id="4" w:name="_Toc161152937"/>
      <w:r>
        <w:t>A</w:t>
      </w:r>
      <w:r w:rsidR="007E06E7" w:rsidRPr="00644E53">
        <w:t xml:space="preserve">llowable </w:t>
      </w:r>
      <w:r>
        <w:t>A</w:t>
      </w:r>
      <w:r w:rsidR="007E06E7" w:rsidRPr="00644E53">
        <w:t>ctivities:</w:t>
      </w:r>
      <w:bookmarkEnd w:id="4"/>
    </w:p>
    <w:p w14:paraId="312F4C12" w14:textId="36B41E08" w:rsidR="00654C73" w:rsidRDefault="00654C73" w:rsidP="00654C73">
      <w:pPr>
        <w:spacing w:after="120" w:line="240" w:lineRule="auto"/>
      </w:pPr>
      <w:r>
        <w:t>Services provided through this program must serve individuals from the eligible populations in one or more of the following areas:</w:t>
      </w:r>
    </w:p>
    <w:p w14:paraId="7E862BAC" w14:textId="77777777" w:rsidR="00654C73" w:rsidRDefault="00654C73" w:rsidP="00654C73">
      <w:pPr>
        <w:pStyle w:val="ListParagraph"/>
        <w:numPr>
          <w:ilvl w:val="0"/>
          <w:numId w:val="2"/>
        </w:numPr>
        <w:spacing w:after="120" w:line="240" w:lineRule="auto"/>
      </w:pPr>
      <w:r>
        <w:t>Job training,</w:t>
      </w:r>
    </w:p>
    <w:p w14:paraId="7C465D37" w14:textId="77777777" w:rsidR="00654C73" w:rsidRDefault="00654C73" w:rsidP="00654C73">
      <w:pPr>
        <w:pStyle w:val="ListParagraph"/>
        <w:numPr>
          <w:ilvl w:val="0"/>
          <w:numId w:val="2"/>
        </w:numPr>
        <w:spacing w:after="120" w:line="240" w:lineRule="auto"/>
      </w:pPr>
      <w:r>
        <w:t>Employment preparation,</w:t>
      </w:r>
    </w:p>
    <w:p w14:paraId="32731160" w14:textId="77777777" w:rsidR="00654C73" w:rsidRDefault="00654C73" w:rsidP="00654C73">
      <w:pPr>
        <w:pStyle w:val="ListParagraph"/>
        <w:numPr>
          <w:ilvl w:val="0"/>
          <w:numId w:val="2"/>
        </w:numPr>
        <w:spacing w:after="120" w:line="240" w:lineRule="auto"/>
      </w:pPr>
      <w:r>
        <w:t>Internships,</w:t>
      </w:r>
    </w:p>
    <w:p w14:paraId="036E563D" w14:textId="77777777" w:rsidR="00654C73" w:rsidRDefault="00654C73" w:rsidP="00654C73">
      <w:pPr>
        <w:pStyle w:val="ListParagraph"/>
        <w:numPr>
          <w:ilvl w:val="0"/>
          <w:numId w:val="2"/>
        </w:numPr>
        <w:spacing w:after="120" w:line="240" w:lineRule="auto"/>
      </w:pPr>
      <w:r>
        <w:t>Job assistance to parents,</w:t>
      </w:r>
    </w:p>
    <w:p w14:paraId="3AEF04C7" w14:textId="77777777" w:rsidR="00654C73" w:rsidRDefault="00654C73" w:rsidP="00654C73">
      <w:pPr>
        <w:pStyle w:val="ListParagraph"/>
        <w:numPr>
          <w:ilvl w:val="0"/>
          <w:numId w:val="2"/>
        </w:numPr>
        <w:spacing w:after="120" w:line="240" w:lineRule="auto"/>
      </w:pPr>
      <w:r>
        <w:t>Financial literacy,</w:t>
      </w:r>
    </w:p>
    <w:p w14:paraId="7E971CFB" w14:textId="77777777" w:rsidR="00654C73" w:rsidRDefault="00654C73" w:rsidP="00654C73">
      <w:pPr>
        <w:pStyle w:val="ListParagraph"/>
        <w:numPr>
          <w:ilvl w:val="0"/>
          <w:numId w:val="2"/>
        </w:numPr>
        <w:spacing w:after="120" w:line="240" w:lineRule="auto"/>
      </w:pPr>
      <w:r>
        <w:t>Academic and behavioral interventions for low-performing students, and/or</w:t>
      </w:r>
    </w:p>
    <w:p w14:paraId="309392AC" w14:textId="72173521" w:rsidR="00654C73" w:rsidRDefault="00654C73" w:rsidP="00654C73">
      <w:pPr>
        <w:pStyle w:val="ListParagraph"/>
        <w:numPr>
          <w:ilvl w:val="0"/>
          <w:numId w:val="2"/>
        </w:numPr>
        <w:spacing w:after="120" w:line="240" w:lineRule="auto"/>
      </w:pPr>
      <w:r>
        <w:t>Youth intervention activities</w:t>
      </w:r>
    </w:p>
    <w:p w14:paraId="4143EA18" w14:textId="77777777" w:rsidR="00654C73" w:rsidRDefault="00654C73" w:rsidP="00654C73">
      <w:pPr>
        <w:pStyle w:val="ListParagraph"/>
        <w:spacing w:after="120" w:line="240" w:lineRule="auto"/>
        <w:ind w:left="1080"/>
        <w:contextualSpacing w:val="0"/>
      </w:pPr>
    </w:p>
    <w:p w14:paraId="266DA5B3" w14:textId="3720DC61" w:rsidR="007E06E7" w:rsidRDefault="00654C73" w:rsidP="00644E53">
      <w:pPr>
        <w:pStyle w:val="Heading3"/>
      </w:pPr>
      <w:bookmarkStart w:id="5" w:name="_Toc161152938"/>
      <w:r>
        <w:t>Participant Eligibility</w:t>
      </w:r>
      <w:r w:rsidR="007E06E7">
        <w:t>:</w:t>
      </w:r>
      <w:bookmarkEnd w:id="5"/>
    </w:p>
    <w:p w14:paraId="66EE0BAE" w14:textId="06E1A562" w:rsidR="00654C73" w:rsidRDefault="00654C73" w:rsidP="00654C73">
      <w:pPr>
        <w:autoSpaceDE w:val="0"/>
        <w:autoSpaceDN w:val="0"/>
        <w:adjustRightInd w:val="0"/>
      </w:pPr>
      <w:r>
        <w:t>Projects</w:t>
      </w:r>
      <w:r w:rsidRPr="00094F7F">
        <w:t xml:space="preserve"> must focus on young adults (ages 14-24</w:t>
      </w:r>
      <w:r>
        <w:t>) who are</w:t>
      </w:r>
      <w:r w:rsidRPr="00094F7F">
        <w:t xml:space="preserve"> individuals from low-income communities, and/or from families with a history of intergenerational poverty, and/or individuals from communities of color.</w:t>
      </w:r>
      <w:r>
        <w:t xml:space="preserve"> Below are the definitions used for the classifications in the grant:</w:t>
      </w:r>
    </w:p>
    <w:p w14:paraId="554312DD" w14:textId="77777777" w:rsidR="00654C73" w:rsidRPr="005A3059" w:rsidRDefault="00654C73" w:rsidP="00654C73">
      <w:pPr>
        <w:autoSpaceDE w:val="0"/>
        <w:autoSpaceDN w:val="0"/>
        <w:adjustRightInd w:val="0"/>
        <w:ind w:left="720"/>
      </w:pPr>
      <w:r w:rsidRPr="005A3059">
        <w:rPr>
          <w:b/>
          <w:bCs/>
        </w:rPr>
        <w:t xml:space="preserve">Low-income community </w:t>
      </w:r>
      <w:r w:rsidRPr="00D83085">
        <w:t xml:space="preserve">- </w:t>
      </w:r>
      <w:r w:rsidRPr="005A3059">
        <w:t>A geographic area, usually at least a census tract, that has a poverty rate of at least 25 percent</w:t>
      </w:r>
      <w:r>
        <w:t>.</w:t>
      </w:r>
    </w:p>
    <w:p w14:paraId="09377D68" w14:textId="77777777" w:rsidR="00654C73" w:rsidRPr="00CB16CD" w:rsidRDefault="00654C73" w:rsidP="00654C73">
      <w:pPr>
        <w:autoSpaceDE w:val="0"/>
        <w:autoSpaceDN w:val="0"/>
        <w:adjustRightInd w:val="0"/>
        <w:ind w:left="720"/>
      </w:pPr>
      <w:r w:rsidRPr="007A5A84">
        <w:rPr>
          <w:b/>
          <w:bCs/>
        </w:rPr>
        <w:t>Intergenerational poverty</w:t>
      </w:r>
      <w:r w:rsidRPr="007A5A84">
        <w:t xml:space="preserve"> - Low-income status in two or more successive generations in a family.</w:t>
      </w:r>
    </w:p>
    <w:p w14:paraId="30D2BF72" w14:textId="77777777" w:rsidR="00654C73" w:rsidRDefault="00654C73" w:rsidP="00654C73">
      <w:pPr>
        <w:autoSpaceDE w:val="0"/>
        <w:autoSpaceDN w:val="0"/>
        <w:adjustRightInd w:val="0"/>
        <w:ind w:left="720"/>
        <w:rPr>
          <w:rFonts w:cs="Arial"/>
          <w:szCs w:val="24"/>
        </w:rPr>
      </w:pPr>
      <w:r w:rsidRPr="000D2142">
        <w:rPr>
          <w:b/>
        </w:rPr>
        <w:t xml:space="preserve">Economically disadvantaged youth - </w:t>
      </w:r>
      <w:r w:rsidRPr="000D2142">
        <w:rPr>
          <w:rFonts w:cs="Arial"/>
          <w:szCs w:val="24"/>
        </w:rPr>
        <w:t>An individual who received an income, or is a member of a family that received a total family income, that, in relation to family size, does not exceed the higher of</w:t>
      </w:r>
      <w:r>
        <w:rPr>
          <w:rFonts w:cs="Arial"/>
          <w:szCs w:val="24"/>
        </w:rPr>
        <w:t>:</w:t>
      </w:r>
    </w:p>
    <w:p w14:paraId="200748E4" w14:textId="77777777" w:rsidR="00654C73" w:rsidRPr="00A62114" w:rsidRDefault="00654C73" w:rsidP="00654C73">
      <w:pPr>
        <w:pStyle w:val="ListParagraph"/>
        <w:numPr>
          <w:ilvl w:val="0"/>
          <w:numId w:val="45"/>
        </w:numPr>
        <w:autoSpaceDE w:val="0"/>
        <w:autoSpaceDN w:val="0"/>
        <w:adjustRightInd w:val="0"/>
        <w:spacing w:after="200" w:line="276" w:lineRule="auto"/>
        <w:ind w:left="1440"/>
        <w:rPr>
          <w:rFonts w:cs="Arial"/>
          <w:szCs w:val="24"/>
        </w:rPr>
      </w:pPr>
      <w:r w:rsidRPr="00A62114">
        <w:rPr>
          <w:rFonts w:cs="Arial"/>
          <w:szCs w:val="24"/>
        </w:rPr>
        <w:t>the official poverty level, for an equivalent period; or</w:t>
      </w:r>
    </w:p>
    <w:p w14:paraId="52840973" w14:textId="77777777" w:rsidR="00654C73" w:rsidRPr="00A62114" w:rsidRDefault="00654C73" w:rsidP="00654C73">
      <w:pPr>
        <w:pStyle w:val="ListParagraph"/>
        <w:numPr>
          <w:ilvl w:val="0"/>
          <w:numId w:val="45"/>
        </w:numPr>
        <w:autoSpaceDE w:val="0"/>
        <w:autoSpaceDN w:val="0"/>
        <w:adjustRightInd w:val="0"/>
        <w:spacing w:after="200" w:line="276" w:lineRule="auto"/>
        <w:ind w:left="1440"/>
        <w:rPr>
          <w:rFonts w:cs="Arial"/>
          <w:szCs w:val="24"/>
        </w:rPr>
      </w:pPr>
      <w:r w:rsidRPr="00A62114">
        <w:rPr>
          <w:rFonts w:cs="Arial"/>
          <w:szCs w:val="24"/>
        </w:rPr>
        <w:t>70</w:t>
      </w:r>
      <w:r>
        <w:rPr>
          <w:rFonts w:cs="Arial"/>
          <w:szCs w:val="24"/>
        </w:rPr>
        <w:t>%</w:t>
      </w:r>
      <w:r w:rsidRPr="00A62114">
        <w:rPr>
          <w:rFonts w:cs="Arial"/>
          <w:szCs w:val="24"/>
        </w:rPr>
        <w:t xml:space="preserve"> of the lower living standard income level.</w:t>
      </w:r>
    </w:p>
    <w:p w14:paraId="2E6B6A94" w14:textId="77777777" w:rsidR="00654C73" w:rsidRPr="00D12146" w:rsidRDefault="00654C73" w:rsidP="00654C73">
      <w:pPr>
        <w:autoSpaceDE w:val="0"/>
        <w:autoSpaceDN w:val="0"/>
        <w:adjustRightInd w:val="0"/>
        <w:ind w:left="720"/>
        <w:rPr>
          <w:rFonts w:cs="Arial"/>
          <w:szCs w:val="24"/>
        </w:rPr>
      </w:pPr>
      <w:r w:rsidRPr="00D12146">
        <w:rPr>
          <w:rFonts w:cs="Arial"/>
          <w:szCs w:val="24"/>
        </w:rPr>
        <w:t>Please follow this</w:t>
      </w:r>
      <w:hyperlink r:id="rId11" w:history="1">
        <w:r w:rsidRPr="00D12146">
          <w:rPr>
            <w:rStyle w:val="Hyperlink"/>
            <w:rFonts w:cs="Arial"/>
            <w:szCs w:val="24"/>
          </w:rPr>
          <w:t xml:space="preserve"> link</w:t>
        </w:r>
      </w:hyperlink>
      <w:r w:rsidRPr="00D12146">
        <w:rPr>
          <w:rFonts w:cs="Arial"/>
          <w:szCs w:val="24"/>
        </w:rPr>
        <w:t xml:space="preserve"> for the current Income Eligibility Table that includes both Poverty Levels and Lower Living Standard Income Level.</w:t>
      </w:r>
    </w:p>
    <w:p w14:paraId="1B0433B8" w14:textId="0B40E29A" w:rsidR="00654C73" w:rsidRPr="00654C73" w:rsidRDefault="00654C73" w:rsidP="00654C73">
      <w:pPr>
        <w:autoSpaceDE w:val="0"/>
        <w:autoSpaceDN w:val="0"/>
        <w:adjustRightInd w:val="0"/>
        <w:ind w:left="720"/>
        <w:rPr>
          <w:rFonts w:cs="Arial"/>
          <w:bCs/>
          <w:szCs w:val="24"/>
        </w:rPr>
      </w:pPr>
      <w:r w:rsidRPr="00654C73">
        <w:rPr>
          <w:rFonts w:cs="Arial"/>
          <w:bCs/>
          <w:szCs w:val="24"/>
        </w:rPr>
        <w:t>Youth who are eligible to receive or are receiving free school lunch are considered to be economically disadvantaged.</w:t>
      </w:r>
    </w:p>
    <w:p w14:paraId="58339C8D" w14:textId="77777777" w:rsidR="00981335" w:rsidRDefault="00981335" w:rsidP="00644E53">
      <w:pPr>
        <w:pStyle w:val="Heading2"/>
      </w:pPr>
    </w:p>
    <w:p w14:paraId="631BBEF5" w14:textId="2A514176" w:rsidR="00981335" w:rsidRPr="00981335" w:rsidRDefault="007E06E7" w:rsidP="00981335">
      <w:pPr>
        <w:pStyle w:val="Heading2"/>
      </w:pPr>
      <w:bookmarkStart w:id="6" w:name="_Toc161152939"/>
      <w:r>
        <w:t>Section 2: Collaboration</w:t>
      </w:r>
      <w:bookmarkEnd w:id="6"/>
    </w:p>
    <w:p w14:paraId="3A09FC90" w14:textId="754ECD1B" w:rsidR="00981335" w:rsidRDefault="00981335" w:rsidP="00981335">
      <w:r w:rsidRPr="00981335">
        <w:t>Partnerships are highly encouraged</w:t>
      </w:r>
      <w:r>
        <w:t xml:space="preserve"> and projects should </w:t>
      </w:r>
      <w:r w:rsidRPr="00981335">
        <w:t xml:space="preserve">align with high growth and in-demand jobs in their region. </w:t>
      </w:r>
      <w:r>
        <w:t xml:space="preserve">Projects are </w:t>
      </w:r>
      <w:r w:rsidRPr="00981335">
        <w:t>encouraged, but not required, to leverage non-state or private-sector funds for the</w:t>
      </w:r>
      <w:r>
        <w:t xml:space="preserve">ir </w:t>
      </w:r>
      <w:r w:rsidRPr="00981335">
        <w:t>project. Leveraged resources may be for any amount, cash or in-kind.</w:t>
      </w:r>
    </w:p>
    <w:p w14:paraId="333BB60B" w14:textId="77777777" w:rsidR="00981335" w:rsidRPr="00981335" w:rsidRDefault="00981335" w:rsidP="00981335"/>
    <w:p w14:paraId="08A06811" w14:textId="0F464023" w:rsidR="007E06E7" w:rsidRDefault="007E06E7" w:rsidP="00946E24">
      <w:pPr>
        <w:pStyle w:val="Heading2"/>
      </w:pPr>
      <w:bookmarkStart w:id="7" w:name="_Toc161152940"/>
      <w:r>
        <w:lastRenderedPageBreak/>
        <w:t>Section 3: Earned Safe and Sick Time</w:t>
      </w:r>
      <w:bookmarkEnd w:id="7"/>
    </w:p>
    <w:p w14:paraId="0CC51584" w14:textId="6A64D187" w:rsidR="007E06E7" w:rsidRDefault="007E06E7" w:rsidP="007E06E7">
      <w:r>
        <w:t xml:space="preserve">Effective January 1, 2024, required Earned Sick and Safe Time (ESST) benefits would be considered fringe benefits similar to Worker’s Compensation. Expenses related to ESST should be budgeted in the </w:t>
      </w:r>
      <w:r w:rsidR="00981335">
        <w:t xml:space="preserve">Direct Customer Training </w:t>
      </w:r>
      <w:r>
        <w:t xml:space="preserve">cost category for the Youth </w:t>
      </w:r>
      <w:r w:rsidR="00981335">
        <w:t>Support Services</w:t>
      </w:r>
      <w:r>
        <w:t xml:space="preserve"> Program. If your agency wishes to modify </w:t>
      </w:r>
      <w:r w:rsidR="00981335">
        <w:t>your Youth Support Services</w:t>
      </w:r>
      <w:r>
        <w:t xml:space="preserve"> budget to account for these additional expenses, please contact your program manager.</w:t>
      </w:r>
    </w:p>
    <w:p w14:paraId="4782F70C" w14:textId="77777777" w:rsidR="00981335" w:rsidRDefault="00981335" w:rsidP="007E06E7"/>
    <w:p w14:paraId="7FD72B69" w14:textId="77777777" w:rsidR="007E06E7" w:rsidRDefault="007E06E7" w:rsidP="00946E24">
      <w:pPr>
        <w:pStyle w:val="Heading2"/>
      </w:pPr>
      <w:bookmarkStart w:id="8" w:name="_Toc161152941"/>
      <w:r>
        <w:t>Section 4: Use of Stipends and/or Incentives</w:t>
      </w:r>
      <w:bookmarkEnd w:id="8"/>
    </w:p>
    <w:p w14:paraId="7CA95FC4" w14:textId="45288F8C" w:rsidR="007E06E7" w:rsidRDefault="007E06E7" w:rsidP="007E06E7">
      <w:r>
        <w:t>Grantees are allowed to provide stipends to youth participants. Often, stipends are provided to youth while they are completing classroom training, on-the-job training, occupational training, or other training activities. Additionally, stipends may be offered to youth in place of a wage. Regardless, Youth</w:t>
      </w:r>
      <w:r w:rsidR="00981335">
        <w:t xml:space="preserve"> Support Services</w:t>
      </w:r>
      <w:r>
        <w:t xml:space="preserve"> grantees need to have a stipend policy in place. Note: stipends are considered taxable income to program participants and participants must be notified of IRS implications.</w:t>
      </w:r>
    </w:p>
    <w:p w14:paraId="0DE5221F" w14:textId="5EEF5059" w:rsidR="007E06E7" w:rsidRDefault="007E06E7" w:rsidP="007E06E7">
      <w:r>
        <w:t xml:space="preserve">Incentives may also be provided to Youth participants. </w:t>
      </w:r>
      <w:r w:rsidR="00946E24">
        <w:t>In line</w:t>
      </w:r>
      <w:r>
        <w:t xml:space="preserve"> with federal regulations, incentive payments to youth participants are permitted for recognition and achievement directly tied to training activities and work experiences. The local program must have written policies and procedures in place governing the award of incentives outlined in writing before the commencement of the program that may provide incentive payments; align with the local program’s organizational policies.</w:t>
      </w:r>
      <w:r w:rsidR="00A72D6F">
        <w:t xml:space="preserve"> </w:t>
      </w:r>
      <w:r>
        <w:t>Incentive payments must not include entertainment, such as movie, sporting events, tickets, or gift cards to movie theaters or other venues whose sole purpose is entertainment.</w:t>
      </w:r>
    </w:p>
    <w:p w14:paraId="75E95E6C" w14:textId="77777777" w:rsidR="007E06E7" w:rsidRDefault="007E06E7" w:rsidP="007E06E7">
      <w:r>
        <w:t>Incentive payment must be connected to recognition of achievement of milestones in the program tied to work experience, education, or training. Incentives provided for achievement could include the acquisition of a credential or other successful outcome.</w:t>
      </w:r>
    </w:p>
    <w:p w14:paraId="2BCC6E51" w14:textId="216FBD54" w:rsidR="007E06E7" w:rsidRDefault="00981335" w:rsidP="007E06E7">
      <w:r>
        <w:t>Copies of stipend and incentive policies must be sent to the grant coordinator.</w:t>
      </w:r>
      <w:r w:rsidR="00AA3ED4">
        <w:t xml:space="preserve"> </w:t>
      </w:r>
      <w:r w:rsidR="007E06E7">
        <w:t xml:space="preserve">Incentive policies must </w:t>
      </w:r>
      <w:r w:rsidR="00946E24">
        <w:t>include</w:t>
      </w:r>
      <w:r w:rsidR="007E06E7">
        <w:t xml:space="preserve"> type of achievement, paper documentation of achievement, and amount payable. For example:</w:t>
      </w:r>
    </w:p>
    <w:tbl>
      <w:tblPr>
        <w:tblStyle w:val="TableGrid"/>
        <w:tblW w:w="0" w:type="auto"/>
        <w:jc w:val="center"/>
        <w:tblLook w:val="04A0" w:firstRow="1" w:lastRow="0" w:firstColumn="1" w:lastColumn="0" w:noHBand="0" w:noVBand="1"/>
      </w:tblPr>
      <w:tblGrid>
        <w:gridCol w:w="3116"/>
        <w:gridCol w:w="3117"/>
        <w:gridCol w:w="3117"/>
      </w:tblGrid>
      <w:tr w:rsidR="00946E24" w14:paraId="6DB0C18C" w14:textId="77777777" w:rsidTr="00981335">
        <w:trPr>
          <w:tblHeader/>
          <w:jc w:val="center"/>
        </w:trPr>
        <w:tc>
          <w:tcPr>
            <w:tcW w:w="3116" w:type="dxa"/>
            <w:shd w:val="clear" w:color="auto" w:fill="D0CECE" w:themeFill="background2" w:themeFillShade="E6"/>
          </w:tcPr>
          <w:p w14:paraId="6DCE3F58" w14:textId="77777777" w:rsidR="00946E24" w:rsidRDefault="00946E24" w:rsidP="008A0D4E">
            <w:r>
              <w:t xml:space="preserve">Type of Achievement </w:t>
            </w:r>
          </w:p>
        </w:tc>
        <w:tc>
          <w:tcPr>
            <w:tcW w:w="3117" w:type="dxa"/>
            <w:shd w:val="clear" w:color="auto" w:fill="D0CECE" w:themeFill="background2" w:themeFillShade="E6"/>
          </w:tcPr>
          <w:p w14:paraId="1C60FC78" w14:textId="77777777" w:rsidR="00946E24" w:rsidRDefault="00946E24" w:rsidP="008A0D4E">
            <w:r>
              <w:t xml:space="preserve">Paper Documentation </w:t>
            </w:r>
          </w:p>
        </w:tc>
        <w:tc>
          <w:tcPr>
            <w:tcW w:w="3117" w:type="dxa"/>
            <w:shd w:val="clear" w:color="auto" w:fill="D0CECE" w:themeFill="background2" w:themeFillShade="E6"/>
          </w:tcPr>
          <w:p w14:paraId="4FC257D7" w14:textId="77777777" w:rsidR="00946E24" w:rsidRDefault="00946E24" w:rsidP="008A0D4E">
            <w:r>
              <w:t xml:space="preserve">Amount Payable </w:t>
            </w:r>
          </w:p>
        </w:tc>
      </w:tr>
      <w:tr w:rsidR="00946E24" w14:paraId="1774A2A3" w14:textId="77777777" w:rsidTr="00981335">
        <w:trPr>
          <w:jc w:val="center"/>
        </w:trPr>
        <w:tc>
          <w:tcPr>
            <w:tcW w:w="3116" w:type="dxa"/>
          </w:tcPr>
          <w:p w14:paraId="30FE0E06" w14:textId="77777777" w:rsidR="00946E24" w:rsidRDefault="00946E24" w:rsidP="008A0D4E">
            <w:r>
              <w:t xml:space="preserve">Completion of GED test (incentive can be offered for </w:t>
            </w:r>
            <w:r>
              <w:rPr>
                <w:b/>
                <w:bCs/>
              </w:rPr>
              <w:t xml:space="preserve">each </w:t>
            </w:r>
            <w:r>
              <w:t xml:space="preserve">test completed) </w:t>
            </w:r>
          </w:p>
        </w:tc>
        <w:tc>
          <w:tcPr>
            <w:tcW w:w="3117" w:type="dxa"/>
          </w:tcPr>
          <w:p w14:paraId="1D6CC0E4" w14:textId="77777777" w:rsidR="00946E24" w:rsidRDefault="00946E24" w:rsidP="008A0D4E">
            <w:r>
              <w:t xml:space="preserve">Copy of official document showing passed test </w:t>
            </w:r>
          </w:p>
        </w:tc>
        <w:tc>
          <w:tcPr>
            <w:tcW w:w="3117" w:type="dxa"/>
          </w:tcPr>
          <w:p w14:paraId="7030B3F5" w14:textId="77777777" w:rsidR="00946E24" w:rsidRDefault="00946E24" w:rsidP="008A0D4E">
            <w:r>
              <w:t xml:space="preserve">The successful completion of each test = $20. </w:t>
            </w:r>
          </w:p>
        </w:tc>
      </w:tr>
    </w:tbl>
    <w:p w14:paraId="345E3B3C" w14:textId="77777777" w:rsidR="00981335" w:rsidRDefault="00981335" w:rsidP="00946E24"/>
    <w:p w14:paraId="5102BDB2" w14:textId="3303D063" w:rsidR="00946E24" w:rsidRDefault="00946E24" w:rsidP="00946E24">
      <w:pPr>
        <w:rPr>
          <w:rStyle w:val="Hyperlink"/>
        </w:rPr>
      </w:pPr>
      <w:r>
        <w:t xml:space="preserve">Example stipend and incentive policies can be found here: </w:t>
      </w:r>
      <w:hyperlink r:id="rId12" w:history="1">
        <w:r w:rsidRPr="00287FB9">
          <w:rPr>
            <w:rStyle w:val="Hyperlink"/>
          </w:rPr>
          <w:t>https://mn.gov/deed/programs-services/office-youth-development/resources/</w:t>
        </w:r>
      </w:hyperlink>
    </w:p>
    <w:p w14:paraId="62DA8049" w14:textId="77777777" w:rsidR="00981335" w:rsidRDefault="00981335" w:rsidP="00946E24"/>
    <w:p w14:paraId="71342456" w14:textId="7E66AA29" w:rsidR="00946E24" w:rsidRDefault="00946E24" w:rsidP="00946E24">
      <w:pPr>
        <w:pStyle w:val="Heading2"/>
      </w:pPr>
      <w:bookmarkStart w:id="9" w:name="_Toc161152942"/>
      <w:r>
        <w:t>Section 5: Reporting</w:t>
      </w:r>
      <w:bookmarkEnd w:id="9"/>
    </w:p>
    <w:p w14:paraId="27E86A9F" w14:textId="6F5625F3" w:rsidR="00407C71" w:rsidRPr="00703D17" w:rsidRDefault="00407C71" w:rsidP="00407C71">
      <w:pPr>
        <w:autoSpaceDE w:val="0"/>
        <w:autoSpaceDN w:val="0"/>
        <w:adjustRightInd w:val="0"/>
        <w:spacing w:after="0"/>
        <w:rPr>
          <w:rFonts w:ascii="Calibri" w:hAnsi="Calibri" w:cs="Arial"/>
        </w:rPr>
      </w:pPr>
      <w:r w:rsidRPr="00703D17">
        <w:rPr>
          <w:rFonts w:ascii="Calibri" w:hAnsi="Calibri" w:cs="Arial"/>
        </w:rPr>
        <w:t>Accountability and reporting information will be used to monitor grantee service delivery, confirm grant reimbursement requests, and measure performance. Grantees are required to:</w:t>
      </w:r>
    </w:p>
    <w:p w14:paraId="1A4F2EB4" w14:textId="295F5990" w:rsidR="00407C71" w:rsidRPr="00703D17" w:rsidRDefault="00407C71" w:rsidP="00407C71">
      <w:pPr>
        <w:pStyle w:val="ListParagraph"/>
        <w:numPr>
          <w:ilvl w:val="0"/>
          <w:numId w:val="46"/>
        </w:numPr>
        <w:autoSpaceDE w:val="0"/>
        <w:autoSpaceDN w:val="0"/>
        <w:adjustRightInd w:val="0"/>
        <w:spacing w:after="0" w:line="240" w:lineRule="auto"/>
      </w:pPr>
      <w:r w:rsidRPr="00703D17">
        <w:t>Submit quarterly narrative and data reports – due 30 business days after each quarter end.</w:t>
      </w:r>
      <w:r w:rsidR="00703D17" w:rsidRPr="00703D17">
        <w:t xml:space="preserve"> See Youth Support Services</w:t>
      </w:r>
      <w:r w:rsidR="00703D17">
        <w:t xml:space="preserve"> Quarterly </w:t>
      </w:r>
      <w:r w:rsidR="00703D17" w:rsidRPr="00703D17">
        <w:t>report templat</w:t>
      </w:r>
      <w:r w:rsidR="00703D17">
        <w:t>e</w:t>
      </w:r>
      <w:r w:rsidR="00703D17" w:rsidRPr="00703D17">
        <w:t xml:space="preserve">: </w:t>
      </w:r>
      <w:hyperlink r:id="rId13" w:history="1">
        <w:r w:rsidR="00703D17" w:rsidRPr="00703D17">
          <w:rPr>
            <w:rStyle w:val="Hyperlink"/>
          </w:rPr>
          <w:t>https://mn.gov/deed/assets/youth-support-services-quarterly-template_tcm1045-408554.docx</w:t>
        </w:r>
      </w:hyperlink>
      <w:r w:rsidR="00703D17" w:rsidRPr="00703D17">
        <w:t xml:space="preserve"> </w:t>
      </w:r>
    </w:p>
    <w:p w14:paraId="4EBEA819" w14:textId="68FDF0A0" w:rsidR="00407C71" w:rsidRPr="007F045B" w:rsidRDefault="00407C71" w:rsidP="00407C71">
      <w:pPr>
        <w:pStyle w:val="ListParagraph"/>
        <w:numPr>
          <w:ilvl w:val="0"/>
          <w:numId w:val="46"/>
        </w:numPr>
        <w:autoSpaceDE w:val="0"/>
        <w:autoSpaceDN w:val="0"/>
        <w:adjustRightInd w:val="0"/>
        <w:spacing w:after="0" w:line="240" w:lineRule="auto"/>
      </w:pPr>
      <w:r>
        <w:t>E</w:t>
      </w:r>
      <w:r w:rsidRPr="007F045B">
        <w:t>n</w:t>
      </w:r>
      <w:r>
        <w:t>ter</w:t>
      </w:r>
      <w:r w:rsidRPr="007F045B">
        <w:t xml:space="preserve"> </w:t>
      </w:r>
      <w:r>
        <w:t xml:space="preserve">participant data </w:t>
      </w:r>
      <w:r w:rsidRPr="007F045B">
        <w:t>int</w:t>
      </w:r>
      <w:r>
        <w:t>o</w:t>
      </w:r>
      <w:r w:rsidRPr="007F045B">
        <w:t xml:space="preserve"> DEED’s internet-based, online case management system WorkforceOne</w:t>
      </w:r>
      <w:r>
        <w:t xml:space="preserve"> (WF1)</w:t>
      </w:r>
    </w:p>
    <w:p w14:paraId="061CC1E4" w14:textId="77777777" w:rsidR="00407C71" w:rsidRDefault="00407C71" w:rsidP="00407C71">
      <w:pPr>
        <w:spacing w:after="120" w:line="240" w:lineRule="auto"/>
      </w:pPr>
    </w:p>
    <w:p w14:paraId="57E84E9D" w14:textId="45740F20" w:rsidR="00407C71" w:rsidRDefault="00407C71" w:rsidP="00407C71">
      <w:pPr>
        <w:pStyle w:val="Heading3"/>
      </w:pPr>
      <w:bookmarkStart w:id="10" w:name="_Toc161152943"/>
      <w:r>
        <w:t>Workforce One:</w:t>
      </w:r>
      <w:bookmarkEnd w:id="10"/>
    </w:p>
    <w:p w14:paraId="1A8C8FE8" w14:textId="1907F8AF" w:rsidR="00703D17" w:rsidRDefault="001D56F7" w:rsidP="001D56F7">
      <w:pPr>
        <w:autoSpaceDE w:val="0"/>
        <w:autoSpaceDN w:val="0"/>
        <w:adjustRightInd w:val="0"/>
      </w:pPr>
      <w:r>
        <w:t>Grantees are</w:t>
      </w:r>
      <w:r w:rsidRPr="00C44141">
        <w:t xml:space="preserve"> expected to enter</w:t>
      </w:r>
      <w:r>
        <w:t xml:space="preserve"> </w:t>
      </w:r>
      <w:r w:rsidR="00407C71">
        <w:t xml:space="preserve">case managed </w:t>
      </w:r>
      <w:r>
        <w:t>Youth Support Services</w:t>
      </w:r>
      <w:r w:rsidRPr="00C44141">
        <w:t xml:space="preserve"> </w:t>
      </w:r>
      <w:r w:rsidR="00407C71">
        <w:t xml:space="preserve">program </w:t>
      </w:r>
      <w:r w:rsidRPr="00C44141">
        <w:t>participant information</w:t>
      </w:r>
      <w:r>
        <w:t xml:space="preserve"> into </w:t>
      </w:r>
      <w:r w:rsidR="00407C71">
        <w:t xml:space="preserve">the State of Minnesota’s case management system, </w:t>
      </w:r>
      <w:r>
        <w:t>Work</w:t>
      </w:r>
      <w:r w:rsidR="00407C71">
        <w:t>f</w:t>
      </w:r>
      <w:r>
        <w:t>orce One (WF1)</w:t>
      </w:r>
      <w:r w:rsidR="00407C71">
        <w:t>. Programs should enter participant information</w:t>
      </w:r>
      <w:r w:rsidR="00407C71" w:rsidRPr="00C44141">
        <w:t xml:space="preserve"> at </w:t>
      </w:r>
      <w:r w:rsidR="00407C71" w:rsidRPr="00C44141">
        <w:lastRenderedPageBreak/>
        <w:t>enrollment, establish and track participant activities,</w:t>
      </w:r>
      <w:r w:rsidR="00407C71">
        <w:t xml:space="preserve"> regularly</w:t>
      </w:r>
      <w:r w:rsidR="00407C71" w:rsidRPr="00C44141">
        <w:t xml:space="preserve"> document case notes as necessary</w:t>
      </w:r>
      <w:r w:rsidR="00407C71">
        <w:t>,</w:t>
      </w:r>
      <w:r w:rsidR="00407C71" w:rsidRPr="00C44141">
        <w:t xml:space="preserve"> and exit participants in a timely manner. T</w:t>
      </w:r>
      <w:r w:rsidRPr="00C44141">
        <w:t xml:space="preserve">he </w:t>
      </w:r>
      <w:r w:rsidR="00703D17">
        <w:t>data</w:t>
      </w:r>
      <w:r w:rsidRPr="00C44141">
        <w:t xml:space="preserve"> </w:t>
      </w:r>
      <w:r w:rsidR="00FA2CE5">
        <w:t xml:space="preserve">that needs to be entered in and then </w:t>
      </w:r>
      <w:r w:rsidR="00407C71">
        <w:t xml:space="preserve">reported </w:t>
      </w:r>
      <w:r w:rsidR="00FA2CE5">
        <w:t>from</w:t>
      </w:r>
      <w:r w:rsidR="00407C71">
        <w:t xml:space="preserve"> WF1 is summarized in</w:t>
      </w:r>
      <w:r w:rsidR="00703D17">
        <w:t xml:space="preserve"> the </w:t>
      </w:r>
      <w:r w:rsidR="00703D17" w:rsidRPr="00703D17">
        <w:t>Youth Support Services</w:t>
      </w:r>
      <w:r w:rsidR="00703D17">
        <w:t xml:space="preserve"> Quarterly Data R</w:t>
      </w:r>
      <w:r w:rsidR="00703D17" w:rsidRPr="00703D17">
        <w:t>eport</w:t>
      </w:r>
      <w:r w:rsidR="00AA3ED4">
        <w:t xml:space="preserve"> template. Data must be entered according to the Data Summary Definitions, listed in the Quarterly </w:t>
      </w:r>
      <w:r w:rsidR="004B784A">
        <w:t>Data R</w:t>
      </w:r>
      <w:r w:rsidR="00AA3ED4">
        <w:t>eport template</w:t>
      </w:r>
      <w:r w:rsidR="00703D17" w:rsidRPr="00703D17">
        <w:t xml:space="preserve">: </w:t>
      </w:r>
      <w:hyperlink r:id="rId14" w:history="1">
        <w:r w:rsidR="00703D17" w:rsidRPr="00703D17">
          <w:rPr>
            <w:rStyle w:val="Hyperlink"/>
          </w:rPr>
          <w:t>https://mn.gov/deed/assets/youth-support-services-quarterly-template_tcm1045-408554.docx</w:t>
        </w:r>
      </w:hyperlink>
      <w:r w:rsidR="00AA3ED4">
        <w:t xml:space="preserve">. </w:t>
      </w:r>
    </w:p>
    <w:p w14:paraId="0E1CA37A" w14:textId="506A56B0" w:rsidR="00FA2CE5" w:rsidRDefault="001D56F7" w:rsidP="001D56F7">
      <w:pPr>
        <w:autoSpaceDE w:val="0"/>
        <w:autoSpaceDN w:val="0"/>
        <w:adjustRightInd w:val="0"/>
      </w:pPr>
      <w:r w:rsidRPr="00C44141">
        <w:t xml:space="preserve">DEED understands that not all organizations collect information on each of the characteristics listed in the data summary. However, it is in the best interest of </w:t>
      </w:r>
      <w:r w:rsidR="00FA2CE5">
        <w:t xml:space="preserve">the program </w:t>
      </w:r>
      <w:r w:rsidRPr="00C44141">
        <w:t xml:space="preserve">to </w:t>
      </w:r>
      <w:r w:rsidR="00FA2CE5">
        <w:t>have the</w:t>
      </w:r>
      <w:r w:rsidRPr="00C44141">
        <w:t xml:space="preserve"> information</w:t>
      </w:r>
      <w:r w:rsidR="00FA2CE5">
        <w:t xml:space="preserve"> collected,</w:t>
      </w:r>
      <w:r w:rsidRPr="00C44141">
        <w:t xml:space="preserve"> in order to better address barriers that youth </w:t>
      </w:r>
      <w:r>
        <w:t>participants</w:t>
      </w:r>
      <w:r w:rsidRPr="00C44141">
        <w:t xml:space="preserve"> may be facing</w:t>
      </w:r>
      <w:r w:rsidR="00FA2CE5">
        <w:t xml:space="preserve"> and for the program to report more completely the participants served</w:t>
      </w:r>
      <w:r w:rsidRPr="00C44141">
        <w:t xml:space="preserve">. </w:t>
      </w:r>
    </w:p>
    <w:p w14:paraId="4DD80D68" w14:textId="47371E99" w:rsidR="00FA2CE5" w:rsidRPr="00FA2CE5" w:rsidRDefault="00FA2CE5" w:rsidP="001D56F7">
      <w:pPr>
        <w:autoSpaceDE w:val="0"/>
        <w:autoSpaceDN w:val="0"/>
        <w:adjustRightInd w:val="0"/>
      </w:pPr>
      <w:r>
        <w:t>Programs</w:t>
      </w:r>
      <w:r w:rsidR="001D56F7" w:rsidRPr="00C44141">
        <w:t xml:space="preserve"> that only provide services in a group setting (classroom presentations, job fairs, etc.) may not be required to use the WorkforceOne case management system. </w:t>
      </w:r>
      <w:r>
        <w:t>Contact the grant coordinator about receiving an exemption from this requirement.</w:t>
      </w:r>
    </w:p>
    <w:p w14:paraId="28276851" w14:textId="77777777" w:rsidR="00FA2CE5" w:rsidRDefault="00FA2CE5" w:rsidP="00FA2CE5">
      <w:r>
        <w:t xml:space="preserve">Training is provided to organization at no-cost. Training is provided by DEED’s Workforce One team. Information about Employment and Training Programs (ETP) Workforce One training sessions can be found here: </w:t>
      </w:r>
      <w:hyperlink r:id="rId15" w:history="1">
        <w:r w:rsidRPr="00287FB9">
          <w:rPr>
            <w:rStyle w:val="Hyperlink"/>
          </w:rPr>
          <w:t>https://www.mnworkforceone.com/ManagePrograms/SessionSearch.aspx</w:t>
        </w:r>
      </w:hyperlink>
      <w:r>
        <w:t>.</w:t>
      </w:r>
    </w:p>
    <w:p w14:paraId="52B1630D" w14:textId="77777777" w:rsidR="00101F59" w:rsidRDefault="00101F59" w:rsidP="00FA2CE5"/>
    <w:p w14:paraId="64616360" w14:textId="23C60C9A" w:rsidR="00101F59" w:rsidRDefault="00101F59" w:rsidP="00101F59">
      <w:pPr>
        <w:pStyle w:val="Heading2"/>
      </w:pPr>
      <w:bookmarkStart w:id="11" w:name="_Toc161152944"/>
      <w:r>
        <w:t xml:space="preserve">Section 6: </w:t>
      </w:r>
      <w:r w:rsidR="00E513EE" w:rsidRPr="00E513EE">
        <w:t>Reimbursement</w:t>
      </w:r>
      <w:bookmarkEnd w:id="11"/>
    </w:p>
    <w:p w14:paraId="089FFC96" w14:textId="2AC3009C" w:rsidR="00E513EE" w:rsidRDefault="00E513EE" w:rsidP="00E513EE">
      <w:pPr>
        <w:spacing w:after="200" w:line="276" w:lineRule="auto"/>
      </w:pPr>
      <w:r>
        <w:t>Grantees must submit m</w:t>
      </w:r>
      <w:r w:rsidR="00101F59" w:rsidRPr="00101F59">
        <w:t xml:space="preserve">onthly Reimbursement Payment Request Forms (RPRs) or Financial Status Reports (FSRs) to a grant administrator within DEED. </w:t>
      </w:r>
      <w:r>
        <w:t xml:space="preserve">These RPR </w:t>
      </w:r>
      <w:r w:rsidR="00101F59" w:rsidRPr="00101F59">
        <w:t>or FSRs must accurately reflect expenditures and obligations</w:t>
      </w:r>
      <w:r>
        <w:t>, per cost category,</w:t>
      </w:r>
      <w:r w:rsidR="00101F59" w:rsidRPr="00101F59">
        <w:t xml:space="preserve"> consistent with</w:t>
      </w:r>
      <w:r>
        <w:t xml:space="preserve"> programing and </w:t>
      </w:r>
      <w:r w:rsidR="00101F59" w:rsidRPr="00101F59">
        <w:t>participation</w:t>
      </w:r>
      <w:r>
        <w:t>,</w:t>
      </w:r>
      <w:r w:rsidR="00101F59" w:rsidRPr="00101F59">
        <w:t xml:space="preserve"> which grant administrators </w:t>
      </w:r>
      <w:r>
        <w:t>must</w:t>
      </w:r>
      <w:r w:rsidR="00101F59" w:rsidRPr="00101F59">
        <w:t xml:space="preserve"> be able to track. </w:t>
      </w:r>
      <w:r w:rsidR="002B7ADA">
        <w:t>Fo</w:t>
      </w:r>
      <w:r w:rsidRPr="00E513EE">
        <w:t xml:space="preserve">r more information on each </w:t>
      </w:r>
      <w:r w:rsidR="002B7ADA">
        <w:t xml:space="preserve">cost </w:t>
      </w:r>
      <w:r w:rsidRPr="00E513EE">
        <w:t>category</w:t>
      </w:r>
      <w:r w:rsidR="002B7ADA">
        <w:t xml:space="preserve">, refer to the Youth Support Services Budget Category Definitions: </w:t>
      </w:r>
      <w:hyperlink r:id="rId16" w:history="1">
        <w:r w:rsidR="002B7ADA" w:rsidRPr="009D06DB">
          <w:rPr>
            <w:rStyle w:val="Hyperlink"/>
          </w:rPr>
          <w:t>https://mn.gov/deed/assets/budget-category-definitions_tcm1045-408555.docx</w:t>
        </w:r>
      </w:hyperlink>
      <w:r w:rsidR="002B7ADA">
        <w:t xml:space="preserve"> </w:t>
      </w:r>
    </w:p>
    <w:p w14:paraId="5F5FE386" w14:textId="77777777" w:rsidR="002B7ADA" w:rsidRDefault="002B7ADA" w:rsidP="00E513EE">
      <w:pPr>
        <w:spacing w:after="200" w:line="276" w:lineRule="auto"/>
      </w:pPr>
    </w:p>
    <w:p w14:paraId="7BA0C69C" w14:textId="77777777" w:rsidR="00946E24" w:rsidRDefault="00946E24" w:rsidP="00EC60A7">
      <w:pPr>
        <w:pStyle w:val="Heading2"/>
      </w:pPr>
      <w:bookmarkStart w:id="12" w:name="_Toc161152945"/>
      <w:r>
        <w:t>Section 7: Grant Modifications and Extensions</w:t>
      </w:r>
      <w:bookmarkEnd w:id="12"/>
    </w:p>
    <w:p w14:paraId="61F0389E" w14:textId="02054F17" w:rsidR="00946E24" w:rsidRDefault="00946E24" w:rsidP="00946E24">
      <w:r>
        <w:t xml:space="preserve">Youth </w:t>
      </w:r>
      <w:r w:rsidR="009D613E">
        <w:t>Support Services</w:t>
      </w:r>
      <w:r>
        <w:t xml:space="preserve"> grantees may request a grant modification if there is a need to change the program model or other programmatic changes. These requests will be handled on an individual basis. Contact the grant coordinator if a grant modification is needed.</w:t>
      </w:r>
    </w:p>
    <w:p w14:paraId="3817D0A3" w14:textId="77777777" w:rsidR="009D613E" w:rsidRDefault="00946E24">
      <w:r>
        <w:t>Grant extensions are also possible. DEED expects grantees to fully expend grant funds</w:t>
      </w:r>
      <w:r w:rsidR="009D613E">
        <w:t xml:space="preserve"> by the end of the grant contract. </w:t>
      </w:r>
      <w:r>
        <w:t xml:space="preserve">However, unexpected program disruptions </w:t>
      </w:r>
      <w:r w:rsidR="00EC60A7">
        <w:t>occur,</w:t>
      </w:r>
      <w:r>
        <w:t xml:space="preserve"> and extensions will be taken into consideration. Contact the grant coordinator if a grant extension is needed.</w:t>
      </w:r>
    </w:p>
    <w:p w14:paraId="64018343" w14:textId="41D912A5" w:rsidR="00946E24" w:rsidRDefault="00946E24" w:rsidP="002B7ADA"/>
    <w:sectPr w:rsidR="00946E24" w:rsidSect="001C05F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80CB6" w14:textId="77777777" w:rsidR="00965B0A" w:rsidRDefault="00965B0A" w:rsidP="007E06E7">
      <w:pPr>
        <w:spacing w:after="0" w:line="240" w:lineRule="auto"/>
      </w:pPr>
      <w:r>
        <w:separator/>
      </w:r>
    </w:p>
  </w:endnote>
  <w:endnote w:type="continuationSeparator" w:id="0">
    <w:p w14:paraId="56F4CCE2" w14:textId="77777777" w:rsidR="00965B0A" w:rsidRDefault="00965B0A" w:rsidP="007E0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F467" w14:textId="77777777" w:rsidR="00965B0A" w:rsidRDefault="00965B0A" w:rsidP="007E06E7">
      <w:pPr>
        <w:spacing w:after="0" w:line="240" w:lineRule="auto"/>
      </w:pPr>
      <w:r>
        <w:separator/>
      </w:r>
    </w:p>
  </w:footnote>
  <w:footnote w:type="continuationSeparator" w:id="0">
    <w:p w14:paraId="32ACBAFE" w14:textId="77777777" w:rsidR="00965B0A" w:rsidRDefault="00965B0A" w:rsidP="007E0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7A4"/>
    <w:multiLevelType w:val="hybridMultilevel"/>
    <w:tmpl w:val="49AA67DE"/>
    <w:lvl w:ilvl="0" w:tplc="5298FD1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C660F"/>
    <w:multiLevelType w:val="hybridMultilevel"/>
    <w:tmpl w:val="74F8C332"/>
    <w:lvl w:ilvl="0" w:tplc="04090015">
      <w:start w:val="1"/>
      <w:numFmt w:val="upperLetter"/>
      <w:lvlText w:val="%1."/>
      <w:lvlJc w:val="left"/>
      <w:pPr>
        <w:ind w:left="1800" w:hanging="360"/>
      </w:pPr>
    </w:lvl>
    <w:lvl w:ilvl="1" w:tplc="08B2DBDE">
      <w:start w:val="1"/>
      <w:numFmt w:val="decimal"/>
      <w:lvlText w:val="%2."/>
      <w:lvlJc w:val="left"/>
      <w:pPr>
        <w:ind w:left="7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E609D0"/>
    <w:multiLevelType w:val="hybridMultilevel"/>
    <w:tmpl w:val="2564D0D0"/>
    <w:lvl w:ilvl="0" w:tplc="08B2DB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372B7"/>
    <w:multiLevelType w:val="hybridMultilevel"/>
    <w:tmpl w:val="E1A4D3C2"/>
    <w:lvl w:ilvl="0" w:tplc="04090015">
      <w:start w:val="1"/>
      <w:numFmt w:val="upperLetter"/>
      <w:lvlText w:val="%1."/>
      <w:lvlJc w:val="left"/>
      <w:pPr>
        <w:ind w:left="720" w:hanging="360"/>
      </w:pPr>
    </w:lvl>
    <w:lvl w:ilvl="1" w:tplc="E0F6C8A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13FE5"/>
    <w:multiLevelType w:val="hybridMultilevel"/>
    <w:tmpl w:val="75548260"/>
    <w:lvl w:ilvl="0" w:tplc="0F2C6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C1D1F"/>
    <w:multiLevelType w:val="hybridMultilevel"/>
    <w:tmpl w:val="A796D308"/>
    <w:lvl w:ilvl="0" w:tplc="08B2D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40595"/>
    <w:multiLevelType w:val="hybridMultilevel"/>
    <w:tmpl w:val="CCCE8EAC"/>
    <w:lvl w:ilvl="0" w:tplc="CE4231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6472D"/>
    <w:multiLevelType w:val="hybridMultilevel"/>
    <w:tmpl w:val="301E5C38"/>
    <w:lvl w:ilvl="0" w:tplc="08B2DB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91F2C"/>
    <w:multiLevelType w:val="hybridMultilevel"/>
    <w:tmpl w:val="812C0D6A"/>
    <w:lvl w:ilvl="0" w:tplc="0A2EDB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715A0"/>
    <w:multiLevelType w:val="hybridMultilevel"/>
    <w:tmpl w:val="AA109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F30BF"/>
    <w:multiLevelType w:val="hybridMultilevel"/>
    <w:tmpl w:val="2E06FD2C"/>
    <w:lvl w:ilvl="0" w:tplc="9760BD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A4456"/>
    <w:multiLevelType w:val="hybridMultilevel"/>
    <w:tmpl w:val="6968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C6AE5"/>
    <w:multiLevelType w:val="hybridMultilevel"/>
    <w:tmpl w:val="AA9837CC"/>
    <w:lvl w:ilvl="0" w:tplc="08B2DB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511AF"/>
    <w:multiLevelType w:val="hybridMultilevel"/>
    <w:tmpl w:val="BADC2262"/>
    <w:lvl w:ilvl="0" w:tplc="99FA94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310ED"/>
    <w:multiLevelType w:val="hybridMultilevel"/>
    <w:tmpl w:val="CA5E0EDC"/>
    <w:lvl w:ilvl="0" w:tplc="CD9ED47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B0AA4"/>
    <w:multiLevelType w:val="hybridMultilevel"/>
    <w:tmpl w:val="B91C0F2A"/>
    <w:lvl w:ilvl="0" w:tplc="08B2DB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21875"/>
    <w:multiLevelType w:val="hybridMultilevel"/>
    <w:tmpl w:val="F88EE352"/>
    <w:lvl w:ilvl="0" w:tplc="5298FD1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4016D"/>
    <w:multiLevelType w:val="hybridMultilevel"/>
    <w:tmpl w:val="78C8EF12"/>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997523"/>
    <w:multiLevelType w:val="hybridMultilevel"/>
    <w:tmpl w:val="466AC600"/>
    <w:lvl w:ilvl="0" w:tplc="5298FD1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1582D"/>
    <w:multiLevelType w:val="hybridMultilevel"/>
    <w:tmpl w:val="816EBC76"/>
    <w:lvl w:ilvl="0" w:tplc="08B2DB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55640D"/>
    <w:multiLevelType w:val="hybridMultilevel"/>
    <w:tmpl w:val="425E7A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A4644E"/>
    <w:multiLevelType w:val="hybridMultilevel"/>
    <w:tmpl w:val="A7A4E1B4"/>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24408"/>
    <w:multiLevelType w:val="hybridMultilevel"/>
    <w:tmpl w:val="842AAAEE"/>
    <w:lvl w:ilvl="0" w:tplc="84CC0EF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F9233C"/>
    <w:multiLevelType w:val="hybridMultilevel"/>
    <w:tmpl w:val="DFBE04AE"/>
    <w:lvl w:ilvl="0" w:tplc="81F87AF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6833A9"/>
    <w:multiLevelType w:val="hybridMultilevel"/>
    <w:tmpl w:val="B470BBEC"/>
    <w:lvl w:ilvl="0" w:tplc="BBB803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5C2B70"/>
    <w:multiLevelType w:val="hybridMultilevel"/>
    <w:tmpl w:val="38A69B64"/>
    <w:lvl w:ilvl="0" w:tplc="51AE05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D50ED"/>
    <w:multiLevelType w:val="hybridMultilevel"/>
    <w:tmpl w:val="BD3C49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CD342A"/>
    <w:multiLevelType w:val="hybridMultilevel"/>
    <w:tmpl w:val="61F66EC2"/>
    <w:lvl w:ilvl="0" w:tplc="A7281F4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1F57B2"/>
    <w:multiLevelType w:val="hybridMultilevel"/>
    <w:tmpl w:val="2048AAC4"/>
    <w:lvl w:ilvl="0" w:tplc="1EB68E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64266B"/>
    <w:multiLevelType w:val="hybridMultilevel"/>
    <w:tmpl w:val="26D62B86"/>
    <w:lvl w:ilvl="0" w:tplc="5298FD1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796E25"/>
    <w:multiLevelType w:val="hybridMultilevel"/>
    <w:tmpl w:val="CC626F7E"/>
    <w:lvl w:ilvl="0" w:tplc="08B2DBD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5E16AE8"/>
    <w:multiLevelType w:val="hybridMultilevel"/>
    <w:tmpl w:val="CA14E3F2"/>
    <w:lvl w:ilvl="0" w:tplc="962C79DE">
      <w:start w:val="1"/>
      <w:numFmt w:val="decimal"/>
      <w:lvlText w:val="%1."/>
      <w:lvlJc w:val="left"/>
      <w:pPr>
        <w:ind w:left="720" w:hanging="360"/>
      </w:pPr>
      <w:rPr>
        <w:rFonts w:ascii="Calibri" w:hAnsi="Calibri"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18449A"/>
    <w:multiLevelType w:val="hybridMultilevel"/>
    <w:tmpl w:val="46381E02"/>
    <w:lvl w:ilvl="0" w:tplc="08B2D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AD06DE"/>
    <w:multiLevelType w:val="hybridMultilevel"/>
    <w:tmpl w:val="58D8E3C8"/>
    <w:lvl w:ilvl="0" w:tplc="0A2EDB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1858E8"/>
    <w:multiLevelType w:val="hybridMultilevel"/>
    <w:tmpl w:val="F1A01256"/>
    <w:lvl w:ilvl="0" w:tplc="08B2DBDE">
      <w:start w:val="1"/>
      <w:numFmt w:val="decimal"/>
      <w:lvlText w:val="%1."/>
      <w:lvlJc w:val="left"/>
      <w:pPr>
        <w:ind w:left="1080" w:hanging="720"/>
      </w:pPr>
      <w:rPr>
        <w:rFonts w:hint="default"/>
      </w:rPr>
    </w:lvl>
    <w:lvl w:ilvl="1" w:tplc="4BB2529A">
      <w:start w:val="1"/>
      <w:numFmt w:val="upperRoman"/>
      <w:lvlText w:val="%2."/>
      <w:lvlJc w:val="left"/>
      <w:pPr>
        <w:ind w:left="1800" w:hanging="720"/>
      </w:pPr>
      <w:rPr>
        <w:rFonts w:hint="default"/>
      </w:rPr>
    </w:lvl>
    <w:lvl w:ilvl="2" w:tplc="C5C21B2A">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830BF7"/>
    <w:multiLevelType w:val="hybridMultilevel"/>
    <w:tmpl w:val="48066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2D4252"/>
    <w:multiLevelType w:val="hybridMultilevel"/>
    <w:tmpl w:val="ECC84690"/>
    <w:lvl w:ilvl="0" w:tplc="08B2D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F817F8"/>
    <w:multiLevelType w:val="hybridMultilevel"/>
    <w:tmpl w:val="EDCC5BFC"/>
    <w:lvl w:ilvl="0" w:tplc="8B6ADC7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B3763D"/>
    <w:multiLevelType w:val="hybridMultilevel"/>
    <w:tmpl w:val="BB22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270CD2"/>
    <w:multiLevelType w:val="hybridMultilevel"/>
    <w:tmpl w:val="F1D88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03537E"/>
    <w:multiLevelType w:val="hybridMultilevel"/>
    <w:tmpl w:val="57D4D980"/>
    <w:lvl w:ilvl="0" w:tplc="5F78D7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4940FB"/>
    <w:multiLevelType w:val="hybridMultilevel"/>
    <w:tmpl w:val="20302D58"/>
    <w:lvl w:ilvl="0" w:tplc="08B2D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8A1256"/>
    <w:multiLevelType w:val="hybridMultilevel"/>
    <w:tmpl w:val="0A78F776"/>
    <w:lvl w:ilvl="0" w:tplc="08B2DB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21684"/>
    <w:multiLevelType w:val="hybridMultilevel"/>
    <w:tmpl w:val="E208ED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03B15"/>
    <w:multiLevelType w:val="hybridMultilevel"/>
    <w:tmpl w:val="A23A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4D1D06"/>
    <w:multiLevelType w:val="hybridMultilevel"/>
    <w:tmpl w:val="416C1E14"/>
    <w:lvl w:ilvl="0" w:tplc="C5C21B2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EB954B9"/>
    <w:multiLevelType w:val="hybridMultilevel"/>
    <w:tmpl w:val="0FAEDE30"/>
    <w:lvl w:ilvl="0" w:tplc="08B2D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8643638">
    <w:abstractNumId w:val="44"/>
  </w:num>
  <w:num w:numId="2" w16cid:durableId="1968197784">
    <w:abstractNumId w:val="16"/>
  </w:num>
  <w:num w:numId="3" w16cid:durableId="298151738">
    <w:abstractNumId w:val="29"/>
  </w:num>
  <w:num w:numId="4" w16cid:durableId="702361448">
    <w:abstractNumId w:val="35"/>
  </w:num>
  <w:num w:numId="5" w16cid:durableId="134690358">
    <w:abstractNumId w:val="19"/>
  </w:num>
  <w:num w:numId="6" w16cid:durableId="1914462395">
    <w:abstractNumId w:val="15"/>
  </w:num>
  <w:num w:numId="7" w16cid:durableId="605844340">
    <w:abstractNumId w:val="42"/>
  </w:num>
  <w:num w:numId="8" w16cid:durableId="1702824646">
    <w:abstractNumId w:val="2"/>
  </w:num>
  <w:num w:numId="9" w16cid:durableId="794106778">
    <w:abstractNumId w:val="7"/>
  </w:num>
  <w:num w:numId="10" w16cid:durableId="580484151">
    <w:abstractNumId w:val="9"/>
  </w:num>
  <w:num w:numId="11" w16cid:durableId="1119451632">
    <w:abstractNumId w:val="12"/>
  </w:num>
  <w:num w:numId="12" w16cid:durableId="1801261540">
    <w:abstractNumId w:val="0"/>
  </w:num>
  <w:num w:numId="13" w16cid:durableId="818349693">
    <w:abstractNumId w:val="34"/>
  </w:num>
  <w:num w:numId="14" w16cid:durableId="1257136245">
    <w:abstractNumId w:val="18"/>
  </w:num>
  <w:num w:numId="15" w16cid:durableId="16928130">
    <w:abstractNumId w:val="21"/>
  </w:num>
  <w:num w:numId="16" w16cid:durableId="1597060094">
    <w:abstractNumId w:val="26"/>
  </w:num>
  <w:num w:numId="17" w16cid:durableId="1263610564">
    <w:abstractNumId w:val="39"/>
  </w:num>
  <w:num w:numId="18" w16cid:durableId="1410423275">
    <w:abstractNumId w:val="14"/>
  </w:num>
  <w:num w:numId="19" w16cid:durableId="657265868">
    <w:abstractNumId w:val="46"/>
  </w:num>
  <w:num w:numId="20" w16cid:durableId="785196640">
    <w:abstractNumId w:val="24"/>
  </w:num>
  <w:num w:numId="21" w16cid:durableId="1886721263">
    <w:abstractNumId w:val="37"/>
  </w:num>
  <w:num w:numId="22" w16cid:durableId="1164737042">
    <w:abstractNumId w:val="27"/>
  </w:num>
  <w:num w:numId="23" w16cid:durableId="1033648368">
    <w:abstractNumId w:val="4"/>
  </w:num>
  <w:num w:numId="24" w16cid:durableId="1292176460">
    <w:abstractNumId w:val="1"/>
  </w:num>
  <w:num w:numId="25" w16cid:durableId="128978627">
    <w:abstractNumId w:val="3"/>
  </w:num>
  <w:num w:numId="26" w16cid:durableId="1697803471">
    <w:abstractNumId w:val="5"/>
  </w:num>
  <w:num w:numId="27" w16cid:durableId="1420641019">
    <w:abstractNumId w:val="10"/>
  </w:num>
  <w:num w:numId="28" w16cid:durableId="1426538789">
    <w:abstractNumId w:val="43"/>
  </w:num>
  <w:num w:numId="29" w16cid:durableId="1922328388">
    <w:abstractNumId w:val="32"/>
  </w:num>
  <w:num w:numId="30" w16cid:durableId="1081173585">
    <w:abstractNumId w:val="28"/>
  </w:num>
  <w:num w:numId="31" w16cid:durableId="414128117">
    <w:abstractNumId w:val="25"/>
  </w:num>
  <w:num w:numId="32" w16cid:durableId="1355961661">
    <w:abstractNumId w:val="17"/>
  </w:num>
  <w:num w:numId="33" w16cid:durableId="944851013">
    <w:abstractNumId w:val="20"/>
  </w:num>
  <w:num w:numId="34" w16cid:durableId="1131945204">
    <w:abstractNumId w:val="30"/>
  </w:num>
  <w:num w:numId="35" w16cid:durableId="487988284">
    <w:abstractNumId w:val="41"/>
  </w:num>
  <w:num w:numId="36" w16cid:durableId="614289142">
    <w:abstractNumId w:val="36"/>
  </w:num>
  <w:num w:numId="37" w16cid:durableId="2130977103">
    <w:abstractNumId w:val="8"/>
  </w:num>
  <w:num w:numId="38" w16cid:durableId="1758362003">
    <w:abstractNumId w:val="33"/>
  </w:num>
  <w:num w:numId="39" w16cid:durableId="1743982568">
    <w:abstractNumId w:val="6"/>
  </w:num>
  <w:num w:numId="40" w16cid:durableId="634994096">
    <w:abstractNumId w:val="22"/>
  </w:num>
  <w:num w:numId="41" w16cid:durableId="312219907">
    <w:abstractNumId w:val="23"/>
  </w:num>
  <w:num w:numId="42" w16cid:durableId="332102058">
    <w:abstractNumId w:val="40"/>
  </w:num>
  <w:num w:numId="43" w16cid:durableId="1481269522">
    <w:abstractNumId w:val="13"/>
  </w:num>
  <w:num w:numId="44" w16cid:durableId="455756157">
    <w:abstractNumId w:val="45"/>
  </w:num>
  <w:num w:numId="45" w16cid:durableId="1046224377">
    <w:abstractNumId w:val="38"/>
  </w:num>
  <w:num w:numId="46" w16cid:durableId="2004896749">
    <w:abstractNumId w:val="31"/>
  </w:num>
  <w:num w:numId="47" w16cid:durableId="2102681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F1"/>
    <w:rsid w:val="000C09F3"/>
    <w:rsid w:val="00101F59"/>
    <w:rsid w:val="001A4A75"/>
    <w:rsid w:val="001A56AC"/>
    <w:rsid w:val="001C05F1"/>
    <w:rsid w:val="001D56F7"/>
    <w:rsid w:val="001E35F6"/>
    <w:rsid w:val="00281765"/>
    <w:rsid w:val="002A20B6"/>
    <w:rsid w:val="002B566D"/>
    <w:rsid w:val="002B7ADA"/>
    <w:rsid w:val="00313F7B"/>
    <w:rsid w:val="00336FDB"/>
    <w:rsid w:val="00380E73"/>
    <w:rsid w:val="003F16A7"/>
    <w:rsid w:val="00407C71"/>
    <w:rsid w:val="004127B9"/>
    <w:rsid w:val="004B784A"/>
    <w:rsid w:val="00563A07"/>
    <w:rsid w:val="00571F7B"/>
    <w:rsid w:val="005923AC"/>
    <w:rsid w:val="00635800"/>
    <w:rsid w:val="00644E53"/>
    <w:rsid w:val="00654C73"/>
    <w:rsid w:val="00703D17"/>
    <w:rsid w:val="00716A72"/>
    <w:rsid w:val="007902DC"/>
    <w:rsid w:val="007C0AD2"/>
    <w:rsid w:val="007C7AA4"/>
    <w:rsid w:val="007E06E7"/>
    <w:rsid w:val="00805EC5"/>
    <w:rsid w:val="00865539"/>
    <w:rsid w:val="008700D4"/>
    <w:rsid w:val="008A0D4E"/>
    <w:rsid w:val="00903D54"/>
    <w:rsid w:val="00946E24"/>
    <w:rsid w:val="00965B0A"/>
    <w:rsid w:val="00972B5F"/>
    <w:rsid w:val="00981335"/>
    <w:rsid w:val="009D613E"/>
    <w:rsid w:val="00A30699"/>
    <w:rsid w:val="00A4041A"/>
    <w:rsid w:val="00A72D6F"/>
    <w:rsid w:val="00AA3ED4"/>
    <w:rsid w:val="00B95343"/>
    <w:rsid w:val="00BF1FD2"/>
    <w:rsid w:val="00CB2CB2"/>
    <w:rsid w:val="00D01060"/>
    <w:rsid w:val="00D95514"/>
    <w:rsid w:val="00DB3665"/>
    <w:rsid w:val="00E513EE"/>
    <w:rsid w:val="00E564BE"/>
    <w:rsid w:val="00EC23B6"/>
    <w:rsid w:val="00EC60A7"/>
    <w:rsid w:val="00EE24AC"/>
    <w:rsid w:val="00F65778"/>
    <w:rsid w:val="00FA2CE5"/>
    <w:rsid w:val="00FC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B736"/>
  <w15:docId w15:val="{E2EA5734-09EA-4E12-839B-6511C2E6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27B9"/>
    <w:pPr>
      <w:keepNext/>
      <w:keepLines/>
      <w:spacing w:after="240" w:line="240" w:lineRule="auto"/>
      <w:jc w:val="center"/>
      <w:outlineLvl w:val="0"/>
    </w:pPr>
    <w:rPr>
      <w:rFonts w:eastAsiaTheme="majorEastAsia" w:cstheme="majorBidi"/>
      <w:b/>
      <w:color w:val="000000" w:themeColor="text1"/>
      <w:sz w:val="48"/>
      <w:szCs w:val="32"/>
    </w:rPr>
  </w:style>
  <w:style w:type="paragraph" w:styleId="Heading2">
    <w:name w:val="heading 2"/>
    <w:basedOn w:val="Normal"/>
    <w:next w:val="Normal"/>
    <w:link w:val="Heading2Char"/>
    <w:uiPriority w:val="9"/>
    <w:unhideWhenUsed/>
    <w:qFormat/>
    <w:rsid w:val="007E06E7"/>
    <w:pPr>
      <w:spacing w:line="240" w:lineRule="auto"/>
      <w:outlineLvl w:val="1"/>
    </w:pPr>
    <w:rPr>
      <w:b/>
      <w:sz w:val="24"/>
    </w:rPr>
  </w:style>
  <w:style w:type="paragraph" w:styleId="Heading3">
    <w:name w:val="heading 3"/>
    <w:basedOn w:val="Normal"/>
    <w:next w:val="Normal"/>
    <w:link w:val="Heading3Char"/>
    <w:uiPriority w:val="9"/>
    <w:unhideWhenUsed/>
    <w:qFormat/>
    <w:rsid w:val="00644E53"/>
    <w:pPr>
      <w:outlineLvl w:val="2"/>
    </w:pPr>
    <w:rPr>
      <w:b/>
      <w:bCs/>
    </w:rPr>
  </w:style>
  <w:style w:type="paragraph" w:styleId="Heading4">
    <w:name w:val="heading 4"/>
    <w:basedOn w:val="Normal"/>
    <w:next w:val="Normal"/>
    <w:link w:val="Heading4Char"/>
    <w:uiPriority w:val="9"/>
    <w:unhideWhenUsed/>
    <w:qFormat/>
    <w:rsid w:val="001A56AC"/>
    <w:pPr>
      <w:keepNext/>
      <w:keepLines/>
      <w:spacing w:before="40" w:after="0"/>
      <w:outlineLvl w:val="3"/>
    </w:pPr>
    <w:rPr>
      <w:rFonts w:ascii="Calibri" w:eastAsiaTheme="majorEastAsia" w:hAnsi="Calibr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7B9"/>
    <w:rPr>
      <w:rFonts w:eastAsiaTheme="majorEastAsia" w:cstheme="majorBidi"/>
      <w:b/>
      <w:color w:val="000000" w:themeColor="text1"/>
      <w:sz w:val="48"/>
      <w:szCs w:val="32"/>
    </w:rPr>
  </w:style>
  <w:style w:type="character" w:customStyle="1" w:styleId="Heading2Char">
    <w:name w:val="Heading 2 Char"/>
    <w:basedOn w:val="DefaultParagraphFont"/>
    <w:link w:val="Heading2"/>
    <w:uiPriority w:val="9"/>
    <w:rsid w:val="007E06E7"/>
    <w:rPr>
      <w:b/>
      <w:sz w:val="24"/>
    </w:rPr>
  </w:style>
  <w:style w:type="character" w:styleId="Hyperlink">
    <w:name w:val="Hyperlink"/>
    <w:basedOn w:val="DefaultParagraphFont"/>
    <w:uiPriority w:val="99"/>
    <w:unhideWhenUsed/>
    <w:rsid w:val="007E06E7"/>
    <w:rPr>
      <w:color w:val="0563C1" w:themeColor="hyperlink"/>
      <w:u w:val="single"/>
    </w:rPr>
  </w:style>
  <w:style w:type="character" w:styleId="UnresolvedMention">
    <w:name w:val="Unresolved Mention"/>
    <w:basedOn w:val="DefaultParagraphFont"/>
    <w:uiPriority w:val="99"/>
    <w:semiHidden/>
    <w:unhideWhenUsed/>
    <w:rsid w:val="007E06E7"/>
    <w:rPr>
      <w:color w:val="605E5C"/>
      <w:shd w:val="clear" w:color="auto" w:fill="E1DFDD"/>
    </w:rPr>
  </w:style>
  <w:style w:type="paragraph" w:styleId="ListParagraph">
    <w:name w:val="List Paragraph"/>
    <w:aliases w:val="Indented Paragraph"/>
    <w:basedOn w:val="Normal"/>
    <w:uiPriority w:val="34"/>
    <w:qFormat/>
    <w:rsid w:val="007E06E7"/>
    <w:pPr>
      <w:ind w:left="720"/>
      <w:contextualSpacing/>
    </w:pPr>
  </w:style>
  <w:style w:type="character" w:customStyle="1" w:styleId="Heading3Char">
    <w:name w:val="Heading 3 Char"/>
    <w:basedOn w:val="DefaultParagraphFont"/>
    <w:link w:val="Heading3"/>
    <w:uiPriority w:val="9"/>
    <w:rsid w:val="00644E53"/>
    <w:rPr>
      <w:b/>
      <w:bCs/>
    </w:rPr>
  </w:style>
  <w:style w:type="table" w:styleId="TableGrid">
    <w:name w:val="Table Grid"/>
    <w:basedOn w:val="TableNormal"/>
    <w:uiPriority w:val="39"/>
    <w:rsid w:val="0094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46E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E24"/>
    <w:rPr>
      <w:sz w:val="20"/>
      <w:szCs w:val="20"/>
    </w:rPr>
  </w:style>
  <w:style w:type="character" w:styleId="FootnoteReference">
    <w:name w:val="footnote reference"/>
    <w:basedOn w:val="DefaultParagraphFont"/>
    <w:uiPriority w:val="99"/>
    <w:semiHidden/>
    <w:unhideWhenUsed/>
    <w:rsid w:val="00946E24"/>
    <w:rPr>
      <w:vertAlign w:val="superscript"/>
    </w:rPr>
  </w:style>
  <w:style w:type="character" w:customStyle="1" w:styleId="Heading4Char">
    <w:name w:val="Heading 4 Char"/>
    <w:basedOn w:val="DefaultParagraphFont"/>
    <w:link w:val="Heading4"/>
    <w:uiPriority w:val="9"/>
    <w:rsid w:val="001A56AC"/>
    <w:rPr>
      <w:rFonts w:ascii="Calibri" w:eastAsiaTheme="majorEastAsia" w:hAnsi="Calibri" w:cstheme="majorBidi"/>
      <w:b/>
      <w:iCs/>
      <w:color w:val="000000" w:themeColor="text1"/>
    </w:rPr>
  </w:style>
  <w:style w:type="paragraph" w:styleId="TOCHeading">
    <w:name w:val="TOC Heading"/>
    <w:basedOn w:val="Heading1"/>
    <w:next w:val="Normal"/>
    <w:uiPriority w:val="39"/>
    <w:unhideWhenUsed/>
    <w:qFormat/>
    <w:rsid w:val="00571F7B"/>
    <w:pPr>
      <w:spacing w:before="240" w:after="0"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571F7B"/>
    <w:pPr>
      <w:spacing w:after="100"/>
    </w:pPr>
  </w:style>
  <w:style w:type="paragraph" w:styleId="TOC2">
    <w:name w:val="toc 2"/>
    <w:basedOn w:val="Normal"/>
    <w:next w:val="Normal"/>
    <w:autoRedefine/>
    <w:uiPriority w:val="39"/>
    <w:unhideWhenUsed/>
    <w:rsid w:val="00571F7B"/>
    <w:pPr>
      <w:spacing w:after="100"/>
      <w:ind w:left="220"/>
    </w:pPr>
  </w:style>
  <w:style w:type="paragraph" w:styleId="TOC3">
    <w:name w:val="toc 3"/>
    <w:basedOn w:val="Normal"/>
    <w:next w:val="Normal"/>
    <w:autoRedefine/>
    <w:uiPriority w:val="39"/>
    <w:unhideWhenUsed/>
    <w:rsid w:val="00571F7B"/>
    <w:pPr>
      <w:spacing w:after="100"/>
      <w:ind w:left="440"/>
    </w:pPr>
  </w:style>
  <w:style w:type="paragraph" w:styleId="BodyText">
    <w:name w:val="Body Text"/>
    <w:link w:val="BodyTextChar"/>
    <w:qFormat/>
    <w:rsid w:val="000C09F3"/>
    <w:pPr>
      <w:spacing w:before="200" w:after="200" w:line="271" w:lineRule="auto"/>
    </w:pPr>
    <w:rPr>
      <w:rFonts w:eastAsia="Times New Roman" w:cs="Times New Roman"/>
      <w:lang w:bidi="en-US"/>
    </w:rPr>
  </w:style>
  <w:style w:type="character" w:customStyle="1" w:styleId="BodyTextChar">
    <w:name w:val="Body Text Char"/>
    <w:basedOn w:val="DefaultParagraphFont"/>
    <w:link w:val="BodyText"/>
    <w:rsid w:val="000C09F3"/>
    <w:rPr>
      <w:rFonts w:eastAsia="Times New Roman" w:cs="Times New Roman"/>
      <w:lang w:bidi="en-US"/>
    </w:rPr>
  </w:style>
  <w:style w:type="character" w:styleId="FollowedHyperlink">
    <w:name w:val="FollowedHyperlink"/>
    <w:basedOn w:val="DefaultParagraphFont"/>
    <w:uiPriority w:val="99"/>
    <w:semiHidden/>
    <w:unhideWhenUsed/>
    <w:rsid w:val="000C09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thy.young@state.mn.us" TargetMode="External"/><Relationship Id="rId13" Type="http://schemas.openxmlformats.org/officeDocument/2006/relationships/hyperlink" Target="https://mn.gov/deed/assets/youth-support-services-quarterly-template_tcm1045-408554.doc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mn.gov/deed/programs-services/office-youth-development/resour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n.gov/deed/assets/budget-category-definitions_tcm1045-408555.docx"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deed/assets/wioa-chapter7_tcm1045-134289.docx" TargetMode="External"/><Relationship Id="rId5" Type="http://schemas.openxmlformats.org/officeDocument/2006/relationships/webSettings" Target="webSettings.xml"/><Relationship Id="rId15" Type="http://schemas.openxmlformats.org/officeDocument/2006/relationships/hyperlink" Target="https://www.mnworkforceone.com/ManagePrograms/SessionSearch.aspx" TargetMode="External"/><Relationship Id="rId10" Type="http://schemas.openxmlformats.org/officeDocument/2006/relationships/hyperlink" Target="https://www.revisor.mn.gov/laws/2023/0/Session+Law/Chapter/53/"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mn.gov/deed/programs-services/office-youth-development/special/youth-support/" TargetMode="External"/><Relationship Id="rId14" Type="http://schemas.openxmlformats.org/officeDocument/2006/relationships/hyperlink" Target="https://mn.gov/deed/assets/youth-support-services-quarterly-template_tcm1045-40855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716B07-8633-41BF-BE2B-098E7D825C96}">
  <ds:schemaRefs>
    <ds:schemaRef ds:uri="http://schemas.openxmlformats.org/officeDocument/2006/bibliography"/>
  </ds:schemaRefs>
</ds:datastoreItem>
</file>

<file path=customXml/itemProps2.xml><?xml version="1.0" encoding="utf-8"?>
<ds:datastoreItem xmlns:ds="http://schemas.openxmlformats.org/officeDocument/2006/customXml" ds:itemID="{D00CA345-363D-44E1-B42E-8A723047C9B9}"/>
</file>

<file path=customXml/itemProps3.xml><?xml version="1.0" encoding="utf-8"?>
<ds:datastoreItem xmlns:ds="http://schemas.openxmlformats.org/officeDocument/2006/customXml" ds:itemID="{E222E433-6C12-4C43-B721-DD8361BD8C73}"/>
</file>

<file path=customXml/itemProps4.xml><?xml version="1.0" encoding="utf-8"?>
<ds:datastoreItem xmlns:ds="http://schemas.openxmlformats.org/officeDocument/2006/customXml" ds:itemID="{7C00BCF0-04A9-40D0-8DAF-9D5E948482F9}"/>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124</TotalTime>
  <Pages>5</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Youth at Work Equity Grant Program Policy</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at Work Equity Grant Program Policy</dc:title>
  <dc:subject/>
  <dc:creator>Employment and Training Programs</dc:creator>
  <cp:keywords/>
  <dc:description/>
  <cp:lastModifiedBy>Young, Kathy (DEED)</cp:lastModifiedBy>
  <cp:revision>14</cp:revision>
  <dcterms:created xsi:type="dcterms:W3CDTF">2024-03-12T18:58:00Z</dcterms:created>
  <dcterms:modified xsi:type="dcterms:W3CDTF">2024-03-13T16:03:00Z</dcterms:modified>
</cp:coreProperties>
</file>