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40E19" w14:textId="77777777" w:rsidR="00CE313B" w:rsidRPr="00FB06F3" w:rsidRDefault="00EB5C34" w:rsidP="004B3151">
      <w:pPr>
        <w:tabs>
          <w:tab w:val="left" w:pos="360"/>
          <w:tab w:val="left" w:pos="6660"/>
        </w:tabs>
        <w:spacing w:after="120"/>
        <w:jc w:val="center"/>
        <w:sectPr w:rsidR="00CE313B" w:rsidRPr="00FB06F3" w:rsidSect="00BC5D6C">
          <w:headerReference w:type="even" r:id="rId8"/>
          <w:footerReference w:type="even" r:id="rId9"/>
          <w:footnotePr>
            <w:numRestart w:val="eachSect"/>
          </w:footnotePr>
          <w:endnotePr>
            <w:numFmt w:val="decimal"/>
          </w:endnotePr>
          <w:type w:val="continuous"/>
          <w:pgSz w:w="12240" w:h="15840" w:code="1"/>
          <w:pgMar w:top="864" w:right="1152" w:bottom="864" w:left="1152" w:header="720" w:footer="720" w:gutter="0"/>
          <w:cols w:space="720"/>
          <w:titlePg/>
          <w:docGrid w:linePitch="272"/>
        </w:sectPr>
      </w:pPr>
      <w:r w:rsidRPr="00FB06F3">
        <w:rPr>
          <w:noProof/>
        </w:rPr>
        <mc:AlternateContent>
          <mc:Choice Requires="wps">
            <w:drawing>
              <wp:anchor distT="0" distB="0" distL="114300" distR="114300" simplePos="0" relativeHeight="251666432" behindDoc="0" locked="0" layoutInCell="1" allowOverlap="1" wp14:anchorId="2D21032A" wp14:editId="66833B32">
                <wp:simplePos x="0" y="0"/>
                <wp:positionH relativeFrom="column">
                  <wp:posOffset>6350</wp:posOffset>
                </wp:positionH>
                <wp:positionV relativeFrom="paragraph">
                  <wp:posOffset>1113155</wp:posOffset>
                </wp:positionV>
                <wp:extent cx="6303010" cy="419100"/>
                <wp:effectExtent l="0" t="0" r="0" b="0"/>
                <wp:wrapNone/>
                <wp:docPr id="2" name="Text Box 2" descr="Data on Minnesota Exports for First Quarter 2020 – Published May 2020&#10;For More Information:  Eric Lightner, 651-259-7149&#10;"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9F056" w14:textId="77777777" w:rsidR="00EB5C34" w:rsidRPr="00B577E0" w:rsidRDefault="00EB5C34" w:rsidP="00EB5C34">
                            <w:pPr>
                              <w:pStyle w:val="NoSpacing"/>
                              <w:jc w:val="center"/>
                              <w:rPr>
                                <w:rStyle w:val="Emphasis"/>
                                <w:b/>
                              </w:rPr>
                            </w:pPr>
                            <w:r>
                              <w:rPr>
                                <w:rStyle w:val="Emphasis"/>
                                <w:b/>
                              </w:rPr>
                              <w:t xml:space="preserve">Annual </w:t>
                            </w:r>
                            <w:r w:rsidRPr="00B577E0">
                              <w:rPr>
                                <w:rStyle w:val="Emphasis"/>
                                <w:b/>
                              </w:rPr>
                              <w:t>Dat</w:t>
                            </w:r>
                            <w:r>
                              <w:rPr>
                                <w:rStyle w:val="Emphasis"/>
                                <w:b/>
                              </w:rPr>
                              <w:t>a on Minnesota Exports for 2020 – Published February 2021</w:t>
                            </w:r>
                          </w:p>
                          <w:p w14:paraId="5815E523" w14:textId="11B94136" w:rsidR="00EB5C34" w:rsidRPr="00B577E0" w:rsidRDefault="00EB5C34" w:rsidP="00EB5C34">
                            <w:pPr>
                              <w:pStyle w:val="NoSpacing"/>
                              <w:jc w:val="center"/>
                              <w:rPr>
                                <w:rStyle w:val="Emphasis"/>
                                <w:b/>
                              </w:rPr>
                            </w:pPr>
                            <w:r>
                              <w:rPr>
                                <w:rStyle w:val="Emphasis"/>
                                <w:b/>
                              </w:rPr>
                              <w:t>For More Information</w:t>
                            </w:r>
                            <w:r w:rsidRPr="007818E5">
                              <w:rPr>
                                <w:rStyle w:val="Emphasis"/>
                              </w:rPr>
                              <w:t xml:space="preserve">: </w:t>
                            </w:r>
                            <w:r w:rsidR="00B14C89">
                              <w:rPr>
                                <w:rStyle w:val="Strong"/>
                                <w:i/>
                              </w:rPr>
                              <w:t>Jen Gates</w:t>
                            </w:r>
                            <w:r>
                              <w:rPr>
                                <w:rStyle w:val="Strong"/>
                                <w:i/>
                              </w:rPr>
                              <w:t xml:space="preserve"> 651-</w:t>
                            </w:r>
                            <w:r w:rsidR="00B14C89">
                              <w:rPr>
                                <w:rStyle w:val="Strong"/>
                                <w:i/>
                              </w:rPr>
                              <w:t>358-0300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1032A" id="_x0000_t202" coordsize="21600,21600" o:spt="202" path="m,l,21600r21600,l21600,xe">
                <v:stroke joinstyle="miter"/>
                <v:path gradientshapeok="t" o:connecttype="rect"/>
              </v:shapetype>
              <v:shape id="Text Box 2" o:spid="_x0000_s1026" type="#_x0000_t202" alt="Title: Text box - Description: Data on Minnesota Exports for First Quarter 2020 – Published May 2020&#10;For More Information:  Eric Lightner, 651-259-7149&#10;" style="position:absolute;left:0;text-align:left;margin-left:.5pt;margin-top:87.65pt;width:496.3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" filled="f" stroked="f">
                <v:textbox>
                  <w:txbxContent>
                    <w:p w14:paraId="42C9F056" w14:textId="77777777" w:rsidR="00EB5C34" w:rsidRPr="00B577E0" w:rsidRDefault="00EB5C34" w:rsidP="00EB5C34">
                      <w:pPr>
                        <w:pStyle w:val="NoSpacing"/>
                        <w:jc w:val="center"/>
                        <w:rPr>
                          <w:rStyle w:val="Emphasis"/>
                          <w:b/>
                        </w:rPr>
                      </w:pPr>
                      <w:r>
                        <w:rPr>
                          <w:rStyle w:val="Emphasis"/>
                          <w:b/>
                        </w:rPr>
                        <w:t xml:space="preserve">Annual </w:t>
                      </w:r>
                      <w:r w:rsidRPr="00B577E0">
                        <w:rPr>
                          <w:rStyle w:val="Emphasis"/>
                          <w:b/>
                        </w:rPr>
                        <w:t>Dat</w:t>
                      </w:r>
                      <w:r>
                        <w:rPr>
                          <w:rStyle w:val="Emphasis"/>
                          <w:b/>
                        </w:rPr>
                        <w:t>a on Minnesota Exports for 2020 – Published February 2021</w:t>
                      </w:r>
                    </w:p>
                    <w:p w14:paraId="5815E523" w14:textId="11B94136" w:rsidR="00EB5C34" w:rsidRPr="00B577E0" w:rsidRDefault="00EB5C34" w:rsidP="00EB5C34">
                      <w:pPr>
                        <w:pStyle w:val="NoSpacing"/>
                        <w:jc w:val="center"/>
                        <w:rPr>
                          <w:rStyle w:val="Emphasis"/>
                          <w:b/>
                        </w:rPr>
                      </w:pPr>
                      <w:r>
                        <w:rPr>
                          <w:rStyle w:val="Emphasis"/>
                          <w:b/>
                        </w:rPr>
                        <w:t>For More Information</w:t>
                      </w:r>
                      <w:r w:rsidRPr="007818E5">
                        <w:rPr>
                          <w:rStyle w:val="Emphasis"/>
                        </w:rPr>
                        <w:t xml:space="preserve">: </w:t>
                      </w:r>
                      <w:r w:rsidR="00B14C89">
                        <w:rPr>
                          <w:rStyle w:val="Strong"/>
                          <w:i/>
                        </w:rPr>
                        <w:t>Jen Gates</w:t>
                      </w:r>
                      <w:r>
                        <w:rPr>
                          <w:rStyle w:val="Strong"/>
                          <w:i/>
                        </w:rPr>
                        <w:t xml:space="preserve"> 651-</w:t>
                      </w:r>
                      <w:r w:rsidR="00B14C89">
                        <w:rPr>
                          <w:rStyle w:val="Strong"/>
                          <w:i/>
                        </w:rPr>
                        <w:t>358-0300</w:t>
                      </w:r>
                    </w:p>
                  </w:txbxContent>
                </v:textbox>
              </v:shape>
            </w:pict>
          </mc:Fallback>
        </mc:AlternateContent>
      </w:r>
      <w:r w:rsidR="00634377" w:rsidRPr="00FB06F3">
        <w:rPr>
          <w:noProof/>
        </w:rPr>
        <w:drawing>
          <wp:inline distT="0" distB="0" distL="0" distR="0" wp14:anchorId="5382DE4E" wp14:editId="58B1CE63">
            <wp:extent cx="6309360" cy="1103630"/>
            <wp:effectExtent l="0" t="0" r="0" b="1270"/>
            <wp:docPr id="7" name="Picture 7" descr="title banner&#10;&#10;Annual 2020 Data on Minnesota Exports – Published February 2021&#10;For More Information: Jen Gates 651-358-03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ES Banner_Annu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09360" cy="1103630"/>
                    </a:xfrm>
                    <a:prstGeom prst="rect">
                      <a:avLst/>
                    </a:prstGeom>
                  </pic:spPr>
                </pic:pic>
              </a:graphicData>
            </a:graphic>
          </wp:inline>
        </w:drawing>
      </w:r>
      <w:r w:rsidR="00961671" w:rsidRPr="00FB06F3">
        <w:rPr>
          <w:noProof/>
        </w:rPr>
        <w:t xml:space="preserve"> </w:t>
      </w:r>
    </w:p>
    <w:p w14:paraId="421D92C0" w14:textId="77777777" w:rsidR="00D73299" w:rsidRPr="00FB06F3" w:rsidRDefault="00F050F6" w:rsidP="00EB5C34">
      <w:pPr>
        <w:pStyle w:val="Heading1"/>
        <w:spacing w:before="840"/>
        <w:rPr>
          <w:rFonts w:asciiTheme="minorHAnsi" w:hAnsiTheme="minorHAnsi"/>
          <w:color w:val="auto"/>
          <w:sz w:val="36"/>
          <w:szCs w:val="30"/>
        </w:rPr>
      </w:pPr>
      <w:r w:rsidRPr="00FB06F3">
        <w:rPr>
          <w:rFonts w:asciiTheme="minorHAnsi" w:hAnsiTheme="minorHAnsi"/>
          <w:color w:val="auto"/>
          <w:sz w:val="36"/>
          <w:szCs w:val="30"/>
        </w:rPr>
        <w:t>State Export</w:t>
      </w:r>
      <w:r w:rsidR="005F1D50" w:rsidRPr="00FB06F3">
        <w:rPr>
          <w:rFonts w:asciiTheme="minorHAnsi" w:hAnsiTheme="minorHAnsi"/>
          <w:color w:val="auto"/>
          <w:sz w:val="36"/>
          <w:szCs w:val="30"/>
        </w:rPr>
        <w:t>s</w:t>
      </w:r>
      <w:r w:rsidRPr="00FB06F3">
        <w:rPr>
          <w:rFonts w:asciiTheme="minorHAnsi" w:hAnsiTheme="minorHAnsi"/>
          <w:color w:val="auto"/>
          <w:sz w:val="36"/>
          <w:szCs w:val="30"/>
        </w:rPr>
        <w:t xml:space="preserve"> </w:t>
      </w:r>
      <w:r w:rsidR="00160C41">
        <w:rPr>
          <w:rFonts w:asciiTheme="minorHAnsi" w:hAnsiTheme="minorHAnsi"/>
          <w:color w:val="auto"/>
          <w:sz w:val="36"/>
          <w:szCs w:val="30"/>
        </w:rPr>
        <w:t>Valued at</w:t>
      </w:r>
      <w:r w:rsidR="00EB5C34" w:rsidRPr="00FB06F3">
        <w:rPr>
          <w:rFonts w:asciiTheme="minorHAnsi" w:hAnsiTheme="minorHAnsi"/>
          <w:color w:val="auto"/>
          <w:sz w:val="36"/>
          <w:szCs w:val="30"/>
        </w:rPr>
        <w:t xml:space="preserve"> $20</w:t>
      </w:r>
      <w:r w:rsidR="00634377" w:rsidRPr="00FB06F3">
        <w:rPr>
          <w:rFonts w:asciiTheme="minorHAnsi" w:hAnsiTheme="minorHAnsi"/>
          <w:color w:val="auto"/>
          <w:sz w:val="36"/>
          <w:szCs w:val="30"/>
        </w:rPr>
        <w:t xml:space="preserve"> Billion</w:t>
      </w:r>
      <w:r w:rsidR="004E209A" w:rsidRPr="00FB06F3">
        <w:rPr>
          <w:rFonts w:asciiTheme="minorHAnsi" w:hAnsiTheme="minorHAnsi"/>
          <w:color w:val="auto"/>
          <w:sz w:val="36"/>
          <w:szCs w:val="30"/>
        </w:rPr>
        <w:t xml:space="preserve"> in </w:t>
      </w:r>
      <w:r w:rsidR="00EB5C34" w:rsidRPr="00FB06F3">
        <w:rPr>
          <w:rFonts w:asciiTheme="minorHAnsi" w:hAnsiTheme="minorHAnsi"/>
          <w:color w:val="auto"/>
          <w:sz w:val="36"/>
          <w:szCs w:val="30"/>
        </w:rPr>
        <w:t>2020</w:t>
      </w:r>
      <w:r w:rsidR="00073511" w:rsidRPr="00FB06F3">
        <w:rPr>
          <w:rFonts w:asciiTheme="minorHAnsi" w:hAnsiTheme="minorHAnsi"/>
          <w:color w:val="auto"/>
          <w:sz w:val="36"/>
          <w:szCs w:val="30"/>
        </w:rPr>
        <w:t>, Down 10% Since 2019</w:t>
      </w:r>
    </w:p>
    <w:p w14:paraId="0393960A" w14:textId="77777777" w:rsidR="00D73299" w:rsidRPr="00FB06F3" w:rsidRDefault="00D73299" w:rsidP="00D73299">
      <w:pPr>
        <w:pStyle w:val="ListParagraph"/>
        <w:numPr>
          <w:ilvl w:val="0"/>
          <w:numId w:val="19"/>
        </w:numPr>
        <w:sectPr w:rsidR="00D73299" w:rsidRPr="00FB06F3" w:rsidSect="00BC5D6C">
          <w:footerReference w:type="default" r:id="rId11"/>
          <w:footnotePr>
            <w:numRestart w:val="eachSect"/>
          </w:footnotePr>
          <w:endnotePr>
            <w:numFmt w:val="decimal"/>
          </w:endnotePr>
          <w:type w:val="continuous"/>
          <w:pgSz w:w="12240" w:h="15840" w:code="1"/>
          <w:pgMar w:top="864" w:right="1152" w:bottom="864" w:left="1152" w:header="720" w:footer="720" w:gutter="0"/>
          <w:cols w:space="720"/>
          <w:titlePg/>
          <w:docGrid w:linePitch="299"/>
        </w:sectPr>
      </w:pPr>
    </w:p>
    <w:p w14:paraId="4FEFA4BF" w14:textId="77777777" w:rsidR="000D5400" w:rsidRPr="00FB06F3" w:rsidRDefault="007F1C4A" w:rsidP="001403DF">
      <w:pPr>
        <w:pStyle w:val="ListParagraph"/>
        <w:numPr>
          <w:ilvl w:val="0"/>
          <w:numId w:val="19"/>
        </w:numPr>
      </w:pPr>
      <w:r w:rsidRPr="00FB06F3">
        <w:t>Minnesota exports (including agricultural, mining and manufact</w:t>
      </w:r>
      <w:r w:rsidR="00A02A94" w:rsidRPr="00FB06F3">
        <w:t xml:space="preserve">ured products) </w:t>
      </w:r>
      <w:r w:rsidR="00D43A30" w:rsidRPr="00FB06F3">
        <w:t>were valued</w:t>
      </w:r>
      <w:r w:rsidR="00C5460D" w:rsidRPr="00FB06F3">
        <w:t xml:space="preserve"> at</w:t>
      </w:r>
      <w:r w:rsidR="00D43A30" w:rsidRPr="00FB06F3">
        <w:t xml:space="preserve"> </w:t>
      </w:r>
      <w:r w:rsidR="00E92FA6" w:rsidRPr="00FB06F3">
        <w:t>$</w:t>
      </w:r>
      <w:r w:rsidR="00EB5C34" w:rsidRPr="00FB06F3">
        <w:t>20</w:t>
      </w:r>
      <w:r w:rsidR="0072390C" w:rsidRPr="00FB06F3">
        <w:t xml:space="preserve"> billion </w:t>
      </w:r>
      <w:r w:rsidR="00BF3ADC" w:rsidRPr="00FB06F3">
        <w:t xml:space="preserve">in </w:t>
      </w:r>
      <w:r w:rsidR="00EB5C34" w:rsidRPr="00FB06F3">
        <w:t>2020</w:t>
      </w:r>
      <w:r w:rsidR="001403DF" w:rsidRPr="00FB06F3">
        <w:t>. This was</w:t>
      </w:r>
      <w:r w:rsidR="00BF3ADC" w:rsidRPr="00FB06F3">
        <w:t xml:space="preserve"> </w:t>
      </w:r>
      <w:r w:rsidR="004D4C85" w:rsidRPr="00FB06F3">
        <w:t>10</w:t>
      </w:r>
      <w:r w:rsidR="001F5C09" w:rsidRPr="00FB06F3">
        <w:t>%</w:t>
      </w:r>
      <w:r w:rsidR="004D4C85" w:rsidRPr="00FB06F3">
        <w:t xml:space="preserve"> </w:t>
      </w:r>
      <w:r w:rsidR="001403DF" w:rsidRPr="00FB06F3">
        <w:t xml:space="preserve">lower than in </w:t>
      </w:r>
      <w:r w:rsidR="00EB5C34" w:rsidRPr="00FB06F3">
        <w:t>2019</w:t>
      </w:r>
      <w:r w:rsidR="001403DF" w:rsidRPr="00FB06F3">
        <w:t xml:space="preserve"> –</w:t>
      </w:r>
      <w:r w:rsidR="00073511" w:rsidRPr="00FB06F3">
        <w:t xml:space="preserve"> a drop </w:t>
      </w:r>
      <w:r w:rsidR="00FB06F3">
        <w:t>resulting from</w:t>
      </w:r>
      <w:r w:rsidR="0062175F" w:rsidRPr="00FB06F3">
        <w:t xml:space="preserve"> weak economic conditions arising from the pandemic</w:t>
      </w:r>
      <w:r w:rsidR="00AA7B6C" w:rsidRPr="00FB06F3">
        <w:t xml:space="preserve">. </w:t>
      </w:r>
      <w:r w:rsidR="00846B2F" w:rsidRPr="00FB06F3">
        <w:t>U.S. exports slid</w:t>
      </w:r>
      <w:r w:rsidR="00D43A30" w:rsidRPr="00FB06F3">
        <w:t xml:space="preserve"> 1</w:t>
      </w:r>
      <w:r w:rsidR="004D4C85" w:rsidRPr="00FB06F3">
        <w:t>3</w:t>
      </w:r>
      <w:r w:rsidR="001F5C09" w:rsidRPr="00FB06F3">
        <w:t>%</w:t>
      </w:r>
      <w:r w:rsidR="001403DF" w:rsidRPr="00FB06F3">
        <w:t>.</w:t>
      </w:r>
    </w:p>
    <w:p w14:paraId="3790062F" w14:textId="36E1DBC3" w:rsidR="00192CA0" w:rsidRPr="00FB06F3" w:rsidRDefault="000F4677" w:rsidP="00F87BF8">
      <w:pPr>
        <w:pStyle w:val="ListParagraph"/>
        <w:numPr>
          <w:ilvl w:val="0"/>
          <w:numId w:val="19"/>
        </w:numPr>
        <w:spacing w:after="0"/>
      </w:pPr>
      <w:r w:rsidRPr="00FB06F3">
        <w:t>Minnesota ranked 2</w:t>
      </w:r>
      <w:r w:rsidR="00B07368" w:rsidRPr="00FB06F3">
        <w:t>1</w:t>
      </w:r>
      <w:r w:rsidR="00B07368" w:rsidRPr="00FB06F3">
        <w:rPr>
          <w:vertAlign w:val="superscript"/>
        </w:rPr>
        <w:t>st</w:t>
      </w:r>
      <w:r w:rsidRPr="00FB06F3">
        <w:t xml:space="preserve"> </w:t>
      </w:r>
      <w:r w:rsidR="00B07368" w:rsidRPr="00FB06F3">
        <w:t xml:space="preserve">highest </w:t>
      </w:r>
      <w:r w:rsidRPr="00FB06F3">
        <w:t xml:space="preserve">in exports among U.S. states in </w:t>
      </w:r>
      <w:r w:rsidR="00EB5C34" w:rsidRPr="00FB06F3">
        <w:t>2020</w:t>
      </w:r>
      <w:r w:rsidR="004D4C85" w:rsidRPr="00FB06F3">
        <w:t xml:space="preserve">, unchanged from </w:t>
      </w:r>
      <w:r w:rsidR="00EB5C34" w:rsidRPr="00FB06F3">
        <w:t>2019</w:t>
      </w:r>
      <w:r w:rsidR="00B87E22" w:rsidRPr="00FB06F3">
        <w:t>.</w:t>
      </w:r>
      <w:r w:rsidR="000B445D" w:rsidRPr="00FB06F3">
        <w:t xml:space="preserve"> </w:t>
      </w:r>
    </w:p>
    <w:p w14:paraId="2B4A07E6" w14:textId="59C6BB23" w:rsidR="00AF3AAB" w:rsidRPr="00FB06F3" w:rsidRDefault="00C5460D" w:rsidP="00AF3AAB">
      <w:pPr>
        <w:pStyle w:val="ListParagraph"/>
        <w:numPr>
          <w:ilvl w:val="0"/>
          <w:numId w:val="19"/>
        </w:numPr>
        <w:spacing w:after="0"/>
      </w:pPr>
      <w:r w:rsidRPr="00FB06F3">
        <w:t xml:space="preserve">State </w:t>
      </w:r>
      <w:r w:rsidRPr="00FB06F3">
        <w:rPr>
          <w:i/>
        </w:rPr>
        <w:t>m</w:t>
      </w:r>
      <w:r w:rsidR="00F050F6" w:rsidRPr="00FB06F3">
        <w:rPr>
          <w:i/>
        </w:rPr>
        <w:t>anufactured</w:t>
      </w:r>
      <w:r w:rsidR="00634377" w:rsidRPr="00FB06F3">
        <w:t xml:space="preserve"> </w:t>
      </w:r>
      <w:r w:rsidR="004344C8" w:rsidRPr="00FB06F3">
        <w:t>exports dropp</w:t>
      </w:r>
      <w:r w:rsidR="00745488" w:rsidRPr="00FB06F3">
        <w:t>ed</w:t>
      </w:r>
      <w:r w:rsidR="0062175F" w:rsidRPr="00FB06F3">
        <w:t xml:space="preserve"> 9</w:t>
      </w:r>
      <w:r w:rsidR="001F5C09" w:rsidRPr="00FB06F3">
        <w:t>%</w:t>
      </w:r>
      <w:r w:rsidR="004344C8" w:rsidRPr="00FB06F3">
        <w:t xml:space="preserve"> to $</w:t>
      </w:r>
      <w:r w:rsidR="0062175F" w:rsidRPr="00FB06F3">
        <w:t>19</w:t>
      </w:r>
      <w:r w:rsidR="00634377" w:rsidRPr="00FB06F3">
        <w:t xml:space="preserve"> billion in </w:t>
      </w:r>
      <w:r w:rsidR="00EB5C34" w:rsidRPr="00FB06F3">
        <w:t>2020</w:t>
      </w:r>
      <w:r w:rsidR="00104038" w:rsidRPr="00FB06F3">
        <w:t xml:space="preserve">. </w:t>
      </w:r>
      <w:r w:rsidR="004D75DA" w:rsidRPr="00FB06F3">
        <w:t>Exports of goods supported more than 119,000 jobs in Minnesota (2019).</w:t>
      </w:r>
    </w:p>
    <w:p w14:paraId="521DDFB1" w14:textId="77777777" w:rsidR="007F1C4A" w:rsidRPr="00FB06F3" w:rsidRDefault="007B502E" w:rsidP="00714F39">
      <w:pPr>
        <w:pStyle w:val="ListParagraph"/>
        <w:numPr>
          <w:ilvl w:val="0"/>
          <w:numId w:val="19"/>
        </w:numPr>
        <w:spacing w:after="0"/>
        <w:rPr>
          <w:rStyle w:val="Heading4Char"/>
          <w:rFonts w:eastAsiaTheme="minorEastAsia" w:cstheme="minorBidi"/>
          <w:bCs w:val="0"/>
          <w:i w:val="0"/>
          <w:iCs w:val="0"/>
          <w:color w:val="auto"/>
          <w:sz w:val="22"/>
        </w:rPr>
      </w:pPr>
      <w:r>
        <w:t>Minnesota conducted $48 b</w:t>
      </w:r>
      <w:r w:rsidR="00104038" w:rsidRPr="00FB06F3">
        <w:t xml:space="preserve">illion in </w:t>
      </w:r>
      <w:r w:rsidR="00104038" w:rsidRPr="00FB06F3">
        <w:rPr>
          <w:i/>
        </w:rPr>
        <w:t>total trade</w:t>
      </w:r>
      <w:r w:rsidR="00104038" w:rsidRPr="00FB06F3">
        <w:t xml:space="preserve"> with 212 countries in 2020</w:t>
      </w:r>
      <w:r>
        <w:t>, down 7% since 2019. With $28 b</w:t>
      </w:r>
      <w:r w:rsidR="00104038" w:rsidRPr="00FB06F3">
        <w:t xml:space="preserve">illion in </w:t>
      </w:r>
      <w:r w:rsidR="00104038" w:rsidRPr="00FB06F3">
        <w:rPr>
          <w:i/>
        </w:rPr>
        <w:t>imports</w:t>
      </w:r>
      <w:r w:rsidR="00104038" w:rsidRPr="00FB06F3">
        <w:t xml:space="preserve"> in 2020, the state ran a </w:t>
      </w:r>
      <w:r w:rsidR="00104038" w:rsidRPr="00FB06F3">
        <w:rPr>
          <w:i/>
        </w:rPr>
        <w:t>trade deficit</w:t>
      </w:r>
      <w:r w:rsidR="00104038" w:rsidRPr="00FB06F3">
        <w:t xml:space="preserve"> of $8 billion.</w:t>
      </w:r>
      <w:r w:rsidR="00AF3AAB" w:rsidRPr="00FB06F3">
        <w:br w:type="column"/>
      </w:r>
      <w:r w:rsidR="007F1C4A" w:rsidRPr="00FB06F3">
        <w:rPr>
          <w:rStyle w:val="Heading4Char"/>
          <w:color w:val="auto"/>
        </w:rPr>
        <w:t xml:space="preserve">Figure </w:t>
      </w:r>
      <w:r w:rsidR="007F1C4A" w:rsidRPr="00FB06F3">
        <w:rPr>
          <w:rStyle w:val="Heading4Char"/>
          <w:b/>
          <w:color w:val="auto"/>
        </w:rPr>
        <w:fldChar w:fldCharType="begin"/>
      </w:r>
      <w:r w:rsidR="007F1C4A" w:rsidRPr="00FB06F3">
        <w:rPr>
          <w:rStyle w:val="Heading4Char"/>
          <w:color w:val="auto"/>
        </w:rPr>
        <w:instrText xml:space="preserve"> SEQ Figure \* ARABIC </w:instrText>
      </w:r>
      <w:r w:rsidR="007F1C4A" w:rsidRPr="00FB06F3">
        <w:rPr>
          <w:rStyle w:val="Heading4Char"/>
          <w:b/>
          <w:color w:val="auto"/>
        </w:rPr>
        <w:fldChar w:fldCharType="separate"/>
      </w:r>
      <w:r w:rsidR="009D1486" w:rsidRPr="00FB06F3">
        <w:rPr>
          <w:rStyle w:val="Heading4Char"/>
          <w:noProof/>
          <w:color w:val="auto"/>
        </w:rPr>
        <w:t>1</w:t>
      </w:r>
      <w:r w:rsidR="007F1C4A" w:rsidRPr="00FB06F3">
        <w:rPr>
          <w:rStyle w:val="Heading4Char"/>
          <w:b/>
          <w:color w:val="auto"/>
        </w:rPr>
        <w:fldChar w:fldCharType="end"/>
      </w:r>
      <w:r w:rsidR="00714F39" w:rsidRPr="00FB06F3">
        <w:rPr>
          <w:rStyle w:val="Heading4Char"/>
          <w:color w:val="auto"/>
        </w:rPr>
        <w:t>. Six</w:t>
      </w:r>
      <w:r w:rsidR="004D4C85" w:rsidRPr="00FB06F3">
        <w:rPr>
          <w:rStyle w:val="Heading4Char"/>
          <w:color w:val="auto"/>
        </w:rPr>
        <w:t xml:space="preserve"> States Increase</w:t>
      </w:r>
      <w:r w:rsidR="00714F39" w:rsidRPr="00FB06F3">
        <w:rPr>
          <w:rStyle w:val="Heading4Char"/>
          <w:color w:val="auto"/>
        </w:rPr>
        <w:t>d</w:t>
      </w:r>
      <w:r w:rsidR="004D4C85" w:rsidRPr="00FB06F3">
        <w:rPr>
          <w:rStyle w:val="Heading4Char"/>
          <w:color w:val="auto"/>
        </w:rPr>
        <w:t xml:space="preserve"> Exports</w:t>
      </w:r>
      <w:r w:rsidR="004344C8" w:rsidRPr="00FB06F3">
        <w:rPr>
          <w:rStyle w:val="Heading4Char"/>
          <w:color w:val="auto"/>
        </w:rPr>
        <w:t xml:space="preserve"> in </w:t>
      </w:r>
      <w:r w:rsidR="00EB5C34" w:rsidRPr="00FB06F3">
        <w:rPr>
          <w:rStyle w:val="Heading4Char"/>
          <w:color w:val="auto"/>
        </w:rPr>
        <w:t>2020</w:t>
      </w:r>
    </w:p>
    <w:p w14:paraId="5F1B5AAC" w14:textId="77777777" w:rsidR="007F1C4A" w:rsidRPr="00FB06F3" w:rsidRDefault="007F1C4A" w:rsidP="00EE58ED">
      <w:pPr>
        <w:spacing w:after="0"/>
      </w:pPr>
      <w:r w:rsidRPr="00FB06F3">
        <w:rPr>
          <w:noProof/>
        </w:rPr>
        <mc:AlternateContent>
          <mc:Choice Requires="wps">
            <w:drawing>
              <wp:anchor distT="0" distB="0" distL="114300" distR="114300" simplePos="0" relativeHeight="251664384" behindDoc="0" locked="0" layoutInCell="1" allowOverlap="1" wp14:anchorId="6AB82DA7" wp14:editId="36BC55AE">
                <wp:simplePos x="0" y="0"/>
                <wp:positionH relativeFrom="column">
                  <wp:posOffset>2567940</wp:posOffset>
                </wp:positionH>
                <wp:positionV relativeFrom="paragraph">
                  <wp:posOffset>1374775</wp:posOffset>
                </wp:positionV>
                <wp:extent cx="803910" cy="441960"/>
                <wp:effectExtent l="0" t="0" r="0" b="0"/>
                <wp:wrapNone/>
                <wp:docPr id="307" name="Text Box 2" descr="MN +9 percent&#10;US +8 percent" title="highlight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441960"/>
                        </a:xfrm>
                        <a:prstGeom prst="rect">
                          <a:avLst/>
                        </a:prstGeom>
                        <a:noFill/>
                        <a:ln w="9525">
                          <a:noFill/>
                          <a:miter lim="800000"/>
                          <a:headEnd/>
                          <a:tailEnd/>
                        </a:ln>
                      </wps:spPr>
                      <wps:txbx>
                        <w:txbxContent>
                          <w:p w14:paraId="51975AF3" w14:textId="77777777" w:rsidR="007F1C4A" w:rsidRPr="00CE0E91" w:rsidRDefault="007F1C4A" w:rsidP="007F1C4A">
                            <w:pPr>
                              <w:spacing w:after="0"/>
                              <w:rPr>
                                <w:b/>
                                <w:i/>
                                <w:sz w:val="20"/>
                              </w:rPr>
                            </w:pPr>
                            <w:r w:rsidRPr="00CE0E91">
                              <w:rPr>
                                <w:b/>
                                <w:i/>
                                <w:sz w:val="20"/>
                              </w:rPr>
                              <w:t>M</w:t>
                            </w:r>
                            <w:r w:rsidR="00AF03EA" w:rsidRPr="00CE0E91">
                              <w:rPr>
                                <w:b/>
                                <w:i/>
                                <w:sz w:val="20"/>
                              </w:rPr>
                              <w:t>N:  -10</w:t>
                            </w:r>
                            <w:r w:rsidRPr="00CE0E91">
                              <w:rPr>
                                <w:b/>
                                <w:i/>
                                <w:sz w:val="20"/>
                              </w:rPr>
                              <w:t>%</w:t>
                            </w:r>
                          </w:p>
                          <w:p w14:paraId="36890F85" w14:textId="77777777" w:rsidR="007F1C4A" w:rsidRPr="00CE0E91" w:rsidRDefault="004344C8" w:rsidP="007F1C4A">
                            <w:pPr>
                              <w:spacing w:after="0"/>
                              <w:rPr>
                                <w:b/>
                                <w:i/>
                                <w:sz w:val="20"/>
                              </w:rPr>
                            </w:pPr>
                            <w:r w:rsidRPr="00CE0E91">
                              <w:rPr>
                                <w:b/>
                                <w:i/>
                                <w:sz w:val="20"/>
                              </w:rPr>
                              <w:t>U.S.: -1</w:t>
                            </w:r>
                            <w:r w:rsidR="00AF03EA" w:rsidRPr="00CE0E91">
                              <w:rPr>
                                <w:b/>
                                <w:i/>
                                <w:sz w:val="20"/>
                              </w:rPr>
                              <w:t>3</w:t>
                            </w:r>
                            <w:r w:rsidR="007F1C4A" w:rsidRPr="00CE0E91">
                              <w:rPr>
                                <w:b/>
                                <w:i/>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82DA7" id="_x0000_s1027" type="#_x0000_t202" alt="Title: highlight text box - Description: MN +9 percent&#10;US +8 percent" style="position:absolute;margin-left:202.2pt;margin-top:108.25pt;width:63.3pt;height:3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" filled="f" stroked="f">
                <v:textbox>
                  <w:txbxContent>
                    <w:p w14:paraId="51975AF3" w14:textId="77777777" w:rsidR="007F1C4A" w:rsidRPr="00CE0E91" w:rsidRDefault="007F1C4A" w:rsidP="007F1C4A">
                      <w:pPr>
                        <w:spacing w:after="0"/>
                        <w:rPr>
                          <w:b/>
                          <w:i/>
                          <w:sz w:val="20"/>
                        </w:rPr>
                      </w:pPr>
                      <w:r w:rsidRPr="00CE0E91">
                        <w:rPr>
                          <w:b/>
                          <w:i/>
                          <w:sz w:val="20"/>
                        </w:rPr>
                        <w:t>M</w:t>
                      </w:r>
                      <w:r w:rsidR="00AF03EA" w:rsidRPr="00CE0E91">
                        <w:rPr>
                          <w:b/>
                          <w:i/>
                          <w:sz w:val="20"/>
                        </w:rPr>
                        <w:t>N:  -10</w:t>
                      </w:r>
                      <w:r w:rsidRPr="00CE0E91">
                        <w:rPr>
                          <w:b/>
                          <w:i/>
                          <w:sz w:val="20"/>
                        </w:rPr>
                        <w:t>%</w:t>
                      </w:r>
                    </w:p>
                    <w:p w14:paraId="36890F85" w14:textId="77777777" w:rsidR="007F1C4A" w:rsidRPr="00CE0E91" w:rsidRDefault="004344C8" w:rsidP="007F1C4A">
                      <w:pPr>
                        <w:spacing w:after="0"/>
                        <w:rPr>
                          <w:b/>
                          <w:i/>
                          <w:sz w:val="20"/>
                        </w:rPr>
                      </w:pPr>
                      <w:r w:rsidRPr="00CE0E91">
                        <w:rPr>
                          <w:b/>
                          <w:i/>
                          <w:sz w:val="20"/>
                        </w:rPr>
                        <w:t>U.S.: -1</w:t>
                      </w:r>
                      <w:r w:rsidR="00AF03EA" w:rsidRPr="00CE0E91">
                        <w:rPr>
                          <w:b/>
                          <w:i/>
                          <w:sz w:val="20"/>
                        </w:rPr>
                        <w:t>3</w:t>
                      </w:r>
                      <w:r w:rsidR="007F1C4A" w:rsidRPr="00CE0E91">
                        <w:rPr>
                          <w:b/>
                          <w:i/>
                          <w:sz w:val="20"/>
                        </w:rPr>
                        <w:t>%</w:t>
                      </w:r>
                    </w:p>
                  </w:txbxContent>
                </v:textbox>
              </v:shape>
            </w:pict>
          </mc:Fallback>
        </mc:AlternateContent>
      </w:r>
      <w:r w:rsidRPr="00FB06F3">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CE0E91" w:rsidRPr="00FB06F3">
        <w:rPr>
          <w:rFonts w:ascii="Times New Roman" w:eastAsia="Times New Roman" w:hAnsi="Times New Roman" w:cs="Times New Roman"/>
          <w:noProof/>
          <w:snapToGrid w:val="0"/>
          <w:w w:val="0"/>
          <w:sz w:val="0"/>
          <w:szCs w:val="0"/>
          <w:u w:color="000000"/>
          <w:bdr w:val="none" w:sz="0" w:space="0" w:color="000000"/>
          <w:shd w:val="clear" w:color="000000" w:fill="000000"/>
        </w:rPr>
        <w:drawing>
          <wp:inline distT="0" distB="0" distL="0" distR="0" wp14:anchorId="722FD145" wp14:editId="2F7C34D6">
            <wp:extent cx="3268859" cy="1805940"/>
            <wp:effectExtent l="0" t="0" r="8255" b="3810"/>
            <wp:docPr id="14" name="Picture 14" descr=" State  Percent Change&#10;MN -10%&#10;US -13%&#10;AK -8%&#10;AL -18%&#10;AR -17%&#10;AZ -20%&#10;CA -10%&#10;CO 2%&#10;CT -15%&#10;DC -25%&#10;DE -11%&#10;FL -18%&#10;GA -6%&#10;HI -30%&#10;IA -4%&#10;ID -1%&#10;IL -10%&#10;IN -10%&#10;KS -11%&#10;KY -25%&#10;LA -6%&#10;MA -5%&#10;MD -3%&#10;ME -15%&#10;MI -21%&#10;MO -5%&#10;MS -13%&#10;MT -15%&#10;NC -17%&#10;ND -26%&#10;NE -6%&#10;NH -6%&#10;NJ 7%&#10;NM -21%&#10;NV 15%&#10;NY -18%&#10;OH -15%&#10;OK -12%&#10;OR 6%&#10;PA -12%&#10;RI -10%&#10;SC -27%&#10;SD 2%&#10;TN -9%&#10;TX -15%&#10;UT 2%&#10;VA -8%&#10;VT -21%&#10;WA -32%&#10;WI -5%&#10;WV -23%&#10;WY -15%&#10;" title="Figure 1 U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okim\Work from home files\wfh files_Main\Tableau, Viz\MTO Tableau files\Export Stats Reports\Newsletter &amp; Fact Sheet charts\2020 US Map.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006" b="10652"/>
                    <a:stretch/>
                  </pic:blipFill>
                  <pic:spPr bwMode="auto">
                    <a:xfrm>
                      <a:off x="0" y="0"/>
                      <a:ext cx="3275529" cy="1809625"/>
                    </a:xfrm>
                    <a:prstGeom prst="rect">
                      <a:avLst/>
                    </a:prstGeom>
                    <a:noFill/>
                    <a:ln>
                      <a:noFill/>
                    </a:ln>
                    <a:extLst>
                      <a:ext uri="{53640926-AAD7-44D8-BBD7-CCE9431645EC}">
                        <a14:shadowObscured xmlns:a14="http://schemas.microsoft.com/office/drawing/2010/main"/>
                      </a:ext>
                    </a:extLst>
                  </pic:spPr>
                </pic:pic>
              </a:graphicData>
            </a:graphic>
          </wp:inline>
        </w:drawing>
      </w:r>
    </w:p>
    <w:p w14:paraId="37725C5D" w14:textId="77777777" w:rsidR="007F1C4A" w:rsidRPr="00FB06F3" w:rsidRDefault="007F1C4A" w:rsidP="000D5400">
      <w:pPr>
        <w:tabs>
          <w:tab w:val="left" w:pos="450"/>
        </w:tabs>
        <w:spacing w:after="0"/>
        <w:rPr>
          <w:i/>
          <w:sz w:val="18"/>
        </w:rPr>
      </w:pPr>
      <w:r w:rsidRPr="00FB06F3">
        <w:rPr>
          <w:i/>
          <w:sz w:val="18"/>
        </w:rPr>
        <w:t>Decline     0%   Growth</w:t>
      </w:r>
    </w:p>
    <w:p w14:paraId="394E3A7F" w14:textId="77777777" w:rsidR="00D811FA" w:rsidRPr="00FB06F3" w:rsidRDefault="00E2669F" w:rsidP="000D5400">
      <w:pPr>
        <w:tabs>
          <w:tab w:val="left" w:pos="450"/>
        </w:tabs>
        <w:spacing w:after="0"/>
      </w:pPr>
      <w:r w:rsidRPr="00FB06F3">
        <w:rPr>
          <w:noProof/>
        </w:rPr>
        <w:drawing>
          <wp:inline distT="0" distB="0" distL="0" distR="0" wp14:anchorId="4B03B774" wp14:editId="68A1C271">
            <wp:extent cx="1066800" cy="152400"/>
            <wp:effectExtent l="0" t="0" r="0" b="0"/>
            <wp:docPr id="6" name="Picture 6" descr="color legend for map (yellow for negative trend/decline, green for positive trend/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roups\CARD\AEO\Thu-Mai\Tableau, Viz\MTO Tableau files\Export Stats Reports\Newsletter &amp; Fact Sheet charts\2018-Q4 USMap_legend.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41380" b="24137"/>
                    <a:stretch/>
                  </pic:blipFill>
                  <pic:spPr bwMode="auto">
                    <a:xfrm>
                      <a:off x="0" y="0"/>
                      <a:ext cx="1066800" cy="152400"/>
                    </a:xfrm>
                    <a:prstGeom prst="rect">
                      <a:avLst/>
                    </a:prstGeom>
                    <a:noFill/>
                    <a:ln>
                      <a:noFill/>
                    </a:ln>
                    <a:extLst>
                      <a:ext uri="{53640926-AAD7-44D8-BBD7-CCE9431645EC}">
                        <a14:shadowObscured xmlns:a14="http://schemas.microsoft.com/office/drawing/2010/main"/>
                      </a:ext>
                    </a:extLst>
                  </pic:spPr>
                </pic:pic>
              </a:graphicData>
            </a:graphic>
          </wp:inline>
        </w:drawing>
      </w:r>
    </w:p>
    <w:p w14:paraId="0926E465" w14:textId="77777777" w:rsidR="00D73299" w:rsidRPr="00FB06F3" w:rsidRDefault="00D73299" w:rsidP="00131EDB">
      <w:pPr>
        <w:pStyle w:val="Heading2"/>
        <w:spacing w:before="0"/>
        <w:ind w:left="360" w:hanging="270"/>
        <w:rPr>
          <w:rFonts w:asciiTheme="minorHAnsi" w:hAnsiTheme="minorHAnsi"/>
          <w:b w:val="0"/>
          <w:i/>
          <w:color w:val="auto"/>
          <w:sz w:val="28"/>
        </w:rPr>
        <w:sectPr w:rsidR="00D73299" w:rsidRPr="00FB06F3" w:rsidSect="00BC5D6C">
          <w:footnotePr>
            <w:numRestart w:val="eachSect"/>
          </w:footnotePr>
          <w:endnotePr>
            <w:numFmt w:val="decimal"/>
          </w:endnotePr>
          <w:type w:val="continuous"/>
          <w:pgSz w:w="12240" w:h="15840" w:code="1"/>
          <w:pgMar w:top="864" w:right="1152" w:bottom="864" w:left="1152" w:header="720" w:footer="720" w:gutter="0"/>
          <w:cols w:num="2" w:space="288"/>
          <w:titlePg/>
          <w:docGrid w:linePitch="299"/>
        </w:sectPr>
      </w:pPr>
    </w:p>
    <w:p w14:paraId="3414AA65" w14:textId="77777777" w:rsidR="00E83789" w:rsidRPr="00FB06F3" w:rsidRDefault="003E6250" w:rsidP="003E6250">
      <w:pPr>
        <w:pStyle w:val="Heading2"/>
        <w:spacing w:before="120"/>
        <w:ind w:left="360" w:hanging="270"/>
        <w:rPr>
          <w:rFonts w:asciiTheme="minorHAnsi" w:hAnsiTheme="minorHAnsi"/>
          <w:b w:val="0"/>
          <w:i/>
          <w:color w:val="auto"/>
          <w:sz w:val="28"/>
        </w:rPr>
      </w:pPr>
      <w:r w:rsidRPr="00FB06F3">
        <w:rPr>
          <w:rFonts w:asciiTheme="minorHAnsi" w:hAnsiTheme="minorHAnsi"/>
          <w:b w:val="0"/>
          <w:i/>
          <w:color w:val="auto"/>
          <w:sz w:val="28"/>
        </w:rPr>
        <w:t>Despite</w:t>
      </w:r>
      <w:r w:rsidR="00160C41">
        <w:rPr>
          <w:rFonts w:asciiTheme="minorHAnsi" w:hAnsiTheme="minorHAnsi"/>
          <w:b w:val="0"/>
          <w:i/>
          <w:color w:val="auto"/>
          <w:sz w:val="28"/>
        </w:rPr>
        <w:t xml:space="preserve"> Overall</w:t>
      </w:r>
      <w:r w:rsidRPr="00FB06F3">
        <w:rPr>
          <w:rFonts w:asciiTheme="minorHAnsi" w:hAnsiTheme="minorHAnsi"/>
          <w:b w:val="0"/>
          <w:i/>
          <w:color w:val="auto"/>
          <w:sz w:val="28"/>
        </w:rPr>
        <w:t xml:space="preserve"> </w:t>
      </w:r>
      <w:r w:rsidR="00160C41">
        <w:rPr>
          <w:rFonts w:asciiTheme="minorHAnsi" w:hAnsiTheme="minorHAnsi"/>
          <w:b w:val="0"/>
          <w:i/>
          <w:color w:val="auto"/>
          <w:sz w:val="28"/>
        </w:rPr>
        <w:t xml:space="preserve">Decline in </w:t>
      </w:r>
      <w:r w:rsidR="001403DF" w:rsidRPr="00FB06F3">
        <w:rPr>
          <w:rFonts w:asciiTheme="minorHAnsi" w:hAnsiTheme="minorHAnsi"/>
          <w:b w:val="0"/>
          <w:i/>
          <w:color w:val="auto"/>
          <w:sz w:val="28"/>
        </w:rPr>
        <w:t>Exports</w:t>
      </w:r>
      <w:r w:rsidR="00C35F80">
        <w:rPr>
          <w:rFonts w:asciiTheme="minorHAnsi" w:hAnsiTheme="minorHAnsi"/>
          <w:b w:val="0"/>
          <w:i/>
          <w:color w:val="auto"/>
          <w:sz w:val="28"/>
        </w:rPr>
        <w:t xml:space="preserve">, </w:t>
      </w:r>
      <w:r w:rsidR="00160C41">
        <w:rPr>
          <w:rFonts w:asciiTheme="minorHAnsi" w:hAnsiTheme="minorHAnsi"/>
          <w:b w:val="0"/>
          <w:i/>
          <w:color w:val="auto"/>
          <w:sz w:val="28"/>
        </w:rPr>
        <w:t>Sales Grew</w:t>
      </w:r>
      <w:r w:rsidRPr="00FB06F3">
        <w:rPr>
          <w:rFonts w:asciiTheme="minorHAnsi" w:hAnsiTheme="minorHAnsi"/>
          <w:b w:val="0"/>
          <w:i/>
          <w:color w:val="auto"/>
          <w:sz w:val="28"/>
        </w:rPr>
        <w:t xml:space="preserve"> to Selected Markets </w:t>
      </w:r>
    </w:p>
    <w:p w14:paraId="17D9A4E8" w14:textId="77777777" w:rsidR="003E6250" w:rsidRPr="00FB06F3" w:rsidRDefault="004E2649" w:rsidP="005123F6">
      <w:pPr>
        <w:pStyle w:val="ListParagraph"/>
        <w:numPr>
          <w:ilvl w:val="0"/>
          <w:numId w:val="16"/>
        </w:numPr>
        <w:spacing w:after="0"/>
        <w:ind w:hanging="274"/>
      </w:pPr>
      <w:r w:rsidRPr="00FB06F3">
        <w:t>Minnesota</w:t>
      </w:r>
      <w:r w:rsidR="00104038" w:rsidRPr="00FB06F3">
        <w:t xml:space="preserve"> exports </w:t>
      </w:r>
      <w:r w:rsidR="006F2A06">
        <w:t>sank to all regions due to pandemic-related economic disruptions</w:t>
      </w:r>
      <w:r w:rsidR="00104038" w:rsidRPr="00FB06F3">
        <w:t xml:space="preserve">. Demand </w:t>
      </w:r>
      <w:r w:rsidRPr="00FB06F3">
        <w:t>shrank</w:t>
      </w:r>
      <w:r w:rsidR="006F2A06">
        <w:t xml:space="preserve"> the most</w:t>
      </w:r>
      <w:r w:rsidR="00104038" w:rsidRPr="00FB06F3">
        <w:t xml:space="preserve"> </w:t>
      </w:r>
      <w:r w:rsidR="003E6250" w:rsidRPr="00FB06F3">
        <w:t xml:space="preserve">in </w:t>
      </w:r>
      <w:r w:rsidR="00433DBF" w:rsidRPr="00FB06F3">
        <w:rPr>
          <w:b/>
        </w:rPr>
        <w:t>Asia</w:t>
      </w:r>
      <w:r w:rsidR="004C46FF" w:rsidRPr="00FB06F3">
        <w:t xml:space="preserve"> </w:t>
      </w:r>
      <w:r w:rsidR="003E6250" w:rsidRPr="00FB06F3">
        <w:t xml:space="preserve">(down $594 million), </w:t>
      </w:r>
      <w:r w:rsidR="003E6250" w:rsidRPr="00FB06F3">
        <w:rPr>
          <w:b/>
        </w:rPr>
        <w:t xml:space="preserve">North America </w:t>
      </w:r>
      <w:r w:rsidR="006F2A06">
        <w:t xml:space="preserve">(down $416 million) and </w:t>
      </w:r>
      <w:r w:rsidR="006F2A06">
        <w:rPr>
          <w:b/>
        </w:rPr>
        <w:t>Europe</w:t>
      </w:r>
      <w:r w:rsidR="003E6250" w:rsidRPr="00FB06F3">
        <w:rPr>
          <w:b/>
        </w:rPr>
        <w:t xml:space="preserve"> </w:t>
      </w:r>
      <w:r w:rsidR="006F2A06">
        <w:t>(down $805</w:t>
      </w:r>
      <w:r w:rsidR="003E6250" w:rsidRPr="00FB06F3">
        <w:t xml:space="preserve"> million). </w:t>
      </w:r>
    </w:p>
    <w:p w14:paraId="13982550" w14:textId="77777777" w:rsidR="00DE7B47" w:rsidRPr="00FB06F3" w:rsidRDefault="00DE7B47" w:rsidP="00697EC5">
      <w:pPr>
        <w:pStyle w:val="ListParagraph"/>
        <w:numPr>
          <w:ilvl w:val="0"/>
          <w:numId w:val="16"/>
        </w:numPr>
        <w:spacing w:after="0"/>
        <w:ind w:hanging="274"/>
        <w:rPr>
          <w:b/>
        </w:rPr>
      </w:pPr>
      <w:r w:rsidRPr="00FB06F3">
        <w:t>Among t</w:t>
      </w:r>
      <w:r w:rsidR="00DB5405" w:rsidRPr="00FB06F3">
        <w:t>he state’s Top 10 markets</w:t>
      </w:r>
      <w:r w:rsidR="004E2649" w:rsidRPr="00FB06F3">
        <w:t>, exports increased</w:t>
      </w:r>
      <w:r w:rsidRPr="00FB06F3">
        <w:t xml:space="preserve"> only to </w:t>
      </w:r>
      <w:r w:rsidRPr="00FB06F3">
        <w:rPr>
          <w:b/>
        </w:rPr>
        <w:t>Canada</w:t>
      </w:r>
      <w:r w:rsidR="00DB5405" w:rsidRPr="00FB06F3">
        <w:t xml:space="preserve"> </w:t>
      </w:r>
      <w:r w:rsidR="009A4A95" w:rsidRPr="00FB06F3">
        <w:t>(up 2%)</w:t>
      </w:r>
      <w:r w:rsidR="006F2A06">
        <w:t>,</w:t>
      </w:r>
      <w:r w:rsidR="009A4A95" w:rsidRPr="00FB06F3">
        <w:t xml:space="preserve"> fueled by</w:t>
      </w:r>
      <w:r w:rsidRPr="00FB06F3">
        <w:t xml:space="preserve"> </w:t>
      </w:r>
      <w:r w:rsidRPr="00FB06F3">
        <w:rPr>
          <w:b/>
        </w:rPr>
        <w:t>mineral fuels, oils.</w:t>
      </w:r>
    </w:p>
    <w:p w14:paraId="4EDC170C" w14:textId="77777777" w:rsidR="00E1624D" w:rsidRPr="00FB06F3" w:rsidRDefault="00191624" w:rsidP="00A32068">
      <w:pPr>
        <w:pStyle w:val="ListParagraph"/>
        <w:numPr>
          <w:ilvl w:val="0"/>
          <w:numId w:val="16"/>
        </w:numPr>
        <w:spacing w:before="80" w:after="0"/>
        <w:ind w:hanging="274"/>
        <w:rPr>
          <w:rFonts w:eastAsiaTheme="majorEastAsia" w:cstheme="majorBidi"/>
          <w:bCs/>
          <w:i/>
          <w:iCs/>
          <w:sz w:val="24"/>
        </w:rPr>
      </w:pPr>
      <w:r w:rsidRPr="00FB06F3">
        <w:t xml:space="preserve">With gains </w:t>
      </w:r>
      <w:r w:rsidR="0045745E" w:rsidRPr="00FB06F3">
        <w:t xml:space="preserve">exceeding $10 million, robust </w:t>
      </w:r>
      <w:r w:rsidRPr="00FB06F3">
        <w:t xml:space="preserve">markets included </w:t>
      </w:r>
      <w:r w:rsidR="00DE7B47" w:rsidRPr="00FB06F3">
        <w:rPr>
          <w:b/>
        </w:rPr>
        <w:t xml:space="preserve">Taiwan </w:t>
      </w:r>
      <w:r w:rsidR="00F273E2" w:rsidRPr="00FB06F3">
        <w:t xml:space="preserve">(up 40%), </w:t>
      </w:r>
      <w:r w:rsidR="00F273E2" w:rsidRPr="00FB06F3">
        <w:rPr>
          <w:b/>
        </w:rPr>
        <w:t xml:space="preserve">Malaysia </w:t>
      </w:r>
      <w:r w:rsidR="00F273E2" w:rsidRPr="00FB06F3">
        <w:t>(up 10%)</w:t>
      </w:r>
      <w:r w:rsidR="00E01CBD" w:rsidRPr="00FB06F3">
        <w:t>,</w:t>
      </w:r>
      <w:r w:rsidR="00F273E2" w:rsidRPr="00FB06F3">
        <w:t xml:space="preserve"> </w:t>
      </w:r>
      <w:r w:rsidR="00E01CBD" w:rsidRPr="00FB06F3">
        <w:rPr>
          <w:b/>
        </w:rPr>
        <w:t xml:space="preserve">Switzerland </w:t>
      </w:r>
      <w:r w:rsidR="00E01CBD" w:rsidRPr="00FB06F3">
        <w:t xml:space="preserve">(up 11%) and </w:t>
      </w:r>
      <w:r w:rsidR="00F273E2" w:rsidRPr="00FB06F3">
        <w:rPr>
          <w:b/>
        </w:rPr>
        <w:t xml:space="preserve">Vietnam </w:t>
      </w:r>
      <w:r w:rsidR="00F273E2" w:rsidRPr="00FB06F3">
        <w:t>(up 10%)</w:t>
      </w:r>
      <w:r w:rsidR="00552465" w:rsidRPr="00FB06F3">
        <w:t>.</w:t>
      </w:r>
      <w:r w:rsidR="00F273E2" w:rsidRPr="00FB06F3">
        <w:t xml:space="preserve"> </w:t>
      </w:r>
      <w:r w:rsidR="00E1624D" w:rsidRPr="00FB06F3">
        <w:t>Notable e</w:t>
      </w:r>
      <w:r w:rsidR="00E01CBD" w:rsidRPr="00FB06F3">
        <w:t xml:space="preserve">merging markets </w:t>
      </w:r>
      <w:r w:rsidR="00B93F1B" w:rsidRPr="00FB06F3">
        <w:t xml:space="preserve">also </w:t>
      </w:r>
      <w:r w:rsidR="00F2130D" w:rsidRPr="00FB06F3">
        <w:t>help</w:t>
      </w:r>
      <w:r w:rsidR="00B93F1B" w:rsidRPr="00FB06F3">
        <w:t>ed</w:t>
      </w:r>
      <w:r w:rsidR="00F2130D" w:rsidRPr="00FB06F3">
        <w:t xml:space="preserve"> diversify </w:t>
      </w:r>
      <w:r w:rsidR="0046423E" w:rsidRPr="00FB06F3">
        <w:t xml:space="preserve">exports: </w:t>
      </w:r>
      <w:r w:rsidR="00F91CC1" w:rsidRPr="00FB06F3">
        <w:rPr>
          <w:b/>
        </w:rPr>
        <w:t xml:space="preserve">Slovakia </w:t>
      </w:r>
      <w:r w:rsidR="00B6337E" w:rsidRPr="00FB06F3">
        <w:t>(</w:t>
      </w:r>
      <w:r w:rsidR="00E1624D" w:rsidRPr="00FB06F3">
        <w:t>$64</w:t>
      </w:r>
      <w:r w:rsidR="00B6337E" w:rsidRPr="00FB06F3">
        <w:t xml:space="preserve"> million</w:t>
      </w:r>
      <w:r w:rsidR="00E1624D" w:rsidRPr="00FB06F3">
        <w:t>, up 813%</w:t>
      </w:r>
      <w:r w:rsidR="00E01CBD" w:rsidRPr="00FB06F3">
        <w:t>;</w:t>
      </w:r>
      <w:r w:rsidR="00B6337E" w:rsidRPr="00FB06F3">
        <w:t xml:space="preserve"> ranked 31</w:t>
      </w:r>
      <w:r w:rsidR="00B6337E" w:rsidRPr="00FB06F3">
        <w:rPr>
          <w:vertAlign w:val="superscript"/>
        </w:rPr>
        <w:t>st</w:t>
      </w:r>
      <w:r w:rsidR="00E01CBD" w:rsidRPr="00FB06F3">
        <w:t>,</w:t>
      </w:r>
      <w:r w:rsidR="00B6337E" w:rsidRPr="00FB06F3">
        <w:t xml:space="preserve"> up from 73</w:t>
      </w:r>
      <w:r w:rsidR="00B6337E" w:rsidRPr="00FB06F3">
        <w:rPr>
          <w:vertAlign w:val="superscript"/>
        </w:rPr>
        <w:t>rd</w:t>
      </w:r>
      <w:r w:rsidR="00F2130D" w:rsidRPr="00FB06F3">
        <w:t>)</w:t>
      </w:r>
      <w:r w:rsidR="00DC3046" w:rsidRPr="00FB06F3">
        <w:t xml:space="preserve"> – driven by </w:t>
      </w:r>
      <w:r w:rsidR="00DC3046" w:rsidRPr="00FB06F3">
        <w:rPr>
          <w:b/>
        </w:rPr>
        <w:t>iron ore</w:t>
      </w:r>
      <w:r w:rsidR="00F2130D" w:rsidRPr="00FB06F3">
        <w:t>;</w:t>
      </w:r>
      <w:r w:rsidR="0046423E" w:rsidRPr="00FB06F3">
        <w:t xml:space="preserve"> </w:t>
      </w:r>
      <w:r w:rsidR="00B6337E" w:rsidRPr="00FB06F3">
        <w:rPr>
          <w:b/>
        </w:rPr>
        <w:t>Algeria</w:t>
      </w:r>
      <w:r w:rsidR="00E1624D" w:rsidRPr="00FB06F3">
        <w:t xml:space="preserve"> ($22</w:t>
      </w:r>
      <w:r w:rsidR="00E01CBD" w:rsidRPr="00FB06F3">
        <w:t xml:space="preserve"> million</w:t>
      </w:r>
      <w:r w:rsidR="00E1624D" w:rsidRPr="00FB06F3">
        <w:t>, up 170%</w:t>
      </w:r>
      <w:r w:rsidR="00E01CBD" w:rsidRPr="00FB06F3">
        <w:t>;</w:t>
      </w:r>
      <w:r w:rsidR="00B6337E" w:rsidRPr="00FB06F3">
        <w:t xml:space="preserve"> ranked</w:t>
      </w:r>
      <w:r w:rsidR="00E01CBD" w:rsidRPr="00FB06F3">
        <w:t xml:space="preserve"> 49</w:t>
      </w:r>
      <w:r w:rsidR="00E01CBD" w:rsidRPr="00FB06F3">
        <w:rPr>
          <w:vertAlign w:val="superscript"/>
        </w:rPr>
        <w:t>th</w:t>
      </w:r>
      <w:r w:rsidR="00E01CBD" w:rsidRPr="00FB06F3">
        <w:t>, up from 71</w:t>
      </w:r>
      <w:r w:rsidR="00E01CBD" w:rsidRPr="00FB06F3">
        <w:rPr>
          <w:vertAlign w:val="superscript"/>
        </w:rPr>
        <w:t>st</w:t>
      </w:r>
      <w:r w:rsidR="00E01CBD" w:rsidRPr="00FB06F3">
        <w:t>)</w:t>
      </w:r>
      <w:r w:rsidR="00B6337E" w:rsidRPr="00FB06F3">
        <w:t xml:space="preserve"> </w:t>
      </w:r>
      <w:r w:rsidR="00552465" w:rsidRPr="00FB06F3">
        <w:t xml:space="preserve">and </w:t>
      </w:r>
      <w:r w:rsidR="00552465" w:rsidRPr="00FB06F3">
        <w:rPr>
          <w:b/>
        </w:rPr>
        <w:t xml:space="preserve">Ecuador </w:t>
      </w:r>
      <w:r w:rsidR="00E1624D" w:rsidRPr="00FB06F3">
        <w:t xml:space="preserve">($36 million, up </w:t>
      </w:r>
      <w:r w:rsidR="00F2130D" w:rsidRPr="00FB06F3">
        <w:t>39%</w:t>
      </w:r>
      <w:r w:rsidR="00552465" w:rsidRPr="00FB06F3">
        <w:t>)</w:t>
      </w:r>
      <w:r w:rsidR="00DC3046" w:rsidRPr="00FB06F3">
        <w:t xml:space="preserve"> – driven by </w:t>
      </w:r>
      <w:r w:rsidR="00DC3046" w:rsidRPr="00FB06F3">
        <w:rPr>
          <w:b/>
        </w:rPr>
        <w:t>wheat</w:t>
      </w:r>
      <w:r w:rsidR="00F2130D" w:rsidRPr="00FB06F3">
        <w:t>;</w:t>
      </w:r>
      <w:r w:rsidR="00E1624D" w:rsidRPr="00FB06F3">
        <w:t xml:space="preserve"> and </w:t>
      </w:r>
      <w:r w:rsidR="00E1624D" w:rsidRPr="00FB06F3">
        <w:rPr>
          <w:b/>
        </w:rPr>
        <w:t xml:space="preserve">Cambodia </w:t>
      </w:r>
      <w:r w:rsidR="00E1624D" w:rsidRPr="00FB06F3">
        <w:t>($16 million</w:t>
      </w:r>
      <w:r w:rsidR="00F2130D" w:rsidRPr="00FB06F3">
        <w:t>, up 101</w:t>
      </w:r>
      <w:r w:rsidR="00E1624D" w:rsidRPr="00FB06F3">
        <w:t>%; ranked 52</w:t>
      </w:r>
      <w:r w:rsidR="00E1624D" w:rsidRPr="00FB06F3">
        <w:rPr>
          <w:vertAlign w:val="superscript"/>
        </w:rPr>
        <w:t>nd</w:t>
      </w:r>
      <w:r w:rsidR="00E1624D" w:rsidRPr="00FB06F3">
        <w:t>, up from 70</w:t>
      </w:r>
      <w:r w:rsidR="00E1624D" w:rsidRPr="00FB06F3">
        <w:rPr>
          <w:vertAlign w:val="superscript"/>
        </w:rPr>
        <w:t>th</w:t>
      </w:r>
      <w:r w:rsidR="00E1624D" w:rsidRPr="00FB06F3">
        <w:t>)</w:t>
      </w:r>
      <w:r w:rsidR="00DC3046" w:rsidRPr="00FB06F3">
        <w:t xml:space="preserve"> – driven by </w:t>
      </w:r>
      <w:r w:rsidR="00DC3046" w:rsidRPr="00FB06F3">
        <w:rPr>
          <w:b/>
        </w:rPr>
        <w:t xml:space="preserve">food by-products </w:t>
      </w:r>
      <w:r w:rsidR="00DC3046" w:rsidRPr="00FB06F3">
        <w:t xml:space="preserve">and </w:t>
      </w:r>
      <w:r w:rsidR="00DC3046" w:rsidRPr="00FB06F3">
        <w:rPr>
          <w:b/>
        </w:rPr>
        <w:t>furs</w:t>
      </w:r>
      <w:r w:rsidR="00E1624D" w:rsidRPr="00FB06F3">
        <w:t>.</w:t>
      </w:r>
    </w:p>
    <w:p w14:paraId="6C6D0EE8" w14:textId="77777777" w:rsidR="007C165F" w:rsidRPr="00FB06F3" w:rsidRDefault="007C165F" w:rsidP="00E1624D">
      <w:pPr>
        <w:spacing w:before="80" w:after="0"/>
        <w:ind w:left="86"/>
        <w:rPr>
          <w:rStyle w:val="Heading4Char"/>
          <w:color w:val="auto"/>
        </w:rPr>
      </w:pPr>
      <w:r w:rsidRPr="00FB06F3">
        <w:rPr>
          <w:rStyle w:val="Heading4Char"/>
          <w:color w:val="auto"/>
        </w:rPr>
        <w:t xml:space="preserve">Figure </w:t>
      </w:r>
      <w:r w:rsidR="00E36364" w:rsidRPr="00FB06F3">
        <w:rPr>
          <w:rStyle w:val="Heading4Char"/>
          <w:color w:val="auto"/>
        </w:rPr>
        <w:fldChar w:fldCharType="begin"/>
      </w:r>
      <w:r w:rsidR="00E36364" w:rsidRPr="00FB06F3">
        <w:rPr>
          <w:rStyle w:val="Heading4Char"/>
          <w:color w:val="auto"/>
        </w:rPr>
        <w:instrText xml:space="preserve"> SEQ Figure \* ARABIC </w:instrText>
      </w:r>
      <w:r w:rsidR="00E36364" w:rsidRPr="00FB06F3">
        <w:rPr>
          <w:rStyle w:val="Heading4Char"/>
          <w:color w:val="auto"/>
        </w:rPr>
        <w:fldChar w:fldCharType="separate"/>
      </w:r>
      <w:r w:rsidR="009D1486" w:rsidRPr="00FB06F3">
        <w:rPr>
          <w:rStyle w:val="Heading4Char"/>
          <w:noProof/>
          <w:color w:val="auto"/>
        </w:rPr>
        <w:t>2</w:t>
      </w:r>
      <w:r w:rsidR="00E36364" w:rsidRPr="00FB06F3">
        <w:rPr>
          <w:rStyle w:val="Heading4Char"/>
          <w:color w:val="auto"/>
        </w:rPr>
        <w:fldChar w:fldCharType="end"/>
      </w:r>
      <w:r w:rsidR="00C84D0E" w:rsidRPr="00FB06F3">
        <w:rPr>
          <w:rStyle w:val="Heading4Char"/>
          <w:color w:val="auto"/>
        </w:rPr>
        <w:t xml:space="preserve">. </w:t>
      </w:r>
      <w:r w:rsidR="00542EF2" w:rsidRPr="00FB06F3">
        <w:rPr>
          <w:rStyle w:val="Heading4Char"/>
          <w:color w:val="auto"/>
        </w:rPr>
        <w:t>Exports and Trends for</w:t>
      </w:r>
      <w:r w:rsidR="0038665A" w:rsidRPr="00FB06F3">
        <w:rPr>
          <w:rStyle w:val="Heading4Char"/>
          <w:color w:val="auto"/>
        </w:rPr>
        <w:t xml:space="preserve"> Minnesota’s Top 10 Markets, </w:t>
      </w:r>
      <w:r w:rsidR="00EB5C34" w:rsidRPr="00FB06F3">
        <w:rPr>
          <w:rStyle w:val="Heading4Char"/>
          <w:color w:val="auto"/>
        </w:rPr>
        <w:t>2020</w:t>
      </w:r>
    </w:p>
    <w:p w14:paraId="2EE1DB89" w14:textId="77777777" w:rsidR="00B372BF" w:rsidRPr="00FB06F3" w:rsidRDefault="002F5753" w:rsidP="00B43FEF">
      <w:pPr>
        <w:spacing w:after="0"/>
        <w:jc w:val="center"/>
      </w:pPr>
      <w:r w:rsidRPr="00FB06F3">
        <w:rPr>
          <w:noProof/>
        </w:rPr>
        <w:drawing>
          <wp:inline distT="0" distB="0" distL="0" distR="0" wp14:anchorId="20AD5912" wp14:editId="353ED038">
            <wp:extent cx="6309360" cy="1891120"/>
            <wp:effectExtent l="0" t="0" r="0" b="0"/>
            <wp:docPr id="9" name="Picture 9" descr="Country (Rank)  Exports (millions)  Percent Change, 2019 to 2020&#10;WORLD  $20,077  -10%&#10;Canada (1)   $4,828  2%&#10;Mexico (2)   $2,443  -4%&#10;China (3)   $1,933  -20%&#10;Japan (4)   $1,358  -11%&#10;Germany (5)   $938  -7%&#10;Korea (6)   $847  -25%&#10;Singapore (7)   $530  -13%&#10;Belgium (8)   $499  -10%&#10;U.K. (9)   $488  -19%&#10;Ireland (10)   $464  -12%&#10;Other  $5,749  -12%&#10;"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okim\Work from home files\wfh files_Main\Tableau, Viz\MTO Tableau files\Export Stats Reports\Newsletter &amp; Fact Sheet charts\2020 Top 10 Countri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9360" cy="1891120"/>
                    </a:xfrm>
                    <a:prstGeom prst="rect">
                      <a:avLst/>
                    </a:prstGeom>
                    <a:noFill/>
                    <a:ln>
                      <a:noFill/>
                    </a:ln>
                  </pic:spPr>
                </pic:pic>
              </a:graphicData>
            </a:graphic>
          </wp:inline>
        </w:drawing>
      </w:r>
    </w:p>
    <w:p w14:paraId="29AFD6FC" w14:textId="77777777" w:rsidR="00AD20E9" w:rsidRPr="00FB06F3" w:rsidRDefault="005F2A2C" w:rsidP="00DE7AA5">
      <w:pPr>
        <w:pStyle w:val="Heading2"/>
        <w:tabs>
          <w:tab w:val="left" w:pos="360"/>
        </w:tabs>
        <w:spacing w:before="0" w:line="271" w:lineRule="auto"/>
        <w:ind w:left="360" w:right="18" w:hanging="360"/>
        <w:rPr>
          <w:color w:val="auto"/>
        </w:rPr>
        <w:sectPr w:rsidR="00AD20E9" w:rsidRPr="00FB06F3" w:rsidSect="00EF688D">
          <w:footnotePr>
            <w:numRestart w:val="eachSect"/>
          </w:footnotePr>
          <w:endnotePr>
            <w:numFmt w:val="decimal"/>
          </w:endnotePr>
          <w:type w:val="continuous"/>
          <w:pgSz w:w="12240" w:h="15840" w:code="1"/>
          <w:pgMar w:top="864" w:right="1152" w:bottom="864" w:left="1152" w:header="576" w:footer="576" w:gutter="0"/>
          <w:cols w:space="720"/>
          <w:titlePg/>
          <w:docGrid w:linePitch="299"/>
        </w:sectPr>
      </w:pPr>
      <w:r w:rsidRPr="00FB06F3">
        <w:rPr>
          <w:rFonts w:asciiTheme="minorHAnsi" w:hAnsiTheme="minorHAnsi"/>
          <w:b w:val="0"/>
          <w:i/>
          <w:color w:val="auto"/>
          <w:sz w:val="28"/>
        </w:rPr>
        <w:lastRenderedPageBreak/>
        <w:t>Mineral Fuels</w:t>
      </w:r>
      <w:r w:rsidR="00546280" w:rsidRPr="00FB06F3">
        <w:rPr>
          <w:rFonts w:asciiTheme="minorHAnsi" w:hAnsiTheme="minorHAnsi"/>
          <w:b w:val="0"/>
          <w:i/>
          <w:color w:val="auto"/>
          <w:sz w:val="28"/>
        </w:rPr>
        <w:t xml:space="preserve"> &amp; Oils</w:t>
      </w:r>
      <w:r w:rsidRPr="00FB06F3">
        <w:rPr>
          <w:rFonts w:asciiTheme="minorHAnsi" w:hAnsiTheme="minorHAnsi"/>
          <w:b w:val="0"/>
          <w:i/>
          <w:color w:val="auto"/>
          <w:sz w:val="28"/>
        </w:rPr>
        <w:t xml:space="preserve">, </w:t>
      </w:r>
      <w:r w:rsidR="00546280" w:rsidRPr="00FB06F3">
        <w:rPr>
          <w:rFonts w:asciiTheme="minorHAnsi" w:hAnsiTheme="minorHAnsi"/>
          <w:b w:val="0"/>
          <w:i/>
          <w:color w:val="auto"/>
          <w:sz w:val="28"/>
        </w:rPr>
        <w:t>Meat, Dairy &amp; Eggs,</w:t>
      </w:r>
      <w:r w:rsidRPr="00FB06F3">
        <w:rPr>
          <w:rFonts w:asciiTheme="minorHAnsi" w:hAnsiTheme="minorHAnsi"/>
          <w:b w:val="0"/>
          <w:i/>
          <w:color w:val="auto"/>
          <w:sz w:val="28"/>
        </w:rPr>
        <w:t xml:space="preserve"> and </w:t>
      </w:r>
      <w:r w:rsidR="00546280" w:rsidRPr="00FB06F3">
        <w:rPr>
          <w:rFonts w:asciiTheme="minorHAnsi" w:hAnsiTheme="minorHAnsi"/>
          <w:b w:val="0"/>
          <w:i/>
          <w:color w:val="auto"/>
          <w:sz w:val="28"/>
        </w:rPr>
        <w:t>Precious Metals Bolster Exports</w:t>
      </w:r>
    </w:p>
    <w:p w14:paraId="59D74E92" w14:textId="3058A0B4" w:rsidR="00A1620E" w:rsidRPr="00FB06F3" w:rsidRDefault="00961E35" w:rsidP="004B3151">
      <w:pPr>
        <w:pStyle w:val="ListParagraph"/>
        <w:numPr>
          <w:ilvl w:val="0"/>
          <w:numId w:val="7"/>
        </w:numPr>
        <w:spacing w:before="60" w:after="0" w:line="271" w:lineRule="auto"/>
        <w:ind w:left="360" w:right="18"/>
        <w:rPr>
          <w:b/>
          <w:sz w:val="24"/>
        </w:rPr>
      </w:pPr>
      <w:r w:rsidRPr="00FB06F3">
        <w:t>Global sales</w:t>
      </w:r>
      <w:r w:rsidR="00546280" w:rsidRPr="00FB06F3">
        <w:t xml:space="preserve"> of the state’s top </w:t>
      </w:r>
      <w:r w:rsidRPr="00FB06F3">
        <w:t>exports</w:t>
      </w:r>
      <w:r w:rsidR="00DC3046" w:rsidRPr="00FB06F3">
        <w:t xml:space="preserve"> dropp</w:t>
      </w:r>
      <w:r w:rsidR="00A1620E" w:rsidRPr="00FB06F3">
        <w:t xml:space="preserve">ed sharply: </w:t>
      </w:r>
      <w:r w:rsidR="00A1620E" w:rsidRPr="00FB06F3">
        <w:rPr>
          <w:b/>
        </w:rPr>
        <w:t>o</w:t>
      </w:r>
      <w:r w:rsidR="00546280" w:rsidRPr="00FB06F3">
        <w:rPr>
          <w:b/>
        </w:rPr>
        <w:t>pti</w:t>
      </w:r>
      <w:r w:rsidR="00B14C89">
        <w:rPr>
          <w:b/>
        </w:rPr>
        <w:t>c &amp;</w:t>
      </w:r>
      <w:r w:rsidR="00546280" w:rsidRPr="00FB06F3">
        <w:rPr>
          <w:b/>
        </w:rPr>
        <w:t xml:space="preserve"> medical, machinery, electrical equipment</w:t>
      </w:r>
      <w:r w:rsidR="00A1620E" w:rsidRPr="00FB06F3">
        <w:t>,</w:t>
      </w:r>
      <w:r w:rsidR="00546280" w:rsidRPr="00FB06F3">
        <w:t xml:space="preserve"> </w:t>
      </w:r>
      <w:r w:rsidR="00546280" w:rsidRPr="00FB06F3">
        <w:rPr>
          <w:b/>
        </w:rPr>
        <w:t>vehicles</w:t>
      </w:r>
      <w:r w:rsidR="00A1620E" w:rsidRPr="00FB06F3">
        <w:rPr>
          <w:b/>
        </w:rPr>
        <w:t>, pharmaceuticals</w:t>
      </w:r>
      <w:r w:rsidR="00546280" w:rsidRPr="00FB06F3">
        <w:rPr>
          <w:b/>
        </w:rPr>
        <w:t xml:space="preserve"> </w:t>
      </w:r>
      <w:r w:rsidR="00A1620E" w:rsidRPr="00FB06F3">
        <w:t xml:space="preserve">and </w:t>
      </w:r>
      <w:r w:rsidR="00A1620E" w:rsidRPr="00FB06F3">
        <w:rPr>
          <w:b/>
        </w:rPr>
        <w:t>aircraft</w:t>
      </w:r>
      <w:r w:rsidR="00A1620E" w:rsidRPr="00FB06F3">
        <w:t xml:space="preserve"> slumped a combined $2 billion in 2020</w:t>
      </w:r>
      <w:r w:rsidRPr="00FB06F3">
        <w:t>.</w:t>
      </w:r>
      <w:r w:rsidR="00BA0B3A" w:rsidRPr="00FB06F3">
        <w:t xml:space="preserve"> </w:t>
      </w:r>
    </w:p>
    <w:p w14:paraId="33EE2CC1" w14:textId="77777777" w:rsidR="002D4A79" w:rsidRPr="00FB06F3" w:rsidRDefault="00A1620E" w:rsidP="004B3151">
      <w:pPr>
        <w:pStyle w:val="ListParagraph"/>
        <w:numPr>
          <w:ilvl w:val="0"/>
          <w:numId w:val="7"/>
        </w:numPr>
        <w:spacing w:before="60" w:after="0" w:line="271" w:lineRule="auto"/>
        <w:ind w:left="360" w:right="18"/>
        <w:rPr>
          <w:b/>
          <w:sz w:val="24"/>
        </w:rPr>
      </w:pPr>
      <w:r w:rsidRPr="00FB06F3">
        <w:t>Major products mitigating the</w:t>
      </w:r>
      <w:r w:rsidR="00961E35" w:rsidRPr="00FB06F3">
        <w:t xml:space="preserve">se declines included </w:t>
      </w:r>
      <w:r w:rsidR="00961E35" w:rsidRPr="00FB06F3">
        <w:rPr>
          <w:b/>
        </w:rPr>
        <w:t>mineral fuels, oils</w:t>
      </w:r>
      <w:r w:rsidR="00961E35" w:rsidRPr="00FB06F3">
        <w:t xml:space="preserve"> (up 230%) and </w:t>
      </w:r>
      <w:r w:rsidR="00961E35" w:rsidRPr="00FB06F3">
        <w:rPr>
          <w:b/>
        </w:rPr>
        <w:t>meat</w:t>
      </w:r>
      <w:r w:rsidR="00961E35" w:rsidRPr="00FB06F3">
        <w:t xml:space="preserve"> (up 33%).</w:t>
      </w:r>
    </w:p>
    <w:p w14:paraId="5337A94D" w14:textId="77777777" w:rsidR="003329A5" w:rsidRPr="00FB06F3" w:rsidRDefault="00961E35" w:rsidP="00386176">
      <w:pPr>
        <w:pStyle w:val="ListParagraph"/>
        <w:numPr>
          <w:ilvl w:val="0"/>
          <w:numId w:val="7"/>
        </w:numPr>
        <w:spacing w:before="60" w:after="0" w:line="271" w:lineRule="auto"/>
        <w:ind w:left="360" w:right="18"/>
        <w:rPr>
          <w:b/>
          <w:sz w:val="24"/>
        </w:rPr>
      </w:pPr>
      <w:r w:rsidRPr="00FB06F3">
        <w:rPr>
          <w:b/>
        </w:rPr>
        <w:t>Mineral fuels, oils</w:t>
      </w:r>
      <w:r w:rsidR="00642531" w:rsidRPr="00FB06F3">
        <w:rPr>
          <w:b/>
        </w:rPr>
        <w:t xml:space="preserve"> </w:t>
      </w:r>
      <w:r w:rsidR="005C7F9E" w:rsidRPr="00FB06F3">
        <w:t>demand</w:t>
      </w:r>
      <w:r w:rsidR="00642531" w:rsidRPr="00FB06F3">
        <w:rPr>
          <w:b/>
        </w:rPr>
        <w:t xml:space="preserve"> </w:t>
      </w:r>
      <w:r w:rsidRPr="00FB06F3">
        <w:t>jumped almost $740 million</w:t>
      </w:r>
      <w:r w:rsidR="006918FD" w:rsidRPr="00FB06F3">
        <w:t>,</w:t>
      </w:r>
      <w:r w:rsidR="00275CD0">
        <w:t xml:space="preserve"> to over $1 billion. Growth was</w:t>
      </w:r>
      <w:r w:rsidR="005D7A63" w:rsidRPr="00FB06F3">
        <w:t xml:space="preserve"> almost entirely </w:t>
      </w:r>
      <w:r w:rsidR="00642531" w:rsidRPr="00FB06F3">
        <w:t xml:space="preserve">propelled by </w:t>
      </w:r>
      <w:r w:rsidRPr="00FB06F3">
        <w:rPr>
          <w:b/>
        </w:rPr>
        <w:t>Canada</w:t>
      </w:r>
      <w:r w:rsidR="00275CD0">
        <w:t xml:space="preserve"> and </w:t>
      </w:r>
      <w:r w:rsidR="006F45EE" w:rsidRPr="00FB06F3">
        <w:rPr>
          <w:b/>
        </w:rPr>
        <w:t>petroleum-based light oils</w:t>
      </w:r>
      <w:r w:rsidR="006F45EE" w:rsidRPr="00FB06F3">
        <w:t>.</w:t>
      </w:r>
      <w:r w:rsidR="00D42DF4" w:rsidRPr="00FB06F3">
        <w:rPr>
          <w:rStyle w:val="Heading4Char"/>
          <w:color w:val="auto"/>
        </w:rPr>
        <w:br w:type="column"/>
      </w:r>
      <w:r w:rsidR="003329A5" w:rsidRPr="00FB06F3">
        <w:rPr>
          <w:rStyle w:val="Heading4Char"/>
          <w:color w:val="auto"/>
        </w:rPr>
        <w:t xml:space="preserve">Figure </w:t>
      </w:r>
      <w:r w:rsidR="003329A5" w:rsidRPr="00FB06F3">
        <w:rPr>
          <w:rStyle w:val="Heading4Char"/>
          <w:b/>
          <w:color w:val="auto"/>
        </w:rPr>
        <w:fldChar w:fldCharType="begin"/>
      </w:r>
      <w:r w:rsidR="003329A5" w:rsidRPr="00FB06F3">
        <w:rPr>
          <w:rStyle w:val="Heading4Char"/>
          <w:color w:val="auto"/>
        </w:rPr>
        <w:instrText xml:space="preserve"> SEQ Figure \* ARABIC </w:instrText>
      </w:r>
      <w:r w:rsidR="003329A5" w:rsidRPr="00FB06F3">
        <w:rPr>
          <w:rStyle w:val="Heading4Char"/>
          <w:b/>
          <w:color w:val="auto"/>
        </w:rPr>
        <w:fldChar w:fldCharType="separate"/>
      </w:r>
      <w:r w:rsidR="003329A5" w:rsidRPr="00FB06F3">
        <w:rPr>
          <w:rStyle w:val="Heading4Char"/>
          <w:noProof/>
          <w:color w:val="auto"/>
        </w:rPr>
        <w:t>3</w:t>
      </w:r>
      <w:r w:rsidR="003329A5" w:rsidRPr="00FB06F3">
        <w:rPr>
          <w:rStyle w:val="Heading4Char"/>
          <w:b/>
          <w:color w:val="auto"/>
        </w:rPr>
        <w:fldChar w:fldCharType="end"/>
      </w:r>
      <w:r w:rsidR="00576FFD" w:rsidRPr="00FB06F3">
        <w:rPr>
          <w:rStyle w:val="Heading4Char"/>
          <w:color w:val="auto"/>
        </w:rPr>
        <w:t>. Top Markets for</w:t>
      </w:r>
      <w:r w:rsidR="003329A5" w:rsidRPr="00FB06F3">
        <w:rPr>
          <w:rStyle w:val="Heading4Char"/>
          <w:color w:val="auto"/>
        </w:rPr>
        <w:t xml:space="preserve"> </w:t>
      </w:r>
      <w:r w:rsidR="00576FFD" w:rsidRPr="00FB06F3">
        <w:rPr>
          <w:rStyle w:val="Heading4Char"/>
          <w:color w:val="auto"/>
        </w:rPr>
        <w:t>Meat Exports</w:t>
      </w:r>
    </w:p>
    <w:p w14:paraId="1966C9DD" w14:textId="77777777" w:rsidR="003329A5" w:rsidRPr="00FB06F3" w:rsidRDefault="003329A5" w:rsidP="002D4A79">
      <w:pPr>
        <w:spacing w:after="60" w:line="271" w:lineRule="auto"/>
        <w:sectPr w:rsidR="003329A5" w:rsidRPr="00FB06F3" w:rsidSect="00AF3AAB">
          <w:footerReference w:type="default" r:id="rId15"/>
          <w:footnotePr>
            <w:numRestart w:val="eachSect"/>
          </w:footnotePr>
          <w:endnotePr>
            <w:numFmt w:val="decimal"/>
          </w:endnotePr>
          <w:type w:val="continuous"/>
          <w:pgSz w:w="12240" w:h="15840" w:code="1"/>
          <w:pgMar w:top="864" w:right="1152" w:bottom="864" w:left="1152" w:header="720" w:footer="720" w:gutter="0"/>
          <w:cols w:num="2" w:space="180"/>
          <w:titlePg/>
          <w:docGrid w:linePitch="299"/>
        </w:sectPr>
      </w:pPr>
      <w:r w:rsidRPr="00FB06F3">
        <w:rPr>
          <w:noProof/>
        </w:rPr>
        <w:drawing>
          <wp:inline distT="0" distB="0" distL="0" distR="0" wp14:anchorId="45C6D587" wp14:editId="77FA6612">
            <wp:extent cx="3017520" cy="1859280"/>
            <wp:effectExtent l="0" t="0" r="0" b="0"/>
            <wp:docPr id="3" name="Chart 3" descr="China 37%&#10;Mexico 16%&#10;Japan 16%&#10;Korea 13%&#10;Canada 8%&#10;Other 10%&#10;" title="Figure 3 Mea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75AE36D" w14:textId="77777777" w:rsidR="008A09F3" w:rsidRPr="00FB06F3" w:rsidRDefault="006F45EE" w:rsidP="008A09F3">
      <w:pPr>
        <w:pStyle w:val="ListParagraph"/>
        <w:numPr>
          <w:ilvl w:val="0"/>
          <w:numId w:val="7"/>
        </w:numPr>
        <w:spacing w:after="0" w:line="271" w:lineRule="auto"/>
        <w:ind w:left="360"/>
      </w:pPr>
      <w:r w:rsidRPr="00FB06F3">
        <w:rPr>
          <w:b/>
        </w:rPr>
        <w:t xml:space="preserve">Meat </w:t>
      </w:r>
      <w:r w:rsidRPr="00FB06F3">
        <w:t>exports grew vigorously</w:t>
      </w:r>
      <w:r w:rsidR="00171E5B" w:rsidRPr="00FB06F3">
        <w:t xml:space="preserve"> to </w:t>
      </w:r>
      <w:r w:rsidR="00171E5B" w:rsidRPr="00FB06F3">
        <w:rPr>
          <w:b/>
        </w:rPr>
        <w:t xml:space="preserve">China </w:t>
      </w:r>
      <w:r w:rsidR="00171E5B" w:rsidRPr="00FB06F3">
        <w:t xml:space="preserve">($180 million, up 289%) and </w:t>
      </w:r>
      <w:r w:rsidR="00171E5B" w:rsidRPr="00FB06F3">
        <w:rPr>
          <w:b/>
        </w:rPr>
        <w:t xml:space="preserve">Japan </w:t>
      </w:r>
      <w:r w:rsidR="00171E5B" w:rsidRPr="00FB06F3">
        <w:t xml:space="preserve">($76 million, up 72%). </w:t>
      </w:r>
      <w:r w:rsidR="00171E5B" w:rsidRPr="00FB06F3">
        <w:rPr>
          <w:b/>
        </w:rPr>
        <w:t>Fresh chilled or frozen pork</w:t>
      </w:r>
      <w:r w:rsidR="006267B7" w:rsidRPr="00FB06F3">
        <w:rPr>
          <w:b/>
        </w:rPr>
        <w:t xml:space="preserve"> </w:t>
      </w:r>
      <w:r w:rsidR="006267B7" w:rsidRPr="00FB06F3">
        <w:t>($353 million)</w:t>
      </w:r>
      <w:r w:rsidR="006267B7" w:rsidRPr="00FB06F3">
        <w:rPr>
          <w:b/>
        </w:rPr>
        <w:t xml:space="preserve"> </w:t>
      </w:r>
      <w:r w:rsidR="006267B7" w:rsidRPr="00FB06F3">
        <w:t xml:space="preserve">surged 50% and accounted for </w:t>
      </w:r>
      <w:r w:rsidR="005D7A63" w:rsidRPr="00FB06F3">
        <w:t xml:space="preserve">about </w:t>
      </w:r>
      <w:r w:rsidR="006267B7" w:rsidRPr="00FB06F3">
        <w:t>three-quarters of meat exports</w:t>
      </w:r>
      <w:r w:rsidR="005D7A63" w:rsidRPr="00FB06F3">
        <w:rPr>
          <w:b/>
        </w:rPr>
        <w:t>.</w:t>
      </w:r>
    </w:p>
    <w:p w14:paraId="14D392A9" w14:textId="77777777" w:rsidR="008A09F3" w:rsidRPr="00FB06F3" w:rsidRDefault="00626D4E" w:rsidP="008A09F3">
      <w:pPr>
        <w:pStyle w:val="ListParagraph"/>
        <w:numPr>
          <w:ilvl w:val="0"/>
          <w:numId w:val="7"/>
        </w:numPr>
        <w:spacing w:after="0" w:line="271" w:lineRule="auto"/>
        <w:ind w:left="360" w:right="18"/>
      </w:pPr>
      <w:r w:rsidRPr="00FB06F3">
        <w:rPr>
          <w:b/>
        </w:rPr>
        <w:t>D</w:t>
      </w:r>
      <w:r w:rsidR="00603AFF" w:rsidRPr="00FB06F3">
        <w:rPr>
          <w:b/>
        </w:rPr>
        <w:t>airy, eggs</w:t>
      </w:r>
      <w:r w:rsidR="00603AFF" w:rsidRPr="00FB06F3">
        <w:t xml:space="preserve"> ($155 million, up 31</w:t>
      </w:r>
      <w:r w:rsidR="008A09F3" w:rsidRPr="00FB06F3">
        <w:t xml:space="preserve">%) were </w:t>
      </w:r>
      <w:r w:rsidRPr="00FB06F3">
        <w:t xml:space="preserve">largely </w:t>
      </w:r>
      <w:r w:rsidR="008A09F3" w:rsidRPr="00FB06F3">
        <w:t xml:space="preserve">shipped to </w:t>
      </w:r>
      <w:r w:rsidR="00603AFF" w:rsidRPr="00FB06F3">
        <w:rPr>
          <w:b/>
        </w:rPr>
        <w:t>China</w:t>
      </w:r>
      <w:r w:rsidR="00603AFF" w:rsidRPr="00FB06F3">
        <w:t xml:space="preserve"> ($52 million, up 75%),</w:t>
      </w:r>
      <w:r w:rsidR="008A09F3" w:rsidRPr="00FB06F3">
        <w:t xml:space="preserve"> </w:t>
      </w:r>
      <w:r w:rsidR="008A09F3" w:rsidRPr="00FB06F3">
        <w:rPr>
          <w:b/>
        </w:rPr>
        <w:t>Mexico</w:t>
      </w:r>
      <w:r w:rsidR="00603AFF" w:rsidRPr="00FB06F3">
        <w:t xml:space="preserve"> ($34 million, up 10%) and </w:t>
      </w:r>
      <w:r w:rsidR="00603AFF" w:rsidRPr="00FB06F3">
        <w:rPr>
          <w:b/>
        </w:rPr>
        <w:t xml:space="preserve">Canada </w:t>
      </w:r>
      <w:r w:rsidR="00603AFF" w:rsidRPr="00FB06F3">
        <w:t xml:space="preserve">($16 million, up 49%). </w:t>
      </w:r>
      <w:r w:rsidR="008A09F3" w:rsidRPr="00FB06F3">
        <w:t xml:space="preserve"> </w:t>
      </w:r>
      <w:r w:rsidR="00603AFF" w:rsidRPr="00FB06F3">
        <w:rPr>
          <w:b/>
        </w:rPr>
        <w:t>Whey</w:t>
      </w:r>
      <w:r w:rsidRPr="00FB06F3">
        <w:t xml:space="preserve"> ($101 million, up 51</w:t>
      </w:r>
      <w:r w:rsidR="008A09F3" w:rsidRPr="00FB06F3">
        <w:t xml:space="preserve">%) </w:t>
      </w:r>
      <w:r w:rsidRPr="00FB06F3">
        <w:t>primarily spurred gains</w:t>
      </w:r>
      <w:r w:rsidR="008A09F3" w:rsidRPr="00FB06F3">
        <w:t>.</w:t>
      </w:r>
    </w:p>
    <w:p w14:paraId="13AE0A81" w14:textId="77777777" w:rsidR="008A09F3" w:rsidRPr="00FB06F3" w:rsidRDefault="0043482D" w:rsidP="008A09F3">
      <w:pPr>
        <w:pStyle w:val="ListParagraph"/>
        <w:numPr>
          <w:ilvl w:val="0"/>
          <w:numId w:val="7"/>
        </w:numPr>
        <w:spacing w:after="0" w:line="271" w:lineRule="auto"/>
        <w:ind w:left="360" w:right="18"/>
      </w:pPr>
      <w:r w:rsidRPr="00FB06F3">
        <w:rPr>
          <w:b/>
        </w:rPr>
        <w:t xml:space="preserve">Precious metals, gemstones </w:t>
      </w:r>
      <w:r w:rsidRPr="00FB06F3">
        <w:t xml:space="preserve">($82 million, up 62%) </w:t>
      </w:r>
      <w:r w:rsidR="00C83BB4" w:rsidRPr="00FB06F3">
        <w:t>strengthened</w:t>
      </w:r>
      <w:r w:rsidR="00275CD0">
        <w:t>,</w:t>
      </w:r>
      <w:r w:rsidR="00C83BB4" w:rsidRPr="00FB06F3">
        <w:t xml:space="preserve"> based on sales of </w:t>
      </w:r>
      <w:r w:rsidR="00F04897" w:rsidRPr="00FB06F3">
        <w:rPr>
          <w:b/>
        </w:rPr>
        <w:t xml:space="preserve">precious metal waste </w:t>
      </w:r>
      <w:r w:rsidR="00F04897" w:rsidRPr="00FB06F3">
        <w:t xml:space="preserve">($40 million, up 40%) and </w:t>
      </w:r>
      <w:r w:rsidR="00F04897" w:rsidRPr="00FB06F3">
        <w:rPr>
          <w:b/>
        </w:rPr>
        <w:t xml:space="preserve">coins </w:t>
      </w:r>
      <w:r w:rsidR="00F04897" w:rsidRPr="00FB06F3">
        <w:t xml:space="preserve">($15 million, up 417%). </w:t>
      </w:r>
      <w:r w:rsidRPr="00FB06F3">
        <w:rPr>
          <w:b/>
        </w:rPr>
        <w:t>Japan</w:t>
      </w:r>
      <w:r w:rsidR="007C024D" w:rsidRPr="00FB06F3">
        <w:t xml:space="preserve"> ($41</w:t>
      </w:r>
      <w:r w:rsidR="00F04897" w:rsidRPr="00FB06F3">
        <w:t xml:space="preserve"> million, up 54%) was a main buyer.</w:t>
      </w:r>
    </w:p>
    <w:p w14:paraId="16D5B7AE" w14:textId="77777777" w:rsidR="0094275A" w:rsidRPr="00FB06F3" w:rsidRDefault="00275CD0" w:rsidP="00A02D2C">
      <w:pPr>
        <w:pStyle w:val="ListParagraph"/>
        <w:numPr>
          <w:ilvl w:val="0"/>
          <w:numId w:val="7"/>
        </w:numPr>
        <w:spacing w:after="0" w:line="271" w:lineRule="auto"/>
        <w:ind w:left="360" w:right="18"/>
      </w:pPr>
      <w:r>
        <w:t xml:space="preserve">Although </w:t>
      </w:r>
      <w:r w:rsidR="00282533" w:rsidRPr="00FB06F3">
        <w:t xml:space="preserve">exports of major </w:t>
      </w:r>
      <w:r w:rsidR="001F3A7C" w:rsidRPr="00FB06F3">
        <w:t>products</w:t>
      </w:r>
      <w:r w:rsidR="00282533" w:rsidRPr="00FB06F3">
        <w:t xml:space="preserve"> faltered</w:t>
      </w:r>
      <w:r>
        <w:t xml:space="preserve"> overall</w:t>
      </w:r>
      <w:r w:rsidR="001F3A7C" w:rsidRPr="00FB06F3">
        <w:t xml:space="preserve">, selected markets generated gains. </w:t>
      </w:r>
      <w:r w:rsidR="0094275A" w:rsidRPr="00FB06F3">
        <w:rPr>
          <w:b/>
        </w:rPr>
        <w:t>V</w:t>
      </w:r>
      <w:r w:rsidR="00594587" w:rsidRPr="00FB06F3">
        <w:rPr>
          <w:b/>
        </w:rPr>
        <w:t xml:space="preserve">ehicles </w:t>
      </w:r>
      <w:r w:rsidR="0045745E" w:rsidRPr="00FB06F3">
        <w:t>gained traction in</w:t>
      </w:r>
      <w:r w:rsidR="00594587" w:rsidRPr="00FB06F3">
        <w:t xml:space="preserve"> </w:t>
      </w:r>
      <w:r w:rsidR="00594587" w:rsidRPr="00FB06F3">
        <w:rPr>
          <w:b/>
        </w:rPr>
        <w:t xml:space="preserve">Switzerland </w:t>
      </w:r>
      <w:r w:rsidR="00594587" w:rsidRPr="00FB06F3">
        <w:t>(</w:t>
      </w:r>
      <w:r w:rsidR="001F3A7C" w:rsidRPr="00FB06F3">
        <w:t>up $21 million</w:t>
      </w:r>
      <w:r w:rsidR="00594587" w:rsidRPr="00FB06F3">
        <w:t xml:space="preserve">), </w:t>
      </w:r>
      <w:r w:rsidR="00594587" w:rsidRPr="00FB06F3">
        <w:rPr>
          <w:b/>
        </w:rPr>
        <w:t xml:space="preserve">India </w:t>
      </w:r>
      <w:r w:rsidR="00910785" w:rsidRPr="00FB06F3">
        <w:t>(</w:t>
      </w:r>
      <w:r w:rsidR="001F3A7C" w:rsidRPr="00FB06F3">
        <w:t>up $7 million),</w:t>
      </w:r>
      <w:r w:rsidR="00594587" w:rsidRPr="00FB06F3">
        <w:t xml:space="preserve"> </w:t>
      </w:r>
      <w:r w:rsidR="00282533" w:rsidRPr="00FB06F3">
        <w:rPr>
          <w:b/>
        </w:rPr>
        <w:t>UAE</w:t>
      </w:r>
      <w:r w:rsidR="00594587" w:rsidRPr="00FB06F3">
        <w:rPr>
          <w:b/>
        </w:rPr>
        <w:t xml:space="preserve"> </w:t>
      </w:r>
      <w:r w:rsidR="00594587" w:rsidRPr="00FB06F3">
        <w:t>(</w:t>
      </w:r>
      <w:r w:rsidR="001F3A7C" w:rsidRPr="00FB06F3">
        <w:t xml:space="preserve">up </w:t>
      </w:r>
      <w:r w:rsidR="00594587" w:rsidRPr="00FB06F3">
        <w:t>$</w:t>
      </w:r>
      <w:r w:rsidR="001F3A7C" w:rsidRPr="00FB06F3">
        <w:t>4 million</w:t>
      </w:r>
      <w:r w:rsidR="00594587" w:rsidRPr="00FB06F3">
        <w:t xml:space="preserve">) and </w:t>
      </w:r>
      <w:r w:rsidR="00594587" w:rsidRPr="00FB06F3">
        <w:rPr>
          <w:b/>
        </w:rPr>
        <w:t xml:space="preserve">Algeria </w:t>
      </w:r>
      <w:r w:rsidR="00594587" w:rsidRPr="00FB06F3">
        <w:t>(</w:t>
      </w:r>
      <w:r w:rsidR="001F3A7C" w:rsidRPr="00FB06F3">
        <w:t xml:space="preserve">up </w:t>
      </w:r>
      <w:r w:rsidR="00594587" w:rsidRPr="00FB06F3">
        <w:t xml:space="preserve">$3 </w:t>
      </w:r>
      <w:r w:rsidR="001F3A7C" w:rsidRPr="00FB06F3">
        <w:t>million</w:t>
      </w:r>
      <w:r w:rsidR="00594587" w:rsidRPr="00FB06F3">
        <w:t>).</w:t>
      </w:r>
      <w:r w:rsidR="001F3A7C" w:rsidRPr="00FB06F3">
        <w:t xml:space="preserve"> </w:t>
      </w:r>
      <w:r w:rsidR="007C024D" w:rsidRPr="00FB06F3">
        <w:t xml:space="preserve">Strong opportunities in </w:t>
      </w:r>
      <w:r w:rsidR="007C024D" w:rsidRPr="00FB06F3">
        <w:rPr>
          <w:b/>
        </w:rPr>
        <w:t>o</w:t>
      </w:r>
      <w:r w:rsidR="001F3A7C" w:rsidRPr="00FB06F3">
        <w:rPr>
          <w:b/>
        </w:rPr>
        <w:t>ptic, medical goods</w:t>
      </w:r>
      <w:r w:rsidR="007C024D" w:rsidRPr="00FB06F3">
        <w:rPr>
          <w:b/>
        </w:rPr>
        <w:t xml:space="preserve"> </w:t>
      </w:r>
      <w:r w:rsidR="007C024D" w:rsidRPr="00FB06F3">
        <w:t xml:space="preserve">were found </w:t>
      </w:r>
      <w:r w:rsidR="001F3A7C" w:rsidRPr="00FB06F3">
        <w:t xml:space="preserve">in </w:t>
      </w:r>
      <w:r w:rsidR="0094275A" w:rsidRPr="00FB06F3">
        <w:rPr>
          <w:b/>
        </w:rPr>
        <w:t>Taiwan</w:t>
      </w:r>
      <w:r w:rsidR="0094275A" w:rsidRPr="00FB06F3">
        <w:t xml:space="preserve">, </w:t>
      </w:r>
      <w:r w:rsidR="0094275A" w:rsidRPr="00FB06F3">
        <w:rPr>
          <w:b/>
        </w:rPr>
        <w:t xml:space="preserve">Australia </w:t>
      </w:r>
      <w:r w:rsidR="0094275A" w:rsidRPr="00FB06F3">
        <w:t xml:space="preserve">and </w:t>
      </w:r>
      <w:r w:rsidR="0094275A" w:rsidRPr="00FB06F3">
        <w:rPr>
          <w:b/>
        </w:rPr>
        <w:t>the UK</w:t>
      </w:r>
      <w:r w:rsidR="001F3A7C" w:rsidRPr="00FB06F3">
        <w:t xml:space="preserve">, while </w:t>
      </w:r>
      <w:r w:rsidR="001F3A7C" w:rsidRPr="00FB06F3">
        <w:rPr>
          <w:b/>
        </w:rPr>
        <w:t xml:space="preserve">machinery </w:t>
      </w:r>
      <w:r w:rsidR="001F3A7C" w:rsidRPr="00FB06F3">
        <w:t xml:space="preserve">performed well in </w:t>
      </w:r>
      <w:r w:rsidR="0094275A" w:rsidRPr="00FB06F3">
        <w:rPr>
          <w:b/>
        </w:rPr>
        <w:t xml:space="preserve">Singapore </w:t>
      </w:r>
      <w:r w:rsidR="0094275A" w:rsidRPr="00FB06F3">
        <w:t>(up 51%),</w:t>
      </w:r>
      <w:r w:rsidR="0094275A" w:rsidRPr="00FB06F3">
        <w:rPr>
          <w:b/>
        </w:rPr>
        <w:t xml:space="preserve"> the Philippines</w:t>
      </w:r>
      <w:r w:rsidR="0094275A" w:rsidRPr="00FB06F3">
        <w:t xml:space="preserve"> (up 53%) </w:t>
      </w:r>
      <w:r w:rsidR="0094275A" w:rsidRPr="00B14C89">
        <w:rPr>
          <w:bCs/>
        </w:rPr>
        <w:t xml:space="preserve">and </w:t>
      </w:r>
      <w:r w:rsidR="0094275A" w:rsidRPr="00FB06F3">
        <w:rPr>
          <w:b/>
        </w:rPr>
        <w:t xml:space="preserve">Ireland </w:t>
      </w:r>
      <w:r w:rsidR="001F3A7C" w:rsidRPr="00FB06F3">
        <w:t>(up 136%).</w:t>
      </w:r>
      <w:r w:rsidR="00282533" w:rsidRPr="00FB06F3">
        <w:t xml:space="preserve"> </w:t>
      </w:r>
      <w:r w:rsidR="00282533" w:rsidRPr="00FB06F3">
        <w:rPr>
          <w:b/>
        </w:rPr>
        <w:t>Taiwan, Malaysia,</w:t>
      </w:r>
      <w:r w:rsidR="00282533" w:rsidRPr="00FB06F3">
        <w:t xml:space="preserve"> </w:t>
      </w:r>
      <w:r w:rsidR="00282533" w:rsidRPr="00FB06F3">
        <w:rPr>
          <w:b/>
        </w:rPr>
        <w:t>Switzerland</w:t>
      </w:r>
      <w:r w:rsidR="00282533" w:rsidRPr="00FB06F3">
        <w:t xml:space="preserve"> and </w:t>
      </w:r>
      <w:r w:rsidR="00282533" w:rsidRPr="00FB06F3">
        <w:rPr>
          <w:b/>
        </w:rPr>
        <w:t xml:space="preserve">UAE </w:t>
      </w:r>
      <w:r w:rsidR="00282533" w:rsidRPr="00FB06F3">
        <w:t xml:space="preserve">were among the growing markets for </w:t>
      </w:r>
      <w:r w:rsidR="00282533" w:rsidRPr="00FB06F3">
        <w:rPr>
          <w:b/>
        </w:rPr>
        <w:t>electrical equipment.</w:t>
      </w:r>
    </w:p>
    <w:p w14:paraId="1FF44642" w14:textId="77777777" w:rsidR="0094275A" w:rsidRPr="00FB06F3" w:rsidRDefault="0094275A" w:rsidP="0094275A">
      <w:pPr>
        <w:pStyle w:val="ListParagraph"/>
        <w:numPr>
          <w:ilvl w:val="0"/>
          <w:numId w:val="7"/>
        </w:numPr>
        <w:spacing w:after="0" w:line="271" w:lineRule="auto"/>
        <w:ind w:left="360" w:right="18"/>
      </w:pPr>
      <w:r w:rsidRPr="00FB06F3">
        <w:t>Exporters made inroads with</w:t>
      </w:r>
      <w:r w:rsidRPr="00FB06F3">
        <w:rPr>
          <w:b/>
        </w:rPr>
        <w:t xml:space="preserve"> iron ores </w:t>
      </w:r>
      <w:r w:rsidRPr="00FB06F3">
        <w:t xml:space="preserve">to </w:t>
      </w:r>
      <w:r w:rsidRPr="00FB06F3">
        <w:rPr>
          <w:b/>
        </w:rPr>
        <w:t xml:space="preserve">Slovakia, </w:t>
      </w:r>
      <w:r w:rsidRPr="00FB06F3">
        <w:t>growing exports by $57 million (up from none in 2019).</w:t>
      </w:r>
    </w:p>
    <w:p w14:paraId="793826B8" w14:textId="77777777" w:rsidR="008A09F3" w:rsidRPr="00FB06F3" w:rsidRDefault="008A09F3" w:rsidP="00910785">
      <w:pPr>
        <w:pStyle w:val="ListParagraph"/>
        <w:numPr>
          <w:ilvl w:val="0"/>
          <w:numId w:val="7"/>
        </w:numPr>
        <w:spacing w:after="0" w:line="271" w:lineRule="auto"/>
        <w:ind w:left="360"/>
      </w:pPr>
      <w:r w:rsidRPr="00FB06F3">
        <w:t xml:space="preserve">Other </w:t>
      </w:r>
      <w:r w:rsidR="006C295B" w:rsidRPr="00FB06F3">
        <w:t>products with solid performances included</w:t>
      </w:r>
      <w:r w:rsidRPr="00FB06F3">
        <w:t xml:space="preserve"> </w:t>
      </w:r>
      <w:r w:rsidR="00C83BB4" w:rsidRPr="00FB06F3">
        <w:rPr>
          <w:b/>
        </w:rPr>
        <w:t>railway equipment</w:t>
      </w:r>
      <w:r w:rsidR="00C83BB4" w:rsidRPr="00FB06F3">
        <w:t xml:space="preserve"> ($27</w:t>
      </w:r>
      <w:r w:rsidRPr="00FB06F3">
        <w:t xml:space="preserve"> million, </w:t>
      </w:r>
      <w:r w:rsidR="00C83BB4" w:rsidRPr="00FB06F3">
        <w:t>up 131%</w:t>
      </w:r>
      <w:r w:rsidR="0045745E" w:rsidRPr="00FB06F3">
        <w:t xml:space="preserve"> - steered by</w:t>
      </w:r>
      <w:r w:rsidR="006C295B" w:rsidRPr="00FB06F3">
        <w:t xml:space="preserve"> </w:t>
      </w:r>
      <w:r w:rsidR="006C295B" w:rsidRPr="00FB06F3">
        <w:rPr>
          <w:b/>
        </w:rPr>
        <w:t xml:space="preserve">Brazil </w:t>
      </w:r>
      <w:r w:rsidR="006C295B" w:rsidRPr="00FB06F3">
        <w:t xml:space="preserve">and </w:t>
      </w:r>
      <w:r w:rsidR="006C295B" w:rsidRPr="00FB06F3">
        <w:rPr>
          <w:b/>
        </w:rPr>
        <w:t>Mexico</w:t>
      </w:r>
      <w:r w:rsidR="00910785" w:rsidRPr="00FB06F3">
        <w:t>)</w:t>
      </w:r>
      <w:r w:rsidR="006C295B" w:rsidRPr="00FB06F3">
        <w:t>;</w:t>
      </w:r>
      <w:r w:rsidRPr="00FB06F3">
        <w:t xml:space="preserve"> </w:t>
      </w:r>
      <w:r w:rsidR="00C83BB4" w:rsidRPr="00FB06F3">
        <w:rPr>
          <w:b/>
        </w:rPr>
        <w:t>oil seeds, misc. grains</w:t>
      </w:r>
      <w:r w:rsidR="00C83BB4" w:rsidRPr="00FB06F3">
        <w:t xml:space="preserve"> (</w:t>
      </w:r>
      <w:r w:rsidRPr="00FB06F3">
        <w:t>$</w:t>
      </w:r>
      <w:r w:rsidR="00C83BB4" w:rsidRPr="00FB06F3">
        <w:t>172</w:t>
      </w:r>
      <w:r w:rsidRPr="00FB06F3">
        <w:t xml:space="preserve"> million, </w:t>
      </w:r>
      <w:r w:rsidR="00C83BB4" w:rsidRPr="00FB06F3">
        <w:t>up 9%</w:t>
      </w:r>
      <w:r w:rsidR="006C295B" w:rsidRPr="00FB06F3">
        <w:t xml:space="preserve"> - bolstered by </w:t>
      </w:r>
      <w:r w:rsidR="006C295B" w:rsidRPr="00FB06F3">
        <w:rPr>
          <w:b/>
        </w:rPr>
        <w:t xml:space="preserve">China, Japan, Canada </w:t>
      </w:r>
      <w:r w:rsidR="006C295B" w:rsidRPr="00FB06F3">
        <w:t xml:space="preserve">and </w:t>
      </w:r>
      <w:r w:rsidR="006C295B" w:rsidRPr="00FB06F3">
        <w:rPr>
          <w:b/>
        </w:rPr>
        <w:t>Korea</w:t>
      </w:r>
      <w:r w:rsidR="006C295B" w:rsidRPr="00FB06F3">
        <w:t>);</w:t>
      </w:r>
      <w:r w:rsidRPr="00FB06F3">
        <w:t xml:space="preserve"> </w:t>
      </w:r>
      <w:r w:rsidR="00C83BB4" w:rsidRPr="00FB06F3">
        <w:rPr>
          <w:b/>
        </w:rPr>
        <w:t>vegetables</w:t>
      </w:r>
      <w:r w:rsidR="00C83BB4" w:rsidRPr="00FB06F3">
        <w:t xml:space="preserve"> ($66 million, up 14%</w:t>
      </w:r>
      <w:r w:rsidR="00FB06F3" w:rsidRPr="00FB06F3">
        <w:t xml:space="preserve"> - supported by </w:t>
      </w:r>
      <w:r w:rsidR="00FB06F3" w:rsidRPr="00FB06F3">
        <w:rPr>
          <w:b/>
        </w:rPr>
        <w:t>the UK</w:t>
      </w:r>
      <w:r w:rsidR="00910785" w:rsidRPr="00FB06F3">
        <w:t xml:space="preserve"> and </w:t>
      </w:r>
      <w:r w:rsidR="00910785" w:rsidRPr="00FB06F3">
        <w:rPr>
          <w:b/>
        </w:rPr>
        <w:t>Mexico</w:t>
      </w:r>
      <w:r w:rsidRPr="00FB06F3">
        <w:t>)</w:t>
      </w:r>
      <w:r w:rsidR="006C295B" w:rsidRPr="00FB06F3">
        <w:t>;</w:t>
      </w:r>
      <w:r w:rsidR="00C83BB4" w:rsidRPr="00FB06F3">
        <w:t xml:space="preserve"> and </w:t>
      </w:r>
      <w:r w:rsidR="00C83BB4" w:rsidRPr="00FB06F3">
        <w:rPr>
          <w:b/>
        </w:rPr>
        <w:t>prepared meat, fish</w:t>
      </w:r>
      <w:r w:rsidR="00C83BB4" w:rsidRPr="00FB06F3">
        <w:t xml:space="preserve"> ($107 million, up 7%</w:t>
      </w:r>
      <w:r w:rsidR="006C295B" w:rsidRPr="00FB06F3">
        <w:t xml:space="preserve"> - led by the </w:t>
      </w:r>
      <w:r w:rsidR="006C295B" w:rsidRPr="00FB06F3">
        <w:rPr>
          <w:b/>
        </w:rPr>
        <w:t>Philippines</w:t>
      </w:r>
      <w:r w:rsidR="00C83BB4" w:rsidRPr="00FB06F3">
        <w:t>)</w:t>
      </w:r>
      <w:r w:rsidRPr="00FB06F3">
        <w:t>.</w:t>
      </w:r>
    </w:p>
    <w:p w14:paraId="7A324B63" w14:textId="77777777" w:rsidR="000D50BF" w:rsidRDefault="00C72BBA" w:rsidP="0021036F">
      <w:pPr>
        <w:pStyle w:val="Heading4"/>
        <w:spacing w:before="120"/>
        <w:rPr>
          <w:color w:val="auto"/>
        </w:rPr>
      </w:pPr>
      <w:r w:rsidRPr="00FB06F3">
        <w:rPr>
          <w:color w:val="auto"/>
        </w:rPr>
        <w:t>Figure 4</w:t>
      </w:r>
      <w:r w:rsidR="00542EF2" w:rsidRPr="00FB06F3">
        <w:rPr>
          <w:color w:val="auto"/>
        </w:rPr>
        <w:t>. Exports and Trends for</w:t>
      </w:r>
      <w:r w:rsidR="007F1C4A" w:rsidRPr="00FB06F3">
        <w:rPr>
          <w:color w:val="auto"/>
        </w:rPr>
        <w:t xml:space="preserve"> Minnesota’s Top 10 Products, </w:t>
      </w:r>
      <w:r w:rsidR="00EB5C34" w:rsidRPr="00FB06F3">
        <w:rPr>
          <w:color w:val="auto"/>
        </w:rPr>
        <w:t>2020</w:t>
      </w:r>
    </w:p>
    <w:tbl>
      <w:tblPr>
        <w:tblpPr w:leftFromText="180" w:rightFromText="180" w:vertAnchor="page" w:horzAnchor="margin" w:tblpY="13066"/>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FBB"/>
        <w:tblLook w:val="04A0" w:firstRow="1" w:lastRow="0" w:firstColumn="1" w:lastColumn="0" w:noHBand="0" w:noVBand="1"/>
        <w:tblCaption w:val="Additional information"/>
        <w:tblDescription w:val="Minnesota Export Statistics is the most current resource available for tracking the state’s trends of exports of goods and is prepared for the Minnesota Trade Office (MTO) by the Department of Employment and Economic Development’s (DEED) Economic Analysis Unit (by Thu-Mai Ho-Kim).  The quarterly and annual statistics reports primarily cover export data based on the Harmonized Tariff System (Schedule B), collected by the U.S. Department of Commerce (USDOC) and distributed by IHS Markit. Reports are available on DEED’s website at “Export and Trade Statistics” (http://mn.gov/deed/data/export-stats/).  Additional Notes: The U.S. Department of Agriculture (USDA) publishes alternate annual agricultural export estimates based on different methodology. USDA estimated that Minnesota exported $6.9 billion in agricultural and related food products in 2017, ranking fifth highest among all states. Data on services exports are limited. The Coalition of Services Industries, a national industry group, estimated Minnesota services exports at $11 billion in 2017. DEED estimated Minnesota’s services exports at $14 billion for 2019, based on pro-rating U.S. services exports data, using the state’s GDP industry shares."/>
      </w:tblPr>
      <w:tblGrid>
        <w:gridCol w:w="10255"/>
      </w:tblGrid>
      <w:tr w:rsidR="008C3F62" w:rsidRPr="00FB06F3" w14:paraId="1612B052" w14:textId="77777777" w:rsidTr="008C3F62">
        <w:trPr>
          <w:trHeight w:val="309"/>
        </w:trPr>
        <w:tc>
          <w:tcPr>
            <w:tcW w:w="10255" w:type="dxa"/>
            <w:shd w:val="clear" w:color="auto" w:fill="DAEFBB"/>
          </w:tcPr>
          <w:p w14:paraId="165355E3" w14:textId="77777777" w:rsidR="008C3F62" w:rsidRPr="008C3F62" w:rsidRDefault="008C3F62" w:rsidP="008C3F62">
            <w:pPr>
              <w:spacing w:after="0"/>
              <w:rPr>
                <w:rFonts w:ascii="Arial Narrow" w:hAnsi="Arial Narrow" w:cstheme="minorHAnsi"/>
                <w:sz w:val="14"/>
                <w:szCs w:val="14"/>
              </w:rPr>
            </w:pPr>
            <w:r w:rsidRPr="008C3F62">
              <w:rPr>
                <w:rStyle w:val="Emphasis"/>
                <w:rFonts w:ascii="Arial Narrow" w:hAnsi="Arial Narrow" w:cstheme="minorHAnsi"/>
                <w:sz w:val="16"/>
                <w:szCs w:val="16"/>
              </w:rPr>
              <w:t xml:space="preserve">Minnesota Export Statistics </w:t>
            </w:r>
            <w:r w:rsidRPr="008C3F62">
              <w:rPr>
                <w:rFonts w:ascii="Arial Narrow" w:hAnsi="Arial Narrow" w:cstheme="minorHAnsi"/>
                <w:sz w:val="16"/>
                <w:szCs w:val="16"/>
              </w:rPr>
              <w:t>is the most current resource available for tracking the state’s trends of exports of goods and is prepared for the Minnesota Trade Office (MTO) by the Department of Employment and Economic Development’s (DEED) Economic Analysis Unit (by Thu-Mai Ho-Kim).  The quarterly and annual statistics reports primarily cover export data based on the Harmonized Tariff System (Schedule B), collected by the U.S. Department of Commerce (USDOC) and distributed by IHS Markit. Reports are available on DEED’s website at “Export and Trade Statistics” (</w:t>
            </w:r>
            <w:hyperlink r:id="rId17" w:history="1">
              <w:r w:rsidRPr="008C3F62">
                <w:rPr>
                  <w:rStyle w:val="Hyperlink"/>
                  <w:rFonts w:ascii="Arial Narrow" w:hAnsi="Arial Narrow" w:cstheme="minorHAnsi"/>
                  <w:color w:val="auto"/>
                  <w:sz w:val="16"/>
                  <w:szCs w:val="16"/>
                </w:rPr>
                <w:t>http://mn.gov/deed/data/export-stats/</w:t>
              </w:r>
            </w:hyperlink>
            <w:r w:rsidRPr="008C3F62">
              <w:rPr>
                <w:rFonts w:ascii="Arial Narrow" w:hAnsi="Arial Narrow" w:cstheme="minorHAnsi"/>
                <w:sz w:val="16"/>
                <w:szCs w:val="16"/>
              </w:rPr>
              <w:t>).  Additional Notes: The U.S. Department of Agriculture (USDA) publishes alternate annual agricultural export estimates based on different methodology. USDA estimated that Minnesota exported $6.4 billion in agricultural and related food products in 2019, ranking fourth highest among states. Data on services exports are limited. DEED estimated Minnesota’s services exports at $12 billion for 2020, based on pro-rating U.S. services exports data, using the state’s GDP industry shares.</w:t>
            </w:r>
          </w:p>
        </w:tc>
      </w:tr>
    </w:tbl>
    <w:p w14:paraId="7683208E" w14:textId="77777777" w:rsidR="00275CD0" w:rsidRPr="00275CD0" w:rsidRDefault="00275CD0" w:rsidP="008C3F62">
      <w:pPr>
        <w:spacing w:after="0"/>
        <w:jc w:val="center"/>
      </w:pPr>
      <w:bookmarkStart w:id="0" w:name="_GoBack"/>
      <w:r w:rsidRPr="00275CD0">
        <w:rPr>
          <w:noProof/>
        </w:rPr>
        <w:drawing>
          <wp:inline distT="0" distB="0" distL="0" distR="0" wp14:anchorId="5C2AAC0F" wp14:editId="0F464067">
            <wp:extent cx="6194066" cy="1751965"/>
            <wp:effectExtent l="0" t="0" r="0" b="635"/>
            <wp:docPr id="15" name="Picture 15" descr="PRODUCT  Exports (millions)  Percent Change, 2019 to 2020&#10;Total  $20,077  -10%&#10;Optic, Medical  $3,930  -15%&#10;Machinery  $3,101  -9%&#10;Electrical Equipment  $2,365  -18%&#10;Plastics  $1,325  -7%&#10;Vehicles  $1,125  -16%&#10;Mineral Fuels, Oils*  $1,060  230%&#10;Food By-Products  $538  -15%&#10;Meat  $483  33%&#10;Pharmaceuticals  $482  -27%&#10;Ores, Slag, Ash  $480  -17%&#10;Other  $5,188  -13%&#10;"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hokim\Work from home files\wfh files_Main\Tableau, Viz\MTO Tableau files\Export Stats Reports\Newsletter &amp; Fact Sheet charts\2020 Top 10 2H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28887" cy="1761814"/>
                    </a:xfrm>
                    <a:prstGeom prst="rect">
                      <a:avLst/>
                    </a:prstGeom>
                    <a:noFill/>
                    <a:ln>
                      <a:noFill/>
                    </a:ln>
                  </pic:spPr>
                </pic:pic>
              </a:graphicData>
            </a:graphic>
          </wp:inline>
        </w:drawing>
      </w:r>
      <w:bookmarkEnd w:id="0"/>
    </w:p>
    <w:p w14:paraId="69502605" w14:textId="77777777" w:rsidR="002F5753" w:rsidRPr="00275CD0" w:rsidRDefault="002F5753" w:rsidP="002F5753">
      <w:pPr>
        <w:spacing w:after="120"/>
        <w:rPr>
          <w:i/>
          <w:sz w:val="18"/>
        </w:rPr>
      </w:pPr>
      <w:r w:rsidRPr="00275CD0">
        <w:rPr>
          <w:i/>
          <w:sz w:val="18"/>
        </w:rPr>
        <w:t>*T</w:t>
      </w:r>
      <w:r w:rsidR="00275CD0" w:rsidRPr="00275CD0">
        <w:rPr>
          <w:i/>
          <w:sz w:val="18"/>
        </w:rPr>
        <w:t>he t</w:t>
      </w:r>
      <w:r w:rsidRPr="00275CD0">
        <w:rPr>
          <w:i/>
          <w:sz w:val="18"/>
        </w:rPr>
        <w:t xml:space="preserve">rend for Mineral Fuels, Oils (up 230%) </w:t>
      </w:r>
      <w:r w:rsidR="00275CD0" w:rsidRPr="00275CD0">
        <w:rPr>
          <w:i/>
          <w:sz w:val="18"/>
        </w:rPr>
        <w:t xml:space="preserve">was </w:t>
      </w:r>
      <w:r w:rsidRPr="00275CD0">
        <w:rPr>
          <w:i/>
          <w:sz w:val="18"/>
        </w:rPr>
        <w:t>not shown to minimize chart distortion.</w:t>
      </w:r>
    </w:p>
    <w:p w14:paraId="42CF7DFC" w14:textId="77777777" w:rsidR="007F1C4A" w:rsidRPr="00FB06F3" w:rsidRDefault="007F1C4A" w:rsidP="00D42DF4">
      <w:pPr>
        <w:spacing w:after="240"/>
        <w:rPr>
          <w:rFonts w:eastAsia="Times New Roman" w:cs="Times New Roman"/>
          <w:snapToGrid w:val="0"/>
          <w:w w:val="0"/>
          <w:sz w:val="0"/>
          <w:szCs w:val="0"/>
          <w:u w:color="000000"/>
          <w:bdr w:val="none" w:sz="0" w:space="0" w:color="000000"/>
          <w:shd w:val="clear" w:color="000000" w:fill="000000"/>
          <w:lang w:eastAsia="x-none" w:bidi="x-none"/>
        </w:rPr>
      </w:pPr>
    </w:p>
    <w:sectPr w:rsidR="007F1C4A" w:rsidRPr="00FB06F3" w:rsidSect="004B3151">
      <w:footerReference w:type="default" r:id="rId19"/>
      <w:footnotePr>
        <w:numRestart w:val="eachSect"/>
      </w:footnotePr>
      <w:endnotePr>
        <w:numFmt w:val="decimal"/>
      </w:endnotePr>
      <w:type w:val="continuous"/>
      <w:pgSz w:w="12240" w:h="15840" w:code="1"/>
      <w:pgMar w:top="720" w:right="1152" w:bottom="720" w:left="1152"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C1B23" w14:textId="77777777" w:rsidR="0007242D" w:rsidRDefault="0007242D">
      <w:r>
        <w:separator/>
      </w:r>
    </w:p>
  </w:endnote>
  <w:endnote w:type="continuationSeparator" w:id="0">
    <w:p w14:paraId="4CF5299E" w14:textId="77777777" w:rsidR="0007242D" w:rsidRDefault="0007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6EC55" w14:textId="77777777" w:rsidR="00CC1B7D" w:rsidRDefault="00CC1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D5374B" w14:textId="77777777" w:rsidR="00CC1B7D" w:rsidRDefault="00CC1B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0F35D" w14:textId="77777777" w:rsidR="00A14E15" w:rsidRPr="00A14E15" w:rsidRDefault="00A14E15" w:rsidP="00A14E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0F5DE" w14:textId="77777777" w:rsidR="003329A5" w:rsidRPr="00A14E15" w:rsidRDefault="003329A5" w:rsidP="00A14E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835635"/>
      <w:docPartObj>
        <w:docPartGallery w:val="Page Numbers (Bottom of Page)"/>
        <w:docPartUnique/>
      </w:docPartObj>
    </w:sdtPr>
    <w:sdtEndPr>
      <w:rPr>
        <w:noProof/>
      </w:rPr>
    </w:sdtEndPr>
    <w:sdtContent>
      <w:p w14:paraId="69CAE3AE" w14:textId="77777777" w:rsidR="00EF688D" w:rsidRDefault="00EF688D">
        <w:pPr>
          <w:pStyle w:val="Footer"/>
          <w:jc w:val="right"/>
        </w:pPr>
        <w:r>
          <w:fldChar w:fldCharType="begin"/>
        </w:r>
        <w:r>
          <w:instrText xml:space="preserve"> PAGE   \* MERGEFORMAT </w:instrText>
        </w:r>
        <w:r>
          <w:fldChar w:fldCharType="separate"/>
        </w:r>
        <w:r w:rsidR="00275CD0">
          <w:rPr>
            <w:noProof/>
          </w:rPr>
          <w:t>3</w:t>
        </w:r>
        <w:r>
          <w:rPr>
            <w:noProof/>
          </w:rPr>
          <w:fldChar w:fldCharType="end"/>
        </w:r>
      </w:p>
    </w:sdtContent>
  </w:sdt>
  <w:p w14:paraId="278D84B8" w14:textId="77777777" w:rsidR="00C72BBA" w:rsidRPr="00A14E15" w:rsidRDefault="00C72BBA" w:rsidP="00A14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F3669" w14:textId="77777777" w:rsidR="0007242D" w:rsidRDefault="0007242D">
      <w:r>
        <w:separator/>
      </w:r>
    </w:p>
  </w:footnote>
  <w:footnote w:type="continuationSeparator" w:id="0">
    <w:p w14:paraId="3824EFF0" w14:textId="77777777" w:rsidR="0007242D" w:rsidRDefault="00072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FE364" w14:textId="77777777" w:rsidR="00CC1B7D" w:rsidRDefault="00CC1B7D" w:rsidP="00E01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361D9" w14:textId="77777777" w:rsidR="00CC1B7D" w:rsidRDefault="00CC1B7D" w:rsidP="00E014F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89482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AD003E"/>
    <w:multiLevelType w:val="hybridMultilevel"/>
    <w:tmpl w:val="EFA8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D7251"/>
    <w:multiLevelType w:val="hybridMultilevel"/>
    <w:tmpl w:val="A20C3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055FB0"/>
    <w:multiLevelType w:val="hybridMultilevel"/>
    <w:tmpl w:val="39F01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9B22E7"/>
    <w:multiLevelType w:val="hybridMultilevel"/>
    <w:tmpl w:val="5EA41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9E1423"/>
    <w:multiLevelType w:val="hybridMultilevel"/>
    <w:tmpl w:val="47CE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1A5E"/>
    <w:multiLevelType w:val="hybridMultilevel"/>
    <w:tmpl w:val="787C9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61121C"/>
    <w:multiLevelType w:val="hybridMultilevel"/>
    <w:tmpl w:val="CFAA2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B7674F"/>
    <w:multiLevelType w:val="hybridMultilevel"/>
    <w:tmpl w:val="28C6AC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3D731D63"/>
    <w:multiLevelType w:val="hybridMultilevel"/>
    <w:tmpl w:val="0FB4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81A19"/>
    <w:multiLevelType w:val="hybridMultilevel"/>
    <w:tmpl w:val="B832D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373CB2"/>
    <w:multiLevelType w:val="hybridMultilevel"/>
    <w:tmpl w:val="B27CD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1704E9"/>
    <w:multiLevelType w:val="hybridMultilevel"/>
    <w:tmpl w:val="187CA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6C2E21"/>
    <w:multiLevelType w:val="hybridMultilevel"/>
    <w:tmpl w:val="BB483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38056F"/>
    <w:multiLevelType w:val="hybridMultilevel"/>
    <w:tmpl w:val="88CEE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DA42E3"/>
    <w:multiLevelType w:val="hybridMultilevel"/>
    <w:tmpl w:val="8A0E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802F2B"/>
    <w:multiLevelType w:val="hybridMultilevel"/>
    <w:tmpl w:val="92C4D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975A35"/>
    <w:multiLevelType w:val="hybridMultilevel"/>
    <w:tmpl w:val="E5021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F11FFB"/>
    <w:multiLevelType w:val="hybridMultilevel"/>
    <w:tmpl w:val="4CDAD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E717D2"/>
    <w:multiLevelType w:val="hybridMultilevel"/>
    <w:tmpl w:val="8FA4E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4"/>
  </w:num>
  <w:num w:numId="4">
    <w:abstractNumId w:val="6"/>
  </w:num>
  <w:num w:numId="5">
    <w:abstractNumId w:val="2"/>
  </w:num>
  <w:num w:numId="6">
    <w:abstractNumId w:val="9"/>
  </w:num>
  <w:num w:numId="7">
    <w:abstractNumId w:val="19"/>
  </w:num>
  <w:num w:numId="8">
    <w:abstractNumId w:val="17"/>
  </w:num>
  <w:num w:numId="9">
    <w:abstractNumId w:val="11"/>
  </w:num>
  <w:num w:numId="10">
    <w:abstractNumId w:val="10"/>
  </w:num>
  <w:num w:numId="11">
    <w:abstractNumId w:val="7"/>
  </w:num>
  <w:num w:numId="12">
    <w:abstractNumId w:val="3"/>
  </w:num>
  <w:num w:numId="13">
    <w:abstractNumId w:val="18"/>
  </w:num>
  <w:num w:numId="14">
    <w:abstractNumId w:val="13"/>
  </w:num>
  <w:num w:numId="15">
    <w:abstractNumId w:val="8"/>
  </w:num>
  <w:num w:numId="16">
    <w:abstractNumId w:val="12"/>
  </w:num>
  <w:num w:numId="17">
    <w:abstractNumId w:val="5"/>
  </w:num>
  <w:num w:numId="18">
    <w:abstractNumId w:val="1"/>
  </w:num>
  <w:num w:numId="19">
    <w:abstractNumId w:val="4"/>
  </w:num>
  <w:num w:numId="20">
    <w:abstractNumId w:val="4"/>
  </w:num>
  <w:num w:numId="2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AB"/>
    <w:rsid w:val="00002128"/>
    <w:rsid w:val="000041CC"/>
    <w:rsid w:val="00007266"/>
    <w:rsid w:val="000115BA"/>
    <w:rsid w:val="0001235B"/>
    <w:rsid w:val="00013717"/>
    <w:rsid w:val="000146CA"/>
    <w:rsid w:val="00017FE0"/>
    <w:rsid w:val="000218A0"/>
    <w:rsid w:val="00024BB5"/>
    <w:rsid w:val="00034FBE"/>
    <w:rsid w:val="00035328"/>
    <w:rsid w:val="00036238"/>
    <w:rsid w:val="00046117"/>
    <w:rsid w:val="00051FE0"/>
    <w:rsid w:val="00051FF7"/>
    <w:rsid w:val="00055A2D"/>
    <w:rsid w:val="00055A45"/>
    <w:rsid w:val="0005790D"/>
    <w:rsid w:val="0006144E"/>
    <w:rsid w:val="00070016"/>
    <w:rsid w:val="000716AC"/>
    <w:rsid w:val="0007242D"/>
    <w:rsid w:val="000731F2"/>
    <w:rsid w:val="00073511"/>
    <w:rsid w:val="00073987"/>
    <w:rsid w:val="00073E4C"/>
    <w:rsid w:val="000750C3"/>
    <w:rsid w:val="00076DF3"/>
    <w:rsid w:val="00077712"/>
    <w:rsid w:val="00077989"/>
    <w:rsid w:val="00077EF4"/>
    <w:rsid w:val="0008038B"/>
    <w:rsid w:val="00084F9F"/>
    <w:rsid w:val="000859F2"/>
    <w:rsid w:val="00085EED"/>
    <w:rsid w:val="000903C9"/>
    <w:rsid w:val="00090B7B"/>
    <w:rsid w:val="0009219A"/>
    <w:rsid w:val="00092621"/>
    <w:rsid w:val="0009348A"/>
    <w:rsid w:val="00096FFD"/>
    <w:rsid w:val="000A409A"/>
    <w:rsid w:val="000A491B"/>
    <w:rsid w:val="000A4AB3"/>
    <w:rsid w:val="000A5664"/>
    <w:rsid w:val="000A7EF0"/>
    <w:rsid w:val="000B2A85"/>
    <w:rsid w:val="000B2D86"/>
    <w:rsid w:val="000B38B1"/>
    <w:rsid w:val="000B445D"/>
    <w:rsid w:val="000B518F"/>
    <w:rsid w:val="000C1CB0"/>
    <w:rsid w:val="000C2181"/>
    <w:rsid w:val="000C3AE5"/>
    <w:rsid w:val="000C7D1B"/>
    <w:rsid w:val="000D18A9"/>
    <w:rsid w:val="000D50BF"/>
    <w:rsid w:val="000D5400"/>
    <w:rsid w:val="000D5D94"/>
    <w:rsid w:val="000D6FAF"/>
    <w:rsid w:val="000E0786"/>
    <w:rsid w:val="000E3376"/>
    <w:rsid w:val="000E6BD9"/>
    <w:rsid w:val="000E7ED0"/>
    <w:rsid w:val="000F0519"/>
    <w:rsid w:val="000F1844"/>
    <w:rsid w:val="000F1B22"/>
    <w:rsid w:val="000F3E1F"/>
    <w:rsid w:val="000F4677"/>
    <w:rsid w:val="000F54F2"/>
    <w:rsid w:val="000F6660"/>
    <w:rsid w:val="000F6CDA"/>
    <w:rsid w:val="00104038"/>
    <w:rsid w:val="00107686"/>
    <w:rsid w:val="001104C3"/>
    <w:rsid w:val="001127F8"/>
    <w:rsid w:val="00112A1D"/>
    <w:rsid w:val="00112A91"/>
    <w:rsid w:val="00114D4B"/>
    <w:rsid w:val="00116C04"/>
    <w:rsid w:val="00117F52"/>
    <w:rsid w:val="001214D7"/>
    <w:rsid w:val="00121B5D"/>
    <w:rsid w:val="0012471B"/>
    <w:rsid w:val="001250AB"/>
    <w:rsid w:val="001263E2"/>
    <w:rsid w:val="00130080"/>
    <w:rsid w:val="00131B23"/>
    <w:rsid w:val="00131EDB"/>
    <w:rsid w:val="00132A66"/>
    <w:rsid w:val="00133985"/>
    <w:rsid w:val="00134ECC"/>
    <w:rsid w:val="00134F20"/>
    <w:rsid w:val="001360E3"/>
    <w:rsid w:val="001403DF"/>
    <w:rsid w:val="001406DC"/>
    <w:rsid w:val="00142003"/>
    <w:rsid w:val="0014228E"/>
    <w:rsid w:val="00147356"/>
    <w:rsid w:val="00155169"/>
    <w:rsid w:val="00155C52"/>
    <w:rsid w:val="00160C41"/>
    <w:rsid w:val="00162EF3"/>
    <w:rsid w:val="0016340E"/>
    <w:rsid w:val="00170A9E"/>
    <w:rsid w:val="00171E5B"/>
    <w:rsid w:val="00173478"/>
    <w:rsid w:val="00173D78"/>
    <w:rsid w:val="00176E55"/>
    <w:rsid w:val="00177D5B"/>
    <w:rsid w:val="0018375B"/>
    <w:rsid w:val="0018461A"/>
    <w:rsid w:val="001866EF"/>
    <w:rsid w:val="00191624"/>
    <w:rsid w:val="00192539"/>
    <w:rsid w:val="00192CA0"/>
    <w:rsid w:val="001942D2"/>
    <w:rsid w:val="001968E6"/>
    <w:rsid w:val="001978D1"/>
    <w:rsid w:val="001979B1"/>
    <w:rsid w:val="001A08C3"/>
    <w:rsid w:val="001B0716"/>
    <w:rsid w:val="001B0D71"/>
    <w:rsid w:val="001B1416"/>
    <w:rsid w:val="001B344A"/>
    <w:rsid w:val="001B3687"/>
    <w:rsid w:val="001B6B06"/>
    <w:rsid w:val="001C28D2"/>
    <w:rsid w:val="001C3A93"/>
    <w:rsid w:val="001C6967"/>
    <w:rsid w:val="001D0609"/>
    <w:rsid w:val="001D704D"/>
    <w:rsid w:val="001E4570"/>
    <w:rsid w:val="001E4F28"/>
    <w:rsid w:val="001E53CF"/>
    <w:rsid w:val="001E6B49"/>
    <w:rsid w:val="001E79C1"/>
    <w:rsid w:val="001F3A7C"/>
    <w:rsid w:val="001F56E0"/>
    <w:rsid w:val="001F5C09"/>
    <w:rsid w:val="001F62FF"/>
    <w:rsid w:val="002003FA"/>
    <w:rsid w:val="0020291D"/>
    <w:rsid w:val="00202963"/>
    <w:rsid w:val="00203298"/>
    <w:rsid w:val="002040F2"/>
    <w:rsid w:val="00204236"/>
    <w:rsid w:val="0020462B"/>
    <w:rsid w:val="00205084"/>
    <w:rsid w:val="0021036F"/>
    <w:rsid w:val="00211025"/>
    <w:rsid w:val="0021231E"/>
    <w:rsid w:val="0021557D"/>
    <w:rsid w:val="002158EE"/>
    <w:rsid w:val="00215DA6"/>
    <w:rsid w:val="00217960"/>
    <w:rsid w:val="002224AE"/>
    <w:rsid w:val="00222FBC"/>
    <w:rsid w:val="0022389E"/>
    <w:rsid w:val="00225F0B"/>
    <w:rsid w:val="00226A71"/>
    <w:rsid w:val="002303BC"/>
    <w:rsid w:val="0023239F"/>
    <w:rsid w:val="00235FD0"/>
    <w:rsid w:val="002408B6"/>
    <w:rsid w:val="00245025"/>
    <w:rsid w:val="0024609E"/>
    <w:rsid w:val="002503A5"/>
    <w:rsid w:val="00250661"/>
    <w:rsid w:val="00253674"/>
    <w:rsid w:val="002538D5"/>
    <w:rsid w:val="00254B81"/>
    <w:rsid w:val="002607E0"/>
    <w:rsid w:val="0026310F"/>
    <w:rsid w:val="00270CC6"/>
    <w:rsid w:val="00271EFA"/>
    <w:rsid w:val="00272910"/>
    <w:rsid w:val="00275CD0"/>
    <w:rsid w:val="00275F40"/>
    <w:rsid w:val="00277973"/>
    <w:rsid w:val="00277C67"/>
    <w:rsid w:val="0028048A"/>
    <w:rsid w:val="00281C4F"/>
    <w:rsid w:val="00282533"/>
    <w:rsid w:val="002831FE"/>
    <w:rsid w:val="00284EDE"/>
    <w:rsid w:val="00287234"/>
    <w:rsid w:val="002907B4"/>
    <w:rsid w:val="00294EDA"/>
    <w:rsid w:val="002969E6"/>
    <w:rsid w:val="00297DBE"/>
    <w:rsid w:val="002A27D6"/>
    <w:rsid w:val="002A2F54"/>
    <w:rsid w:val="002A3F50"/>
    <w:rsid w:val="002A4808"/>
    <w:rsid w:val="002A52FC"/>
    <w:rsid w:val="002B1415"/>
    <w:rsid w:val="002B36A6"/>
    <w:rsid w:val="002B38F3"/>
    <w:rsid w:val="002B6B53"/>
    <w:rsid w:val="002B6EBF"/>
    <w:rsid w:val="002C0C4E"/>
    <w:rsid w:val="002C164C"/>
    <w:rsid w:val="002C52C4"/>
    <w:rsid w:val="002C6521"/>
    <w:rsid w:val="002C74B4"/>
    <w:rsid w:val="002D2A7E"/>
    <w:rsid w:val="002D2EF5"/>
    <w:rsid w:val="002D4A79"/>
    <w:rsid w:val="002D6206"/>
    <w:rsid w:val="002D6A99"/>
    <w:rsid w:val="002D6F33"/>
    <w:rsid w:val="002D73E6"/>
    <w:rsid w:val="002E3F44"/>
    <w:rsid w:val="002E54F1"/>
    <w:rsid w:val="002E71A7"/>
    <w:rsid w:val="002F0687"/>
    <w:rsid w:val="002F1C0E"/>
    <w:rsid w:val="002F1FEC"/>
    <w:rsid w:val="002F285F"/>
    <w:rsid w:val="002F5753"/>
    <w:rsid w:val="002F7ABC"/>
    <w:rsid w:val="003047CE"/>
    <w:rsid w:val="00304E7F"/>
    <w:rsid w:val="003139FE"/>
    <w:rsid w:val="0031458A"/>
    <w:rsid w:val="00314865"/>
    <w:rsid w:val="00314EBD"/>
    <w:rsid w:val="00320905"/>
    <w:rsid w:val="00326558"/>
    <w:rsid w:val="00326E34"/>
    <w:rsid w:val="00327817"/>
    <w:rsid w:val="0033034E"/>
    <w:rsid w:val="00330852"/>
    <w:rsid w:val="00332036"/>
    <w:rsid w:val="003329A5"/>
    <w:rsid w:val="00332B6B"/>
    <w:rsid w:val="00337018"/>
    <w:rsid w:val="00337315"/>
    <w:rsid w:val="003413C6"/>
    <w:rsid w:val="003415A0"/>
    <w:rsid w:val="00342DD3"/>
    <w:rsid w:val="00343C68"/>
    <w:rsid w:val="0034596F"/>
    <w:rsid w:val="00352999"/>
    <w:rsid w:val="0035427F"/>
    <w:rsid w:val="003608E7"/>
    <w:rsid w:val="00361002"/>
    <w:rsid w:val="003610A2"/>
    <w:rsid w:val="00365F97"/>
    <w:rsid w:val="00370F35"/>
    <w:rsid w:val="00371C8B"/>
    <w:rsid w:val="00373CD5"/>
    <w:rsid w:val="00374F2A"/>
    <w:rsid w:val="00375BF0"/>
    <w:rsid w:val="0037721A"/>
    <w:rsid w:val="003816E0"/>
    <w:rsid w:val="0038303E"/>
    <w:rsid w:val="003833B0"/>
    <w:rsid w:val="00383D01"/>
    <w:rsid w:val="0038665A"/>
    <w:rsid w:val="0039075E"/>
    <w:rsid w:val="00390F3B"/>
    <w:rsid w:val="00391815"/>
    <w:rsid w:val="00391E28"/>
    <w:rsid w:val="00392609"/>
    <w:rsid w:val="00396483"/>
    <w:rsid w:val="003A3D11"/>
    <w:rsid w:val="003B0B33"/>
    <w:rsid w:val="003B2771"/>
    <w:rsid w:val="003B3B3A"/>
    <w:rsid w:val="003B4BE4"/>
    <w:rsid w:val="003B4D8B"/>
    <w:rsid w:val="003B62FF"/>
    <w:rsid w:val="003C316B"/>
    <w:rsid w:val="003C3E3E"/>
    <w:rsid w:val="003C57B0"/>
    <w:rsid w:val="003C7165"/>
    <w:rsid w:val="003D03FE"/>
    <w:rsid w:val="003D044E"/>
    <w:rsid w:val="003D23DD"/>
    <w:rsid w:val="003D2B14"/>
    <w:rsid w:val="003D4F5D"/>
    <w:rsid w:val="003D744B"/>
    <w:rsid w:val="003D7C4C"/>
    <w:rsid w:val="003E1B39"/>
    <w:rsid w:val="003E6250"/>
    <w:rsid w:val="003E7EAB"/>
    <w:rsid w:val="003F11AE"/>
    <w:rsid w:val="003F24D7"/>
    <w:rsid w:val="003F27BF"/>
    <w:rsid w:val="003F41C6"/>
    <w:rsid w:val="003F44C1"/>
    <w:rsid w:val="004003DF"/>
    <w:rsid w:val="0040053E"/>
    <w:rsid w:val="0040062C"/>
    <w:rsid w:val="00402A86"/>
    <w:rsid w:val="00405F36"/>
    <w:rsid w:val="004061B1"/>
    <w:rsid w:val="00406C81"/>
    <w:rsid w:val="00406E6D"/>
    <w:rsid w:val="00407310"/>
    <w:rsid w:val="00411E0D"/>
    <w:rsid w:val="00412776"/>
    <w:rsid w:val="00415D0D"/>
    <w:rsid w:val="00420D04"/>
    <w:rsid w:val="0042279B"/>
    <w:rsid w:val="0042285F"/>
    <w:rsid w:val="00426066"/>
    <w:rsid w:val="00426DC1"/>
    <w:rsid w:val="004303E8"/>
    <w:rsid w:val="004304CD"/>
    <w:rsid w:val="00433DBF"/>
    <w:rsid w:val="004344C8"/>
    <w:rsid w:val="0043482D"/>
    <w:rsid w:val="00435C4F"/>
    <w:rsid w:val="004362B0"/>
    <w:rsid w:val="00437CB6"/>
    <w:rsid w:val="0044214A"/>
    <w:rsid w:val="004430A9"/>
    <w:rsid w:val="00445385"/>
    <w:rsid w:val="00447207"/>
    <w:rsid w:val="00447B4E"/>
    <w:rsid w:val="00450EC4"/>
    <w:rsid w:val="004527A6"/>
    <w:rsid w:val="00453DF8"/>
    <w:rsid w:val="00455C32"/>
    <w:rsid w:val="0045745E"/>
    <w:rsid w:val="00457D79"/>
    <w:rsid w:val="0046423E"/>
    <w:rsid w:val="00464C8D"/>
    <w:rsid w:val="00464CC9"/>
    <w:rsid w:val="0046665A"/>
    <w:rsid w:val="0047028E"/>
    <w:rsid w:val="00470FED"/>
    <w:rsid w:val="004713E0"/>
    <w:rsid w:val="004736AA"/>
    <w:rsid w:val="00475201"/>
    <w:rsid w:val="00475D79"/>
    <w:rsid w:val="0047760E"/>
    <w:rsid w:val="00480418"/>
    <w:rsid w:val="00481845"/>
    <w:rsid w:val="0048185B"/>
    <w:rsid w:val="00481E39"/>
    <w:rsid w:val="0048260A"/>
    <w:rsid w:val="00482FFB"/>
    <w:rsid w:val="00484906"/>
    <w:rsid w:val="004867A4"/>
    <w:rsid w:val="00486B23"/>
    <w:rsid w:val="00487935"/>
    <w:rsid w:val="00487C0D"/>
    <w:rsid w:val="004900B8"/>
    <w:rsid w:val="004910BF"/>
    <w:rsid w:val="00491AC8"/>
    <w:rsid w:val="00493958"/>
    <w:rsid w:val="00493DF8"/>
    <w:rsid w:val="004944A7"/>
    <w:rsid w:val="00497570"/>
    <w:rsid w:val="00497998"/>
    <w:rsid w:val="004A106F"/>
    <w:rsid w:val="004A3CC9"/>
    <w:rsid w:val="004A43B9"/>
    <w:rsid w:val="004A5B9A"/>
    <w:rsid w:val="004A7FE8"/>
    <w:rsid w:val="004B3151"/>
    <w:rsid w:val="004B4BD6"/>
    <w:rsid w:val="004B6E42"/>
    <w:rsid w:val="004B74F8"/>
    <w:rsid w:val="004B7C0E"/>
    <w:rsid w:val="004C46FF"/>
    <w:rsid w:val="004C58F4"/>
    <w:rsid w:val="004D1EAB"/>
    <w:rsid w:val="004D23D5"/>
    <w:rsid w:val="004D2FBE"/>
    <w:rsid w:val="004D4C85"/>
    <w:rsid w:val="004D6223"/>
    <w:rsid w:val="004D75DA"/>
    <w:rsid w:val="004E1A2B"/>
    <w:rsid w:val="004E209A"/>
    <w:rsid w:val="004E2649"/>
    <w:rsid w:val="004E7051"/>
    <w:rsid w:val="004E7967"/>
    <w:rsid w:val="004F046B"/>
    <w:rsid w:val="004F0B2F"/>
    <w:rsid w:val="004F5228"/>
    <w:rsid w:val="004F5A09"/>
    <w:rsid w:val="004F5CE6"/>
    <w:rsid w:val="00500A5C"/>
    <w:rsid w:val="005026CC"/>
    <w:rsid w:val="00503AD1"/>
    <w:rsid w:val="0050449A"/>
    <w:rsid w:val="005061AE"/>
    <w:rsid w:val="005109CF"/>
    <w:rsid w:val="00511827"/>
    <w:rsid w:val="00511E71"/>
    <w:rsid w:val="00513720"/>
    <w:rsid w:val="0051607A"/>
    <w:rsid w:val="00520464"/>
    <w:rsid w:val="005205F4"/>
    <w:rsid w:val="00524378"/>
    <w:rsid w:val="005269B7"/>
    <w:rsid w:val="00526AD1"/>
    <w:rsid w:val="005315EA"/>
    <w:rsid w:val="00535283"/>
    <w:rsid w:val="00535508"/>
    <w:rsid w:val="00542EF2"/>
    <w:rsid w:val="00545F38"/>
    <w:rsid w:val="00546280"/>
    <w:rsid w:val="0054634E"/>
    <w:rsid w:val="00552465"/>
    <w:rsid w:val="0055424F"/>
    <w:rsid w:val="00555E17"/>
    <w:rsid w:val="00557377"/>
    <w:rsid w:val="00560599"/>
    <w:rsid w:val="00563721"/>
    <w:rsid w:val="00565776"/>
    <w:rsid w:val="00566508"/>
    <w:rsid w:val="00570ACF"/>
    <w:rsid w:val="00573535"/>
    <w:rsid w:val="00573C2D"/>
    <w:rsid w:val="00575BB7"/>
    <w:rsid w:val="00576FFD"/>
    <w:rsid w:val="00580E08"/>
    <w:rsid w:val="00585250"/>
    <w:rsid w:val="00587796"/>
    <w:rsid w:val="005940DB"/>
    <w:rsid w:val="00594587"/>
    <w:rsid w:val="005A1B0C"/>
    <w:rsid w:val="005A2891"/>
    <w:rsid w:val="005A2AAC"/>
    <w:rsid w:val="005A3C50"/>
    <w:rsid w:val="005A61AB"/>
    <w:rsid w:val="005B0E04"/>
    <w:rsid w:val="005B23D6"/>
    <w:rsid w:val="005B2781"/>
    <w:rsid w:val="005B6872"/>
    <w:rsid w:val="005B6B09"/>
    <w:rsid w:val="005C4DE0"/>
    <w:rsid w:val="005C5B41"/>
    <w:rsid w:val="005C61D6"/>
    <w:rsid w:val="005C7F9E"/>
    <w:rsid w:val="005D315F"/>
    <w:rsid w:val="005D7A63"/>
    <w:rsid w:val="005E2D06"/>
    <w:rsid w:val="005F1D50"/>
    <w:rsid w:val="005F2A2C"/>
    <w:rsid w:val="005F3BCE"/>
    <w:rsid w:val="005F5087"/>
    <w:rsid w:val="005F5CDA"/>
    <w:rsid w:val="005F69A9"/>
    <w:rsid w:val="00600502"/>
    <w:rsid w:val="0060091E"/>
    <w:rsid w:val="00603AFF"/>
    <w:rsid w:val="0060605E"/>
    <w:rsid w:val="006139EC"/>
    <w:rsid w:val="00613CC2"/>
    <w:rsid w:val="00615CB4"/>
    <w:rsid w:val="006177AE"/>
    <w:rsid w:val="00620C18"/>
    <w:rsid w:val="0062175F"/>
    <w:rsid w:val="00621A4A"/>
    <w:rsid w:val="00624E22"/>
    <w:rsid w:val="00626765"/>
    <w:rsid w:val="006267B7"/>
    <w:rsid w:val="006267C6"/>
    <w:rsid w:val="00626D4E"/>
    <w:rsid w:val="006339F5"/>
    <w:rsid w:val="00634377"/>
    <w:rsid w:val="0063551B"/>
    <w:rsid w:val="00635F82"/>
    <w:rsid w:val="00636B16"/>
    <w:rsid w:val="00636B6E"/>
    <w:rsid w:val="00640620"/>
    <w:rsid w:val="00641D3B"/>
    <w:rsid w:val="00642531"/>
    <w:rsid w:val="00646942"/>
    <w:rsid w:val="006470D8"/>
    <w:rsid w:val="006519AF"/>
    <w:rsid w:val="006549A6"/>
    <w:rsid w:val="0066058B"/>
    <w:rsid w:val="006618F7"/>
    <w:rsid w:val="00662222"/>
    <w:rsid w:val="00663755"/>
    <w:rsid w:val="006674D7"/>
    <w:rsid w:val="00674128"/>
    <w:rsid w:val="00674A82"/>
    <w:rsid w:val="00674D0B"/>
    <w:rsid w:val="00675227"/>
    <w:rsid w:val="006754B7"/>
    <w:rsid w:val="00675630"/>
    <w:rsid w:val="006756C0"/>
    <w:rsid w:val="00676C69"/>
    <w:rsid w:val="00680F03"/>
    <w:rsid w:val="0068122B"/>
    <w:rsid w:val="006826BB"/>
    <w:rsid w:val="006830C9"/>
    <w:rsid w:val="0068364A"/>
    <w:rsid w:val="0068525B"/>
    <w:rsid w:val="00685D4F"/>
    <w:rsid w:val="00685DD6"/>
    <w:rsid w:val="006869A1"/>
    <w:rsid w:val="00686D73"/>
    <w:rsid w:val="00687B31"/>
    <w:rsid w:val="006918FD"/>
    <w:rsid w:val="00691D49"/>
    <w:rsid w:val="00692D3B"/>
    <w:rsid w:val="006A17BE"/>
    <w:rsid w:val="006A26EE"/>
    <w:rsid w:val="006A3E64"/>
    <w:rsid w:val="006A3EBB"/>
    <w:rsid w:val="006A515F"/>
    <w:rsid w:val="006A56E4"/>
    <w:rsid w:val="006B029D"/>
    <w:rsid w:val="006B197C"/>
    <w:rsid w:val="006B2D41"/>
    <w:rsid w:val="006B6D8D"/>
    <w:rsid w:val="006B7D05"/>
    <w:rsid w:val="006C0226"/>
    <w:rsid w:val="006C1643"/>
    <w:rsid w:val="006C295B"/>
    <w:rsid w:val="006C3C15"/>
    <w:rsid w:val="006C7D4F"/>
    <w:rsid w:val="006D28F6"/>
    <w:rsid w:val="006D66D6"/>
    <w:rsid w:val="006D6A44"/>
    <w:rsid w:val="006E75E2"/>
    <w:rsid w:val="006E7964"/>
    <w:rsid w:val="006F01B5"/>
    <w:rsid w:val="006F2A06"/>
    <w:rsid w:val="006F45EE"/>
    <w:rsid w:val="006F4AD5"/>
    <w:rsid w:val="006F5527"/>
    <w:rsid w:val="006F6211"/>
    <w:rsid w:val="00702DA8"/>
    <w:rsid w:val="007046F7"/>
    <w:rsid w:val="007076DF"/>
    <w:rsid w:val="007117CE"/>
    <w:rsid w:val="0071377D"/>
    <w:rsid w:val="007138EB"/>
    <w:rsid w:val="007144F6"/>
    <w:rsid w:val="00714F39"/>
    <w:rsid w:val="007163FD"/>
    <w:rsid w:val="00716EA8"/>
    <w:rsid w:val="00717F98"/>
    <w:rsid w:val="0072390C"/>
    <w:rsid w:val="00723A6D"/>
    <w:rsid w:val="007269AB"/>
    <w:rsid w:val="00727A28"/>
    <w:rsid w:val="00732F74"/>
    <w:rsid w:val="007332F9"/>
    <w:rsid w:val="00734ED0"/>
    <w:rsid w:val="00736085"/>
    <w:rsid w:val="00740D9C"/>
    <w:rsid w:val="00741394"/>
    <w:rsid w:val="007418D9"/>
    <w:rsid w:val="00741FA2"/>
    <w:rsid w:val="00742173"/>
    <w:rsid w:val="00743CDA"/>
    <w:rsid w:val="00744252"/>
    <w:rsid w:val="00745488"/>
    <w:rsid w:val="00746FD8"/>
    <w:rsid w:val="00750FE0"/>
    <w:rsid w:val="007548E4"/>
    <w:rsid w:val="0075694F"/>
    <w:rsid w:val="00757335"/>
    <w:rsid w:val="007613E1"/>
    <w:rsid w:val="00761522"/>
    <w:rsid w:val="00762E9C"/>
    <w:rsid w:val="00764F3A"/>
    <w:rsid w:val="00770689"/>
    <w:rsid w:val="00772951"/>
    <w:rsid w:val="007752C1"/>
    <w:rsid w:val="0077623A"/>
    <w:rsid w:val="00776D3B"/>
    <w:rsid w:val="007771AD"/>
    <w:rsid w:val="00777BE5"/>
    <w:rsid w:val="00784103"/>
    <w:rsid w:val="00784C0B"/>
    <w:rsid w:val="00792FA5"/>
    <w:rsid w:val="00795A9B"/>
    <w:rsid w:val="007964A2"/>
    <w:rsid w:val="007970F7"/>
    <w:rsid w:val="007A0496"/>
    <w:rsid w:val="007A2D2F"/>
    <w:rsid w:val="007A6F27"/>
    <w:rsid w:val="007A7979"/>
    <w:rsid w:val="007A7D3B"/>
    <w:rsid w:val="007B0321"/>
    <w:rsid w:val="007B502E"/>
    <w:rsid w:val="007C024D"/>
    <w:rsid w:val="007C035E"/>
    <w:rsid w:val="007C165F"/>
    <w:rsid w:val="007C1DCB"/>
    <w:rsid w:val="007C2679"/>
    <w:rsid w:val="007C29FD"/>
    <w:rsid w:val="007D01BE"/>
    <w:rsid w:val="007D082D"/>
    <w:rsid w:val="007D2377"/>
    <w:rsid w:val="007E1CBA"/>
    <w:rsid w:val="007E22C2"/>
    <w:rsid w:val="007E3861"/>
    <w:rsid w:val="007E4433"/>
    <w:rsid w:val="007E4D02"/>
    <w:rsid w:val="007E5495"/>
    <w:rsid w:val="007F1C4A"/>
    <w:rsid w:val="007F3673"/>
    <w:rsid w:val="007F3B3E"/>
    <w:rsid w:val="007F507E"/>
    <w:rsid w:val="007F61BA"/>
    <w:rsid w:val="007F63B6"/>
    <w:rsid w:val="00800885"/>
    <w:rsid w:val="00800E2F"/>
    <w:rsid w:val="0080162F"/>
    <w:rsid w:val="0080204A"/>
    <w:rsid w:val="008022A8"/>
    <w:rsid w:val="0080286D"/>
    <w:rsid w:val="00811627"/>
    <w:rsid w:val="008117B6"/>
    <w:rsid w:val="00813F99"/>
    <w:rsid w:val="00817E9E"/>
    <w:rsid w:val="00824824"/>
    <w:rsid w:val="0082792B"/>
    <w:rsid w:val="008303A2"/>
    <w:rsid w:val="00830532"/>
    <w:rsid w:val="00831E3F"/>
    <w:rsid w:val="00833913"/>
    <w:rsid w:val="00835A94"/>
    <w:rsid w:val="00836835"/>
    <w:rsid w:val="00836FB4"/>
    <w:rsid w:val="00837B67"/>
    <w:rsid w:val="00837BEB"/>
    <w:rsid w:val="0084055A"/>
    <w:rsid w:val="00846AB1"/>
    <w:rsid w:val="00846B2F"/>
    <w:rsid w:val="00851C18"/>
    <w:rsid w:val="00863EF0"/>
    <w:rsid w:val="00864F1C"/>
    <w:rsid w:val="00872803"/>
    <w:rsid w:val="00872BA2"/>
    <w:rsid w:val="008801AF"/>
    <w:rsid w:val="00881039"/>
    <w:rsid w:val="00882877"/>
    <w:rsid w:val="00883AAA"/>
    <w:rsid w:val="00883CEC"/>
    <w:rsid w:val="00890980"/>
    <w:rsid w:val="00892EBC"/>
    <w:rsid w:val="00893DD6"/>
    <w:rsid w:val="00895418"/>
    <w:rsid w:val="0089788C"/>
    <w:rsid w:val="00897A7F"/>
    <w:rsid w:val="00897AF8"/>
    <w:rsid w:val="008A09F3"/>
    <w:rsid w:val="008A37E5"/>
    <w:rsid w:val="008A5515"/>
    <w:rsid w:val="008A5FCC"/>
    <w:rsid w:val="008B4846"/>
    <w:rsid w:val="008B749E"/>
    <w:rsid w:val="008C09B5"/>
    <w:rsid w:val="008C2D17"/>
    <w:rsid w:val="008C3E75"/>
    <w:rsid w:val="008C3F62"/>
    <w:rsid w:val="008C560F"/>
    <w:rsid w:val="008C5F38"/>
    <w:rsid w:val="008C6A20"/>
    <w:rsid w:val="008C7870"/>
    <w:rsid w:val="008D2E08"/>
    <w:rsid w:val="008D4733"/>
    <w:rsid w:val="008D4971"/>
    <w:rsid w:val="008D77FD"/>
    <w:rsid w:val="008E1E77"/>
    <w:rsid w:val="008E6A92"/>
    <w:rsid w:val="008F4C17"/>
    <w:rsid w:val="008F5F07"/>
    <w:rsid w:val="008F7897"/>
    <w:rsid w:val="0090296E"/>
    <w:rsid w:val="009078DB"/>
    <w:rsid w:val="009106E6"/>
    <w:rsid w:val="00910785"/>
    <w:rsid w:val="0091354B"/>
    <w:rsid w:val="00913E49"/>
    <w:rsid w:val="00914B6D"/>
    <w:rsid w:val="00916358"/>
    <w:rsid w:val="009204BB"/>
    <w:rsid w:val="0092107D"/>
    <w:rsid w:val="009214D3"/>
    <w:rsid w:val="009225DE"/>
    <w:rsid w:val="00922AFC"/>
    <w:rsid w:val="00922F72"/>
    <w:rsid w:val="009237A5"/>
    <w:rsid w:val="009271CA"/>
    <w:rsid w:val="009301DE"/>
    <w:rsid w:val="009315F5"/>
    <w:rsid w:val="00933571"/>
    <w:rsid w:val="00933919"/>
    <w:rsid w:val="00934718"/>
    <w:rsid w:val="009370E2"/>
    <w:rsid w:val="009379AA"/>
    <w:rsid w:val="00940535"/>
    <w:rsid w:val="0094275A"/>
    <w:rsid w:val="00945F19"/>
    <w:rsid w:val="00950841"/>
    <w:rsid w:val="00954414"/>
    <w:rsid w:val="00957BCF"/>
    <w:rsid w:val="00961671"/>
    <w:rsid w:val="00961E35"/>
    <w:rsid w:val="00962B5C"/>
    <w:rsid w:val="009658D6"/>
    <w:rsid w:val="00970CFD"/>
    <w:rsid w:val="00975F96"/>
    <w:rsid w:val="0098324A"/>
    <w:rsid w:val="00985FFB"/>
    <w:rsid w:val="00987CAC"/>
    <w:rsid w:val="00990CFC"/>
    <w:rsid w:val="00993516"/>
    <w:rsid w:val="0099535F"/>
    <w:rsid w:val="00995DD7"/>
    <w:rsid w:val="00995E0E"/>
    <w:rsid w:val="00996052"/>
    <w:rsid w:val="009960C9"/>
    <w:rsid w:val="00996C55"/>
    <w:rsid w:val="00997193"/>
    <w:rsid w:val="00997DA9"/>
    <w:rsid w:val="009A2905"/>
    <w:rsid w:val="009A2C6B"/>
    <w:rsid w:val="009A38CE"/>
    <w:rsid w:val="009A4A95"/>
    <w:rsid w:val="009A5690"/>
    <w:rsid w:val="009A5B58"/>
    <w:rsid w:val="009A6EB1"/>
    <w:rsid w:val="009A72B6"/>
    <w:rsid w:val="009B159B"/>
    <w:rsid w:val="009B4294"/>
    <w:rsid w:val="009B430C"/>
    <w:rsid w:val="009B5295"/>
    <w:rsid w:val="009B7374"/>
    <w:rsid w:val="009B7C98"/>
    <w:rsid w:val="009C0727"/>
    <w:rsid w:val="009C1EF7"/>
    <w:rsid w:val="009C2556"/>
    <w:rsid w:val="009C52A7"/>
    <w:rsid w:val="009C6C52"/>
    <w:rsid w:val="009D0295"/>
    <w:rsid w:val="009D06AE"/>
    <w:rsid w:val="009D1486"/>
    <w:rsid w:val="009D162F"/>
    <w:rsid w:val="009D1776"/>
    <w:rsid w:val="009D2EA2"/>
    <w:rsid w:val="009D5976"/>
    <w:rsid w:val="009D79AE"/>
    <w:rsid w:val="009E040A"/>
    <w:rsid w:val="009E2345"/>
    <w:rsid w:val="009E40AA"/>
    <w:rsid w:val="009E4E40"/>
    <w:rsid w:val="009E710F"/>
    <w:rsid w:val="009F5B77"/>
    <w:rsid w:val="009F6A10"/>
    <w:rsid w:val="00A0253A"/>
    <w:rsid w:val="00A02A94"/>
    <w:rsid w:val="00A02B06"/>
    <w:rsid w:val="00A03293"/>
    <w:rsid w:val="00A0443D"/>
    <w:rsid w:val="00A10193"/>
    <w:rsid w:val="00A14055"/>
    <w:rsid w:val="00A14E15"/>
    <w:rsid w:val="00A1620E"/>
    <w:rsid w:val="00A24540"/>
    <w:rsid w:val="00A25107"/>
    <w:rsid w:val="00A27388"/>
    <w:rsid w:val="00A300BF"/>
    <w:rsid w:val="00A30F95"/>
    <w:rsid w:val="00A3163E"/>
    <w:rsid w:val="00A3255E"/>
    <w:rsid w:val="00A331C8"/>
    <w:rsid w:val="00A420D4"/>
    <w:rsid w:val="00A43E28"/>
    <w:rsid w:val="00A46428"/>
    <w:rsid w:val="00A47436"/>
    <w:rsid w:val="00A5105C"/>
    <w:rsid w:val="00A54B31"/>
    <w:rsid w:val="00A5691B"/>
    <w:rsid w:val="00A76173"/>
    <w:rsid w:val="00A762E1"/>
    <w:rsid w:val="00A77AE4"/>
    <w:rsid w:val="00A806F4"/>
    <w:rsid w:val="00A81FA6"/>
    <w:rsid w:val="00A84237"/>
    <w:rsid w:val="00A84E31"/>
    <w:rsid w:val="00A8697D"/>
    <w:rsid w:val="00A873DD"/>
    <w:rsid w:val="00A9059D"/>
    <w:rsid w:val="00A928F7"/>
    <w:rsid w:val="00A949FF"/>
    <w:rsid w:val="00A955CC"/>
    <w:rsid w:val="00A957E0"/>
    <w:rsid w:val="00AA0175"/>
    <w:rsid w:val="00AA0A83"/>
    <w:rsid w:val="00AA25E4"/>
    <w:rsid w:val="00AA3112"/>
    <w:rsid w:val="00AA5510"/>
    <w:rsid w:val="00AA6162"/>
    <w:rsid w:val="00AA733A"/>
    <w:rsid w:val="00AA7B6C"/>
    <w:rsid w:val="00AA7F1A"/>
    <w:rsid w:val="00AB25F9"/>
    <w:rsid w:val="00AB2F51"/>
    <w:rsid w:val="00AB3D47"/>
    <w:rsid w:val="00AB444F"/>
    <w:rsid w:val="00AB49F5"/>
    <w:rsid w:val="00AC1689"/>
    <w:rsid w:val="00AC1FDD"/>
    <w:rsid w:val="00AC2DE2"/>
    <w:rsid w:val="00AC4D72"/>
    <w:rsid w:val="00AC4F4B"/>
    <w:rsid w:val="00AC71A6"/>
    <w:rsid w:val="00AD15E0"/>
    <w:rsid w:val="00AD20E9"/>
    <w:rsid w:val="00AD24FE"/>
    <w:rsid w:val="00AD362B"/>
    <w:rsid w:val="00AD4B24"/>
    <w:rsid w:val="00AD729C"/>
    <w:rsid w:val="00AD73C3"/>
    <w:rsid w:val="00AE0192"/>
    <w:rsid w:val="00AE2FF1"/>
    <w:rsid w:val="00AE36A3"/>
    <w:rsid w:val="00AE515D"/>
    <w:rsid w:val="00AF03EA"/>
    <w:rsid w:val="00AF3041"/>
    <w:rsid w:val="00AF3AAB"/>
    <w:rsid w:val="00AF48CD"/>
    <w:rsid w:val="00AF59D2"/>
    <w:rsid w:val="00AF5E69"/>
    <w:rsid w:val="00AF5FAD"/>
    <w:rsid w:val="00AF7EC8"/>
    <w:rsid w:val="00B015A7"/>
    <w:rsid w:val="00B01F89"/>
    <w:rsid w:val="00B040D7"/>
    <w:rsid w:val="00B053D9"/>
    <w:rsid w:val="00B06556"/>
    <w:rsid w:val="00B07368"/>
    <w:rsid w:val="00B11F31"/>
    <w:rsid w:val="00B12C14"/>
    <w:rsid w:val="00B14C89"/>
    <w:rsid w:val="00B16F92"/>
    <w:rsid w:val="00B21E7A"/>
    <w:rsid w:val="00B21EA3"/>
    <w:rsid w:val="00B3388D"/>
    <w:rsid w:val="00B345D9"/>
    <w:rsid w:val="00B34DF8"/>
    <w:rsid w:val="00B372BF"/>
    <w:rsid w:val="00B42940"/>
    <w:rsid w:val="00B43883"/>
    <w:rsid w:val="00B43D0A"/>
    <w:rsid w:val="00B43FEF"/>
    <w:rsid w:val="00B44303"/>
    <w:rsid w:val="00B47D07"/>
    <w:rsid w:val="00B5144B"/>
    <w:rsid w:val="00B5170B"/>
    <w:rsid w:val="00B53992"/>
    <w:rsid w:val="00B53D6E"/>
    <w:rsid w:val="00B56DF0"/>
    <w:rsid w:val="00B6337E"/>
    <w:rsid w:val="00B63DBF"/>
    <w:rsid w:val="00B64873"/>
    <w:rsid w:val="00B651E3"/>
    <w:rsid w:val="00B67FEA"/>
    <w:rsid w:val="00B710D2"/>
    <w:rsid w:val="00B7113C"/>
    <w:rsid w:val="00B712CC"/>
    <w:rsid w:val="00B723DF"/>
    <w:rsid w:val="00B731DE"/>
    <w:rsid w:val="00B74252"/>
    <w:rsid w:val="00B75E73"/>
    <w:rsid w:val="00B77533"/>
    <w:rsid w:val="00B85149"/>
    <w:rsid w:val="00B85A12"/>
    <w:rsid w:val="00B86498"/>
    <w:rsid w:val="00B87E22"/>
    <w:rsid w:val="00B9063F"/>
    <w:rsid w:val="00B93F1B"/>
    <w:rsid w:val="00B945D4"/>
    <w:rsid w:val="00B94BAD"/>
    <w:rsid w:val="00BA084B"/>
    <w:rsid w:val="00BA0B3A"/>
    <w:rsid w:val="00BA55C7"/>
    <w:rsid w:val="00BA5870"/>
    <w:rsid w:val="00BA679F"/>
    <w:rsid w:val="00BB0399"/>
    <w:rsid w:val="00BB0EFB"/>
    <w:rsid w:val="00BB3223"/>
    <w:rsid w:val="00BB3B1B"/>
    <w:rsid w:val="00BB4344"/>
    <w:rsid w:val="00BB5074"/>
    <w:rsid w:val="00BC308B"/>
    <w:rsid w:val="00BC3B27"/>
    <w:rsid w:val="00BC4C9B"/>
    <w:rsid w:val="00BC5D6C"/>
    <w:rsid w:val="00BC7BEA"/>
    <w:rsid w:val="00BD209D"/>
    <w:rsid w:val="00BD4BBB"/>
    <w:rsid w:val="00BE08C4"/>
    <w:rsid w:val="00BE467F"/>
    <w:rsid w:val="00BE4DAD"/>
    <w:rsid w:val="00BE5E4B"/>
    <w:rsid w:val="00BE6C2B"/>
    <w:rsid w:val="00BE716C"/>
    <w:rsid w:val="00BF1AB9"/>
    <w:rsid w:val="00BF29E1"/>
    <w:rsid w:val="00BF2F12"/>
    <w:rsid w:val="00BF328B"/>
    <w:rsid w:val="00BF3A82"/>
    <w:rsid w:val="00BF3ADC"/>
    <w:rsid w:val="00BF4C9A"/>
    <w:rsid w:val="00BF58CF"/>
    <w:rsid w:val="00BF7554"/>
    <w:rsid w:val="00C0339F"/>
    <w:rsid w:val="00C039E9"/>
    <w:rsid w:val="00C07331"/>
    <w:rsid w:val="00C10955"/>
    <w:rsid w:val="00C128B5"/>
    <w:rsid w:val="00C13C70"/>
    <w:rsid w:val="00C15006"/>
    <w:rsid w:val="00C16D3F"/>
    <w:rsid w:val="00C16F89"/>
    <w:rsid w:val="00C20A34"/>
    <w:rsid w:val="00C22BC5"/>
    <w:rsid w:val="00C22CEA"/>
    <w:rsid w:val="00C24103"/>
    <w:rsid w:val="00C3073F"/>
    <w:rsid w:val="00C31877"/>
    <w:rsid w:val="00C31885"/>
    <w:rsid w:val="00C347A8"/>
    <w:rsid w:val="00C35F80"/>
    <w:rsid w:val="00C4222C"/>
    <w:rsid w:val="00C42BB6"/>
    <w:rsid w:val="00C43515"/>
    <w:rsid w:val="00C46BC0"/>
    <w:rsid w:val="00C50F36"/>
    <w:rsid w:val="00C53B91"/>
    <w:rsid w:val="00C5460D"/>
    <w:rsid w:val="00C5610C"/>
    <w:rsid w:val="00C60629"/>
    <w:rsid w:val="00C60694"/>
    <w:rsid w:val="00C620D3"/>
    <w:rsid w:val="00C62687"/>
    <w:rsid w:val="00C63D62"/>
    <w:rsid w:val="00C64195"/>
    <w:rsid w:val="00C64773"/>
    <w:rsid w:val="00C72BBA"/>
    <w:rsid w:val="00C73A21"/>
    <w:rsid w:val="00C76728"/>
    <w:rsid w:val="00C80771"/>
    <w:rsid w:val="00C836EC"/>
    <w:rsid w:val="00C83BB4"/>
    <w:rsid w:val="00C844F7"/>
    <w:rsid w:val="00C84D0E"/>
    <w:rsid w:val="00C859C7"/>
    <w:rsid w:val="00C8680A"/>
    <w:rsid w:val="00C87B56"/>
    <w:rsid w:val="00C87D7F"/>
    <w:rsid w:val="00C91002"/>
    <w:rsid w:val="00C91F78"/>
    <w:rsid w:val="00C93462"/>
    <w:rsid w:val="00C9375C"/>
    <w:rsid w:val="00C96EAD"/>
    <w:rsid w:val="00C97042"/>
    <w:rsid w:val="00C979F3"/>
    <w:rsid w:val="00CA0EED"/>
    <w:rsid w:val="00CA2318"/>
    <w:rsid w:val="00CA2794"/>
    <w:rsid w:val="00CA32A9"/>
    <w:rsid w:val="00CB1215"/>
    <w:rsid w:val="00CB1C21"/>
    <w:rsid w:val="00CB322C"/>
    <w:rsid w:val="00CB630A"/>
    <w:rsid w:val="00CB65EF"/>
    <w:rsid w:val="00CB6DBB"/>
    <w:rsid w:val="00CB7903"/>
    <w:rsid w:val="00CC03E3"/>
    <w:rsid w:val="00CC0D0A"/>
    <w:rsid w:val="00CC0FBB"/>
    <w:rsid w:val="00CC1B7D"/>
    <w:rsid w:val="00CC2F73"/>
    <w:rsid w:val="00CC41DA"/>
    <w:rsid w:val="00CC5AB4"/>
    <w:rsid w:val="00CC6C4E"/>
    <w:rsid w:val="00CC6EA3"/>
    <w:rsid w:val="00CD31AC"/>
    <w:rsid w:val="00CD397A"/>
    <w:rsid w:val="00CD6700"/>
    <w:rsid w:val="00CD6C71"/>
    <w:rsid w:val="00CE0E91"/>
    <w:rsid w:val="00CE1F32"/>
    <w:rsid w:val="00CE313B"/>
    <w:rsid w:val="00CE496A"/>
    <w:rsid w:val="00CF0ECB"/>
    <w:rsid w:val="00CF1D5A"/>
    <w:rsid w:val="00D01CEF"/>
    <w:rsid w:val="00D02A61"/>
    <w:rsid w:val="00D038F3"/>
    <w:rsid w:val="00D0526A"/>
    <w:rsid w:val="00D06225"/>
    <w:rsid w:val="00D06537"/>
    <w:rsid w:val="00D075C8"/>
    <w:rsid w:val="00D1367B"/>
    <w:rsid w:val="00D14F5B"/>
    <w:rsid w:val="00D15973"/>
    <w:rsid w:val="00D17713"/>
    <w:rsid w:val="00D17CB6"/>
    <w:rsid w:val="00D200CF"/>
    <w:rsid w:val="00D20FFB"/>
    <w:rsid w:val="00D260F8"/>
    <w:rsid w:val="00D26D78"/>
    <w:rsid w:val="00D32E6E"/>
    <w:rsid w:val="00D350D0"/>
    <w:rsid w:val="00D41050"/>
    <w:rsid w:val="00D41699"/>
    <w:rsid w:val="00D42DF4"/>
    <w:rsid w:val="00D438A0"/>
    <w:rsid w:val="00D43A30"/>
    <w:rsid w:val="00D445FA"/>
    <w:rsid w:val="00D4503A"/>
    <w:rsid w:val="00D4520B"/>
    <w:rsid w:val="00D46B21"/>
    <w:rsid w:val="00D4777B"/>
    <w:rsid w:val="00D54752"/>
    <w:rsid w:val="00D56B8F"/>
    <w:rsid w:val="00D5791A"/>
    <w:rsid w:val="00D60DC5"/>
    <w:rsid w:val="00D623EB"/>
    <w:rsid w:val="00D637FE"/>
    <w:rsid w:val="00D66D1C"/>
    <w:rsid w:val="00D67BB2"/>
    <w:rsid w:val="00D70DBD"/>
    <w:rsid w:val="00D72133"/>
    <w:rsid w:val="00D73299"/>
    <w:rsid w:val="00D75FCF"/>
    <w:rsid w:val="00D7605F"/>
    <w:rsid w:val="00D76B66"/>
    <w:rsid w:val="00D773D0"/>
    <w:rsid w:val="00D77DC0"/>
    <w:rsid w:val="00D80073"/>
    <w:rsid w:val="00D8119D"/>
    <w:rsid w:val="00D811FA"/>
    <w:rsid w:val="00D81A8E"/>
    <w:rsid w:val="00D8329D"/>
    <w:rsid w:val="00D85ED0"/>
    <w:rsid w:val="00D90957"/>
    <w:rsid w:val="00D90EBF"/>
    <w:rsid w:val="00D91EF5"/>
    <w:rsid w:val="00D9611D"/>
    <w:rsid w:val="00D97463"/>
    <w:rsid w:val="00D9773D"/>
    <w:rsid w:val="00D97C6C"/>
    <w:rsid w:val="00DA658C"/>
    <w:rsid w:val="00DA6F34"/>
    <w:rsid w:val="00DB17B0"/>
    <w:rsid w:val="00DB3AAA"/>
    <w:rsid w:val="00DB5405"/>
    <w:rsid w:val="00DC3046"/>
    <w:rsid w:val="00DC3253"/>
    <w:rsid w:val="00DC5FA6"/>
    <w:rsid w:val="00DC6760"/>
    <w:rsid w:val="00DD38FF"/>
    <w:rsid w:val="00DD4B3A"/>
    <w:rsid w:val="00DD60C4"/>
    <w:rsid w:val="00DE5657"/>
    <w:rsid w:val="00DE7AA5"/>
    <w:rsid w:val="00DE7B47"/>
    <w:rsid w:val="00DF0316"/>
    <w:rsid w:val="00DF0BF2"/>
    <w:rsid w:val="00DF11D0"/>
    <w:rsid w:val="00DF4473"/>
    <w:rsid w:val="00DF519C"/>
    <w:rsid w:val="00DF57DB"/>
    <w:rsid w:val="00E00339"/>
    <w:rsid w:val="00E014FE"/>
    <w:rsid w:val="00E01CBD"/>
    <w:rsid w:val="00E04238"/>
    <w:rsid w:val="00E12E0B"/>
    <w:rsid w:val="00E1539A"/>
    <w:rsid w:val="00E1624D"/>
    <w:rsid w:val="00E206EA"/>
    <w:rsid w:val="00E22C4B"/>
    <w:rsid w:val="00E230B4"/>
    <w:rsid w:val="00E24CCA"/>
    <w:rsid w:val="00E25E62"/>
    <w:rsid w:val="00E25F82"/>
    <w:rsid w:val="00E2669F"/>
    <w:rsid w:val="00E2702D"/>
    <w:rsid w:val="00E30182"/>
    <w:rsid w:val="00E3229A"/>
    <w:rsid w:val="00E33D16"/>
    <w:rsid w:val="00E36364"/>
    <w:rsid w:val="00E41451"/>
    <w:rsid w:val="00E415B8"/>
    <w:rsid w:val="00E427EE"/>
    <w:rsid w:val="00E45817"/>
    <w:rsid w:val="00E45BFB"/>
    <w:rsid w:val="00E46F93"/>
    <w:rsid w:val="00E560A6"/>
    <w:rsid w:val="00E6068D"/>
    <w:rsid w:val="00E61C32"/>
    <w:rsid w:val="00E629D1"/>
    <w:rsid w:val="00E6557B"/>
    <w:rsid w:val="00E66945"/>
    <w:rsid w:val="00E70C45"/>
    <w:rsid w:val="00E7213A"/>
    <w:rsid w:val="00E73382"/>
    <w:rsid w:val="00E75502"/>
    <w:rsid w:val="00E75ABE"/>
    <w:rsid w:val="00E7646B"/>
    <w:rsid w:val="00E77F8B"/>
    <w:rsid w:val="00E81560"/>
    <w:rsid w:val="00E83789"/>
    <w:rsid w:val="00E83838"/>
    <w:rsid w:val="00E850BA"/>
    <w:rsid w:val="00E8562C"/>
    <w:rsid w:val="00E86556"/>
    <w:rsid w:val="00E907EA"/>
    <w:rsid w:val="00E91310"/>
    <w:rsid w:val="00E92FA6"/>
    <w:rsid w:val="00E9477E"/>
    <w:rsid w:val="00E958D7"/>
    <w:rsid w:val="00E9694D"/>
    <w:rsid w:val="00EA1AF6"/>
    <w:rsid w:val="00EA2EEB"/>
    <w:rsid w:val="00EA342A"/>
    <w:rsid w:val="00EA5D5D"/>
    <w:rsid w:val="00EA692F"/>
    <w:rsid w:val="00EB37A8"/>
    <w:rsid w:val="00EB3B15"/>
    <w:rsid w:val="00EB40B0"/>
    <w:rsid w:val="00EB4443"/>
    <w:rsid w:val="00EB532B"/>
    <w:rsid w:val="00EB5C34"/>
    <w:rsid w:val="00EC097B"/>
    <w:rsid w:val="00EC16F8"/>
    <w:rsid w:val="00EC1C7C"/>
    <w:rsid w:val="00EC336E"/>
    <w:rsid w:val="00EC7BBB"/>
    <w:rsid w:val="00ED249E"/>
    <w:rsid w:val="00ED2C08"/>
    <w:rsid w:val="00ED428E"/>
    <w:rsid w:val="00ED560D"/>
    <w:rsid w:val="00ED6B98"/>
    <w:rsid w:val="00ED6C94"/>
    <w:rsid w:val="00EE1040"/>
    <w:rsid w:val="00EE58ED"/>
    <w:rsid w:val="00EE5B40"/>
    <w:rsid w:val="00EE67F7"/>
    <w:rsid w:val="00EE7685"/>
    <w:rsid w:val="00EF029E"/>
    <w:rsid w:val="00EF0EA0"/>
    <w:rsid w:val="00EF35D0"/>
    <w:rsid w:val="00EF4396"/>
    <w:rsid w:val="00EF4C89"/>
    <w:rsid w:val="00EF4EBE"/>
    <w:rsid w:val="00EF5F9F"/>
    <w:rsid w:val="00EF64BD"/>
    <w:rsid w:val="00EF688D"/>
    <w:rsid w:val="00F00EB5"/>
    <w:rsid w:val="00F04897"/>
    <w:rsid w:val="00F05050"/>
    <w:rsid w:val="00F050F6"/>
    <w:rsid w:val="00F122FF"/>
    <w:rsid w:val="00F12FA6"/>
    <w:rsid w:val="00F141DF"/>
    <w:rsid w:val="00F15307"/>
    <w:rsid w:val="00F16041"/>
    <w:rsid w:val="00F17A7A"/>
    <w:rsid w:val="00F2130D"/>
    <w:rsid w:val="00F22538"/>
    <w:rsid w:val="00F25611"/>
    <w:rsid w:val="00F273E2"/>
    <w:rsid w:val="00F30A87"/>
    <w:rsid w:val="00F31DA3"/>
    <w:rsid w:val="00F3371D"/>
    <w:rsid w:val="00F33DBC"/>
    <w:rsid w:val="00F406A9"/>
    <w:rsid w:val="00F40BF4"/>
    <w:rsid w:val="00F41942"/>
    <w:rsid w:val="00F43BA6"/>
    <w:rsid w:val="00F43D8C"/>
    <w:rsid w:val="00F46882"/>
    <w:rsid w:val="00F5227C"/>
    <w:rsid w:val="00F52DF8"/>
    <w:rsid w:val="00F54C78"/>
    <w:rsid w:val="00F57850"/>
    <w:rsid w:val="00F6011C"/>
    <w:rsid w:val="00F61778"/>
    <w:rsid w:val="00F643DA"/>
    <w:rsid w:val="00F64763"/>
    <w:rsid w:val="00F656AF"/>
    <w:rsid w:val="00F65C61"/>
    <w:rsid w:val="00F6667B"/>
    <w:rsid w:val="00F67A1C"/>
    <w:rsid w:val="00F7027C"/>
    <w:rsid w:val="00F70333"/>
    <w:rsid w:val="00F73106"/>
    <w:rsid w:val="00F7494E"/>
    <w:rsid w:val="00F74B06"/>
    <w:rsid w:val="00F800CB"/>
    <w:rsid w:val="00F80AFA"/>
    <w:rsid w:val="00F8155F"/>
    <w:rsid w:val="00F82889"/>
    <w:rsid w:val="00F82D92"/>
    <w:rsid w:val="00F860A4"/>
    <w:rsid w:val="00F86357"/>
    <w:rsid w:val="00F87BF8"/>
    <w:rsid w:val="00F91CC1"/>
    <w:rsid w:val="00F93C02"/>
    <w:rsid w:val="00F95C7C"/>
    <w:rsid w:val="00FA13BE"/>
    <w:rsid w:val="00FA4229"/>
    <w:rsid w:val="00FA65D1"/>
    <w:rsid w:val="00FA6CA0"/>
    <w:rsid w:val="00FA701F"/>
    <w:rsid w:val="00FA7CEA"/>
    <w:rsid w:val="00FB01B3"/>
    <w:rsid w:val="00FB06F3"/>
    <w:rsid w:val="00FB49ED"/>
    <w:rsid w:val="00FB5013"/>
    <w:rsid w:val="00FB6A28"/>
    <w:rsid w:val="00FC1241"/>
    <w:rsid w:val="00FC1F82"/>
    <w:rsid w:val="00FC260C"/>
    <w:rsid w:val="00FC662C"/>
    <w:rsid w:val="00FC7B75"/>
    <w:rsid w:val="00FC7FB2"/>
    <w:rsid w:val="00FD2F99"/>
    <w:rsid w:val="00FD3B61"/>
    <w:rsid w:val="00FD5E0B"/>
    <w:rsid w:val="00FD6BB7"/>
    <w:rsid w:val="00FE317E"/>
    <w:rsid w:val="00FE4B51"/>
    <w:rsid w:val="00FE752E"/>
    <w:rsid w:val="00FE7DFE"/>
    <w:rsid w:val="00FF06F1"/>
    <w:rsid w:val="00FF2C7A"/>
    <w:rsid w:val="00FF4869"/>
    <w:rsid w:val="00FF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78EE6"/>
  <w15:docId w15:val="{3A5DA09F-BFB4-4848-9451-EF5E8F85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C165F"/>
  </w:style>
  <w:style w:type="paragraph" w:styleId="Heading1">
    <w:name w:val="heading 1"/>
    <w:basedOn w:val="Normal"/>
    <w:next w:val="Normal"/>
    <w:link w:val="Heading1Char"/>
    <w:uiPriority w:val="9"/>
    <w:qFormat/>
    <w:rsid w:val="007C16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6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16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0CFD"/>
    <w:pPr>
      <w:keepNext/>
      <w:keepLines/>
      <w:spacing w:before="200" w:after="0"/>
      <w:outlineLvl w:val="3"/>
    </w:pPr>
    <w:rPr>
      <w:rFonts w:eastAsiaTheme="majorEastAsia" w:cstheme="majorBidi"/>
      <w:bCs/>
      <w:i/>
      <w:iCs/>
      <w:color w:val="4F81BD" w:themeColor="accent1"/>
      <w:sz w:val="24"/>
    </w:rPr>
  </w:style>
  <w:style w:type="paragraph" w:styleId="Heading5">
    <w:name w:val="heading 5"/>
    <w:basedOn w:val="Normal"/>
    <w:next w:val="Normal"/>
    <w:link w:val="Heading5Char"/>
    <w:uiPriority w:val="9"/>
    <w:unhideWhenUsed/>
    <w:qFormat/>
    <w:rsid w:val="007C16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C16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16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16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C16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E91310"/>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Triangles">
    <w:name w:val="1Triangles"/>
    <w:rsid w:val="00E91310"/>
    <w:pPr>
      <w:widowControl w:val="0"/>
      <w:tabs>
        <w:tab w:val="left" w:pos="720"/>
      </w:tabs>
      <w:autoSpaceDE w:val="0"/>
      <w:autoSpaceDN w:val="0"/>
      <w:adjustRightInd w:val="0"/>
      <w:ind w:left="720" w:hanging="720"/>
      <w:jc w:val="both"/>
    </w:pPr>
    <w:rPr>
      <w:sz w:val="24"/>
      <w:szCs w:val="24"/>
    </w:rPr>
  </w:style>
  <w:style w:type="paragraph" w:customStyle="1" w:styleId="2Triangles">
    <w:name w:val="2Triangles"/>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Triangles">
    <w:name w:val="3Triangles"/>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Triangles">
    <w:name w:val="4Triangles"/>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Triangles">
    <w:name w:val="5Triangles"/>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Triangles">
    <w:name w:val="6Triangles"/>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Triangles">
    <w:name w:val="7Triangles"/>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Triangles">
    <w:name w:val="8Triangles"/>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a">
    <w:name w:val="_"/>
    <w:rsid w:val="00E91310"/>
    <w:pPr>
      <w:widowControl w:val="0"/>
      <w:autoSpaceDE w:val="0"/>
      <w:autoSpaceDN w:val="0"/>
      <w:adjustRightInd w:val="0"/>
      <w:ind w:left="-1080"/>
    </w:pPr>
    <w:rPr>
      <w:sz w:val="24"/>
      <w:szCs w:val="24"/>
    </w:rPr>
  </w:style>
  <w:style w:type="character" w:customStyle="1" w:styleId="DefaultPara">
    <w:name w:val="Default Para"/>
    <w:rsid w:val="00E91310"/>
  </w:style>
  <w:style w:type="character" w:customStyle="1" w:styleId="SYSHYPERTEXT">
    <w:name w:val="SYS_HYPERTEXT"/>
    <w:rsid w:val="00E91310"/>
    <w:rPr>
      <w:color w:val="0000FF"/>
    </w:rPr>
  </w:style>
  <w:style w:type="paragraph" w:styleId="Header">
    <w:name w:val="header"/>
    <w:basedOn w:val="Normal"/>
    <w:rsid w:val="00E91310"/>
    <w:pPr>
      <w:tabs>
        <w:tab w:val="center" w:pos="4320"/>
        <w:tab w:val="right" w:pos="8640"/>
      </w:tabs>
    </w:pPr>
  </w:style>
  <w:style w:type="character" w:styleId="PageNumber">
    <w:name w:val="page number"/>
    <w:basedOn w:val="DefaultParagraphFont"/>
    <w:rsid w:val="00E91310"/>
  </w:style>
  <w:style w:type="paragraph" w:styleId="BodyText">
    <w:name w:val="Body Text"/>
    <w:basedOn w:val="Normal"/>
    <w:link w:val="BodyTextChar"/>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FF00FF"/>
    </w:rPr>
  </w:style>
  <w:style w:type="paragraph" w:styleId="Caption">
    <w:name w:val="caption"/>
    <w:basedOn w:val="Normal"/>
    <w:next w:val="Normal"/>
    <w:uiPriority w:val="35"/>
    <w:unhideWhenUsed/>
    <w:qFormat/>
    <w:rsid w:val="007C165F"/>
    <w:pPr>
      <w:spacing w:line="240" w:lineRule="auto"/>
    </w:pPr>
    <w:rPr>
      <w:b/>
      <w:bCs/>
      <w:color w:val="4F81BD" w:themeColor="accent1"/>
      <w:sz w:val="18"/>
      <w:szCs w:val="18"/>
    </w:rPr>
  </w:style>
  <w:style w:type="paragraph" w:styleId="BodyText2">
    <w:name w:val="Body Text 2"/>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BodyText3">
    <w:name w:val="Body Text 3"/>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styleId="Hyperlink">
    <w:name w:val="Hyperlink"/>
    <w:rsid w:val="00E91310"/>
    <w:rPr>
      <w:color w:val="0000FF"/>
      <w:u w:val="single"/>
    </w:rPr>
  </w:style>
  <w:style w:type="character" w:styleId="FollowedHyperlink">
    <w:name w:val="FollowedHyperlink"/>
    <w:rsid w:val="00E91310"/>
    <w:rPr>
      <w:color w:val="800080"/>
      <w:u w:val="single"/>
    </w:rPr>
  </w:style>
  <w:style w:type="paragraph" w:styleId="Footer">
    <w:name w:val="footer"/>
    <w:basedOn w:val="Normal"/>
    <w:link w:val="FooterChar"/>
    <w:uiPriority w:val="99"/>
    <w:rsid w:val="00E91310"/>
    <w:pPr>
      <w:tabs>
        <w:tab w:val="center" w:pos="4320"/>
        <w:tab w:val="right" w:pos="8640"/>
      </w:tabs>
    </w:pPr>
  </w:style>
  <w:style w:type="paragraph" w:customStyle="1" w:styleId="Default">
    <w:name w:val="Default"/>
    <w:rsid w:val="0080088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6059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4C89"/>
    <w:rPr>
      <w:rFonts w:ascii="Tahoma" w:hAnsi="Tahoma" w:cs="Tahoma"/>
      <w:sz w:val="16"/>
      <w:szCs w:val="16"/>
    </w:rPr>
  </w:style>
  <w:style w:type="paragraph" w:styleId="ListParagraph">
    <w:name w:val="List Paragraph"/>
    <w:basedOn w:val="Normal"/>
    <w:uiPriority w:val="34"/>
    <w:qFormat/>
    <w:rsid w:val="007C165F"/>
    <w:pPr>
      <w:ind w:left="720"/>
      <w:contextualSpacing/>
    </w:pPr>
  </w:style>
  <w:style w:type="paragraph" w:styleId="ListBullet">
    <w:name w:val="List Bullet"/>
    <w:basedOn w:val="Normal"/>
    <w:rsid w:val="00C4222C"/>
    <w:pPr>
      <w:numPr>
        <w:numId w:val="1"/>
      </w:numPr>
      <w:spacing w:after="120"/>
    </w:pPr>
  </w:style>
  <w:style w:type="character" w:customStyle="1" w:styleId="BodyTextChar">
    <w:name w:val="Body Text Char"/>
    <w:basedOn w:val="DefaultParagraphFont"/>
    <w:link w:val="BodyText"/>
    <w:rsid w:val="00CE313B"/>
    <w:rPr>
      <w:color w:val="FF00FF"/>
      <w:sz w:val="22"/>
      <w:szCs w:val="22"/>
    </w:rPr>
  </w:style>
  <w:style w:type="paragraph" w:customStyle="1" w:styleId="StyleListBulletAfter12pt">
    <w:name w:val="Style List Bullet + After:  12 pt"/>
    <w:basedOn w:val="ListBullet"/>
    <w:rsid w:val="00C4222C"/>
  </w:style>
  <w:style w:type="character" w:styleId="Strong">
    <w:name w:val="Strong"/>
    <w:basedOn w:val="DefaultParagraphFont"/>
    <w:uiPriority w:val="22"/>
    <w:qFormat/>
    <w:rsid w:val="007C165F"/>
    <w:rPr>
      <w:b/>
      <w:bCs/>
    </w:rPr>
  </w:style>
  <w:style w:type="character" w:styleId="Emphasis">
    <w:name w:val="Emphasis"/>
    <w:basedOn w:val="DefaultParagraphFont"/>
    <w:qFormat/>
    <w:rsid w:val="007C165F"/>
    <w:rPr>
      <w:i/>
      <w:iCs/>
    </w:rPr>
  </w:style>
  <w:style w:type="paragraph" w:styleId="Revision">
    <w:name w:val="Revision"/>
    <w:hidden/>
    <w:uiPriority w:val="99"/>
    <w:semiHidden/>
    <w:rsid w:val="00895418"/>
  </w:style>
  <w:style w:type="paragraph" w:styleId="NoSpacing">
    <w:name w:val="No Spacing"/>
    <w:uiPriority w:val="1"/>
    <w:qFormat/>
    <w:rsid w:val="007C165F"/>
    <w:pPr>
      <w:spacing w:after="0" w:line="240" w:lineRule="auto"/>
    </w:pPr>
  </w:style>
  <w:style w:type="character" w:customStyle="1" w:styleId="Heading1Char">
    <w:name w:val="Heading 1 Char"/>
    <w:basedOn w:val="DefaultParagraphFont"/>
    <w:link w:val="Heading1"/>
    <w:uiPriority w:val="9"/>
    <w:rsid w:val="007C16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16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16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70CFD"/>
    <w:rPr>
      <w:rFonts w:eastAsiaTheme="majorEastAsia" w:cstheme="majorBidi"/>
      <w:bCs/>
      <w:i/>
      <w:iCs/>
      <w:color w:val="4F81BD" w:themeColor="accent1"/>
      <w:sz w:val="24"/>
    </w:rPr>
  </w:style>
  <w:style w:type="character" w:customStyle="1" w:styleId="Heading5Char">
    <w:name w:val="Heading 5 Char"/>
    <w:basedOn w:val="DefaultParagraphFont"/>
    <w:link w:val="Heading5"/>
    <w:uiPriority w:val="9"/>
    <w:rsid w:val="007C16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C16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C16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C16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C165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C16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16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C16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165F"/>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7C165F"/>
    <w:rPr>
      <w:i/>
      <w:iCs/>
      <w:color w:val="000000" w:themeColor="text1"/>
    </w:rPr>
  </w:style>
  <w:style w:type="character" w:customStyle="1" w:styleId="QuoteChar">
    <w:name w:val="Quote Char"/>
    <w:basedOn w:val="DefaultParagraphFont"/>
    <w:link w:val="Quote"/>
    <w:uiPriority w:val="29"/>
    <w:rsid w:val="007C165F"/>
    <w:rPr>
      <w:i/>
      <w:iCs/>
      <w:color w:val="000000" w:themeColor="text1"/>
    </w:rPr>
  </w:style>
  <w:style w:type="paragraph" w:styleId="IntenseQuote">
    <w:name w:val="Intense Quote"/>
    <w:basedOn w:val="Normal"/>
    <w:next w:val="Normal"/>
    <w:link w:val="IntenseQuoteChar"/>
    <w:uiPriority w:val="30"/>
    <w:qFormat/>
    <w:rsid w:val="007C16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C165F"/>
    <w:rPr>
      <w:b/>
      <w:bCs/>
      <w:i/>
      <w:iCs/>
      <w:color w:val="4F81BD" w:themeColor="accent1"/>
    </w:rPr>
  </w:style>
  <w:style w:type="character" w:styleId="SubtleEmphasis">
    <w:name w:val="Subtle Emphasis"/>
    <w:basedOn w:val="DefaultParagraphFont"/>
    <w:uiPriority w:val="19"/>
    <w:qFormat/>
    <w:rsid w:val="007C165F"/>
    <w:rPr>
      <w:i/>
      <w:iCs/>
      <w:color w:val="808080" w:themeColor="text1" w:themeTint="7F"/>
    </w:rPr>
  </w:style>
  <w:style w:type="character" w:styleId="IntenseEmphasis">
    <w:name w:val="Intense Emphasis"/>
    <w:basedOn w:val="DefaultParagraphFont"/>
    <w:uiPriority w:val="21"/>
    <w:qFormat/>
    <w:rsid w:val="007C165F"/>
    <w:rPr>
      <w:b/>
      <w:bCs/>
      <w:i/>
      <w:iCs/>
      <w:color w:val="4F81BD" w:themeColor="accent1"/>
    </w:rPr>
  </w:style>
  <w:style w:type="character" w:styleId="SubtleReference">
    <w:name w:val="Subtle Reference"/>
    <w:basedOn w:val="DefaultParagraphFont"/>
    <w:uiPriority w:val="31"/>
    <w:qFormat/>
    <w:rsid w:val="007C165F"/>
    <w:rPr>
      <w:smallCaps/>
      <w:color w:val="C0504D" w:themeColor="accent2"/>
      <w:u w:val="single"/>
    </w:rPr>
  </w:style>
  <w:style w:type="character" w:styleId="IntenseReference">
    <w:name w:val="Intense Reference"/>
    <w:basedOn w:val="DefaultParagraphFont"/>
    <w:uiPriority w:val="32"/>
    <w:qFormat/>
    <w:rsid w:val="007C165F"/>
    <w:rPr>
      <w:b/>
      <w:bCs/>
      <w:smallCaps/>
      <w:color w:val="C0504D" w:themeColor="accent2"/>
      <w:spacing w:val="5"/>
      <w:u w:val="single"/>
    </w:rPr>
  </w:style>
  <w:style w:type="character" w:styleId="BookTitle">
    <w:name w:val="Book Title"/>
    <w:basedOn w:val="DefaultParagraphFont"/>
    <w:uiPriority w:val="33"/>
    <w:qFormat/>
    <w:rsid w:val="007C165F"/>
    <w:rPr>
      <w:b/>
      <w:bCs/>
      <w:smallCaps/>
      <w:spacing w:val="5"/>
    </w:rPr>
  </w:style>
  <w:style w:type="paragraph" w:styleId="TOCHeading">
    <w:name w:val="TOC Heading"/>
    <w:basedOn w:val="Heading1"/>
    <w:next w:val="Normal"/>
    <w:uiPriority w:val="39"/>
    <w:semiHidden/>
    <w:unhideWhenUsed/>
    <w:qFormat/>
    <w:rsid w:val="007C165F"/>
    <w:pPr>
      <w:outlineLvl w:val="9"/>
    </w:pPr>
  </w:style>
  <w:style w:type="character" w:customStyle="1" w:styleId="FooterChar">
    <w:name w:val="Footer Char"/>
    <w:basedOn w:val="DefaultParagraphFont"/>
    <w:link w:val="Footer"/>
    <w:uiPriority w:val="99"/>
    <w:rsid w:val="001B6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1572">
      <w:bodyDiv w:val="1"/>
      <w:marLeft w:val="60"/>
      <w:marRight w:val="60"/>
      <w:marTop w:val="60"/>
      <w:marBottom w:val="15"/>
      <w:divBdr>
        <w:top w:val="none" w:sz="0" w:space="0" w:color="auto"/>
        <w:left w:val="none" w:sz="0" w:space="0" w:color="auto"/>
        <w:bottom w:val="none" w:sz="0" w:space="0" w:color="auto"/>
        <w:right w:val="none" w:sz="0" w:space="0" w:color="auto"/>
      </w:divBdr>
      <w:divsChild>
        <w:div w:id="130952323">
          <w:marLeft w:val="0"/>
          <w:marRight w:val="0"/>
          <w:marTop w:val="0"/>
          <w:marBottom w:val="0"/>
          <w:divBdr>
            <w:top w:val="none" w:sz="0" w:space="0" w:color="auto"/>
            <w:left w:val="none" w:sz="0" w:space="0" w:color="auto"/>
            <w:bottom w:val="none" w:sz="0" w:space="0" w:color="auto"/>
            <w:right w:val="none" w:sz="0" w:space="0" w:color="auto"/>
          </w:divBdr>
        </w:div>
        <w:div w:id="135029660">
          <w:marLeft w:val="0"/>
          <w:marRight w:val="0"/>
          <w:marTop w:val="0"/>
          <w:marBottom w:val="0"/>
          <w:divBdr>
            <w:top w:val="none" w:sz="0" w:space="0" w:color="auto"/>
            <w:left w:val="none" w:sz="0" w:space="0" w:color="auto"/>
            <w:bottom w:val="none" w:sz="0" w:space="0" w:color="auto"/>
            <w:right w:val="none" w:sz="0" w:space="0" w:color="auto"/>
          </w:divBdr>
        </w:div>
        <w:div w:id="140199586">
          <w:marLeft w:val="0"/>
          <w:marRight w:val="0"/>
          <w:marTop w:val="0"/>
          <w:marBottom w:val="0"/>
          <w:divBdr>
            <w:top w:val="none" w:sz="0" w:space="0" w:color="auto"/>
            <w:left w:val="none" w:sz="0" w:space="0" w:color="auto"/>
            <w:bottom w:val="none" w:sz="0" w:space="0" w:color="auto"/>
            <w:right w:val="none" w:sz="0" w:space="0" w:color="auto"/>
          </w:divBdr>
        </w:div>
        <w:div w:id="165025019">
          <w:marLeft w:val="0"/>
          <w:marRight w:val="0"/>
          <w:marTop w:val="0"/>
          <w:marBottom w:val="0"/>
          <w:divBdr>
            <w:top w:val="none" w:sz="0" w:space="0" w:color="auto"/>
            <w:left w:val="none" w:sz="0" w:space="0" w:color="auto"/>
            <w:bottom w:val="none" w:sz="0" w:space="0" w:color="auto"/>
            <w:right w:val="none" w:sz="0" w:space="0" w:color="auto"/>
          </w:divBdr>
        </w:div>
        <w:div w:id="233275361">
          <w:marLeft w:val="0"/>
          <w:marRight w:val="0"/>
          <w:marTop w:val="0"/>
          <w:marBottom w:val="0"/>
          <w:divBdr>
            <w:top w:val="none" w:sz="0" w:space="0" w:color="auto"/>
            <w:left w:val="none" w:sz="0" w:space="0" w:color="auto"/>
            <w:bottom w:val="none" w:sz="0" w:space="0" w:color="auto"/>
            <w:right w:val="none" w:sz="0" w:space="0" w:color="auto"/>
          </w:divBdr>
        </w:div>
        <w:div w:id="236519906">
          <w:marLeft w:val="0"/>
          <w:marRight w:val="0"/>
          <w:marTop w:val="0"/>
          <w:marBottom w:val="0"/>
          <w:divBdr>
            <w:top w:val="none" w:sz="0" w:space="0" w:color="auto"/>
            <w:left w:val="none" w:sz="0" w:space="0" w:color="auto"/>
            <w:bottom w:val="none" w:sz="0" w:space="0" w:color="auto"/>
            <w:right w:val="none" w:sz="0" w:space="0" w:color="auto"/>
          </w:divBdr>
        </w:div>
        <w:div w:id="274560804">
          <w:marLeft w:val="0"/>
          <w:marRight w:val="0"/>
          <w:marTop w:val="0"/>
          <w:marBottom w:val="0"/>
          <w:divBdr>
            <w:top w:val="none" w:sz="0" w:space="0" w:color="auto"/>
            <w:left w:val="none" w:sz="0" w:space="0" w:color="auto"/>
            <w:bottom w:val="none" w:sz="0" w:space="0" w:color="auto"/>
            <w:right w:val="none" w:sz="0" w:space="0" w:color="auto"/>
          </w:divBdr>
        </w:div>
        <w:div w:id="331493830">
          <w:marLeft w:val="0"/>
          <w:marRight w:val="0"/>
          <w:marTop w:val="0"/>
          <w:marBottom w:val="0"/>
          <w:divBdr>
            <w:top w:val="none" w:sz="0" w:space="0" w:color="auto"/>
            <w:left w:val="none" w:sz="0" w:space="0" w:color="auto"/>
            <w:bottom w:val="none" w:sz="0" w:space="0" w:color="auto"/>
            <w:right w:val="none" w:sz="0" w:space="0" w:color="auto"/>
          </w:divBdr>
        </w:div>
        <w:div w:id="444538856">
          <w:marLeft w:val="0"/>
          <w:marRight w:val="0"/>
          <w:marTop w:val="0"/>
          <w:marBottom w:val="0"/>
          <w:divBdr>
            <w:top w:val="none" w:sz="0" w:space="0" w:color="auto"/>
            <w:left w:val="none" w:sz="0" w:space="0" w:color="auto"/>
            <w:bottom w:val="none" w:sz="0" w:space="0" w:color="auto"/>
            <w:right w:val="none" w:sz="0" w:space="0" w:color="auto"/>
          </w:divBdr>
        </w:div>
        <w:div w:id="513375455">
          <w:marLeft w:val="0"/>
          <w:marRight w:val="0"/>
          <w:marTop w:val="0"/>
          <w:marBottom w:val="0"/>
          <w:divBdr>
            <w:top w:val="none" w:sz="0" w:space="0" w:color="auto"/>
            <w:left w:val="none" w:sz="0" w:space="0" w:color="auto"/>
            <w:bottom w:val="none" w:sz="0" w:space="0" w:color="auto"/>
            <w:right w:val="none" w:sz="0" w:space="0" w:color="auto"/>
          </w:divBdr>
        </w:div>
        <w:div w:id="514464967">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549847490">
          <w:marLeft w:val="0"/>
          <w:marRight w:val="0"/>
          <w:marTop w:val="0"/>
          <w:marBottom w:val="0"/>
          <w:divBdr>
            <w:top w:val="none" w:sz="0" w:space="0" w:color="auto"/>
            <w:left w:val="none" w:sz="0" w:space="0" w:color="auto"/>
            <w:bottom w:val="none" w:sz="0" w:space="0" w:color="auto"/>
            <w:right w:val="none" w:sz="0" w:space="0" w:color="auto"/>
          </w:divBdr>
        </w:div>
        <w:div w:id="571158826">
          <w:marLeft w:val="0"/>
          <w:marRight w:val="0"/>
          <w:marTop w:val="0"/>
          <w:marBottom w:val="0"/>
          <w:divBdr>
            <w:top w:val="none" w:sz="0" w:space="0" w:color="auto"/>
            <w:left w:val="none" w:sz="0" w:space="0" w:color="auto"/>
            <w:bottom w:val="none" w:sz="0" w:space="0" w:color="auto"/>
            <w:right w:val="none" w:sz="0" w:space="0" w:color="auto"/>
          </w:divBdr>
        </w:div>
        <w:div w:id="734858534">
          <w:marLeft w:val="0"/>
          <w:marRight w:val="0"/>
          <w:marTop w:val="0"/>
          <w:marBottom w:val="0"/>
          <w:divBdr>
            <w:top w:val="none" w:sz="0" w:space="0" w:color="auto"/>
            <w:left w:val="none" w:sz="0" w:space="0" w:color="auto"/>
            <w:bottom w:val="none" w:sz="0" w:space="0" w:color="auto"/>
            <w:right w:val="none" w:sz="0" w:space="0" w:color="auto"/>
          </w:divBdr>
        </w:div>
        <w:div w:id="852917297">
          <w:marLeft w:val="0"/>
          <w:marRight w:val="0"/>
          <w:marTop w:val="0"/>
          <w:marBottom w:val="0"/>
          <w:divBdr>
            <w:top w:val="none" w:sz="0" w:space="0" w:color="auto"/>
            <w:left w:val="none" w:sz="0" w:space="0" w:color="auto"/>
            <w:bottom w:val="none" w:sz="0" w:space="0" w:color="auto"/>
            <w:right w:val="none" w:sz="0" w:space="0" w:color="auto"/>
          </w:divBdr>
        </w:div>
        <w:div w:id="885220769">
          <w:marLeft w:val="0"/>
          <w:marRight w:val="0"/>
          <w:marTop w:val="0"/>
          <w:marBottom w:val="0"/>
          <w:divBdr>
            <w:top w:val="none" w:sz="0" w:space="0" w:color="auto"/>
            <w:left w:val="none" w:sz="0" w:space="0" w:color="auto"/>
            <w:bottom w:val="none" w:sz="0" w:space="0" w:color="auto"/>
            <w:right w:val="none" w:sz="0" w:space="0" w:color="auto"/>
          </w:divBdr>
        </w:div>
        <w:div w:id="921719138">
          <w:marLeft w:val="0"/>
          <w:marRight w:val="0"/>
          <w:marTop w:val="0"/>
          <w:marBottom w:val="0"/>
          <w:divBdr>
            <w:top w:val="none" w:sz="0" w:space="0" w:color="auto"/>
            <w:left w:val="none" w:sz="0" w:space="0" w:color="auto"/>
            <w:bottom w:val="none" w:sz="0" w:space="0" w:color="auto"/>
            <w:right w:val="none" w:sz="0" w:space="0" w:color="auto"/>
          </w:divBdr>
        </w:div>
        <w:div w:id="1124808185">
          <w:marLeft w:val="0"/>
          <w:marRight w:val="0"/>
          <w:marTop w:val="0"/>
          <w:marBottom w:val="0"/>
          <w:divBdr>
            <w:top w:val="none" w:sz="0" w:space="0" w:color="auto"/>
            <w:left w:val="none" w:sz="0" w:space="0" w:color="auto"/>
            <w:bottom w:val="none" w:sz="0" w:space="0" w:color="auto"/>
            <w:right w:val="none" w:sz="0" w:space="0" w:color="auto"/>
          </w:divBdr>
        </w:div>
        <w:div w:id="1298149345">
          <w:marLeft w:val="0"/>
          <w:marRight w:val="0"/>
          <w:marTop w:val="0"/>
          <w:marBottom w:val="0"/>
          <w:divBdr>
            <w:top w:val="none" w:sz="0" w:space="0" w:color="auto"/>
            <w:left w:val="none" w:sz="0" w:space="0" w:color="auto"/>
            <w:bottom w:val="none" w:sz="0" w:space="0" w:color="auto"/>
            <w:right w:val="none" w:sz="0" w:space="0" w:color="auto"/>
          </w:divBdr>
        </w:div>
        <w:div w:id="1319269194">
          <w:marLeft w:val="0"/>
          <w:marRight w:val="0"/>
          <w:marTop w:val="0"/>
          <w:marBottom w:val="0"/>
          <w:divBdr>
            <w:top w:val="none" w:sz="0" w:space="0" w:color="auto"/>
            <w:left w:val="none" w:sz="0" w:space="0" w:color="auto"/>
            <w:bottom w:val="none" w:sz="0" w:space="0" w:color="auto"/>
            <w:right w:val="none" w:sz="0" w:space="0" w:color="auto"/>
          </w:divBdr>
        </w:div>
        <w:div w:id="1368215720">
          <w:marLeft w:val="0"/>
          <w:marRight w:val="0"/>
          <w:marTop w:val="0"/>
          <w:marBottom w:val="0"/>
          <w:divBdr>
            <w:top w:val="none" w:sz="0" w:space="0" w:color="auto"/>
            <w:left w:val="none" w:sz="0" w:space="0" w:color="auto"/>
            <w:bottom w:val="none" w:sz="0" w:space="0" w:color="auto"/>
            <w:right w:val="none" w:sz="0" w:space="0" w:color="auto"/>
          </w:divBdr>
        </w:div>
        <w:div w:id="1411851049">
          <w:marLeft w:val="0"/>
          <w:marRight w:val="0"/>
          <w:marTop w:val="0"/>
          <w:marBottom w:val="0"/>
          <w:divBdr>
            <w:top w:val="none" w:sz="0" w:space="0" w:color="auto"/>
            <w:left w:val="none" w:sz="0" w:space="0" w:color="auto"/>
            <w:bottom w:val="none" w:sz="0" w:space="0" w:color="auto"/>
            <w:right w:val="none" w:sz="0" w:space="0" w:color="auto"/>
          </w:divBdr>
        </w:div>
        <w:div w:id="1519932120">
          <w:marLeft w:val="0"/>
          <w:marRight w:val="0"/>
          <w:marTop w:val="0"/>
          <w:marBottom w:val="0"/>
          <w:divBdr>
            <w:top w:val="none" w:sz="0" w:space="0" w:color="auto"/>
            <w:left w:val="none" w:sz="0" w:space="0" w:color="auto"/>
            <w:bottom w:val="none" w:sz="0" w:space="0" w:color="auto"/>
            <w:right w:val="none" w:sz="0" w:space="0" w:color="auto"/>
          </w:divBdr>
        </w:div>
        <w:div w:id="1557472255">
          <w:marLeft w:val="0"/>
          <w:marRight w:val="0"/>
          <w:marTop w:val="0"/>
          <w:marBottom w:val="0"/>
          <w:divBdr>
            <w:top w:val="none" w:sz="0" w:space="0" w:color="auto"/>
            <w:left w:val="none" w:sz="0" w:space="0" w:color="auto"/>
            <w:bottom w:val="none" w:sz="0" w:space="0" w:color="auto"/>
            <w:right w:val="none" w:sz="0" w:space="0" w:color="auto"/>
          </w:divBdr>
        </w:div>
        <w:div w:id="1582105048">
          <w:marLeft w:val="0"/>
          <w:marRight w:val="0"/>
          <w:marTop w:val="0"/>
          <w:marBottom w:val="0"/>
          <w:divBdr>
            <w:top w:val="none" w:sz="0" w:space="0" w:color="auto"/>
            <w:left w:val="none" w:sz="0" w:space="0" w:color="auto"/>
            <w:bottom w:val="none" w:sz="0" w:space="0" w:color="auto"/>
            <w:right w:val="none" w:sz="0" w:space="0" w:color="auto"/>
          </w:divBdr>
        </w:div>
        <w:div w:id="1710063345">
          <w:marLeft w:val="0"/>
          <w:marRight w:val="0"/>
          <w:marTop w:val="0"/>
          <w:marBottom w:val="0"/>
          <w:divBdr>
            <w:top w:val="none" w:sz="0" w:space="0" w:color="auto"/>
            <w:left w:val="none" w:sz="0" w:space="0" w:color="auto"/>
            <w:bottom w:val="none" w:sz="0" w:space="0" w:color="auto"/>
            <w:right w:val="none" w:sz="0" w:space="0" w:color="auto"/>
          </w:divBdr>
        </w:div>
        <w:div w:id="1752772614">
          <w:marLeft w:val="0"/>
          <w:marRight w:val="0"/>
          <w:marTop w:val="0"/>
          <w:marBottom w:val="0"/>
          <w:divBdr>
            <w:top w:val="none" w:sz="0" w:space="0" w:color="auto"/>
            <w:left w:val="none" w:sz="0" w:space="0" w:color="auto"/>
            <w:bottom w:val="none" w:sz="0" w:space="0" w:color="auto"/>
            <w:right w:val="none" w:sz="0" w:space="0" w:color="auto"/>
          </w:divBdr>
        </w:div>
        <w:div w:id="1813214408">
          <w:marLeft w:val="0"/>
          <w:marRight w:val="0"/>
          <w:marTop w:val="0"/>
          <w:marBottom w:val="0"/>
          <w:divBdr>
            <w:top w:val="none" w:sz="0" w:space="0" w:color="auto"/>
            <w:left w:val="none" w:sz="0" w:space="0" w:color="auto"/>
            <w:bottom w:val="none" w:sz="0" w:space="0" w:color="auto"/>
            <w:right w:val="none" w:sz="0" w:space="0" w:color="auto"/>
          </w:divBdr>
        </w:div>
        <w:div w:id="1819223066">
          <w:marLeft w:val="0"/>
          <w:marRight w:val="0"/>
          <w:marTop w:val="0"/>
          <w:marBottom w:val="0"/>
          <w:divBdr>
            <w:top w:val="none" w:sz="0" w:space="0" w:color="auto"/>
            <w:left w:val="none" w:sz="0" w:space="0" w:color="auto"/>
            <w:bottom w:val="none" w:sz="0" w:space="0" w:color="auto"/>
            <w:right w:val="none" w:sz="0" w:space="0" w:color="auto"/>
          </w:divBdr>
        </w:div>
        <w:div w:id="1850943744">
          <w:marLeft w:val="0"/>
          <w:marRight w:val="0"/>
          <w:marTop w:val="0"/>
          <w:marBottom w:val="0"/>
          <w:divBdr>
            <w:top w:val="none" w:sz="0" w:space="0" w:color="auto"/>
            <w:left w:val="none" w:sz="0" w:space="0" w:color="auto"/>
            <w:bottom w:val="none" w:sz="0" w:space="0" w:color="auto"/>
            <w:right w:val="none" w:sz="0" w:space="0" w:color="auto"/>
          </w:divBdr>
        </w:div>
        <w:div w:id="1886482137">
          <w:marLeft w:val="0"/>
          <w:marRight w:val="0"/>
          <w:marTop w:val="0"/>
          <w:marBottom w:val="0"/>
          <w:divBdr>
            <w:top w:val="none" w:sz="0" w:space="0" w:color="auto"/>
            <w:left w:val="none" w:sz="0" w:space="0" w:color="auto"/>
            <w:bottom w:val="none" w:sz="0" w:space="0" w:color="auto"/>
            <w:right w:val="none" w:sz="0" w:space="0" w:color="auto"/>
          </w:divBdr>
        </w:div>
        <w:div w:id="1978029152">
          <w:marLeft w:val="0"/>
          <w:marRight w:val="0"/>
          <w:marTop w:val="0"/>
          <w:marBottom w:val="0"/>
          <w:divBdr>
            <w:top w:val="none" w:sz="0" w:space="0" w:color="auto"/>
            <w:left w:val="none" w:sz="0" w:space="0" w:color="auto"/>
            <w:bottom w:val="none" w:sz="0" w:space="0" w:color="auto"/>
            <w:right w:val="none" w:sz="0" w:space="0" w:color="auto"/>
          </w:divBdr>
        </w:div>
        <w:div w:id="2045397593">
          <w:marLeft w:val="0"/>
          <w:marRight w:val="0"/>
          <w:marTop w:val="0"/>
          <w:marBottom w:val="0"/>
          <w:divBdr>
            <w:top w:val="none" w:sz="0" w:space="0" w:color="auto"/>
            <w:left w:val="none" w:sz="0" w:space="0" w:color="auto"/>
            <w:bottom w:val="none" w:sz="0" w:space="0" w:color="auto"/>
            <w:right w:val="none" w:sz="0" w:space="0" w:color="auto"/>
          </w:divBdr>
        </w:div>
      </w:divsChild>
    </w:div>
    <w:div w:id="148258125">
      <w:bodyDiv w:val="1"/>
      <w:marLeft w:val="0"/>
      <w:marRight w:val="0"/>
      <w:marTop w:val="0"/>
      <w:marBottom w:val="0"/>
      <w:divBdr>
        <w:top w:val="none" w:sz="0" w:space="0" w:color="auto"/>
        <w:left w:val="none" w:sz="0" w:space="0" w:color="auto"/>
        <w:bottom w:val="none" w:sz="0" w:space="0" w:color="auto"/>
        <w:right w:val="none" w:sz="0" w:space="0" w:color="auto"/>
      </w:divBdr>
    </w:div>
    <w:div w:id="507446586">
      <w:bodyDiv w:val="1"/>
      <w:marLeft w:val="0"/>
      <w:marRight w:val="0"/>
      <w:marTop w:val="0"/>
      <w:marBottom w:val="0"/>
      <w:divBdr>
        <w:top w:val="none" w:sz="0" w:space="0" w:color="auto"/>
        <w:left w:val="none" w:sz="0" w:space="0" w:color="auto"/>
        <w:bottom w:val="none" w:sz="0" w:space="0" w:color="auto"/>
        <w:right w:val="none" w:sz="0" w:space="0" w:color="auto"/>
      </w:divBdr>
    </w:div>
    <w:div w:id="556091595">
      <w:bodyDiv w:val="1"/>
      <w:marLeft w:val="0"/>
      <w:marRight w:val="0"/>
      <w:marTop w:val="0"/>
      <w:marBottom w:val="0"/>
      <w:divBdr>
        <w:top w:val="none" w:sz="0" w:space="0" w:color="auto"/>
        <w:left w:val="none" w:sz="0" w:space="0" w:color="auto"/>
        <w:bottom w:val="none" w:sz="0" w:space="0" w:color="auto"/>
        <w:right w:val="none" w:sz="0" w:space="0" w:color="auto"/>
      </w:divBdr>
    </w:div>
    <w:div w:id="569192947">
      <w:bodyDiv w:val="1"/>
      <w:marLeft w:val="0"/>
      <w:marRight w:val="0"/>
      <w:marTop w:val="0"/>
      <w:marBottom w:val="0"/>
      <w:divBdr>
        <w:top w:val="none" w:sz="0" w:space="0" w:color="auto"/>
        <w:left w:val="none" w:sz="0" w:space="0" w:color="auto"/>
        <w:bottom w:val="none" w:sz="0" w:space="0" w:color="auto"/>
        <w:right w:val="none" w:sz="0" w:space="0" w:color="auto"/>
      </w:divBdr>
    </w:div>
    <w:div w:id="617833075">
      <w:bodyDiv w:val="1"/>
      <w:marLeft w:val="0"/>
      <w:marRight w:val="0"/>
      <w:marTop w:val="0"/>
      <w:marBottom w:val="0"/>
      <w:divBdr>
        <w:top w:val="none" w:sz="0" w:space="0" w:color="auto"/>
        <w:left w:val="none" w:sz="0" w:space="0" w:color="auto"/>
        <w:bottom w:val="none" w:sz="0" w:space="0" w:color="auto"/>
        <w:right w:val="none" w:sz="0" w:space="0" w:color="auto"/>
      </w:divBdr>
    </w:div>
    <w:div w:id="799149858">
      <w:bodyDiv w:val="1"/>
      <w:marLeft w:val="0"/>
      <w:marRight w:val="0"/>
      <w:marTop w:val="0"/>
      <w:marBottom w:val="0"/>
      <w:divBdr>
        <w:top w:val="none" w:sz="0" w:space="0" w:color="auto"/>
        <w:left w:val="none" w:sz="0" w:space="0" w:color="auto"/>
        <w:bottom w:val="none" w:sz="0" w:space="0" w:color="auto"/>
        <w:right w:val="none" w:sz="0" w:space="0" w:color="auto"/>
      </w:divBdr>
    </w:div>
    <w:div w:id="846596447">
      <w:bodyDiv w:val="1"/>
      <w:marLeft w:val="0"/>
      <w:marRight w:val="0"/>
      <w:marTop w:val="0"/>
      <w:marBottom w:val="0"/>
      <w:divBdr>
        <w:top w:val="none" w:sz="0" w:space="0" w:color="auto"/>
        <w:left w:val="none" w:sz="0" w:space="0" w:color="auto"/>
        <w:bottom w:val="none" w:sz="0" w:space="0" w:color="auto"/>
        <w:right w:val="none" w:sz="0" w:space="0" w:color="auto"/>
      </w:divBdr>
    </w:div>
    <w:div w:id="1491678343">
      <w:bodyDiv w:val="1"/>
      <w:marLeft w:val="60"/>
      <w:marRight w:val="60"/>
      <w:marTop w:val="60"/>
      <w:marBottom w:val="15"/>
      <w:divBdr>
        <w:top w:val="none" w:sz="0" w:space="0" w:color="auto"/>
        <w:left w:val="none" w:sz="0" w:space="0" w:color="auto"/>
        <w:bottom w:val="none" w:sz="0" w:space="0" w:color="auto"/>
        <w:right w:val="none" w:sz="0" w:space="0" w:color="auto"/>
      </w:divBdr>
      <w:divsChild>
        <w:div w:id="6180454">
          <w:marLeft w:val="0"/>
          <w:marRight w:val="0"/>
          <w:marTop w:val="0"/>
          <w:marBottom w:val="0"/>
          <w:divBdr>
            <w:top w:val="none" w:sz="0" w:space="0" w:color="auto"/>
            <w:left w:val="none" w:sz="0" w:space="0" w:color="auto"/>
            <w:bottom w:val="none" w:sz="0" w:space="0" w:color="auto"/>
            <w:right w:val="none" w:sz="0" w:space="0" w:color="auto"/>
          </w:divBdr>
        </w:div>
        <w:div w:id="48652241">
          <w:marLeft w:val="0"/>
          <w:marRight w:val="0"/>
          <w:marTop w:val="0"/>
          <w:marBottom w:val="0"/>
          <w:divBdr>
            <w:top w:val="none" w:sz="0" w:space="0" w:color="auto"/>
            <w:left w:val="none" w:sz="0" w:space="0" w:color="auto"/>
            <w:bottom w:val="none" w:sz="0" w:space="0" w:color="auto"/>
            <w:right w:val="none" w:sz="0" w:space="0" w:color="auto"/>
          </w:divBdr>
        </w:div>
        <w:div w:id="75983683">
          <w:marLeft w:val="0"/>
          <w:marRight w:val="0"/>
          <w:marTop w:val="0"/>
          <w:marBottom w:val="0"/>
          <w:divBdr>
            <w:top w:val="none" w:sz="0" w:space="0" w:color="auto"/>
            <w:left w:val="none" w:sz="0" w:space="0" w:color="auto"/>
            <w:bottom w:val="none" w:sz="0" w:space="0" w:color="auto"/>
            <w:right w:val="none" w:sz="0" w:space="0" w:color="auto"/>
          </w:divBdr>
        </w:div>
        <w:div w:id="264308144">
          <w:marLeft w:val="0"/>
          <w:marRight w:val="0"/>
          <w:marTop w:val="0"/>
          <w:marBottom w:val="0"/>
          <w:divBdr>
            <w:top w:val="none" w:sz="0" w:space="0" w:color="auto"/>
            <w:left w:val="none" w:sz="0" w:space="0" w:color="auto"/>
            <w:bottom w:val="none" w:sz="0" w:space="0" w:color="auto"/>
            <w:right w:val="none" w:sz="0" w:space="0" w:color="auto"/>
          </w:divBdr>
        </w:div>
        <w:div w:id="320622269">
          <w:marLeft w:val="0"/>
          <w:marRight w:val="0"/>
          <w:marTop w:val="0"/>
          <w:marBottom w:val="0"/>
          <w:divBdr>
            <w:top w:val="none" w:sz="0" w:space="0" w:color="auto"/>
            <w:left w:val="none" w:sz="0" w:space="0" w:color="auto"/>
            <w:bottom w:val="none" w:sz="0" w:space="0" w:color="auto"/>
            <w:right w:val="none" w:sz="0" w:space="0" w:color="auto"/>
          </w:divBdr>
        </w:div>
        <w:div w:id="379676130">
          <w:marLeft w:val="0"/>
          <w:marRight w:val="0"/>
          <w:marTop w:val="0"/>
          <w:marBottom w:val="0"/>
          <w:divBdr>
            <w:top w:val="none" w:sz="0" w:space="0" w:color="auto"/>
            <w:left w:val="none" w:sz="0" w:space="0" w:color="auto"/>
            <w:bottom w:val="none" w:sz="0" w:space="0" w:color="auto"/>
            <w:right w:val="none" w:sz="0" w:space="0" w:color="auto"/>
          </w:divBdr>
        </w:div>
        <w:div w:id="433013661">
          <w:marLeft w:val="0"/>
          <w:marRight w:val="0"/>
          <w:marTop w:val="0"/>
          <w:marBottom w:val="0"/>
          <w:divBdr>
            <w:top w:val="none" w:sz="0" w:space="0" w:color="auto"/>
            <w:left w:val="none" w:sz="0" w:space="0" w:color="auto"/>
            <w:bottom w:val="none" w:sz="0" w:space="0" w:color="auto"/>
            <w:right w:val="none" w:sz="0" w:space="0" w:color="auto"/>
          </w:divBdr>
        </w:div>
        <w:div w:id="491798577">
          <w:marLeft w:val="0"/>
          <w:marRight w:val="0"/>
          <w:marTop w:val="0"/>
          <w:marBottom w:val="0"/>
          <w:divBdr>
            <w:top w:val="none" w:sz="0" w:space="0" w:color="auto"/>
            <w:left w:val="none" w:sz="0" w:space="0" w:color="auto"/>
            <w:bottom w:val="none" w:sz="0" w:space="0" w:color="auto"/>
            <w:right w:val="none" w:sz="0" w:space="0" w:color="auto"/>
          </w:divBdr>
        </w:div>
        <w:div w:id="533082959">
          <w:marLeft w:val="0"/>
          <w:marRight w:val="0"/>
          <w:marTop w:val="0"/>
          <w:marBottom w:val="0"/>
          <w:divBdr>
            <w:top w:val="none" w:sz="0" w:space="0" w:color="auto"/>
            <w:left w:val="none" w:sz="0" w:space="0" w:color="auto"/>
            <w:bottom w:val="none" w:sz="0" w:space="0" w:color="auto"/>
            <w:right w:val="none" w:sz="0" w:space="0" w:color="auto"/>
          </w:divBdr>
        </w:div>
        <w:div w:id="549615924">
          <w:marLeft w:val="0"/>
          <w:marRight w:val="0"/>
          <w:marTop w:val="0"/>
          <w:marBottom w:val="0"/>
          <w:divBdr>
            <w:top w:val="none" w:sz="0" w:space="0" w:color="auto"/>
            <w:left w:val="none" w:sz="0" w:space="0" w:color="auto"/>
            <w:bottom w:val="none" w:sz="0" w:space="0" w:color="auto"/>
            <w:right w:val="none" w:sz="0" w:space="0" w:color="auto"/>
          </w:divBdr>
        </w:div>
        <w:div w:id="693576273">
          <w:marLeft w:val="0"/>
          <w:marRight w:val="0"/>
          <w:marTop w:val="0"/>
          <w:marBottom w:val="0"/>
          <w:divBdr>
            <w:top w:val="none" w:sz="0" w:space="0" w:color="auto"/>
            <w:left w:val="none" w:sz="0" w:space="0" w:color="auto"/>
            <w:bottom w:val="none" w:sz="0" w:space="0" w:color="auto"/>
            <w:right w:val="none" w:sz="0" w:space="0" w:color="auto"/>
          </w:divBdr>
        </w:div>
        <w:div w:id="733507878">
          <w:marLeft w:val="0"/>
          <w:marRight w:val="0"/>
          <w:marTop w:val="0"/>
          <w:marBottom w:val="0"/>
          <w:divBdr>
            <w:top w:val="none" w:sz="0" w:space="0" w:color="auto"/>
            <w:left w:val="none" w:sz="0" w:space="0" w:color="auto"/>
            <w:bottom w:val="none" w:sz="0" w:space="0" w:color="auto"/>
            <w:right w:val="none" w:sz="0" w:space="0" w:color="auto"/>
          </w:divBdr>
        </w:div>
        <w:div w:id="738329561">
          <w:marLeft w:val="0"/>
          <w:marRight w:val="0"/>
          <w:marTop w:val="0"/>
          <w:marBottom w:val="0"/>
          <w:divBdr>
            <w:top w:val="none" w:sz="0" w:space="0" w:color="auto"/>
            <w:left w:val="none" w:sz="0" w:space="0" w:color="auto"/>
            <w:bottom w:val="none" w:sz="0" w:space="0" w:color="auto"/>
            <w:right w:val="none" w:sz="0" w:space="0" w:color="auto"/>
          </w:divBdr>
        </w:div>
        <w:div w:id="766539687">
          <w:marLeft w:val="0"/>
          <w:marRight w:val="0"/>
          <w:marTop w:val="0"/>
          <w:marBottom w:val="0"/>
          <w:divBdr>
            <w:top w:val="none" w:sz="0" w:space="0" w:color="auto"/>
            <w:left w:val="none" w:sz="0" w:space="0" w:color="auto"/>
            <w:bottom w:val="none" w:sz="0" w:space="0" w:color="auto"/>
            <w:right w:val="none" w:sz="0" w:space="0" w:color="auto"/>
          </w:divBdr>
        </w:div>
        <w:div w:id="814761948">
          <w:marLeft w:val="0"/>
          <w:marRight w:val="0"/>
          <w:marTop w:val="0"/>
          <w:marBottom w:val="0"/>
          <w:divBdr>
            <w:top w:val="none" w:sz="0" w:space="0" w:color="auto"/>
            <w:left w:val="none" w:sz="0" w:space="0" w:color="auto"/>
            <w:bottom w:val="none" w:sz="0" w:space="0" w:color="auto"/>
            <w:right w:val="none" w:sz="0" w:space="0" w:color="auto"/>
          </w:divBdr>
        </w:div>
        <w:div w:id="897323485">
          <w:marLeft w:val="0"/>
          <w:marRight w:val="0"/>
          <w:marTop w:val="0"/>
          <w:marBottom w:val="0"/>
          <w:divBdr>
            <w:top w:val="none" w:sz="0" w:space="0" w:color="auto"/>
            <w:left w:val="none" w:sz="0" w:space="0" w:color="auto"/>
            <w:bottom w:val="none" w:sz="0" w:space="0" w:color="auto"/>
            <w:right w:val="none" w:sz="0" w:space="0" w:color="auto"/>
          </w:divBdr>
        </w:div>
        <w:div w:id="956451479">
          <w:marLeft w:val="0"/>
          <w:marRight w:val="0"/>
          <w:marTop w:val="0"/>
          <w:marBottom w:val="0"/>
          <w:divBdr>
            <w:top w:val="none" w:sz="0" w:space="0" w:color="auto"/>
            <w:left w:val="none" w:sz="0" w:space="0" w:color="auto"/>
            <w:bottom w:val="none" w:sz="0" w:space="0" w:color="auto"/>
            <w:right w:val="none" w:sz="0" w:space="0" w:color="auto"/>
          </w:divBdr>
        </w:div>
        <w:div w:id="1027292865">
          <w:marLeft w:val="0"/>
          <w:marRight w:val="0"/>
          <w:marTop w:val="0"/>
          <w:marBottom w:val="0"/>
          <w:divBdr>
            <w:top w:val="none" w:sz="0" w:space="0" w:color="auto"/>
            <w:left w:val="none" w:sz="0" w:space="0" w:color="auto"/>
            <w:bottom w:val="none" w:sz="0" w:space="0" w:color="auto"/>
            <w:right w:val="none" w:sz="0" w:space="0" w:color="auto"/>
          </w:divBdr>
        </w:div>
        <w:div w:id="1049381007">
          <w:marLeft w:val="0"/>
          <w:marRight w:val="0"/>
          <w:marTop w:val="0"/>
          <w:marBottom w:val="0"/>
          <w:divBdr>
            <w:top w:val="none" w:sz="0" w:space="0" w:color="auto"/>
            <w:left w:val="none" w:sz="0" w:space="0" w:color="auto"/>
            <w:bottom w:val="none" w:sz="0" w:space="0" w:color="auto"/>
            <w:right w:val="none" w:sz="0" w:space="0" w:color="auto"/>
          </w:divBdr>
        </w:div>
        <w:div w:id="1226143700">
          <w:marLeft w:val="0"/>
          <w:marRight w:val="0"/>
          <w:marTop w:val="0"/>
          <w:marBottom w:val="0"/>
          <w:divBdr>
            <w:top w:val="none" w:sz="0" w:space="0" w:color="auto"/>
            <w:left w:val="none" w:sz="0" w:space="0" w:color="auto"/>
            <w:bottom w:val="none" w:sz="0" w:space="0" w:color="auto"/>
            <w:right w:val="none" w:sz="0" w:space="0" w:color="auto"/>
          </w:divBdr>
        </w:div>
        <w:div w:id="1273366763">
          <w:marLeft w:val="0"/>
          <w:marRight w:val="0"/>
          <w:marTop w:val="0"/>
          <w:marBottom w:val="0"/>
          <w:divBdr>
            <w:top w:val="none" w:sz="0" w:space="0" w:color="auto"/>
            <w:left w:val="none" w:sz="0" w:space="0" w:color="auto"/>
            <w:bottom w:val="none" w:sz="0" w:space="0" w:color="auto"/>
            <w:right w:val="none" w:sz="0" w:space="0" w:color="auto"/>
          </w:divBdr>
        </w:div>
        <w:div w:id="1293752070">
          <w:marLeft w:val="0"/>
          <w:marRight w:val="0"/>
          <w:marTop w:val="0"/>
          <w:marBottom w:val="0"/>
          <w:divBdr>
            <w:top w:val="none" w:sz="0" w:space="0" w:color="auto"/>
            <w:left w:val="none" w:sz="0" w:space="0" w:color="auto"/>
            <w:bottom w:val="none" w:sz="0" w:space="0" w:color="auto"/>
            <w:right w:val="none" w:sz="0" w:space="0" w:color="auto"/>
          </w:divBdr>
        </w:div>
        <w:div w:id="1295713079">
          <w:marLeft w:val="0"/>
          <w:marRight w:val="0"/>
          <w:marTop w:val="0"/>
          <w:marBottom w:val="0"/>
          <w:divBdr>
            <w:top w:val="none" w:sz="0" w:space="0" w:color="auto"/>
            <w:left w:val="none" w:sz="0" w:space="0" w:color="auto"/>
            <w:bottom w:val="none" w:sz="0" w:space="0" w:color="auto"/>
            <w:right w:val="none" w:sz="0" w:space="0" w:color="auto"/>
          </w:divBdr>
        </w:div>
        <w:div w:id="1302806349">
          <w:marLeft w:val="0"/>
          <w:marRight w:val="0"/>
          <w:marTop w:val="0"/>
          <w:marBottom w:val="0"/>
          <w:divBdr>
            <w:top w:val="none" w:sz="0" w:space="0" w:color="auto"/>
            <w:left w:val="none" w:sz="0" w:space="0" w:color="auto"/>
            <w:bottom w:val="none" w:sz="0" w:space="0" w:color="auto"/>
            <w:right w:val="none" w:sz="0" w:space="0" w:color="auto"/>
          </w:divBdr>
        </w:div>
        <w:div w:id="1509902587">
          <w:marLeft w:val="0"/>
          <w:marRight w:val="0"/>
          <w:marTop w:val="0"/>
          <w:marBottom w:val="0"/>
          <w:divBdr>
            <w:top w:val="none" w:sz="0" w:space="0" w:color="auto"/>
            <w:left w:val="none" w:sz="0" w:space="0" w:color="auto"/>
            <w:bottom w:val="none" w:sz="0" w:space="0" w:color="auto"/>
            <w:right w:val="none" w:sz="0" w:space="0" w:color="auto"/>
          </w:divBdr>
        </w:div>
        <w:div w:id="1553730171">
          <w:marLeft w:val="0"/>
          <w:marRight w:val="0"/>
          <w:marTop w:val="0"/>
          <w:marBottom w:val="0"/>
          <w:divBdr>
            <w:top w:val="none" w:sz="0" w:space="0" w:color="auto"/>
            <w:left w:val="none" w:sz="0" w:space="0" w:color="auto"/>
            <w:bottom w:val="none" w:sz="0" w:space="0" w:color="auto"/>
            <w:right w:val="none" w:sz="0" w:space="0" w:color="auto"/>
          </w:divBdr>
        </w:div>
        <w:div w:id="1627736823">
          <w:marLeft w:val="0"/>
          <w:marRight w:val="0"/>
          <w:marTop w:val="0"/>
          <w:marBottom w:val="0"/>
          <w:divBdr>
            <w:top w:val="none" w:sz="0" w:space="0" w:color="auto"/>
            <w:left w:val="none" w:sz="0" w:space="0" w:color="auto"/>
            <w:bottom w:val="none" w:sz="0" w:space="0" w:color="auto"/>
            <w:right w:val="none" w:sz="0" w:space="0" w:color="auto"/>
          </w:divBdr>
        </w:div>
        <w:div w:id="1653365614">
          <w:marLeft w:val="0"/>
          <w:marRight w:val="0"/>
          <w:marTop w:val="0"/>
          <w:marBottom w:val="0"/>
          <w:divBdr>
            <w:top w:val="none" w:sz="0" w:space="0" w:color="auto"/>
            <w:left w:val="none" w:sz="0" w:space="0" w:color="auto"/>
            <w:bottom w:val="none" w:sz="0" w:space="0" w:color="auto"/>
            <w:right w:val="none" w:sz="0" w:space="0" w:color="auto"/>
          </w:divBdr>
        </w:div>
        <w:div w:id="1741712463">
          <w:marLeft w:val="0"/>
          <w:marRight w:val="0"/>
          <w:marTop w:val="0"/>
          <w:marBottom w:val="0"/>
          <w:divBdr>
            <w:top w:val="none" w:sz="0" w:space="0" w:color="auto"/>
            <w:left w:val="none" w:sz="0" w:space="0" w:color="auto"/>
            <w:bottom w:val="none" w:sz="0" w:space="0" w:color="auto"/>
            <w:right w:val="none" w:sz="0" w:space="0" w:color="auto"/>
          </w:divBdr>
        </w:div>
        <w:div w:id="1887374909">
          <w:marLeft w:val="0"/>
          <w:marRight w:val="0"/>
          <w:marTop w:val="0"/>
          <w:marBottom w:val="0"/>
          <w:divBdr>
            <w:top w:val="none" w:sz="0" w:space="0" w:color="auto"/>
            <w:left w:val="none" w:sz="0" w:space="0" w:color="auto"/>
            <w:bottom w:val="none" w:sz="0" w:space="0" w:color="auto"/>
            <w:right w:val="none" w:sz="0" w:space="0" w:color="auto"/>
          </w:divBdr>
        </w:div>
        <w:div w:id="1951157452">
          <w:marLeft w:val="0"/>
          <w:marRight w:val="0"/>
          <w:marTop w:val="0"/>
          <w:marBottom w:val="0"/>
          <w:divBdr>
            <w:top w:val="none" w:sz="0" w:space="0" w:color="auto"/>
            <w:left w:val="none" w:sz="0" w:space="0" w:color="auto"/>
            <w:bottom w:val="none" w:sz="0" w:space="0" w:color="auto"/>
            <w:right w:val="none" w:sz="0" w:space="0" w:color="auto"/>
          </w:divBdr>
        </w:div>
        <w:div w:id="2075657967">
          <w:marLeft w:val="0"/>
          <w:marRight w:val="0"/>
          <w:marTop w:val="0"/>
          <w:marBottom w:val="0"/>
          <w:divBdr>
            <w:top w:val="none" w:sz="0" w:space="0" w:color="auto"/>
            <w:left w:val="none" w:sz="0" w:space="0" w:color="auto"/>
            <w:bottom w:val="none" w:sz="0" w:space="0" w:color="auto"/>
            <w:right w:val="none" w:sz="0" w:space="0" w:color="auto"/>
          </w:divBdr>
        </w:div>
        <w:div w:id="2090153335">
          <w:marLeft w:val="0"/>
          <w:marRight w:val="0"/>
          <w:marTop w:val="0"/>
          <w:marBottom w:val="0"/>
          <w:divBdr>
            <w:top w:val="none" w:sz="0" w:space="0" w:color="auto"/>
            <w:left w:val="none" w:sz="0" w:space="0" w:color="auto"/>
            <w:bottom w:val="none" w:sz="0" w:space="0" w:color="auto"/>
            <w:right w:val="none" w:sz="0" w:space="0" w:color="auto"/>
          </w:divBdr>
        </w:div>
        <w:div w:id="2134706714">
          <w:marLeft w:val="0"/>
          <w:marRight w:val="0"/>
          <w:marTop w:val="0"/>
          <w:marBottom w:val="0"/>
          <w:divBdr>
            <w:top w:val="none" w:sz="0" w:space="0" w:color="auto"/>
            <w:left w:val="none" w:sz="0" w:space="0" w:color="auto"/>
            <w:bottom w:val="none" w:sz="0" w:space="0" w:color="auto"/>
            <w:right w:val="none" w:sz="0" w:space="0" w:color="auto"/>
          </w:divBdr>
        </w:div>
      </w:divsChild>
    </w:div>
    <w:div w:id="1549027890">
      <w:bodyDiv w:val="1"/>
      <w:marLeft w:val="0"/>
      <w:marRight w:val="0"/>
      <w:marTop w:val="0"/>
      <w:marBottom w:val="0"/>
      <w:divBdr>
        <w:top w:val="none" w:sz="0" w:space="0" w:color="auto"/>
        <w:left w:val="none" w:sz="0" w:space="0" w:color="auto"/>
        <w:bottom w:val="none" w:sz="0" w:space="0" w:color="auto"/>
        <w:right w:val="none" w:sz="0" w:space="0" w:color="auto"/>
      </w:divBdr>
    </w:div>
    <w:div w:id="1580869024">
      <w:bodyDiv w:val="1"/>
      <w:marLeft w:val="0"/>
      <w:marRight w:val="0"/>
      <w:marTop w:val="0"/>
      <w:marBottom w:val="0"/>
      <w:divBdr>
        <w:top w:val="none" w:sz="0" w:space="0" w:color="auto"/>
        <w:left w:val="none" w:sz="0" w:space="0" w:color="auto"/>
        <w:bottom w:val="none" w:sz="0" w:space="0" w:color="auto"/>
        <w:right w:val="none" w:sz="0" w:space="0" w:color="auto"/>
      </w:divBdr>
    </w:div>
    <w:div w:id="1581252783">
      <w:bodyDiv w:val="1"/>
      <w:marLeft w:val="0"/>
      <w:marRight w:val="0"/>
      <w:marTop w:val="0"/>
      <w:marBottom w:val="0"/>
      <w:divBdr>
        <w:top w:val="none" w:sz="0" w:space="0" w:color="auto"/>
        <w:left w:val="none" w:sz="0" w:space="0" w:color="auto"/>
        <w:bottom w:val="none" w:sz="0" w:space="0" w:color="auto"/>
        <w:right w:val="none" w:sz="0" w:space="0" w:color="auto"/>
      </w:divBdr>
    </w:div>
    <w:div w:id="1588879076">
      <w:bodyDiv w:val="1"/>
      <w:marLeft w:val="0"/>
      <w:marRight w:val="0"/>
      <w:marTop w:val="0"/>
      <w:marBottom w:val="0"/>
      <w:divBdr>
        <w:top w:val="none" w:sz="0" w:space="0" w:color="auto"/>
        <w:left w:val="none" w:sz="0" w:space="0" w:color="auto"/>
        <w:bottom w:val="none" w:sz="0" w:space="0" w:color="auto"/>
        <w:right w:val="none" w:sz="0" w:space="0" w:color="auto"/>
      </w:divBdr>
    </w:div>
    <w:div w:id="1724938557">
      <w:bodyDiv w:val="1"/>
      <w:marLeft w:val="0"/>
      <w:marRight w:val="0"/>
      <w:marTop w:val="0"/>
      <w:marBottom w:val="0"/>
      <w:divBdr>
        <w:top w:val="none" w:sz="0" w:space="0" w:color="auto"/>
        <w:left w:val="none" w:sz="0" w:space="0" w:color="auto"/>
        <w:bottom w:val="none" w:sz="0" w:space="0" w:color="auto"/>
        <w:right w:val="none" w:sz="0" w:space="0" w:color="auto"/>
      </w:divBdr>
    </w:div>
    <w:div w:id="1728409520">
      <w:bodyDiv w:val="1"/>
      <w:marLeft w:val="0"/>
      <w:marRight w:val="0"/>
      <w:marTop w:val="0"/>
      <w:marBottom w:val="0"/>
      <w:divBdr>
        <w:top w:val="none" w:sz="0" w:space="0" w:color="auto"/>
        <w:left w:val="none" w:sz="0" w:space="0" w:color="auto"/>
        <w:bottom w:val="none" w:sz="0" w:space="0" w:color="auto"/>
        <w:right w:val="none" w:sz="0" w:space="0" w:color="auto"/>
      </w:divBdr>
    </w:div>
    <w:div w:id="1981425106">
      <w:bodyDiv w:val="1"/>
      <w:marLeft w:val="0"/>
      <w:marRight w:val="0"/>
      <w:marTop w:val="0"/>
      <w:marBottom w:val="0"/>
      <w:divBdr>
        <w:top w:val="none" w:sz="0" w:space="0" w:color="auto"/>
        <w:left w:val="none" w:sz="0" w:space="0" w:color="auto"/>
        <w:bottom w:val="none" w:sz="0" w:space="0" w:color="auto"/>
        <w:right w:val="none" w:sz="0" w:space="0" w:color="auto"/>
      </w:divBdr>
    </w:div>
    <w:div w:id="200593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mn.gov/deed/data/export-stats/"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4737864206368143"/>
          <c:y val="0.11308947549589088"/>
          <c:w val="0.48232820329277021"/>
          <c:h val="0.78279495288498768"/>
        </c:manualLayout>
      </c:layout>
      <c:pieChart>
        <c:varyColors val="1"/>
        <c:ser>
          <c:idx val="0"/>
          <c:order val="0"/>
          <c:tx>
            <c:strRef>
              <c:f>Sheet1!$B$1</c:f>
              <c:strCache>
                <c:ptCount val="1"/>
                <c:pt idx="0">
                  <c:v> 2,020 </c:v>
                </c:pt>
              </c:strCache>
            </c:strRef>
          </c:tx>
          <c:spPr>
            <a:ln w="3175">
              <a:solidFill>
                <a:schemeClr val="tx1"/>
              </a:solidFill>
            </a:ln>
          </c:spPr>
          <c:dPt>
            <c:idx val="0"/>
            <c:bubble3D val="0"/>
            <c:spPr>
              <a:solidFill>
                <a:schemeClr val="accent1">
                  <a:shade val="50000"/>
                </a:schemeClr>
              </a:solidFill>
              <a:ln w="3175">
                <a:solidFill>
                  <a:schemeClr val="tx1"/>
                </a:solidFill>
              </a:ln>
              <a:effectLst/>
            </c:spPr>
            <c:extLst>
              <c:ext xmlns:c16="http://schemas.microsoft.com/office/drawing/2014/chart" uri="{C3380CC4-5D6E-409C-BE32-E72D297353CC}">
                <c16:uniqueId val="{00000001-ED29-4537-8016-AAA72727FCAA}"/>
              </c:ext>
            </c:extLst>
          </c:dPt>
          <c:dPt>
            <c:idx val="1"/>
            <c:bubble3D val="0"/>
            <c:spPr>
              <a:solidFill>
                <a:schemeClr val="accent1">
                  <a:shade val="70000"/>
                </a:schemeClr>
              </a:solidFill>
              <a:ln w="3175">
                <a:solidFill>
                  <a:schemeClr val="tx1"/>
                </a:solidFill>
              </a:ln>
              <a:effectLst/>
            </c:spPr>
            <c:extLst>
              <c:ext xmlns:c16="http://schemas.microsoft.com/office/drawing/2014/chart" uri="{C3380CC4-5D6E-409C-BE32-E72D297353CC}">
                <c16:uniqueId val="{00000003-ED29-4537-8016-AAA72727FCAA}"/>
              </c:ext>
            </c:extLst>
          </c:dPt>
          <c:dPt>
            <c:idx val="2"/>
            <c:bubble3D val="0"/>
            <c:spPr>
              <a:solidFill>
                <a:schemeClr val="accent1">
                  <a:shade val="90000"/>
                </a:schemeClr>
              </a:solidFill>
              <a:ln w="3175">
                <a:solidFill>
                  <a:schemeClr val="tx1"/>
                </a:solidFill>
              </a:ln>
              <a:effectLst/>
            </c:spPr>
            <c:extLst>
              <c:ext xmlns:c16="http://schemas.microsoft.com/office/drawing/2014/chart" uri="{C3380CC4-5D6E-409C-BE32-E72D297353CC}">
                <c16:uniqueId val="{00000005-ED29-4537-8016-AAA72727FCAA}"/>
              </c:ext>
            </c:extLst>
          </c:dPt>
          <c:dPt>
            <c:idx val="3"/>
            <c:bubble3D val="0"/>
            <c:spPr>
              <a:solidFill>
                <a:schemeClr val="accent1">
                  <a:tint val="90000"/>
                </a:schemeClr>
              </a:solidFill>
              <a:ln w="3175">
                <a:solidFill>
                  <a:schemeClr val="tx1"/>
                </a:solidFill>
              </a:ln>
              <a:effectLst/>
            </c:spPr>
            <c:extLst>
              <c:ext xmlns:c16="http://schemas.microsoft.com/office/drawing/2014/chart" uri="{C3380CC4-5D6E-409C-BE32-E72D297353CC}">
                <c16:uniqueId val="{00000007-ED29-4537-8016-AAA72727FCAA}"/>
              </c:ext>
            </c:extLst>
          </c:dPt>
          <c:dPt>
            <c:idx val="4"/>
            <c:bubble3D val="0"/>
            <c:spPr>
              <a:solidFill>
                <a:schemeClr val="accent1">
                  <a:tint val="70000"/>
                </a:schemeClr>
              </a:solidFill>
              <a:ln w="3175">
                <a:solidFill>
                  <a:schemeClr val="tx1"/>
                </a:solidFill>
              </a:ln>
              <a:effectLst/>
            </c:spPr>
            <c:extLst>
              <c:ext xmlns:c16="http://schemas.microsoft.com/office/drawing/2014/chart" uri="{C3380CC4-5D6E-409C-BE32-E72D297353CC}">
                <c16:uniqueId val="{00000009-ED29-4537-8016-AAA72727FCAA}"/>
              </c:ext>
            </c:extLst>
          </c:dPt>
          <c:dPt>
            <c:idx val="5"/>
            <c:bubble3D val="0"/>
            <c:spPr>
              <a:solidFill>
                <a:schemeClr val="accent1">
                  <a:tint val="50000"/>
                </a:schemeClr>
              </a:solidFill>
              <a:ln w="3175">
                <a:solidFill>
                  <a:schemeClr val="tx1"/>
                </a:solidFill>
              </a:ln>
              <a:effectLst/>
            </c:spPr>
            <c:extLst>
              <c:ext xmlns:c16="http://schemas.microsoft.com/office/drawing/2014/chart" uri="{C3380CC4-5D6E-409C-BE32-E72D297353CC}">
                <c16:uniqueId val="{0000000B-ED29-4537-8016-AAA72727FCAA}"/>
              </c:ext>
            </c:extLst>
          </c:dPt>
          <c:dPt>
            <c:idx val="6"/>
            <c:bubble3D val="0"/>
            <c:spPr>
              <a:solidFill>
                <a:schemeClr val="accent1">
                  <a:tint val="30000"/>
                </a:schemeClr>
              </a:solidFill>
              <a:ln w="3175">
                <a:solidFill>
                  <a:schemeClr val="tx1"/>
                </a:solidFill>
              </a:ln>
              <a:effectLst/>
            </c:spPr>
            <c:extLst>
              <c:ext xmlns:c16="http://schemas.microsoft.com/office/drawing/2014/chart" uri="{C3380CC4-5D6E-409C-BE32-E72D297353CC}">
                <c16:uniqueId val="{0000000D-ED29-4537-8016-AAA72727FCAA}"/>
              </c:ext>
            </c:extLst>
          </c:dPt>
          <c:dPt>
            <c:idx val="7"/>
            <c:bubble3D val="0"/>
            <c:spPr>
              <a:solidFill>
                <a:schemeClr val="accent1">
                  <a:tint val="10000"/>
                </a:schemeClr>
              </a:solidFill>
              <a:ln w="3175">
                <a:solidFill>
                  <a:schemeClr val="tx1"/>
                </a:solidFill>
              </a:ln>
              <a:effectLst/>
            </c:spPr>
            <c:extLst>
              <c:ext xmlns:c16="http://schemas.microsoft.com/office/drawing/2014/chart" uri="{C3380CC4-5D6E-409C-BE32-E72D297353CC}">
                <c16:uniqueId val="{0000000F-ED29-4537-8016-AAA72727FCAA}"/>
              </c:ext>
            </c:extLst>
          </c:dPt>
          <c:dPt>
            <c:idx val="8"/>
            <c:bubble3D val="0"/>
            <c:spPr>
              <a:solidFill>
                <a:schemeClr val="accent1">
                  <a:tint val="90000"/>
                </a:schemeClr>
              </a:solidFill>
              <a:ln w="3175">
                <a:solidFill>
                  <a:schemeClr val="tx1"/>
                </a:solidFill>
              </a:ln>
              <a:effectLst/>
            </c:spPr>
            <c:extLst>
              <c:ext xmlns:c16="http://schemas.microsoft.com/office/drawing/2014/chart" uri="{C3380CC4-5D6E-409C-BE32-E72D297353CC}">
                <c16:uniqueId val="{00000011-ED29-4537-8016-AAA72727FCAA}"/>
              </c:ext>
            </c:extLst>
          </c:dPt>
          <c:dLbls>
            <c:dLbl>
              <c:idx val="0"/>
              <c:layout>
                <c:manualLayout>
                  <c:x val="-2.503794506747278E-2"/>
                  <c:y val="-5.2737887784518767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08649486995943"/>
                      <c:h val="0.11974689126973879"/>
                    </c:manualLayout>
                  </c15:layout>
                </c:ext>
                <c:ext xmlns:c16="http://schemas.microsoft.com/office/drawing/2014/chart" uri="{C3380CC4-5D6E-409C-BE32-E72D297353CC}">
                  <c16:uniqueId val="{00000001-ED29-4537-8016-AAA72727FCAA}"/>
                </c:ext>
              </c:extLst>
            </c:dLbl>
            <c:dLbl>
              <c:idx val="1"/>
              <c:layout>
                <c:manualLayout>
                  <c:x val="4.149235133487094E-2"/>
                  <c:y val="-3.2733638827933516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7844554468570215"/>
                      <c:h val="0.11549040488791359"/>
                    </c:manualLayout>
                  </c15:layout>
                </c:ext>
                <c:ext xmlns:c16="http://schemas.microsoft.com/office/drawing/2014/chart" uri="{C3380CC4-5D6E-409C-BE32-E72D297353CC}">
                  <c16:uniqueId val="{00000003-ED29-4537-8016-AAA72727FCAA}"/>
                </c:ext>
              </c:extLst>
            </c:dLbl>
            <c:dLbl>
              <c:idx val="2"/>
              <c:layout>
                <c:manualLayout>
                  <c:x val="1.2915573053368328E-2"/>
                  <c:y val="6.4979454412460742E-3"/>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4255017365253587"/>
                      <c:h val="0.12375112946947203"/>
                    </c:manualLayout>
                  </c15:layout>
                </c:ext>
                <c:ext xmlns:c16="http://schemas.microsoft.com/office/drawing/2014/chart" uri="{C3380CC4-5D6E-409C-BE32-E72D297353CC}">
                  <c16:uniqueId val="{00000005-ED29-4537-8016-AAA72727FCAA}"/>
                </c:ext>
              </c:extLst>
            </c:dLbl>
            <c:dLbl>
              <c:idx val="3"/>
              <c:layout>
                <c:manualLayout>
                  <c:x val="-1.04052334367295E-2"/>
                  <c:y val="-5.968920439427533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4029898724780616"/>
                      <c:h val="0.13068338281485303"/>
                    </c:manualLayout>
                  </c15:layout>
                </c:ext>
                <c:ext xmlns:c16="http://schemas.microsoft.com/office/drawing/2014/chart" uri="{C3380CC4-5D6E-409C-BE32-E72D297353CC}">
                  <c16:uniqueId val="{00000007-ED29-4537-8016-AAA72727FCAA}"/>
                </c:ext>
              </c:extLst>
            </c:dLbl>
            <c:dLbl>
              <c:idx val="4"/>
              <c:layout>
                <c:manualLayout>
                  <c:x val="-6.102030806755223E-3"/>
                  <c:y val="3.2755654197014976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a:noFill/>
                    <a:ln>
                      <a:noFill/>
                    </a:ln>
                  </c15:spPr>
                  <c15:layout>
                    <c:manualLayout>
                      <c:w val="0.24192250589888384"/>
                      <c:h val="0.13312787745794072"/>
                    </c:manualLayout>
                  </c15:layout>
                </c:ext>
                <c:ext xmlns:c16="http://schemas.microsoft.com/office/drawing/2014/chart" uri="{C3380CC4-5D6E-409C-BE32-E72D297353CC}">
                  <c16:uniqueId val="{00000009-ED29-4537-8016-AAA72727FCAA}"/>
                </c:ext>
              </c:extLst>
            </c:dLbl>
            <c:dLbl>
              <c:idx val="5"/>
              <c:layout>
                <c:manualLayout>
                  <c:x val="8.2856617354648845E-2"/>
                  <c:y val="-2.0909706983348392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580675183459212"/>
                      <c:h val="9.1190713836826712E-2"/>
                    </c:manualLayout>
                  </c15:layout>
                </c:ext>
                <c:ext xmlns:c16="http://schemas.microsoft.com/office/drawing/2014/chart" uri="{C3380CC4-5D6E-409C-BE32-E72D297353CC}">
                  <c16:uniqueId val="{0000000B-ED29-4537-8016-AAA72727FCAA}"/>
                </c:ext>
              </c:extLst>
            </c:dLbl>
            <c:dLbl>
              <c:idx val="6"/>
              <c:layout>
                <c:manualLayout>
                  <c:x val="-2.9654008092738406E-2"/>
                  <c:y val="-4.2075143755885475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4615834153543306"/>
                      <c:h val="0.11401244214702168"/>
                    </c:manualLayout>
                  </c15:layout>
                </c:ext>
                <c:ext xmlns:c16="http://schemas.microsoft.com/office/drawing/2014/chart" uri="{C3380CC4-5D6E-409C-BE32-E72D297353CC}">
                  <c16:uniqueId val="{0000000D-ED29-4537-8016-AAA72727FCAA}"/>
                </c:ext>
              </c:extLst>
            </c:dLbl>
            <c:dLbl>
              <c:idx val="7"/>
              <c:layout>
                <c:manualLayout>
                  <c:x val="-1.3888888888888895E-2"/>
                  <c:y val="-7.98300436660664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883967629046367"/>
                      <c:h val="0.19127620258230052"/>
                    </c:manualLayout>
                  </c15:layout>
                </c:ext>
                <c:ext xmlns:c16="http://schemas.microsoft.com/office/drawing/2014/chart" uri="{C3380CC4-5D6E-409C-BE32-E72D297353CC}">
                  <c16:uniqueId val="{0000000F-ED29-4537-8016-AAA72727FCA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50000"/>
                      <a:lumOff val="50000"/>
                    </a:schemeClr>
                  </a:solidFill>
                  <a:prstDash val="solid"/>
                  <a:round/>
                </a:ln>
                <a:effectLst/>
              </c:spPr>
            </c:leaderLines>
            <c:extLst>
              <c:ext xmlns:c15="http://schemas.microsoft.com/office/drawing/2012/chart" uri="{CE6537A1-D6FC-4f65-9D91-7224C49458BB}"/>
            </c:extLst>
          </c:dLbls>
          <c:cat>
            <c:strRef>
              <c:f>Sheet1!$A$2:$A$7</c:f>
              <c:strCache>
                <c:ptCount val="6"/>
                <c:pt idx="0">
                  <c:v>China</c:v>
                </c:pt>
                <c:pt idx="1">
                  <c:v>Mexico</c:v>
                </c:pt>
                <c:pt idx="2">
                  <c:v>Japan</c:v>
                </c:pt>
                <c:pt idx="3">
                  <c:v>Korea</c:v>
                </c:pt>
                <c:pt idx="4">
                  <c:v>Canada</c:v>
                </c:pt>
                <c:pt idx="5">
                  <c:v>Other</c:v>
                </c:pt>
              </c:strCache>
            </c:strRef>
          </c:cat>
          <c:val>
            <c:numRef>
              <c:f>Sheet1!$B$2:$B$7</c:f>
              <c:numCache>
                <c:formatCode>_(* #,##0_);_(* \(#,##0\);_(* "-"??_);_(@_)</c:formatCode>
                <c:ptCount val="6"/>
                <c:pt idx="0">
                  <c:v>180199670</c:v>
                </c:pt>
                <c:pt idx="1">
                  <c:v>76601875</c:v>
                </c:pt>
                <c:pt idx="2">
                  <c:v>76235580</c:v>
                </c:pt>
                <c:pt idx="3">
                  <c:v>64494900</c:v>
                </c:pt>
                <c:pt idx="4">
                  <c:v>38089577</c:v>
                </c:pt>
                <c:pt idx="5">
                  <c:v>47624180</c:v>
                </c:pt>
              </c:numCache>
            </c:numRef>
          </c:val>
          <c:extLst>
            <c:ext xmlns:c16="http://schemas.microsoft.com/office/drawing/2014/chart" uri="{C3380CC4-5D6E-409C-BE32-E72D297353CC}">
              <c16:uniqueId val="{00000012-ED29-4537-8016-AAA72727FCA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3175" cap="flat" cmpd="sng" algn="ctr">
      <a:no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E5F4D-CB18-4770-8543-9DBB6AD8C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Minnesota Annual Export Statistics, 2018</vt:lpstr>
    </vt:vector>
  </TitlesOfParts>
  <Company>MN DEED</Company>
  <LinksUpToDate>false</LinksUpToDate>
  <CharactersWithSpaces>5228</CharactersWithSpaces>
  <SharedDoc>false</SharedDoc>
  <HLinks>
    <vt:vector size="12" baseType="variant">
      <vt:variant>
        <vt:i4>6488181</vt:i4>
      </vt:variant>
      <vt:variant>
        <vt:i4>9</vt:i4>
      </vt:variant>
      <vt:variant>
        <vt:i4>0</vt:i4>
      </vt:variant>
      <vt:variant>
        <vt:i4>5</vt:i4>
      </vt:variant>
      <vt:variant>
        <vt:lpwstr>http://www.deed.state.mn.us/facts/manufacturing.htm</vt:lpwstr>
      </vt:variant>
      <vt:variant>
        <vt:lpwstr/>
      </vt:variant>
      <vt:variant>
        <vt:i4>3211383</vt:i4>
      </vt:variant>
      <vt:variant>
        <vt:i4>6</vt:i4>
      </vt:variant>
      <vt:variant>
        <vt:i4>0</vt:i4>
      </vt:variant>
      <vt:variant>
        <vt:i4>5</vt:i4>
      </vt:variant>
      <vt:variant>
        <vt:lpwstr>http://www.exportminnesota.com/itradestats.htm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Annual Export Statistics, 2018</dc:title>
  <dc:subject>Minnesota Annual Export Statistics, 2018</dc:subject>
  <dc:creator>Economic Analysis Unit (T. Ho-Kim)</dc:creator>
  <cp:keywords/>
  <dc:description>Prepared March 2019</dc:description>
  <cp:lastModifiedBy>Ho-Kim, Thu-Mai (DEED)</cp:lastModifiedBy>
  <cp:revision>2</cp:revision>
  <cp:lastPrinted>2019-03-11T18:11:00Z</cp:lastPrinted>
  <dcterms:created xsi:type="dcterms:W3CDTF">2021-02-24T21:34:00Z</dcterms:created>
  <dcterms:modified xsi:type="dcterms:W3CDTF">2021-02-24T21:34:00Z</dcterms:modified>
</cp:coreProperties>
</file>