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8978" w14:textId="24568D41" w:rsidR="00CE313B" w:rsidRPr="00277712" w:rsidRDefault="0094395B" w:rsidP="007F1C4A">
      <w:pPr>
        <w:tabs>
          <w:tab w:val="left" w:pos="360"/>
          <w:tab w:val="left" w:pos="6660"/>
        </w:tabs>
        <w:spacing w:after="240"/>
        <w:jc w:val="center"/>
        <w:rPr>
          <w:color w:val="FF0000"/>
        </w:rPr>
        <w:sectPr w:rsidR="00CE313B" w:rsidRPr="00277712" w:rsidSect="0055424F">
          <w:headerReference w:type="even" r:id="rId8"/>
          <w:headerReference w:type="default" r:id="rId9"/>
          <w:footerReference w:type="even" r:id="rId10"/>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277712">
        <w:rPr>
          <w:noProof/>
          <w:color w:val="FF0000"/>
        </w:rPr>
        <mc:AlternateContent>
          <mc:Choice Requires="wps">
            <w:drawing>
              <wp:anchor distT="0" distB="0" distL="114300" distR="114300" simplePos="0" relativeHeight="251656704" behindDoc="0" locked="0" layoutInCell="1" allowOverlap="1" wp14:anchorId="3957BDA5" wp14:editId="76133CC7">
                <wp:simplePos x="0" y="0"/>
                <wp:positionH relativeFrom="column">
                  <wp:posOffset>96520</wp:posOffset>
                </wp:positionH>
                <wp:positionV relativeFrom="paragraph">
                  <wp:posOffset>1136650</wp:posOffset>
                </wp:positionV>
                <wp:extent cx="6303010" cy="419100"/>
                <wp:effectExtent l="0" t="0" r="0" b="0"/>
                <wp:wrapNone/>
                <wp:docPr id="2" name="Text Box 2" descr="Data on Minnesota Exports for First Quarter 2020 – Published May 2020&#10;For More Information:  Eric Lightner, 651-259-7149&#10;"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644860BE"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46703D">
                              <w:rPr>
                                <w:rStyle w:val="Emphasis"/>
                                <w:b/>
                              </w:rPr>
                              <w:t>Third</w:t>
                            </w:r>
                            <w:r w:rsidR="007818E5">
                              <w:rPr>
                                <w:rStyle w:val="Emphasis"/>
                                <w:b/>
                              </w:rPr>
                              <w:t xml:space="preserve"> Quarter 202</w:t>
                            </w:r>
                            <w:r w:rsidR="00277712">
                              <w:rPr>
                                <w:rStyle w:val="Emphasis"/>
                                <w:b/>
                              </w:rPr>
                              <w:t>1</w:t>
                            </w:r>
                            <w:r w:rsidR="00A43E28">
                              <w:rPr>
                                <w:rStyle w:val="Emphasis"/>
                                <w:b/>
                              </w:rPr>
                              <w:t xml:space="preserve"> – Published </w:t>
                            </w:r>
                            <w:r w:rsidR="003B47AA">
                              <w:rPr>
                                <w:rStyle w:val="Emphasis"/>
                                <w:b/>
                              </w:rPr>
                              <w:t>January</w:t>
                            </w:r>
                            <w:r w:rsidR="007818E5">
                              <w:rPr>
                                <w:rStyle w:val="Emphasis"/>
                                <w:b/>
                              </w:rPr>
                              <w:t xml:space="preserve"> 202</w:t>
                            </w:r>
                            <w:r w:rsidR="003B47AA">
                              <w:rPr>
                                <w:rStyle w:val="Emphasis"/>
                                <w:b/>
                              </w:rPr>
                              <w:t>2</w:t>
                            </w:r>
                          </w:p>
                          <w:p w14:paraId="1C09E415" w14:textId="77777777" w:rsidR="00277712" w:rsidRPr="00B577E0" w:rsidRDefault="00277712" w:rsidP="00277712">
                            <w:pPr>
                              <w:pStyle w:val="NoSpacing"/>
                              <w:jc w:val="center"/>
                              <w:rPr>
                                <w:rStyle w:val="Emphasis"/>
                                <w:b/>
                              </w:rPr>
                            </w:pPr>
                            <w:r>
                              <w:rPr>
                                <w:rStyle w:val="Emphasis"/>
                                <w:b/>
                              </w:rPr>
                              <w:t>For More Information</w:t>
                            </w:r>
                            <w:r w:rsidRPr="007818E5">
                              <w:rPr>
                                <w:rStyle w:val="Emphasis"/>
                              </w:rPr>
                              <w:t xml:space="preserve">: </w:t>
                            </w:r>
                            <w:r>
                              <w:rPr>
                                <w:rStyle w:val="Strong"/>
                                <w:i/>
                              </w:rPr>
                              <w:t>Jen Gates 651-358-0300</w:t>
                            </w:r>
                          </w:p>
                          <w:p w14:paraId="34B91C04" w14:textId="5CC8BD10" w:rsidR="007F1C4A" w:rsidRPr="00B577E0" w:rsidRDefault="007F1C4A" w:rsidP="00277712">
                            <w:pPr>
                              <w:pStyle w:val="NoSpacing"/>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Title: Text box - Description: Data on Minnesota Exports for First Quarter 2020 – Published May 2020&#10;For More Information:  Eric Lightner, 651-259-7149&#10;" style="position:absolute;left:0;text-align:left;margin-left:7.6pt;margin-top:89.5pt;width:496.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" filled="f" stroked="f">
                <v:textbox>
                  <w:txbxContent>
                    <w:p w14:paraId="482B0058" w14:textId="644860BE"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46703D">
                        <w:rPr>
                          <w:rStyle w:val="Emphasis"/>
                          <w:b/>
                        </w:rPr>
                        <w:t>Third</w:t>
                      </w:r>
                      <w:r w:rsidR="007818E5">
                        <w:rPr>
                          <w:rStyle w:val="Emphasis"/>
                          <w:b/>
                        </w:rPr>
                        <w:t xml:space="preserve"> Quarter 202</w:t>
                      </w:r>
                      <w:r w:rsidR="00277712">
                        <w:rPr>
                          <w:rStyle w:val="Emphasis"/>
                          <w:b/>
                        </w:rPr>
                        <w:t>1</w:t>
                      </w:r>
                      <w:r w:rsidR="00A43E28">
                        <w:rPr>
                          <w:rStyle w:val="Emphasis"/>
                          <w:b/>
                        </w:rPr>
                        <w:t xml:space="preserve"> – Published </w:t>
                      </w:r>
                      <w:r w:rsidR="003B47AA">
                        <w:rPr>
                          <w:rStyle w:val="Emphasis"/>
                          <w:b/>
                        </w:rPr>
                        <w:t>January</w:t>
                      </w:r>
                      <w:r w:rsidR="007818E5">
                        <w:rPr>
                          <w:rStyle w:val="Emphasis"/>
                          <w:b/>
                        </w:rPr>
                        <w:t xml:space="preserve"> 202</w:t>
                      </w:r>
                      <w:r w:rsidR="003B47AA">
                        <w:rPr>
                          <w:rStyle w:val="Emphasis"/>
                          <w:b/>
                        </w:rPr>
                        <w:t>2</w:t>
                      </w:r>
                    </w:p>
                    <w:p w14:paraId="1C09E415" w14:textId="77777777" w:rsidR="00277712" w:rsidRPr="00B577E0" w:rsidRDefault="00277712" w:rsidP="00277712">
                      <w:pPr>
                        <w:pStyle w:val="NoSpacing"/>
                        <w:jc w:val="center"/>
                        <w:rPr>
                          <w:rStyle w:val="Emphasis"/>
                          <w:b/>
                        </w:rPr>
                      </w:pPr>
                      <w:r>
                        <w:rPr>
                          <w:rStyle w:val="Emphasis"/>
                          <w:b/>
                        </w:rPr>
                        <w:t>For More Information</w:t>
                      </w:r>
                      <w:r w:rsidRPr="007818E5">
                        <w:rPr>
                          <w:rStyle w:val="Emphasis"/>
                        </w:rPr>
                        <w:t xml:space="preserve">: </w:t>
                      </w:r>
                      <w:r>
                        <w:rPr>
                          <w:rStyle w:val="Strong"/>
                          <w:i/>
                        </w:rPr>
                        <w:t>Jen Gates 651-358-0300</w:t>
                      </w:r>
                    </w:p>
                    <w:p w14:paraId="34B91C04" w14:textId="5CC8BD10" w:rsidR="007F1C4A" w:rsidRPr="00B577E0" w:rsidRDefault="007F1C4A" w:rsidP="00277712">
                      <w:pPr>
                        <w:pStyle w:val="NoSpacing"/>
                        <w:jc w:val="center"/>
                        <w:rPr>
                          <w:rStyle w:val="Emphasis"/>
                          <w:b/>
                        </w:rPr>
                      </w:pPr>
                    </w:p>
                  </w:txbxContent>
                </v:textbox>
              </v:shape>
            </w:pict>
          </mc:Fallback>
        </mc:AlternateContent>
      </w:r>
      <w:r w:rsidR="0046703D" w:rsidRPr="00277712">
        <w:rPr>
          <w:noProof/>
          <w:color w:val="FF0000"/>
        </w:rPr>
        <w:drawing>
          <wp:inline distT="0" distB="0" distL="0" distR="0" wp14:anchorId="2775B94D" wp14:editId="10C7E3B8">
            <wp:extent cx="6309360" cy="1103630"/>
            <wp:effectExtent l="0" t="0" r="0" b="1270"/>
            <wp:docPr id="3" name="Picture 3" descr="MN Export statistics header banner&#10;&#10;Data on Minnesota Exports for Third Quarter 2021 – Published January 2022&#10;For More Information: Jen Gates 651-358-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N Export statistics header banner&#10;&#10;Data on Minnesota Exports for Third Quarter 2021 – Published January 2022&#10;For More Information: Jen Gates 651-358-030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9360" cy="1103630"/>
                    </a:xfrm>
                    <a:prstGeom prst="rect">
                      <a:avLst/>
                    </a:prstGeom>
                  </pic:spPr>
                </pic:pic>
              </a:graphicData>
            </a:graphic>
          </wp:inline>
        </w:drawing>
      </w:r>
    </w:p>
    <w:p w14:paraId="18DCA261" w14:textId="64EFCBF5" w:rsidR="00641D3B" w:rsidRPr="00A65EA2" w:rsidRDefault="00C23DAA" w:rsidP="00A65EA2">
      <w:pPr>
        <w:pStyle w:val="Heading1"/>
        <w:spacing w:before="840" w:after="120"/>
        <w:rPr>
          <w:rFonts w:asciiTheme="minorHAnsi" w:hAnsiTheme="minorHAnsi"/>
          <w:color w:val="auto"/>
          <w:sz w:val="36"/>
          <w:szCs w:val="30"/>
        </w:rPr>
        <w:sectPr w:rsidR="00641D3B" w:rsidRPr="00A65EA2"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A65EA2">
        <w:rPr>
          <w:rFonts w:asciiTheme="minorHAnsi" w:hAnsiTheme="minorHAnsi"/>
          <w:color w:val="auto"/>
          <w:sz w:val="36"/>
          <w:szCs w:val="30"/>
        </w:rPr>
        <w:t>State Export</w:t>
      </w:r>
      <w:r w:rsidR="00992045">
        <w:rPr>
          <w:rFonts w:asciiTheme="minorHAnsi" w:hAnsiTheme="minorHAnsi"/>
          <w:color w:val="auto"/>
          <w:sz w:val="36"/>
          <w:szCs w:val="30"/>
        </w:rPr>
        <w:t>s</w:t>
      </w:r>
      <w:r w:rsidR="000B6E79">
        <w:rPr>
          <w:rFonts w:asciiTheme="minorHAnsi" w:hAnsiTheme="minorHAnsi"/>
          <w:color w:val="auto"/>
          <w:sz w:val="36"/>
          <w:szCs w:val="30"/>
        </w:rPr>
        <w:t xml:space="preserve"> Continue to Recover</w:t>
      </w:r>
      <w:r w:rsidR="00A65EA2" w:rsidRPr="00A65EA2">
        <w:rPr>
          <w:rFonts w:asciiTheme="minorHAnsi" w:hAnsiTheme="minorHAnsi"/>
          <w:color w:val="auto"/>
          <w:sz w:val="36"/>
          <w:szCs w:val="30"/>
        </w:rPr>
        <w:t>:</w:t>
      </w:r>
      <w:r w:rsidR="00C931B5" w:rsidRPr="00A65EA2">
        <w:rPr>
          <w:rFonts w:asciiTheme="minorHAnsi" w:hAnsiTheme="minorHAnsi"/>
          <w:color w:val="auto"/>
          <w:sz w:val="36"/>
          <w:szCs w:val="30"/>
        </w:rPr>
        <w:t xml:space="preserve"> 19</w:t>
      </w:r>
      <w:r w:rsidRPr="00A65EA2">
        <w:rPr>
          <w:rFonts w:asciiTheme="minorHAnsi" w:hAnsiTheme="minorHAnsi"/>
          <w:color w:val="auto"/>
          <w:sz w:val="36"/>
          <w:szCs w:val="30"/>
        </w:rPr>
        <w:t xml:space="preserve">% </w:t>
      </w:r>
      <w:r w:rsidR="00B83DF0">
        <w:rPr>
          <w:rFonts w:asciiTheme="minorHAnsi" w:hAnsiTheme="minorHAnsi"/>
          <w:color w:val="auto"/>
          <w:sz w:val="36"/>
          <w:szCs w:val="30"/>
        </w:rPr>
        <w:t xml:space="preserve">Growth </w:t>
      </w:r>
      <w:r w:rsidR="00BD6641" w:rsidRPr="00A65EA2">
        <w:rPr>
          <w:rFonts w:asciiTheme="minorHAnsi" w:hAnsiTheme="minorHAnsi"/>
          <w:color w:val="auto"/>
          <w:sz w:val="36"/>
          <w:szCs w:val="30"/>
        </w:rPr>
        <w:t xml:space="preserve">in </w:t>
      </w:r>
      <w:r w:rsidR="0046703D" w:rsidRPr="00A65EA2">
        <w:rPr>
          <w:rFonts w:asciiTheme="minorHAnsi" w:hAnsiTheme="minorHAnsi"/>
          <w:color w:val="auto"/>
          <w:sz w:val="36"/>
          <w:szCs w:val="30"/>
        </w:rPr>
        <w:t>Third</w:t>
      </w:r>
      <w:r w:rsidR="00BD6641" w:rsidRPr="00A65EA2">
        <w:rPr>
          <w:rFonts w:asciiTheme="minorHAnsi" w:hAnsiTheme="minorHAnsi"/>
          <w:color w:val="auto"/>
          <w:sz w:val="36"/>
          <w:szCs w:val="30"/>
        </w:rPr>
        <w:t xml:space="preserve"> Quarter</w:t>
      </w:r>
    </w:p>
    <w:p w14:paraId="5C1D9F49" w14:textId="28B67E05" w:rsidR="00A65EA2" w:rsidRPr="00A65EA2" w:rsidRDefault="007F1C4A" w:rsidP="00A65EA2">
      <w:pPr>
        <w:pStyle w:val="ListParagraph"/>
        <w:numPr>
          <w:ilvl w:val="0"/>
          <w:numId w:val="9"/>
        </w:numPr>
        <w:spacing w:after="0"/>
      </w:pPr>
      <w:r w:rsidRPr="00A65EA2">
        <w:t xml:space="preserve">Minnesota exports </w:t>
      </w:r>
      <w:r w:rsidR="00B83DF0">
        <w:t>of goods (</w:t>
      </w:r>
      <w:r w:rsidRPr="00A65EA2">
        <w:t xml:space="preserve">including agricultural, </w:t>
      </w:r>
      <w:proofErr w:type="gramStart"/>
      <w:r w:rsidRPr="00A65EA2">
        <w:t>mining</w:t>
      </w:r>
      <w:proofErr w:type="gramEnd"/>
      <w:r w:rsidRPr="00A65EA2">
        <w:t xml:space="preserve"> and manufact</w:t>
      </w:r>
      <w:r w:rsidR="00A02A94" w:rsidRPr="00A65EA2">
        <w:t>ured products) wer</w:t>
      </w:r>
      <w:r w:rsidR="00E92FA6" w:rsidRPr="00A65EA2">
        <w:t>e valued at $</w:t>
      </w:r>
      <w:r w:rsidR="00C931B5" w:rsidRPr="00A65EA2">
        <w:t>5</w:t>
      </w:r>
      <w:r w:rsidR="00C23DAA" w:rsidRPr="00A65EA2">
        <w:t>.</w:t>
      </w:r>
      <w:r w:rsidR="00C931B5" w:rsidRPr="00A65EA2">
        <w:t>7</w:t>
      </w:r>
      <w:r w:rsidR="00C23DAA" w:rsidRPr="00A65EA2">
        <w:t xml:space="preserve"> billion</w:t>
      </w:r>
      <w:r w:rsidR="00DB304D" w:rsidRPr="00A65EA2">
        <w:t xml:space="preserve"> in the third quarter of </w:t>
      </w:r>
      <w:r w:rsidR="00C931B5" w:rsidRPr="00A65EA2">
        <w:t>2021</w:t>
      </w:r>
      <w:r w:rsidR="00DB304D" w:rsidRPr="00A65EA2">
        <w:t xml:space="preserve">, </w:t>
      </w:r>
      <w:r w:rsidR="00CE31D3">
        <w:t>increas</w:t>
      </w:r>
      <w:r w:rsidR="00C931B5" w:rsidRPr="00A65EA2">
        <w:t>ing</w:t>
      </w:r>
      <w:r w:rsidR="00530F70" w:rsidRPr="00A65EA2">
        <w:t xml:space="preserve"> </w:t>
      </w:r>
      <w:r w:rsidR="00C23DAA" w:rsidRPr="00A65EA2">
        <w:t>1</w:t>
      </w:r>
      <w:r w:rsidR="00C931B5" w:rsidRPr="00A65EA2">
        <w:t>9</w:t>
      </w:r>
      <w:r w:rsidR="007818E5" w:rsidRPr="00A65EA2">
        <w:t>%</w:t>
      </w:r>
      <w:r w:rsidR="00B5144B" w:rsidRPr="00A65EA2">
        <w:t xml:space="preserve"> (or $</w:t>
      </w:r>
      <w:r w:rsidR="00C931B5" w:rsidRPr="00A65EA2">
        <w:t>916</w:t>
      </w:r>
      <w:r w:rsidR="00C23DAA" w:rsidRPr="00A65EA2">
        <w:t xml:space="preserve"> million</w:t>
      </w:r>
      <w:r w:rsidRPr="00A65EA2">
        <w:t xml:space="preserve">) </w:t>
      </w:r>
      <w:r w:rsidR="00C931B5" w:rsidRPr="00A65EA2">
        <w:t>over</w:t>
      </w:r>
      <w:r w:rsidR="00DB304D" w:rsidRPr="00A65EA2">
        <w:t xml:space="preserve"> </w:t>
      </w:r>
      <w:r w:rsidRPr="00A65EA2">
        <w:t xml:space="preserve">the </w:t>
      </w:r>
      <w:r w:rsidR="0046703D" w:rsidRPr="00A65EA2">
        <w:t>third</w:t>
      </w:r>
      <w:r w:rsidRPr="00A65EA2">
        <w:t xml:space="preserve"> qu</w:t>
      </w:r>
      <w:r w:rsidR="00DB304D" w:rsidRPr="00A65EA2">
        <w:t>arter</w:t>
      </w:r>
      <w:r w:rsidR="00957BCF" w:rsidRPr="00A65EA2">
        <w:t xml:space="preserve"> </w:t>
      </w:r>
      <w:r w:rsidR="00B83DF0">
        <w:t>o</w:t>
      </w:r>
      <w:r w:rsidR="00957BCF" w:rsidRPr="00A65EA2">
        <w:t xml:space="preserve">f </w:t>
      </w:r>
      <w:r w:rsidR="00C931B5" w:rsidRPr="00A65EA2">
        <w:t>2020</w:t>
      </w:r>
      <w:r w:rsidR="00CE31D3">
        <w:t>, and 2% over the third quarter of 2019</w:t>
      </w:r>
      <w:r w:rsidR="00C931B5" w:rsidRPr="00A65EA2">
        <w:t xml:space="preserve">. </w:t>
      </w:r>
    </w:p>
    <w:p w14:paraId="46069970" w14:textId="4D28DD76" w:rsidR="006D7A33" w:rsidRPr="00A65EA2" w:rsidRDefault="00C97041" w:rsidP="00A65EA2">
      <w:pPr>
        <w:pStyle w:val="ListParagraph"/>
        <w:numPr>
          <w:ilvl w:val="0"/>
          <w:numId w:val="9"/>
        </w:numPr>
        <w:spacing w:after="0"/>
      </w:pPr>
      <w:r w:rsidRPr="00A65EA2">
        <w:t>U.S. exports</w:t>
      </w:r>
      <w:r w:rsidR="00742415" w:rsidRPr="00A65EA2">
        <w:t xml:space="preserve"> of goods</w:t>
      </w:r>
      <w:r w:rsidR="00C23DAA" w:rsidRPr="00A65EA2">
        <w:t xml:space="preserve"> </w:t>
      </w:r>
      <w:r w:rsidR="00A65EA2" w:rsidRPr="00A65EA2">
        <w:t>g</w:t>
      </w:r>
      <w:r w:rsidR="00CE31D3">
        <w:t>rew</w:t>
      </w:r>
      <w:r w:rsidR="00C057FE" w:rsidRPr="00A65EA2">
        <w:t xml:space="preserve"> </w:t>
      </w:r>
      <w:r w:rsidR="008C43A8" w:rsidRPr="00A65EA2">
        <w:t>2</w:t>
      </w:r>
      <w:r w:rsidRPr="00A65EA2">
        <w:t>3</w:t>
      </w:r>
      <w:r w:rsidR="007818E5" w:rsidRPr="00A65EA2">
        <w:t>%</w:t>
      </w:r>
      <w:r w:rsidR="00521967" w:rsidRPr="00A65EA2">
        <w:t xml:space="preserve"> </w:t>
      </w:r>
      <w:r w:rsidR="00CE31D3">
        <w:t>between the third quarters of 2020 and 2021</w:t>
      </w:r>
      <w:r w:rsidR="00902E31" w:rsidRPr="00A65EA2">
        <w:t>. R</w:t>
      </w:r>
      <w:r w:rsidR="007D3342" w:rsidRPr="00A65EA2">
        <w:t xml:space="preserve">eflecting </w:t>
      </w:r>
      <w:r w:rsidR="00583A0A">
        <w:t>broad-based</w:t>
      </w:r>
      <w:r w:rsidR="00CE31D3">
        <w:t xml:space="preserve"> </w:t>
      </w:r>
      <w:r w:rsidR="00A65EA2" w:rsidRPr="00A65EA2">
        <w:t xml:space="preserve">trends of recovery, </w:t>
      </w:r>
      <w:r w:rsidR="00902E31" w:rsidRPr="00A65EA2">
        <w:t>e</w:t>
      </w:r>
      <w:r w:rsidR="00716311" w:rsidRPr="00A65EA2">
        <w:t xml:space="preserve">xports </w:t>
      </w:r>
      <w:r w:rsidR="00CE31D3">
        <w:t>made gains</w:t>
      </w:r>
      <w:r w:rsidR="00D0438E" w:rsidRPr="00A65EA2">
        <w:t xml:space="preserve"> </w:t>
      </w:r>
      <w:r w:rsidR="00CE31D3">
        <w:t>in</w:t>
      </w:r>
      <w:r w:rsidR="00223F46" w:rsidRPr="00A65EA2">
        <w:t xml:space="preserve"> </w:t>
      </w:r>
      <w:r w:rsidR="00092FFB" w:rsidRPr="00A65EA2">
        <w:t>4</w:t>
      </w:r>
      <w:r w:rsidR="008C43A8" w:rsidRPr="00A65EA2">
        <w:t>7</w:t>
      </w:r>
      <w:r w:rsidR="00092FFB" w:rsidRPr="00A65EA2">
        <w:t xml:space="preserve"> states</w:t>
      </w:r>
      <w:r w:rsidR="00DD736C" w:rsidRPr="00A65EA2">
        <w:t>.</w:t>
      </w:r>
    </w:p>
    <w:p w14:paraId="06392D44" w14:textId="07B35FB4" w:rsidR="006D7A33" w:rsidRPr="00A65EA2" w:rsidRDefault="00692D3B" w:rsidP="006D7A33">
      <w:pPr>
        <w:pStyle w:val="ListParagraph"/>
        <w:numPr>
          <w:ilvl w:val="0"/>
          <w:numId w:val="9"/>
        </w:numPr>
        <w:spacing w:after="0"/>
      </w:pPr>
      <w:r w:rsidRPr="00A65EA2">
        <w:t xml:space="preserve">Minnesota </w:t>
      </w:r>
      <w:r w:rsidRPr="00A65EA2">
        <w:rPr>
          <w:i/>
        </w:rPr>
        <w:t>manufactured</w:t>
      </w:r>
      <w:r w:rsidR="001F7EBF" w:rsidRPr="00A65EA2">
        <w:t xml:space="preserve"> exports</w:t>
      </w:r>
      <w:r w:rsidR="00DD736C" w:rsidRPr="00A65EA2">
        <w:t xml:space="preserve"> </w:t>
      </w:r>
      <w:r w:rsidR="00C931B5" w:rsidRPr="00A65EA2">
        <w:t xml:space="preserve">expanded </w:t>
      </w:r>
      <w:r w:rsidR="00C23DAA" w:rsidRPr="00A65EA2">
        <w:t>1</w:t>
      </w:r>
      <w:r w:rsidR="00C931B5" w:rsidRPr="00A65EA2">
        <w:t>7</w:t>
      </w:r>
      <w:r w:rsidR="00742415" w:rsidRPr="00A65EA2">
        <w:t>%</w:t>
      </w:r>
      <w:r w:rsidR="00C97041" w:rsidRPr="00A65EA2">
        <w:t xml:space="preserve"> to </w:t>
      </w:r>
      <w:r w:rsidR="00C23DAA" w:rsidRPr="00A65EA2">
        <w:t>$5</w:t>
      </w:r>
      <w:r w:rsidR="00C931B5" w:rsidRPr="00A65EA2">
        <w:t>.3</w:t>
      </w:r>
      <w:r w:rsidR="004A3CC9" w:rsidRPr="00A65EA2">
        <w:t xml:space="preserve"> billion</w:t>
      </w:r>
      <w:r w:rsidRPr="00A65EA2">
        <w:t xml:space="preserve"> </w:t>
      </w:r>
      <w:r w:rsidR="00CE31D3">
        <w:t>between</w:t>
      </w:r>
      <w:r w:rsidR="007F1C4A" w:rsidRPr="00A65EA2">
        <w:t xml:space="preserve"> the </w:t>
      </w:r>
      <w:r w:rsidR="0046703D" w:rsidRPr="00A65EA2">
        <w:t>third</w:t>
      </w:r>
      <w:r w:rsidR="007F1C4A" w:rsidRPr="00A65EA2">
        <w:t xml:space="preserve"> quarter</w:t>
      </w:r>
      <w:r w:rsidR="00CE31D3">
        <w:t>s</w:t>
      </w:r>
      <w:r w:rsidR="007F1C4A" w:rsidRPr="00A65EA2">
        <w:t xml:space="preserve"> of</w:t>
      </w:r>
      <w:r w:rsidR="00CE31D3">
        <w:t xml:space="preserve"> 2020 and</w:t>
      </w:r>
      <w:r w:rsidR="007F1C4A" w:rsidRPr="00A65EA2">
        <w:t xml:space="preserve"> </w:t>
      </w:r>
      <w:r w:rsidR="00C931B5" w:rsidRPr="00A65EA2">
        <w:t>2021</w:t>
      </w:r>
      <w:r w:rsidR="00902E31" w:rsidRPr="00A65EA2">
        <w:t>.</w:t>
      </w:r>
      <w:r w:rsidR="00C23DAA" w:rsidRPr="00A65EA2">
        <w:t xml:space="preserve"> </w:t>
      </w:r>
      <w:r w:rsidR="00E42787" w:rsidRPr="00A65EA2">
        <w:t>U.S</w:t>
      </w:r>
      <w:r w:rsidR="00742415" w:rsidRPr="00A65EA2">
        <w:t xml:space="preserve">. </w:t>
      </w:r>
      <w:r w:rsidR="00742415" w:rsidRPr="00A65EA2">
        <w:rPr>
          <w:i/>
        </w:rPr>
        <w:t>manufactured</w:t>
      </w:r>
      <w:r w:rsidR="00742415" w:rsidRPr="00A65EA2">
        <w:t xml:space="preserve"> exports </w:t>
      </w:r>
      <w:r w:rsidR="00A65EA2" w:rsidRPr="00A65EA2">
        <w:t>were up</w:t>
      </w:r>
      <w:r w:rsidR="00C23DAA" w:rsidRPr="00A65EA2">
        <w:t xml:space="preserve"> </w:t>
      </w:r>
      <w:r w:rsidR="008C43A8" w:rsidRPr="00A65EA2">
        <w:t>20</w:t>
      </w:r>
      <w:r w:rsidR="007818E5" w:rsidRPr="00A65EA2">
        <w:t>%</w:t>
      </w:r>
      <w:r w:rsidR="00557377" w:rsidRPr="00A65EA2">
        <w:t>.</w:t>
      </w:r>
    </w:p>
    <w:p w14:paraId="5F47C972" w14:textId="0E1856BA" w:rsidR="00A65EA2" w:rsidRPr="00E63FC4" w:rsidRDefault="00AA5A71" w:rsidP="00A65EA2">
      <w:pPr>
        <w:pStyle w:val="ListParagraph"/>
        <w:numPr>
          <w:ilvl w:val="0"/>
          <w:numId w:val="9"/>
        </w:numPr>
        <w:spacing w:after="0"/>
      </w:pPr>
      <w:r>
        <w:t>For</w:t>
      </w:r>
      <w:r w:rsidR="00A65EA2" w:rsidRPr="00A65EA2">
        <w:t xml:space="preserve"> the</w:t>
      </w:r>
      <w:r w:rsidR="00C23DAA" w:rsidRPr="00A65EA2">
        <w:t xml:space="preserve"> </w:t>
      </w:r>
      <w:r>
        <w:t>January to September period,</w:t>
      </w:r>
      <w:r w:rsidR="00E16ECF" w:rsidRPr="00A65EA2">
        <w:t xml:space="preserve"> </w:t>
      </w:r>
      <w:r w:rsidR="00A65EA2" w:rsidRPr="00A65EA2">
        <w:t xml:space="preserve">state </w:t>
      </w:r>
      <w:r w:rsidR="00E9144E" w:rsidRPr="00A65EA2">
        <w:t xml:space="preserve">exports </w:t>
      </w:r>
      <w:r w:rsidR="008C43A8" w:rsidRPr="00A65EA2">
        <w:t>grew</w:t>
      </w:r>
      <w:r w:rsidR="00C23DAA" w:rsidRPr="00A65EA2">
        <w:t xml:space="preserve"> </w:t>
      </w:r>
      <w:r w:rsidR="008C43A8" w:rsidRPr="00A65EA2">
        <w:t>13</w:t>
      </w:r>
      <w:r w:rsidR="00C23DAA" w:rsidRPr="00A65EA2">
        <w:t>%</w:t>
      </w:r>
      <w:r>
        <w:t xml:space="preserve"> </w:t>
      </w:r>
      <w:r w:rsidR="00CE31D3">
        <w:t xml:space="preserve">in 2021 over 2020, and 3% over 2019. </w:t>
      </w:r>
      <w:r w:rsidR="00E9144E" w:rsidRPr="00A65EA2">
        <w:t xml:space="preserve">U.S. </w:t>
      </w:r>
      <w:r w:rsidR="00C23DAA" w:rsidRPr="00A65EA2">
        <w:t xml:space="preserve">exports </w:t>
      </w:r>
      <w:r w:rsidR="00A65EA2" w:rsidRPr="00A65EA2">
        <w:t>grew</w:t>
      </w:r>
      <w:r w:rsidR="008C43A8" w:rsidRPr="00A65EA2">
        <w:t xml:space="preserve"> 23%</w:t>
      </w:r>
      <w:r w:rsidR="00CE31D3">
        <w:t xml:space="preserve"> over</w:t>
      </w:r>
      <w:r>
        <w:t xml:space="preserve"> 2020</w:t>
      </w:r>
      <w:r w:rsidR="00CE31D3">
        <w:t>, and 4% over 2019</w:t>
      </w:r>
      <w:r w:rsidR="00A65EA2">
        <w:t>.</w:t>
      </w:r>
    </w:p>
    <w:p w14:paraId="03CA25DA" w14:textId="220A7AEC" w:rsidR="007F1C4A" w:rsidRPr="00687743" w:rsidRDefault="007F1C4A" w:rsidP="00707559">
      <w:pPr>
        <w:spacing w:before="120" w:after="0" w:line="271" w:lineRule="auto"/>
        <w:rPr>
          <w:rStyle w:val="Heading4Char"/>
          <w:rFonts w:eastAsiaTheme="minorEastAsia" w:cstheme="minorBidi"/>
          <w:bCs w:val="0"/>
          <w:i w:val="0"/>
          <w:iCs w:val="0"/>
          <w:color w:val="auto"/>
          <w:sz w:val="22"/>
        </w:rPr>
      </w:pPr>
      <w:r w:rsidRPr="00687743">
        <w:rPr>
          <w:rStyle w:val="Heading4Char"/>
          <w:color w:val="auto"/>
        </w:rPr>
        <w:t xml:space="preserve">Figure </w:t>
      </w:r>
      <w:r w:rsidRPr="00687743">
        <w:rPr>
          <w:rStyle w:val="Heading4Char"/>
          <w:color w:val="auto"/>
        </w:rPr>
        <w:fldChar w:fldCharType="begin"/>
      </w:r>
      <w:r w:rsidRPr="00687743">
        <w:rPr>
          <w:rStyle w:val="Heading4Char"/>
          <w:color w:val="auto"/>
        </w:rPr>
        <w:instrText xml:space="preserve"> SEQ Figure \* ARABIC </w:instrText>
      </w:r>
      <w:r w:rsidRPr="00687743">
        <w:rPr>
          <w:rStyle w:val="Heading4Char"/>
          <w:color w:val="auto"/>
        </w:rPr>
        <w:fldChar w:fldCharType="separate"/>
      </w:r>
      <w:r w:rsidR="00900302" w:rsidRPr="00687743">
        <w:rPr>
          <w:rStyle w:val="Heading4Char"/>
          <w:noProof/>
          <w:color w:val="auto"/>
        </w:rPr>
        <w:t>1</w:t>
      </w:r>
      <w:r w:rsidRPr="00687743">
        <w:rPr>
          <w:rStyle w:val="Heading4Char"/>
          <w:color w:val="auto"/>
        </w:rPr>
        <w:fldChar w:fldCharType="end"/>
      </w:r>
      <w:r w:rsidR="00A52415" w:rsidRPr="00687743">
        <w:rPr>
          <w:rStyle w:val="Heading4Char"/>
          <w:color w:val="auto"/>
        </w:rPr>
        <w:t xml:space="preserve">. </w:t>
      </w:r>
      <w:r w:rsidR="00D0438E" w:rsidRPr="00687743">
        <w:rPr>
          <w:rStyle w:val="Heading4Char"/>
          <w:color w:val="auto"/>
        </w:rPr>
        <w:t xml:space="preserve">Exports </w:t>
      </w:r>
      <w:r w:rsidR="00A65EA2" w:rsidRPr="00687743">
        <w:rPr>
          <w:rStyle w:val="Heading4Char"/>
          <w:color w:val="auto"/>
        </w:rPr>
        <w:t>Increase</w:t>
      </w:r>
      <w:r w:rsidR="00D0438E" w:rsidRPr="00687743">
        <w:rPr>
          <w:rStyle w:val="Heading4Char"/>
          <w:color w:val="auto"/>
        </w:rPr>
        <w:t xml:space="preserve"> from</w:t>
      </w:r>
      <w:r w:rsidR="0046703D" w:rsidRPr="00687743">
        <w:rPr>
          <w:rStyle w:val="Heading4Char"/>
          <w:color w:val="auto"/>
        </w:rPr>
        <w:t xml:space="preserve"> </w:t>
      </w:r>
      <w:r w:rsidR="000D02DD" w:rsidRPr="00687743">
        <w:rPr>
          <w:rStyle w:val="Heading4Char"/>
          <w:color w:val="auto"/>
        </w:rPr>
        <w:t>4</w:t>
      </w:r>
      <w:r w:rsidR="00A65EA2" w:rsidRPr="00687743">
        <w:rPr>
          <w:rStyle w:val="Heading4Char"/>
          <w:color w:val="auto"/>
        </w:rPr>
        <w:t>7</w:t>
      </w:r>
      <w:r w:rsidR="00D0438E" w:rsidRPr="00687743">
        <w:rPr>
          <w:rStyle w:val="Heading4Char"/>
          <w:color w:val="auto"/>
        </w:rPr>
        <w:t xml:space="preserve"> Sta</w:t>
      </w:r>
      <w:r w:rsidR="00A65EA2" w:rsidRPr="00687743">
        <w:rPr>
          <w:rStyle w:val="Heading4Char"/>
          <w:color w:val="auto"/>
        </w:rPr>
        <w:t>tes</w:t>
      </w:r>
    </w:p>
    <w:p w14:paraId="7D1ADD74" w14:textId="34CBA1CA" w:rsidR="007F1C4A" w:rsidRPr="00277712" w:rsidRDefault="00D0438E" w:rsidP="007F1C4A">
      <w:pPr>
        <w:spacing w:after="0"/>
        <w:rPr>
          <w:color w:val="FF0000"/>
        </w:rPr>
      </w:pPr>
      <w:r w:rsidRPr="00277712">
        <w:rPr>
          <w:noProof/>
          <w:color w:val="FF0000"/>
        </w:rPr>
        <mc:AlternateContent>
          <mc:Choice Requires="wps">
            <w:drawing>
              <wp:anchor distT="0" distB="0" distL="114300" distR="114300" simplePos="0" relativeHeight="251658752" behindDoc="0" locked="0" layoutInCell="1" allowOverlap="1" wp14:anchorId="24E76B40" wp14:editId="1239FD26">
                <wp:simplePos x="0" y="0"/>
                <wp:positionH relativeFrom="margin">
                  <wp:posOffset>6065520</wp:posOffset>
                </wp:positionH>
                <wp:positionV relativeFrom="paragraph">
                  <wp:posOffset>1510664</wp:posOffset>
                </wp:positionV>
                <wp:extent cx="688975" cy="466725"/>
                <wp:effectExtent l="0" t="0" r="0" b="0"/>
                <wp:wrapNone/>
                <wp:docPr id="307" name="Text Box 2" descr="MN: -18%&#10;U.S.: -30%&#10;"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466725"/>
                        </a:xfrm>
                        <a:prstGeom prst="rect">
                          <a:avLst/>
                        </a:prstGeom>
                        <a:noFill/>
                        <a:ln w="9525">
                          <a:noFill/>
                          <a:miter lim="800000"/>
                          <a:headEnd/>
                          <a:tailEnd/>
                        </a:ln>
                      </wps:spPr>
                      <wps:txbx>
                        <w:txbxContent>
                          <w:p w14:paraId="60A296D5" w14:textId="0C68A51A" w:rsidR="007F1C4A" w:rsidRPr="00D0438E" w:rsidRDefault="007F1C4A" w:rsidP="007F1C4A">
                            <w:pPr>
                              <w:spacing w:after="0"/>
                              <w:rPr>
                                <w:b/>
                                <w:i/>
                                <w:sz w:val="18"/>
                              </w:rPr>
                            </w:pPr>
                            <w:r w:rsidRPr="00D0438E">
                              <w:rPr>
                                <w:b/>
                                <w:i/>
                                <w:sz w:val="18"/>
                              </w:rPr>
                              <w:t>M</w:t>
                            </w:r>
                            <w:r w:rsidR="00C23DAA" w:rsidRPr="00D0438E">
                              <w:rPr>
                                <w:b/>
                                <w:i/>
                                <w:sz w:val="18"/>
                              </w:rPr>
                              <w:t>N: 1</w:t>
                            </w:r>
                            <w:r w:rsidR="00A65EA2">
                              <w:rPr>
                                <w:b/>
                                <w:i/>
                                <w:sz w:val="18"/>
                              </w:rPr>
                              <w:t>9</w:t>
                            </w:r>
                            <w:r w:rsidRPr="00D0438E">
                              <w:rPr>
                                <w:b/>
                                <w:i/>
                                <w:sz w:val="18"/>
                              </w:rPr>
                              <w:t>%</w:t>
                            </w:r>
                          </w:p>
                          <w:p w14:paraId="588145EA" w14:textId="55B1431D" w:rsidR="007F1C4A" w:rsidRPr="00D0438E" w:rsidRDefault="00293DCF" w:rsidP="007F1C4A">
                            <w:pPr>
                              <w:spacing w:after="0"/>
                              <w:rPr>
                                <w:b/>
                                <w:i/>
                                <w:sz w:val="18"/>
                              </w:rPr>
                            </w:pPr>
                            <w:r w:rsidRPr="00D0438E">
                              <w:rPr>
                                <w:b/>
                                <w:i/>
                                <w:sz w:val="18"/>
                              </w:rPr>
                              <w:t xml:space="preserve">U.S.: </w:t>
                            </w:r>
                            <w:r w:rsidR="00A65EA2">
                              <w:rPr>
                                <w:b/>
                                <w:i/>
                                <w:sz w:val="18"/>
                              </w:rPr>
                              <w:t>23</w:t>
                            </w:r>
                            <w:r w:rsidR="007F1C4A" w:rsidRPr="00D0438E">
                              <w:rPr>
                                <w:b/>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Title: highlight text box - Description: MN: -18%&#10;U.S.: -30%&#10;" style="position:absolute;margin-left:477.6pt;margin-top:118.95pt;width:54.25pt;height:3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" filled="f" stroked="f">
                <v:textbox>
                  <w:txbxContent>
                    <w:p w14:paraId="60A296D5" w14:textId="0C68A51A" w:rsidR="007F1C4A" w:rsidRPr="00D0438E" w:rsidRDefault="007F1C4A" w:rsidP="007F1C4A">
                      <w:pPr>
                        <w:spacing w:after="0"/>
                        <w:rPr>
                          <w:b/>
                          <w:i/>
                          <w:sz w:val="18"/>
                        </w:rPr>
                      </w:pPr>
                      <w:r w:rsidRPr="00D0438E">
                        <w:rPr>
                          <w:b/>
                          <w:i/>
                          <w:sz w:val="18"/>
                        </w:rPr>
                        <w:t>M</w:t>
                      </w:r>
                      <w:r w:rsidR="00C23DAA" w:rsidRPr="00D0438E">
                        <w:rPr>
                          <w:b/>
                          <w:i/>
                          <w:sz w:val="18"/>
                        </w:rPr>
                        <w:t>N: 1</w:t>
                      </w:r>
                      <w:r w:rsidR="00A65EA2">
                        <w:rPr>
                          <w:b/>
                          <w:i/>
                          <w:sz w:val="18"/>
                        </w:rPr>
                        <w:t>9</w:t>
                      </w:r>
                      <w:r w:rsidRPr="00D0438E">
                        <w:rPr>
                          <w:b/>
                          <w:i/>
                          <w:sz w:val="18"/>
                        </w:rPr>
                        <w:t>%</w:t>
                      </w:r>
                    </w:p>
                    <w:p w14:paraId="588145EA" w14:textId="55B1431D" w:rsidR="007F1C4A" w:rsidRPr="00D0438E" w:rsidRDefault="00293DCF" w:rsidP="007F1C4A">
                      <w:pPr>
                        <w:spacing w:after="0"/>
                        <w:rPr>
                          <w:b/>
                          <w:i/>
                          <w:sz w:val="18"/>
                        </w:rPr>
                      </w:pPr>
                      <w:r w:rsidRPr="00D0438E">
                        <w:rPr>
                          <w:b/>
                          <w:i/>
                          <w:sz w:val="18"/>
                        </w:rPr>
                        <w:t xml:space="preserve">U.S.: </w:t>
                      </w:r>
                      <w:r w:rsidR="00A65EA2">
                        <w:rPr>
                          <w:b/>
                          <w:i/>
                          <w:sz w:val="18"/>
                        </w:rPr>
                        <w:t>23</w:t>
                      </w:r>
                      <w:r w:rsidR="007F1C4A" w:rsidRPr="00D0438E">
                        <w:rPr>
                          <w:b/>
                          <w:i/>
                          <w:sz w:val="18"/>
                        </w:rPr>
                        <w:t>%</w:t>
                      </w:r>
                    </w:p>
                  </w:txbxContent>
                </v:textbox>
                <w10:wrap anchorx="margin"/>
              </v:shape>
            </w:pict>
          </mc:Fallback>
        </mc:AlternateContent>
      </w:r>
      <w:r w:rsidR="007F1C4A" w:rsidRPr="00277712">
        <w:rPr>
          <w:rFonts w:ascii="Times New Roman" w:eastAsia="Times New Roman" w:hAnsi="Times New Roman" w:cs="Times New Roman"/>
          <w:snapToGrid w:val="0"/>
          <w:color w:val="FF0000"/>
          <w:w w:val="0"/>
          <w:sz w:val="0"/>
          <w:szCs w:val="0"/>
          <w:u w:color="000000"/>
          <w:bdr w:val="none" w:sz="0" w:space="0" w:color="000000"/>
          <w:shd w:val="clear" w:color="000000" w:fill="000000"/>
          <w:lang w:val="x-none" w:eastAsia="x-none" w:bidi="x-none"/>
        </w:rPr>
        <w:t xml:space="preserve"> </w:t>
      </w:r>
      <w:r w:rsidR="00AE0E55">
        <w:rPr>
          <w:noProof/>
        </w:rPr>
        <w:drawing>
          <wp:inline distT="0" distB="0" distL="0" distR="0" wp14:anchorId="6AD635E7" wp14:editId="171BB552">
            <wp:extent cx="3228741" cy="1757100"/>
            <wp:effectExtent l="0" t="0" r="0" b="0"/>
            <wp:docPr id="4" name="Picture 4" descr="State Growth rate 2020-Q3 to 2021-Q3&#10;Minnesota 19%&#10;United States 23%&#10;Alabama 28%&#10;Alaska 34%&#10;Arizona 22%&#10;Arkansas 38%&#10;California 11%&#10;Colorado 23%&#10;Connecticut 12%&#10;Delaware 18%&#10;District of Columbia -43%&#10;Florida 29%&#10;Georgia 11%&#10;Hawaii 16%&#10;Idaho 3%&#10;Illinois 27%&#10;Indiana 10%&#10;Iowa 25%&#10;Kansas 27%&#10;Kentucky 29%&#10;Louisiana 18%&#10;Maine 55%&#10;Maryland 38%&#10;Massachusetts 34%&#10;Michigan 21%&#10;Mississippi 25%&#10;Missouri 13%&#10;Montana 37%&#10;Nebraska 9%&#10;Nevada -12%&#10;New Hampshire 16%&#10;New Jersey 24%&#10;New Mexico 77%&#10;New York 21%&#10;North Carolina 19%&#10;North Dakota 7%&#10;Ohio 7%&#10;Oklahoma 19%&#10;Oregon 12%&#10;Pennsylvania 16%&#10;Rhode Island 30%&#10;South Carolina -10%&#10;South Dakota 38%&#10;Tennessee 27%&#10;Texas 44%&#10;Utah -5%&#10;Vermont 20%&#10;Virginia 25%&#10;Washington 23%&#10;West Virginia 56%&#10;Wisconsin 25%&#10;Wyom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Growth rate 2020-Q3 to 2021-Q3&#10;Minnesota 19%&#10;United States 23%&#10;Alabama 28%&#10;Alaska 34%&#10;Arizona 22%&#10;Arkansas 38%&#10;California 11%&#10;Colorado 23%&#10;Connecticut 12%&#10;Delaware 18%&#10;District of Columbia -43%&#10;Florida 29%&#10;Georgia 11%&#10;Hawaii 16%&#10;Idaho 3%&#10;Illinois 27%&#10;Indiana 10%&#10;Iowa 25%&#10;Kansas 27%&#10;Kentucky 29%&#10;Louisiana 18%&#10;Maine 55%&#10;Maryland 38%&#10;Massachusetts 34%&#10;Michigan 21%&#10;Mississippi 25%&#10;Missouri 13%&#10;Montana 37%&#10;Nebraska 9%&#10;Nevada -12%&#10;New Hampshire 16%&#10;New Jersey 24%&#10;New Mexico 77%&#10;New York 21%&#10;North Carolina 19%&#10;North Dakota 7%&#10;Ohio 7%&#10;Oklahoma 19%&#10;Oregon 12%&#10;Pennsylvania 16%&#10;Rhode Island 30%&#10;South Carolina -10%&#10;South Dakota 38%&#10;Tennessee 27%&#10;Texas 44%&#10;Utah -5%&#10;Vermont 20%&#10;Virginia 25%&#10;Washington 23%&#10;West Virginia 56%&#10;Wisconsin 25%&#10;Wyoming 4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901" b="12842"/>
                    <a:stretch/>
                  </pic:blipFill>
                  <pic:spPr bwMode="auto">
                    <a:xfrm>
                      <a:off x="0" y="0"/>
                      <a:ext cx="3228975" cy="1757227"/>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0F8CA7BD" w:rsidR="007F1C4A" w:rsidRPr="000A25F5" w:rsidRDefault="007F1C4A" w:rsidP="007F1C4A">
      <w:pPr>
        <w:spacing w:after="0"/>
        <w:rPr>
          <w:i/>
          <w:sz w:val="18"/>
        </w:rPr>
      </w:pPr>
      <w:r w:rsidRPr="000A25F5">
        <w:rPr>
          <w:i/>
          <w:sz w:val="18"/>
        </w:rPr>
        <w:t xml:space="preserve"> Decline     0%   Growth</w:t>
      </w:r>
    </w:p>
    <w:p w14:paraId="6B23B2F3" w14:textId="4330A419" w:rsidR="00BE4DAD" w:rsidRPr="00277712" w:rsidRDefault="00A52415" w:rsidP="00173D78">
      <w:pPr>
        <w:spacing w:after="0"/>
        <w:rPr>
          <w:rFonts w:ascii="Arial Narrow" w:hAnsi="Arial Narrow"/>
          <w:color w:val="FF0000"/>
          <w:sz w:val="2"/>
          <w:szCs w:val="2"/>
        </w:rPr>
        <w:sectPr w:rsidR="00BE4DAD" w:rsidRPr="00277712" w:rsidSect="007F1C4A">
          <w:footnotePr>
            <w:numRestart w:val="eachSect"/>
          </w:footnotePr>
          <w:endnotePr>
            <w:numFmt w:val="decimal"/>
          </w:endnotePr>
          <w:type w:val="continuous"/>
          <w:pgSz w:w="12240" w:h="15840" w:code="1"/>
          <w:pgMar w:top="720" w:right="720" w:bottom="720" w:left="990" w:header="720" w:footer="720" w:gutter="0"/>
          <w:cols w:num="2" w:space="360"/>
          <w:titlePg/>
          <w:docGrid w:linePitch="299"/>
        </w:sectPr>
      </w:pPr>
      <w:r w:rsidRPr="00277712">
        <w:rPr>
          <w:rFonts w:ascii="Arial Narrow" w:hAnsi="Arial Narrow"/>
          <w:noProof/>
          <w:color w:val="FF0000"/>
          <w:sz w:val="2"/>
          <w:szCs w:val="2"/>
        </w:rPr>
        <w:drawing>
          <wp:inline distT="0" distB="0" distL="0" distR="0" wp14:anchorId="5C21AFCD" wp14:editId="15F96BF6">
            <wp:extent cx="1066800" cy="152400"/>
            <wp:effectExtent l="0" t="0" r="0" b="0"/>
            <wp:docPr id="7" name="Picture 7" descr="color legend for map. yellow for declines, green for positive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lor legend for map. yellow for declines, green for positive growth"/>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44342D21" w:rsidR="00E83789" w:rsidRPr="00326E88" w:rsidRDefault="00C1543F" w:rsidP="00A65EA2">
      <w:pPr>
        <w:pStyle w:val="Heading2"/>
        <w:spacing w:before="120"/>
        <w:rPr>
          <w:rFonts w:asciiTheme="minorHAnsi" w:hAnsiTheme="minorHAnsi"/>
          <w:b w:val="0"/>
          <w:i/>
          <w:color w:val="auto"/>
          <w:sz w:val="28"/>
        </w:rPr>
      </w:pPr>
      <w:r>
        <w:rPr>
          <w:rFonts w:asciiTheme="minorHAnsi" w:hAnsiTheme="minorHAnsi"/>
          <w:b w:val="0"/>
          <w:i/>
          <w:color w:val="auto"/>
          <w:sz w:val="28"/>
        </w:rPr>
        <w:t>Widespread Strengthening</w:t>
      </w:r>
      <w:r w:rsidR="00AA5A71">
        <w:rPr>
          <w:rFonts w:asciiTheme="minorHAnsi" w:hAnsiTheme="minorHAnsi"/>
          <w:b w:val="0"/>
          <w:i/>
          <w:color w:val="auto"/>
          <w:sz w:val="28"/>
        </w:rPr>
        <w:t xml:space="preserve"> Demand Across</w:t>
      </w:r>
      <w:r w:rsidR="00D2090A">
        <w:rPr>
          <w:rFonts w:asciiTheme="minorHAnsi" w:hAnsiTheme="minorHAnsi"/>
          <w:b w:val="0"/>
          <w:i/>
          <w:color w:val="auto"/>
          <w:sz w:val="28"/>
        </w:rPr>
        <w:t xml:space="preserve"> Global</w:t>
      </w:r>
      <w:r w:rsidR="006B2118" w:rsidRPr="00326E88">
        <w:rPr>
          <w:rFonts w:asciiTheme="minorHAnsi" w:hAnsiTheme="minorHAnsi"/>
          <w:b w:val="0"/>
          <w:i/>
          <w:color w:val="auto"/>
          <w:sz w:val="28"/>
        </w:rPr>
        <w:t xml:space="preserve"> Region</w:t>
      </w:r>
      <w:r w:rsidR="00D2090A">
        <w:rPr>
          <w:rFonts w:asciiTheme="minorHAnsi" w:hAnsiTheme="minorHAnsi"/>
          <w:b w:val="0"/>
          <w:i/>
          <w:color w:val="auto"/>
          <w:sz w:val="28"/>
        </w:rPr>
        <w:t>al Markets</w:t>
      </w:r>
    </w:p>
    <w:p w14:paraId="35AF9AEA" w14:textId="6C7F087A" w:rsidR="000D02DD" w:rsidRPr="00326E88" w:rsidRDefault="00687743" w:rsidP="00583A0A">
      <w:pPr>
        <w:pStyle w:val="ListParagraph"/>
        <w:numPr>
          <w:ilvl w:val="0"/>
          <w:numId w:val="10"/>
        </w:numPr>
      </w:pPr>
      <w:r>
        <w:t>Global markets showed</w:t>
      </w:r>
      <w:r w:rsidR="00106FFF" w:rsidRPr="00326E88">
        <w:t xml:space="preserve"> </w:t>
      </w:r>
      <w:r w:rsidR="00C1543F">
        <w:t>recover</w:t>
      </w:r>
      <w:r w:rsidR="00583A0A">
        <w:t>ing</w:t>
      </w:r>
      <w:r>
        <w:t xml:space="preserve"> conditions</w:t>
      </w:r>
      <w:r w:rsidR="00D2090A">
        <w:t xml:space="preserve"> from the steep declines of 2020</w:t>
      </w:r>
      <w:r w:rsidR="000D02DD" w:rsidRPr="00326E88">
        <w:t xml:space="preserve">. Exports </w:t>
      </w:r>
      <w:r w:rsidR="00106FFF" w:rsidRPr="00326E88">
        <w:t>jumped 31</w:t>
      </w:r>
      <w:r w:rsidR="000D02DD" w:rsidRPr="00326E88">
        <w:t xml:space="preserve">% to </w:t>
      </w:r>
      <w:r w:rsidR="000D02DD" w:rsidRPr="00326E88">
        <w:rPr>
          <w:b/>
        </w:rPr>
        <w:t>North America</w:t>
      </w:r>
      <w:r w:rsidR="000D02DD" w:rsidRPr="00326E88">
        <w:t>, 1</w:t>
      </w:r>
      <w:r w:rsidR="00106FFF" w:rsidRPr="00326E88">
        <w:t>2</w:t>
      </w:r>
      <w:r w:rsidR="000D02DD" w:rsidRPr="00326E88">
        <w:t xml:space="preserve">% to </w:t>
      </w:r>
      <w:r w:rsidR="000D02DD" w:rsidRPr="00326E88">
        <w:rPr>
          <w:b/>
        </w:rPr>
        <w:t>Asia</w:t>
      </w:r>
      <w:r w:rsidR="000D02DD" w:rsidRPr="00326E88">
        <w:t xml:space="preserve"> and 1</w:t>
      </w:r>
      <w:r w:rsidR="00106FFF" w:rsidRPr="00326E88">
        <w:t>0</w:t>
      </w:r>
      <w:r w:rsidR="000D02DD" w:rsidRPr="00326E88">
        <w:t>% to</w:t>
      </w:r>
      <w:r w:rsidR="001E7B61" w:rsidRPr="00326E88">
        <w:t xml:space="preserve"> the</w:t>
      </w:r>
      <w:r w:rsidR="000D02DD" w:rsidRPr="00326E88">
        <w:t xml:space="preserve"> </w:t>
      </w:r>
      <w:r w:rsidR="000D02DD" w:rsidRPr="00326E88">
        <w:rPr>
          <w:b/>
        </w:rPr>
        <w:t>Europe</w:t>
      </w:r>
      <w:r w:rsidR="001E7B61" w:rsidRPr="00326E88">
        <w:rPr>
          <w:b/>
        </w:rPr>
        <w:t>an Union</w:t>
      </w:r>
      <w:r w:rsidR="00FD0567">
        <w:t xml:space="preserve"> – which </w:t>
      </w:r>
      <w:r w:rsidR="00AB6B6D">
        <w:t>were the</w:t>
      </w:r>
      <w:r w:rsidR="00583A0A">
        <w:t xml:space="preserve"> state’s </w:t>
      </w:r>
      <w:r w:rsidR="001E7B61" w:rsidRPr="00326E88">
        <w:t xml:space="preserve">three </w:t>
      </w:r>
      <w:r w:rsidR="00583A0A">
        <w:t xml:space="preserve">largest export </w:t>
      </w:r>
      <w:r w:rsidR="001E7B61" w:rsidRPr="00326E88">
        <w:t>region</w:t>
      </w:r>
      <w:r w:rsidR="00106FFF" w:rsidRPr="00326E88">
        <w:t xml:space="preserve">s </w:t>
      </w:r>
      <w:r w:rsidR="00AB6B6D">
        <w:t>and</w:t>
      </w:r>
      <w:r w:rsidR="00583A0A">
        <w:t xml:space="preserve"> accounted for</w:t>
      </w:r>
      <w:r w:rsidR="00106FFF" w:rsidRPr="00326E88">
        <w:t xml:space="preserve"> </w:t>
      </w:r>
      <w:r w:rsidR="001E7B61" w:rsidRPr="00326E88">
        <w:t>8</w:t>
      </w:r>
      <w:r w:rsidR="00583A0A">
        <w:t xml:space="preserve">7% of </w:t>
      </w:r>
      <w:r w:rsidR="001E7B61" w:rsidRPr="00326E88">
        <w:t>export</w:t>
      </w:r>
      <w:r w:rsidR="00C1543F">
        <w:t>ed</w:t>
      </w:r>
      <w:r w:rsidR="00583A0A">
        <w:t xml:space="preserve"> goods</w:t>
      </w:r>
      <w:r w:rsidR="00326E88" w:rsidRPr="00326E88">
        <w:t>.</w:t>
      </w:r>
    </w:p>
    <w:p w14:paraId="21407398" w14:textId="70DB2A6F" w:rsidR="003C43EB" w:rsidRPr="00326E88" w:rsidRDefault="00C54EB3" w:rsidP="000A1F4F">
      <w:pPr>
        <w:pStyle w:val="ListParagraph"/>
        <w:numPr>
          <w:ilvl w:val="0"/>
          <w:numId w:val="10"/>
        </w:numPr>
        <w:spacing w:before="120" w:after="0"/>
      </w:pPr>
      <w:r>
        <w:t>Top markets such as</w:t>
      </w:r>
      <w:r w:rsidR="007D2D9B" w:rsidRPr="00326E88">
        <w:t xml:space="preserve"> </w:t>
      </w:r>
      <w:r w:rsidR="00106FFF" w:rsidRPr="00326E88">
        <w:rPr>
          <w:b/>
          <w:bCs/>
        </w:rPr>
        <w:t>Canada</w:t>
      </w:r>
      <w:r w:rsidR="00106FFF" w:rsidRPr="00326E88">
        <w:t xml:space="preserve"> (up $406 million)</w:t>
      </w:r>
      <w:r>
        <w:t>,</w:t>
      </w:r>
      <w:r w:rsidR="00106FFF" w:rsidRPr="00326E88">
        <w:t xml:space="preserve"> </w:t>
      </w:r>
      <w:r w:rsidR="00F216B1" w:rsidRPr="00326E88">
        <w:rPr>
          <w:b/>
        </w:rPr>
        <w:t xml:space="preserve">Mexico </w:t>
      </w:r>
      <w:r w:rsidR="00F216B1" w:rsidRPr="00326E88">
        <w:t>(</w:t>
      </w:r>
      <w:r w:rsidR="00106FFF" w:rsidRPr="00326E88">
        <w:t>up</w:t>
      </w:r>
      <w:r w:rsidR="00F216B1" w:rsidRPr="00326E88">
        <w:t xml:space="preserve"> $</w:t>
      </w:r>
      <w:r w:rsidR="00106FFF" w:rsidRPr="00326E88">
        <w:t>112</w:t>
      </w:r>
      <w:r w:rsidR="00F216B1" w:rsidRPr="00326E88">
        <w:t xml:space="preserve"> million)</w:t>
      </w:r>
      <w:r>
        <w:t xml:space="preserve">, </w:t>
      </w:r>
      <w:r w:rsidR="00106FFF" w:rsidRPr="00326E88">
        <w:rPr>
          <w:b/>
        </w:rPr>
        <w:t>the Philippines</w:t>
      </w:r>
      <w:r w:rsidR="00F216B1" w:rsidRPr="00326E88">
        <w:t xml:space="preserve"> (</w:t>
      </w:r>
      <w:r w:rsidR="00106FFF" w:rsidRPr="00326E88">
        <w:t xml:space="preserve">up </w:t>
      </w:r>
      <w:r w:rsidR="00F216B1" w:rsidRPr="00326E88">
        <w:t>$</w:t>
      </w:r>
      <w:r w:rsidR="00106FFF" w:rsidRPr="00326E88">
        <w:t>85</w:t>
      </w:r>
      <w:r w:rsidR="003C43EB" w:rsidRPr="00326E88">
        <w:t xml:space="preserve"> million), </w:t>
      </w:r>
      <w:r w:rsidR="00106FFF" w:rsidRPr="00326E88">
        <w:rPr>
          <w:b/>
        </w:rPr>
        <w:t>China</w:t>
      </w:r>
      <w:r w:rsidR="003C43EB" w:rsidRPr="00326E88">
        <w:t xml:space="preserve"> (</w:t>
      </w:r>
      <w:r w:rsidR="00106FFF" w:rsidRPr="00326E88">
        <w:t>up</w:t>
      </w:r>
      <w:r w:rsidR="003C43EB" w:rsidRPr="00326E88">
        <w:t xml:space="preserve"> $</w:t>
      </w:r>
      <w:r w:rsidR="00106FFF" w:rsidRPr="00326E88">
        <w:t>55</w:t>
      </w:r>
      <w:r w:rsidR="003C43EB" w:rsidRPr="00326E88">
        <w:t xml:space="preserve"> million),</w:t>
      </w:r>
      <w:r w:rsidR="00106FFF" w:rsidRPr="00326E88">
        <w:t xml:space="preserve"> and </w:t>
      </w:r>
      <w:r w:rsidR="00106FFF" w:rsidRPr="00326E88">
        <w:rPr>
          <w:b/>
        </w:rPr>
        <w:t>Taiwan</w:t>
      </w:r>
      <w:r w:rsidR="003C43EB" w:rsidRPr="00326E88">
        <w:t xml:space="preserve"> (</w:t>
      </w:r>
      <w:r w:rsidR="00106FFF" w:rsidRPr="00326E88">
        <w:t>up</w:t>
      </w:r>
      <w:r w:rsidR="003C43EB" w:rsidRPr="00326E88">
        <w:t xml:space="preserve"> $</w:t>
      </w:r>
      <w:r w:rsidR="00106FFF" w:rsidRPr="00326E88">
        <w:t>38</w:t>
      </w:r>
      <w:r w:rsidR="003C43EB" w:rsidRPr="00326E88">
        <w:t xml:space="preserve"> million)</w:t>
      </w:r>
      <w:r w:rsidR="000A1F4F" w:rsidRPr="00326E88">
        <w:t xml:space="preserve"> </w:t>
      </w:r>
      <w:r w:rsidR="00306ABD">
        <w:t>made remarkable gains</w:t>
      </w:r>
      <w:r w:rsidR="007D2D9B" w:rsidRPr="00326E88">
        <w:t>.</w:t>
      </w:r>
      <w:r w:rsidR="00106FFF" w:rsidRPr="00326E88">
        <w:t xml:space="preserve"> </w:t>
      </w:r>
      <w:r w:rsidR="00A745E3" w:rsidRPr="00326E88">
        <w:t>Export</w:t>
      </w:r>
      <w:r w:rsidR="00A517BD">
        <w:t xml:space="preserve">ers made inroads </w:t>
      </w:r>
      <w:r>
        <w:t>in</w:t>
      </w:r>
      <w:r w:rsidR="00C1543F">
        <w:t xml:space="preserve"> </w:t>
      </w:r>
      <w:r>
        <w:t>markets such as</w:t>
      </w:r>
      <w:r w:rsidR="003C43EB" w:rsidRPr="00326E88">
        <w:t xml:space="preserve"> </w:t>
      </w:r>
      <w:r w:rsidR="00106FFF" w:rsidRPr="00326E88">
        <w:rPr>
          <w:b/>
        </w:rPr>
        <w:t>India</w:t>
      </w:r>
      <w:r w:rsidR="003C43EB" w:rsidRPr="00326E88">
        <w:rPr>
          <w:b/>
        </w:rPr>
        <w:t xml:space="preserve"> </w:t>
      </w:r>
      <w:r w:rsidR="003C43EB" w:rsidRPr="00326E88">
        <w:t>(</w:t>
      </w:r>
      <w:r w:rsidR="00C1543F">
        <w:t xml:space="preserve">$66 million, </w:t>
      </w:r>
      <w:r w:rsidR="00106FFF" w:rsidRPr="00326E88">
        <w:t>up 108%</w:t>
      </w:r>
      <w:r w:rsidR="00A745E3" w:rsidRPr="00326E88">
        <w:t xml:space="preserve"> – fueled by </w:t>
      </w:r>
      <w:r w:rsidR="00306ABD">
        <w:rPr>
          <w:b/>
        </w:rPr>
        <w:t>railway equipment</w:t>
      </w:r>
      <w:r w:rsidR="003C43EB" w:rsidRPr="00326E88">
        <w:t>)</w:t>
      </w:r>
      <w:r>
        <w:t xml:space="preserve">, </w:t>
      </w:r>
      <w:r w:rsidRPr="00C1543F">
        <w:rPr>
          <w:b/>
          <w:bCs/>
        </w:rPr>
        <w:t>Indonesia</w:t>
      </w:r>
      <w:r>
        <w:t xml:space="preserve"> (</w:t>
      </w:r>
      <w:r w:rsidR="00C1543F">
        <w:t xml:space="preserve">$69 million, </w:t>
      </w:r>
      <w:r>
        <w:t xml:space="preserve">up 42% - </w:t>
      </w:r>
      <w:r w:rsidR="00C1543F">
        <w:t>due to</w:t>
      </w:r>
      <w:r>
        <w:t xml:space="preserve"> </w:t>
      </w:r>
      <w:r>
        <w:rPr>
          <w:b/>
          <w:bCs/>
        </w:rPr>
        <w:t>wood pulp</w:t>
      </w:r>
      <w:r w:rsidR="00C1543F">
        <w:rPr>
          <w:b/>
          <w:bCs/>
        </w:rPr>
        <w:t xml:space="preserve"> </w:t>
      </w:r>
      <w:r w:rsidR="00C1543F">
        <w:t>demand</w:t>
      </w:r>
      <w:r>
        <w:t>) and</w:t>
      </w:r>
      <w:r w:rsidR="00106FFF" w:rsidRPr="00326E88">
        <w:t xml:space="preserve"> the </w:t>
      </w:r>
      <w:r w:rsidR="00106FFF" w:rsidRPr="00326E88">
        <w:rPr>
          <w:b/>
          <w:bCs/>
        </w:rPr>
        <w:t>Czech Republic</w:t>
      </w:r>
      <w:r w:rsidR="00106FFF" w:rsidRPr="00326E88">
        <w:t xml:space="preserve"> (</w:t>
      </w:r>
      <w:r w:rsidR="00C1543F">
        <w:t xml:space="preserve">$35 million, </w:t>
      </w:r>
      <w:r w:rsidR="000A1F4F" w:rsidRPr="00326E88">
        <w:t>up 130%</w:t>
      </w:r>
      <w:r w:rsidR="007E5EA9" w:rsidRPr="00326E88">
        <w:t xml:space="preserve"> –</w:t>
      </w:r>
      <w:r w:rsidR="003C43EB" w:rsidRPr="00326E88">
        <w:t xml:space="preserve"> </w:t>
      </w:r>
      <w:r w:rsidR="000A1F4F" w:rsidRPr="00326E88">
        <w:t>driven</w:t>
      </w:r>
      <w:r w:rsidR="003C43EB" w:rsidRPr="00326E88">
        <w:t xml:space="preserve"> by </w:t>
      </w:r>
      <w:r w:rsidR="00306ABD" w:rsidRPr="00306ABD">
        <w:rPr>
          <w:b/>
          <w:bCs/>
        </w:rPr>
        <w:t>bulldozers</w:t>
      </w:r>
      <w:r w:rsidR="000A1F4F" w:rsidRPr="00326E88">
        <w:t>).</w:t>
      </w:r>
      <w:r w:rsidR="003C43EB" w:rsidRPr="00326E88">
        <w:t xml:space="preserve"> </w:t>
      </w:r>
    </w:p>
    <w:p w14:paraId="2C4246FA" w14:textId="119F70EC" w:rsidR="00B545B0" w:rsidRPr="00326E88" w:rsidRDefault="006B2118" w:rsidP="00B545B0">
      <w:pPr>
        <w:pStyle w:val="ListParagraph"/>
        <w:numPr>
          <w:ilvl w:val="0"/>
          <w:numId w:val="10"/>
        </w:numPr>
        <w:spacing w:after="120"/>
      </w:pPr>
      <w:r w:rsidRPr="00326E88">
        <w:t xml:space="preserve">Exports to some </w:t>
      </w:r>
      <w:r w:rsidR="00B545B0">
        <w:t>othe</w:t>
      </w:r>
      <w:r w:rsidR="00647FFD">
        <w:t>r</w:t>
      </w:r>
      <w:r w:rsidR="00B545B0">
        <w:t xml:space="preserve"> </w:t>
      </w:r>
      <w:r w:rsidR="00647FFD">
        <w:t>large</w:t>
      </w:r>
      <w:r w:rsidRPr="00326E88">
        <w:t xml:space="preserve"> markets </w:t>
      </w:r>
      <w:r w:rsidR="00B545B0">
        <w:t xml:space="preserve">– such as </w:t>
      </w:r>
      <w:r w:rsidRPr="00326E88">
        <w:rPr>
          <w:b/>
          <w:bCs/>
        </w:rPr>
        <w:t>Korea</w:t>
      </w:r>
      <w:r w:rsidRPr="00326E88">
        <w:t xml:space="preserve"> (down 45%), </w:t>
      </w:r>
      <w:r w:rsidRPr="00326E88">
        <w:rPr>
          <w:b/>
          <w:bCs/>
        </w:rPr>
        <w:t xml:space="preserve">Singapore </w:t>
      </w:r>
      <w:r w:rsidRPr="00326E88">
        <w:t xml:space="preserve">(down 21%) and </w:t>
      </w:r>
      <w:r w:rsidRPr="00326E88">
        <w:rPr>
          <w:b/>
          <w:bCs/>
        </w:rPr>
        <w:t>France</w:t>
      </w:r>
      <w:r w:rsidRPr="00326E88">
        <w:t xml:space="preserve"> (down 12%)</w:t>
      </w:r>
      <w:r w:rsidR="00B545B0">
        <w:t xml:space="preserve"> – </w:t>
      </w:r>
      <w:r w:rsidR="00647FFD">
        <w:t xml:space="preserve">fell </w:t>
      </w:r>
      <w:r w:rsidR="00B545B0" w:rsidRPr="00326E88">
        <w:t>further</w:t>
      </w:r>
      <w:r w:rsidR="00647FFD">
        <w:t xml:space="preserve"> </w:t>
      </w:r>
      <w:r w:rsidR="00B545B0" w:rsidRPr="00326E88">
        <w:t xml:space="preserve">this quarter, prolonging </w:t>
      </w:r>
      <w:r w:rsidR="00647FFD">
        <w:t xml:space="preserve">the </w:t>
      </w:r>
      <w:r w:rsidR="00B545B0" w:rsidRPr="00326E88">
        <w:t xml:space="preserve">downward trends </w:t>
      </w:r>
      <w:r w:rsidR="00647FFD">
        <w:t>from</w:t>
      </w:r>
      <w:r w:rsidR="00B545B0" w:rsidRPr="00326E88">
        <w:t xml:space="preserve"> 2020</w:t>
      </w:r>
      <w:r w:rsidR="00B545B0">
        <w:t>.</w:t>
      </w:r>
    </w:p>
    <w:p w14:paraId="481CD972" w14:textId="19D21C3D" w:rsidR="007C165F" w:rsidRPr="000A25F5" w:rsidRDefault="007C165F" w:rsidP="00A44451">
      <w:pPr>
        <w:pStyle w:val="Heading4"/>
        <w:spacing w:before="120"/>
        <w:rPr>
          <w:color w:val="auto"/>
        </w:rPr>
      </w:pPr>
      <w:r w:rsidRPr="000A25F5">
        <w:rPr>
          <w:color w:val="auto"/>
        </w:rPr>
        <w:t xml:space="preserve">Figure </w:t>
      </w:r>
      <w:r w:rsidR="00E36364" w:rsidRPr="000A25F5">
        <w:rPr>
          <w:color w:val="auto"/>
        </w:rPr>
        <w:fldChar w:fldCharType="begin"/>
      </w:r>
      <w:r w:rsidR="00E36364" w:rsidRPr="000A25F5">
        <w:rPr>
          <w:color w:val="auto"/>
        </w:rPr>
        <w:instrText xml:space="preserve"> SEQ Figure \* ARABIC </w:instrText>
      </w:r>
      <w:r w:rsidR="00E36364" w:rsidRPr="000A25F5">
        <w:rPr>
          <w:color w:val="auto"/>
        </w:rPr>
        <w:fldChar w:fldCharType="separate"/>
      </w:r>
      <w:r w:rsidR="00900302" w:rsidRPr="000A25F5">
        <w:rPr>
          <w:noProof/>
          <w:color w:val="auto"/>
        </w:rPr>
        <w:t>2</w:t>
      </w:r>
      <w:r w:rsidR="00E36364" w:rsidRPr="000A25F5">
        <w:rPr>
          <w:color w:val="auto"/>
        </w:rPr>
        <w:fldChar w:fldCharType="end"/>
      </w:r>
      <w:r w:rsidR="00C84D0E" w:rsidRPr="000A25F5">
        <w:rPr>
          <w:color w:val="auto"/>
        </w:rPr>
        <w:t xml:space="preserve">. </w:t>
      </w:r>
      <w:r w:rsidR="00A44451" w:rsidRPr="000A25F5">
        <w:rPr>
          <w:color w:val="auto"/>
        </w:rPr>
        <w:t>Export Trends for</w:t>
      </w:r>
      <w:r w:rsidR="0038665A" w:rsidRPr="000A25F5">
        <w:rPr>
          <w:color w:val="auto"/>
        </w:rPr>
        <w:t xml:space="preserve"> Minnesota’s Top 10 Markets, </w:t>
      </w:r>
      <w:r w:rsidR="0046703D" w:rsidRPr="000A25F5">
        <w:rPr>
          <w:color w:val="auto"/>
        </w:rPr>
        <w:t>Third</w:t>
      </w:r>
      <w:r w:rsidR="00606AB0" w:rsidRPr="000A25F5">
        <w:rPr>
          <w:color w:val="auto"/>
        </w:rPr>
        <w:t xml:space="preserve"> </w:t>
      </w:r>
      <w:r w:rsidR="00A52415" w:rsidRPr="000A25F5">
        <w:rPr>
          <w:color w:val="auto"/>
        </w:rPr>
        <w:t xml:space="preserve">Quarter </w:t>
      </w:r>
      <w:r w:rsidR="00C931B5" w:rsidRPr="000A25F5">
        <w:rPr>
          <w:color w:val="auto"/>
        </w:rPr>
        <w:t>2021</w:t>
      </w:r>
    </w:p>
    <w:p w14:paraId="15CEBE43" w14:textId="04CA4989" w:rsidR="00ED605B" w:rsidRPr="00277712" w:rsidRDefault="00AE0E55" w:rsidP="00902E31">
      <w:pPr>
        <w:spacing w:after="0"/>
        <w:rPr>
          <w:color w:val="FF0000"/>
        </w:rPr>
      </w:pPr>
      <w:r>
        <w:rPr>
          <w:noProof/>
        </w:rPr>
        <w:drawing>
          <wp:inline distT="0" distB="0" distL="0" distR="0" wp14:anchorId="522C8896" wp14:editId="4FC74C11">
            <wp:extent cx="6263640" cy="1898015"/>
            <wp:effectExtent l="0" t="0" r="3810" b="6985"/>
            <wp:docPr id="12" name="Picture 12" descr="Country (Rank)  Exports (millions)  Percent Change, 2020-Q3 to 2021-Q3&#10;WORLD  $5,731  19%&#10;Canada (1)   $1,584  34%&#10;Mexico (2)   $668  9%&#10;China (3)   $625  22%&#10;Japan (4)   $326  12%&#10;Germany (5)   $216  16%&#10;Korea (6)   $152  127%&#10;Singapore (7)   $149  6%&#10;Belgium (8)   $138  21%&#10;U.K. (9)   $135  7%&#10;Ireland (10)   $131  -45%&#10;Other  $1,6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untry (Rank)  Exports (millions)  Percent Change, 2020-Q3 to 2021-Q3&#10;WORLD  $5,731  19%&#10;Canada (1)   $1,584  34%&#10;Mexico (2)   $668  9%&#10;China (3)   $625  22%&#10;Japan (4)   $326  12%&#10;Germany (5)   $216  16%&#10;Korea (6)   $152  127%&#10;Singapore (7)   $149  6%&#10;Belgium (8)   $138  21%&#10;U.K. (9)   $135  7%&#10;Ireland (10)   $131  -45%&#10;Other  $1,608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1898015"/>
                    </a:xfrm>
                    <a:prstGeom prst="rect">
                      <a:avLst/>
                    </a:prstGeom>
                    <a:noFill/>
                    <a:ln>
                      <a:noFill/>
                    </a:ln>
                  </pic:spPr>
                </pic:pic>
              </a:graphicData>
            </a:graphic>
          </wp:inline>
        </w:drawing>
      </w:r>
    </w:p>
    <w:p w14:paraId="3765CDA2" w14:textId="35687960" w:rsidR="00BF29E1" w:rsidRPr="00C1543F" w:rsidRDefault="00F053EF" w:rsidP="00953B35">
      <w:pPr>
        <w:pStyle w:val="Heading2"/>
        <w:tabs>
          <w:tab w:val="left" w:pos="360"/>
        </w:tabs>
        <w:spacing w:before="0" w:after="120"/>
        <w:ind w:left="360" w:hanging="360"/>
        <w:rPr>
          <w:rFonts w:asciiTheme="minorHAnsi" w:hAnsiTheme="minorHAnsi"/>
          <w:b w:val="0"/>
          <w:i/>
          <w:color w:val="auto"/>
          <w:sz w:val="28"/>
        </w:rPr>
        <w:sectPr w:rsidR="00BF29E1" w:rsidRPr="00C1543F" w:rsidSect="00426066">
          <w:footnotePr>
            <w:numRestart w:val="eachSect"/>
          </w:footnotePr>
          <w:endnotePr>
            <w:numFmt w:val="decimal"/>
          </w:endnotePr>
          <w:type w:val="continuous"/>
          <w:pgSz w:w="12240" w:h="15840" w:code="1"/>
          <w:pgMar w:top="1008" w:right="1296" w:bottom="1008" w:left="1080" w:header="720" w:footer="720" w:gutter="0"/>
          <w:cols w:space="720"/>
          <w:titlePg/>
          <w:docGrid w:linePitch="299"/>
        </w:sectPr>
      </w:pPr>
      <w:r w:rsidRPr="00C1543F">
        <w:rPr>
          <w:rFonts w:asciiTheme="minorHAnsi" w:hAnsiTheme="minorHAnsi"/>
          <w:b w:val="0"/>
          <w:i/>
          <w:color w:val="auto"/>
          <w:sz w:val="28"/>
        </w:rPr>
        <w:lastRenderedPageBreak/>
        <w:t>Gains i</w:t>
      </w:r>
      <w:r w:rsidR="00E83A19" w:rsidRPr="00C1543F">
        <w:rPr>
          <w:rFonts w:asciiTheme="minorHAnsi" w:hAnsiTheme="minorHAnsi"/>
          <w:b w:val="0"/>
          <w:i/>
          <w:color w:val="auto"/>
          <w:sz w:val="28"/>
        </w:rPr>
        <w:t xml:space="preserve">n </w:t>
      </w:r>
      <w:r w:rsidR="007447F0" w:rsidRPr="00C1543F">
        <w:rPr>
          <w:rFonts w:asciiTheme="minorHAnsi" w:hAnsiTheme="minorHAnsi"/>
          <w:b w:val="0"/>
          <w:i/>
          <w:color w:val="auto"/>
          <w:sz w:val="28"/>
        </w:rPr>
        <w:t xml:space="preserve">Machinery, </w:t>
      </w:r>
      <w:r w:rsidR="00E83A19" w:rsidRPr="00C1543F">
        <w:rPr>
          <w:rFonts w:asciiTheme="minorHAnsi" w:hAnsiTheme="minorHAnsi"/>
          <w:b w:val="0"/>
          <w:i/>
          <w:color w:val="auto"/>
          <w:sz w:val="28"/>
        </w:rPr>
        <w:t>Mineral Fuels</w:t>
      </w:r>
      <w:r w:rsidR="007447F0" w:rsidRPr="00C1543F">
        <w:rPr>
          <w:rFonts w:asciiTheme="minorHAnsi" w:hAnsiTheme="minorHAnsi"/>
          <w:b w:val="0"/>
          <w:i/>
          <w:color w:val="auto"/>
          <w:sz w:val="28"/>
        </w:rPr>
        <w:t xml:space="preserve"> and</w:t>
      </w:r>
      <w:r w:rsidR="00E83A19" w:rsidRPr="00C1543F">
        <w:rPr>
          <w:rFonts w:asciiTheme="minorHAnsi" w:hAnsiTheme="minorHAnsi"/>
          <w:b w:val="0"/>
          <w:i/>
          <w:color w:val="auto"/>
          <w:sz w:val="28"/>
        </w:rPr>
        <w:t xml:space="preserve"> </w:t>
      </w:r>
      <w:r w:rsidR="007447F0" w:rsidRPr="00C1543F">
        <w:rPr>
          <w:rFonts w:asciiTheme="minorHAnsi" w:hAnsiTheme="minorHAnsi"/>
          <w:b w:val="0"/>
          <w:i/>
          <w:color w:val="auto"/>
          <w:sz w:val="28"/>
        </w:rPr>
        <w:t>Electrical Equipment</w:t>
      </w:r>
      <w:r w:rsidR="00540B35" w:rsidRPr="00C1543F">
        <w:rPr>
          <w:rFonts w:asciiTheme="minorHAnsi" w:hAnsiTheme="minorHAnsi"/>
          <w:b w:val="0"/>
          <w:i/>
          <w:color w:val="auto"/>
          <w:sz w:val="28"/>
        </w:rPr>
        <w:t xml:space="preserve"> </w:t>
      </w:r>
      <w:r w:rsidR="007447F0" w:rsidRPr="00C1543F">
        <w:rPr>
          <w:rFonts w:asciiTheme="minorHAnsi" w:hAnsiTheme="minorHAnsi"/>
          <w:b w:val="0"/>
          <w:i/>
          <w:color w:val="auto"/>
          <w:sz w:val="28"/>
        </w:rPr>
        <w:t>Drive</w:t>
      </w:r>
      <w:r w:rsidR="00540B35" w:rsidRPr="00C1543F">
        <w:rPr>
          <w:rFonts w:asciiTheme="minorHAnsi" w:hAnsiTheme="minorHAnsi"/>
          <w:b w:val="0"/>
          <w:i/>
          <w:color w:val="auto"/>
          <w:sz w:val="28"/>
        </w:rPr>
        <w:t xml:space="preserve"> </w:t>
      </w:r>
      <w:r w:rsidR="007447F0" w:rsidRPr="00C1543F">
        <w:rPr>
          <w:rFonts w:asciiTheme="minorHAnsi" w:hAnsiTheme="minorHAnsi"/>
          <w:b w:val="0"/>
          <w:i/>
          <w:color w:val="auto"/>
          <w:sz w:val="28"/>
        </w:rPr>
        <w:t>Growth</w:t>
      </w:r>
    </w:p>
    <w:p w14:paraId="243FC245" w14:textId="7CDA52B8" w:rsidR="00E76FF1" w:rsidRPr="00A517BD" w:rsidRDefault="00EC379F" w:rsidP="00EC379F">
      <w:pPr>
        <w:pStyle w:val="ListParagraph"/>
        <w:numPr>
          <w:ilvl w:val="0"/>
          <w:numId w:val="7"/>
        </w:numPr>
        <w:spacing w:after="0"/>
        <w:ind w:left="360" w:right="-90"/>
      </w:pPr>
      <w:proofErr w:type="gramStart"/>
      <w:r>
        <w:t>Positive g</w:t>
      </w:r>
      <w:r w:rsidR="00AA5A71" w:rsidRPr="007447F0">
        <w:t>rowth</w:t>
      </w:r>
      <w:proofErr w:type="gramEnd"/>
      <w:r w:rsidR="00AA5A71" w:rsidRPr="007447F0">
        <w:t xml:space="preserve"> trends were </w:t>
      </w:r>
      <w:r>
        <w:t xml:space="preserve">widespread across many products but </w:t>
      </w:r>
      <w:r w:rsidR="00AA5A71" w:rsidRPr="007447F0">
        <w:t xml:space="preserve">mixed across the state’s </w:t>
      </w:r>
      <w:r w:rsidR="007447F0" w:rsidRPr="007447F0">
        <w:t xml:space="preserve">top </w:t>
      </w:r>
      <w:r w:rsidR="00AA5A71" w:rsidRPr="007447F0">
        <w:t>exports.</w:t>
      </w:r>
      <w:r w:rsidR="00A44451" w:rsidRPr="007447F0">
        <w:t xml:space="preserve"> </w:t>
      </w:r>
      <w:r w:rsidR="00A517BD">
        <w:rPr>
          <w:b/>
        </w:rPr>
        <w:t>M</w:t>
      </w:r>
      <w:r w:rsidR="000A25F5" w:rsidRPr="007447F0">
        <w:rPr>
          <w:b/>
        </w:rPr>
        <w:t>achinery</w:t>
      </w:r>
      <w:r w:rsidR="000A25F5" w:rsidRPr="007447F0">
        <w:t xml:space="preserve"> (up 33%),</w:t>
      </w:r>
      <w:r w:rsidR="007447F0" w:rsidRPr="007447F0">
        <w:rPr>
          <w:bCs/>
        </w:rPr>
        <w:t xml:space="preserve"> </w:t>
      </w:r>
      <w:r w:rsidR="007447F0" w:rsidRPr="007447F0">
        <w:rPr>
          <w:b/>
        </w:rPr>
        <w:t xml:space="preserve">electrical equipment </w:t>
      </w:r>
      <w:r w:rsidR="007447F0" w:rsidRPr="007447F0">
        <w:rPr>
          <w:bCs/>
        </w:rPr>
        <w:t xml:space="preserve">(up 36%) </w:t>
      </w:r>
      <w:r w:rsidR="000A25F5">
        <w:rPr>
          <w:bCs/>
        </w:rPr>
        <w:t xml:space="preserve">and </w:t>
      </w:r>
      <w:r w:rsidR="000A25F5" w:rsidRPr="00A517BD">
        <w:rPr>
          <w:b/>
        </w:rPr>
        <w:t xml:space="preserve">mineral fuels, oils </w:t>
      </w:r>
      <w:r w:rsidR="000A25F5" w:rsidRPr="00A517BD">
        <w:rPr>
          <w:bCs/>
        </w:rPr>
        <w:t xml:space="preserve">(up 129%) </w:t>
      </w:r>
      <w:r w:rsidR="00A517BD" w:rsidRPr="00A517BD">
        <w:rPr>
          <w:bCs/>
        </w:rPr>
        <w:t>bo</w:t>
      </w:r>
      <w:r w:rsidR="00583A0A">
        <w:rPr>
          <w:bCs/>
        </w:rPr>
        <w:t>l</w:t>
      </w:r>
      <w:r w:rsidR="00A517BD" w:rsidRPr="00A517BD">
        <w:rPr>
          <w:bCs/>
        </w:rPr>
        <w:t>ste</w:t>
      </w:r>
      <w:r w:rsidR="00583A0A">
        <w:rPr>
          <w:bCs/>
        </w:rPr>
        <w:t>re</w:t>
      </w:r>
      <w:r w:rsidR="00A517BD" w:rsidRPr="00A517BD">
        <w:rPr>
          <w:bCs/>
        </w:rPr>
        <w:t>d the state’s exports</w:t>
      </w:r>
      <w:r w:rsidR="00F20CBE">
        <w:rPr>
          <w:bCs/>
        </w:rPr>
        <w:t xml:space="preserve"> and</w:t>
      </w:r>
      <w:r w:rsidR="00A517BD" w:rsidRPr="00A517BD">
        <w:rPr>
          <w:bCs/>
        </w:rPr>
        <w:t xml:space="preserve"> </w:t>
      </w:r>
      <w:r w:rsidR="006C1D03" w:rsidRPr="00A517BD">
        <w:rPr>
          <w:bCs/>
        </w:rPr>
        <w:t>help</w:t>
      </w:r>
      <w:r w:rsidR="00F20CBE">
        <w:rPr>
          <w:bCs/>
        </w:rPr>
        <w:t>ed to</w:t>
      </w:r>
      <w:r w:rsidR="006C1D03" w:rsidRPr="00A517BD">
        <w:rPr>
          <w:bCs/>
        </w:rPr>
        <w:t xml:space="preserve"> offset persisting declines of </w:t>
      </w:r>
      <w:r w:rsidR="00A44451" w:rsidRPr="00A517BD">
        <w:rPr>
          <w:b/>
        </w:rPr>
        <w:t>o</w:t>
      </w:r>
      <w:r w:rsidR="00F053EF" w:rsidRPr="00A517BD">
        <w:rPr>
          <w:b/>
        </w:rPr>
        <w:t>ptic, medical</w:t>
      </w:r>
      <w:r w:rsidR="00A44451" w:rsidRPr="00A517BD">
        <w:t xml:space="preserve"> </w:t>
      </w:r>
      <w:r w:rsidR="007447F0" w:rsidRPr="00A517BD">
        <w:t>(down 5%),</w:t>
      </w:r>
      <w:r w:rsidR="007447F0" w:rsidRPr="00A517BD">
        <w:rPr>
          <w:b/>
        </w:rPr>
        <w:t xml:space="preserve"> plastics </w:t>
      </w:r>
      <w:r w:rsidR="007447F0" w:rsidRPr="00A517BD">
        <w:rPr>
          <w:bCs/>
        </w:rPr>
        <w:t xml:space="preserve">(down 6%) and </w:t>
      </w:r>
      <w:r w:rsidR="007447F0" w:rsidRPr="00A517BD">
        <w:rPr>
          <w:b/>
        </w:rPr>
        <w:t xml:space="preserve">vehicles </w:t>
      </w:r>
      <w:r w:rsidR="007447F0" w:rsidRPr="00A517BD">
        <w:rPr>
          <w:bCs/>
        </w:rPr>
        <w:t>(down 13%).</w:t>
      </w:r>
    </w:p>
    <w:p w14:paraId="6BA2F72E" w14:textId="70077D88" w:rsidR="00E76FF1" w:rsidRPr="00A517BD" w:rsidRDefault="00647786" w:rsidP="00E76FF1">
      <w:pPr>
        <w:pStyle w:val="ListParagraph"/>
        <w:numPr>
          <w:ilvl w:val="0"/>
          <w:numId w:val="7"/>
        </w:numPr>
        <w:spacing w:after="0"/>
        <w:ind w:left="360" w:right="-396"/>
      </w:pPr>
      <w:r w:rsidRPr="00A517BD">
        <w:t xml:space="preserve">Also </w:t>
      </w:r>
      <w:r w:rsidR="007447F0" w:rsidRPr="00A517BD">
        <w:t>gaining</w:t>
      </w:r>
      <w:r w:rsidRPr="00A517BD">
        <w:t xml:space="preserve"> si</w:t>
      </w:r>
      <w:r w:rsidR="003975D0" w:rsidRPr="00A517BD">
        <w:t xml:space="preserve">gnificant </w:t>
      </w:r>
      <w:r w:rsidR="007447F0" w:rsidRPr="00A517BD">
        <w:t>traction</w:t>
      </w:r>
      <w:r w:rsidR="005C0164" w:rsidRPr="00A517BD">
        <w:t xml:space="preserve"> were</w:t>
      </w:r>
      <w:r w:rsidR="00F20CBE">
        <w:t xml:space="preserve"> exports of</w:t>
      </w:r>
      <w:r w:rsidRPr="00A517BD">
        <w:t xml:space="preserve"> </w:t>
      </w:r>
      <w:r w:rsidR="00952DBF" w:rsidRPr="00A517BD">
        <w:rPr>
          <w:b/>
        </w:rPr>
        <w:t>o</w:t>
      </w:r>
      <w:r w:rsidR="007447F0" w:rsidRPr="00A517BD">
        <w:rPr>
          <w:b/>
        </w:rPr>
        <w:t>il seeds</w:t>
      </w:r>
      <w:r w:rsidR="00EC379F" w:rsidRPr="00A517BD">
        <w:rPr>
          <w:b/>
        </w:rPr>
        <w:t xml:space="preserve">, </w:t>
      </w:r>
      <w:r w:rsidR="007447F0" w:rsidRPr="00A517BD">
        <w:rPr>
          <w:b/>
        </w:rPr>
        <w:t>misc</w:t>
      </w:r>
      <w:r w:rsidR="00EC379F" w:rsidRPr="00A517BD">
        <w:rPr>
          <w:b/>
        </w:rPr>
        <w:t>ellaneous</w:t>
      </w:r>
      <w:r w:rsidR="007447F0" w:rsidRPr="00A517BD">
        <w:rPr>
          <w:b/>
        </w:rPr>
        <w:t xml:space="preserve"> grain</w:t>
      </w:r>
      <w:r w:rsidR="00EC379F" w:rsidRPr="00A517BD">
        <w:rPr>
          <w:b/>
        </w:rPr>
        <w:t>s</w:t>
      </w:r>
      <w:r w:rsidR="00D60BDF" w:rsidRPr="00A517BD">
        <w:t xml:space="preserve"> ($1</w:t>
      </w:r>
      <w:r w:rsidR="007447F0" w:rsidRPr="00A517BD">
        <w:t>02 million, up 142</w:t>
      </w:r>
      <w:r w:rsidRPr="00A517BD">
        <w:t xml:space="preserve">%), </w:t>
      </w:r>
      <w:r w:rsidR="007447F0" w:rsidRPr="00A517BD">
        <w:rPr>
          <w:b/>
        </w:rPr>
        <w:t>aircraft, spacecraft</w:t>
      </w:r>
      <w:r w:rsidRPr="00A517BD">
        <w:rPr>
          <w:b/>
        </w:rPr>
        <w:t xml:space="preserve"> </w:t>
      </w:r>
      <w:r w:rsidR="005C0164" w:rsidRPr="00A517BD">
        <w:t>($1</w:t>
      </w:r>
      <w:r w:rsidR="007447F0" w:rsidRPr="00A517BD">
        <w:t>31</w:t>
      </w:r>
      <w:r w:rsidR="005C0164" w:rsidRPr="00A517BD">
        <w:t xml:space="preserve"> million, </w:t>
      </w:r>
      <w:r w:rsidR="007447F0" w:rsidRPr="00A517BD">
        <w:t>up</w:t>
      </w:r>
      <w:r w:rsidR="005C0164" w:rsidRPr="00A517BD">
        <w:t xml:space="preserve"> </w:t>
      </w:r>
      <w:r w:rsidR="007447F0" w:rsidRPr="00A517BD">
        <w:t>77</w:t>
      </w:r>
      <w:r w:rsidRPr="00A517BD">
        <w:t xml:space="preserve">%) and </w:t>
      </w:r>
      <w:r w:rsidRPr="00A517BD">
        <w:rPr>
          <w:b/>
        </w:rPr>
        <w:t xml:space="preserve">food by-products </w:t>
      </w:r>
      <w:r w:rsidRPr="00A517BD">
        <w:t>(</w:t>
      </w:r>
      <w:r w:rsidR="005C0164" w:rsidRPr="00A517BD">
        <w:t>$</w:t>
      </w:r>
      <w:r w:rsidR="007447F0" w:rsidRPr="00A517BD">
        <w:t>167</w:t>
      </w:r>
      <w:r w:rsidR="00B679D3" w:rsidRPr="00A517BD">
        <w:t xml:space="preserve"> million, </w:t>
      </w:r>
      <w:r w:rsidR="007447F0" w:rsidRPr="00A517BD">
        <w:t>up</w:t>
      </w:r>
      <w:r w:rsidR="00B679D3" w:rsidRPr="00A517BD">
        <w:t xml:space="preserve"> </w:t>
      </w:r>
      <w:r w:rsidR="007447F0" w:rsidRPr="00A517BD">
        <w:t>34</w:t>
      </w:r>
      <w:r w:rsidRPr="00A517BD">
        <w:t>%).</w:t>
      </w:r>
      <w:r w:rsidRPr="00A517BD">
        <w:br w:type="column"/>
      </w:r>
      <w:r w:rsidR="00E76FF1" w:rsidRPr="00A517BD">
        <w:rPr>
          <w:rStyle w:val="Heading4Char"/>
          <w:color w:val="auto"/>
        </w:rPr>
        <w:t xml:space="preserve">Figure </w:t>
      </w:r>
      <w:r w:rsidR="00E76FF1" w:rsidRPr="00A517BD">
        <w:rPr>
          <w:rStyle w:val="Heading4Char"/>
          <w:b/>
          <w:color w:val="auto"/>
        </w:rPr>
        <w:fldChar w:fldCharType="begin"/>
      </w:r>
      <w:r w:rsidR="00E76FF1" w:rsidRPr="00A517BD">
        <w:rPr>
          <w:rStyle w:val="Heading4Char"/>
          <w:color w:val="auto"/>
        </w:rPr>
        <w:instrText xml:space="preserve"> SEQ Figure \* ARABIC </w:instrText>
      </w:r>
      <w:r w:rsidR="00E76FF1" w:rsidRPr="00A517BD">
        <w:rPr>
          <w:rStyle w:val="Heading4Char"/>
          <w:b/>
          <w:color w:val="auto"/>
        </w:rPr>
        <w:fldChar w:fldCharType="separate"/>
      </w:r>
      <w:r w:rsidR="00E76FF1" w:rsidRPr="00A517BD">
        <w:rPr>
          <w:rStyle w:val="Heading4Char"/>
          <w:noProof/>
          <w:color w:val="auto"/>
        </w:rPr>
        <w:t>3</w:t>
      </w:r>
      <w:r w:rsidR="00E76FF1" w:rsidRPr="00A517BD">
        <w:rPr>
          <w:rStyle w:val="Heading4Char"/>
          <w:b/>
          <w:color w:val="auto"/>
        </w:rPr>
        <w:fldChar w:fldCharType="end"/>
      </w:r>
      <w:r w:rsidR="00E76FF1" w:rsidRPr="00A517BD">
        <w:rPr>
          <w:rStyle w:val="Heading4Char"/>
          <w:color w:val="auto"/>
        </w:rPr>
        <w:t>. Minnesota’s M</w:t>
      </w:r>
      <w:r w:rsidR="00AE0E55" w:rsidRPr="00A517BD">
        <w:rPr>
          <w:rStyle w:val="Heading4Char"/>
          <w:color w:val="auto"/>
        </w:rPr>
        <w:t>achinery</w:t>
      </w:r>
      <w:r w:rsidR="00A517BD">
        <w:rPr>
          <w:rStyle w:val="Heading4Char"/>
          <w:color w:val="auto"/>
        </w:rPr>
        <w:t xml:space="preserve"> Exports</w:t>
      </w:r>
    </w:p>
    <w:p w14:paraId="008551DC" w14:textId="58C60470" w:rsidR="00E76FF1" w:rsidRPr="00A517BD" w:rsidRDefault="00E76FF1" w:rsidP="00A11201">
      <w:pPr>
        <w:spacing w:after="0"/>
        <w:ind w:left="180" w:hanging="180"/>
        <w:sectPr w:rsidR="00E76FF1" w:rsidRPr="00A517BD" w:rsidSect="00EC379F">
          <w:footerReference w:type="default" r:id="rId15"/>
          <w:footnotePr>
            <w:numRestart w:val="eachSect"/>
          </w:footnotePr>
          <w:endnotePr>
            <w:numFmt w:val="decimal"/>
          </w:endnotePr>
          <w:type w:val="continuous"/>
          <w:pgSz w:w="12240" w:h="15840" w:code="1"/>
          <w:pgMar w:top="936" w:right="1152" w:bottom="936" w:left="1080" w:header="720" w:footer="720" w:gutter="0"/>
          <w:cols w:num="2" w:space="432"/>
          <w:titlePg/>
          <w:docGrid w:linePitch="299"/>
        </w:sectPr>
      </w:pPr>
      <w:r w:rsidRPr="00A517BD">
        <w:rPr>
          <w:noProof/>
        </w:rPr>
        <w:drawing>
          <wp:inline distT="0" distB="0" distL="0" distR="0" wp14:anchorId="15A22583" wp14:editId="5FF02756">
            <wp:extent cx="3162300" cy="1881505"/>
            <wp:effectExtent l="0" t="0" r="0" b="4445"/>
            <wp:docPr id="10" name="Chart 10" descr="Figure 3&#10;Machinery segment and Market share (%)&#10;Centrifuges, filters 19%&#10;Machines for making 17%semiconductors&#10;Pumps for liquids 7%&#10;Spraying equipment 6%&#10;Specialized machines 5%&#10;Taps, cocks, valves 5%&#10;Computers 4%&#10;Other 3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D6E6B3" w14:textId="3AE25A21" w:rsidR="005C0164" w:rsidRPr="001448C3" w:rsidRDefault="000A25F5" w:rsidP="005C0164">
      <w:pPr>
        <w:pStyle w:val="ListParagraph"/>
        <w:numPr>
          <w:ilvl w:val="0"/>
          <w:numId w:val="7"/>
        </w:numPr>
        <w:spacing w:after="0"/>
        <w:ind w:left="360" w:right="-72"/>
      </w:pPr>
      <w:r w:rsidRPr="00A517BD">
        <w:t>Export growth of</w:t>
      </w:r>
      <w:r w:rsidR="005C0164" w:rsidRPr="00A517BD">
        <w:t xml:space="preserve"> </w:t>
      </w:r>
      <w:r w:rsidR="005C0164" w:rsidRPr="00A517BD">
        <w:rPr>
          <w:b/>
        </w:rPr>
        <w:t>m</w:t>
      </w:r>
      <w:r w:rsidR="00BF5230" w:rsidRPr="00A517BD">
        <w:rPr>
          <w:b/>
        </w:rPr>
        <w:t>achinery</w:t>
      </w:r>
      <w:r w:rsidR="005C0164" w:rsidRPr="00A517BD">
        <w:rPr>
          <w:b/>
        </w:rPr>
        <w:t xml:space="preserve"> </w:t>
      </w:r>
      <w:r w:rsidR="007E19C3" w:rsidRPr="00A517BD">
        <w:t>w</w:t>
      </w:r>
      <w:r w:rsidRPr="00A517BD">
        <w:t>as</w:t>
      </w:r>
      <w:r w:rsidR="005C0164" w:rsidRPr="00A517BD">
        <w:t xml:space="preserve"> propelled</w:t>
      </w:r>
      <w:r w:rsidR="009676D8" w:rsidRPr="00A517BD">
        <w:t xml:space="preserve"> by </w:t>
      </w:r>
      <w:r w:rsidR="007E19C3" w:rsidRPr="00A517BD">
        <w:t xml:space="preserve">the </w:t>
      </w:r>
      <w:r w:rsidR="007E19C3" w:rsidRPr="00A517BD">
        <w:rPr>
          <w:b/>
          <w:bCs/>
        </w:rPr>
        <w:t>Philippines</w:t>
      </w:r>
      <w:r w:rsidR="005C0164" w:rsidRPr="00A517BD">
        <w:rPr>
          <w:b/>
        </w:rPr>
        <w:t xml:space="preserve"> </w:t>
      </w:r>
      <w:r w:rsidR="005C0164" w:rsidRPr="00A517BD">
        <w:t>(</w:t>
      </w:r>
      <w:r w:rsidRPr="00A517BD">
        <w:t>$123 million, up 1,086% or</w:t>
      </w:r>
      <w:r w:rsidR="00043906" w:rsidRPr="00A517BD">
        <w:t xml:space="preserve"> </w:t>
      </w:r>
      <w:r w:rsidR="00615BC9" w:rsidRPr="00A517BD">
        <w:t>up $</w:t>
      </w:r>
      <w:r w:rsidR="007E19C3" w:rsidRPr="00A517BD">
        <w:t>112</w:t>
      </w:r>
      <w:r w:rsidR="00615BC9" w:rsidRPr="00A517BD">
        <w:t xml:space="preserve"> million</w:t>
      </w:r>
      <w:r w:rsidR="003975D0" w:rsidRPr="00A517BD">
        <w:t>) and</w:t>
      </w:r>
      <w:r w:rsidR="005C0164" w:rsidRPr="00A517BD">
        <w:t xml:space="preserve"> </w:t>
      </w:r>
      <w:r w:rsidR="007E19C3" w:rsidRPr="00A517BD">
        <w:rPr>
          <w:b/>
        </w:rPr>
        <w:t>China</w:t>
      </w:r>
      <w:r w:rsidR="005C0164" w:rsidRPr="00A517BD">
        <w:rPr>
          <w:b/>
        </w:rPr>
        <w:t xml:space="preserve"> </w:t>
      </w:r>
      <w:r w:rsidR="005C0164" w:rsidRPr="00A517BD">
        <w:t>(</w:t>
      </w:r>
      <w:r w:rsidRPr="00A517BD">
        <w:t>$132 million</w:t>
      </w:r>
      <w:r w:rsidR="00615BC9" w:rsidRPr="00A517BD">
        <w:t>,</w:t>
      </w:r>
      <w:r w:rsidRPr="00A517BD">
        <w:t xml:space="preserve"> up 50</w:t>
      </w:r>
      <w:r>
        <w:t>%</w:t>
      </w:r>
      <w:r w:rsidR="005C0164" w:rsidRPr="007E19C3">
        <w:t>)</w:t>
      </w:r>
      <w:r w:rsidR="007E19C3" w:rsidRPr="007E19C3">
        <w:t>; and by</w:t>
      </w:r>
      <w:r w:rsidR="009627F9" w:rsidRPr="007E19C3">
        <w:t xml:space="preserve"> </w:t>
      </w:r>
      <w:r w:rsidR="007E19C3" w:rsidRPr="007E19C3">
        <w:rPr>
          <w:b/>
        </w:rPr>
        <w:t>machines for making semiconductors</w:t>
      </w:r>
      <w:r w:rsidR="009676D8" w:rsidRPr="007E19C3">
        <w:t xml:space="preserve"> ($</w:t>
      </w:r>
      <w:r w:rsidR="007E19C3" w:rsidRPr="007E19C3">
        <w:t>164</w:t>
      </w:r>
      <w:r w:rsidR="009676D8" w:rsidRPr="007E19C3">
        <w:t xml:space="preserve"> million, up 2</w:t>
      </w:r>
      <w:r w:rsidR="007E19C3" w:rsidRPr="007E19C3">
        <w:t>66</w:t>
      </w:r>
      <w:r w:rsidR="005C0164" w:rsidRPr="007E19C3">
        <w:t xml:space="preserve">%) </w:t>
      </w:r>
      <w:r w:rsidR="009676D8" w:rsidRPr="007E19C3">
        <w:t xml:space="preserve">and </w:t>
      </w:r>
      <w:r w:rsidR="007E19C3" w:rsidRPr="001448C3">
        <w:rPr>
          <w:b/>
        </w:rPr>
        <w:t>centrifuges, filters</w:t>
      </w:r>
      <w:r w:rsidR="009676D8" w:rsidRPr="001448C3">
        <w:rPr>
          <w:b/>
        </w:rPr>
        <w:t xml:space="preserve"> </w:t>
      </w:r>
      <w:r w:rsidR="009676D8" w:rsidRPr="001448C3">
        <w:t>($</w:t>
      </w:r>
      <w:r w:rsidR="007E19C3" w:rsidRPr="001448C3">
        <w:t>188</w:t>
      </w:r>
      <w:r w:rsidR="009676D8" w:rsidRPr="001448C3">
        <w:t xml:space="preserve"> million, up </w:t>
      </w:r>
      <w:r w:rsidR="007E19C3" w:rsidRPr="001448C3">
        <w:t>42</w:t>
      </w:r>
      <w:r w:rsidR="009676D8" w:rsidRPr="001448C3">
        <w:t>%)</w:t>
      </w:r>
      <w:r w:rsidR="005C0164" w:rsidRPr="001448C3">
        <w:t>.</w:t>
      </w:r>
    </w:p>
    <w:p w14:paraId="6C3F4A56" w14:textId="3C4C2F66" w:rsidR="00E83A19" w:rsidRDefault="005078AA" w:rsidP="005078AA">
      <w:pPr>
        <w:pStyle w:val="ListParagraph"/>
        <w:numPr>
          <w:ilvl w:val="0"/>
          <w:numId w:val="7"/>
        </w:numPr>
        <w:spacing w:after="0"/>
        <w:ind w:left="360"/>
      </w:pPr>
      <w:r w:rsidRPr="001448C3">
        <w:rPr>
          <w:b/>
        </w:rPr>
        <w:t>Canad</w:t>
      </w:r>
      <w:r w:rsidR="00E83A19" w:rsidRPr="001448C3">
        <w:rPr>
          <w:b/>
        </w:rPr>
        <w:t>a</w:t>
      </w:r>
      <w:r w:rsidR="00E83A19" w:rsidRPr="001448C3">
        <w:t xml:space="preserve"> </w:t>
      </w:r>
      <w:r w:rsidR="00043906" w:rsidRPr="001448C3">
        <w:t>($429 million, up 133%)</w:t>
      </w:r>
      <w:r w:rsidR="00043906">
        <w:t xml:space="preserve"> </w:t>
      </w:r>
      <w:r w:rsidR="00666745" w:rsidRPr="001448C3">
        <w:t xml:space="preserve">drove </w:t>
      </w:r>
      <w:r w:rsidR="0053512A" w:rsidRPr="001448C3">
        <w:t>growth in</w:t>
      </w:r>
      <w:r w:rsidR="005C0164" w:rsidRPr="001448C3">
        <w:t xml:space="preserve"> </w:t>
      </w:r>
      <w:r w:rsidR="005C0164" w:rsidRPr="001448C3">
        <w:rPr>
          <w:b/>
        </w:rPr>
        <w:t>mineral fuels</w:t>
      </w:r>
      <w:r w:rsidR="007B183D" w:rsidRPr="001448C3">
        <w:rPr>
          <w:b/>
        </w:rPr>
        <w:t>, oils</w:t>
      </w:r>
      <w:r w:rsidR="00043906">
        <w:rPr>
          <w:b/>
        </w:rPr>
        <w:t xml:space="preserve"> </w:t>
      </w:r>
      <w:r w:rsidR="00043906">
        <w:rPr>
          <w:bCs/>
        </w:rPr>
        <w:t>(largely consisting of light oils)</w:t>
      </w:r>
      <w:r w:rsidR="00666745" w:rsidRPr="001448C3">
        <w:t>.</w:t>
      </w:r>
      <w:r w:rsidR="00147EEF" w:rsidRPr="001448C3">
        <w:t xml:space="preserve"> </w:t>
      </w:r>
    </w:p>
    <w:p w14:paraId="66CC4855" w14:textId="310D946D" w:rsidR="001448C3" w:rsidRPr="001448C3" w:rsidRDefault="00145F43" w:rsidP="003B0265">
      <w:pPr>
        <w:pStyle w:val="ListParagraph"/>
        <w:numPr>
          <w:ilvl w:val="0"/>
          <w:numId w:val="7"/>
        </w:numPr>
        <w:spacing w:after="0"/>
        <w:ind w:left="360" w:right="-72"/>
      </w:pPr>
      <w:r>
        <w:rPr>
          <w:b/>
          <w:bCs/>
        </w:rPr>
        <w:t>E</w:t>
      </w:r>
      <w:r w:rsidR="001448C3" w:rsidRPr="00145F43">
        <w:rPr>
          <w:b/>
          <w:bCs/>
        </w:rPr>
        <w:t xml:space="preserve">lectrical equipment </w:t>
      </w:r>
      <w:r w:rsidR="00043906">
        <w:t xml:space="preserve">exports </w:t>
      </w:r>
      <w:r w:rsidR="001448C3">
        <w:t xml:space="preserve">surged </w:t>
      </w:r>
      <w:r w:rsidR="00043906">
        <w:t>due to robust demand in</w:t>
      </w:r>
      <w:r w:rsidR="001448C3">
        <w:t xml:space="preserve"> </w:t>
      </w:r>
      <w:r w:rsidR="001448C3" w:rsidRPr="00145F43">
        <w:rPr>
          <w:b/>
          <w:bCs/>
        </w:rPr>
        <w:t>China</w:t>
      </w:r>
      <w:r w:rsidR="001448C3">
        <w:t xml:space="preserve"> (up 97%)</w:t>
      </w:r>
      <w:r>
        <w:t>,</w:t>
      </w:r>
      <w:r w:rsidR="001448C3">
        <w:t xml:space="preserve"> </w:t>
      </w:r>
      <w:r w:rsidR="001448C3" w:rsidRPr="00145F43">
        <w:rPr>
          <w:b/>
          <w:bCs/>
        </w:rPr>
        <w:t xml:space="preserve">Canada </w:t>
      </w:r>
      <w:r w:rsidR="001448C3">
        <w:t xml:space="preserve">(up 30%), </w:t>
      </w:r>
      <w:r w:rsidR="001448C3" w:rsidRPr="00145F43">
        <w:rPr>
          <w:b/>
          <w:bCs/>
        </w:rPr>
        <w:t xml:space="preserve">Germany </w:t>
      </w:r>
      <w:r w:rsidR="001448C3">
        <w:t xml:space="preserve">(up 42%) and </w:t>
      </w:r>
      <w:r w:rsidR="001448C3" w:rsidRPr="00145F43">
        <w:rPr>
          <w:b/>
          <w:bCs/>
        </w:rPr>
        <w:t xml:space="preserve">Thailand </w:t>
      </w:r>
      <w:r w:rsidR="00F20CBE">
        <w:t>(</w:t>
      </w:r>
      <w:r w:rsidR="001448C3">
        <w:t xml:space="preserve">up </w:t>
      </w:r>
      <w:r w:rsidR="001448C3" w:rsidRPr="00145F43">
        <w:t>27%).</w:t>
      </w:r>
      <w:r w:rsidRPr="00145F43">
        <w:t xml:space="preserve"> </w:t>
      </w:r>
      <w:r w:rsidR="001448C3" w:rsidRPr="00145F43">
        <w:t xml:space="preserve"> </w:t>
      </w:r>
      <w:r w:rsidRPr="00145F43">
        <w:rPr>
          <w:b/>
        </w:rPr>
        <w:t xml:space="preserve">Integrated circuits </w:t>
      </w:r>
      <w:r w:rsidRPr="00145F43">
        <w:rPr>
          <w:bCs/>
        </w:rPr>
        <w:t>($238 million, up 83%),</w:t>
      </w:r>
      <w:r w:rsidRPr="00145F43">
        <w:rPr>
          <w:b/>
        </w:rPr>
        <w:t xml:space="preserve"> electrical switches </w:t>
      </w:r>
      <w:r w:rsidRPr="00145F43">
        <w:rPr>
          <w:bCs/>
        </w:rPr>
        <w:t>($64 million, up 99%)</w:t>
      </w:r>
      <w:r w:rsidRPr="00145F43">
        <w:rPr>
          <w:b/>
        </w:rPr>
        <w:t xml:space="preserve"> </w:t>
      </w:r>
      <w:r w:rsidRPr="00145F43">
        <w:rPr>
          <w:bCs/>
        </w:rPr>
        <w:t xml:space="preserve">and </w:t>
      </w:r>
      <w:r w:rsidRPr="00145F43">
        <w:rPr>
          <w:b/>
        </w:rPr>
        <w:t xml:space="preserve">diodes and transistors </w:t>
      </w:r>
      <w:r w:rsidRPr="00145F43">
        <w:rPr>
          <w:bCs/>
        </w:rPr>
        <w:t xml:space="preserve">($59 million, up 69%) </w:t>
      </w:r>
      <w:r>
        <w:rPr>
          <w:bCs/>
        </w:rPr>
        <w:t xml:space="preserve">contributed </w:t>
      </w:r>
      <w:r w:rsidR="00043906">
        <w:rPr>
          <w:bCs/>
        </w:rPr>
        <w:t>the largest gains in exports</w:t>
      </w:r>
      <w:r w:rsidRPr="00145F43">
        <w:rPr>
          <w:bCs/>
        </w:rPr>
        <w:t>.</w:t>
      </w:r>
    </w:p>
    <w:p w14:paraId="075AB619" w14:textId="036F438C" w:rsidR="0060684A" w:rsidRPr="00700297" w:rsidRDefault="00F20CBE" w:rsidP="006D4F41">
      <w:pPr>
        <w:pStyle w:val="ListParagraph"/>
        <w:numPr>
          <w:ilvl w:val="0"/>
          <w:numId w:val="7"/>
        </w:numPr>
        <w:spacing w:before="120" w:after="0"/>
        <w:ind w:left="360" w:right="-396"/>
      </w:pPr>
      <w:r>
        <w:t>Various f</w:t>
      </w:r>
      <w:r w:rsidR="00EC379F" w:rsidRPr="00700297">
        <w:t>ood and agricultural</w:t>
      </w:r>
      <w:r>
        <w:t xml:space="preserve"> goods</w:t>
      </w:r>
      <w:r w:rsidR="00EC379F" w:rsidRPr="00700297">
        <w:t xml:space="preserve"> performed well. </w:t>
      </w:r>
      <w:r w:rsidR="00EC379F" w:rsidRPr="00043906">
        <w:rPr>
          <w:b/>
          <w:bCs/>
        </w:rPr>
        <w:t xml:space="preserve">Canada </w:t>
      </w:r>
      <w:r w:rsidR="00EC379F" w:rsidRPr="00700297">
        <w:t xml:space="preserve">and </w:t>
      </w:r>
      <w:r w:rsidR="00EC379F" w:rsidRPr="00043906">
        <w:rPr>
          <w:b/>
          <w:bCs/>
        </w:rPr>
        <w:t>Mexico</w:t>
      </w:r>
      <w:r w:rsidR="00EC379F" w:rsidRPr="00700297">
        <w:t xml:space="preserve"> drove d</w:t>
      </w:r>
      <w:r w:rsidR="00562F8A" w:rsidRPr="00700297">
        <w:t xml:space="preserve">emand for </w:t>
      </w:r>
      <w:r w:rsidR="0060684A" w:rsidRPr="00700297">
        <w:rPr>
          <w:b/>
        </w:rPr>
        <w:t>food by-products</w:t>
      </w:r>
      <w:r w:rsidR="0060684A" w:rsidRPr="00700297">
        <w:rPr>
          <w:bCs/>
        </w:rPr>
        <w:t xml:space="preserve"> </w:t>
      </w:r>
      <w:r w:rsidR="00EC379F" w:rsidRPr="00700297">
        <w:rPr>
          <w:bCs/>
        </w:rPr>
        <w:t xml:space="preserve">and </w:t>
      </w:r>
      <w:r w:rsidR="00EC379F" w:rsidRPr="00700297">
        <w:rPr>
          <w:b/>
        </w:rPr>
        <w:t>oil seeds</w:t>
      </w:r>
      <w:r w:rsidR="00EC379F" w:rsidRPr="00700297">
        <w:rPr>
          <w:bCs/>
        </w:rPr>
        <w:t xml:space="preserve"> (largely</w:t>
      </w:r>
      <w:r w:rsidR="00EC379F" w:rsidRPr="00700297">
        <w:rPr>
          <w:b/>
        </w:rPr>
        <w:t xml:space="preserve"> soybeans</w:t>
      </w:r>
      <w:r w:rsidR="00EC379F" w:rsidRPr="00700297">
        <w:rPr>
          <w:bCs/>
        </w:rPr>
        <w:t xml:space="preserve">), </w:t>
      </w:r>
      <w:r w:rsidR="00700297" w:rsidRPr="00700297">
        <w:rPr>
          <w:bCs/>
        </w:rPr>
        <w:t>together buying</w:t>
      </w:r>
      <w:r w:rsidR="00EC379F" w:rsidRPr="00700297">
        <w:rPr>
          <w:bCs/>
        </w:rPr>
        <w:t xml:space="preserve"> </w:t>
      </w:r>
      <w:r w:rsidR="00043906">
        <w:rPr>
          <w:bCs/>
        </w:rPr>
        <w:t xml:space="preserve">more than </w:t>
      </w:r>
      <w:r w:rsidR="00EC379F" w:rsidRPr="00700297">
        <w:rPr>
          <w:bCs/>
        </w:rPr>
        <w:t>half of</w:t>
      </w:r>
      <w:r>
        <w:rPr>
          <w:bCs/>
        </w:rPr>
        <w:t xml:space="preserve"> </w:t>
      </w:r>
      <w:r w:rsidR="00EC379F" w:rsidRPr="00700297">
        <w:rPr>
          <w:bCs/>
        </w:rPr>
        <w:t>these exports</w:t>
      </w:r>
      <w:r w:rsidR="0060684A" w:rsidRPr="00700297">
        <w:rPr>
          <w:bCs/>
        </w:rPr>
        <w:t xml:space="preserve">. </w:t>
      </w:r>
      <w:r w:rsidR="00043906">
        <w:rPr>
          <w:bCs/>
        </w:rPr>
        <w:t>Continued strong demand for</w:t>
      </w:r>
      <w:r w:rsidR="00700297" w:rsidRPr="00700297">
        <w:rPr>
          <w:bCs/>
        </w:rPr>
        <w:t xml:space="preserve"> </w:t>
      </w:r>
      <w:r w:rsidR="0060684A" w:rsidRPr="00700297">
        <w:rPr>
          <w:b/>
        </w:rPr>
        <w:t>meat</w:t>
      </w:r>
      <w:r w:rsidR="00700297" w:rsidRPr="00700297">
        <w:rPr>
          <w:b/>
        </w:rPr>
        <w:t xml:space="preserve"> </w:t>
      </w:r>
      <w:r w:rsidR="00700297" w:rsidRPr="00700297">
        <w:rPr>
          <w:bCs/>
        </w:rPr>
        <w:t xml:space="preserve">(mainly </w:t>
      </w:r>
      <w:r w:rsidR="00700297" w:rsidRPr="00700297">
        <w:rPr>
          <w:b/>
        </w:rPr>
        <w:t>pork</w:t>
      </w:r>
      <w:r w:rsidR="00700297" w:rsidRPr="00700297">
        <w:rPr>
          <w:bCs/>
        </w:rPr>
        <w:t>)</w:t>
      </w:r>
      <w:r w:rsidR="0060684A" w:rsidRPr="00700297">
        <w:rPr>
          <w:b/>
        </w:rPr>
        <w:t xml:space="preserve"> </w:t>
      </w:r>
      <w:r w:rsidR="0060684A" w:rsidRPr="00700297">
        <w:rPr>
          <w:bCs/>
        </w:rPr>
        <w:t xml:space="preserve">in </w:t>
      </w:r>
      <w:r w:rsidR="0060684A" w:rsidRPr="00A517BD">
        <w:rPr>
          <w:b/>
        </w:rPr>
        <w:t>Japan</w:t>
      </w:r>
      <w:r w:rsidR="0060684A" w:rsidRPr="00700297">
        <w:rPr>
          <w:bCs/>
        </w:rPr>
        <w:t xml:space="preserve"> (up 81%) and </w:t>
      </w:r>
      <w:r w:rsidR="0060684A" w:rsidRPr="00A517BD">
        <w:rPr>
          <w:b/>
        </w:rPr>
        <w:t>Mexico</w:t>
      </w:r>
      <w:r w:rsidR="0060684A" w:rsidRPr="00700297">
        <w:rPr>
          <w:bCs/>
        </w:rPr>
        <w:t xml:space="preserve"> (up 106%) soften</w:t>
      </w:r>
      <w:r w:rsidR="00A517BD">
        <w:rPr>
          <w:bCs/>
        </w:rPr>
        <w:t>ed</w:t>
      </w:r>
      <w:r w:rsidR="0060684A" w:rsidRPr="00700297">
        <w:rPr>
          <w:bCs/>
        </w:rPr>
        <w:t xml:space="preserve"> </w:t>
      </w:r>
      <w:r w:rsidR="00A517BD">
        <w:rPr>
          <w:bCs/>
        </w:rPr>
        <w:t>the fall in sales</w:t>
      </w:r>
      <w:r w:rsidR="00700297" w:rsidRPr="00700297">
        <w:rPr>
          <w:bCs/>
        </w:rPr>
        <w:t xml:space="preserve"> </w:t>
      </w:r>
      <w:r w:rsidR="00EC379F" w:rsidRPr="00700297">
        <w:rPr>
          <w:bCs/>
        </w:rPr>
        <w:t>to</w:t>
      </w:r>
      <w:r w:rsidR="0060684A" w:rsidRPr="00A517BD">
        <w:rPr>
          <w:b/>
        </w:rPr>
        <w:t xml:space="preserve"> China</w:t>
      </w:r>
      <w:r w:rsidR="0060684A" w:rsidRPr="00700297">
        <w:rPr>
          <w:bCs/>
        </w:rPr>
        <w:t xml:space="preserve"> (down 29%). </w:t>
      </w:r>
    </w:p>
    <w:p w14:paraId="173C397B" w14:textId="6015A5D9" w:rsidR="0038071A" w:rsidRPr="00B83DF0" w:rsidRDefault="00B83DF0" w:rsidP="0038071A">
      <w:pPr>
        <w:pStyle w:val="ListParagraph"/>
        <w:numPr>
          <w:ilvl w:val="0"/>
          <w:numId w:val="7"/>
        </w:numPr>
        <w:spacing w:after="0"/>
        <w:ind w:left="360" w:right="-396"/>
      </w:pPr>
      <w:r w:rsidRPr="00B83DF0">
        <w:rPr>
          <w:bCs/>
        </w:rPr>
        <w:t xml:space="preserve">Rebounding </w:t>
      </w:r>
      <w:r w:rsidR="00A517BD">
        <w:rPr>
          <w:bCs/>
        </w:rPr>
        <w:t>global sales of</w:t>
      </w:r>
      <w:r w:rsidRPr="00B83DF0">
        <w:rPr>
          <w:bCs/>
        </w:rPr>
        <w:t xml:space="preserve"> </w:t>
      </w:r>
      <w:r w:rsidRPr="00B83DF0">
        <w:rPr>
          <w:b/>
        </w:rPr>
        <w:t xml:space="preserve">medical, surgical instruments </w:t>
      </w:r>
      <w:r w:rsidRPr="00B83DF0">
        <w:rPr>
          <w:bCs/>
        </w:rPr>
        <w:t xml:space="preserve">($394 million, up 24%) and </w:t>
      </w:r>
      <w:r w:rsidRPr="00B83DF0">
        <w:rPr>
          <w:b/>
        </w:rPr>
        <w:t xml:space="preserve">measuring analytical instruments </w:t>
      </w:r>
      <w:r w:rsidRPr="00B83DF0">
        <w:rPr>
          <w:bCs/>
        </w:rPr>
        <w:t xml:space="preserve">($114 million, up 45%) were overshadowed by </w:t>
      </w:r>
      <w:r w:rsidR="00F20CBE">
        <w:rPr>
          <w:bCs/>
        </w:rPr>
        <w:t>continued</w:t>
      </w:r>
      <w:r w:rsidRPr="00B83DF0">
        <w:rPr>
          <w:bCs/>
        </w:rPr>
        <w:t xml:space="preserve"> </w:t>
      </w:r>
      <w:r w:rsidR="00F20CBE">
        <w:rPr>
          <w:bCs/>
        </w:rPr>
        <w:t>shrinking sales</w:t>
      </w:r>
      <w:r w:rsidRPr="00B83DF0">
        <w:rPr>
          <w:bCs/>
        </w:rPr>
        <w:t xml:space="preserve"> </w:t>
      </w:r>
      <w:r w:rsidR="00F20CBE">
        <w:rPr>
          <w:bCs/>
        </w:rPr>
        <w:t>of</w:t>
      </w:r>
      <w:r w:rsidRPr="00B83DF0">
        <w:rPr>
          <w:bCs/>
        </w:rPr>
        <w:t xml:space="preserve"> </w:t>
      </w:r>
      <w:r w:rsidRPr="00B83DF0">
        <w:rPr>
          <w:b/>
        </w:rPr>
        <w:t xml:space="preserve">optical fiber </w:t>
      </w:r>
      <w:r w:rsidRPr="00B83DF0">
        <w:rPr>
          <w:bCs/>
        </w:rPr>
        <w:t xml:space="preserve">($30 million, down 83%) – </w:t>
      </w:r>
      <w:r w:rsidR="00647FFD">
        <w:rPr>
          <w:bCs/>
        </w:rPr>
        <w:t>mainly</w:t>
      </w:r>
      <w:r w:rsidRPr="00B83DF0">
        <w:rPr>
          <w:bCs/>
        </w:rPr>
        <w:t xml:space="preserve"> dr</w:t>
      </w:r>
      <w:r w:rsidR="00F20CBE">
        <w:rPr>
          <w:bCs/>
        </w:rPr>
        <w:t>agged down</w:t>
      </w:r>
      <w:r w:rsidRPr="00B83DF0">
        <w:rPr>
          <w:bCs/>
        </w:rPr>
        <w:t xml:space="preserve"> by </w:t>
      </w:r>
      <w:r w:rsidR="006D4F41" w:rsidRPr="00B83DF0">
        <w:rPr>
          <w:b/>
        </w:rPr>
        <w:t>China</w:t>
      </w:r>
      <w:r w:rsidR="006D4F41" w:rsidRPr="00B83DF0">
        <w:t xml:space="preserve"> (</w:t>
      </w:r>
      <w:r w:rsidRPr="00B83DF0">
        <w:t>down</w:t>
      </w:r>
      <w:r w:rsidR="006D4F41" w:rsidRPr="00B83DF0">
        <w:t xml:space="preserve"> </w:t>
      </w:r>
      <w:r w:rsidRPr="00B83DF0">
        <w:t>$52 million</w:t>
      </w:r>
      <w:r w:rsidR="006D4F41" w:rsidRPr="00B83DF0">
        <w:t>)</w:t>
      </w:r>
      <w:r w:rsidRPr="00B83DF0">
        <w:t xml:space="preserve"> and</w:t>
      </w:r>
      <w:r w:rsidR="006D4F41" w:rsidRPr="00B83DF0">
        <w:t xml:space="preserve"> </w:t>
      </w:r>
      <w:r w:rsidRPr="00B83DF0">
        <w:rPr>
          <w:b/>
        </w:rPr>
        <w:t>South Korea</w:t>
      </w:r>
      <w:r w:rsidR="006D4F41" w:rsidRPr="00B83DF0">
        <w:t xml:space="preserve"> (</w:t>
      </w:r>
      <w:r w:rsidRPr="00B83DF0">
        <w:t>down $79 million</w:t>
      </w:r>
      <w:r w:rsidR="006D4F41" w:rsidRPr="00B83DF0">
        <w:t>)</w:t>
      </w:r>
      <w:r w:rsidRPr="00B83DF0">
        <w:t xml:space="preserve"> – and </w:t>
      </w:r>
      <w:r w:rsidRPr="00B83DF0">
        <w:rPr>
          <w:b/>
          <w:bCs/>
        </w:rPr>
        <w:t>navigational instruments</w:t>
      </w:r>
      <w:r w:rsidRPr="00B83DF0">
        <w:t xml:space="preserve"> ($8 million, down 74%).</w:t>
      </w:r>
    </w:p>
    <w:p w14:paraId="2531CFFE" w14:textId="77A56144" w:rsidR="007F1C4A" w:rsidRPr="00A517BD" w:rsidRDefault="007F1C4A" w:rsidP="00953B35">
      <w:pPr>
        <w:pStyle w:val="Heading4"/>
        <w:spacing w:before="120" w:after="120"/>
        <w:rPr>
          <w:color w:val="auto"/>
        </w:rPr>
      </w:pPr>
      <w:r w:rsidRPr="00A517BD">
        <w:rPr>
          <w:color w:val="auto"/>
        </w:rPr>
        <w:t>Fi</w:t>
      </w:r>
      <w:r w:rsidR="00A44451" w:rsidRPr="00A517BD">
        <w:rPr>
          <w:color w:val="auto"/>
        </w:rPr>
        <w:t>gure 4. Export Trends for</w:t>
      </w:r>
      <w:r w:rsidRPr="00A517BD">
        <w:rPr>
          <w:color w:val="auto"/>
        </w:rPr>
        <w:t xml:space="preserve"> Minnesota’s Top 10 Products, </w:t>
      </w:r>
      <w:r w:rsidR="0046703D" w:rsidRPr="00A517BD">
        <w:rPr>
          <w:color w:val="auto"/>
        </w:rPr>
        <w:t>Third</w:t>
      </w:r>
      <w:r w:rsidR="00A52415" w:rsidRPr="00A517BD">
        <w:rPr>
          <w:color w:val="auto"/>
        </w:rPr>
        <w:t xml:space="preserve"> Quarter </w:t>
      </w:r>
      <w:r w:rsidR="00C931B5" w:rsidRPr="00A517BD">
        <w:rPr>
          <w:color w:val="auto"/>
        </w:rPr>
        <w:t>2021</w:t>
      </w:r>
    </w:p>
    <w:p w14:paraId="73CDCF23" w14:textId="7E9E9007" w:rsidR="004A4223" w:rsidRPr="00884104" w:rsidRDefault="00AE0E55" w:rsidP="00ED605B">
      <w:pPr>
        <w:spacing w:after="0"/>
        <w:rPr>
          <w:color w:val="FF0000"/>
        </w:rPr>
      </w:pPr>
      <w:r>
        <w:rPr>
          <w:noProof/>
        </w:rPr>
        <w:drawing>
          <wp:inline distT="0" distB="0" distL="0" distR="0" wp14:anchorId="76C1FB1B" wp14:editId="64AC3442">
            <wp:extent cx="6355080" cy="1926590"/>
            <wp:effectExtent l="0" t="0" r="7620" b="0"/>
            <wp:docPr id="8" name="Picture 8" descr="PRODUCT  Exports (millions)  Percent Change, 2020-Q3 to 2021-Q3&#10;TOTAL  $5,731  19%&#10;Machinery  $982  33%&#10;Optic, Medical  $913  -5%&#10;Electrical Equipment  $758  36%&#10;Mineral Fuels, Oils  $440  129%&#10;Plastics  $285  -6%&#10;Vehicles  $264  -13%&#10;Food By-Products  $167  34%&#10;Ores, Slag, Ash  $155  9%&#10;Meat  $134  33%&#10;Aircraft, Spacecraft  $131  77%&#10;Other  $1,501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ODUCT  Exports (millions)  Percent Change, 2020-Q3 to 2021-Q3&#10;TOTAL  $5,731  19%&#10;Machinery  $982  33%&#10;Optic, Medical  $913  -5%&#10;Electrical Equipment  $758  36%&#10;Mineral Fuels, Oils  $440  129%&#10;Plastics  $285  -6%&#10;Vehicles  $264  -13%&#10;Food By-Products  $167  34%&#10;Ores, Slag, Ash  $155  9%&#10;Meat  $134  33%&#10;Aircraft, Spacecraft  $131  77%&#10;Other  $1,501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5080" cy="1926590"/>
                    </a:xfrm>
                    <a:prstGeom prst="rect">
                      <a:avLst/>
                    </a:prstGeom>
                    <a:noFill/>
                    <a:ln>
                      <a:noFill/>
                    </a:ln>
                  </pic:spPr>
                </pic:pic>
              </a:graphicData>
            </a:graphic>
          </wp:inline>
        </w:drawing>
      </w:r>
    </w:p>
    <w:tbl>
      <w:tblPr>
        <w:tblpPr w:leftFromText="180" w:rightFromText="180" w:vertAnchor="page" w:horzAnchor="margin" w:tblpY="1328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w:tblPr>
      <w:tblGrid>
        <w:gridCol w:w="10255"/>
      </w:tblGrid>
      <w:tr w:rsidR="00A517BD" w:rsidRPr="00A517BD" w14:paraId="7688E05E" w14:textId="77777777" w:rsidTr="00540B35">
        <w:trPr>
          <w:trHeight w:val="1070"/>
        </w:trPr>
        <w:tc>
          <w:tcPr>
            <w:tcW w:w="10255" w:type="dxa"/>
            <w:shd w:val="clear" w:color="auto" w:fill="C9E5A6"/>
          </w:tcPr>
          <w:p w14:paraId="39907943" w14:textId="53D5806B" w:rsidR="00D80EB6" w:rsidRPr="00A517BD" w:rsidRDefault="00277712" w:rsidP="004A6B80">
            <w:pPr>
              <w:spacing w:after="0"/>
            </w:pPr>
            <w:r w:rsidRPr="00A517BD">
              <w:rPr>
                <w:rStyle w:val="Emphasis"/>
                <w:rFonts w:cstheme="minorHAnsi"/>
                <w:sz w:val="18"/>
              </w:rPr>
              <w:t>Minnesota Quarterly Export Statistics</w:t>
            </w:r>
            <w:r w:rsidRPr="00A517BD">
              <w:rPr>
                <w:rFonts w:ascii="Calibri" w:hAnsi="Calibri"/>
                <w:sz w:val="14"/>
              </w:rPr>
              <w:t xml:space="preserve"> </w:t>
            </w:r>
            <w:r w:rsidRPr="00A517BD">
              <w:rPr>
                <w:rFonts w:ascii="Calibri" w:hAnsi="Calibri"/>
                <w:sz w:val="18"/>
              </w:rPr>
              <w:t xml:space="preserve">is the most current resource available for tracking the state’s export trends in manufactured and other good. The report is prepared for the Minnesota Trade Office (MTO) by the Department of Employment and Economic Development’s (DEED) Economic Analysis Unit (Thu-Mai Ho-Kim).  </w:t>
            </w:r>
            <w:r w:rsidRPr="00A517BD">
              <w:rPr>
                <w:rFonts w:ascii="Calibri" w:hAnsi="Calibri" w:cs="Calibri"/>
                <w:sz w:val="18"/>
                <w:szCs w:val="18"/>
              </w:rPr>
              <w:t>The quarterly and annual statistics reports primarily cover export data based on the Harmonized Tariff System (Schedule B), collected by the U.S. Department of Commerce (USDOC</w:t>
            </w:r>
            <w:proofErr w:type="gramStart"/>
            <w:r w:rsidRPr="00A517BD">
              <w:rPr>
                <w:rFonts w:ascii="Calibri" w:hAnsi="Calibri" w:cs="Calibri"/>
                <w:sz w:val="18"/>
                <w:szCs w:val="18"/>
              </w:rPr>
              <w:t>)</w:t>
            </w:r>
            <w:proofErr w:type="gramEnd"/>
            <w:r w:rsidRPr="00A517BD">
              <w:rPr>
                <w:rFonts w:ascii="Calibri" w:hAnsi="Calibri" w:cs="Calibri"/>
                <w:sz w:val="18"/>
                <w:szCs w:val="18"/>
              </w:rPr>
              <w:t xml:space="preserve"> and distributed by IHS Markit. Reports are available on DEED’s website at “Export and Trade Statistics” (</w:t>
            </w:r>
            <w:hyperlink r:id="rId18" w:history="1">
              <w:r w:rsidRPr="00A517BD">
                <w:rPr>
                  <w:rStyle w:val="Hyperlink"/>
                  <w:color w:val="auto"/>
                  <w:sz w:val="18"/>
                  <w:szCs w:val="18"/>
                </w:rPr>
                <w:t>http://mn.gov/deed/data/export-stats/</w:t>
              </w:r>
            </w:hyperlink>
            <w:r w:rsidRPr="00A517BD">
              <w:rPr>
                <w:sz w:val="18"/>
                <w:szCs w:val="18"/>
              </w:rPr>
              <w:t>)</w:t>
            </w:r>
            <w:r w:rsidRPr="00A517BD">
              <w:rPr>
                <w:rFonts w:ascii="Calibri" w:hAnsi="Calibri" w:cs="Calibri"/>
                <w:sz w:val="18"/>
                <w:szCs w:val="18"/>
              </w:rPr>
              <w:t>.</w:t>
            </w:r>
          </w:p>
        </w:tc>
      </w:tr>
    </w:tbl>
    <w:p w14:paraId="7C147EF7" w14:textId="77777777" w:rsidR="007F1C4A" w:rsidRPr="00277712" w:rsidRDefault="007F1C4A" w:rsidP="00831997">
      <w:pPr>
        <w:spacing w:after="240"/>
        <w:rPr>
          <w:rFonts w:ascii="Times New Roman" w:eastAsia="Times New Roman" w:hAnsi="Times New Roman" w:cs="Times New Roman"/>
          <w:snapToGrid w:val="0"/>
          <w:color w:val="FF0000"/>
          <w:w w:val="0"/>
          <w:sz w:val="0"/>
          <w:szCs w:val="0"/>
          <w:u w:color="000000"/>
          <w:bdr w:val="none" w:sz="0" w:space="0" w:color="000000"/>
          <w:shd w:val="clear" w:color="000000" w:fill="000000"/>
          <w:lang w:eastAsia="x-none" w:bidi="x-none"/>
        </w:rPr>
      </w:pPr>
    </w:p>
    <w:sectPr w:rsidR="007F1C4A" w:rsidRPr="00277712" w:rsidSect="00426066">
      <w:footerReference w:type="default" r:id="rId19"/>
      <w:footnotePr>
        <w:numRestart w:val="eachSect"/>
      </w:footnotePr>
      <w:endnotePr>
        <w:numFmt w:val="decimal"/>
      </w:endnotePr>
      <w:type w:val="continuous"/>
      <w:pgSz w:w="12240" w:h="15840" w:code="1"/>
      <w:pgMar w:top="936" w:right="1152" w:bottom="936"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2D0B7" w14:textId="77777777" w:rsidR="00952451" w:rsidRDefault="00952451">
      <w:r>
        <w:separator/>
      </w:r>
    </w:p>
  </w:endnote>
  <w:endnote w:type="continuationSeparator" w:id="0">
    <w:p w14:paraId="3673DDB7" w14:textId="77777777" w:rsidR="00952451" w:rsidRDefault="0095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7155" w14:textId="77777777" w:rsidR="00E76FF1" w:rsidRPr="00A14E15" w:rsidRDefault="00E76FF1" w:rsidP="00A1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6150" w14:textId="77777777"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6BCF0" w14:textId="77777777" w:rsidR="00952451" w:rsidRDefault="00952451">
      <w:r>
        <w:separator/>
      </w:r>
    </w:p>
  </w:footnote>
  <w:footnote w:type="continuationSeparator" w:id="0">
    <w:p w14:paraId="4D8E3696" w14:textId="77777777" w:rsidR="00952451" w:rsidRDefault="0095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A9B">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
  </w:num>
  <w:num w:numId="6">
    <w:abstractNumId w:val="7"/>
  </w:num>
  <w:num w:numId="7">
    <w:abstractNumId w:val="15"/>
  </w:num>
  <w:num w:numId="8">
    <w:abstractNumId w:val="13"/>
  </w:num>
  <w:num w:numId="9">
    <w:abstractNumId w:val="9"/>
  </w:num>
  <w:num w:numId="10">
    <w:abstractNumId w:val="8"/>
  </w:num>
  <w:num w:numId="11">
    <w:abstractNumId w:val="6"/>
  </w:num>
  <w:num w:numId="12">
    <w:abstractNumId w:val="2"/>
  </w:num>
  <w:num w:numId="13">
    <w:abstractNumId w:val="14"/>
  </w:num>
  <w:num w:numId="14">
    <w:abstractNumId w:val="10"/>
  </w:num>
  <w:num w:numId="15">
    <w:abstractNumId w:val="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41CC"/>
    <w:rsid w:val="00007E8B"/>
    <w:rsid w:val="000115BA"/>
    <w:rsid w:val="00013717"/>
    <w:rsid w:val="00015A9D"/>
    <w:rsid w:val="00017FE0"/>
    <w:rsid w:val="000218A0"/>
    <w:rsid w:val="00024BB5"/>
    <w:rsid w:val="000350A7"/>
    <w:rsid w:val="00035328"/>
    <w:rsid w:val="00036238"/>
    <w:rsid w:val="00043906"/>
    <w:rsid w:val="00046117"/>
    <w:rsid w:val="00051FE0"/>
    <w:rsid w:val="00051FF7"/>
    <w:rsid w:val="00052D34"/>
    <w:rsid w:val="000541A0"/>
    <w:rsid w:val="00054A6E"/>
    <w:rsid w:val="00055AAF"/>
    <w:rsid w:val="0005790D"/>
    <w:rsid w:val="00061093"/>
    <w:rsid w:val="0006144E"/>
    <w:rsid w:val="0006608A"/>
    <w:rsid w:val="000705F0"/>
    <w:rsid w:val="000716AC"/>
    <w:rsid w:val="000731F2"/>
    <w:rsid w:val="00073987"/>
    <w:rsid w:val="00076DF3"/>
    <w:rsid w:val="00077989"/>
    <w:rsid w:val="0008038B"/>
    <w:rsid w:val="00083199"/>
    <w:rsid w:val="000859F2"/>
    <w:rsid w:val="00085EED"/>
    <w:rsid w:val="000878A3"/>
    <w:rsid w:val="00090B7B"/>
    <w:rsid w:val="0009219A"/>
    <w:rsid w:val="000924DC"/>
    <w:rsid w:val="00092621"/>
    <w:rsid w:val="0009287F"/>
    <w:rsid w:val="000929D8"/>
    <w:rsid w:val="00092FFB"/>
    <w:rsid w:val="00096FFD"/>
    <w:rsid w:val="000A1B8D"/>
    <w:rsid w:val="000A1F4F"/>
    <w:rsid w:val="000A25F5"/>
    <w:rsid w:val="000A491B"/>
    <w:rsid w:val="000A4AB3"/>
    <w:rsid w:val="000A5664"/>
    <w:rsid w:val="000A7EF0"/>
    <w:rsid w:val="000B518F"/>
    <w:rsid w:val="000B6338"/>
    <w:rsid w:val="000B6E79"/>
    <w:rsid w:val="000C1CB0"/>
    <w:rsid w:val="000C2181"/>
    <w:rsid w:val="000C3AE5"/>
    <w:rsid w:val="000D02DD"/>
    <w:rsid w:val="000D1330"/>
    <w:rsid w:val="000D18A9"/>
    <w:rsid w:val="000D5D94"/>
    <w:rsid w:val="000D6FAF"/>
    <w:rsid w:val="000E0786"/>
    <w:rsid w:val="000E3376"/>
    <w:rsid w:val="000E6BD9"/>
    <w:rsid w:val="000E7ED0"/>
    <w:rsid w:val="000F0519"/>
    <w:rsid w:val="000F1844"/>
    <w:rsid w:val="000F1B22"/>
    <w:rsid w:val="000F3E1F"/>
    <w:rsid w:val="000F4C5E"/>
    <w:rsid w:val="000F54F2"/>
    <w:rsid w:val="000F6660"/>
    <w:rsid w:val="000F6CDA"/>
    <w:rsid w:val="00106FFF"/>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73C3"/>
    <w:rsid w:val="00137E8C"/>
    <w:rsid w:val="00140B5F"/>
    <w:rsid w:val="00142003"/>
    <w:rsid w:val="0014228E"/>
    <w:rsid w:val="001448C3"/>
    <w:rsid w:val="00145936"/>
    <w:rsid w:val="00145F43"/>
    <w:rsid w:val="00147356"/>
    <w:rsid w:val="00147EEF"/>
    <w:rsid w:val="001619F1"/>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92539"/>
    <w:rsid w:val="001942D2"/>
    <w:rsid w:val="001944CA"/>
    <w:rsid w:val="001968E6"/>
    <w:rsid w:val="001978D1"/>
    <w:rsid w:val="001979B1"/>
    <w:rsid w:val="001A7229"/>
    <w:rsid w:val="001A7363"/>
    <w:rsid w:val="001B0716"/>
    <w:rsid w:val="001B0D71"/>
    <w:rsid w:val="001B1416"/>
    <w:rsid w:val="001B344A"/>
    <w:rsid w:val="001B3687"/>
    <w:rsid w:val="001B5950"/>
    <w:rsid w:val="001B6B06"/>
    <w:rsid w:val="001C1A15"/>
    <w:rsid w:val="001C3A93"/>
    <w:rsid w:val="001C6967"/>
    <w:rsid w:val="001D0609"/>
    <w:rsid w:val="001D704D"/>
    <w:rsid w:val="001D767B"/>
    <w:rsid w:val="001E4570"/>
    <w:rsid w:val="001E4F28"/>
    <w:rsid w:val="001E53CF"/>
    <w:rsid w:val="001E6B4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231E"/>
    <w:rsid w:val="002158EE"/>
    <w:rsid w:val="00215DA6"/>
    <w:rsid w:val="00216C2D"/>
    <w:rsid w:val="00217960"/>
    <w:rsid w:val="002224AE"/>
    <w:rsid w:val="0022389E"/>
    <w:rsid w:val="00223F46"/>
    <w:rsid w:val="00226A71"/>
    <w:rsid w:val="00234444"/>
    <w:rsid w:val="00244370"/>
    <w:rsid w:val="00245025"/>
    <w:rsid w:val="0024609E"/>
    <w:rsid w:val="002538D5"/>
    <w:rsid w:val="0025565E"/>
    <w:rsid w:val="002607E0"/>
    <w:rsid w:val="00262FF7"/>
    <w:rsid w:val="0026310F"/>
    <w:rsid w:val="00267778"/>
    <w:rsid w:val="002726A4"/>
    <w:rsid w:val="00272910"/>
    <w:rsid w:val="00275F40"/>
    <w:rsid w:val="00277712"/>
    <w:rsid w:val="00277C67"/>
    <w:rsid w:val="0028048A"/>
    <w:rsid w:val="00284EDE"/>
    <w:rsid w:val="00287234"/>
    <w:rsid w:val="002907B4"/>
    <w:rsid w:val="00293DCF"/>
    <w:rsid w:val="002969E6"/>
    <w:rsid w:val="00297DBE"/>
    <w:rsid w:val="002A27D6"/>
    <w:rsid w:val="002A2F54"/>
    <w:rsid w:val="002A3F50"/>
    <w:rsid w:val="002A4808"/>
    <w:rsid w:val="002A52FC"/>
    <w:rsid w:val="002B1415"/>
    <w:rsid w:val="002B329E"/>
    <w:rsid w:val="002B36A6"/>
    <w:rsid w:val="002B6B53"/>
    <w:rsid w:val="002B6EBF"/>
    <w:rsid w:val="002C0C4E"/>
    <w:rsid w:val="002C164C"/>
    <w:rsid w:val="002C52C4"/>
    <w:rsid w:val="002C6521"/>
    <w:rsid w:val="002D2A7E"/>
    <w:rsid w:val="002D2EF5"/>
    <w:rsid w:val="002D6A99"/>
    <w:rsid w:val="002D6F33"/>
    <w:rsid w:val="002E54F1"/>
    <w:rsid w:val="002F0687"/>
    <w:rsid w:val="002F1C0E"/>
    <w:rsid w:val="002F1E64"/>
    <w:rsid w:val="002F257A"/>
    <w:rsid w:val="002F285F"/>
    <w:rsid w:val="002F71B1"/>
    <w:rsid w:val="002F7ABC"/>
    <w:rsid w:val="00301B16"/>
    <w:rsid w:val="003047CE"/>
    <w:rsid w:val="00304E7F"/>
    <w:rsid w:val="00306ABD"/>
    <w:rsid w:val="0031458A"/>
    <w:rsid w:val="00314865"/>
    <w:rsid w:val="00314EBD"/>
    <w:rsid w:val="00320905"/>
    <w:rsid w:val="00326E88"/>
    <w:rsid w:val="00327817"/>
    <w:rsid w:val="0033034E"/>
    <w:rsid w:val="00330852"/>
    <w:rsid w:val="00332036"/>
    <w:rsid w:val="00332B6B"/>
    <w:rsid w:val="00337018"/>
    <w:rsid w:val="00337315"/>
    <w:rsid w:val="00340E9C"/>
    <w:rsid w:val="003413C6"/>
    <w:rsid w:val="003415A0"/>
    <w:rsid w:val="00342DD3"/>
    <w:rsid w:val="00343C68"/>
    <w:rsid w:val="0034596F"/>
    <w:rsid w:val="00352999"/>
    <w:rsid w:val="0035427F"/>
    <w:rsid w:val="003575CE"/>
    <w:rsid w:val="00361002"/>
    <w:rsid w:val="003610A2"/>
    <w:rsid w:val="00365F97"/>
    <w:rsid w:val="00370F35"/>
    <w:rsid w:val="00371C8B"/>
    <w:rsid w:val="00372846"/>
    <w:rsid w:val="00373CD5"/>
    <w:rsid w:val="00374F2A"/>
    <w:rsid w:val="00375BF0"/>
    <w:rsid w:val="0037721A"/>
    <w:rsid w:val="0038071A"/>
    <w:rsid w:val="003833B0"/>
    <w:rsid w:val="00383D01"/>
    <w:rsid w:val="0038665A"/>
    <w:rsid w:val="00387942"/>
    <w:rsid w:val="00387E7F"/>
    <w:rsid w:val="00391815"/>
    <w:rsid w:val="00392609"/>
    <w:rsid w:val="00396483"/>
    <w:rsid w:val="003975D0"/>
    <w:rsid w:val="003A3D11"/>
    <w:rsid w:val="003B0B33"/>
    <w:rsid w:val="003B2771"/>
    <w:rsid w:val="003B3484"/>
    <w:rsid w:val="003B47AA"/>
    <w:rsid w:val="003B62FF"/>
    <w:rsid w:val="003C316B"/>
    <w:rsid w:val="003C43EB"/>
    <w:rsid w:val="003C53CE"/>
    <w:rsid w:val="003C57B0"/>
    <w:rsid w:val="003C7165"/>
    <w:rsid w:val="003D044E"/>
    <w:rsid w:val="003D23DD"/>
    <w:rsid w:val="003D4F5D"/>
    <w:rsid w:val="003D6202"/>
    <w:rsid w:val="003D744B"/>
    <w:rsid w:val="003D7C4C"/>
    <w:rsid w:val="003E01C9"/>
    <w:rsid w:val="003F27BF"/>
    <w:rsid w:val="003F41C6"/>
    <w:rsid w:val="003F44C1"/>
    <w:rsid w:val="003F6B30"/>
    <w:rsid w:val="0040062C"/>
    <w:rsid w:val="00402A86"/>
    <w:rsid w:val="00405F36"/>
    <w:rsid w:val="004061B1"/>
    <w:rsid w:val="00406E6D"/>
    <w:rsid w:val="00407310"/>
    <w:rsid w:val="00410BBC"/>
    <w:rsid w:val="00412776"/>
    <w:rsid w:val="00420D04"/>
    <w:rsid w:val="0042279B"/>
    <w:rsid w:val="0042285F"/>
    <w:rsid w:val="00426066"/>
    <w:rsid w:val="00426DC1"/>
    <w:rsid w:val="004303E8"/>
    <w:rsid w:val="004304CD"/>
    <w:rsid w:val="00433DBF"/>
    <w:rsid w:val="004362B0"/>
    <w:rsid w:val="00437CB6"/>
    <w:rsid w:val="0044214A"/>
    <w:rsid w:val="004430A9"/>
    <w:rsid w:val="00445385"/>
    <w:rsid w:val="00447C35"/>
    <w:rsid w:val="004527A6"/>
    <w:rsid w:val="0045332A"/>
    <w:rsid w:val="004550A2"/>
    <w:rsid w:val="00457D79"/>
    <w:rsid w:val="00464CC9"/>
    <w:rsid w:val="0046665A"/>
    <w:rsid w:val="00466D65"/>
    <w:rsid w:val="0046703D"/>
    <w:rsid w:val="0047028E"/>
    <w:rsid w:val="0047084F"/>
    <w:rsid w:val="00470FED"/>
    <w:rsid w:val="004713E0"/>
    <w:rsid w:val="004736AA"/>
    <w:rsid w:val="00475201"/>
    <w:rsid w:val="00475D79"/>
    <w:rsid w:val="0047760E"/>
    <w:rsid w:val="00480418"/>
    <w:rsid w:val="0048185B"/>
    <w:rsid w:val="00481E39"/>
    <w:rsid w:val="00482FFB"/>
    <w:rsid w:val="00484906"/>
    <w:rsid w:val="004867A4"/>
    <w:rsid w:val="00486B23"/>
    <w:rsid w:val="00487935"/>
    <w:rsid w:val="004900B8"/>
    <w:rsid w:val="004910BF"/>
    <w:rsid w:val="00491AC8"/>
    <w:rsid w:val="00493958"/>
    <w:rsid w:val="00493DF8"/>
    <w:rsid w:val="004944A7"/>
    <w:rsid w:val="004951BC"/>
    <w:rsid w:val="00497570"/>
    <w:rsid w:val="00497998"/>
    <w:rsid w:val="004A3CC9"/>
    <w:rsid w:val="004A4223"/>
    <w:rsid w:val="004A43B9"/>
    <w:rsid w:val="004A5B9A"/>
    <w:rsid w:val="004A6B80"/>
    <w:rsid w:val="004A7FE8"/>
    <w:rsid w:val="004B0B28"/>
    <w:rsid w:val="004B4376"/>
    <w:rsid w:val="004B4BD6"/>
    <w:rsid w:val="004B74F8"/>
    <w:rsid w:val="004B7C0E"/>
    <w:rsid w:val="004C31E6"/>
    <w:rsid w:val="004D0671"/>
    <w:rsid w:val="004D1EAB"/>
    <w:rsid w:val="004D6223"/>
    <w:rsid w:val="004E1A2B"/>
    <w:rsid w:val="004E1D93"/>
    <w:rsid w:val="004E7051"/>
    <w:rsid w:val="004E7967"/>
    <w:rsid w:val="004F046B"/>
    <w:rsid w:val="004F0B2F"/>
    <w:rsid w:val="004F19B8"/>
    <w:rsid w:val="004F5A09"/>
    <w:rsid w:val="004F5CE6"/>
    <w:rsid w:val="004F73D4"/>
    <w:rsid w:val="00500A5C"/>
    <w:rsid w:val="005026CC"/>
    <w:rsid w:val="00503AD1"/>
    <w:rsid w:val="0050449A"/>
    <w:rsid w:val="005078AA"/>
    <w:rsid w:val="005100D1"/>
    <w:rsid w:val="00513720"/>
    <w:rsid w:val="0051607A"/>
    <w:rsid w:val="005205F4"/>
    <w:rsid w:val="00521967"/>
    <w:rsid w:val="00524378"/>
    <w:rsid w:val="005269B7"/>
    <w:rsid w:val="005269D3"/>
    <w:rsid w:val="00530F70"/>
    <w:rsid w:val="005315EA"/>
    <w:rsid w:val="00532FD5"/>
    <w:rsid w:val="00534E9F"/>
    <w:rsid w:val="0053506A"/>
    <w:rsid w:val="0053512A"/>
    <w:rsid w:val="00535508"/>
    <w:rsid w:val="00536B13"/>
    <w:rsid w:val="00540B35"/>
    <w:rsid w:val="00544F1F"/>
    <w:rsid w:val="00545F38"/>
    <w:rsid w:val="0054634E"/>
    <w:rsid w:val="00550428"/>
    <w:rsid w:val="005514BE"/>
    <w:rsid w:val="0055424F"/>
    <w:rsid w:val="00557377"/>
    <w:rsid w:val="00560599"/>
    <w:rsid w:val="00562F8A"/>
    <w:rsid w:val="00563721"/>
    <w:rsid w:val="00565776"/>
    <w:rsid w:val="00566508"/>
    <w:rsid w:val="00566C4E"/>
    <w:rsid w:val="00570ACF"/>
    <w:rsid w:val="00573535"/>
    <w:rsid w:val="00573C2D"/>
    <w:rsid w:val="00575BB7"/>
    <w:rsid w:val="00575F88"/>
    <w:rsid w:val="0057794D"/>
    <w:rsid w:val="00582DC9"/>
    <w:rsid w:val="00583A0A"/>
    <w:rsid w:val="00585250"/>
    <w:rsid w:val="005859C8"/>
    <w:rsid w:val="00587796"/>
    <w:rsid w:val="005940DB"/>
    <w:rsid w:val="005A2AAC"/>
    <w:rsid w:val="005A3C50"/>
    <w:rsid w:val="005A61AB"/>
    <w:rsid w:val="005B0E04"/>
    <w:rsid w:val="005B2781"/>
    <w:rsid w:val="005B6872"/>
    <w:rsid w:val="005B6B09"/>
    <w:rsid w:val="005B75E6"/>
    <w:rsid w:val="005C0164"/>
    <w:rsid w:val="005C4DE0"/>
    <w:rsid w:val="005C5B41"/>
    <w:rsid w:val="005C61D6"/>
    <w:rsid w:val="005C6D46"/>
    <w:rsid w:val="005D315F"/>
    <w:rsid w:val="005E139A"/>
    <w:rsid w:val="005E2D06"/>
    <w:rsid w:val="005E4CC6"/>
    <w:rsid w:val="005E5D9F"/>
    <w:rsid w:val="005E6921"/>
    <w:rsid w:val="005E79E7"/>
    <w:rsid w:val="005F082A"/>
    <w:rsid w:val="005F1B29"/>
    <w:rsid w:val="005F3BCE"/>
    <w:rsid w:val="005F5087"/>
    <w:rsid w:val="005F69A9"/>
    <w:rsid w:val="00600502"/>
    <w:rsid w:val="006015E6"/>
    <w:rsid w:val="0060605E"/>
    <w:rsid w:val="0060684A"/>
    <w:rsid w:val="00606AB0"/>
    <w:rsid w:val="00607FAE"/>
    <w:rsid w:val="006139EC"/>
    <w:rsid w:val="00613CC2"/>
    <w:rsid w:val="00615BC9"/>
    <w:rsid w:val="00615CB4"/>
    <w:rsid w:val="006177AE"/>
    <w:rsid w:val="00620C18"/>
    <w:rsid w:val="00621065"/>
    <w:rsid w:val="00621A4A"/>
    <w:rsid w:val="00624E22"/>
    <w:rsid w:val="006339F5"/>
    <w:rsid w:val="0063551B"/>
    <w:rsid w:val="00635F82"/>
    <w:rsid w:val="00636B6E"/>
    <w:rsid w:val="0063763A"/>
    <w:rsid w:val="00640620"/>
    <w:rsid w:val="00641D3B"/>
    <w:rsid w:val="00646942"/>
    <w:rsid w:val="00647786"/>
    <w:rsid w:val="00647FFD"/>
    <w:rsid w:val="006519AF"/>
    <w:rsid w:val="00652A9D"/>
    <w:rsid w:val="006549A6"/>
    <w:rsid w:val="0066058B"/>
    <w:rsid w:val="006618F7"/>
    <w:rsid w:val="00662222"/>
    <w:rsid w:val="00663755"/>
    <w:rsid w:val="00666745"/>
    <w:rsid w:val="006674D7"/>
    <w:rsid w:val="0067275F"/>
    <w:rsid w:val="00674A82"/>
    <w:rsid w:val="00674D0B"/>
    <w:rsid w:val="006754B7"/>
    <w:rsid w:val="00675B7D"/>
    <w:rsid w:val="00676C69"/>
    <w:rsid w:val="00680F03"/>
    <w:rsid w:val="0068122B"/>
    <w:rsid w:val="006826BB"/>
    <w:rsid w:val="006829E5"/>
    <w:rsid w:val="006830C9"/>
    <w:rsid w:val="0068364A"/>
    <w:rsid w:val="0068525B"/>
    <w:rsid w:val="00685D4F"/>
    <w:rsid w:val="00685DD6"/>
    <w:rsid w:val="00687743"/>
    <w:rsid w:val="00691D49"/>
    <w:rsid w:val="006922C8"/>
    <w:rsid w:val="00692D3B"/>
    <w:rsid w:val="00693229"/>
    <w:rsid w:val="006951FD"/>
    <w:rsid w:val="00695BB1"/>
    <w:rsid w:val="006964AF"/>
    <w:rsid w:val="006A17BE"/>
    <w:rsid w:val="006A3E64"/>
    <w:rsid w:val="006A56E4"/>
    <w:rsid w:val="006B029D"/>
    <w:rsid w:val="006B2118"/>
    <w:rsid w:val="006B2D41"/>
    <w:rsid w:val="006B6D8D"/>
    <w:rsid w:val="006C1643"/>
    <w:rsid w:val="006C1D03"/>
    <w:rsid w:val="006C287C"/>
    <w:rsid w:val="006C3C15"/>
    <w:rsid w:val="006C7D4F"/>
    <w:rsid w:val="006D4F41"/>
    <w:rsid w:val="006D6A44"/>
    <w:rsid w:val="006D7A33"/>
    <w:rsid w:val="006E280A"/>
    <w:rsid w:val="006E6792"/>
    <w:rsid w:val="006E75E2"/>
    <w:rsid w:val="006F01B5"/>
    <w:rsid w:val="006F4AD5"/>
    <w:rsid w:val="006F5527"/>
    <w:rsid w:val="006F6211"/>
    <w:rsid w:val="00700297"/>
    <w:rsid w:val="00701034"/>
    <w:rsid w:val="007046F7"/>
    <w:rsid w:val="00707559"/>
    <w:rsid w:val="007076DF"/>
    <w:rsid w:val="00710701"/>
    <w:rsid w:val="007144F6"/>
    <w:rsid w:val="00716311"/>
    <w:rsid w:val="00723A6D"/>
    <w:rsid w:val="007269AB"/>
    <w:rsid w:val="00732F74"/>
    <w:rsid w:val="007332F9"/>
    <w:rsid w:val="00734ED0"/>
    <w:rsid w:val="00736085"/>
    <w:rsid w:val="00736171"/>
    <w:rsid w:val="00741394"/>
    <w:rsid w:val="007418D9"/>
    <w:rsid w:val="00742173"/>
    <w:rsid w:val="00742415"/>
    <w:rsid w:val="00743C00"/>
    <w:rsid w:val="00743CDA"/>
    <w:rsid w:val="007441D4"/>
    <w:rsid w:val="00744252"/>
    <w:rsid w:val="007447F0"/>
    <w:rsid w:val="00746FD8"/>
    <w:rsid w:val="00750291"/>
    <w:rsid w:val="00750FE0"/>
    <w:rsid w:val="007548E4"/>
    <w:rsid w:val="0075548A"/>
    <w:rsid w:val="00757335"/>
    <w:rsid w:val="00760360"/>
    <w:rsid w:val="007613E1"/>
    <w:rsid w:val="00761522"/>
    <w:rsid w:val="00762E9C"/>
    <w:rsid w:val="00764F3A"/>
    <w:rsid w:val="00770689"/>
    <w:rsid w:val="00772951"/>
    <w:rsid w:val="007752C1"/>
    <w:rsid w:val="0077623A"/>
    <w:rsid w:val="007771AD"/>
    <w:rsid w:val="007818E5"/>
    <w:rsid w:val="00784103"/>
    <w:rsid w:val="00784C0B"/>
    <w:rsid w:val="007910B2"/>
    <w:rsid w:val="007964A2"/>
    <w:rsid w:val="007970F7"/>
    <w:rsid w:val="007A0496"/>
    <w:rsid w:val="007A2D2F"/>
    <w:rsid w:val="007A6F27"/>
    <w:rsid w:val="007A7979"/>
    <w:rsid w:val="007A7D3B"/>
    <w:rsid w:val="007B0321"/>
    <w:rsid w:val="007B183D"/>
    <w:rsid w:val="007B1D69"/>
    <w:rsid w:val="007C165F"/>
    <w:rsid w:val="007C1DCB"/>
    <w:rsid w:val="007C29FD"/>
    <w:rsid w:val="007D2377"/>
    <w:rsid w:val="007D2D9B"/>
    <w:rsid w:val="007D3342"/>
    <w:rsid w:val="007D733B"/>
    <w:rsid w:val="007E19C3"/>
    <w:rsid w:val="007E22C2"/>
    <w:rsid w:val="007E3EFB"/>
    <w:rsid w:val="007E4D02"/>
    <w:rsid w:val="007E4D0D"/>
    <w:rsid w:val="007E5495"/>
    <w:rsid w:val="007E5EA9"/>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3D8"/>
    <w:rsid w:val="00824824"/>
    <w:rsid w:val="0082792B"/>
    <w:rsid w:val="008303A2"/>
    <w:rsid w:val="00831997"/>
    <w:rsid w:val="00831E3F"/>
    <w:rsid w:val="00831F99"/>
    <w:rsid w:val="00833913"/>
    <w:rsid w:val="00835A94"/>
    <w:rsid w:val="00836835"/>
    <w:rsid w:val="00836FB4"/>
    <w:rsid w:val="00837B67"/>
    <w:rsid w:val="00837BEB"/>
    <w:rsid w:val="0084055A"/>
    <w:rsid w:val="00851C18"/>
    <w:rsid w:val="00852D9B"/>
    <w:rsid w:val="00856B05"/>
    <w:rsid w:val="00863EF0"/>
    <w:rsid w:val="00864F1C"/>
    <w:rsid w:val="00872803"/>
    <w:rsid w:val="00872BA2"/>
    <w:rsid w:val="00877E32"/>
    <w:rsid w:val="0088063C"/>
    <w:rsid w:val="00881039"/>
    <w:rsid w:val="00883AAA"/>
    <w:rsid w:val="00884104"/>
    <w:rsid w:val="00890980"/>
    <w:rsid w:val="00892EBC"/>
    <w:rsid w:val="00894E39"/>
    <w:rsid w:val="00895418"/>
    <w:rsid w:val="008957D9"/>
    <w:rsid w:val="0089788C"/>
    <w:rsid w:val="00897AF8"/>
    <w:rsid w:val="008A202D"/>
    <w:rsid w:val="008A5FCC"/>
    <w:rsid w:val="008B4846"/>
    <w:rsid w:val="008B5689"/>
    <w:rsid w:val="008B5DBC"/>
    <w:rsid w:val="008B749E"/>
    <w:rsid w:val="008C09B5"/>
    <w:rsid w:val="008C1F20"/>
    <w:rsid w:val="008C2D17"/>
    <w:rsid w:val="008C3E75"/>
    <w:rsid w:val="008C43A8"/>
    <w:rsid w:val="008C5F38"/>
    <w:rsid w:val="008C6FC8"/>
    <w:rsid w:val="008C7870"/>
    <w:rsid w:val="008D4971"/>
    <w:rsid w:val="008D77FD"/>
    <w:rsid w:val="008E1E77"/>
    <w:rsid w:val="008E6A92"/>
    <w:rsid w:val="008F1D37"/>
    <w:rsid w:val="008F4BDD"/>
    <w:rsid w:val="008F7897"/>
    <w:rsid w:val="00900302"/>
    <w:rsid w:val="0090296E"/>
    <w:rsid w:val="00902E31"/>
    <w:rsid w:val="0090379A"/>
    <w:rsid w:val="0091354B"/>
    <w:rsid w:val="00913E49"/>
    <w:rsid w:val="009147FF"/>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451"/>
    <w:rsid w:val="00952DBF"/>
    <w:rsid w:val="00953B35"/>
    <w:rsid w:val="00954414"/>
    <w:rsid w:val="00957BCF"/>
    <w:rsid w:val="009625F6"/>
    <w:rsid w:val="009627F9"/>
    <w:rsid w:val="009658D6"/>
    <w:rsid w:val="009676D8"/>
    <w:rsid w:val="00975F96"/>
    <w:rsid w:val="0098324A"/>
    <w:rsid w:val="00985FFB"/>
    <w:rsid w:val="00987CAC"/>
    <w:rsid w:val="00990CFC"/>
    <w:rsid w:val="00992045"/>
    <w:rsid w:val="00993516"/>
    <w:rsid w:val="00995DD7"/>
    <w:rsid w:val="00995E0E"/>
    <w:rsid w:val="00996052"/>
    <w:rsid w:val="009960C9"/>
    <w:rsid w:val="00996C55"/>
    <w:rsid w:val="00997DA9"/>
    <w:rsid w:val="009A2905"/>
    <w:rsid w:val="009A38CE"/>
    <w:rsid w:val="009A5B58"/>
    <w:rsid w:val="009A649B"/>
    <w:rsid w:val="009A6EB1"/>
    <w:rsid w:val="009A72B6"/>
    <w:rsid w:val="009B3E5B"/>
    <w:rsid w:val="009B4294"/>
    <w:rsid w:val="009B430C"/>
    <w:rsid w:val="009B5295"/>
    <w:rsid w:val="009B60BD"/>
    <w:rsid w:val="009B70F4"/>
    <w:rsid w:val="009B7374"/>
    <w:rsid w:val="009C0727"/>
    <w:rsid w:val="009C1EF7"/>
    <w:rsid w:val="009C2556"/>
    <w:rsid w:val="009C6C52"/>
    <w:rsid w:val="009D162F"/>
    <w:rsid w:val="009D1776"/>
    <w:rsid w:val="009D5976"/>
    <w:rsid w:val="009D5A80"/>
    <w:rsid w:val="009D79AE"/>
    <w:rsid w:val="009E040A"/>
    <w:rsid w:val="009E2345"/>
    <w:rsid w:val="009E40AA"/>
    <w:rsid w:val="009E4E40"/>
    <w:rsid w:val="009E710F"/>
    <w:rsid w:val="009F206C"/>
    <w:rsid w:val="00A0253A"/>
    <w:rsid w:val="00A02A94"/>
    <w:rsid w:val="00A03293"/>
    <w:rsid w:val="00A03ADC"/>
    <w:rsid w:val="00A10193"/>
    <w:rsid w:val="00A10AC7"/>
    <w:rsid w:val="00A10DF8"/>
    <w:rsid w:val="00A11201"/>
    <w:rsid w:val="00A12A9B"/>
    <w:rsid w:val="00A14055"/>
    <w:rsid w:val="00A14E15"/>
    <w:rsid w:val="00A23BB2"/>
    <w:rsid w:val="00A24540"/>
    <w:rsid w:val="00A27388"/>
    <w:rsid w:val="00A300BF"/>
    <w:rsid w:val="00A3255E"/>
    <w:rsid w:val="00A3267D"/>
    <w:rsid w:val="00A331C8"/>
    <w:rsid w:val="00A43E28"/>
    <w:rsid w:val="00A44451"/>
    <w:rsid w:val="00A46428"/>
    <w:rsid w:val="00A46BDC"/>
    <w:rsid w:val="00A5105C"/>
    <w:rsid w:val="00A517BD"/>
    <w:rsid w:val="00A52415"/>
    <w:rsid w:val="00A57B01"/>
    <w:rsid w:val="00A60B2E"/>
    <w:rsid w:val="00A6188E"/>
    <w:rsid w:val="00A62E69"/>
    <w:rsid w:val="00A65EA2"/>
    <w:rsid w:val="00A67499"/>
    <w:rsid w:val="00A716CD"/>
    <w:rsid w:val="00A745E3"/>
    <w:rsid w:val="00A76173"/>
    <w:rsid w:val="00A762E1"/>
    <w:rsid w:val="00A77AE4"/>
    <w:rsid w:val="00A806F4"/>
    <w:rsid w:val="00A81FA6"/>
    <w:rsid w:val="00A84E31"/>
    <w:rsid w:val="00A8697D"/>
    <w:rsid w:val="00A873DD"/>
    <w:rsid w:val="00A9059D"/>
    <w:rsid w:val="00AA0175"/>
    <w:rsid w:val="00AA0A83"/>
    <w:rsid w:val="00AA25E4"/>
    <w:rsid w:val="00AA3112"/>
    <w:rsid w:val="00AA5A71"/>
    <w:rsid w:val="00AA6162"/>
    <w:rsid w:val="00AA733A"/>
    <w:rsid w:val="00AA78DC"/>
    <w:rsid w:val="00AA7F1A"/>
    <w:rsid w:val="00AB25F9"/>
    <w:rsid w:val="00AB2F51"/>
    <w:rsid w:val="00AB2FDC"/>
    <w:rsid w:val="00AB6229"/>
    <w:rsid w:val="00AB6B6D"/>
    <w:rsid w:val="00AC1689"/>
    <w:rsid w:val="00AC1FDD"/>
    <w:rsid w:val="00AC4D72"/>
    <w:rsid w:val="00AC4F4B"/>
    <w:rsid w:val="00AC71A6"/>
    <w:rsid w:val="00AD15B2"/>
    <w:rsid w:val="00AD24FE"/>
    <w:rsid w:val="00AD362B"/>
    <w:rsid w:val="00AD4B24"/>
    <w:rsid w:val="00AD6D51"/>
    <w:rsid w:val="00AE0E55"/>
    <w:rsid w:val="00AE1B54"/>
    <w:rsid w:val="00AE2FF1"/>
    <w:rsid w:val="00AE36A3"/>
    <w:rsid w:val="00AE515D"/>
    <w:rsid w:val="00AE64C1"/>
    <w:rsid w:val="00AF3041"/>
    <w:rsid w:val="00AF48CD"/>
    <w:rsid w:val="00AF5E69"/>
    <w:rsid w:val="00AF5FAD"/>
    <w:rsid w:val="00AF6022"/>
    <w:rsid w:val="00AF7EC8"/>
    <w:rsid w:val="00B015A7"/>
    <w:rsid w:val="00B01F89"/>
    <w:rsid w:val="00B053D9"/>
    <w:rsid w:val="00B06556"/>
    <w:rsid w:val="00B06B85"/>
    <w:rsid w:val="00B11F31"/>
    <w:rsid w:val="00B12AB1"/>
    <w:rsid w:val="00B12C14"/>
    <w:rsid w:val="00B14090"/>
    <w:rsid w:val="00B16F92"/>
    <w:rsid w:val="00B21E7A"/>
    <w:rsid w:val="00B21EA3"/>
    <w:rsid w:val="00B2296E"/>
    <w:rsid w:val="00B25E71"/>
    <w:rsid w:val="00B328E5"/>
    <w:rsid w:val="00B3388D"/>
    <w:rsid w:val="00B34168"/>
    <w:rsid w:val="00B345D9"/>
    <w:rsid w:val="00B34DF8"/>
    <w:rsid w:val="00B37B14"/>
    <w:rsid w:val="00B43D0A"/>
    <w:rsid w:val="00B44303"/>
    <w:rsid w:val="00B47D07"/>
    <w:rsid w:val="00B5144B"/>
    <w:rsid w:val="00B5170B"/>
    <w:rsid w:val="00B53992"/>
    <w:rsid w:val="00B53D6E"/>
    <w:rsid w:val="00B545B0"/>
    <w:rsid w:val="00B679D3"/>
    <w:rsid w:val="00B67FEA"/>
    <w:rsid w:val="00B708AD"/>
    <w:rsid w:val="00B710D2"/>
    <w:rsid w:val="00B7113C"/>
    <w:rsid w:val="00B712CC"/>
    <w:rsid w:val="00B723DF"/>
    <w:rsid w:val="00B731DE"/>
    <w:rsid w:val="00B734C3"/>
    <w:rsid w:val="00B74252"/>
    <w:rsid w:val="00B7678B"/>
    <w:rsid w:val="00B77533"/>
    <w:rsid w:val="00B77B05"/>
    <w:rsid w:val="00B83DF0"/>
    <w:rsid w:val="00B8410D"/>
    <w:rsid w:val="00B85149"/>
    <w:rsid w:val="00B85A12"/>
    <w:rsid w:val="00B86498"/>
    <w:rsid w:val="00B9063F"/>
    <w:rsid w:val="00B945D4"/>
    <w:rsid w:val="00B94BAD"/>
    <w:rsid w:val="00BA5870"/>
    <w:rsid w:val="00BA679F"/>
    <w:rsid w:val="00BB0399"/>
    <w:rsid w:val="00BB0CBB"/>
    <w:rsid w:val="00BB0EFB"/>
    <w:rsid w:val="00BB3223"/>
    <w:rsid w:val="00BB4344"/>
    <w:rsid w:val="00BB5D61"/>
    <w:rsid w:val="00BC2B27"/>
    <w:rsid w:val="00BC3B27"/>
    <w:rsid w:val="00BC4C9B"/>
    <w:rsid w:val="00BC609B"/>
    <w:rsid w:val="00BC7BEA"/>
    <w:rsid w:val="00BD209D"/>
    <w:rsid w:val="00BD6641"/>
    <w:rsid w:val="00BE467F"/>
    <w:rsid w:val="00BE4DAD"/>
    <w:rsid w:val="00BE5E4B"/>
    <w:rsid w:val="00BE6C2B"/>
    <w:rsid w:val="00BE716C"/>
    <w:rsid w:val="00BE7990"/>
    <w:rsid w:val="00BF1AB9"/>
    <w:rsid w:val="00BF29E1"/>
    <w:rsid w:val="00BF2F12"/>
    <w:rsid w:val="00BF30AB"/>
    <w:rsid w:val="00BF3A82"/>
    <w:rsid w:val="00BF4C9A"/>
    <w:rsid w:val="00BF5230"/>
    <w:rsid w:val="00BF58CF"/>
    <w:rsid w:val="00C0339F"/>
    <w:rsid w:val="00C0411C"/>
    <w:rsid w:val="00C057FE"/>
    <w:rsid w:val="00C07331"/>
    <w:rsid w:val="00C10955"/>
    <w:rsid w:val="00C11B85"/>
    <w:rsid w:val="00C13C70"/>
    <w:rsid w:val="00C1543F"/>
    <w:rsid w:val="00C167B9"/>
    <w:rsid w:val="00C22BC5"/>
    <w:rsid w:val="00C23063"/>
    <w:rsid w:val="00C23DAA"/>
    <w:rsid w:val="00C24103"/>
    <w:rsid w:val="00C31877"/>
    <w:rsid w:val="00C31885"/>
    <w:rsid w:val="00C347A8"/>
    <w:rsid w:val="00C4222C"/>
    <w:rsid w:val="00C42BB6"/>
    <w:rsid w:val="00C43515"/>
    <w:rsid w:val="00C46BC0"/>
    <w:rsid w:val="00C53B91"/>
    <w:rsid w:val="00C53EBB"/>
    <w:rsid w:val="00C54EB3"/>
    <w:rsid w:val="00C5610C"/>
    <w:rsid w:val="00C60694"/>
    <w:rsid w:val="00C620D3"/>
    <w:rsid w:val="00C62687"/>
    <w:rsid w:val="00C64195"/>
    <w:rsid w:val="00C64773"/>
    <w:rsid w:val="00C73A21"/>
    <w:rsid w:val="00C76728"/>
    <w:rsid w:val="00C76F72"/>
    <w:rsid w:val="00C80771"/>
    <w:rsid w:val="00C836EC"/>
    <w:rsid w:val="00C84368"/>
    <w:rsid w:val="00C844F7"/>
    <w:rsid w:val="00C84D0E"/>
    <w:rsid w:val="00C859C7"/>
    <w:rsid w:val="00C8680A"/>
    <w:rsid w:val="00C87B56"/>
    <w:rsid w:val="00C87D7F"/>
    <w:rsid w:val="00C91002"/>
    <w:rsid w:val="00C931B5"/>
    <w:rsid w:val="00C93462"/>
    <w:rsid w:val="00C97041"/>
    <w:rsid w:val="00C97042"/>
    <w:rsid w:val="00C979F3"/>
    <w:rsid w:val="00CA0EED"/>
    <w:rsid w:val="00CA2794"/>
    <w:rsid w:val="00CB1364"/>
    <w:rsid w:val="00CB3215"/>
    <w:rsid w:val="00CB630A"/>
    <w:rsid w:val="00CB65EF"/>
    <w:rsid w:val="00CB6DBB"/>
    <w:rsid w:val="00CB72F5"/>
    <w:rsid w:val="00CC03E3"/>
    <w:rsid w:val="00CC0D0A"/>
    <w:rsid w:val="00CC1B7D"/>
    <w:rsid w:val="00CC3D8E"/>
    <w:rsid w:val="00CC41DA"/>
    <w:rsid w:val="00CC5AB4"/>
    <w:rsid w:val="00CC6C4E"/>
    <w:rsid w:val="00CC6EA3"/>
    <w:rsid w:val="00CD49EC"/>
    <w:rsid w:val="00CE313B"/>
    <w:rsid w:val="00CE31D3"/>
    <w:rsid w:val="00CE475C"/>
    <w:rsid w:val="00CE4799"/>
    <w:rsid w:val="00CE7E3D"/>
    <w:rsid w:val="00CF0ECB"/>
    <w:rsid w:val="00CF1D5A"/>
    <w:rsid w:val="00CF3C7B"/>
    <w:rsid w:val="00D02A61"/>
    <w:rsid w:val="00D02D91"/>
    <w:rsid w:val="00D038F3"/>
    <w:rsid w:val="00D0438E"/>
    <w:rsid w:val="00D06225"/>
    <w:rsid w:val="00D075C8"/>
    <w:rsid w:val="00D126B7"/>
    <w:rsid w:val="00D13636"/>
    <w:rsid w:val="00D14F5B"/>
    <w:rsid w:val="00D17713"/>
    <w:rsid w:val="00D17CB6"/>
    <w:rsid w:val="00D2090A"/>
    <w:rsid w:val="00D20FFB"/>
    <w:rsid w:val="00D2478F"/>
    <w:rsid w:val="00D260F8"/>
    <w:rsid w:val="00D26D78"/>
    <w:rsid w:val="00D3214A"/>
    <w:rsid w:val="00D32E6E"/>
    <w:rsid w:val="00D350D0"/>
    <w:rsid w:val="00D41699"/>
    <w:rsid w:val="00D445FA"/>
    <w:rsid w:val="00D4503A"/>
    <w:rsid w:val="00D4520B"/>
    <w:rsid w:val="00D4777B"/>
    <w:rsid w:val="00D54752"/>
    <w:rsid w:val="00D56B8F"/>
    <w:rsid w:val="00D5791A"/>
    <w:rsid w:val="00D60BDF"/>
    <w:rsid w:val="00D60DC5"/>
    <w:rsid w:val="00D61780"/>
    <w:rsid w:val="00D623EB"/>
    <w:rsid w:val="00D637FE"/>
    <w:rsid w:val="00D63F04"/>
    <w:rsid w:val="00D66D1C"/>
    <w:rsid w:val="00D72133"/>
    <w:rsid w:val="00D73FB9"/>
    <w:rsid w:val="00D75FCF"/>
    <w:rsid w:val="00D76B66"/>
    <w:rsid w:val="00D773D0"/>
    <w:rsid w:val="00D77DC0"/>
    <w:rsid w:val="00D80073"/>
    <w:rsid w:val="00D80EB6"/>
    <w:rsid w:val="00D81A8E"/>
    <w:rsid w:val="00D8329D"/>
    <w:rsid w:val="00D84A3A"/>
    <w:rsid w:val="00D863CC"/>
    <w:rsid w:val="00D90D24"/>
    <w:rsid w:val="00D90EBF"/>
    <w:rsid w:val="00D9611D"/>
    <w:rsid w:val="00D97463"/>
    <w:rsid w:val="00D9773D"/>
    <w:rsid w:val="00D97C6C"/>
    <w:rsid w:val="00DA4B88"/>
    <w:rsid w:val="00DA7EEA"/>
    <w:rsid w:val="00DB304D"/>
    <w:rsid w:val="00DB3AAA"/>
    <w:rsid w:val="00DC2D48"/>
    <w:rsid w:val="00DC3253"/>
    <w:rsid w:val="00DC5FA6"/>
    <w:rsid w:val="00DC6760"/>
    <w:rsid w:val="00DD30F7"/>
    <w:rsid w:val="00DD60C4"/>
    <w:rsid w:val="00DD736C"/>
    <w:rsid w:val="00DE222B"/>
    <w:rsid w:val="00DE5657"/>
    <w:rsid w:val="00DF0316"/>
    <w:rsid w:val="00DF0E5F"/>
    <w:rsid w:val="00DF11D0"/>
    <w:rsid w:val="00DF519C"/>
    <w:rsid w:val="00DF57DB"/>
    <w:rsid w:val="00E00339"/>
    <w:rsid w:val="00E014FE"/>
    <w:rsid w:val="00E025F4"/>
    <w:rsid w:val="00E04238"/>
    <w:rsid w:val="00E076E5"/>
    <w:rsid w:val="00E10F45"/>
    <w:rsid w:val="00E12E0B"/>
    <w:rsid w:val="00E1539A"/>
    <w:rsid w:val="00E16ECF"/>
    <w:rsid w:val="00E206EA"/>
    <w:rsid w:val="00E230B4"/>
    <w:rsid w:val="00E24CCA"/>
    <w:rsid w:val="00E254A0"/>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6068D"/>
    <w:rsid w:val="00E61C32"/>
    <w:rsid w:val="00E62235"/>
    <w:rsid w:val="00E704F7"/>
    <w:rsid w:val="00E70C45"/>
    <w:rsid w:val="00E73382"/>
    <w:rsid w:val="00E756FE"/>
    <w:rsid w:val="00E75ABE"/>
    <w:rsid w:val="00E7646B"/>
    <w:rsid w:val="00E76542"/>
    <w:rsid w:val="00E76FF1"/>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D5D"/>
    <w:rsid w:val="00EA692F"/>
    <w:rsid w:val="00EB37A8"/>
    <w:rsid w:val="00EB40B0"/>
    <w:rsid w:val="00EB4443"/>
    <w:rsid w:val="00EB74BC"/>
    <w:rsid w:val="00EC16F8"/>
    <w:rsid w:val="00EC336E"/>
    <w:rsid w:val="00EC379F"/>
    <w:rsid w:val="00ED2C08"/>
    <w:rsid w:val="00ED3A64"/>
    <w:rsid w:val="00ED560D"/>
    <w:rsid w:val="00ED605B"/>
    <w:rsid w:val="00ED6B98"/>
    <w:rsid w:val="00ED6C94"/>
    <w:rsid w:val="00EE1040"/>
    <w:rsid w:val="00EE5B40"/>
    <w:rsid w:val="00EE7685"/>
    <w:rsid w:val="00EF0EA0"/>
    <w:rsid w:val="00EF35D0"/>
    <w:rsid w:val="00EF4C89"/>
    <w:rsid w:val="00EF5F9F"/>
    <w:rsid w:val="00EF64BD"/>
    <w:rsid w:val="00F0242A"/>
    <w:rsid w:val="00F05050"/>
    <w:rsid w:val="00F053EF"/>
    <w:rsid w:val="00F12FA6"/>
    <w:rsid w:val="00F141DF"/>
    <w:rsid w:val="00F15307"/>
    <w:rsid w:val="00F16041"/>
    <w:rsid w:val="00F17A7A"/>
    <w:rsid w:val="00F20CBE"/>
    <w:rsid w:val="00F216B1"/>
    <w:rsid w:val="00F25611"/>
    <w:rsid w:val="00F30A87"/>
    <w:rsid w:val="00F31DA3"/>
    <w:rsid w:val="00F3371D"/>
    <w:rsid w:val="00F35CBE"/>
    <w:rsid w:val="00F406A9"/>
    <w:rsid w:val="00F40BF4"/>
    <w:rsid w:val="00F41942"/>
    <w:rsid w:val="00F4261F"/>
    <w:rsid w:val="00F43B0B"/>
    <w:rsid w:val="00F43BA6"/>
    <w:rsid w:val="00F51C02"/>
    <w:rsid w:val="00F5227C"/>
    <w:rsid w:val="00F54C78"/>
    <w:rsid w:val="00F55D28"/>
    <w:rsid w:val="00F57850"/>
    <w:rsid w:val="00F60A20"/>
    <w:rsid w:val="00F626E0"/>
    <w:rsid w:val="00F646A4"/>
    <w:rsid w:val="00F65C61"/>
    <w:rsid w:val="00F6667B"/>
    <w:rsid w:val="00F7027C"/>
    <w:rsid w:val="00F70333"/>
    <w:rsid w:val="00F73106"/>
    <w:rsid w:val="00F7494E"/>
    <w:rsid w:val="00F74B06"/>
    <w:rsid w:val="00F80AFA"/>
    <w:rsid w:val="00F8155F"/>
    <w:rsid w:val="00F82D92"/>
    <w:rsid w:val="00F860A4"/>
    <w:rsid w:val="00F86357"/>
    <w:rsid w:val="00F93C02"/>
    <w:rsid w:val="00F95C7C"/>
    <w:rsid w:val="00FA106A"/>
    <w:rsid w:val="00FA13BE"/>
    <w:rsid w:val="00FA1B4B"/>
    <w:rsid w:val="00FA384A"/>
    <w:rsid w:val="00FA4229"/>
    <w:rsid w:val="00FA65D1"/>
    <w:rsid w:val="00FA6CA0"/>
    <w:rsid w:val="00FA701F"/>
    <w:rsid w:val="00FB01B3"/>
    <w:rsid w:val="00FB5013"/>
    <w:rsid w:val="00FB507A"/>
    <w:rsid w:val="00FB6A28"/>
    <w:rsid w:val="00FB76CD"/>
    <w:rsid w:val="00FC662C"/>
    <w:rsid w:val="00FD0567"/>
    <w:rsid w:val="00FD2F99"/>
    <w:rsid w:val="00FD3B61"/>
    <w:rsid w:val="00FD5E0B"/>
    <w:rsid w:val="00FE4B51"/>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148644808">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917939474433166"/>
          <c:y val="4.7740505605884657E-2"/>
          <c:w val="0.59552418752533987"/>
          <c:h val="0.82097792726096053"/>
        </c:manualLayout>
      </c:layout>
      <c:pieChart>
        <c:varyColors val="1"/>
        <c:ser>
          <c:idx val="0"/>
          <c:order val="0"/>
          <c:tx>
            <c:strRef>
              <c:f>Sheet1!$B$1</c:f>
              <c:strCache>
                <c:ptCount val="1"/>
                <c:pt idx="0">
                  <c:v> 2021-Q3 </c:v>
                </c:pt>
              </c:strCache>
            </c:strRef>
          </c:tx>
          <c:spPr>
            <a:ln w="6350">
              <a:solidFill>
                <a:schemeClr val="tx1">
                  <a:lumMod val="85000"/>
                  <a:lumOff val="15000"/>
                </a:schemeClr>
              </a:solidFill>
            </a:ln>
          </c:spPr>
          <c:dPt>
            <c:idx val="0"/>
            <c:bubble3D val="0"/>
            <c:spPr>
              <a:solidFill>
                <a:schemeClr val="accent6">
                  <a:shade val="45000"/>
                </a:schemeClr>
              </a:solidFill>
              <a:ln w="6350">
                <a:solidFill>
                  <a:schemeClr val="tx1">
                    <a:lumMod val="85000"/>
                    <a:lumOff val="15000"/>
                  </a:schemeClr>
                </a:solidFill>
              </a:ln>
              <a:effectLst/>
            </c:spPr>
            <c:extLst>
              <c:ext xmlns:c16="http://schemas.microsoft.com/office/drawing/2014/chart" uri="{C3380CC4-5D6E-409C-BE32-E72D297353CC}">
                <c16:uniqueId val="{00000001-0094-458F-BD87-77799A8B2728}"/>
              </c:ext>
            </c:extLst>
          </c:dPt>
          <c:dPt>
            <c:idx val="1"/>
            <c:bubble3D val="0"/>
            <c:spPr>
              <a:solidFill>
                <a:schemeClr val="accent6">
                  <a:shade val="61000"/>
                </a:schemeClr>
              </a:solidFill>
              <a:ln w="6350">
                <a:solidFill>
                  <a:schemeClr val="tx1">
                    <a:lumMod val="85000"/>
                    <a:lumOff val="15000"/>
                  </a:schemeClr>
                </a:solidFill>
              </a:ln>
              <a:effectLst/>
            </c:spPr>
            <c:extLst>
              <c:ext xmlns:c16="http://schemas.microsoft.com/office/drawing/2014/chart" uri="{C3380CC4-5D6E-409C-BE32-E72D297353CC}">
                <c16:uniqueId val="{00000003-0094-458F-BD87-77799A8B2728}"/>
              </c:ext>
            </c:extLst>
          </c:dPt>
          <c:dPt>
            <c:idx val="2"/>
            <c:bubble3D val="0"/>
            <c:spPr>
              <a:solidFill>
                <a:schemeClr val="accent6">
                  <a:shade val="76000"/>
                </a:schemeClr>
              </a:solidFill>
              <a:ln w="6350">
                <a:solidFill>
                  <a:schemeClr val="tx1">
                    <a:lumMod val="85000"/>
                    <a:lumOff val="15000"/>
                  </a:schemeClr>
                </a:solidFill>
              </a:ln>
              <a:effectLst/>
            </c:spPr>
            <c:extLst>
              <c:ext xmlns:c16="http://schemas.microsoft.com/office/drawing/2014/chart" uri="{C3380CC4-5D6E-409C-BE32-E72D297353CC}">
                <c16:uniqueId val="{00000005-0094-458F-BD87-77799A8B2728}"/>
              </c:ext>
            </c:extLst>
          </c:dPt>
          <c:dPt>
            <c:idx val="3"/>
            <c:bubble3D val="0"/>
            <c:spPr>
              <a:solidFill>
                <a:schemeClr val="accent6">
                  <a:shade val="92000"/>
                </a:schemeClr>
              </a:solidFill>
              <a:ln w="6350">
                <a:solidFill>
                  <a:schemeClr val="tx1">
                    <a:lumMod val="85000"/>
                    <a:lumOff val="15000"/>
                  </a:schemeClr>
                </a:solidFill>
              </a:ln>
              <a:effectLst/>
            </c:spPr>
            <c:extLst>
              <c:ext xmlns:c16="http://schemas.microsoft.com/office/drawing/2014/chart" uri="{C3380CC4-5D6E-409C-BE32-E72D297353CC}">
                <c16:uniqueId val="{00000007-0094-458F-BD87-77799A8B2728}"/>
              </c:ext>
            </c:extLst>
          </c:dPt>
          <c:dPt>
            <c:idx val="4"/>
            <c:bubble3D val="0"/>
            <c:spPr>
              <a:solidFill>
                <a:schemeClr val="accent6">
                  <a:tint val="93000"/>
                </a:schemeClr>
              </a:solidFill>
              <a:ln w="6350">
                <a:solidFill>
                  <a:schemeClr val="tx1">
                    <a:lumMod val="85000"/>
                    <a:lumOff val="15000"/>
                  </a:schemeClr>
                </a:solidFill>
              </a:ln>
              <a:effectLst/>
            </c:spPr>
            <c:extLst>
              <c:ext xmlns:c16="http://schemas.microsoft.com/office/drawing/2014/chart" uri="{C3380CC4-5D6E-409C-BE32-E72D297353CC}">
                <c16:uniqueId val="{00000009-0094-458F-BD87-77799A8B2728}"/>
              </c:ext>
            </c:extLst>
          </c:dPt>
          <c:dPt>
            <c:idx val="5"/>
            <c:bubble3D val="0"/>
            <c:spPr>
              <a:solidFill>
                <a:schemeClr val="accent6">
                  <a:tint val="77000"/>
                </a:schemeClr>
              </a:solidFill>
              <a:ln w="6350">
                <a:solidFill>
                  <a:schemeClr val="tx1">
                    <a:lumMod val="85000"/>
                    <a:lumOff val="15000"/>
                  </a:schemeClr>
                </a:solidFill>
              </a:ln>
              <a:effectLst/>
            </c:spPr>
            <c:extLst>
              <c:ext xmlns:c16="http://schemas.microsoft.com/office/drawing/2014/chart" uri="{C3380CC4-5D6E-409C-BE32-E72D297353CC}">
                <c16:uniqueId val="{0000000B-0094-458F-BD87-77799A8B2728}"/>
              </c:ext>
            </c:extLst>
          </c:dPt>
          <c:dPt>
            <c:idx val="6"/>
            <c:bubble3D val="0"/>
            <c:spPr>
              <a:solidFill>
                <a:schemeClr val="accent6">
                  <a:tint val="62000"/>
                </a:schemeClr>
              </a:solidFill>
              <a:ln w="6350">
                <a:solidFill>
                  <a:schemeClr val="tx1">
                    <a:lumMod val="85000"/>
                    <a:lumOff val="15000"/>
                  </a:schemeClr>
                </a:solidFill>
              </a:ln>
              <a:effectLst/>
            </c:spPr>
            <c:extLst>
              <c:ext xmlns:c16="http://schemas.microsoft.com/office/drawing/2014/chart" uri="{C3380CC4-5D6E-409C-BE32-E72D297353CC}">
                <c16:uniqueId val="{0000000D-0094-458F-BD87-77799A8B2728}"/>
              </c:ext>
            </c:extLst>
          </c:dPt>
          <c:dPt>
            <c:idx val="7"/>
            <c:bubble3D val="0"/>
            <c:spPr>
              <a:solidFill>
                <a:schemeClr val="accent6">
                  <a:tint val="46000"/>
                </a:schemeClr>
              </a:solidFill>
              <a:ln w="6350">
                <a:solidFill>
                  <a:schemeClr val="tx1">
                    <a:lumMod val="85000"/>
                    <a:lumOff val="15000"/>
                  </a:schemeClr>
                </a:solidFill>
              </a:ln>
              <a:effectLst/>
            </c:spPr>
            <c:extLst>
              <c:ext xmlns:c16="http://schemas.microsoft.com/office/drawing/2014/chart" uri="{C3380CC4-5D6E-409C-BE32-E72D297353CC}">
                <c16:uniqueId val="{0000000F-0094-458F-BD87-77799A8B2728}"/>
              </c:ext>
            </c:extLst>
          </c:dPt>
          <c:dPt>
            <c:idx val="8"/>
            <c:bubble3D val="0"/>
            <c:spPr>
              <a:solidFill>
                <a:schemeClr val="accent6">
                  <a:tint val="30000"/>
                </a:schemeClr>
              </a:solidFill>
              <a:ln w="6350">
                <a:solidFill>
                  <a:schemeClr val="tx1">
                    <a:lumMod val="85000"/>
                    <a:lumOff val="15000"/>
                  </a:schemeClr>
                </a:solidFill>
              </a:ln>
              <a:effectLst/>
            </c:spPr>
            <c:extLst>
              <c:ext xmlns:c16="http://schemas.microsoft.com/office/drawing/2014/chart" uri="{C3380CC4-5D6E-409C-BE32-E72D297353CC}">
                <c16:uniqueId val="{00000011-0094-458F-BD87-77799A8B2728}"/>
              </c:ext>
            </c:extLst>
          </c:dPt>
          <c:dLbls>
            <c:dLbl>
              <c:idx val="0"/>
              <c:layout>
                <c:manualLayout>
                  <c:x val="-5.8362584195048063E-3"/>
                  <c:y val="2.024974687816401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739038041931505"/>
                      <c:h val="9.2167174681969999E-2"/>
                    </c:manualLayout>
                  </c15:layout>
                </c:ext>
                <c:ext xmlns:c16="http://schemas.microsoft.com/office/drawing/2014/chart" uri="{C3380CC4-5D6E-409C-BE32-E72D297353CC}">
                  <c16:uniqueId val="{00000001-0094-458F-BD87-77799A8B2728}"/>
                </c:ext>
              </c:extLst>
            </c:dLbl>
            <c:dLbl>
              <c:idx val="1"/>
              <c:layout>
                <c:manualLayout>
                  <c:x val="-1.0041741770230529E-3"/>
                  <c:y val="-6.644361827366922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242544983081929"/>
                      <c:h val="0.34503389573772059"/>
                    </c:manualLayout>
                  </c15:layout>
                </c:ext>
                <c:ext xmlns:c16="http://schemas.microsoft.com/office/drawing/2014/chart" uri="{C3380CC4-5D6E-409C-BE32-E72D297353CC}">
                  <c16:uniqueId val="{00000003-0094-458F-BD87-77799A8B2728}"/>
                </c:ext>
              </c:extLst>
            </c:dLbl>
            <c:dLbl>
              <c:idx val="2"/>
              <c:layout>
                <c:manualLayout>
                  <c:x val="-7.3626994166862611E-17"/>
                  <c:y val="-5.062463294011974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5180912626885497"/>
                      <c:h val="9.0515305566554405E-2"/>
                    </c:manualLayout>
                  </c15:layout>
                </c:ext>
                <c:ext xmlns:c16="http://schemas.microsoft.com/office/drawing/2014/chart" uri="{C3380CC4-5D6E-409C-BE32-E72D297353CC}">
                  <c16:uniqueId val="{00000005-0094-458F-BD87-77799A8B2728}"/>
                </c:ext>
              </c:extLst>
            </c:dLbl>
            <c:dLbl>
              <c:idx val="3"/>
              <c:layout>
                <c:manualLayout>
                  <c:x val="4.9837618189292533E-2"/>
                  <c:y val="-3.438869415707106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3802185118426461"/>
                      <c:h val="8.3849896758180276E-2"/>
                    </c:manualLayout>
                  </c15:layout>
                </c:ext>
                <c:ext xmlns:c16="http://schemas.microsoft.com/office/drawing/2014/chart" uri="{C3380CC4-5D6E-409C-BE32-E72D297353CC}">
                  <c16:uniqueId val="{00000007-0094-458F-BD87-77799A8B2728}"/>
                </c:ext>
              </c:extLst>
            </c:dLbl>
            <c:dLbl>
              <c:idx val="4"/>
              <c:layout>
                <c:manualLayout>
                  <c:x val="7.7137210258356265E-2"/>
                  <c:y val="2.82109268909729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40860259937387344"/>
                      <c:h val="8.1583625873967919E-2"/>
                    </c:manualLayout>
                  </c15:layout>
                </c:ext>
                <c:ext xmlns:c16="http://schemas.microsoft.com/office/drawing/2014/chart" uri="{C3380CC4-5D6E-409C-BE32-E72D297353CC}">
                  <c16:uniqueId val="{00000009-0094-458F-BD87-77799A8B2728}"/>
                </c:ext>
              </c:extLst>
            </c:dLbl>
            <c:dLbl>
              <c:idx val="5"/>
              <c:layout>
                <c:manualLayout>
                  <c:x val="-2.3714701324984978E-2"/>
                  <c:y val="-1.040284240541481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5993232773614142"/>
                      <c:h val="0.11008474598791924"/>
                    </c:manualLayout>
                  </c15:layout>
                </c:ext>
                <c:ext xmlns:c16="http://schemas.microsoft.com/office/drawing/2014/chart" uri="{C3380CC4-5D6E-409C-BE32-E72D297353CC}">
                  <c16:uniqueId val="{0000000B-0094-458F-BD87-77799A8B2728}"/>
                </c:ext>
              </c:extLst>
            </c:dLbl>
            <c:dLbl>
              <c:idx val="6"/>
              <c:layout>
                <c:manualLayout>
                  <c:x val="-3.9855801157385448E-2"/>
                  <c:y val="-6.504473812187583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678597855990893"/>
                      <c:h val="0.12272781629599709"/>
                    </c:manualLayout>
                  </c15:layout>
                </c:ext>
                <c:ext xmlns:c16="http://schemas.microsoft.com/office/drawing/2014/chart" uri="{C3380CC4-5D6E-409C-BE32-E72D297353CC}">
                  <c16:uniqueId val="{0000000D-0094-458F-BD87-77799A8B2728}"/>
                </c:ext>
              </c:extLst>
            </c:dLbl>
            <c:dLbl>
              <c:idx val="7"/>
              <c:layout>
                <c:manualLayout>
                  <c:x val="-9.9826388888888895E-2"/>
                  <c:y val="-3.498702690789617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421006944444446"/>
                      <c:h val="0.10159033078880406"/>
                    </c:manualLayout>
                  </c15:layout>
                </c:ext>
                <c:ext xmlns:c16="http://schemas.microsoft.com/office/drawing/2014/chart" uri="{C3380CC4-5D6E-409C-BE32-E72D297353CC}">
                  <c16:uniqueId val="{0000000F-0094-458F-BD87-77799A8B27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Sheet1!$A$2:$A$9</c:f>
              <c:strCache>
                <c:ptCount val="8"/>
                <c:pt idx="0">
                  <c:v>Centrifuges, filters</c:v>
                </c:pt>
                <c:pt idx="1">
                  <c:v>Machines for making semiconductors</c:v>
                </c:pt>
                <c:pt idx="2">
                  <c:v>Pumps for liquids</c:v>
                </c:pt>
                <c:pt idx="3">
                  <c:v>Spraying equipment</c:v>
                </c:pt>
                <c:pt idx="4">
                  <c:v>Specialized machines</c:v>
                </c:pt>
                <c:pt idx="5">
                  <c:v>Taps, cocks, valves</c:v>
                </c:pt>
                <c:pt idx="6">
                  <c:v>Computers</c:v>
                </c:pt>
                <c:pt idx="7">
                  <c:v>Other</c:v>
                </c:pt>
              </c:strCache>
            </c:strRef>
          </c:cat>
          <c:val>
            <c:numRef>
              <c:f>Sheet1!$B$2:$B$9</c:f>
              <c:numCache>
                <c:formatCode>#,###</c:formatCode>
                <c:ptCount val="8"/>
                <c:pt idx="0">
                  <c:v>187553763</c:v>
                </c:pt>
                <c:pt idx="1">
                  <c:v>164454852</c:v>
                </c:pt>
                <c:pt idx="2">
                  <c:v>64499991</c:v>
                </c:pt>
                <c:pt idx="3">
                  <c:v>64169383</c:v>
                </c:pt>
                <c:pt idx="4">
                  <c:v>48814116</c:v>
                </c:pt>
                <c:pt idx="5">
                  <c:v>48542900</c:v>
                </c:pt>
                <c:pt idx="6">
                  <c:v>44558202</c:v>
                </c:pt>
                <c:pt idx="7">
                  <c:v>359812731</c:v>
                </c:pt>
              </c:numCache>
            </c:numRef>
          </c:val>
          <c:extLst>
            <c:ext xmlns:c16="http://schemas.microsoft.com/office/drawing/2014/chart" uri="{C3380CC4-5D6E-409C-BE32-E72D297353CC}">
              <c16:uniqueId val="{00000012-0094-458F-BD87-77799A8B272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241E-C408-459D-B989-CEB014E9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Minnesota Quarterly Export Statistics, 3rd Quarter 2021</vt:lpstr>
    </vt:vector>
  </TitlesOfParts>
  <Company>MN DEED</Company>
  <LinksUpToDate>false</LinksUpToDate>
  <CharactersWithSpaces>4650</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3rd Quarter 2021</dc:title>
  <dc:subject>Minnesota Quarterly Export Statistics</dc:subject>
  <dc:creator>Economic Analysis Unit (T. Ho-Kim)</dc:creator>
  <dc:description>3rd quarter 2021</dc:description>
  <cp:lastModifiedBy>Ho-Kim, Thu-Mai (DEED)</cp:lastModifiedBy>
  <cp:revision>19</cp:revision>
  <cp:lastPrinted>2019-05-30T13:24:00Z</cp:lastPrinted>
  <dcterms:created xsi:type="dcterms:W3CDTF">2021-11-22T19:40:00Z</dcterms:created>
  <dcterms:modified xsi:type="dcterms:W3CDTF">2022-01-07T19:08:00Z</dcterms:modified>
</cp:coreProperties>
</file>