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lang w:bidi="ar-SA"/>
        </w:rPr>
        <w:id w:val="10729564"/>
        <w:docPartObj>
          <w:docPartGallery w:val="Cover Pages"/>
          <w:docPartUnique/>
        </w:docPartObj>
      </w:sdtPr>
      <w:sdtEndPr>
        <w:rPr>
          <w:rFonts w:asciiTheme="majorHAnsi" w:hAnsiTheme="majorHAnsi"/>
        </w:rPr>
      </w:sdtEndPr>
      <w:sdtContent>
        <w:p w14:paraId="7F246623" w14:textId="77777777" w:rsidR="009A66AE" w:rsidRDefault="00100675" w:rsidP="00463AD5">
          <w:pPr>
            <w:pBdr>
              <w:bottom w:val="single" w:sz="6" w:space="1" w:color="auto"/>
            </w:pBdr>
            <w:jc w:val="right"/>
          </w:pPr>
          <w:r>
            <w:rPr>
              <w:noProof/>
              <w:lang w:bidi="ar-SA"/>
            </w:rPr>
            <w:drawing>
              <wp:inline distT="0" distB="0" distL="0" distR="0" wp14:anchorId="7F246663" wp14:editId="7F246664">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7F246624" w14:textId="4F98361F" w:rsidR="00C61688" w:rsidRPr="00463AD5" w:rsidRDefault="00FF033F" w:rsidP="00463AD5">
          <w:pPr>
            <w:pStyle w:val="Heading1"/>
          </w:pPr>
          <w:bookmarkStart w:id="0" w:name="_Toc90271381"/>
          <w:r>
            <w:t>SFY 2020</w:t>
          </w:r>
          <w:r w:rsidR="00770E74">
            <w:t>-2021</w:t>
          </w:r>
          <w:r>
            <w:t xml:space="preserve"> Youth at Work </w:t>
          </w:r>
          <w:r w:rsidR="00AB11A8">
            <w:t>Equity</w:t>
          </w:r>
          <w:r>
            <w:t xml:space="preserve"> Grant</w:t>
          </w:r>
          <w:bookmarkEnd w:id="0"/>
        </w:p>
        <w:p w14:paraId="7F246625" w14:textId="0CD1AAED" w:rsidR="007124DA" w:rsidRDefault="00F157DA" w:rsidP="005A5A73">
          <w:pPr>
            <w:jc w:val="right"/>
            <w:rPr>
              <w:color w:val="003865" w:themeColor="accent1"/>
              <w:sz w:val="28"/>
              <w:szCs w:val="28"/>
            </w:rPr>
          </w:pPr>
          <w:bookmarkStart w:id="1" w:name="_Toc477437899"/>
          <w:r>
            <w:rPr>
              <w:color w:val="003865" w:themeColor="accent1"/>
              <w:sz w:val="28"/>
              <w:szCs w:val="28"/>
            </w:rPr>
            <w:t>Legislative</w:t>
          </w:r>
          <w:r w:rsidR="00FF033F">
            <w:rPr>
              <w:color w:val="003865" w:themeColor="accent1"/>
              <w:sz w:val="28"/>
              <w:szCs w:val="28"/>
            </w:rPr>
            <w:t xml:space="preserve"> Report</w:t>
          </w:r>
        </w:p>
        <w:p w14:paraId="7F246627" w14:textId="4CF1FCEC" w:rsidR="00074A30" w:rsidRPr="00B01F02" w:rsidRDefault="001562C6" w:rsidP="00B01F02">
          <w:pPr>
            <w:pBdr>
              <w:bottom w:val="single" w:sz="4" w:space="15" w:color="auto"/>
            </w:pBdr>
            <w:jc w:val="right"/>
            <w:rPr>
              <w:color w:val="003865" w:themeColor="accent1"/>
              <w:sz w:val="28"/>
              <w:szCs w:val="28"/>
            </w:rPr>
            <w:sectPr w:rsidR="00074A30" w:rsidRPr="00B01F02" w:rsidSect="00B545E5">
              <w:footerReference w:type="default" r:id="rId12"/>
              <w:footerReference w:type="first" r:id="rId13"/>
              <w:pgSz w:w="12240" w:h="15840" w:code="1"/>
              <w:pgMar w:top="1728" w:right="1080" w:bottom="1440" w:left="1080" w:header="0" w:footer="504" w:gutter="0"/>
              <w:cols w:space="720"/>
              <w:vAlign w:val="center"/>
              <w:titlePg/>
              <w:docGrid w:linePitch="326"/>
            </w:sectPr>
          </w:pPr>
          <w:r>
            <w:rPr>
              <w:color w:val="003865" w:themeColor="accent1"/>
              <w:sz w:val="28"/>
              <w:szCs w:val="28"/>
            </w:rPr>
            <w:t>1</w:t>
          </w:r>
          <w:r w:rsidR="0003752D">
            <w:rPr>
              <w:color w:val="003865" w:themeColor="accent1"/>
              <w:sz w:val="28"/>
              <w:szCs w:val="28"/>
            </w:rPr>
            <w:t>2</w:t>
          </w:r>
          <w:r w:rsidR="00FF033F">
            <w:rPr>
              <w:color w:val="003865" w:themeColor="accent1"/>
              <w:sz w:val="28"/>
              <w:szCs w:val="28"/>
            </w:rPr>
            <w:t>/</w:t>
          </w:r>
          <w:r w:rsidR="00F157DA">
            <w:rPr>
              <w:color w:val="003865" w:themeColor="accent1"/>
              <w:sz w:val="28"/>
              <w:szCs w:val="28"/>
            </w:rPr>
            <w:t>1</w:t>
          </w:r>
          <w:r w:rsidR="0003752D">
            <w:rPr>
              <w:color w:val="003865" w:themeColor="accent1"/>
              <w:sz w:val="28"/>
              <w:szCs w:val="28"/>
            </w:rPr>
            <w:t>3</w:t>
          </w:r>
          <w:r w:rsidR="00FF033F">
            <w:rPr>
              <w:color w:val="003865" w:themeColor="accent1"/>
              <w:sz w:val="28"/>
              <w:szCs w:val="28"/>
            </w:rPr>
            <w:t>/20</w:t>
          </w:r>
          <w:bookmarkEnd w:id="1"/>
          <w:r w:rsidR="00B01F02">
            <w:rPr>
              <w:color w:val="003865" w:themeColor="accent1"/>
              <w:sz w:val="28"/>
              <w:szCs w:val="28"/>
            </w:rPr>
            <w:t>2</w:t>
          </w:r>
          <w:r w:rsidR="00F157DA">
            <w:rPr>
              <w:color w:val="003865" w:themeColor="accent1"/>
              <w:sz w:val="28"/>
              <w:szCs w:val="28"/>
            </w:rPr>
            <w:t>1</w:t>
          </w:r>
        </w:p>
        <w:p w14:paraId="7F246629" w14:textId="1731F527" w:rsidR="00F6052E" w:rsidRPr="00FF033F" w:rsidRDefault="00FF033F" w:rsidP="00F6052E">
          <w:pPr>
            <w:rPr>
              <w:rStyle w:val="Hyperlink"/>
            </w:rPr>
          </w:pPr>
          <w:r>
            <w:lastRenderedPageBreak/>
            <w:t>Department of Employment and Economic Development</w:t>
          </w:r>
          <w:r w:rsidR="00F6052E" w:rsidRPr="0042247B">
            <w:br/>
          </w:r>
          <w:r>
            <w:t>Office of Youth Development</w:t>
          </w:r>
          <w:r w:rsidR="00F6052E">
            <w:br/>
          </w:r>
          <w:r>
            <w:t>332 Minnesota Street Ste. E200</w:t>
          </w:r>
          <w:r w:rsidR="00F6052E" w:rsidRPr="0042247B">
            <w:t xml:space="preserve"> </w:t>
          </w:r>
          <w:r w:rsidR="00F6052E" w:rsidRPr="0042247B">
            <w:br/>
            <w:t xml:space="preserve">St. Paul, MN </w:t>
          </w:r>
          <w:r>
            <w:t>55101</w:t>
          </w:r>
          <w:r w:rsidR="00555B93">
            <w:br/>
            <w:t>(P</w:t>
          </w:r>
          <w:r w:rsidR="00F6052E" w:rsidRPr="0042247B">
            <w:t xml:space="preserve">hone) </w:t>
          </w:r>
          <w:r>
            <w:t>651-259-75</w:t>
          </w:r>
          <w:r w:rsidR="00507575">
            <w:t>55</w:t>
          </w:r>
          <w:r w:rsidR="00F6052E" w:rsidRPr="0042247B">
            <w:t xml:space="preserve"> </w:t>
          </w:r>
          <w:r w:rsidR="00F6052E" w:rsidRPr="0042247B">
            <w:br/>
          </w:r>
          <w:hyperlink r:id="rId14" w:history="1">
            <w:r w:rsidRPr="00C90DA5">
              <w:rPr>
                <w:rStyle w:val="Hyperlink"/>
              </w:rPr>
              <w:t>Kay.Tracy@state.mn.us</w:t>
            </w:r>
          </w:hyperlink>
          <w:r w:rsidR="00F6052E" w:rsidRPr="0013434B">
            <w:rPr>
              <w:rStyle w:val="Hyperlink"/>
            </w:rPr>
            <w:br/>
          </w:r>
          <w:hyperlink r:id="rId15" w:history="1">
            <w:r w:rsidRPr="00FF033F">
              <w:rPr>
                <w:rStyle w:val="Hyperlink"/>
                <w:rFonts w:eastAsiaTheme="majorEastAsia"/>
              </w:rPr>
              <w:t>mn.gov/deed/programs-services/office-youth-development/</w:t>
            </w:r>
          </w:hyperlink>
        </w:p>
        <w:p w14:paraId="7F24662A" w14:textId="5581BEDA" w:rsidR="00F6052E" w:rsidRPr="0042247B" w:rsidRDefault="00F6052E" w:rsidP="00F6052E">
          <w:r w:rsidRPr="0042247B">
            <w:t xml:space="preserve">As requested by Minnesota Statute 3.197: This report </w:t>
          </w:r>
          <w:r w:rsidRPr="0040222A">
            <w:t>cost approximately $</w:t>
          </w:r>
          <w:r w:rsidR="0040222A">
            <w:t>181.76</w:t>
          </w:r>
          <w:r w:rsidRPr="0040222A">
            <w:t xml:space="preserve"> to prepare</w:t>
          </w:r>
          <w:r w:rsidRPr="0042247B">
            <w:t>, including staff time, printing and mailing expenses.</w:t>
          </w:r>
        </w:p>
        <w:p w14:paraId="7F24662B" w14:textId="77777777" w:rsidR="00F6052E" w:rsidRDefault="00F6052E" w:rsidP="00F6052E">
          <w:pPr>
            <w:rPr>
              <w:rStyle w:val="Emphasis"/>
            </w:rPr>
          </w:pPr>
          <w:r w:rsidRPr="00BE1756">
            <w:rPr>
              <w:rStyle w:val="Emphasis"/>
            </w:rPr>
            <w:t>Upon request, this material will be made available in an alternative format such as large print, Braille or audio recording. Printed on recycled paper.</w:t>
          </w:r>
        </w:p>
        <w:p w14:paraId="7F24662C" w14:textId="77777777" w:rsidR="00074A30" w:rsidRDefault="00074A30">
          <w:pPr>
            <w:spacing w:before="120" w:after="0"/>
            <w:rPr>
              <w:rStyle w:val="Emphasis"/>
            </w:rPr>
            <w:sectPr w:rsidR="00074A30" w:rsidSect="00074A30">
              <w:pgSz w:w="12240" w:h="15840" w:code="1"/>
              <w:pgMar w:top="1728" w:right="1080" w:bottom="1440" w:left="1080" w:header="0" w:footer="504" w:gutter="0"/>
              <w:cols w:space="720"/>
              <w:vAlign w:val="center"/>
              <w:titlePg/>
              <w:docGrid w:linePitch="326"/>
            </w:sectPr>
          </w:pPr>
        </w:p>
        <w:bookmarkStart w:id="2" w:name="_Toc90271382" w:displacedByCustomXml="next"/>
        <w:bookmarkStart w:id="3" w:name="_Toc461105257" w:displacedByCustomXml="next"/>
        <w:sdt>
          <w:sdtPr>
            <w:rPr>
              <w:rFonts w:ascii="Calibri" w:eastAsia="Times New Roman" w:hAnsi="Calibri" w:cs="Times New Roman"/>
              <w:b w:val="0"/>
              <w:bCs/>
              <w:i/>
              <w:color w:val="auto"/>
              <w:sz w:val="22"/>
              <w:szCs w:val="22"/>
            </w:rPr>
            <w:id w:val="-1936895440"/>
            <w:docPartObj>
              <w:docPartGallery w:val="Table of Contents"/>
              <w:docPartUnique/>
            </w:docPartObj>
          </w:sdtPr>
          <w:sdtEndPr>
            <w:rPr>
              <w:bCs w:val="0"/>
              <w:noProof/>
            </w:rPr>
          </w:sdtEndPr>
          <w:sdtContent>
            <w:p w14:paraId="21163B94" w14:textId="77777777" w:rsidR="0003752D" w:rsidRDefault="00014777" w:rsidP="00014777">
              <w:pPr>
                <w:pStyle w:val="Heading2"/>
                <w:rPr>
                  <w:noProof/>
                </w:rPr>
              </w:pPr>
              <w:r>
                <w:t>Contents</w:t>
              </w:r>
              <w:bookmarkEnd w:id="2"/>
              <w:r w:rsidRPr="00F773F0">
                <w:rPr>
                  <w:rFonts w:asciiTheme="majorHAnsi" w:hAnsiTheme="majorHAnsi"/>
                  <w:b w:val="0"/>
                  <w:color w:val="00294B" w:themeColor="accent1" w:themeShade="BF"/>
                  <w:sz w:val="28"/>
                  <w:szCs w:val="28"/>
                </w:rPr>
                <w:fldChar w:fldCharType="begin"/>
              </w:r>
              <w:r w:rsidRPr="00F773F0">
                <w:rPr>
                  <w:b w:val="0"/>
                </w:rPr>
                <w:instrText xml:space="preserve"> TOC \o "1-3" \h \z \u </w:instrText>
              </w:r>
              <w:r w:rsidRPr="00F773F0">
                <w:rPr>
                  <w:rFonts w:asciiTheme="majorHAnsi" w:hAnsiTheme="majorHAnsi"/>
                  <w:b w:val="0"/>
                  <w:color w:val="00294B" w:themeColor="accent1" w:themeShade="BF"/>
                  <w:sz w:val="28"/>
                  <w:szCs w:val="28"/>
                </w:rPr>
                <w:fldChar w:fldCharType="separate"/>
              </w:r>
            </w:p>
            <w:p w14:paraId="0EA0DB63" w14:textId="62E36FCD" w:rsidR="0003752D" w:rsidRDefault="00B02D5F">
              <w:pPr>
                <w:pStyle w:val="TOC1"/>
                <w:tabs>
                  <w:tab w:val="right" w:leader="dot" w:pos="10070"/>
                </w:tabs>
                <w:rPr>
                  <w:rFonts w:asciiTheme="minorHAnsi" w:eastAsiaTheme="minorEastAsia" w:hAnsiTheme="minorHAnsi" w:cstheme="minorBidi"/>
                  <w:noProof/>
                  <w:lang w:bidi="ar-SA"/>
                </w:rPr>
              </w:pPr>
              <w:hyperlink w:anchor="_Toc90271381" w:history="1">
                <w:r w:rsidR="0003752D" w:rsidRPr="00904828">
                  <w:rPr>
                    <w:rStyle w:val="Hyperlink"/>
                    <w:noProof/>
                  </w:rPr>
                  <w:t>SFY 2020-2021 Youth at Work Equity Grant</w:t>
                </w:r>
                <w:r w:rsidR="0003752D">
                  <w:rPr>
                    <w:noProof/>
                    <w:webHidden/>
                  </w:rPr>
                  <w:tab/>
                </w:r>
                <w:r w:rsidR="0003752D">
                  <w:rPr>
                    <w:noProof/>
                    <w:webHidden/>
                  </w:rPr>
                  <w:fldChar w:fldCharType="begin"/>
                </w:r>
                <w:r w:rsidR="0003752D">
                  <w:rPr>
                    <w:noProof/>
                    <w:webHidden/>
                  </w:rPr>
                  <w:instrText xml:space="preserve"> PAGEREF _Toc90271381 \h </w:instrText>
                </w:r>
                <w:r w:rsidR="0003752D">
                  <w:rPr>
                    <w:noProof/>
                    <w:webHidden/>
                  </w:rPr>
                </w:r>
                <w:r w:rsidR="0003752D">
                  <w:rPr>
                    <w:noProof/>
                    <w:webHidden/>
                  </w:rPr>
                  <w:fldChar w:fldCharType="separate"/>
                </w:r>
                <w:r w:rsidR="0003752D">
                  <w:rPr>
                    <w:noProof/>
                    <w:webHidden/>
                  </w:rPr>
                  <w:t>1</w:t>
                </w:r>
                <w:r w:rsidR="0003752D">
                  <w:rPr>
                    <w:noProof/>
                    <w:webHidden/>
                  </w:rPr>
                  <w:fldChar w:fldCharType="end"/>
                </w:r>
              </w:hyperlink>
            </w:p>
            <w:p w14:paraId="4C0D1957" w14:textId="620B9D52" w:rsidR="0003752D" w:rsidRDefault="00B02D5F">
              <w:pPr>
                <w:pStyle w:val="TOC2"/>
                <w:tabs>
                  <w:tab w:val="right" w:leader="dot" w:pos="10070"/>
                </w:tabs>
                <w:rPr>
                  <w:rFonts w:asciiTheme="minorHAnsi" w:eastAsiaTheme="minorEastAsia" w:hAnsiTheme="minorHAnsi" w:cstheme="minorBidi"/>
                  <w:noProof/>
                  <w:lang w:bidi="ar-SA"/>
                </w:rPr>
              </w:pPr>
              <w:hyperlink w:anchor="_Toc90271382" w:history="1">
                <w:r w:rsidR="0003752D" w:rsidRPr="00904828">
                  <w:rPr>
                    <w:rStyle w:val="Hyperlink"/>
                    <w:noProof/>
                  </w:rPr>
                  <w:t>Contents</w:t>
                </w:r>
                <w:r w:rsidR="0003752D">
                  <w:rPr>
                    <w:noProof/>
                    <w:webHidden/>
                  </w:rPr>
                  <w:tab/>
                </w:r>
                <w:r w:rsidR="0003752D">
                  <w:rPr>
                    <w:noProof/>
                    <w:webHidden/>
                  </w:rPr>
                  <w:fldChar w:fldCharType="begin"/>
                </w:r>
                <w:r w:rsidR="0003752D">
                  <w:rPr>
                    <w:noProof/>
                    <w:webHidden/>
                  </w:rPr>
                  <w:instrText xml:space="preserve"> PAGEREF _Toc90271382 \h </w:instrText>
                </w:r>
                <w:r w:rsidR="0003752D">
                  <w:rPr>
                    <w:noProof/>
                    <w:webHidden/>
                  </w:rPr>
                </w:r>
                <w:r w:rsidR="0003752D">
                  <w:rPr>
                    <w:noProof/>
                    <w:webHidden/>
                  </w:rPr>
                  <w:fldChar w:fldCharType="separate"/>
                </w:r>
                <w:r w:rsidR="0003752D">
                  <w:rPr>
                    <w:noProof/>
                    <w:webHidden/>
                  </w:rPr>
                  <w:t>3</w:t>
                </w:r>
                <w:r w:rsidR="0003752D">
                  <w:rPr>
                    <w:noProof/>
                    <w:webHidden/>
                  </w:rPr>
                  <w:fldChar w:fldCharType="end"/>
                </w:r>
              </w:hyperlink>
            </w:p>
            <w:p w14:paraId="2D91F72C" w14:textId="27DF00AB" w:rsidR="0003752D" w:rsidRDefault="00B02D5F">
              <w:pPr>
                <w:pStyle w:val="TOC2"/>
                <w:tabs>
                  <w:tab w:val="right" w:leader="dot" w:pos="10070"/>
                </w:tabs>
                <w:rPr>
                  <w:rFonts w:asciiTheme="minorHAnsi" w:eastAsiaTheme="minorEastAsia" w:hAnsiTheme="minorHAnsi" w:cstheme="minorBidi"/>
                  <w:noProof/>
                  <w:lang w:bidi="ar-SA"/>
                </w:rPr>
              </w:pPr>
              <w:hyperlink w:anchor="_Toc90271383" w:history="1">
                <w:r w:rsidR="0003752D" w:rsidRPr="00904828">
                  <w:rPr>
                    <w:rStyle w:val="Hyperlink"/>
                    <w:noProof/>
                  </w:rPr>
                  <w:t>Minnesota Youth at Work Equity Grant</w:t>
                </w:r>
                <w:r w:rsidR="0003752D">
                  <w:rPr>
                    <w:noProof/>
                    <w:webHidden/>
                  </w:rPr>
                  <w:tab/>
                </w:r>
                <w:r w:rsidR="0003752D">
                  <w:rPr>
                    <w:noProof/>
                    <w:webHidden/>
                  </w:rPr>
                  <w:fldChar w:fldCharType="begin"/>
                </w:r>
                <w:r w:rsidR="0003752D">
                  <w:rPr>
                    <w:noProof/>
                    <w:webHidden/>
                  </w:rPr>
                  <w:instrText xml:space="preserve"> PAGEREF _Toc90271383 \h </w:instrText>
                </w:r>
                <w:r w:rsidR="0003752D">
                  <w:rPr>
                    <w:noProof/>
                    <w:webHidden/>
                  </w:rPr>
                </w:r>
                <w:r w:rsidR="0003752D">
                  <w:rPr>
                    <w:noProof/>
                    <w:webHidden/>
                  </w:rPr>
                  <w:fldChar w:fldCharType="separate"/>
                </w:r>
                <w:r w:rsidR="0003752D">
                  <w:rPr>
                    <w:noProof/>
                    <w:webHidden/>
                  </w:rPr>
                  <w:t>4</w:t>
                </w:r>
                <w:r w:rsidR="0003752D">
                  <w:rPr>
                    <w:noProof/>
                    <w:webHidden/>
                  </w:rPr>
                  <w:fldChar w:fldCharType="end"/>
                </w:r>
              </w:hyperlink>
            </w:p>
            <w:p w14:paraId="53C42149" w14:textId="61D64BF4" w:rsidR="0003752D" w:rsidRDefault="00B02D5F">
              <w:pPr>
                <w:pStyle w:val="TOC3"/>
                <w:tabs>
                  <w:tab w:val="right" w:leader="dot" w:pos="10070"/>
                </w:tabs>
                <w:rPr>
                  <w:rFonts w:asciiTheme="minorHAnsi" w:eastAsiaTheme="minorEastAsia" w:hAnsiTheme="minorHAnsi" w:cstheme="minorBidi"/>
                  <w:noProof/>
                  <w:lang w:bidi="ar-SA"/>
                </w:rPr>
              </w:pPr>
              <w:hyperlink w:anchor="_Toc90271384" w:history="1">
                <w:r w:rsidR="0003752D" w:rsidRPr="00904828">
                  <w:rPr>
                    <w:rStyle w:val="Hyperlink"/>
                    <w:noProof/>
                  </w:rPr>
                  <w:t>Background</w:t>
                </w:r>
                <w:r w:rsidR="0003752D">
                  <w:rPr>
                    <w:noProof/>
                    <w:webHidden/>
                  </w:rPr>
                  <w:tab/>
                </w:r>
                <w:r w:rsidR="0003752D">
                  <w:rPr>
                    <w:noProof/>
                    <w:webHidden/>
                  </w:rPr>
                  <w:fldChar w:fldCharType="begin"/>
                </w:r>
                <w:r w:rsidR="0003752D">
                  <w:rPr>
                    <w:noProof/>
                    <w:webHidden/>
                  </w:rPr>
                  <w:instrText xml:space="preserve"> PAGEREF _Toc90271384 \h </w:instrText>
                </w:r>
                <w:r w:rsidR="0003752D">
                  <w:rPr>
                    <w:noProof/>
                    <w:webHidden/>
                  </w:rPr>
                </w:r>
                <w:r w:rsidR="0003752D">
                  <w:rPr>
                    <w:noProof/>
                    <w:webHidden/>
                  </w:rPr>
                  <w:fldChar w:fldCharType="separate"/>
                </w:r>
                <w:r w:rsidR="0003752D">
                  <w:rPr>
                    <w:noProof/>
                    <w:webHidden/>
                  </w:rPr>
                  <w:t>4</w:t>
                </w:r>
                <w:r w:rsidR="0003752D">
                  <w:rPr>
                    <w:noProof/>
                    <w:webHidden/>
                  </w:rPr>
                  <w:fldChar w:fldCharType="end"/>
                </w:r>
              </w:hyperlink>
            </w:p>
            <w:p w14:paraId="263DC03E" w14:textId="6946164F" w:rsidR="0003752D" w:rsidRDefault="00B02D5F">
              <w:pPr>
                <w:pStyle w:val="TOC3"/>
                <w:tabs>
                  <w:tab w:val="right" w:leader="dot" w:pos="10070"/>
                </w:tabs>
                <w:rPr>
                  <w:rFonts w:asciiTheme="minorHAnsi" w:eastAsiaTheme="minorEastAsia" w:hAnsiTheme="minorHAnsi" w:cstheme="minorBidi"/>
                  <w:noProof/>
                  <w:lang w:bidi="ar-SA"/>
                </w:rPr>
              </w:pPr>
              <w:hyperlink w:anchor="_Toc90271385" w:history="1">
                <w:r w:rsidR="0003752D" w:rsidRPr="00904828">
                  <w:rPr>
                    <w:rStyle w:val="Hyperlink"/>
                    <w:noProof/>
                  </w:rPr>
                  <w:t>COVID-19 Strategic Response</w:t>
                </w:r>
                <w:r w:rsidR="0003752D">
                  <w:rPr>
                    <w:noProof/>
                    <w:webHidden/>
                  </w:rPr>
                  <w:tab/>
                </w:r>
                <w:r w:rsidR="0003752D">
                  <w:rPr>
                    <w:noProof/>
                    <w:webHidden/>
                  </w:rPr>
                  <w:fldChar w:fldCharType="begin"/>
                </w:r>
                <w:r w:rsidR="0003752D">
                  <w:rPr>
                    <w:noProof/>
                    <w:webHidden/>
                  </w:rPr>
                  <w:instrText xml:space="preserve"> PAGEREF _Toc90271385 \h </w:instrText>
                </w:r>
                <w:r w:rsidR="0003752D">
                  <w:rPr>
                    <w:noProof/>
                    <w:webHidden/>
                  </w:rPr>
                </w:r>
                <w:r w:rsidR="0003752D">
                  <w:rPr>
                    <w:noProof/>
                    <w:webHidden/>
                  </w:rPr>
                  <w:fldChar w:fldCharType="separate"/>
                </w:r>
                <w:r w:rsidR="0003752D">
                  <w:rPr>
                    <w:noProof/>
                    <w:webHidden/>
                  </w:rPr>
                  <w:t>5</w:t>
                </w:r>
                <w:r w:rsidR="0003752D">
                  <w:rPr>
                    <w:noProof/>
                    <w:webHidden/>
                  </w:rPr>
                  <w:fldChar w:fldCharType="end"/>
                </w:r>
              </w:hyperlink>
            </w:p>
            <w:p w14:paraId="2A04D262" w14:textId="41E714D5" w:rsidR="0003752D" w:rsidRDefault="00B02D5F">
              <w:pPr>
                <w:pStyle w:val="TOC3"/>
                <w:tabs>
                  <w:tab w:val="right" w:leader="dot" w:pos="10070"/>
                </w:tabs>
                <w:rPr>
                  <w:rFonts w:asciiTheme="minorHAnsi" w:eastAsiaTheme="minorEastAsia" w:hAnsiTheme="minorHAnsi" w:cstheme="minorBidi"/>
                  <w:noProof/>
                  <w:lang w:bidi="ar-SA"/>
                </w:rPr>
              </w:pPr>
              <w:hyperlink w:anchor="_Toc90271386" w:history="1">
                <w:r w:rsidR="0003752D" w:rsidRPr="00904828">
                  <w:rPr>
                    <w:rStyle w:val="Hyperlink"/>
                    <w:noProof/>
                  </w:rPr>
                  <w:t>Overview of Request for Proposals Process</w:t>
                </w:r>
                <w:r w:rsidR="0003752D">
                  <w:rPr>
                    <w:noProof/>
                    <w:webHidden/>
                  </w:rPr>
                  <w:tab/>
                </w:r>
                <w:r w:rsidR="0003752D">
                  <w:rPr>
                    <w:noProof/>
                    <w:webHidden/>
                  </w:rPr>
                  <w:fldChar w:fldCharType="begin"/>
                </w:r>
                <w:r w:rsidR="0003752D">
                  <w:rPr>
                    <w:noProof/>
                    <w:webHidden/>
                  </w:rPr>
                  <w:instrText xml:space="preserve"> PAGEREF _Toc90271386 \h </w:instrText>
                </w:r>
                <w:r w:rsidR="0003752D">
                  <w:rPr>
                    <w:noProof/>
                    <w:webHidden/>
                  </w:rPr>
                </w:r>
                <w:r w:rsidR="0003752D">
                  <w:rPr>
                    <w:noProof/>
                    <w:webHidden/>
                  </w:rPr>
                  <w:fldChar w:fldCharType="separate"/>
                </w:r>
                <w:r w:rsidR="0003752D">
                  <w:rPr>
                    <w:noProof/>
                    <w:webHidden/>
                  </w:rPr>
                  <w:t>5</w:t>
                </w:r>
                <w:r w:rsidR="0003752D">
                  <w:rPr>
                    <w:noProof/>
                    <w:webHidden/>
                  </w:rPr>
                  <w:fldChar w:fldCharType="end"/>
                </w:r>
              </w:hyperlink>
            </w:p>
            <w:p w14:paraId="1607B480" w14:textId="49DA3C06" w:rsidR="0003752D" w:rsidRDefault="00B02D5F">
              <w:pPr>
                <w:pStyle w:val="TOC3"/>
                <w:tabs>
                  <w:tab w:val="right" w:leader="dot" w:pos="10070"/>
                </w:tabs>
                <w:rPr>
                  <w:rFonts w:asciiTheme="minorHAnsi" w:eastAsiaTheme="minorEastAsia" w:hAnsiTheme="minorHAnsi" w:cstheme="minorBidi"/>
                  <w:noProof/>
                  <w:lang w:bidi="ar-SA"/>
                </w:rPr>
              </w:pPr>
              <w:hyperlink w:anchor="_Toc90271387" w:history="1">
                <w:r w:rsidR="0003752D" w:rsidRPr="00904828">
                  <w:rPr>
                    <w:rStyle w:val="Hyperlink"/>
                    <w:noProof/>
                  </w:rPr>
                  <w:t>Selection of Grantees</w:t>
                </w:r>
                <w:r w:rsidR="0003752D">
                  <w:rPr>
                    <w:noProof/>
                    <w:webHidden/>
                  </w:rPr>
                  <w:tab/>
                </w:r>
                <w:r w:rsidR="0003752D">
                  <w:rPr>
                    <w:noProof/>
                    <w:webHidden/>
                  </w:rPr>
                  <w:fldChar w:fldCharType="begin"/>
                </w:r>
                <w:r w:rsidR="0003752D">
                  <w:rPr>
                    <w:noProof/>
                    <w:webHidden/>
                  </w:rPr>
                  <w:instrText xml:space="preserve"> PAGEREF _Toc90271387 \h </w:instrText>
                </w:r>
                <w:r w:rsidR="0003752D">
                  <w:rPr>
                    <w:noProof/>
                    <w:webHidden/>
                  </w:rPr>
                </w:r>
                <w:r w:rsidR="0003752D">
                  <w:rPr>
                    <w:noProof/>
                    <w:webHidden/>
                  </w:rPr>
                  <w:fldChar w:fldCharType="separate"/>
                </w:r>
                <w:r w:rsidR="0003752D">
                  <w:rPr>
                    <w:noProof/>
                    <w:webHidden/>
                  </w:rPr>
                  <w:t>6</w:t>
                </w:r>
                <w:r w:rsidR="0003752D">
                  <w:rPr>
                    <w:noProof/>
                    <w:webHidden/>
                  </w:rPr>
                  <w:fldChar w:fldCharType="end"/>
                </w:r>
              </w:hyperlink>
            </w:p>
            <w:p w14:paraId="40A43D22" w14:textId="7B349193" w:rsidR="0003752D" w:rsidRDefault="00B02D5F">
              <w:pPr>
                <w:pStyle w:val="TOC3"/>
                <w:tabs>
                  <w:tab w:val="right" w:leader="dot" w:pos="10070"/>
                </w:tabs>
                <w:rPr>
                  <w:rFonts w:asciiTheme="minorHAnsi" w:eastAsiaTheme="minorEastAsia" w:hAnsiTheme="minorHAnsi" w:cstheme="minorBidi"/>
                  <w:noProof/>
                  <w:lang w:bidi="ar-SA"/>
                </w:rPr>
              </w:pPr>
              <w:hyperlink w:anchor="_Toc90271388" w:history="1">
                <w:r w:rsidR="0003752D" w:rsidRPr="00904828">
                  <w:rPr>
                    <w:rStyle w:val="Hyperlink"/>
                    <w:noProof/>
                  </w:rPr>
                  <w:t>Project Descriptions and Success Stories</w:t>
                </w:r>
                <w:r w:rsidR="0003752D">
                  <w:rPr>
                    <w:noProof/>
                    <w:webHidden/>
                  </w:rPr>
                  <w:tab/>
                </w:r>
                <w:r w:rsidR="0003752D">
                  <w:rPr>
                    <w:noProof/>
                    <w:webHidden/>
                  </w:rPr>
                  <w:fldChar w:fldCharType="begin"/>
                </w:r>
                <w:r w:rsidR="0003752D">
                  <w:rPr>
                    <w:noProof/>
                    <w:webHidden/>
                  </w:rPr>
                  <w:instrText xml:space="preserve"> PAGEREF _Toc90271388 \h </w:instrText>
                </w:r>
                <w:r w:rsidR="0003752D">
                  <w:rPr>
                    <w:noProof/>
                    <w:webHidden/>
                  </w:rPr>
                </w:r>
                <w:r w:rsidR="0003752D">
                  <w:rPr>
                    <w:noProof/>
                    <w:webHidden/>
                  </w:rPr>
                  <w:fldChar w:fldCharType="separate"/>
                </w:r>
                <w:r w:rsidR="0003752D">
                  <w:rPr>
                    <w:noProof/>
                    <w:webHidden/>
                  </w:rPr>
                  <w:t>9</w:t>
                </w:r>
                <w:r w:rsidR="0003752D">
                  <w:rPr>
                    <w:noProof/>
                    <w:webHidden/>
                  </w:rPr>
                  <w:fldChar w:fldCharType="end"/>
                </w:r>
              </w:hyperlink>
            </w:p>
            <w:p w14:paraId="77CA28C0" w14:textId="55BB5D80" w:rsidR="0003752D" w:rsidRDefault="00B02D5F">
              <w:pPr>
                <w:pStyle w:val="TOC3"/>
                <w:tabs>
                  <w:tab w:val="right" w:leader="dot" w:pos="10070"/>
                </w:tabs>
                <w:rPr>
                  <w:rFonts w:asciiTheme="minorHAnsi" w:eastAsiaTheme="minorEastAsia" w:hAnsiTheme="minorHAnsi" w:cstheme="minorBidi"/>
                  <w:noProof/>
                  <w:lang w:bidi="ar-SA"/>
                </w:rPr>
              </w:pPr>
              <w:hyperlink w:anchor="_Toc90271389" w:history="1">
                <w:r w:rsidR="0003752D" w:rsidRPr="00904828">
                  <w:rPr>
                    <w:rStyle w:val="Hyperlink"/>
                    <w:noProof/>
                  </w:rPr>
                  <w:t>Program Activities</w:t>
                </w:r>
                <w:r w:rsidR="0003752D">
                  <w:rPr>
                    <w:noProof/>
                    <w:webHidden/>
                  </w:rPr>
                  <w:tab/>
                </w:r>
                <w:r w:rsidR="0003752D">
                  <w:rPr>
                    <w:noProof/>
                    <w:webHidden/>
                  </w:rPr>
                  <w:fldChar w:fldCharType="begin"/>
                </w:r>
                <w:r w:rsidR="0003752D">
                  <w:rPr>
                    <w:noProof/>
                    <w:webHidden/>
                  </w:rPr>
                  <w:instrText xml:space="preserve"> PAGEREF _Toc90271389 \h </w:instrText>
                </w:r>
                <w:r w:rsidR="0003752D">
                  <w:rPr>
                    <w:noProof/>
                    <w:webHidden/>
                  </w:rPr>
                </w:r>
                <w:r w:rsidR="0003752D">
                  <w:rPr>
                    <w:noProof/>
                    <w:webHidden/>
                  </w:rPr>
                  <w:fldChar w:fldCharType="separate"/>
                </w:r>
                <w:r w:rsidR="0003752D">
                  <w:rPr>
                    <w:noProof/>
                    <w:webHidden/>
                  </w:rPr>
                  <w:t>18</w:t>
                </w:r>
                <w:r w:rsidR="0003752D">
                  <w:rPr>
                    <w:noProof/>
                    <w:webHidden/>
                  </w:rPr>
                  <w:fldChar w:fldCharType="end"/>
                </w:r>
              </w:hyperlink>
            </w:p>
            <w:p w14:paraId="218A4111" w14:textId="3D18DE7C" w:rsidR="0003752D" w:rsidRDefault="00B02D5F">
              <w:pPr>
                <w:pStyle w:val="TOC3"/>
                <w:tabs>
                  <w:tab w:val="right" w:leader="dot" w:pos="10070"/>
                </w:tabs>
                <w:rPr>
                  <w:rFonts w:asciiTheme="minorHAnsi" w:eastAsiaTheme="minorEastAsia" w:hAnsiTheme="minorHAnsi" w:cstheme="minorBidi"/>
                  <w:noProof/>
                  <w:lang w:bidi="ar-SA"/>
                </w:rPr>
              </w:pPr>
              <w:hyperlink w:anchor="_Toc90271390" w:history="1">
                <w:r w:rsidR="0003752D" w:rsidRPr="00904828">
                  <w:rPr>
                    <w:rStyle w:val="Hyperlink"/>
                    <w:noProof/>
                  </w:rPr>
                  <w:t>SFY2020 Youth at Work Data</w:t>
                </w:r>
                <w:r w:rsidR="0003752D">
                  <w:rPr>
                    <w:noProof/>
                    <w:webHidden/>
                  </w:rPr>
                  <w:tab/>
                </w:r>
                <w:r w:rsidR="0003752D">
                  <w:rPr>
                    <w:noProof/>
                    <w:webHidden/>
                  </w:rPr>
                  <w:fldChar w:fldCharType="begin"/>
                </w:r>
                <w:r w:rsidR="0003752D">
                  <w:rPr>
                    <w:noProof/>
                    <w:webHidden/>
                  </w:rPr>
                  <w:instrText xml:space="preserve"> PAGEREF _Toc90271390 \h </w:instrText>
                </w:r>
                <w:r w:rsidR="0003752D">
                  <w:rPr>
                    <w:noProof/>
                    <w:webHidden/>
                  </w:rPr>
                </w:r>
                <w:r w:rsidR="0003752D">
                  <w:rPr>
                    <w:noProof/>
                    <w:webHidden/>
                  </w:rPr>
                  <w:fldChar w:fldCharType="separate"/>
                </w:r>
                <w:r w:rsidR="0003752D">
                  <w:rPr>
                    <w:noProof/>
                    <w:webHidden/>
                  </w:rPr>
                  <w:t>21</w:t>
                </w:r>
                <w:r w:rsidR="0003752D">
                  <w:rPr>
                    <w:noProof/>
                    <w:webHidden/>
                  </w:rPr>
                  <w:fldChar w:fldCharType="end"/>
                </w:r>
              </w:hyperlink>
            </w:p>
            <w:p w14:paraId="4FEEF1A1" w14:textId="31719111" w:rsidR="0003752D" w:rsidRDefault="00B02D5F">
              <w:pPr>
                <w:pStyle w:val="TOC3"/>
                <w:tabs>
                  <w:tab w:val="right" w:leader="dot" w:pos="10070"/>
                </w:tabs>
                <w:rPr>
                  <w:rFonts w:asciiTheme="minorHAnsi" w:eastAsiaTheme="minorEastAsia" w:hAnsiTheme="minorHAnsi" w:cstheme="minorBidi"/>
                  <w:noProof/>
                  <w:lang w:bidi="ar-SA"/>
                </w:rPr>
              </w:pPr>
              <w:hyperlink w:anchor="_Toc90271391" w:history="1">
                <w:r w:rsidR="0003752D" w:rsidRPr="00904828">
                  <w:rPr>
                    <w:rStyle w:val="Hyperlink"/>
                    <w:noProof/>
                  </w:rPr>
                  <w:t>SFY2021 Youth at Work Data</w:t>
                </w:r>
                <w:r w:rsidR="0003752D">
                  <w:rPr>
                    <w:noProof/>
                    <w:webHidden/>
                  </w:rPr>
                  <w:tab/>
                </w:r>
                <w:r w:rsidR="0003752D">
                  <w:rPr>
                    <w:noProof/>
                    <w:webHidden/>
                  </w:rPr>
                  <w:fldChar w:fldCharType="begin"/>
                </w:r>
                <w:r w:rsidR="0003752D">
                  <w:rPr>
                    <w:noProof/>
                    <w:webHidden/>
                  </w:rPr>
                  <w:instrText xml:space="preserve"> PAGEREF _Toc90271391 \h </w:instrText>
                </w:r>
                <w:r w:rsidR="0003752D">
                  <w:rPr>
                    <w:noProof/>
                    <w:webHidden/>
                  </w:rPr>
                </w:r>
                <w:r w:rsidR="0003752D">
                  <w:rPr>
                    <w:noProof/>
                    <w:webHidden/>
                  </w:rPr>
                  <w:fldChar w:fldCharType="separate"/>
                </w:r>
                <w:r w:rsidR="0003752D">
                  <w:rPr>
                    <w:noProof/>
                    <w:webHidden/>
                  </w:rPr>
                  <w:t>24</w:t>
                </w:r>
                <w:r w:rsidR="0003752D">
                  <w:rPr>
                    <w:noProof/>
                    <w:webHidden/>
                  </w:rPr>
                  <w:fldChar w:fldCharType="end"/>
                </w:r>
              </w:hyperlink>
            </w:p>
            <w:p w14:paraId="1CB8A022" w14:textId="53667FE3" w:rsidR="0003752D" w:rsidRDefault="00B02D5F">
              <w:pPr>
                <w:pStyle w:val="TOC3"/>
                <w:tabs>
                  <w:tab w:val="right" w:leader="dot" w:pos="10070"/>
                </w:tabs>
                <w:rPr>
                  <w:rFonts w:asciiTheme="minorHAnsi" w:eastAsiaTheme="minorEastAsia" w:hAnsiTheme="minorHAnsi" w:cstheme="minorBidi"/>
                  <w:noProof/>
                  <w:lang w:bidi="ar-SA"/>
                </w:rPr>
              </w:pPr>
              <w:hyperlink w:anchor="_Toc90271392" w:history="1">
                <w:r w:rsidR="0003752D" w:rsidRPr="00904828">
                  <w:rPr>
                    <w:rStyle w:val="Hyperlink"/>
                    <w:noProof/>
                  </w:rPr>
                  <w:t>Youth at Work Equity Grant Logic Model</w:t>
                </w:r>
                <w:r w:rsidR="0003752D">
                  <w:rPr>
                    <w:noProof/>
                    <w:webHidden/>
                  </w:rPr>
                  <w:tab/>
                </w:r>
                <w:r w:rsidR="0003752D">
                  <w:rPr>
                    <w:noProof/>
                    <w:webHidden/>
                  </w:rPr>
                  <w:fldChar w:fldCharType="begin"/>
                </w:r>
                <w:r w:rsidR="0003752D">
                  <w:rPr>
                    <w:noProof/>
                    <w:webHidden/>
                  </w:rPr>
                  <w:instrText xml:space="preserve"> PAGEREF _Toc90271392 \h </w:instrText>
                </w:r>
                <w:r w:rsidR="0003752D">
                  <w:rPr>
                    <w:noProof/>
                    <w:webHidden/>
                  </w:rPr>
                </w:r>
                <w:r w:rsidR="0003752D">
                  <w:rPr>
                    <w:noProof/>
                    <w:webHidden/>
                  </w:rPr>
                  <w:fldChar w:fldCharType="separate"/>
                </w:r>
                <w:r w:rsidR="0003752D">
                  <w:rPr>
                    <w:noProof/>
                    <w:webHidden/>
                  </w:rPr>
                  <w:t>29</w:t>
                </w:r>
                <w:r w:rsidR="0003752D">
                  <w:rPr>
                    <w:noProof/>
                    <w:webHidden/>
                  </w:rPr>
                  <w:fldChar w:fldCharType="end"/>
                </w:r>
              </w:hyperlink>
            </w:p>
            <w:p w14:paraId="7F24663E" w14:textId="3AD9E406" w:rsidR="00014777" w:rsidRPr="003F61EE" w:rsidRDefault="00014777" w:rsidP="00014777">
              <w:pPr>
                <w:tabs>
                  <w:tab w:val="right" w:leader="dot" w:pos="10070"/>
                </w:tabs>
                <w:rPr>
                  <w:rFonts w:eastAsiaTheme="minorEastAsia" w:cstheme="minorBidi"/>
                  <w:noProof/>
                  <w:lang w:bidi="ar-SA"/>
                </w:rPr>
              </w:pPr>
              <w:r w:rsidRPr="00F773F0">
                <w:rPr>
                  <w:bCs/>
                  <w:noProof/>
                </w:rPr>
                <w:fldChar w:fldCharType="end"/>
              </w:r>
            </w:p>
          </w:sdtContent>
        </w:sdt>
        <w:p w14:paraId="7F24663F" w14:textId="77777777" w:rsidR="00014777" w:rsidRDefault="00014777" w:rsidP="006B0D98">
          <w:pPr>
            <w:rPr>
              <w:rFonts w:eastAsiaTheme="majorEastAsia"/>
            </w:rPr>
          </w:pPr>
          <w:r>
            <w:br w:type="page"/>
          </w:r>
        </w:p>
        <w:p w14:paraId="7F246640" w14:textId="2B8A2F76" w:rsidR="00E41BD2" w:rsidRDefault="00FF033F" w:rsidP="000261E8">
          <w:pPr>
            <w:pStyle w:val="Heading2"/>
          </w:pPr>
          <w:bookmarkStart w:id="4" w:name="_Toc90271383"/>
          <w:bookmarkEnd w:id="3"/>
          <w:r>
            <w:lastRenderedPageBreak/>
            <w:t xml:space="preserve">Minnesota Youth at Work </w:t>
          </w:r>
          <w:r w:rsidR="00AB11A8">
            <w:t>Equity</w:t>
          </w:r>
          <w:r>
            <w:t xml:space="preserve"> Grant</w:t>
          </w:r>
          <w:bookmarkEnd w:id="4"/>
        </w:p>
        <w:p w14:paraId="126961E5" w14:textId="5D36F0E6" w:rsidR="00C01845" w:rsidRPr="00C01845" w:rsidRDefault="00C01845" w:rsidP="00C01845">
          <w:pPr>
            <w:pStyle w:val="Heading3"/>
          </w:pPr>
          <w:bookmarkStart w:id="5" w:name="_Toc90271384"/>
          <w:r>
            <w:t>Background</w:t>
          </w:r>
          <w:bookmarkEnd w:id="5"/>
        </w:p>
        <w:p w14:paraId="72A1579B" w14:textId="2747E008" w:rsidR="00FF033F" w:rsidRDefault="00FF033F" w:rsidP="00FF033F">
          <w:pPr>
            <w:ind w:right="180"/>
            <w:rPr>
              <w:rFonts w:asciiTheme="majorHAnsi" w:hAnsiTheme="majorHAnsi"/>
            </w:rPr>
          </w:pPr>
          <w:r>
            <w:rPr>
              <w:rFonts w:asciiTheme="majorHAnsi" w:hAnsiTheme="majorHAnsi"/>
            </w:rPr>
            <w:t>Minnesota Statutes</w:t>
          </w:r>
          <w:r w:rsidRPr="005B3536">
            <w:rPr>
              <w:rFonts w:asciiTheme="majorHAnsi" w:hAnsiTheme="majorHAnsi"/>
            </w:rPr>
            <w:t xml:space="preserve"> </w:t>
          </w:r>
          <w:r>
            <w:rPr>
              <w:rFonts w:asciiTheme="majorHAnsi" w:hAnsiTheme="majorHAnsi"/>
            </w:rPr>
            <w:t>(</w:t>
          </w:r>
          <w:hyperlink r:id="rId16" w:history="1">
            <w:r w:rsidRPr="00627CD9">
              <w:rPr>
                <w:rStyle w:val="Hyperlink"/>
                <w:rFonts w:asciiTheme="majorHAnsi" w:hAnsiTheme="majorHAnsi"/>
              </w:rPr>
              <w:t>116L.562</w:t>
            </w:r>
          </w:hyperlink>
          <w:r>
            <w:rPr>
              <w:rFonts w:asciiTheme="majorHAnsi" w:hAnsiTheme="majorHAnsi"/>
            </w:rPr>
            <w:t xml:space="preserve">) </w:t>
          </w:r>
          <w:r w:rsidRPr="005B3536">
            <w:rPr>
              <w:rFonts w:asciiTheme="majorHAnsi" w:hAnsiTheme="majorHAnsi"/>
            </w:rPr>
            <w:t>authorize</w:t>
          </w:r>
          <w:r w:rsidR="008E6856">
            <w:rPr>
              <w:rFonts w:asciiTheme="majorHAnsi" w:hAnsiTheme="majorHAnsi"/>
            </w:rPr>
            <w:t>s</w:t>
          </w:r>
          <w:r w:rsidRPr="005B3536">
            <w:rPr>
              <w:rFonts w:asciiTheme="majorHAnsi" w:hAnsiTheme="majorHAnsi"/>
            </w:rPr>
            <w:t xml:space="preserve"> </w:t>
          </w:r>
          <w:r>
            <w:rPr>
              <w:rFonts w:asciiTheme="majorHAnsi" w:hAnsiTheme="majorHAnsi"/>
            </w:rPr>
            <w:t xml:space="preserve">the youth </w:t>
          </w:r>
          <w:r w:rsidR="008E6856">
            <w:rPr>
              <w:rFonts w:asciiTheme="majorHAnsi" w:hAnsiTheme="majorHAnsi"/>
            </w:rPr>
            <w:t>at work equity</w:t>
          </w:r>
          <w:r>
            <w:rPr>
              <w:rFonts w:asciiTheme="majorHAnsi" w:hAnsiTheme="majorHAnsi"/>
            </w:rPr>
            <w:t xml:space="preserve"> grant</w:t>
          </w:r>
          <w:r w:rsidR="008E6856">
            <w:rPr>
              <w:rFonts w:asciiTheme="majorHAnsi" w:hAnsiTheme="majorHAnsi"/>
            </w:rPr>
            <w:t xml:space="preserve"> program</w:t>
          </w:r>
          <w:r w:rsidRPr="005B3536">
            <w:rPr>
              <w:rFonts w:asciiTheme="majorHAnsi" w:hAnsiTheme="majorHAnsi"/>
            </w:rPr>
            <w:t xml:space="preserve"> directing DEED to “award grants to eligible organizations for the purpose of providing workforce development and training opportunities to economically disadvantaged or at-risk youth ages 14-24.”  The total amount of funding </w:t>
          </w:r>
          <w:r>
            <w:rPr>
              <w:rFonts w:asciiTheme="majorHAnsi" w:hAnsiTheme="majorHAnsi"/>
            </w:rPr>
            <w:t>appropriated is</w:t>
          </w:r>
          <w:r w:rsidRPr="005B3536">
            <w:rPr>
              <w:rFonts w:asciiTheme="majorHAnsi" w:hAnsiTheme="majorHAnsi"/>
            </w:rPr>
            <w:t xml:space="preserve"> $</w:t>
          </w:r>
          <w:r>
            <w:rPr>
              <w:rFonts w:asciiTheme="majorHAnsi" w:hAnsiTheme="majorHAnsi"/>
            </w:rPr>
            <w:t>4,098</w:t>
          </w:r>
          <w:r w:rsidRPr="005B3536">
            <w:rPr>
              <w:rFonts w:asciiTheme="majorHAnsi" w:hAnsiTheme="majorHAnsi"/>
            </w:rPr>
            <w:t>,000 each year; $3,3</w:t>
          </w:r>
          <w:r>
            <w:rPr>
              <w:rFonts w:asciiTheme="majorHAnsi" w:hAnsiTheme="majorHAnsi"/>
            </w:rPr>
            <w:t>48,000 from the Workforce Development F</w:t>
          </w:r>
          <w:r w:rsidRPr="005B3536">
            <w:rPr>
              <w:rFonts w:asciiTheme="majorHAnsi" w:hAnsiTheme="majorHAnsi"/>
            </w:rPr>
            <w:t>und and $</w:t>
          </w:r>
          <w:r>
            <w:rPr>
              <w:rFonts w:asciiTheme="majorHAnsi" w:hAnsiTheme="majorHAnsi"/>
            </w:rPr>
            <w:t>75</w:t>
          </w:r>
          <w:r w:rsidRPr="005B3536">
            <w:rPr>
              <w:rFonts w:asciiTheme="majorHAnsi" w:hAnsiTheme="majorHAnsi"/>
            </w:rPr>
            <w:t xml:space="preserve">0,000 from the </w:t>
          </w:r>
          <w:r>
            <w:rPr>
              <w:rFonts w:asciiTheme="majorHAnsi" w:hAnsiTheme="majorHAnsi"/>
            </w:rPr>
            <w:t>General F</w:t>
          </w:r>
          <w:r w:rsidRPr="005B3536">
            <w:rPr>
              <w:rFonts w:asciiTheme="majorHAnsi" w:hAnsiTheme="majorHAnsi"/>
            </w:rPr>
            <w:t>und.</w:t>
          </w:r>
          <w:r>
            <w:rPr>
              <w:rStyle w:val="FootnoteReference"/>
              <w:rFonts w:asciiTheme="majorHAnsi" w:hAnsiTheme="majorHAnsi"/>
            </w:rPr>
            <w:footnoteReference w:id="1"/>
          </w:r>
          <w:r w:rsidRPr="005B3536">
            <w:rPr>
              <w:rFonts w:asciiTheme="majorHAnsi" w:hAnsiTheme="majorHAnsi"/>
            </w:rPr>
            <w:t xml:space="preserve"> </w:t>
          </w:r>
          <w:r w:rsidR="00627CD9">
            <w:rPr>
              <w:rFonts w:asciiTheme="majorHAnsi" w:hAnsiTheme="majorHAnsi"/>
            </w:rPr>
            <w:t xml:space="preserve">SFY20-21 </w:t>
          </w:r>
          <w:r w:rsidRPr="005B3536">
            <w:rPr>
              <w:rFonts w:asciiTheme="majorHAnsi" w:hAnsiTheme="majorHAnsi"/>
            </w:rPr>
            <w:t>legislation permits DEED to retain five percent of these funds for administration and monitoring, making the total amount available for grants equal to $3,</w:t>
          </w:r>
          <w:r>
            <w:rPr>
              <w:rFonts w:asciiTheme="majorHAnsi" w:hAnsiTheme="majorHAnsi"/>
            </w:rPr>
            <w:t>893,1</w:t>
          </w:r>
          <w:r w:rsidRPr="005B3536">
            <w:rPr>
              <w:rFonts w:asciiTheme="majorHAnsi" w:hAnsiTheme="majorHAnsi"/>
            </w:rPr>
            <w:t>00 per year.</w:t>
          </w:r>
        </w:p>
        <w:p w14:paraId="7FE5EC3F" w14:textId="77777777" w:rsidR="00FF033F" w:rsidRPr="00FF033F" w:rsidRDefault="00FF033F" w:rsidP="00FF033F">
          <w:pPr>
            <w:spacing w:before="0" w:after="0" w:line="240" w:lineRule="auto"/>
            <w:ind w:right="180"/>
            <w:rPr>
              <w:lang w:bidi="ar-SA"/>
            </w:rPr>
          </w:pPr>
          <w:r w:rsidRPr="00FF033F">
            <w:rPr>
              <w:lang w:bidi="ar-SA"/>
            </w:rPr>
            <w:t>The Youth at Work RFP identified the following priorities, impact areas, and goals for all proposals:</w:t>
          </w:r>
          <w:r w:rsidRPr="00FF033F">
            <w:rPr>
              <w:lang w:bidi="ar-SA"/>
            </w:rPr>
            <w:br/>
          </w:r>
        </w:p>
        <w:p w14:paraId="32A52632" w14:textId="22A68C4E" w:rsidR="00FF033F" w:rsidRPr="00FF033F" w:rsidRDefault="00FF033F" w:rsidP="00FF033F">
          <w:pPr>
            <w:pStyle w:val="ListParagraph"/>
            <w:widowControl w:val="0"/>
            <w:numPr>
              <w:ilvl w:val="0"/>
              <w:numId w:val="28"/>
            </w:numPr>
            <w:spacing w:before="0" w:after="0" w:line="240" w:lineRule="auto"/>
            <w:ind w:right="180"/>
            <w:rPr>
              <w:lang w:bidi="ar-SA"/>
            </w:rPr>
          </w:pPr>
          <w:r w:rsidRPr="00FF033F">
            <w:rPr>
              <w:lang w:bidi="ar-SA"/>
            </w:rPr>
            <w:t xml:space="preserve">Provide summer and/or year-round work experience and introduction to career pathways for economically disadvantaged or at-risk youth, ages 14 through 24 (including those who are out-of-school and/or involved in the foster care and juvenile justice systems, residing in MFIP households, youth with disabilities, and youth from communities of color who are under-represented in the workforce; homeless and/or runaways); </w:t>
          </w:r>
          <w:proofErr w:type="gramStart"/>
          <w:r w:rsidRPr="00FF033F">
            <w:rPr>
              <w:lang w:bidi="ar-SA"/>
            </w:rPr>
            <w:t>and,</w:t>
          </w:r>
          <w:proofErr w:type="gramEnd"/>
          <w:r w:rsidR="00C01845">
            <w:rPr>
              <w:lang w:bidi="ar-SA"/>
            </w:rPr>
            <w:br/>
          </w:r>
        </w:p>
        <w:p w14:paraId="04B72901" w14:textId="00259B97" w:rsidR="00FF033F" w:rsidRPr="00FF033F" w:rsidRDefault="00FF033F" w:rsidP="00FF033F">
          <w:pPr>
            <w:pStyle w:val="ListParagraph"/>
            <w:widowControl w:val="0"/>
            <w:numPr>
              <w:ilvl w:val="0"/>
              <w:numId w:val="28"/>
            </w:numPr>
            <w:spacing w:before="0" w:after="0" w:line="240" w:lineRule="auto"/>
            <w:ind w:right="180"/>
            <w:rPr>
              <w:lang w:bidi="ar-SA"/>
            </w:rPr>
          </w:pPr>
          <w:r w:rsidRPr="00FF033F">
            <w:rPr>
              <w:lang w:bidi="ar-SA"/>
            </w:rPr>
            <w:t>Increase exposure to in-demand jobs important to regional economies; and,</w:t>
          </w:r>
          <w:r w:rsidR="00C01845">
            <w:rPr>
              <w:lang w:bidi="ar-SA"/>
            </w:rPr>
            <w:br/>
          </w:r>
        </w:p>
        <w:p w14:paraId="5B6FAC49" w14:textId="3DCEAC8C" w:rsidR="00FF033F" w:rsidRPr="00FF033F" w:rsidRDefault="00FF033F" w:rsidP="00FF033F">
          <w:pPr>
            <w:pStyle w:val="ListParagraph"/>
            <w:widowControl w:val="0"/>
            <w:numPr>
              <w:ilvl w:val="0"/>
              <w:numId w:val="28"/>
            </w:numPr>
            <w:spacing w:before="0" w:after="0" w:line="240" w:lineRule="auto"/>
            <w:ind w:right="180"/>
            <w:rPr>
              <w:lang w:bidi="ar-SA"/>
            </w:rPr>
          </w:pPr>
          <w:r w:rsidRPr="00FF033F">
            <w:rPr>
              <w:lang w:bidi="ar-SA"/>
            </w:rPr>
            <w:t>Introduce and promote career pathways and skill acquisition (academic and work readiness) through</w:t>
          </w:r>
          <w:r>
            <w:rPr>
              <w:lang w:bidi="ar-SA"/>
            </w:rPr>
            <w:t xml:space="preserve"> </w:t>
          </w:r>
          <w:r w:rsidRPr="00FF033F">
            <w:rPr>
              <w:lang w:bidi="ar-SA"/>
            </w:rPr>
            <w:t xml:space="preserve">project-based instruction; and, </w:t>
          </w:r>
          <w:r w:rsidR="00C01845">
            <w:rPr>
              <w:lang w:bidi="ar-SA"/>
            </w:rPr>
            <w:br/>
          </w:r>
        </w:p>
        <w:p w14:paraId="1EF9162B" w14:textId="3CBE55A5" w:rsidR="00FF033F" w:rsidRDefault="00FF033F" w:rsidP="00FF033F">
          <w:pPr>
            <w:pStyle w:val="ListParagraph"/>
            <w:widowControl w:val="0"/>
            <w:numPr>
              <w:ilvl w:val="0"/>
              <w:numId w:val="28"/>
            </w:numPr>
            <w:spacing w:before="0" w:after="0" w:line="240" w:lineRule="auto"/>
            <w:ind w:right="180"/>
            <w:rPr>
              <w:lang w:bidi="ar-SA"/>
            </w:rPr>
          </w:pPr>
          <w:r w:rsidRPr="00FF033F">
            <w:rPr>
              <w:lang w:bidi="ar-SA"/>
            </w:rPr>
            <w:t>Promote mastery of work readiness competencies and 21</w:t>
          </w:r>
          <w:r w:rsidRPr="00FF033F">
            <w:rPr>
              <w:vertAlign w:val="superscript"/>
              <w:lang w:bidi="ar-SA"/>
            </w:rPr>
            <w:t>st</w:t>
          </w:r>
          <w:r w:rsidRPr="00FF033F">
            <w:rPr>
              <w:lang w:bidi="ar-SA"/>
            </w:rPr>
            <w:t xml:space="preserve"> Century skills, as demonstrated through workplace portfolios and other assessments; and,</w:t>
          </w:r>
          <w:r w:rsidR="00C01845">
            <w:rPr>
              <w:lang w:bidi="ar-SA"/>
            </w:rPr>
            <w:br/>
          </w:r>
        </w:p>
        <w:p w14:paraId="20821374" w14:textId="54D43DEC" w:rsidR="00FF033F" w:rsidRDefault="00FF033F" w:rsidP="00FF033F">
          <w:pPr>
            <w:pStyle w:val="ListParagraph"/>
            <w:widowControl w:val="0"/>
            <w:numPr>
              <w:ilvl w:val="0"/>
              <w:numId w:val="28"/>
            </w:numPr>
            <w:spacing w:before="0" w:after="0" w:line="240" w:lineRule="auto"/>
            <w:ind w:right="180"/>
            <w:rPr>
              <w:lang w:bidi="ar-SA"/>
            </w:rPr>
          </w:pPr>
          <w:r w:rsidRPr="00FF033F">
            <w:rPr>
              <w:lang w:bidi="ar-SA"/>
            </w:rPr>
            <w:t>Provide high-quality worksites and overall participant and employer satisfaction.</w:t>
          </w:r>
        </w:p>
        <w:p w14:paraId="6D585974" w14:textId="43CB2964" w:rsidR="00FF033F" w:rsidRDefault="00FF033F" w:rsidP="00FF033F">
          <w:pPr>
            <w:widowControl w:val="0"/>
            <w:spacing w:before="0" w:after="0" w:line="240" w:lineRule="auto"/>
            <w:ind w:right="180"/>
            <w:rPr>
              <w:lang w:bidi="ar-SA"/>
            </w:rPr>
          </w:pPr>
        </w:p>
        <w:p w14:paraId="1FA7F3A8" w14:textId="3BF55E2C" w:rsidR="00FF033F" w:rsidRPr="005B3536" w:rsidRDefault="00FF033F" w:rsidP="00C01845">
          <w:pPr>
            <w:widowControl w:val="0"/>
            <w:spacing w:before="0" w:after="0"/>
            <w:ind w:right="180"/>
            <w:rPr>
              <w:rFonts w:asciiTheme="majorHAnsi" w:hAnsiTheme="majorHAnsi"/>
            </w:rPr>
          </w:pPr>
          <w:r w:rsidRPr="005B3536">
            <w:rPr>
              <w:rFonts w:asciiTheme="majorHAnsi" w:hAnsiTheme="majorHAnsi"/>
            </w:rPr>
            <w:t xml:space="preserve">Based on the language in M.S. </w:t>
          </w:r>
          <w:hyperlink r:id="rId17" w:history="1">
            <w:r w:rsidRPr="00627CD9">
              <w:rPr>
                <w:rStyle w:val="Hyperlink"/>
                <w:rFonts w:asciiTheme="majorHAnsi" w:hAnsiTheme="majorHAnsi"/>
              </w:rPr>
              <w:t>116L.562</w:t>
            </w:r>
          </w:hyperlink>
          <w:r w:rsidRPr="005B3536">
            <w:rPr>
              <w:rFonts w:asciiTheme="majorHAnsi" w:hAnsiTheme="majorHAnsi"/>
            </w:rPr>
            <w:t xml:space="preserve">, priority </w:t>
          </w:r>
          <w:r>
            <w:rPr>
              <w:rFonts w:asciiTheme="majorHAnsi" w:hAnsiTheme="majorHAnsi"/>
            </w:rPr>
            <w:t>is provided</w:t>
          </w:r>
          <w:r w:rsidRPr="005B3536">
            <w:rPr>
              <w:rFonts w:asciiTheme="majorHAnsi" w:hAnsiTheme="majorHAnsi"/>
            </w:rPr>
            <w:t xml:space="preserve"> to programs that:</w:t>
          </w:r>
          <w:r w:rsidR="00C01845">
            <w:rPr>
              <w:rFonts w:asciiTheme="majorHAnsi" w:hAnsiTheme="majorHAnsi"/>
            </w:rPr>
            <w:br/>
          </w:r>
        </w:p>
        <w:p w14:paraId="093B2A35" w14:textId="77777777" w:rsidR="00FF033F" w:rsidRPr="00C01845" w:rsidRDefault="00FF033F" w:rsidP="00C01845">
          <w:pPr>
            <w:pStyle w:val="ListParagraph"/>
            <w:widowControl w:val="0"/>
            <w:numPr>
              <w:ilvl w:val="0"/>
              <w:numId w:val="30"/>
            </w:numPr>
            <w:spacing w:before="0" w:line="240" w:lineRule="auto"/>
            <w:ind w:right="180"/>
            <w:rPr>
              <w:rFonts w:asciiTheme="majorHAnsi" w:hAnsiTheme="majorHAnsi"/>
            </w:rPr>
          </w:pPr>
          <w:r w:rsidRPr="00C01845">
            <w:rPr>
              <w:rFonts w:asciiTheme="majorHAnsi" w:hAnsiTheme="majorHAnsi"/>
            </w:rPr>
            <w:t xml:space="preserve">Provide students with information about education and training requirements for careers in high-growth, in-demand occupations; </w:t>
          </w:r>
          <w:r w:rsidRPr="00C01845">
            <w:rPr>
              <w:rFonts w:asciiTheme="majorHAnsi" w:hAnsiTheme="majorHAnsi"/>
            </w:rPr>
            <w:br/>
          </w:r>
        </w:p>
        <w:p w14:paraId="32D67BC5" w14:textId="77777777" w:rsidR="00C01845" w:rsidRDefault="00FF033F" w:rsidP="00C01845">
          <w:pPr>
            <w:pStyle w:val="ListParagraph"/>
            <w:widowControl w:val="0"/>
            <w:numPr>
              <w:ilvl w:val="0"/>
              <w:numId w:val="30"/>
            </w:numPr>
            <w:spacing w:before="0" w:line="240" w:lineRule="auto"/>
            <w:ind w:right="180"/>
            <w:rPr>
              <w:rFonts w:asciiTheme="majorHAnsi" w:hAnsiTheme="majorHAnsi"/>
            </w:rPr>
          </w:pPr>
          <w:r w:rsidRPr="00C01845">
            <w:rPr>
              <w:rFonts w:asciiTheme="majorHAnsi" w:hAnsiTheme="majorHAnsi"/>
            </w:rPr>
            <w:t xml:space="preserve">Serve youth from communities of color who are under-represented in the workforce; or </w:t>
          </w:r>
          <w:r w:rsidRPr="00C01845">
            <w:rPr>
              <w:rFonts w:asciiTheme="majorHAnsi" w:hAnsiTheme="majorHAnsi"/>
            </w:rPr>
            <w:br/>
          </w:r>
        </w:p>
        <w:p w14:paraId="63FFB53F" w14:textId="1600AC16" w:rsidR="00FF033F" w:rsidRPr="00C01845" w:rsidRDefault="00FF033F" w:rsidP="00C01845">
          <w:pPr>
            <w:pStyle w:val="ListParagraph"/>
            <w:widowControl w:val="0"/>
            <w:numPr>
              <w:ilvl w:val="0"/>
              <w:numId w:val="30"/>
            </w:numPr>
            <w:spacing w:before="0" w:line="240" w:lineRule="auto"/>
            <w:ind w:right="180"/>
            <w:rPr>
              <w:rFonts w:asciiTheme="majorHAnsi" w:hAnsiTheme="majorHAnsi"/>
            </w:rPr>
          </w:pPr>
          <w:r w:rsidRPr="00C01845">
            <w:rPr>
              <w:rFonts w:asciiTheme="majorHAnsi" w:hAnsiTheme="majorHAnsi"/>
            </w:rPr>
            <w:t>Serve youth with disabilities.</w:t>
          </w:r>
        </w:p>
        <w:p w14:paraId="30C2C2FE" w14:textId="77777777" w:rsidR="00C01845" w:rsidRDefault="00C01845" w:rsidP="00C01845">
          <w:pPr>
            <w:widowControl w:val="0"/>
            <w:spacing w:before="0" w:after="0" w:line="240" w:lineRule="auto"/>
            <w:ind w:right="180"/>
            <w:rPr>
              <w:rFonts w:asciiTheme="majorHAnsi" w:hAnsiTheme="majorHAnsi"/>
            </w:rPr>
          </w:pPr>
        </w:p>
        <w:p w14:paraId="243DCFDB" w14:textId="458ECD5F" w:rsidR="00C01845" w:rsidRDefault="00C01845" w:rsidP="00C01845">
          <w:pPr>
            <w:widowControl w:val="0"/>
            <w:spacing w:before="0" w:after="0" w:line="240" w:lineRule="auto"/>
            <w:ind w:right="180"/>
            <w:rPr>
              <w:rFonts w:asciiTheme="majorHAnsi" w:hAnsiTheme="majorHAnsi"/>
            </w:rPr>
          </w:pPr>
          <w:r w:rsidRPr="005B3536">
            <w:rPr>
              <w:rFonts w:asciiTheme="majorHAnsi" w:hAnsiTheme="majorHAnsi"/>
            </w:rPr>
            <w:t xml:space="preserve">Under M.S. </w:t>
          </w:r>
          <w:hyperlink r:id="rId18" w:history="1">
            <w:r w:rsidRPr="00B01F02">
              <w:rPr>
                <w:rStyle w:val="Hyperlink"/>
                <w:rFonts w:asciiTheme="majorHAnsi" w:hAnsiTheme="majorHAnsi"/>
              </w:rPr>
              <w:t>116L.562</w:t>
            </w:r>
          </w:hyperlink>
          <w:r w:rsidRPr="005B3536">
            <w:rPr>
              <w:rFonts w:asciiTheme="majorHAnsi" w:hAnsiTheme="majorHAnsi"/>
            </w:rPr>
            <w:t xml:space="preserve">, </w:t>
          </w:r>
          <w:proofErr w:type="spellStart"/>
          <w:r w:rsidRPr="005B3536">
            <w:rPr>
              <w:rFonts w:asciiTheme="majorHAnsi" w:hAnsiTheme="majorHAnsi"/>
            </w:rPr>
            <w:t>Subd</w:t>
          </w:r>
          <w:proofErr w:type="spellEnd"/>
          <w:r w:rsidRPr="005B3536">
            <w:rPr>
              <w:rFonts w:asciiTheme="majorHAnsi" w:hAnsiTheme="majorHAnsi"/>
            </w:rPr>
            <w:t>. 2, “eligible applicants/organizations” means a local government unit, nonprofit organization, community action agency or a public school district. In addition, applicant agencies:</w:t>
          </w:r>
          <w:r>
            <w:rPr>
              <w:rFonts w:asciiTheme="majorHAnsi" w:hAnsiTheme="majorHAnsi"/>
            </w:rPr>
            <w:br/>
          </w:r>
        </w:p>
        <w:p w14:paraId="088C9792" w14:textId="77777777" w:rsidR="00C01845" w:rsidRPr="00C01845" w:rsidRDefault="00C01845" w:rsidP="00C01845">
          <w:pPr>
            <w:pStyle w:val="ListParagraph"/>
            <w:numPr>
              <w:ilvl w:val="0"/>
              <w:numId w:val="32"/>
            </w:numPr>
            <w:spacing w:before="0" w:after="240" w:line="240" w:lineRule="auto"/>
            <w:rPr>
              <w:rFonts w:asciiTheme="majorHAnsi" w:hAnsiTheme="majorHAnsi"/>
            </w:rPr>
          </w:pPr>
          <w:r w:rsidRPr="00C01845">
            <w:rPr>
              <w:rFonts w:asciiTheme="majorHAnsi" w:hAnsiTheme="majorHAnsi"/>
            </w:rPr>
            <w:t xml:space="preserve">Must have demonstrated effectiveness in administering youth workforce programs and </w:t>
          </w:r>
          <w:r w:rsidRPr="00C01845">
            <w:rPr>
              <w:rFonts w:asciiTheme="majorHAnsi" w:hAnsiTheme="majorHAnsi"/>
              <w:u w:val="single"/>
            </w:rPr>
            <w:t>must</w:t>
          </w:r>
          <w:r w:rsidRPr="00C01845">
            <w:rPr>
              <w:rFonts w:asciiTheme="majorHAnsi" w:hAnsiTheme="majorHAnsi"/>
            </w:rPr>
            <w:t xml:space="preserve"> leverage non-state or private sector funds.</w:t>
          </w:r>
          <w:r w:rsidRPr="00C01845">
            <w:rPr>
              <w:rFonts w:asciiTheme="majorHAnsi" w:hAnsiTheme="majorHAnsi"/>
            </w:rPr>
            <w:br/>
          </w:r>
        </w:p>
        <w:p w14:paraId="3A21F63E" w14:textId="77777777" w:rsidR="00C01845" w:rsidRDefault="00C01845" w:rsidP="00C01845">
          <w:pPr>
            <w:pStyle w:val="ListParagraph"/>
            <w:numPr>
              <w:ilvl w:val="0"/>
              <w:numId w:val="32"/>
            </w:numPr>
            <w:spacing w:before="0" w:after="240" w:line="240" w:lineRule="auto"/>
            <w:rPr>
              <w:rFonts w:asciiTheme="majorHAnsi" w:hAnsiTheme="majorHAnsi"/>
            </w:rPr>
          </w:pPr>
          <w:r w:rsidRPr="00C01845">
            <w:rPr>
              <w:rFonts w:asciiTheme="majorHAnsi" w:hAnsiTheme="majorHAnsi"/>
            </w:rPr>
            <w:t>Must be youth-serving organizations with significant capacity and demonstrable youth development experience and outcomes to operate a youth workforce development project.</w:t>
          </w:r>
          <w:r w:rsidRPr="00C01845">
            <w:rPr>
              <w:rFonts w:asciiTheme="majorHAnsi" w:hAnsiTheme="majorHAnsi"/>
            </w:rPr>
            <w:br/>
          </w:r>
        </w:p>
        <w:p w14:paraId="44BC5EA8" w14:textId="4DF8FB68" w:rsidR="00C01845" w:rsidRDefault="00C01845" w:rsidP="00C01845">
          <w:pPr>
            <w:pStyle w:val="ListParagraph"/>
            <w:numPr>
              <w:ilvl w:val="0"/>
              <w:numId w:val="32"/>
            </w:numPr>
            <w:spacing w:before="0" w:after="240" w:line="240" w:lineRule="auto"/>
            <w:rPr>
              <w:rFonts w:asciiTheme="majorHAnsi" w:hAnsiTheme="majorHAnsi"/>
            </w:rPr>
          </w:pPr>
          <w:r w:rsidRPr="00C01845">
            <w:rPr>
              <w:rFonts w:asciiTheme="majorHAnsi" w:hAnsiTheme="majorHAnsi"/>
            </w:rPr>
            <w:t>If a program is not operated by a local unit of government or a workforce development board, the grant recipient must coordinate the program with the Local Workforce Development Board (LWDB).</w:t>
          </w:r>
        </w:p>
        <w:p w14:paraId="7931FD9F" w14:textId="1A907FEA" w:rsidR="00F157DA" w:rsidRPr="00F157DA" w:rsidRDefault="00182561" w:rsidP="00F157DA">
          <w:pPr>
            <w:pStyle w:val="Heading3"/>
          </w:pPr>
          <w:bookmarkStart w:id="7" w:name="_Toc90271385"/>
          <w:r>
            <w:t>COVID-19 Strategic Response</w:t>
          </w:r>
          <w:bookmarkEnd w:id="7"/>
        </w:p>
        <w:p w14:paraId="7482D854" w14:textId="35CABBB0" w:rsidR="004740E1" w:rsidRDefault="004740E1" w:rsidP="004740E1">
          <w:pPr>
            <w:spacing w:after="240"/>
          </w:pPr>
          <w:r>
            <w:rPr>
              <w:b/>
              <w:bCs/>
            </w:rPr>
            <w:t xml:space="preserve">SFY2020 Response: </w:t>
          </w:r>
          <w:r>
            <w:t xml:space="preserve">With the onset of the COVID-19 health emergency, many Youth at Work Equity grantees faced significant challenges to program delivery. Many public and private sector employers were forced to end work experiences for youth and stop future work experience placements until economic conditions rebounded. The health emergency also required grantees to shift how they engaged with youth.  With social distancing guidelines in place, programs were forced to pivot in-person services to online formats. Laptops and internet hot spots are critical technologies that youth need to complete K-12 educational requirements and employment programming. By providing youth with these technologies, </w:t>
          </w:r>
          <w:proofErr w:type="gramStart"/>
          <w:r>
            <w:t>economically disadvantaged</w:t>
          </w:r>
          <w:proofErr w:type="gramEnd"/>
          <w:r>
            <w:t xml:space="preserve"> and at-risk youth in urban and rural Minnesota are better able to adjust to the current educational and workforce landscape.</w:t>
          </w:r>
        </w:p>
        <w:p w14:paraId="5AB1F40B" w14:textId="77777777" w:rsidR="004740E1" w:rsidRDefault="004740E1" w:rsidP="004740E1">
          <w:r>
            <w:rPr>
              <w:b/>
              <w:bCs/>
            </w:rPr>
            <w:t xml:space="preserve">SFY2021 Response: </w:t>
          </w:r>
          <w:r>
            <w:t xml:space="preserve">The impact of the COVID-19 health emergency continued to impact organizations in SFY 2021. As restrictions have been lifted and the ability to meet and convene youth in person has increased, the programs implemented hybrid – virtual and in-person – models to provide services to youth participants.  Educational supports were provided to help youth stay in school. Without a strong educational background, the road to a family sustaining wage can be more challenging.  Many organizations turned to virtual job training and certificate programs to help youth advance their skills.  Peer to peer technical assistance sessions were held with grantees to share best practices and effective strategies in response to the COVID-19 health emergency. More information about these can be found on DEED’s website: </w:t>
          </w:r>
          <w:hyperlink r:id="rId19" w:history="1">
            <w:r>
              <w:rPr>
                <w:rStyle w:val="Hyperlink"/>
              </w:rPr>
              <w:t>https://mn.gov/deed/programs-services/office-youth-development/special/grants/</w:t>
            </w:r>
          </w:hyperlink>
          <w:r>
            <w:t xml:space="preserve">. </w:t>
          </w:r>
        </w:p>
        <w:p w14:paraId="7F246642" w14:textId="01CCAB25" w:rsidR="007F7097" w:rsidRPr="00E41BD2" w:rsidRDefault="00C01845" w:rsidP="00C356DB">
          <w:pPr>
            <w:pStyle w:val="Heading3"/>
          </w:pPr>
          <w:bookmarkStart w:id="8" w:name="_Toc90271386"/>
          <w:r>
            <w:t>Overview of Request for Proposals Process</w:t>
          </w:r>
          <w:bookmarkEnd w:id="8"/>
        </w:p>
        <w:p w14:paraId="3CEA92D4" w14:textId="77777777" w:rsidR="00C01845" w:rsidRDefault="00C01845" w:rsidP="00C01845">
          <w:pPr>
            <w:pStyle w:val="ListParagraph"/>
            <w:numPr>
              <w:ilvl w:val="0"/>
              <w:numId w:val="33"/>
            </w:numPr>
            <w:spacing w:before="0" w:after="0" w:line="240" w:lineRule="auto"/>
            <w:contextualSpacing w:val="0"/>
            <w:rPr>
              <w:rFonts w:asciiTheme="majorHAnsi" w:hAnsiTheme="majorHAnsi"/>
            </w:rPr>
          </w:pPr>
          <w:r w:rsidRPr="005B3536">
            <w:rPr>
              <w:rFonts w:asciiTheme="majorHAnsi" w:hAnsiTheme="majorHAnsi"/>
            </w:rPr>
            <w:t xml:space="preserve">The RFP was </w:t>
          </w:r>
          <w:r>
            <w:rPr>
              <w:rFonts w:asciiTheme="majorHAnsi" w:hAnsiTheme="majorHAnsi"/>
            </w:rPr>
            <w:t>posted on DEED’s website on February 20, 2019</w:t>
          </w:r>
          <w:r w:rsidRPr="005B3536">
            <w:rPr>
              <w:rFonts w:asciiTheme="majorHAnsi" w:hAnsiTheme="majorHAnsi"/>
            </w:rPr>
            <w:t xml:space="preserve"> </w:t>
          </w:r>
          <w:r>
            <w:rPr>
              <w:rFonts w:asciiTheme="majorHAnsi" w:hAnsiTheme="majorHAnsi"/>
            </w:rPr>
            <w:t>under</w:t>
          </w:r>
          <w:r w:rsidRPr="005B3536">
            <w:rPr>
              <w:rFonts w:asciiTheme="majorHAnsi" w:hAnsiTheme="majorHAnsi"/>
            </w:rPr>
            <w:t xml:space="preserve"> </w:t>
          </w:r>
          <w:hyperlink r:id="rId20" w:history="1">
            <w:r w:rsidRPr="006A78C5">
              <w:rPr>
                <w:rStyle w:val="Hyperlink"/>
                <w:rFonts w:asciiTheme="majorHAnsi" w:hAnsiTheme="majorHAnsi"/>
              </w:rPr>
              <w:t>Grant and Contract Opportunities</w:t>
            </w:r>
          </w:hyperlink>
          <w:r>
            <w:rPr>
              <w:rFonts w:asciiTheme="majorHAnsi" w:hAnsiTheme="majorHAnsi"/>
            </w:rPr>
            <w:t xml:space="preserve">. </w:t>
          </w:r>
          <w:r>
            <w:rPr>
              <w:rFonts w:asciiTheme="majorHAnsi" w:hAnsiTheme="majorHAnsi"/>
            </w:rPr>
            <w:br/>
          </w:r>
        </w:p>
        <w:p w14:paraId="07440876" w14:textId="084D167C" w:rsidR="00C01845" w:rsidRDefault="00C01845" w:rsidP="00C01845">
          <w:pPr>
            <w:pStyle w:val="ListParagraph"/>
            <w:numPr>
              <w:ilvl w:val="0"/>
              <w:numId w:val="33"/>
            </w:numPr>
            <w:spacing w:before="0" w:after="0" w:line="240" w:lineRule="auto"/>
            <w:contextualSpacing w:val="0"/>
            <w:rPr>
              <w:rFonts w:asciiTheme="majorHAnsi" w:hAnsiTheme="majorHAnsi"/>
            </w:rPr>
          </w:pPr>
          <w:r w:rsidRPr="003A7B85">
            <w:rPr>
              <w:rFonts w:asciiTheme="majorHAnsi" w:hAnsiTheme="majorHAnsi"/>
            </w:rPr>
            <w:t>The DEED Communications team</w:t>
          </w:r>
          <w:r>
            <w:rPr>
              <w:rFonts w:asciiTheme="majorHAnsi" w:hAnsiTheme="majorHAnsi"/>
            </w:rPr>
            <w:t xml:space="preserve"> proactively</w:t>
          </w:r>
          <w:r w:rsidRPr="003A7B85">
            <w:rPr>
              <w:rFonts w:asciiTheme="majorHAnsi" w:hAnsiTheme="majorHAnsi"/>
            </w:rPr>
            <w:t xml:space="preserve"> notified individuals, organizations, the Governor’s Workforce Development Board, Councils of Color</w:t>
          </w:r>
          <w:r>
            <w:rPr>
              <w:rFonts w:asciiTheme="majorHAnsi" w:hAnsiTheme="majorHAnsi"/>
            </w:rPr>
            <w:t xml:space="preserve">, and an extensive list of </w:t>
          </w:r>
          <w:r w:rsidRPr="003A7B85">
            <w:rPr>
              <w:rFonts w:asciiTheme="majorHAnsi" w:hAnsiTheme="majorHAnsi"/>
            </w:rPr>
            <w:t>interested parties regarding the release of the</w:t>
          </w:r>
          <w:r>
            <w:rPr>
              <w:rFonts w:asciiTheme="majorHAnsi" w:hAnsiTheme="majorHAnsi"/>
            </w:rPr>
            <w:t xml:space="preserve"> Request for Proposal (RFP)</w:t>
          </w:r>
          <w:r w:rsidRPr="003A7B85">
            <w:rPr>
              <w:rFonts w:asciiTheme="majorHAnsi" w:hAnsiTheme="majorHAnsi"/>
            </w:rPr>
            <w:t xml:space="preserve"> </w:t>
          </w:r>
          <w:r>
            <w:rPr>
              <w:rFonts w:asciiTheme="majorHAnsi" w:hAnsiTheme="majorHAnsi"/>
            </w:rPr>
            <w:t xml:space="preserve">for the </w:t>
          </w:r>
          <w:r w:rsidRPr="003A7B85">
            <w:rPr>
              <w:rFonts w:asciiTheme="majorHAnsi" w:hAnsiTheme="majorHAnsi"/>
            </w:rPr>
            <w:t xml:space="preserve">Youth at Work Competitive Grant. The Youth Development team shared the Youth at Work RFP with the Shared Vision for Youth interagency workgroup and their networks. Also, pursuant to State </w:t>
          </w:r>
          <w:r>
            <w:rPr>
              <w:rFonts w:asciiTheme="majorHAnsi" w:hAnsiTheme="majorHAnsi"/>
            </w:rPr>
            <w:t>law, the State Register included</w:t>
          </w:r>
          <w:r w:rsidRPr="003A7B85">
            <w:rPr>
              <w:rFonts w:asciiTheme="majorHAnsi" w:hAnsiTheme="majorHAnsi"/>
            </w:rPr>
            <w:t xml:space="preserve"> information about RFPs available through DEED including the Youth at Work Competitive Grant.</w:t>
          </w:r>
        </w:p>
        <w:p w14:paraId="10644ACC" w14:textId="77777777" w:rsidR="00C01845" w:rsidRPr="00C01845" w:rsidRDefault="00C01845" w:rsidP="00C01845">
          <w:pPr>
            <w:pStyle w:val="ListParagraph"/>
            <w:numPr>
              <w:ilvl w:val="0"/>
              <w:numId w:val="0"/>
            </w:numPr>
            <w:spacing w:before="0" w:after="0" w:line="240" w:lineRule="auto"/>
            <w:ind w:left="900"/>
            <w:contextualSpacing w:val="0"/>
            <w:rPr>
              <w:rFonts w:asciiTheme="majorHAnsi" w:hAnsiTheme="majorHAnsi"/>
            </w:rPr>
          </w:pPr>
        </w:p>
        <w:p w14:paraId="78277FDE" w14:textId="4CFC392E" w:rsidR="00C01845" w:rsidRPr="00C01845" w:rsidRDefault="00C01845" w:rsidP="00C01845">
          <w:pPr>
            <w:pStyle w:val="ListParagraph"/>
            <w:numPr>
              <w:ilvl w:val="0"/>
              <w:numId w:val="33"/>
            </w:numPr>
            <w:spacing w:before="0" w:after="0" w:line="240" w:lineRule="auto"/>
            <w:contextualSpacing w:val="0"/>
            <w:rPr>
              <w:rFonts w:asciiTheme="majorHAnsi" w:hAnsiTheme="majorHAnsi"/>
            </w:rPr>
          </w:pPr>
          <w:r w:rsidRPr="005B3536">
            <w:rPr>
              <w:rFonts w:asciiTheme="majorHAnsi" w:hAnsiTheme="majorHAnsi"/>
            </w:rPr>
            <w:t xml:space="preserve">The RFP directed potential applicants to submit </w:t>
          </w:r>
          <w:r>
            <w:rPr>
              <w:rFonts w:asciiTheme="majorHAnsi" w:hAnsiTheme="majorHAnsi"/>
            </w:rPr>
            <w:t>all</w:t>
          </w:r>
          <w:r w:rsidRPr="005B3536">
            <w:rPr>
              <w:rFonts w:asciiTheme="majorHAnsi" w:hAnsiTheme="majorHAnsi"/>
            </w:rPr>
            <w:t xml:space="preserve"> questions </w:t>
          </w:r>
          <w:r>
            <w:rPr>
              <w:rFonts w:asciiTheme="majorHAnsi" w:hAnsiTheme="majorHAnsi"/>
            </w:rPr>
            <w:t>on the</w:t>
          </w:r>
          <w:r w:rsidRPr="005B3536">
            <w:rPr>
              <w:rFonts w:asciiTheme="majorHAnsi" w:hAnsiTheme="majorHAnsi"/>
            </w:rPr>
            <w:t xml:space="preserve"> RFP in writing via e-mail to a specified DEED </w:t>
          </w:r>
          <w:r>
            <w:rPr>
              <w:rFonts w:asciiTheme="majorHAnsi" w:hAnsiTheme="majorHAnsi"/>
            </w:rPr>
            <w:t>contact</w:t>
          </w:r>
          <w:r w:rsidRPr="005B3536">
            <w:rPr>
              <w:rFonts w:asciiTheme="majorHAnsi" w:hAnsiTheme="majorHAnsi"/>
            </w:rPr>
            <w:t>.  All questions submitted in writing</w:t>
          </w:r>
          <w:r>
            <w:rPr>
              <w:rFonts w:asciiTheme="majorHAnsi" w:hAnsiTheme="majorHAnsi"/>
            </w:rPr>
            <w:t xml:space="preserve"> were answered</w:t>
          </w:r>
          <w:r w:rsidRPr="005B3536">
            <w:rPr>
              <w:rFonts w:asciiTheme="majorHAnsi" w:hAnsiTheme="majorHAnsi"/>
            </w:rPr>
            <w:t xml:space="preserve"> </w:t>
          </w:r>
          <w:r>
            <w:rPr>
              <w:rFonts w:asciiTheme="majorHAnsi" w:hAnsiTheme="majorHAnsi"/>
            </w:rPr>
            <w:t>on a weekly basis</w:t>
          </w:r>
          <w:r w:rsidRPr="005B3536">
            <w:rPr>
              <w:rFonts w:asciiTheme="majorHAnsi" w:hAnsiTheme="majorHAnsi"/>
            </w:rPr>
            <w:t xml:space="preserve"> and </w:t>
          </w:r>
          <w:r w:rsidRPr="005B3536">
            <w:rPr>
              <w:rFonts w:asciiTheme="majorHAnsi" w:hAnsiTheme="majorHAnsi"/>
            </w:rPr>
            <w:lastRenderedPageBreak/>
            <w:t xml:space="preserve">published on DEED’s </w:t>
          </w:r>
          <w:hyperlink r:id="rId21" w:history="1">
            <w:r w:rsidRPr="006A78C5">
              <w:rPr>
                <w:rStyle w:val="Hyperlink"/>
                <w:rFonts w:asciiTheme="majorHAnsi" w:hAnsiTheme="majorHAnsi"/>
              </w:rPr>
              <w:t>Grant and Contract Opportunities</w:t>
            </w:r>
          </w:hyperlink>
          <w:r w:rsidRPr="005B3536">
            <w:rPr>
              <w:rFonts w:asciiTheme="majorHAnsi" w:hAnsiTheme="majorHAnsi"/>
            </w:rPr>
            <w:t xml:space="preserve"> website. </w:t>
          </w:r>
          <w:r>
            <w:rPr>
              <w:rFonts w:asciiTheme="majorHAnsi" w:hAnsiTheme="majorHAnsi"/>
            </w:rPr>
            <w:br/>
          </w:r>
        </w:p>
        <w:p w14:paraId="1EEF251A" w14:textId="77777777" w:rsidR="00C01845" w:rsidRDefault="00C01845" w:rsidP="00C01845">
          <w:pPr>
            <w:pStyle w:val="ListParagraph"/>
            <w:numPr>
              <w:ilvl w:val="0"/>
              <w:numId w:val="33"/>
            </w:numPr>
            <w:spacing w:before="0" w:after="0" w:line="240" w:lineRule="auto"/>
            <w:contextualSpacing w:val="0"/>
            <w:rPr>
              <w:rFonts w:asciiTheme="majorHAnsi" w:hAnsiTheme="majorHAnsi"/>
            </w:rPr>
          </w:pPr>
          <w:r w:rsidRPr="005B3536">
            <w:rPr>
              <w:rFonts w:asciiTheme="majorHAnsi" w:hAnsiTheme="majorHAnsi"/>
            </w:rPr>
            <w:t>DEED’s Office of Youth Development hosted an Informational Webinar about the</w:t>
          </w:r>
          <w:r>
            <w:rPr>
              <w:rFonts w:asciiTheme="majorHAnsi" w:hAnsiTheme="majorHAnsi"/>
            </w:rPr>
            <w:t xml:space="preserve"> Youth at Work</w:t>
          </w:r>
          <w:r w:rsidRPr="005B3536">
            <w:rPr>
              <w:rFonts w:asciiTheme="majorHAnsi" w:hAnsiTheme="majorHAnsi"/>
            </w:rPr>
            <w:t xml:space="preserve"> funding opportunity on </w:t>
          </w:r>
          <w:r>
            <w:rPr>
              <w:rFonts w:asciiTheme="majorHAnsi" w:hAnsiTheme="majorHAnsi"/>
            </w:rPr>
            <w:t>Wednesday, March 6, 2019</w:t>
          </w:r>
          <w:r w:rsidRPr="005B3536">
            <w:rPr>
              <w:rFonts w:asciiTheme="majorHAnsi" w:hAnsiTheme="majorHAnsi"/>
            </w:rPr>
            <w:t>.  A link to the recorded webinar was available</w:t>
          </w:r>
          <w:r>
            <w:rPr>
              <w:rFonts w:asciiTheme="majorHAnsi" w:hAnsiTheme="majorHAnsi"/>
            </w:rPr>
            <w:t xml:space="preserve"> on demand </w:t>
          </w:r>
          <w:r w:rsidRPr="005B3536">
            <w:rPr>
              <w:rFonts w:asciiTheme="majorHAnsi" w:hAnsiTheme="majorHAnsi"/>
            </w:rPr>
            <w:t xml:space="preserve">on DEED’s </w:t>
          </w:r>
          <w:hyperlink r:id="rId22" w:history="1">
            <w:r w:rsidRPr="006A78C5">
              <w:rPr>
                <w:rStyle w:val="Hyperlink"/>
                <w:rFonts w:asciiTheme="majorHAnsi" w:hAnsiTheme="majorHAnsi"/>
              </w:rPr>
              <w:t>Grant and Contract Opportunities</w:t>
            </w:r>
          </w:hyperlink>
          <w:r w:rsidRPr="005B3536">
            <w:rPr>
              <w:rFonts w:asciiTheme="majorHAnsi" w:hAnsiTheme="majorHAnsi"/>
            </w:rPr>
            <w:t xml:space="preserve"> webpage. </w:t>
          </w:r>
          <w:r>
            <w:rPr>
              <w:rFonts w:asciiTheme="majorHAnsi" w:hAnsiTheme="majorHAnsi"/>
            </w:rPr>
            <w:br/>
          </w:r>
        </w:p>
        <w:p w14:paraId="576F0AE5" w14:textId="77777777" w:rsidR="00C01845" w:rsidRPr="0050666E" w:rsidRDefault="00C01845" w:rsidP="00C01845">
          <w:pPr>
            <w:pStyle w:val="ListParagraph"/>
            <w:numPr>
              <w:ilvl w:val="0"/>
              <w:numId w:val="33"/>
            </w:numPr>
            <w:spacing w:before="0" w:after="0" w:line="240" w:lineRule="auto"/>
            <w:contextualSpacing w:val="0"/>
            <w:rPr>
              <w:rFonts w:asciiTheme="majorHAnsi" w:hAnsiTheme="majorHAnsi"/>
            </w:rPr>
          </w:pPr>
          <w:r>
            <w:rPr>
              <w:rFonts w:asciiTheme="majorHAnsi" w:hAnsiTheme="majorHAnsi"/>
            </w:rPr>
            <w:t xml:space="preserve">DEED’s Office of Youth Development received </w:t>
          </w:r>
          <w:r w:rsidRPr="00C01845">
            <w:rPr>
              <w:rFonts w:asciiTheme="majorHAnsi" w:hAnsiTheme="majorHAnsi"/>
              <w:b/>
            </w:rPr>
            <w:t>70</w:t>
          </w:r>
          <w:r>
            <w:rPr>
              <w:rFonts w:asciiTheme="majorHAnsi" w:hAnsiTheme="majorHAnsi"/>
            </w:rPr>
            <w:t xml:space="preserve"> proposals requesting </w:t>
          </w:r>
          <w:r w:rsidRPr="00C01845">
            <w:rPr>
              <w:rFonts w:asciiTheme="majorHAnsi" w:hAnsiTheme="majorHAnsi"/>
              <w:b/>
            </w:rPr>
            <w:t>more than $21.5 million dollars</w:t>
          </w:r>
          <w:r>
            <w:rPr>
              <w:rFonts w:asciiTheme="majorHAnsi" w:hAnsiTheme="majorHAnsi"/>
            </w:rPr>
            <w:t xml:space="preserve">. Approximately </w:t>
          </w:r>
          <w:r w:rsidRPr="00C01845">
            <w:rPr>
              <w:rFonts w:asciiTheme="majorHAnsi" w:hAnsiTheme="majorHAnsi"/>
              <w:b/>
            </w:rPr>
            <w:t>80%</w:t>
          </w:r>
          <w:r>
            <w:rPr>
              <w:rFonts w:asciiTheme="majorHAnsi" w:hAnsiTheme="majorHAnsi"/>
            </w:rPr>
            <w:t xml:space="preserve"> of funds requested focused on the Twin Cities area; </w:t>
          </w:r>
          <w:r w:rsidRPr="00C01845">
            <w:rPr>
              <w:rFonts w:asciiTheme="majorHAnsi" w:hAnsiTheme="majorHAnsi"/>
              <w:b/>
            </w:rPr>
            <w:t>20%</w:t>
          </w:r>
          <w:r>
            <w:rPr>
              <w:rFonts w:asciiTheme="majorHAnsi" w:hAnsiTheme="majorHAnsi"/>
            </w:rPr>
            <w:t xml:space="preserve"> of funds focused on Greater Minnesota. Approximately </w:t>
          </w:r>
          <w:r w:rsidRPr="00C01845">
            <w:rPr>
              <w:rFonts w:asciiTheme="majorHAnsi" w:hAnsiTheme="majorHAnsi"/>
              <w:b/>
            </w:rPr>
            <w:t>78%</w:t>
          </w:r>
          <w:r>
            <w:rPr>
              <w:rFonts w:asciiTheme="majorHAnsi" w:hAnsiTheme="majorHAnsi"/>
            </w:rPr>
            <w:t xml:space="preserve"> of available funds were allocated to the Twin Cities area and </w:t>
          </w:r>
          <w:r w:rsidRPr="00C01845">
            <w:rPr>
              <w:rFonts w:asciiTheme="majorHAnsi" w:hAnsiTheme="majorHAnsi"/>
              <w:b/>
            </w:rPr>
            <w:t>22%</w:t>
          </w:r>
          <w:r>
            <w:rPr>
              <w:rFonts w:asciiTheme="majorHAnsi" w:hAnsiTheme="majorHAnsi"/>
            </w:rPr>
            <w:t xml:space="preserve"> allocated to Greater Minnesota.</w:t>
          </w:r>
        </w:p>
        <w:p w14:paraId="7F246647" w14:textId="775F627F" w:rsidR="00C365CE" w:rsidRDefault="00C01845" w:rsidP="00C01845">
          <w:pPr>
            <w:pStyle w:val="Heading3"/>
          </w:pPr>
          <w:bookmarkStart w:id="9" w:name="_Toc90271387"/>
          <w:r>
            <w:t>Selection of Grantees</w:t>
          </w:r>
          <w:bookmarkEnd w:id="9"/>
        </w:p>
        <w:p w14:paraId="55BD7991" w14:textId="11FB638B" w:rsidR="00C01845" w:rsidRPr="00C01845" w:rsidRDefault="00C01845" w:rsidP="00C01845">
          <w:pPr>
            <w:pStyle w:val="NoSpacing"/>
            <w:rPr>
              <w:rFonts w:asciiTheme="majorHAnsi" w:hAnsiTheme="majorHAnsi" w:cs="Times New Roman"/>
            </w:rPr>
          </w:pPr>
          <w:r w:rsidRPr="00C01845">
            <w:rPr>
              <w:rFonts w:asciiTheme="majorHAnsi" w:hAnsiTheme="majorHAnsi" w:cs="Times New Roman"/>
              <w:b/>
            </w:rPr>
            <w:t>Over $21.6 million in funding requests were submitted to DEED. Only $3,893,100 was available for grant awards in the SFY</w:t>
          </w:r>
          <w:r>
            <w:rPr>
              <w:rFonts w:asciiTheme="majorHAnsi" w:hAnsiTheme="majorHAnsi" w:cs="Times New Roman"/>
              <w:b/>
            </w:rPr>
            <w:t xml:space="preserve"> </w:t>
          </w:r>
          <w:r w:rsidRPr="00C01845">
            <w:rPr>
              <w:rFonts w:asciiTheme="majorHAnsi" w:hAnsiTheme="majorHAnsi" w:cs="Times New Roman"/>
              <w:b/>
            </w:rPr>
            <w:t xml:space="preserve">2020-21 funding cycle. </w:t>
          </w:r>
          <w:r w:rsidRPr="00C01845">
            <w:rPr>
              <w:rFonts w:asciiTheme="majorHAnsi" w:hAnsiTheme="majorHAnsi" w:cs="Times New Roman"/>
            </w:rPr>
            <w:t xml:space="preserve"> All proposals were read and scored by a team of Community and State-level reviewers. The following 39 organizations were recommended for funding: </w:t>
          </w:r>
        </w:p>
        <w:p w14:paraId="50B3DA96" w14:textId="6E3BDFAB" w:rsidR="00C01845" w:rsidRDefault="00B02D5F" w:rsidP="00C01845">
          <w:pPr>
            <w:pStyle w:val="NoSpacing"/>
            <w:rPr>
              <w:rFonts w:asciiTheme="majorHAnsi" w:hAnsiTheme="majorHAnsi" w:cs="Times New Roman"/>
            </w:rPr>
          </w:pPr>
        </w:p>
      </w:sdtContent>
    </w:sdt>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3285"/>
        <w:gridCol w:w="1800"/>
        <w:gridCol w:w="1800"/>
      </w:tblGrid>
      <w:tr w:rsidR="00BA4A80" w:rsidRPr="00A87B7B" w14:paraId="6C13C1C9" w14:textId="77777777" w:rsidTr="001562C6">
        <w:trPr>
          <w:cantSplit/>
          <w:trHeight w:val="638"/>
          <w:tblHeader/>
        </w:trPr>
        <w:tc>
          <w:tcPr>
            <w:tcW w:w="3280" w:type="dxa"/>
            <w:shd w:val="clear" w:color="auto" w:fill="D9D9D9" w:themeFill="background1" w:themeFillShade="D9"/>
            <w:vAlign w:val="center"/>
            <w:hideMark/>
          </w:tcPr>
          <w:p w14:paraId="21552E1A" w14:textId="77777777" w:rsidR="00C01845" w:rsidRPr="00303903" w:rsidRDefault="00C01845" w:rsidP="00167050">
            <w:pPr>
              <w:jc w:val="center"/>
              <w:rPr>
                <w:b/>
                <w:bCs/>
              </w:rPr>
            </w:pPr>
            <w:r w:rsidRPr="00303903">
              <w:rPr>
                <w:b/>
                <w:bCs/>
              </w:rPr>
              <w:t>Organization</w:t>
            </w:r>
          </w:p>
        </w:tc>
        <w:tc>
          <w:tcPr>
            <w:tcW w:w="3285" w:type="dxa"/>
            <w:shd w:val="clear" w:color="auto" w:fill="D9D9D9" w:themeFill="background1" w:themeFillShade="D9"/>
            <w:vAlign w:val="center"/>
            <w:hideMark/>
          </w:tcPr>
          <w:p w14:paraId="5BD6591C" w14:textId="77777777" w:rsidR="00C01845" w:rsidRPr="00203863" w:rsidRDefault="00C01845" w:rsidP="00167050">
            <w:pPr>
              <w:jc w:val="center"/>
              <w:rPr>
                <w:b/>
                <w:bCs/>
              </w:rPr>
            </w:pPr>
            <w:r w:rsidRPr="00203863">
              <w:rPr>
                <w:b/>
                <w:bCs/>
              </w:rPr>
              <w:t>Area Served</w:t>
            </w:r>
          </w:p>
        </w:tc>
        <w:tc>
          <w:tcPr>
            <w:tcW w:w="1800" w:type="dxa"/>
            <w:shd w:val="clear" w:color="auto" w:fill="D9D9D9" w:themeFill="background1" w:themeFillShade="D9"/>
            <w:vAlign w:val="center"/>
            <w:hideMark/>
          </w:tcPr>
          <w:p w14:paraId="492573D1" w14:textId="2CB562D1" w:rsidR="00C01845" w:rsidRPr="00203863" w:rsidRDefault="00C01845" w:rsidP="00167050">
            <w:pPr>
              <w:jc w:val="center"/>
              <w:rPr>
                <w:b/>
                <w:bCs/>
              </w:rPr>
            </w:pPr>
            <w:r w:rsidRPr="00203863">
              <w:rPr>
                <w:b/>
                <w:bCs/>
              </w:rPr>
              <w:t>SFY 2020 Grant Award</w:t>
            </w:r>
          </w:p>
        </w:tc>
        <w:tc>
          <w:tcPr>
            <w:tcW w:w="1800" w:type="dxa"/>
            <w:shd w:val="clear" w:color="auto" w:fill="D9D9D9" w:themeFill="background1" w:themeFillShade="D9"/>
            <w:vAlign w:val="center"/>
          </w:tcPr>
          <w:p w14:paraId="3CD9014D" w14:textId="77777777" w:rsidR="00C01845" w:rsidRPr="00203863" w:rsidRDefault="00C01845" w:rsidP="00167050">
            <w:pPr>
              <w:jc w:val="center"/>
              <w:rPr>
                <w:b/>
                <w:bCs/>
              </w:rPr>
            </w:pPr>
            <w:r w:rsidRPr="00203863">
              <w:rPr>
                <w:b/>
                <w:bCs/>
              </w:rPr>
              <w:t>SFY 2021 Grant Award</w:t>
            </w:r>
          </w:p>
        </w:tc>
      </w:tr>
      <w:tr w:rsidR="00770E74" w:rsidRPr="00A87B7B" w14:paraId="7B1BEB8D" w14:textId="77777777" w:rsidTr="001562C6">
        <w:trPr>
          <w:trHeight w:val="510"/>
        </w:trPr>
        <w:tc>
          <w:tcPr>
            <w:tcW w:w="3280" w:type="dxa"/>
            <w:shd w:val="clear" w:color="000000" w:fill="FFFFFF"/>
            <w:vAlign w:val="center"/>
          </w:tcPr>
          <w:p w14:paraId="4CFE1B8D" w14:textId="77777777" w:rsidR="00C01845" w:rsidRPr="00303903" w:rsidRDefault="00C01845" w:rsidP="00167050">
            <w:pPr>
              <w:jc w:val="center"/>
              <w:rPr>
                <w:b/>
                <w:color w:val="000000"/>
                <w:sz w:val="20"/>
                <w:szCs w:val="20"/>
              </w:rPr>
            </w:pPr>
            <w:r w:rsidRPr="00303903">
              <w:rPr>
                <w:b/>
                <w:color w:val="000000"/>
                <w:sz w:val="20"/>
                <w:szCs w:val="20"/>
              </w:rPr>
              <w:t>City of Minneapolis - STEP-UP</w:t>
            </w:r>
          </w:p>
        </w:tc>
        <w:tc>
          <w:tcPr>
            <w:tcW w:w="3285" w:type="dxa"/>
            <w:shd w:val="clear" w:color="000000" w:fill="FFFFFF"/>
            <w:vAlign w:val="center"/>
          </w:tcPr>
          <w:p w14:paraId="4B73E0D7" w14:textId="77777777" w:rsidR="00C01845" w:rsidRPr="00A87B7B" w:rsidRDefault="00C01845" w:rsidP="00167050">
            <w:pPr>
              <w:jc w:val="center"/>
              <w:rPr>
                <w:color w:val="000000"/>
                <w:sz w:val="20"/>
                <w:szCs w:val="20"/>
              </w:rPr>
            </w:pPr>
            <w:r>
              <w:rPr>
                <w:color w:val="000000"/>
                <w:sz w:val="20"/>
                <w:szCs w:val="20"/>
              </w:rPr>
              <w:t>Minneapolis</w:t>
            </w:r>
          </w:p>
        </w:tc>
        <w:tc>
          <w:tcPr>
            <w:tcW w:w="1800" w:type="dxa"/>
            <w:shd w:val="clear" w:color="000000" w:fill="FFFFFF"/>
            <w:noWrap/>
            <w:vAlign w:val="center"/>
          </w:tcPr>
          <w:p w14:paraId="3785722C" w14:textId="77777777" w:rsidR="00C01845" w:rsidRPr="00A87B7B" w:rsidRDefault="00C01845" w:rsidP="00167050">
            <w:pPr>
              <w:jc w:val="right"/>
              <w:rPr>
                <w:color w:val="000000"/>
                <w:sz w:val="20"/>
                <w:szCs w:val="20"/>
              </w:rPr>
            </w:pPr>
            <w:r>
              <w:rPr>
                <w:color w:val="000000"/>
                <w:sz w:val="20"/>
                <w:szCs w:val="20"/>
              </w:rPr>
              <w:t>$800,000</w:t>
            </w:r>
          </w:p>
        </w:tc>
        <w:tc>
          <w:tcPr>
            <w:tcW w:w="1800" w:type="dxa"/>
            <w:shd w:val="clear" w:color="000000" w:fill="FFFFFF"/>
            <w:vAlign w:val="center"/>
          </w:tcPr>
          <w:p w14:paraId="1579C233" w14:textId="77777777" w:rsidR="00C01845" w:rsidRPr="00A87B7B" w:rsidRDefault="00C01845" w:rsidP="00167050">
            <w:pPr>
              <w:jc w:val="right"/>
              <w:rPr>
                <w:color w:val="000000"/>
                <w:sz w:val="20"/>
                <w:szCs w:val="20"/>
              </w:rPr>
            </w:pPr>
            <w:r>
              <w:rPr>
                <w:color w:val="000000"/>
                <w:sz w:val="20"/>
                <w:szCs w:val="20"/>
              </w:rPr>
              <w:t>$800,000</w:t>
            </w:r>
          </w:p>
        </w:tc>
      </w:tr>
      <w:tr w:rsidR="00770E74" w:rsidRPr="00A87B7B" w14:paraId="23CDF520" w14:textId="77777777" w:rsidTr="007A0AB7">
        <w:trPr>
          <w:trHeight w:val="504"/>
        </w:trPr>
        <w:tc>
          <w:tcPr>
            <w:tcW w:w="3280" w:type="dxa"/>
            <w:shd w:val="clear" w:color="auto" w:fill="D9D9D9" w:themeFill="background1" w:themeFillShade="D9"/>
            <w:vAlign w:val="center"/>
          </w:tcPr>
          <w:p w14:paraId="792875EF" w14:textId="179D89D6" w:rsidR="00C01845" w:rsidRPr="00303903" w:rsidRDefault="00C01845" w:rsidP="00167050">
            <w:pPr>
              <w:jc w:val="center"/>
              <w:rPr>
                <w:b/>
                <w:color w:val="000000"/>
                <w:sz w:val="20"/>
                <w:szCs w:val="20"/>
              </w:rPr>
            </w:pPr>
            <w:r w:rsidRPr="00303903">
              <w:rPr>
                <w:b/>
                <w:color w:val="000000"/>
                <w:sz w:val="20"/>
                <w:szCs w:val="20"/>
              </w:rPr>
              <w:t>City of Saint Paul</w:t>
            </w:r>
            <w:r w:rsidR="00485A89" w:rsidRPr="00303903">
              <w:rPr>
                <w:b/>
                <w:color w:val="000000"/>
                <w:sz w:val="20"/>
                <w:szCs w:val="20"/>
              </w:rPr>
              <w:t xml:space="preserve"> -</w:t>
            </w:r>
            <w:r w:rsidRPr="00303903">
              <w:rPr>
                <w:b/>
                <w:color w:val="000000"/>
                <w:sz w:val="20"/>
                <w:szCs w:val="20"/>
              </w:rPr>
              <w:t xml:space="preserve"> Right Track</w:t>
            </w:r>
          </w:p>
        </w:tc>
        <w:tc>
          <w:tcPr>
            <w:tcW w:w="3285" w:type="dxa"/>
            <w:shd w:val="clear" w:color="auto" w:fill="D9D9D9" w:themeFill="background1" w:themeFillShade="D9"/>
            <w:vAlign w:val="center"/>
          </w:tcPr>
          <w:p w14:paraId="20413974" w14:textId="77777777" w:rsidR="00C01845" w:rsidRPr="00A87B7B" w:rsidRDefault="00C01845" w:rsidP="00167050">
            <w:pPr>
              <w:jc w:val="center"/>
              <w:rPr>
                <w:color w:val="000000"/>
                <w:sz w:val="20"/>
                <w:szCs w:val="20"/>
              </w:rPr>
            </w:pPr>
            <w:r>
              <w:rPr>
                <w:color w:val="000000"/>
                <w:sz w:val="20"/>
                <w:szCs w:val="20"/>
              </w:rPr>
              <w:t>Saint Paul</w:t>
            </w:r>
          </w:p>
        </w:tc>
        <w:tc>
          <w:tcPr>
            <w:tcW w:w="1800" w:type="dxa"/>
            <w:shd w:val="clear" w:color="auto" w:fill="D9D9D9" w:themeFill="background1" w:themeFillShade="D9"/>
            <w:noWrap/>
            <w:vAlign w:val="center"/>
          </w:tcPr>
          <w:p w14:paraId="0145D2B6" w14:textId="77777777" w:rsidR="00C01845" w:rsidRPr="00A87B7B" w:rsidRDefault="00C01845" w:rsidP="00167050">
            <w:pPr>
              <w:jc w:val="right"/>
              <w:rPr>
                <w:color w:val="000000"/>
                <w:sz w:val="20"/>
                <w:szCs w:val="20"/>
              </w:rPr>
            </w:pPr>
            <w:r>
              <w:rPr>
                <w:color w:val="000000"/>
                <w:sz w:val="20"/>
                <w:szCs w:val="20"/>
              </w:rPr>
              <w:t>$700,000</w:t>
            </w:r>
          </w:p>
        </w:tc>
        <w:tc>
          <w:tcPr>
            <w:tcW w:w="1800" w:type="dxa"/>
            <w:shd w:val="clear" w:color="auto" w:fill="D9D9D9" w:themeFill="background1" w:themeFillShade="D9"/>
            <w:vAlign w:val="center"/>
          </w:tcPr>
          <w:p w14:paraId="6EB1531A" w14:textId="77777777" w:rsidR="00C01845" w:rsidRPr="00A87B7B" w:rsidRDefault="00C01845" w:rsidP="00167050">
            <w:pPr>
              <w:jc w:val="right"/>
              <w:rPr>
                <w:color w:val="000000"/>
                <w:sz w:val="20"/>
                <w:szCs w:val="20"/>
              </w:rPr>
            </w:pPr>
            <w:r>
              <w:rPr>
                <w:color w:val="000000"/>
                <w:sz w:val="20"/>
                <w:szCs w:val="20"/>
              </w:rPr>
              <w:t>$700,000</w:t>
            </w:r>
          </w:p>
        </w:tc>
      </w:tr>
      <w:tr w:rsidR="00770E74" w:rsidRPr="00A87B7B" w14:paraId="4932C834" w14:textId="77777777" w:rsidTr="007A0AB7">
        <w:trPr>
          <w:trHeight w:val="300"/>
        </w:trPr>
        <w:tc>
          <w:tcPr>
            <w:tcW w:w="3280" w:type="dxa"/>
            <w:shd w:val="clear" w:color="auto" w:fill="auto"/>
            <w:vAlign w:val="center"/>
          </w:tcPr>
          <w:p w14:paraId="2F418233" w14:textId="70AD51B3" w:rsidR="00C01845" w:rsidRPr="00303903" w:rsidRDefault="00C01845" w:rsidP="00167050">
            <w:pPr>
              <w:jc w:val="center"/>
              <w:rPr>
                <w:b/>
                <w:color w:val="000000"/>
                <w:sz w:val="20"/>
                <w:szCs w:val="20"/>
              </w:rPr>
            </w:pPr>
            <w:r w:rsidRPr="00303903">
              <w:rPr>
                <w:b/>
                <w:color w:val="000000"/>
                <w:sz w:val="20"/>
                <w:szCs w:val="20"/>
              </w:rPr>
              <w:t>Minneapolis Park and Recreation Board</w:t>
            </w:r>
          </w:p>
        </w:tc>
        <w:tc>
          <w:tcPr>
            <w:tcW w:w="3285" w:type="dxa"/>
            <w:shd w:val="clear" w:color="auto" w:fill="auto"/>
            <w:vAlign w:val="center"/>
          </w:tcPr>
          <w:p w14:paraId="7F2CB37E" w14:textId="77777777" w:rsidR="00C01845" w:rsidRPr="00A87B7B" w:rsidRDefault="00C01845" w:rsidP="00167050">
            <w:pPr>
              <w:jc w:val="center"/>
              <w:rPr>
                <w:color w:val="000000"/>
                <w:sz w:val="20"/>
                <w:szCs w:val="20"/>
              </w:rPr>
            </w:pPr>
            <w:r>
              <w:rPr>
                <w:color w:val="000000"/>
                <w:sz w:val="20"/>
                <w:szCs w:val="20"/>
              </w:rPr>
              <w:t>Minneapolis</w:t>
            </w:r>
          </w:p>
        </w:tc>
        <w:tc>
          <w:tcPr>
            <w:tcW w:w="1800" w:type="dxa"/>
            <w:shd w:val="clear" w:color="auto" w:fill="auto"/>
            <w:noWrap/>
            <w:vAlign w:val="center"/>
          </w:tcPr>
          <w:p w14:paraId="70EEE839" w14:textId="77777777" w:rsidR="00C01845" w:rsidRPr="00A87B7B" w:rsidRDefault="00C01845" w:rsidP="00167050">
            <w:pPr>
              <w:jc w:val="right"/>
              <w:rPr>
                <w:color w:val="000000"/>
                <w:sz w:val="20"/>
                <w:szCs w:val="20"/>
              </w:rPr>
            </w:pPr>
            <w:r>
              <w:rPr>
                <w:color w:val="000000"/>
                <w:sz w:val="20"/>
                <w:szCs w:val="20"/>
              </w:rPr>
              <w:t>$200,000</w:t>
            </w:r>
          </w:p>
        </w:tc>
        <w:tc>
          <w:tcPr>
            <w:tcW w:w="1800" w:type="dxa"/>
            <w:shd w:val="clear" w:color="auto" w:fill="auto"/>
            <w:vAlign w:val="center"/>
          </w:tcPr>
          <w:p w14:paraId="184FD1DD" w14:textId="77777777" w:rsidR="00C01845" w:rsidRPr="00A87B7B" w:rsidRDefault="00C01845" w:rsidP="00167050">
            <w:pPr>
              <w:jc w:val="right"/>
              <w:rPr>
                <w:color w:val="000000"/>
                <w:sz w:val="20"/>
                <w:szCs w:val="20"/>
              </w:rPr>
            </w:pPr>
            <w:r>
              <w:rPr>
                <w:color w:val="000000"/>
                <w:sz w:val="20"/>
                <w:szCs w:val="20"/>
              </w:rPr>
              <w:t>$200,000</w:t>
            </w:r>
          </w:p>
        </w:tc>
      </w:tr>
      <w:tr w:rsidR="00770E74" w:rsidRPr="00A87B7B" w14:paraId="01947098" w14:textId="77777777" w:rsidTr="007A0AB7">
        <w:trPr>
          <w:trHeight w:val="510"/>
        </w:trPr>
        <w:tc>
          <w:tcPr>
            <w:tcW w:w="3280" w:type="dxa"/>
            <w:shd w:val="clear" w:color="auto" w:fill="D9D9D9" w:themeFill="background1" w:themeFillShade="D9"/>
            <w:vAlign w:val="center"/>
          </w:tcPr>
          <w:p w14:paraId="204BACC1" w14:textId="39CD16B4" w:rsidR="00C01845" w:rsidRPr="00303903" w:rsidRDefault="00C01845" w:rsidP="00167050">
            <w:pPr>
              <w:jc w:val="center"/>
              <w:rPr>
                <w:b/>
                <w:color w:val="000000"/>
                <w:sz w:val="20"/>
                <w:szCs w:val="20"/>
              </w:rPr>
            </w:pPr>
            <w:r w:rsidRPr="00303903">
              <w:rPr>
                <w:b/>
                <w:color w:val="000000"/>
                <w:sz w:val="20"/>
                <w:szCs w:val="20"/>
              </w:rPr>
              <w:t>Boys and Girls Clubs of the Twin Cities</w:t>
            </w:r>
          </w:p>
        </w:tc>
        <w:tc>
          <w:tcPr>
            <w:tcW w:w="3285" w:type="dxa"/>
            <w:shd w:val="clear" w:color="auto" w:fill="D9D9D9" w:themeFill="background1" w:themeFillShade="D9"/>
            <w:vAlign w:val="center"/>
          </w:tcPr>
          <w:p w14:paraId="122F1CB7" w14:textId="77777777" w:rsidR="00C01845" w:rsidRPr="00A87B7B" w:rsidRDefault="00C01845" w:rsidP="00167050">
            <w:pPr>
              <w:jc w:val="center"/>
              <w:rPr>
                <w:color w:val="000000"/>
                <w:sz w:val="20"/>
                <w:szCs w:val="20"/>
              </w:rPr>
            </w:pPr>
            <w:r>
              <w:rPr>
                <w:color w:val="000000"/>
                <w:sz w:val="20"/>
                <w:szCs w:val="20"/>
              </w:rPr>
              <w:t>Twin Cities</w:t>
            </w:r>
          </w:p>
        </w:tc>
        <w:tc>
          <w:tcPr>
            <w:tcW w:w="1800" w:type="dxa"/>
            <w:shd w:val="clear" w:color="auto" w:fill="D9D9D9" w:themeFill="background1" w:themeFillShade="D9"/>
            <w:noWrap/>
            <w:vAlign w:val="center"/>
          </w:tcPr>
          <w:p w14:paraId="346D5F97" w14:textId="77777777" w:rsidR="00C01845" w:rsidRPr="00A87B7B" w:rsidRDefault="00C01845" w:rsidP="00167050">
            <w:pPr>
              <w:jc w:val="right"/>
              <w:rPr>
                <w:color w:val="000000"/>
                <w:sz w:val="20"/>
                <w:szCs w:val="20"/>
              </w:rPr>
            </w:pPr>
            <w:r>
              <w:rPr>
                <w:color w:val="000000"/>
                <w:sz w:val="20"/>
                <w:szCs w:val="20"/>
              </w:rPr>
              <w:t>$200,000</w:t>
            </w:r>
          </w:p>
        </w:tc>
        <w:tc>
          <w:tcPr>
            <w:tcW w:w="1800" w:type="dxa"/>
            <w:shd w:val="clear" w:color="auto" w:fill="D9D9D9" w:themeFill="background1" w:themeFillShade="D9"/>
            <w:vAlign w:val="center"/>
          </w:tcPr>
          <w:p w14:paraId="62F8E5CA" w14:textId="77777777" w:rsidR="00C01845" w:rsidRPr="00A87B7B" w:rsidRDefault="00C01845" w:rsidP="00167050">
            <w:pPr>
              <w:jc w:val="right"/>
              <w:rPr>
                <w:color w:val="000000"/>
                <w:sz w:val="20"/>
                <w:szCs w:val="20"/>
              </w:rPr>
            </w:pPr>
            <w:r>
              <w:rPr>
                <w:color w:val="000000"/>
                <w:sz w:val="20"/>
                <w:szCs w:val="20"/>
              </w:rPr>
              <w:t>$200,000</w:t>
            </w:r>
          </w:p>
        </w:tc>
      </w:tr>
      <w:tr w:rsidR="00770E74" w:rsidRPr="00A87B7B" w14:paraId="52F846A1" w14:textId="77777777" w:rsidTr="001562C6">
        <w:trPr>
          <w:trHeight w:val="602"/>
        </w:trPr>
        <w:tc>
          <w:tcPr>
            <w:tcW w:w="3280" w:type="dxa"/>
            <w:shd w:val="clear" w:color="auto" w:fill="D9D9D9" w:themeFill="background1" w:themeFillShade="D9"/>
            <w:vAlign w:val="center"/>
          </w:tcPr>
          <w:p w14:paraId="36B03483" w14:textId="1709B746" w:rsidR="00C01845" w:rsidRPr="00303903" w:rsidRDefault="00C01845" w:rsidP="00167050">
            <w:pPr>
              <w:jc w:val="center"/>
              <w:rPr>
                <w:b/>
                <w:color w:val="000000"/>
                <w:sz w:val="20"/>
                <w:szCs w:val="20"/>
              </w:rPr>
            </w:pPr>
            <w:proofErr w:type="spellStart"/>
            <w:r w:rsidRPr="00303903">
              <w:rPr>
                <w:b/>
                <w:color w:val="000000"/>
                <w:sz w:val="20"/>
                <w:szCs w:val="20"/>
              </w:rPr>
              <w:t>Brooklynk</w:t>
            </w:r>
            <w:proofErr w:type="spellEnd"/>
          </w:p>
        </w:tc>
        <w:tc>
          <w:tcPr>
            <w:tcW w:w="3285" w:type="dxa"/>
            <w:shd w:val="clear" w:color="auto" w:fill="D9D9D9" w:themeFill="background1" w:themeFillShade="D9"/>
            <w:vAlign w:val="center"/>
          </w:tcPr>
          <w:p w14:paraId="20DB4F66" w14:textId="77777777" w:rsidR="00C01845" w:rsidRPr="00A87B7B" w:rsidRDefault="00C01845" w:rsidP="00167050">
            <w:pPr>
              <w:jc w:val="center"/>
              <w:rPr>
                <w:color w:val="000000"/>
                <w:sz w:val="20"/>
                <w:szCs w:val="20"/>
              </w:rPr>
            </w:pPr>
            <w:r>
              <w:rPr>
                <w:color w:val="000000"/>
                <w:sz w:val="20"/>
                <w:szCs w:val="20"/>
              </w:rPr>
              <w:t>Cities of Brooklyn Park, Brooklyn Center</w:t>
            </w:r>
          </w:p>
        </w:tc>
        <w:tc>
          <w:tcPr>
            <w:tcW w:w="1800" w:type="dxa"/>
            <w:shd w:val="clear" w:color="auto" w:fill="D9D9D9" w:themeFill="background1" w:themeFillShade="D9"/>
            <w:noWrap/>
            <w:vAlign w:val="center"/>
          </w:tcPr>
          <w:p w14:paraId="1881B7C6" w14:textId="77777777" w:rsidR="00C01845" w:rsidRPr="00A87B7B" w:rsidRDefault="00C01845" w:rsidP="00167050">
            <w:pPr>
              <w:jc w:val="right"/>
              <w:rPr>
                <w:color w:val="000000"/>
                <w:sz w:val="20"/>
                <w:szCs w:val="20"/>
              </w:rPr>
            </w:pPr>
            <w:r>
              <w:rPr>
                <w:color w:val="000000"/>
                <w:sz w:val="20"/>
                <w:szCs w:val="20"/>
              </w:rPr>
              <w:t>$75,000</w:t>
            </w:r>
          </w:p>
        </w:tc>
        <w:tc>
          <w:tcPr>
            <w:tcW w:w="1800" w:type="dxa"/>
            <w:shd w:val="clear" w:color="auto" w:fill="D9D9D9" w:themeFill="background1" w:themeFillShade="D9"/>
            <w:vAlign w:val="center"/>
          </w:tcPr>
          <w:p w14:paraId="4373F7DA" w14:textId="77777777" w:rsidR="00C01845" w:rsidRPr="00A87B7B" w:rsidRDefault="00C01845" w:rsidP="00167050">
            <w:pPr>
              <w:jc w:val="right"/>
              <w:rPr>
                <w:color w:val="000000"/>
                <w:sz w:val="20"/>
                <w:szCs w:val="20"/>
              </w:rPr>
            </w:pPr>
            <w:r>
              <w:rPr>
                <w:color w:val="000000"/>
                <w:sz w:val="20"/>
                <w:szCs w:val="20"/>
              </w:rPr>
              <w:t>$75,000</w:t>
            </w:r>
          </w:p>
        </w:tc>
      </w:tr>
      <w:tr w:rsidR="00770E74" w:rsidRPr="00A87B7B" w14:paraId="2E7AD91B" w14:textId="77777777" w:rsidTr="001562C6">
        <w:trPr>
          <w:trHeight w:val="602"/>
        </w:trPr>
        <w:tc>
          <w:tcPr>
            <w:tcW w:w="3280" w:type="dxa"/>
            <w:shd w:val="clear" w:color="000000" w:fill="FFFFFF"/>
            <w:vAlign w:val="center"/>
          </w:tcPr>
          <w:p w14:paraId="19BA5F90" w14:textId="6AC8AA2E" w:rsidR="00C01845" w:rsidRPr="00303903" w:rsidRDefault="00C01845" w:rsidP="00167050">
            <w:pPr>
              <w:jc w:val="center"/>
              <w:rPr>
                <w:b/>
                <w:color w:val="000000"/>
                <w:sz w:val="20"/>
                <w:szCs w:val="20"/>
              </w:rPr>
            </w:pPr>
            <w:r w:rsidRPr="00303903">
              <w:rPr>
                <w:b/>
                <w:color w:val="000000"/>
                <w:sz w:val="20"/>
                <w:szCs w:val="20"/>
              </w:rPr>
              <w:t xml:space="preserve">Pillsbury United Communities </w:t>
            </w:r>
          </w:p>
        </w:tc>
        <w:tc>
          <w:tcPr>
            <w:tcW w:w="3285" w:type="dxa"/>
            <w:shd w:val="clear" w:color="000000" w:fill="FFFFFF"/>
            <w:vAlign w:val="center"/>
          </w:tcPr>
          <w:p w14:paraId="1DF0DF52" w14:textId="77777777" w:rsidR="00C01845" w:rsidRPr="00A87B7B" w:rsidRDefault="00C01845" w:rsidP="00167050">
            <w:pPr>
              <w:jc w:val="center"/>
              <w:rPr>
                <w:color w:val="000000"/>
                <w:sz w:val="20"/>
                <w:szCs w:val="20"/>
              </w:rPr>
            </w:pPr>
            <w:r>
              <w:rPr>
                <w:color w:val="000000"/>
                <w:sz w:val="20"/>
                <w:szCs w:val="20"/>
              </w:rPr>
              <w:t>Minneapolis</w:t>
            </w:r>
          </w:p>
        </w:tc>
        <w:tc>
          <w:tcPr>
            <w:tcW w:w="1800" w:type="dxa"/>
            <w:shd w:val="clear" w:color="000000" w:fill="FFFFFF"/>
            <w:noWrap/>
            <w:vAlign w:val="center"/>
          </w:tcPr>
          <w:p w14:paraId="3CB4159F" w14:textId="77777777" w:rsidR="00C01845" w:rsidRPr="00A87B7B" w:rsidRDefault="00C01845" w:rsidP="00167050">
            <w:pPr>
              <w:jc w:val="right"/>
              <w:rPr>
                <w:color w:val="000000"/>
                <w:sz w:val="20"/>
                <w:szCs w:val="20"/>
              </w:rPr>
            </w:pPr>
            <w:r>
              <w:rPr>
                <w:color w:val="000000"/>
                <w:sz w:val="20"/>
                <w:szCs w:val="20"/>
              </w:rPr>
              <w:t>$75,000</w:t>
            </w:r>
          </w:p>
        </w:tc>
        <w:tc>
          <w:tcPr>
            <w:tcW w:w="1800" w:type="dxa"/>
            <w:shd w:val="clear" w:color="000000" w:fill="FFFFFF"/>
            <w:vAlign w:val="center"/>
          </w:tcPr>
          <w:p w14:paraId="63AE3D84" w14:textId="77777777" w:rsidR="00C01845" w:rsidRPr="00A87B7B" w:rsidRDefault="00C01845" w:rsidP="00167050">
            <w:pPr>
              <w:jc w:val="right"/>
              <w:rPr>
                <w:color w:val="000000"/>
                <w:sz w:val="20"/>
                <w:szCs w:val="20"/>
              </w:rPr>
            </w:pPr>
            <w:r>
              <w:rPr>
                <w:color w:val="000000"/>
                <w:sz w:val="20"/>
                <w:szCs w:val="20"/>
              </w:rPr>
              <w:t>$75,000</w:t>
            </w:r>
          </w:p>
        </w:tc>
      </w:tr>
      <w:tr w:rsidR="00770E74" w:rsidRPr="00A87B7B" w14:paraId="773CB211" w14:textId="77777777" w:rsidTr="001562C6">
        <w:trPr>
          <w:trHeight w:val="602"/>
        </w:trPr>
        <w:tc>
          <w:tcPr>
            <w:tcW w:w="3280" w:type="dxa"/>
            <w:shd w:val="clear" w:color="auto" w:fill="D9D9D9" w:themeFill="background1" w:themeFillShade="D9"/>
            <w:vAlign w:val="center"/>
          </w:tcPr>
          <w:p w14:paraId="39E7A6B8" w14:textId="1DB70301" w:rsidR="00C01845" w:rsidRPr="00303903" w:rsidRDefault="00C01845" w:rsidP="00167050">
            <w:pPr>
              <w:jc w:val="center"/>
              <w:rPr>
                <w:b/>
                <w:color w:val="000000"/>
                <w:sz w:val="20"/>
                <w:szCs w:val="20"/>
              </w:rPr>
            </w:pPr>
            <w:r w:rsidRPr="00303903">
              <w:rPr>
                <w:b/>
                <w:color w:val="000000"/>
                <w:sz w:val="20"/>
                <w:szCs w:val="20"/>
              </w:rPr>
              <w:t xml:space="preserve">Project for Pride in </w:t>
            </w:r>
            <w:r w:rsidR="00BA4A80" w:rsidRPr="00303903">
              <w:rPr>
                <w:b/>
                <w:color w:val="000000"/>
                <w:sz w:val="20"/>
                <w:szCs w:val="20"/>
              </w:rPr>
              <w:t>Living</w:t>
            </w:r>
          </w:p>
        </w:tc>
        <w:tc>
          <w:tcPr>
            <w:tcW w:w="3285" w:type="dxa"/>
            <w:shd w:val="clear" w:color="auto" w:fill="D9D9D9" w:themeFill="background1" w:themeFillShade="D9"/>
            <w:vAlign w:val="center"/>
          </w:tcPr>
          <w:p w14:paraId="06F3A662" w14:textId="77777777" w:rsidR="00C01845" w:rsidRPr="00A87B7B" w:rsidRDefault="00C01845" w:rsidP="00167050">
            <w:pPr>
              <w:jc w:val="center"/>
              <w:rPr>
                <w:color w:val="000000"/>
                <w:sz w:val="20"/>
                <w:szCs w:val="20"/>
              </w:rPr>
            </w:pPr>
            <w:r>
              <w:rPr>
                <w:color w:val="000000"/>
                <w:sz w:val="20"/>
                <w:szCs w:val="20"/>
              </w:rPr>
              <w:t>Hennepin County</w:t>
            </w:r>
          </w:p>
        </w:tc>
        <w:tc>
          <w:tcPr>
            <w:tcW w:w="1800" w:type="dxa"/>
            <w:shd w:val="clear" w:color="auto" w:fill="D9D9D9" w:themeFill="background1" w:themeFillShade="D9"/>
            <w:noWrap/>
            <w:vAlign w:val="center"/>
          </w:tcPr>
          <w:p w14:paraId="4C42A04B" w14:textId="77777777" w:rsidR="00C01845" w:rsidRPr="00A87B7B" w:rsidRDefault="00C01845" w:rsidP="00167050">
            <w:pPr>
              <w:jc w:val="right"/>
              <w:rPr>
                <w:color w:val="000000"/>
                <w:sz w:val="20"/>
                <w:szCs w:val="20"/>
              </w:rPr>
            </w:pPr>
            <w:r>
              <w:rPr>
                <w:color w:val="000000"/>
                <w:sz w:val="20"/>
                <w:szCs w:val="20"/>
              </w:rPr>
              <w:t>$75,000</w:t>
            </w:r>
          </w:p>
        </w:tc>
        <w:tc>
          <w:tcPr>
            <w:tcW w:w="1800" w:type="dxa"/>
            <w:shd w:val="clear" w:color="auto" w:fill="D9D9D9" w:themeFill="background1" w:themeFillShade="D9"/>
            <w:vAlign w:val="center"/>
          </w:tcPr>
          <w:p w14:paraId="330C3AE8" w14:textId="77777777" w:rsidR="00C01845" w:rsidRPr="00A87B7B" w:rsidRDefault="00C01845" w:rsidP="00167050">
            <w:pPr>
              <w:jc w:val="right"/>
              <w:rPr>
                <w:color w:val="000000"/>
                <w:sz w:val="20"/>
                <w:szCs w:val="20"/>
              </w:rPr>
            </w:pPr>
            <w:r>
              <w:rPr>
                <w:color w:val="000000"/>
                <w:sz w:val="20"/>
                <w:szCs w:val="20"/>
              </w:rPr>
              <w:t>$75,000</w:t>
            </w:r>
          </w:p>
        </w:tc>
      </w:tr>
      <w:tr w:rsidR="00770E74" w:rsidRPr="00A87B7B" w14:paraId="2E9FDB09" w14:textId="77777777" w:rsidTr="001562C6">
        <w:trPr>
          <w:trHeight w:val="602"/>
        </w:trPr>
        <w:tc>
          <w:tcPr>
            <w:tcW w:w="3280" w:type="dxa"/>
            <w:shd w:val="clear" w:color="000000" w:fill="FFFFFF"/>
            <w:vAlign w:val="center"/>
          </w:tcPr>
          <w:p w14:paraId="6E882392" w14:textId="0A152A51" w:rsidR="00C01845" w:rsidRPr="00303903" w:rsidRDefault="00C01845" w:rsidP="00167050">
            <w:pPr>
              <w:jc w:val="center"/>
              <w:rPr>
                <w:b/>
                <w:color w:val="000000"/>
                <w:sz w:val="20"/>
                <w:szCs w:val="20"/>
              </w:rPr>
            </w:pPr>
            <w:r w:rsidRPr="00303903">
              <w:rPr>
                <w:b/>
                <w:color w:val="000000"/>
                <w:sz w:val="20"/>
                <w:szCs w:val="20"/>
              </w:rPr>
              <w:t>Hennepin County</w:t>
            </w:r>
          </w:p>
        </w:tc>
        <w:tc>
          <w:tcPr>
            <w:tcW w:w="3285" w:type="dxa"/>
            <w:shd w:val="clear" w:color="000000" w:fill="FFFFFF"/>
            <w:vAlign w:val="center"/>
          </w:tcPr>
          <w:p w14:paraId="77C9795E" w14:textId="77777777" w:rsidR="00C01845" w:rsidRPr="00A87B7B" w:rsidRDefault="00C01845" w:rsidP="00167050">
            <w:pPr>
              <w:jc w:val="center"/>
              <w:rPr>
                <w:color w:val="000000"/>
                <w:sz w:val="20"/>
                <w:szCs w:val="20"/>
              </w:rPr>
            </w:pPr>
            <w:r>
              <w:rPr>
                <w:color w:val="000000"/>
                <w:sz w:val="20"/>
                <w:szCs w:val="20"/>
              </w:rPr>
              <w:t>Hennepin County</w:t>
            </w:r>
          </w:p>
        </w:tc>
        <w:tc>
          <w:tcPr>
            <w:tcW w:w="1800" w:type="dxa"/>
            <w:shd w:val="clear" w:color="000000" w:fill="FFFFFF"/>
            <w:noWrap/>
            <w:vAlign w:val="center"/>
          </w:tcPr>
          <w:p w14:paraId="0742098E" w14:textId="77777777" w:rsidR="00C01845" w:rsidRPr="00A87B7B" w:rsidRDefault="00C01845" w:rsidP="00167050">
            <w:pPr>
              <w:jc w:val="right"/>
              <w:rPr>
                <w:color w:val="000000"/>
                <w:sz w:val="20"/>
                <w:szCs w:val="20"/>
              </w:rPr>
            </w:pPr>
            <w:r>
              <w:rPr>
                <w:color w:val="000000"/>
                <w:sz w:val="20"/>
                <w:szCs w:val="20"/>
              </w:rPr>
              <w:t>$75,000</w:t>
            </w:r>
          </w:p>
        </w:tc>
        <w:tc>
          <w:tcPr>
            <w:tcW w:w="1800" w:type="dxa"/>
            <w:shd w:val="clear" w:color="000000" w:fill="FFFFFF"/>
            <w:vAlign w:val="center"/>
          </w:tcPr>
          <w:p w14:paraId="0B75508D" w14:textId="77777777" w:rsidR="00C01845" w:rsidRPr="00A87B7B" w:rsidRDefault="00C01845" w:rsidP="00167050">
            <w:pPr>
              <w:jc w:val="right"/>
              <w:rPr>
                <w:color w:val="000000"/>
                <w:sz w:val="20"/>
                <w:szCs w:val="20"/>
              </w:rPr>
            </w:pPr>
            <w:r>
              <w:rPr>
                <w:color w:val="000000"/>
                <w:sz w:val="20"/>
                <w:szCs w:val="20"/>
              </w:rPr>
              <w:t>$75,000</w:t>
            </w:r>
          </w:p>
        </w:tc>
      </w:tr>
      <w:tr w:rsidR="00770E74" w:rsidRPr="00A87B7B" w14:paraId="5C786BCA" w14:textId="77777777" w:rsidTr="001562C6">
        <w:trPr>
          <w:trHeight w:val="602"/>
        </w:trPr>
        <w:tc>
          <w:tcPr>
            <w:tcW w:w="3280" w:type="dxa"/>
            <w:shd w:val="clear" w:color="auto" w:fill="D9D9D9" w:themeFill="background1" w:themeFillShade="D9"/>
            <w:vAlign w:val="center"/>
          </w:tcPr>
          <w:p w14:paraId="45A2A962" w14:textId="69052E8E" w:rsidR="00C01845" w:rsidRPr="00303903" w:rsidRDefault="00C01845" w:rsidP="00167050">
            <w:pPr>
              <w:jc w:val="center"/>
              <w:rPr>
                <w:b/>
                <w:color w:val="000000"/>
                <w:sz w:val="20"/>
                <w:szCs w:val="20"/>
              </w:rPr>
            </w:pPr>
            <w:r w:rsidRPr="00303903">
              <w:rPr>
                <w:b/>
                <w:color w:val="000000"/>
                <w:sz w:val="20"/>
                <w:szCs w:val="20"/>
              </w:rPr>
              <w:t>Eastside Neighborhood Services</w:t>
            </w:r>
          </w:p>
        </w:tc>
        <w:tc>
          <w:tcPr>
            <w:tcW w:w="3285" w:type="dxa"/>
            <w:shd w:val="clear" w:color="auto" w:fill="D9D9D9" w:themeFill="background1" w:themeFillShade="D9"/>
            <w:vAlign w:val="center"/>
          </w:tcPr>
          <w:p w14:paraId="0C48E886" w14:textId="77777777" w:rsidR="00C01845" w:rsidRPr="00A87B7B" w:rsidRDefault="00C01845" w:rsidP="00167050">
            <w:pPr>
              <w:jc w:val="center"/>
              <w:rPr>
                <w:color w:val="000000"/>
                <w:sz w:val="20"/>
                <w:szCs w:val="20"/>
              </w:rPr>
            </w:pPr>
            <w:r>
              <w:rPr>
                <w:color w:val="000000"/>
                <w:sz w:val="20"/>
                <w:szCs w:val="20"/>
              </w:rPr>
              <w:t>Minneapolis</w:t>
            </w:r>
          </w:p>
        </w:tc>
        <w:tc>
          <w:tcPr>
            <w:tcW w:w="1800" w:type="dxa"/>
            <w:shd w:val="clear" w:color="auto" w:fill="D9D9D9" w:themeFill="background1" w:themeFillShade="D9"/>
            <w:noWrap/>
            <w:vAlign w:val="center"/>
          </w:tcPr>
          <w:p w14:paraId="640D20F0" w14:textId="77777777" w:rsidR="00C01845" w:rsidRPr="00A87B7B" w:rsidRDefault="00C01845" w:rsidP="00167050">
            <w:pPr>
              <w:jc w:val="right"/>
              <w:rPr>
                <w:color w:val="000000"/>
                <w:sz w:val="20"/>
                <w:szCs w:val="20"/>
              </w:rPr>
            </w:pPr>
            <w:r>
              <w:rPr>
                <w:color w:val="000000"/>
                <w:sz w:val="20"/>
                <w:szCs w:val="20"/>
              </w:rPr>
              <w:t>$70,000</w:t>
            </w:r>
          </w:p>
        </w:tc>
        <w:tc>
          <w:tcPr>
            <w:tcW w:w="1800" w:type="dxa"/>
            <w:shd w:val="clear" w:color="auto" w:fill="D9D9D9" w:themeFill="background1" w:themeFillShade="D9"/>
            <w:vAlign w:val="center"/>
          </w:tcPr>
          <w:p w14:paraId="66B5833B" w14:textId="77777777" w:rsidR="00C01845" w:rsidRPr="00A87B7B" w:rsidRDefault="00C01845" w:rsidP="00167050">
            <w:pPr>
              <w:jc w:val="right"/>
              <w:rPr>
                <w:color w:val="000000"/>
                <w:sz w:val="20"/>
                <w:szCs w:val="20"/>
              </w:rPr>
            </w:pPr>
            <w:r>
              <w:rPr>
                <w:color w:val="000000"/>
                <w:sz w:val="20"/>
                <w:szCs w:val="20"/>
              </w:rPr>
              <w:t>$70,000</w:t>
            </w:r>
          </w:p>
        </w:tc>
      </w:tr>
      <w:tr w:rsidR="00770E74" w:rsidRPr="00A87B7B" w14:paraId="40B62776" w14:textId="77777777" w:rsidTr="001562C6">
        <w:trPr>
          <w:trHeight w:val="602"/>
        </w:trPr>
        <w:tc>
          <w:tcPr>
            <w:tcW w:w="3280" w:type="dxa"/>
            <w:shd w:val="clear" w:color="000000" w:fill="FFFFFF"/>
            <w:vAlign w:val="center"/>
          </w:tcPr>
          <w:p w14:paraId="12CBF9CE" w14:textId="230E2FA6" w:rsidR="00C01845" w:rsidRPr="00303903" w:rsidRDefault="00C01845" w:rsidP="00167050">
            <w:pPr>
              <w:jc w:val="center"/>
              <w:rPr>
                <w:b/>
                <w:color w:val="000000"/>
                <w:sz w:val="20"/>
                <w:szCs w:val="20"/>
              </w:rPr>
            </w:pPr>
            <w:r w:rsidRPr="00303903">
              <w:rPr>
                <w:b/>
                <w:color w:val="000000"/>
                <w:sz w:val="20"/>
                <w:szCs w:val="20"/>
              </w:rPr>
              <w:lastRenderedPageBreak/>
              <w:t>Youthprise</w:t>
            </w:r>
          </w:p>
        </w:tc>
        <w:tc>
          <w:tcPr>
            <w:tcW w:w="3285" w:type="dxa"/>
            <w:shd w:val="clear" w:color="000000" w:fill="FFFFFF"/>
            <w:vAlign w:val="center"/>
          </w:tcPr>
          <w:p w14:paraId="363B0A03" w14:textId="77777777" w:rsidR="00C01845" w:rsidRPr="00A87B7B" w:rsidRDefault="00C01845" w:rsidP="00167050">
            <w:pPr>
              <w:jc w:val="center"/>
              <w:rPr>
                <w:color w:val="000000"/>
                <w:sz w:val="20"/>
                <w:szCs w:val="20"/>
              </w:rPr>
            </w:pPr>
            <w:r w:rsidRPr="00F92994">
              <w:rPr>
                <w:color w:val="000000"/>
                <w:sz w:val="20"/>
                <w:szCs w:val="20"/>
              </w:rPr>
              <w:t>Twin Cities</w:t>
            </w:r>
          </w:p>
        </w:tc>
        <w:tc>
          <w:tcPr>
            <w:tcW w:w="1800" w:type="dxa"/>
            <w:shd w:val="clear" w:color="000000" w:fill="FFFFFF"/>
            <w:noWrap/>
            <w:vAlign w:val="center"/>
          </w:tcPr>
          <w:p w14:paraId="11FBD515" w14:textId="77777777" w:rsidR="00C01845" w:rsidRPr="00A87B7B" w:rsidRDefault="00C01845" w:rsidP="00167050">
            <w:pPr>
              <w:jc w:val="right"/>
              <w:rPr>
                <w:color w:val="000000"/>
                <w:sz w:val="20"/>
                <w:szCs w:val="20"/>
              </w:rPr>
            </w:pPr>
            <w:r>
              <w:rPr>
                <w:color w:val="000000"/>
                <w:sz w:val="20"/>
                <w:szCs w:val="20"/>
              </w:rPr>
              <w:t>$69,000</w:t>
            </w:r>
          </w:p>
        </w:tc>
        <w:tc>
          <w:tcPr>
            <w:tcW w:w="1800" w:type="dxa"/>
            <w:shd w:val="clear" w:color="000000" w:fill="FFFFFF"/>
            <w:vAlign w:val="center"/>
          </w:tcPr>
          <w:p w14:paraId="052A3EC1" w14:textId="77777777" w:rsidR="00C01845" w:rsidRPr="00A87B7B" w:rsidRDefault="00C01845" w:rsidP="00167050">
            <w:pPr>
              <w:jc w:val="right"/>
              <w:rPr>
                <w:color w:val="000000"/>
                <w:sz w:val="20"/>
                <w:szCs w:val="20"/>
              </w:rPr>
            </w:pPr>
            <w:r>
              <w:rPr>
                <w:color w:val="000000"/>
                <w:sz w:val="20"/>
                <w:szCs w:val="20"/>
              </w:rPr>
              <w:t>$69,000</w:t>
            </w:r>
          </w:p>
        </w:tc>
      </w:tr>
      <w:tr w:rsidR="00770E74" w:rsidRPr="00A87B7B" w14:paraId="7F362E75" w14:textId="77777777" w:rsidTr="001562C6">
        <w:trPr>
          <w:trHeight w:val="602"/>
        </w:trPr>
        <w:tc>
          <w:tcPr>
            <w:tcW w:w="3280" w:type="dxa"/>
            <w:shd w:val="clear" w:color="auto" w:fill="D9D9D9" w:themeFill="background1" w:themeFillShade="D9"/>
            <w:vAlign w:val="center"/>
          </w:tcPr>
          <w:p w14:paraId="2714C04C" w14:textId="7246BAB5" w:rsidR="00C01845" w:rsidRPr="00303903" w:rsidRDefault="00C01845" w:rsidP="00167050">
            <w:pPr>
              <w:jc w:val="center"/>
              <w:rPr>
                <w:b/>
                <w:color w:val="000000"/>
                <w:sz w:val="20"/>
                <w:szCs w:val="20"/>
              </w:rPr>
            </w:pPr>
            <w:r w:rsidRPr="00303903">
              <w:rPr>
                <w:b/>
                <w:color w:val="000000"/>
                <w:sz w:val="20"/>
                <w:szCs w:val="20"/>
              </w:rPr>
              <w:t>Somali Community Resettlement Services</w:t>
            </w:r>
          </w:p>
        </w:tc>
        <w:tc>
          <w:tcPr>
            <w:tcW w:w="3285" w:type="dxa"/>
            <w:shd w:val="clear" w:color="auto" w:fill="D9D9D9" w:themeFill="background1" w:themeFillShade="D9"/>
            <w:vAlign w:val="center"/>
          </w:tcPr>
          <w:p w14:paraId="6221E2B2" w14:textId="77777777" w:rsidR="00C01845" w:rsidRPr="00A87B7B" w:rsidRDefault="00C01845" w:rsidP="00167050">
            <w:pPr>
              <w:jc w:val="center"/>
              <w:rPr>
                <w:color w:val="000000"/>
                <w:sz w:val="20"/>
                <w:szCs w:val="20"/>
              </w:rPr>
            </w:pPr>
            <w:r>
              <w:rPr>
                <w:color w:val="000000"/>
                <w:sz w:val="20"/>
                <w:szCs w:val="20"/>
              </w:rPr>
              <w:t xml:space="preserve">Rice, Dodge, Steele and Olmsted Counties </w:t>
            </w:r>
          </w:p>
        </w:tc>
        <w:tc>
          <w:tcPr>
            <w:tcW w:w="1800" w:type="dxa"/>
            <w:shd w:val="clear" w:color="auto" w:fill="D9D9D9" w:themeFill="background1" w:themeFillShade="D9"/>
            <w:noWrap/>
            <w:vAlign w:val="center"/>
          </w:tcPr>
          <w:p w14:paraId="4902C49E" w14:textId="77777777" w:rsidR="00C01845" w:rsidRPr="00A87B7B" w:rsidRDefault="00C01845" w:rsidP="00167050">
            <w:pPr>
              <w:jc w:val="right"/>
              <w:rPr>
                <w:color w:val="000000"/>
                <w:sz w:val="20"/>
                <w:szCs w:val="20"/>
              </w:rPr>
            </w:pPr>
            <w:r>
              <w:rPr>
                <w:color w:val="000000"/>
                <w:sz w:val="20"/>
                <w:szCs w:val="20"/>
              </w:rPr>
              <w:t>$64,100</w:t>
            </w:r>
          </w:p>
        </w:tc>
        <w:tc>
          <w:tcPr>
            <w:tcW w:w="1800" w:type="dxa"/>
            <w:shd w:val="clear" w:color="auto" w:fill="D9D9D9" w:themeFill="background1" w:themeFillShade="D9"/>
            <w:vAlign w:val="center"/>
          </w:tcPr>
          <w:p w14:paraId="0A3DC834" w14:textId="77777777" w:rsidR="00C01845" w:rsidRPr="00A87B7B" w:rsidRDefault="00C01845" w:rsidP="00167050">
            <w:pPr>
              <w:jc w:val="right"/>
              <w:rPr>
                <w:color w:val="000000"/>
                <w:sz w:val="20"/>
                <w:szCs w:val="20"/>
              </w:rPr>
            </w:pPr>
            <w:r>
              <w:rPr>
                <w:color w:val="000000"/>
                <w:sz w:val="20"/>
                <w:szCs w:val="20"/>
              </w:rPr>
              <w:t>$64,100</w:t>
            </w:r>
          </w:p>
        </w:tc>
      </w:tr>
      <w:tr w:rsidR="00770E74" w:rsidRPr="00A87B7B" w14:paraId="6A4B5C54" w14:textId="77777777" w:rsidTr="001562C6">
        <w:trPr>
          <w:trHeight w:val="765"/>
        </w:trPr>
        <w:tc>
          <w:tcPr>
            <w:tcW w:w="3280" w:type="dxa"/>
            <w:shd w:val="clear" w:color="000000" w:fill="FFFFFF"/>
            <w:vAlign w:val="center"/>
          </w:tcPr>
          <w:p w14:paraId="5CA127DA" w14:textId="24D12ED3" w:rsidR="00C01845" w:rsidRPr="00303903" w:rsidRDefault="00C01845" w:rsidP="00167050">
            <w:pPr>
              <w:jc w:val="center"/>
              <w:rPr>
                <w:b/>
                <w:color w:val="000000"/>
                <w:sz w:val="20"/>
                <w:szCs w:val="20"/>
              </w:rPr>
            </w:pPr>
            <w:r w:rsidRPr="00303903">
              <w:rPr>
                <w:b/>
                <w:color w:val="000000"/>
                <w:sz w:val="20"/>
                <w:szCs w:val="20"/>
              </w:rPr>
              <w:t>Northwest Indian Community Development Center</w:t>
            </w:r>
          </w:p>
        </w:tc>
        <w:tc>
          <w:tcPr>
            <w:tcW w:w="3285" w:type="dxa"/>
            <w:shd w:val="clear" w:color="000000" w:fill="FFFFFF"/>
            <w:vAlign w:val="center"/>
          </w:tcPr>
          <w:p w14:paraId="2D82BF05" w14:textId="77777777" w:rsidR="00C01845" w:rsidRPr="00A87B7B" w:rsidRDefault="00C01845" w:rsidP="00167050">
            <w:pPr>
              <w:jc w:val="center"/>
              <w:rPr>
                <w:color w:val="000000"/>
                <w:sz w:val="20"/>
                <w:szCs w:val="20"/>
              </w:rPr>
            </w:pPr>
            <w:r>
              <w:rPr>
                <w:color w:val="000000"/>
                <w:sz w:val="20"/>
                <w:szCs w:val="20"/>
              </w:rPr>
              <w:t>Beltrami County</w:t>
            </w:r>
          </w:p>
        </w:tc>
        <w:tc>
          <w:tcPr>
            <w:tcW w:w="1800" w:type="dxa"/>
            <w:shd w:val="clear" w:color="000000" w:fill="FFFFFF"/>
            <w:noWrap/>
            <w:vAlign w:val="center"/>
          </w:tcPr>
          <w:p w14:paraId="0BE70114" w14:textId="77777777" w:rsidR="00C01845" w:rsidRPr="00A87B7B" w:rsidRDefault="00C01845" w:rsidP="00167050">
            <w:pPr>
              <w:jc w:val="right"/>
              <w:rPr>
                <w:color w:val="000000"/>
                <w:sz w:val="20"/>
                <w:szCs w:val="20"/>
              </w:rPr>
            </w:pPr>
            <w:r>
              <w:rPr>
                <w:color w:val="000000"/>
                <w:sz w:val="20"/>
                <w:szCs w:val="20"/>
              </w:rPr>
              <w:t>$60,000</w:t>
            </w:r>
          </w:p>
        </w:tc>
        <w:tc>
          <w:tcPr>
            <w:tcW w:w="1800" w:type="dxa"/>
            <w:shd w:val="clear" w:color="000000" w:fill="FFFFFF"/>
            <w:vAlign w:val="center"/>
          </w:tcPr>
          <w:p w14:paraId="38212313" w14:textId="77777777" w:rsidR="00C01845" w:rsidRPr="00A87B7B" w:rsidRDefault="00C01845" w:rsidP="00167050">
            <w:pPr>
              <w:jc w:val="right"/>
              <w:rPr>
                <w:color w:val="000000"/>
                <w:sz w:val="20"/>
                <w:szCs w:val="20"/>
              </w:rPr>
            </w:pPr>
            <w:r>
              <w:rPr>
                <w:color w:val="000000"/>
                <w:sz w:val="20"/>
                <w:szCs w:val="20"/>
              </w:rPr>
              <w:t>$60,000</w:t>
            </w:r>
          </w:p>
        </w:tc>
      </w:tr>
      <w:tr w:rsidR="00770E74" w:rsidRPr="00A87B7B" w14:paraId="247A7986" w14:textId="77777777" w:rsidTr="001562C6">
        <w:trPr>
          <w:trHeight w:val="890"/>
        </w:trPr>
        <w:tc>
          <w:tcPr>
            <w:tcW w:w="3280" w:type="dxa"/>
            <w:shd w:val="clear" w:color="auto" w:fill="D9D9D9" w:themeFill="background1" w:themeFillShade="D9"/>
            <w:vAlign w:val="center"/>
          </w:tcPr>
          <w:p w14:paraId="6821E6D8" w14:textId="0AD49C38" w:rsidR="00C01845" w:rsidRPr="00303903" w:rsidRDefault="00C01845" w:rsidP="00167050">
            <w:pPr>
              <w:jc w:val="center"/>
              <w:rPr>
                <w:b/>
                <w:color w:val="000000"/>
                <w:sz w:val="20"/>
                <w:szCs w:val="20"/>
              </w:rPr>
            </w:pPr>
            <w:r w:rsidRPr="00303903">
              <w:rPr>
                <w:b/>
                <w:color w:val="000000"/>
                <w:sz w:val="20"/>
                <w:szCs w:val="20"/>
              </w:rPr>
              <w:t xml:space="preserve">Southwest Minnesota Private Industry Council </w:t>
            </w:r>
          </w:p>
        </w:tc>
        <w:tc>
          <w:tcPr>
            <w:tcW w:w="3285" w:type="dxa"/>
            <w:shd w:val="clear" w:color="auto" w:fill="D9D9D9" w:themeFill="background1" w:themeFillShade="D9"/>
            <w:vAlign w:val="center"/>
          </w:tcPr>
          <w:p w14:paraId="77A1CE9F" w14:textId="77777777" w:rsidR="00C01845" w:rsidRPr="00A87B7B" w:rsidRDefault="00C01845" w:rsidP="00167050">
            <w:pPr>
              <w:jc w:val="center"/>
              <w:rPr>
                <w:color w:val="000000"/>
                <w:sz w:val="20"/>
                <w:szCs w:val="20"/>
              </w:rPr>
            </w:pPr>
            <w:r>
              <w:rPr>
                <w:color w:val="000000"/>
                <w:sz w:val="20"/>
                <w:szCs w:val="20"/>
              </w:rPr>
              <w:t>Southwestern Minnesota</w:t>
            </w:r>
          </w:p>
        </w:tc>
        <w:tc>
          <w:tcPr>
            <w:tcW w:w="1800" w:type="dxa"/>
            <w:shd w:val="clear" w:color="auto" w:fill="D9D9D9" w:themeFill="background1" w:themeFillShade="D9"/>
            <w:noWrap/>
            <w:vAlign w:val="center"/>
          </w:tcPr>
          <w:p w14:paraId="1580A805" w14:textId="77777777" w:rsidR="00C01845" w:rsidRPr="00A87B7B" w:rsidRDefault="00C01845" w:rsidP="00167050">
            <w:pPr>
              <w:jc w:val="right"/>
              <w:rPr>
                <w:color w:val="000000"/>
                <w:sz w:val="20"/>
                <w:szCs w:val="20"/>
              </w:rPr>
            </w:pPr>
            <w:r>
              <w:rPr>
                <w:color w:val="000000"/>
                <w:sz w:val="20"/>
                <w:szCs w:val="20"/>
              </w:rPr>
              <w:t>$60,000</w:t>
            </w:r>
          </w:p>
        </w:tc>
        <w:tc>
          <w:tcPr>
            <w:tcW w:w="1800" w:type="dxa"/>
            <w:shd w:val="clear" w:color="auto" w:fill="D9D9D9" w:themeFill="background1" w:themeFillShade="D9"/>
            <w:vAlign w:val="center"/>
          </w:tcPr>
          <w:p w14:paraId="03BA7DD8" w14:textId="77777777" w:rsidR="00C01845" w:rsidRPr="00A87B7B" w:rsidRDefault="00C01845" w:rsidP="00167050">
            <w:pPr>
              <w:jc w:val="right"/>
              <w:rPr>
                <w:color w:val="000000"/>
                <w:sz w:val="20"/>
                <w:szCs w:val="20"/>
              </w:rPr>
            </w:pPr>
            <w:r>
              <w:rPr>
                <w:color w:val="000000"/>
                <w:sz w:val="20"/>
                <w:szCs w:val="20"/>
              </w:rPr>
              <w:t>$60,000</w:t>
            </w:r>
          </w:p>
        </w:tc>
      </w:tr>
      <w:tr w:rsidR="00770E74" w:rsidRPr="00A87B7B" w14:paraId="37EE87D2" w14:textId="77777777" w:rsidTr="001562C6">
        <w:trPr>
          <w:trHeight w:val="504"/>
        </w:trPr>
        <w:tc>
          <w:tcPr>
            <w:tcW w:w="3280" w:type="dxa"/>
            <w:shd w:val="clear" w:color="000000" w:fill="FFFFFF"/>
            <w:vAlign w:val="center"/>
          </w:tcPr>
          <w:p w14:paraId="0994CA0C" w14:textId="393CB822" w:rsidR="00C01845" w:rsidRPr="00303903" w:rsidRDefault="00C01845" w:rsidP="00167050">
            <w:pPr>
              <w:jc w:val="center"/>
              <w:rPr>
                <w:b/>
                <w:color w:val="000000"/>
                <w:sz w:val="20"/>
                <w:szCs w:val="20"/>
              </w:rPr>
            </w:pPr>
            <w:r w:rsidRPr="00303903">
              <w:rPr>
                <w:b/>
                <w:color w:val="000000"/>
                <w:sz w:val="20"/>
                <w:szCs w:val="20"/>
              </w:rPr>
              <w:t>Minnesota Valley Action Council</w:t>
            </w:r>
          </w:p>
        </w:tc>
        <w:tc>
          <w:tcPr>
            <w:tcW w:w="3285" w:type="dxa"/>
            <w:shd w:val="clear" w:color="000000" w:fill="FFFFFF"/>
            <w:vAlign w:val="center"/>
          </w:tcPr>
          <w:p w14:paraId="2C17E2F6" w14:textId="77777777" w:rsidR="00C01845" w:rsidRPr="00A87B7B" w:rsidRDefault="00C01845" w:rsidP="00167050">
            <w:pPr>
              <w:jc w:val="center"/>
              <w:rPr>
                <w:color w:val="000000"/>
                <w:sz w:val="20"/>
                <w:szCs w:val="20"/>
              </w:rPr>
            </w:pPr>
            <w:r>
              <w:rPr>
                <w:color w:val="000000"/>
                <w:sz w:val="20"/>
                <w:szCs w:val="20"/>
              </w:rPr>
              <w:t>Nine Counties in South Central Minnesota</w:t>
            </w:r>
          </w:p>
        </w:tc>
        <w:tc>
          <w:tcPr>
            <w:tcW w:w="1800" w:type="dxa"/>
            <w:shd w:val="clear" w:color="000000" w:fill="FFFFFF"/>
            <w:noWrap/>
            <w:vAlign w:val="center"/>
          </w:tcPr>
          <w:p w14:paraId="2B6ABE7A" w14:textId="77777777" w:rsidR="00C01845" w:rsidRPr="00A87B7B" w:rsidRDefault="00C01845" w:rsidP="00167050">
            <w:pPr>
              <w:jc w:val="right"/>
              <w:rPr>
                <w:color w:val="000000"/>
                <w:sz w:val="20"/>
                <w:szCs w:val="20"/>
              </w:rPr>
            </w:pPr>
            <w:r>
              <w:rPr>
                <w:color w:val="000000"/>
                <w:sz w:val="20"/>
                <w:szCs w:val="20"/>
              </w:rPr>
              <w:t>$60,000</w:t>
            </w:r>
          </w:p>
        </w:tc>
        <w:tc>
          <w:tcPr>
            <w:tcW w:w="1800" w:type="dxa"/>
            <w:shd w:val="clear" w:color="000000" w:fill="FFFFFF"/>
            <w:vAlign w:val="center"/>
          </w:tcPr>
          <w:p w14:paraId="391A1042" w14:textId="77777777" w:rsidR="00C01845" w:rsidRPr="00A87B7B" w:rsidRDefault="00C01845" w:rsidP="00167050">
            <w:pPr>
              <w:jc w:val="right"/>
              <w:rPr>
                <w:color w:val="000000"/>
                <w:sz w:val="20"/>
                <w:szCs w:val="20"/>
              </w:rPr>
            </w:pPr>
            <w:r>
              <w:rPr>
                <w:color w:val="000000"/>
                <w:sz w:val="20"/>
                <w:szCs w:val="20"/>
              </w:rPr>
              <w:t>$60,000</w:t>
            </w:r>
          </w:p>
        </w:tc>
      </w:tr>
      <w:tr w:rsidR="00770E74" w:rsidRPr="00A87B7B" w14:paraId="2A73D30E" w14:textId="77777777" w:rsidTr="007A0AB7">
        <w:trPr>
          <w:trHeight w:val="765"/>
        </w:trPr>
        <w:tc>
          <w:tcPr>
            <w:tcW w:w="3280" w:type="dxa"/>
            <w:shd w:val="clear" w:color="auto" w:fill="D9D9D9" w:themeFill="background1" w:themeFillShade="D9"/>
            <w:vAlign w:val="center"/>
          </w:tcPr>
          <w:p w14:paraId="54DD66F1" w14:textId="4D2B4F35" w:rsidR="00C01845" w:rsidRPr="00303903" w:rsidRDefault="00C01845" w:rsidP="00167050">
            <w:pPr>
              <w:jc w:val="center"/>
              <w:rPr>
                <w:b/>
                <w:color w:val="000000"/>
                <w:sz w:val="20"/>
                <w:szCs w:val="20"/>
              </w:rPr>
            </w:pPr>
            <w:r w:rsidRPr="00303903">
              <w:rPr>
                <w:b/>
                <w:color w:val="000000"/>
                <w:sz w:val="20"/>
                <w:szCs w:val="20"/>
              </w:rPr>
              <w:t xml:space="preserve">Evergreen Youth and Family Services </w:t>
            </w:r>
          </w:p>
        </w:tc>
        <w:tc>
          <w:tcPr>
            <w:tcW w:w="3285" w:type="dxa"/>
            <w:shd w:val="clear" w:color="auto" w:fill="D9D9D9" w:themeFill="background1" w:themeFillShade="D9"/>
            <w:vAlign w:val="center"/>
          </w:tcPr>
          <w:p w14:paraId="4CC31BB8" w14:textId="77777777" w:rsidR="00C01845" w:rsidRPr="00A87B7B" w:rsidRDefault="00C01845" w:rsidP="00167050">
            <w:pPr>
              <w:jc w:val="center"/>
              <w:rPr>
                <w:color w:val="000000"/>
                <w:sz w:val="20"/>
                <w:szCs w:val="20"/>
              </w:rPr>
            </w:pPr>
            <w:r>
              <w:rPr>
                <w:color w:val="000000"/>
                <w:sz w:val="20"/>
                <w:szCs w:val="20"/>
              </w:rPr>
              <w:t>Beltrami, Cass and Hubbard Counties, incl. Red Lake, White Earth and Leech Lake Reservations</w:t>
            </w:r>
          </w:p>
        </w:tc>
        <w:tc>
          <w:tcPr>
            <w:tcW w:w="1800" w:type="dxa"/>
            <w:shd w:val="clear" w:color="auto" w:fill="D9D9D9" w:themeFill="background1" w:themeFillShade="D9"/>
            <w:noWrap/>
            <w:vAlign w:val="center"/>
          </w:tcPr>
          <w:p w14:paraId="740B3875" w14:textId="77777777" w:rsidR="00C01845" w:rsidRPr="00A87B7B" w:rsidRDefault="00C01845" w:rsidP="00167050">
            <w:pPr>
              <w:jc w:val="right"/>
              <w:rPr>
                <w:color w:val="000000"/>
                <w:sz w:val="20"/>
                <w:szCs w:val="20"/>
              </w:rPr>
            </w:pPr>
            <w:r>
              <w:rPr>
                <w:color w:val="000000"/>
                <w:sz w:val="20"/>
                <w:szCs w:val="20"/>
              </w:rPr>
              <w:t>$60,000</w:t>
            </w:r>
          </w:p>
        </w:tc>
        <w:tc>
          <w:tcPr>
            <w:tcW w:w="1800" w:type="dxa"/>
            <w:shd w:val="clear" w:color="auto" w:fill="D9D9D9" w:themeFill="background1" w:themeFillShade="D9"/>
            <w:vAlign w:val="center"/>
          </w:tcPr>
          <w:p w14:paraId="6D81DFCE" w14:textId="77777777" w:rsidR="00C01845" w:rsidRPr="00A87B7B" w:rsidRDefault="00C01845" w:rsidP="00167050">
            <w:pPr>
              <w:jc w:val="right"/>
              <w:rPr>
                <w:color w:val="000000"/>
                <w:sz w:val="20"/>
                <w:szCs w:val="20"/>
              </w:rPr>
            </w:pPr>
            <w:r>
              <w:rPr>
                <w:color w:val="000000"/>
                <w:sz w:val="20"/>
                <w:szCs w:val="20"/>
              </w:rPr>
              <w:t>$60,000</w:t>
            </w:r>
          </w:p>
        </w:tc>
      </w:tr>
      <w:tr w:rsidR="00770E74" w:rsidRPr="00A87B7B" w14:paraId="682C2257" w14:textId="77777777" w:rsidTr="007A0AB7">
        <w:trPr>
          <w:trHeight w:val="504"/>
        </w:trPr>
        <w:tc>
          <w:tcPr>
            <w:tcW w:w="3280" w:type="dxa"/>
            <w:shd w:val="clear" w:color="auto" w:fill="auto"/>
            <w:vAlign w:val="center"/>
          </w:tcPr>
          <w:p w14:paraId="3874853F" w14:textId="118A89C9" w:rsidR="00C01845" w:rsidRPr="00303903" w:rsidRDefault="00C01845" w:rsidP="00167050">
            <w:pPr>
              <w:jc w:val="center"/>
              <w:rPr>
                <w:b/>
                <w:color w:val="000000"/>
                <w:sz w:val="20"/>
                <w:szCs w:val="20"/>
              </w:rPr>
            </w:pPr>
            <w:r w:rsidRPr="00303903">
              <w:rPr>
                <w:b/>
                <w:color w:val="000000"/>
                <w:sz w:val="20"/>
                <w:szCs w:val="20"/>
              </w:rPr>
              <w:t xml:space="preserve">Central Minnesota Jobs and Training Services </w:t>
            </w:r>
          </w:p>
        </w:tc>
        <w:tc>
          <w:tcPr>
            <w:tcW w:w="3285" w:type="dxa"/>
            <w:shd w:val="clear" w:color="auto" w:fill="auto"/>
            <w:vAlign w:val="center"/>
          </w:tcPr>
          <w:p w14:paraId="69288E76" w14:textId="7B72B6F7" w:rsidR="00C01845" w:rsidRPr="00A87B7B" w:rsidRDefault="00B61FD9" w:rsidP="00167050">
            <w:pPr>
              <w:jc w:val="center"/>
              <w:rPr>
                <w:color w:val="000000"/>
                <w:sz w:val="20"/>
                <w:szCs w:val="20"/>
              </w:rPr>
            </w:pPr>
            <w:r>
              <w:rPr>
                <w:color w:val="000000"/>
                <w:sz w:val="20"/>
                <w:szCs w:val="20"/>
              </w:rPr>
              <w:t xml:space="preserve">11 County Area of </w:t>
            </w:r>
            <w:r w:rsidR="00C01845">
              <w:rPr>
                <w:color w:val="000000"/>
                <w:sz w:val="20"/>
                <w:szCs w:val="20"/>
              </w:rPr>
              <w:t>Central Minnesota</w:t>
            </w:r>
          </w:p>
        </w:tc>
        <w:tc>
          <w:tcPr>
            <w:tcW w:w="1800" w:type="dxa"/>
            <w:shd w:val="clear" w:color="auto" w:fill="auto"/>
            <w:noWrap/>
            <w:vAlign w:val="center"/>
          </w:tcPr>
          <w:p w14:paraId="53EE3722" w14:textId="77777777" w:rsidR="00C01845" w:rsidRPr="00A87B7B" w:rsidRDefault="00C01845" w:rsidP="00167050">
            <w:pPr>
              <w:jc w:val="right"/>
              <w:rPr>
                <w:color w:val="000000"/>
                <w:sz w:val="20"/>
                <w:szCs w:val="20"/>
              </w:rPr>
            </w:pPr>
            <w:r>
              <w:rPr>
                <w:color w:val="000000"/>
                <w:sz w:val="20"/>
                <w:szCs w:val="20"/>
              </w:rPr>
              <w:t>$60,000</w:t>
            </w:r>
          </w:p>
        </w:tc>
        <w:tc>
          <w:tcPr>
            <w:tcW w:w="1800" w:type="dxa"/>
            <w:shd w:val="clear" w:color="auto" w:fill="auto"/>
            <w:vAlign w:val="center"/>
          </w:tcPr>
          <w:p w14:paraId="74C5ED43" w14:textId="77777777" w:rsidR="00C01845" w:rsidRPr="00A87B7B" w:rsidRDefault="00C01845" w:rsidP="00167050">
            <w:pPr>
              <w:jc w:val="right"/>
              <w:rPr>
                <w:color w:val="000000"/>
                <w:sz w:val="20"/>
                <w:szCs w:val="20"/>
              </w:rPr>
            </w:pPr>
            <w:r>
              <w:rPr>
                <w:color w:val="000000"/>
                <w:sz w:val="20"/>
                <w:szCs w:val="20"/>
              </w:rPr>
              <w:t>$60,000</w:t>
            </w:r>
          </w:p>
        </w:tc>
      </w:tr>
      <w:tr w:rsidR="00770E74" w:rsidRPr="00A87B7B" w14:paraId="2E30C8C7" w14:textId="77777777" w:rsidTr="007A0AB7">
        <w:trPr>
          <w:trHeight w:val="765"/>
        </w:trPr>
        <w:tc>
          <w:tcPr>
            <w:tcW w:w="3280" w:type="dxa"/>
            <w:shd w:val="clear" w:color="auto" w:fill="D9D9D9" w:themeFill="background1" w:themeFillShade="D9"/>
            <w:vAlign w:val="center"/>
          </w:tcPr>
          <w:p w14:paraId="002E5F51" w14:textId="351B74BB" w:rsidR="00C01845" w:rsidRPr="00303903" w:rsidRDefault="00C01845" w:rsidP="00167050">
            <w:pPr>
              <w:jc w:val="center"/>
              <w:rPr>
                <w:b/>
                <w:color w:val="000000"/>
                <w:sz w:val="20"/>
                <w:szCs w:val="20"/>
              </w:rPr>
            </w:pPr>
            <w:r w:rsidRPr="00303903">
              <w:rPr>
                <w:b/>
                <w:color w:val="000000"/>
                <w:sz w:val="20"/>
                <w:szCs w:val="20"/>
              </w:rPr>
              <w:t>Afro-American Development Association</w:t>
            </w:r>
          </w:p>
        </w:tc>
        <w:tc>
          <w:tcPr>
            <w:tcW w:w="3285" w:type="dxa"/>
            <w:shd w:val="clear" w:color="auto" w:fill="D9D9D9" w:themeFill="background1" w:themeFillShade="D9"/>
            <w:vAlign w:val="center"/>
          </w:tcPr>
          <w:p w14:paraId="0E0B55A2" w14:textId="77777777" w:rsidR="00C01845" w:rsidRPr="00A87B7B" w:rsidRDefault="00C01845" w:rsidP="00167050">
            <w:pPr>
              <w:jc w:val="center"/>
              <w:rPr>
                <w:color w:val="000000"/>
                <w:sz w:val="20"/>
                <w:szCs w:val="20"/>
              </w:rPr>
            </w:pPr>
            <w:r>
              <w:rPr>
                <w:color w:val="000000"/>
                <w:sz w:val="20"/>
                <w:szCs w:val="20"/>
              </w:rPr>
              <w:t>Moorhead</w:t>
            </w:r>
          </w:p>
        </w:tc>
        <w:tc>
          <w:tcPr>
            <w:tcW w:w="1800" w:type="dxa"/>
            <w:shd w:val="clear" w:color="auto" w:fill="D9D9D9" w:themeFill="background1" w:themeFillShade="D9"/>
            <w:noWrap/>
            <w:vAlign w:val="center"/>
          </w:tcPr>
          <w:p w14:paraId="63E0EBF6" w14:textId="77777777" w:rsidR="00C01845" w:rsidRPr="00A87B7B" w:rsidRDefault="00C01845" w:rsidP="00167050">
            <w:pPr>
              <w:jc w:val="right"/>
              <w:rPr>
                <w:color w:val="000000"/>
                <w:sz w:val="20"/>
                <w:szCs w:val="20"/>
              </w:rPr>
            </w:pPr>
            <w:r>
              <w:rPr>
                <w:color w:val="000000"/>
                <w:sz w:val="20"/>
                <w:szCs w:val="20"/>
              </w:rPr>
              <w:t>$60,000</w:t>
            </w:r>
          </w:p>
        </w:tc>
        <w:tc>
          <w:tcPr>
            <w:tcW w:w="1800" w:type="dxa"/>
            <w:shd w:val="clear" w:color="auto" w:fill="D9D9D9" w:themeFill="background1" w:themeFillShade="D9"/>
            <w:vAlign w:val="center"/>
          </w:tcPr>
          <w:p w14:paraId="46C928D8" w14:textId="77777777" w:rsidR="00C01845" w:rsidRPr="00A87B7B" w:rsidRDefault="00C01845" w:rsidP="00167050">
            <w:pPr>
              <w:jc w:val="right"/>
              <w:rPr>
                <w:color w:val="000000"/>
                <w:sz w:val="20"/>
                <w:szCs w:val="20"/>
              </w:rPr>
            </w:pPr>
            <w:r>
              <w:rPr>
                <w:color w:val="000000"/>
                <w:sz w:val="20"/>
                <w:szCs w:val="20"/>
              </w:rPr>
              <w:t>$60,000</w:t>
            </w:r>
          </w:p>
        </w:tc>
      </w:tr>
      <w:tr w:rsidR="00770E74" w:rsidRPr="00A87B7B" w14:paraId="278D8A92" w14:textId="77777777" w:rsidTr="001562C6">
        <w:trPr>
          <w:trHeight w:val="765"/>
        </w:trPr>
        <w:tc>
          <w:tcPr>
            <w:tcW w:w="3280" w:type="dxa"/>
            <w:shd w:val="clear" w:color="auto" w:fill="D9D9D9" w:themeFill="background1" w:themeFillShade="D9"/>
            <w:vAlign w:val="center"/>
          </w:tcPr>
          <w:p w14:paraId="209339C2" w14:textId="0C751E6F" w:rsidR="00C01845" w:rsidRPr="00303903" w:rsidRDefault="00C01845" w:rsidP="00167050">
            <w:pPr>
              <w:jc w:val="center"/>
              <w:rPr>
                <w:b/>
                <w:color w:val="000000"/>
                <w:sz w:val="20"/>
                <w:szCs w:val="20"/>
              </w:rPr>
            </w:pPr>
            <w:r w:rsidRPr="00303903">
              <w:rPr>
                <w:b/>
                <w:color w:val="000000"/>
                <w:sz w:val="20"/>
                <w:szCs w:val="20"/>
              </w:rPr>
              <w:t>Rural Minnesota CEP</w:t>
            </w:r>
          </w:p>
        </w:tc>
        <w:tc>
          <w:tcPr>
            <w:tcW w:w="3285" w:type="dxa"/>
            <w:shd w:val="clear" w:color="auto" w:fill="D9D9D9" w:themeFill="background1" w:themeFillShade="D9"/>
            <w:vAlign w:val="center"/>
          </w:tcPr>
          <w:p w14:paraId="4B1B9B8C" w14:textId="77777777" w:rsidR="00C01845" w:rsidRPr="00A87B7B" w:rsidRDefault="00C01845" w:rsidP="00167050">
            <w:pPr>
              <w:jc w:val="center"/>
              <w:rPr>
                <w:color w:val="000000"/>
                <w:sz w:val="20"/>
                <w:szCs w:val="20"/>
              </w:rPr>
            </w:pPr>
            <w:r>
              <w:rPr>
                <w:color w:val="000000"/>
                <w:sz w:val="20"/>
                <w:szCs w:val="20"/>
              </w:rPr>
              <w:t>19 County Area of Central/North Central Minnesota</w:t>
            </w:r>
          </w:p>
        </w:tc>
        <w:tc>
          <w:tcPr>
            <w:tcW w:w="1800" w:type="dxa"/>
            <w:shd w:val="clear" w:color="auto" w:fill="D9D9D9" w:themeFill="background1" w:themeFillShade="D9"/>
            <w:noWrap/>
            <w:vAlign w:val="center"/>
          </w:tcPr>
          <w:p w14:paraId="7D2B1C0D" w14:textId="77777777" w:rsidR="00C01845" w:rsidRPr="00A87B7B" w:rsidRDefault="00C01845" w:rsidP="00167050">
            <w:pPr>
              <w:jc w:val="right"/>
              <w:rPr>
                <w:color w:val="000000"/>
                <w:sz w:val="20"/>
                <w:szCs w:val="20"/>
              </w:rPr>
            </w:pPr>
            <w:r>
              <w:rPr>
                <w:color w:val="000000"/>
                <w:sz w:val="20"/>
                <w:szCs w:val="20"/>
              </w:rPr>
              <w:t>$60,000</w:t>
            </w:r>
          </w:p>
        </w:tc>
        <w:tc>
          <w:tcPr>
            <w:tcW w:w="1800" w:type="dxa"/>
            <w:shd w:val="clear" w:color="auto" w:fill="D9D9D9" w:themeFill="background1" w:themeFillShade="D9"/>
            <w:vAlign w:val="center"/>
          </w:tcPr>
          <w:p w14:paraId="79E028E3" w14:textId="77777777" w:rsidR="00C01845" w:rsidRPr="00A87B7B" w:rsidRDefault="00C01845" w:rsidP="00167050">
            <w:pPr>
              <w:jc w:val="right"/>
              <w:rPr>
                <w:color w:val="000000"/>
                <w:sz w:val="20"/>
                <w:szCs w:val="20"/>
              </w:rPr>
            </w:pPr>
            <w:r>
              <w:rPr>
                <w:color w:val="000000"/>
                <w:sz w:val="20"/>
                <w:szCs w:val="20"/>
              </w:rPr>
              <w:t>$60,000</w:t>
            </w:r>
          </w:p>
        </w:tc>
      </w:tr>
      <w:tr w:rsidR="00770E74" w:rsidRPr="00A87B7B" w14:paraId="6DED1D15" w14:textId="77777777" w:rsidTr="001562C6">
        <w:trPr>
          <w:trHeight w:val="504"/>
        </w:trPr>
        <w:tc>
          <w:tcPr>
            <w:tcW w:w="3280" w:type="dxa"/>
            <w:shd w:val="clear" w:color="000000" w:fill="FFFFFF"/>
            <w:vAlign w:val="center"/>
          </w:tcPr>
          <w:p w14:paraId="7C09D17C" w14:textId="6AAE5168" w:rsidR="00C01845" w:rsidRPr="00303903" w:rsidRDefault="00C01845" w:rsidP="00167050">
            <w:pPr>
              <w:jc w:val="center"/>
              <w:rPr>
                <w:b/>
                <w:color w:val="000000"/>
                <w:sz w:val="20"/>
                <w:szCs w:val="20"/>
              </w:rPr>
            </w:pPr>
            <w:r w:rsidRPr="00303903">
              <w:rPr>
                <w:b/>
                <w:color w:val="000000"/>
                <w:sz w:val="20"/>
                <w:szCs w:val="20"/>
              </w:rPr>
              <w:t>Career Solutions</w:t>
            </w:r>
          </w:p>
        </w:tc>
        <w:tc>
          <w:tcPr>
            <w:tcW w:w="3285" w:type="dxa"/>
            <w:shd w:val="clear" w:color="000000" w:fill="FFFFFF"/>
            <w:vAlign w:val="center"/>
          </w:tcPr>
          <w:p w14:paraId="1FB68912" w14:textId="77777777" w:rsidR="00C01845" w:rsidRPr="00A87B7B" w:rsidRDefault="00C01845" w:rsidP="00167050">
            <w:pPr>
              <w:jc w:val="center"/>
              <w:rPr>
                <w:color w:val="000000"/>
                <w:sz w:val="20"/>
                <w:szCs w:val="20"/>
              </w:rPr>
            </w:pPr>
            <w:r>
              <w:rPr>
                <w:color w:val="000000"/>
                <w:sz w:val="20"/>
                <w:szCs w:val="20"/>
              </w:rPr>
              <w:t xml:space="preserve">Stearns and Benton Counties </w:t>
            </w:r>
          </w:p>
        </w:tc>
        <w:tc>
          <w:tcPr>
            <w:tcW w:w="1800" w:type="dxa"/>
            <w:shd w:val="clear" w:color="000000" w:fill="FFFFFF"/>
            <w:noWrap/>
            <w:vAlign w:val="center"/>
          </w:tcPr>
          <w:p w14:paraId="38B5374E" w14:textId="77777777" w:rsidR="00C01845" w:rsidRPr="00A87B7B" w:rsidRDefault="00C01845" w:rsidP="00167050">
            <w:pPr>
              <w:jc w:val="right"/>
              <w:rPr>
                <w:color w:val="000000"/>
                <w:sz w:val="20"/>
                <w:szCs w:val="20"/>
              </w:rPr>
            </w:pPr>
            <w:r>
              <w:rPr>
                <w:color w:val="000000"/>
                <w:sz w:val="20"/>
                <w:szCs w:val="20"/>
              </w:rPr>
              <w:t>$60,000</w:t>
            </w:r>
          </w:p>
        </w:tc>
        <w:tc>
          <w:tcPr>
            <w:tcW w:w="1800" w:type="dxa"/>
            <w:shd w:val="clear" w:color="000000" w:fill="FFFFFF"/>
            <w:vAlign w:val="center"/>
          </w:tcPr>
          <w:p w14:paraId="1B1774EB" w14:textId="77777777" w:rsidR="00C01845" w:rsidRPr="00A87B7B" w:rsidRDefault="00C01845" w:rsidP="00167050">
            <w:pPr>
              <w:jc w:val="right"/>
              <w:rPr>
                <w:color w:val="000000"/>
                <w:sz w:val="20"/>
                <w:szCs w:val="20"/>
              </w:rPr>
            </w:pPr>
            <w:r>
              <w:rPr>
                <w:color w:val="000000"/>
                <w:sz w:val="20"/>
                <w:szCs w:val="20"/>
              </w:rPr>
              <w:t>$60,000</w:t>
            </w:r>
          </w:p>
        </w:tc>
      </w:tr>
      <w:tr w:rsidR="00770E74" w:rsidRPr="00A87B7B" w14:paraId="251DB820" w14:textId="77777777" w:rsidTr="001562C6">
        <w:trPr>
          <w:trHeight w:val="504"/>
        </w:trPr>
        <w:tc>
          <w:tcPr>
            <w:tcW w:w="3280" w:type="dxa"/>
            <w:shd w:val="clear" w:color="auto" w:fill="D9D9D9" w:themeFill="background1" w:themeFillShade="D9"/>
            <w:vAlign w:val="center"/>
          </w:tcPr>
          <w:p w14:paraId="3C8193EF" w14:textId="6D60F276" w:rsidR="00C01845" w:rsidRPr="00303903" w:rsidRDefault="00C01845" w:rsidP="00167050">
            <w:pPr>
              <w:jc w:val="center"/>
              <w:rPr>
                <w:b/>
                <w:color w:val="000000"/>
                <w:sz w:val="20"/>
                <w:szCs w:val="20"/>
              </w:rPr>
            </w:pPr>
            <w:r w:rsidRPr="00303903">
              <w:rPr>
                <w:b/>
                <w:color w:val="000000"/>
                <w:sz w:val="20"/>
                <w:szCs w:val="20"/>
              </w:rPr>
              <w:t>City of Duluth</w:t>
            </w:r>
          </w:p>
        </w:tc>
        <w:tc>
          <w:tcPr>
            <w:tcW w:w="3285" w:type="dxa"/>
            <w:shd w:val="clear" w:color="auto" w:fill="D9D9D9" w:themeFill="background1" w:themeFillShade="D9"/>
            <w:vAlign w:val="center"/>
          </w:tcPr>
          <w:p w14:paraId="5215017A" w14:textId="77777777" w:rsidR="00C01845" w:rsidRPr="00A87B7B" w:rsidRDefault="00C01845" w:rsidP="00167050">
            <w:pPr>
              <w:jc w:val="center"/>
              <w:rPr>
                <w:color w:val="000000"/>
                <w:sz w:val="20"/>
                <w:szCs w:val="20"/>
              </w:rPr>
            </w:pPr>
            <w:r>
              <w:rPr>
                <w:color w:val="000000"/>
                <w:sz w:val="20"/>
                <w:szCs w:val="20"/>
              </w:rPr>
              <w:t>Duluth</w:t>
            </w:r>
          </w:p>
        </w:tc>
        <w:tc>
          <w:tcPr>
            <w:tcW w:w="1800" w:type="dxa"/>
            <w:shd w:val="clear" w:color="auto" w:fill="D9D9D9" w:themeFill="background1" w:themeFillShade="D9"/>
            <w:noWrap/>
            <w:vAlign w:val="center"/>
          </w:tcPr>
          <w:p w14:paraId="0AE6945E" w14:textId="77777777" w:rsidR="00C01845" w:rsidRPr="00A87B7B" w:rsidRDefault="00C01845" w:rsidP="00167050">
            <w:pPr>
              <w:jc w:val="right"/>
              <w:rPr>
                <w:color w:val="000000"/>
                <w:sz w:val="20"/>
                <w:szCs w:val="20"/>
              </w:rPr>
            </w:pPr>
            <w:r>
              <w:rPr>
                <w:color w:val="000000"/>
                <w:sz w:val="20"/>
                <w:szCs w:val="20"/>
              </w:rPr>
              <w:t>$60,000</w:t>
            </w:r>
          </w:p>
        </w:tc>
        <w:tc>
          <w:tcPr>
            <w:tcW w:w="1800" w:type="dxa"/>
            <w:shd w:val="clear" w:color="auto" w:fill="D9D9D9" w:themeFill="background1" w:themeFillShade="D9"/>
            <w:vAlign w:val="center"/>
          </w:tcPr>
          <w:p w14:paraId="4AD694F8" w14:textId="77777777" w:rsidR="00C01845" w:rsidRPr="00A87B7B" w:rsidRDefault="00C01845" w:rsidP="00167050">
            <w:pPr>
              <w:jc w:val="right"/>
              <w:rPr>
                <w:color w:val="000000"/>
                <w:sz w:val="20"/>
                <w:szCs w:val="20"/>
              </w:rPr>
            </w:pPr>
            <w:r>
              <w:rPr>
                <w:color w:val="000000"/>
                <w:sz w:val="20"/>
                <w:szCs w:val="20"/>
              </w:rPr>
              <w:t>$60,000</w:t>
            </w:r>
          </w:p>
        </w:tc>
      </w:tr>
      <w:tr w:rsidR="00770E74" w:rsidRPr="00A87B7B" w14:paraId="0212532E" w14:textId="77777777" w:rsidTr="001562C6">
        <w:trPr>
          <w:trHeight w:val="504"/>
        </w:trPr>
        <w:tc>
          <w:tcPr>
            <w:tcW w:w="3280" w:type="dxa"/>
            <w:shd w:val="clear" w:color="auto" w:fill="auto"/>
            <w:vAlign w:val="center"/>
          </w:tcPr>
          <w:p w14:paraId="002D68CA" w14:textId="44515841" w:rsidR="00C01845" w:rsidRPr="001562C6" w:rsidRDefault="00C01845" w:rsidP="00167050">
            <w:pPr>
              <w:jc w:val="center"/>
              <w:rPr>
                <w:b/>
                <w:color w:val="000000"/>
                <w:sz w:val="20"/>
                <w:szCs w:val="20"/>
              </w:rPr>
            </w:pPr>
            <w:r w:rsidRPr="001562C6">
              <w:rPr>
                <w:b/>
                <w:color w:val="000000"/>
                <w:sz w:val="20"/>
                <w:szCs w:val="20"/>
              </w:rPr>
              <w:t>Bridge For Yout</w:t>
            </w:r>
            <w:r w:rsidR="00BA4A80" w:rsidRPr="001562C6">
              <w:rPr>
                <w:b/>
                <w:color w:val="000000"/>
                <w:sz w:val="20"/>
                <w:szCs w:val="20"/>
              </w:rPr>
              <w:t>h</w:t>
            </w:r>
            <w:r w:rsidRPr="001562C6">
              <w:rPr>
                <w:b/>
                <w:color w:val="000000"/>
                <w:sz w:val="20"/>
                <w:szCs w:val="20"/>
              </w:rPr>
              <w:t xml:space="preserve"> </w:t>
            </w:r>
          </w:p>
        </w:tc>
        <w:tc>
          <w:tcPr>
            <w:tcW w:w="3285" w:type="dxa"/>
            <w:shd w:val="clear" w:color="auto" w:fill="auto"/>
            <w:vAlign w:val="center"/>
          </w:tcPr>
          <w:p w14:paraId="6919B398" w14:textId="77777777" w:rsidR="00C01845" w:rsidRPr="001562C6" w:rsidRDefault="00C01845" w:rsidP="00167050">
            <w:pPr>
              <w:jc w:val="center"/>
              <w:rPr>
                <w:color w:val="000000"/>
                <w:sz w:val="20"/>
                <w:szCs w:val="20"/>
              </w:rPr>
            </w:pPr>
            <w:r w:rsidRPr="001562C6">
              <w:rPr>
                <w:color w:val="000000"/>
                <w:sz w:val="20"/>
                <w:szCs w:val="20"/>
              </w:rPr>
              <w:t xml:space="preserve">Hennepin County </w:t>
            </w:r>
          </w:p>
        </w:tc>
        <w:tc>
          <w:tcPr>
            <w:tcW w:w="1800" w:type="dxa"/>
            <w:shd w:val="clear" w:color="auto" w:fill="auto"/>
            <w:noWrap/>
            <w:vAlign w:val="center"/>
          </w:tcPr>
          <w:p w14:paraId="1A0BC07D" w14:textId="77777777" w:rsidR="00C01845" w:rsidRPr="001562C6" w:rsidRDefault="00C01845" w:rsidP="00167050">
            <w:pPr>
              <w:jc w:val="right"/>
              <w:rPr>
                <w:color w:val="000000"/>
                <w:sz w:val="20"/>
                <w:szCs w:val="20"/>
              </w:rPr>
            </w:pPr>
            <w:r w:rsidRPr="001562C6">
              <w:rPr>
                <w:color w:val="000000"/>
                <w:sz w:val="20"/>
                <w:szCs w:val="20"/>
              </w:rPr>
              <w:t>$60,000</w:t>
            </w:r>
          </w:p>
        </w:tc>
        <w:tc>
          <w:tcPr>
            <w:tcW w:w="1800" w:type="dxa"/>
            <w:shd w:val="clear" w:color="auto" w:fill="auto"/>
            <w:vAlign w:val="center"/>
          </w:tcPr>
          <w:p w14:paraId="4FE43D59" w14:textId="4E880321" w:rsidR="00C01845" w:rsidRPr="001562C6" w:rsidRDefault="001562C6" w:rsidP="001562C6">
            <w:pPr>
              <w:jc w:val="center"/>
              <w:rPr>
                <w:color w:val="000000"/>
                <w:sz w:val="20"/>
                <w:szCs w:val="20"/>
              </w:rPr>
            </w:pPr>
            <w:r>
              <w:rPr>
                <w:color w:val="000000"/>
                <w:sz w:val="20"/>
                <w:szCs w:val="20"/>
              </w:rPr>
              <w:t>Turned back SFY21 funds</w:t>
            </w:r>
          </w:p>
        </w:tc>
      </w:tr>
      <w:tr w:rsidR="00770E74" w:rsidRPr="00A87B7B" w14:paraId="283BC688" w14:textId="77777777" w:rsidTr="001562C6">
        <w:trPr>
          <w:trHeight w:val="300"/>
        </w:trPr>
        <w:tc>
          <w:tcPr>
            <w:tcW w:w="3280" w:type="dxa"/>
            <w:shd w:val="clear" w:color="auto" w:fill="D9D9D9" w:themeFill="background1" w:themeFillShade="D9"/>
            <w:vAlign w:val="center"/>
          </w:tcPr>
          <w:p w14:paraId="140DC901" w14:textId="541D04C1" w:rsidR="00C01845" w:rsidRPr="00303903" w:rsidRDefault="00C01845" w:rsidP="00167050">
            <w:pPr>
              <w:jc w:val="center"/>
              <w:rPr>
                <w:b/>
                <w:color w:val="000000"/>
                <w:sz w:val="20"/>
                <w:szCs w:val="20"/>
              </w:rPr>
            </w:pPr>
            <w:r w:rsidRPr="00303903">
              <w:rPr>
                <w:b/>
                <w:color w:val="000000"/>
                <w:sz w:val="20"/>
                <w:szCs w:val="20"/>
              </w:rPr>
              <w:lastRenderedPageBreak/>
              <w:t>180 Degrees</w:t>
            </w:r>
          </w:p>
        </w:tc>
        <w:tc>
          <w:tcPr>
            <w:tcW w:w="3285" w:type="dxa"/>
            <w:shd w:val="clear" w:color="auto" w:fill="D9D9D9" w:themeFill="background1" w:themeFillShade="D9"/>
            <w:vAlign w:val="center"/>
          </w:tcPr>
          <w:p w14:paraId="6FE4F52B" w14:textId="77777777" w:rsidR="00C01845" w:rsidRPr="00A87B7B" w:rsidRDefault="00C01845" w:rsidP="00167050">
            <w:pPr>
              <w:jc w:val="center"/>
              <w:rPr>
                <w:color w:val="000000"/>
                <w:sz w:val="20"/>
                <w:szCs w:val="20"/>
              </w:rPr>
            </w:pPr>
            <w:r>
              <w:rPr>
                <w:color w:val="000000"/>
                <w:sz w:val="20"/>
                <w:szCs w:val="20"/>
              </w:rPr>
              <w:t>Twin Cities</w:t>
            </w:r>
          </w:p>
        </w:tc>
        <w:tc>
          <w:tcPr>
            <w:tcW w:w="1800" w:type="dxa"/>
            <w:shd w:val="clear" w:color="auto" w:fill="D9D9D9" w:themeFill="background1" w:themeFillShade="D9"/>
            <w:noWrap/>
            <w:vAlign w:val="center"/>
          </w:tcPr>
          <w:p w14:paraId="3D9E603E" w14:textId="77777777" w:rsidR="00C01845" w:rsidRPr="00A87B7B" w:rsidRDefault="00C01845" w:rsidP="00167050">
            <w:pPr>
              <w:jc w:val="right"/>
              <w:rPr>
                <w:color w:val="000000"/>
                <w:sz w:val="20"/>
                <w:szCs w:val="20"/>
              </w:rPr>
            </w:pPr>
            <w:r>
              <w:rPr>
                <w:color w:val="000000"/>
                <w:sz w:val="20"/>
                <w:szCs w:val="20"/>
              </w:rPr>
              <w:t>$60,000</w:t>
            </w:r>
          </w:p>
        </w:tc>
        <w:tc>
          <w:tcPr>
            <w:tcW w:w="1800" w:type="dxa"/>
            <w:shd w:val="clear" w:color="auto" w:fill="D9D9D9" w:themeFill="background1" w:themeFillShade="D9"/>
            <w:vAlign w:val="center"/>
          </w:tcPr>
          <w:p w14:paraId="7FDEFA78" w14:textId="77777777" w:rsidR="00C01845" w:rsidRPr="00A87B7B" w:rsidRDefault="00C01845" w:rsidP="00167050">
            <w:pPr>
              <w:jc w:val="right"/>
              <w:rPr>
                <w:color w:val="000000"/>
                <w:sz w:val="20"/>
                <w:szCs w:val="20"/>
              </w:rPr>
            </w:pPr>
            <w:r>
              <w:rPr>
                <w:color w:val="000000"/>
                <w:sz w:val="20"/>
                <w:szCs w:val="20"/>
              </w:rPr>
              <w:t>$60,000</w:t>
            </w:r>
          </w:p>
        </w:tc>
      </w:tr>
      <w:tr w:rsidR="00770E74" w:rsidRPr="00A87B7B" w14:paraId="13E636DE" w14:textId="77777777" w:rsidTr="001562C6">
        <w:trPr>
          <w:trHeight w:val="504"/>
        </w:trPr>
        <w:tc>
          <w:tcPr>
            <w:tcW w:w="3280" w:type="dxa"/>
            <w:shd w:val="clear" w:color="000000" w:fill="FFFFFF"/>
            <w:vAlign w:val="center"/>
          </w:tcPr>
          <w:p w14:paraId="19CB9800" w14:textId="1E1345EE" w:rsidR="00C01845" w:rsidRPr="00303903" w:rsidRDefault="00C01845" w:rsidP="00167050">
            <w:pPr>
              <w:jc w:val="center"/>
              <w:rPr>
                <w:b/>
                <w:color w:val="000000"/>
                <w:sz w:val="20"/>
                <w:szCs w:val="20"/>
              </w:rPr>
            </w:pPr>
            <w:r w:rsidRPr="00303903">
              <w:rPr>
                <w:b/>
                <w:color w:val="000000"/>
                <w:sz w:val="20"/>
                <w:szCs w:val="20"/>
              </w:rPr>
              <w:t>HIRED</w:t>
            </w:r>
          </w:p>
        </w:tc>
        <w:tc>
          <w:tcPr>
            <w:tcW w:w="3285" w:type="dxa"/>
            <w:shd w:val="clear" w:color="000000" w:fill="FFFFFF"/>
            <w:vAlign w:val="center"/>
          </w:tcPr>
          <w:p w14:paraId="3292FDE9" w14:textId="77777777" w:rsidR="00C01845" w:rsidRPr="00A87B7B" w:rsidRDefault="00C01845" w:rsidP="00167050">
            <w:pPr>
              <w:jc w:val="center"/>
              <w:rPr>
                <w:color w:val="000000"/>
                <w:sz w:val="20"/>
                <w:szCs w:val="20"/>
              </w:rPr>
            </w:pPr>
            <w:r>
              <w:rPr>
                <w:color w:val="000000"/>
                <w:sz w:val="20"/>
                <w:szCs w:val="20"/>
              </w:rPr>
              <w:t>Ramsey County</w:t>
            </w:r>
          </w:p>
        </w:tc>
        <w:tc>
          <w:tcPr>
            <w:tcW w:w="1800" w:type="dxa"/>
            <w:shd w:val="clear" w:color="000000" w:fill="FFFFFF"/>
            <w:noWrap/>
            <w:vAlign w:val="center"/>
          </w:tcPr>
          <w:p w14:paraId="4C23992D" w14:textId="77777777" w:rsidR="00C01845" w:rsidRPr="00A87B7B" w:rsidRDefault="00C01845" w:rsidP="00167050">
            <w:pPr>
              <w:jc w:val="right"/>
              <w:rPr>
                <w:color w:val="000000"/>
                <w:sz w:val="20"/>
                <w:szCs w:val="20"/>
              </w:rPr>
            </w:pPr>
            <w:r>
              <w:rPr>
                <w:color w:val="000000"/>
                <w:sz w:val="20"/>
                <w:szCs w:val="20"/>
              </w:rPr>
              <w:t>$60,000</w:t>
            </w:r>
          </w:p>
        </w:tc>
        <w:tc>
          <w:tcPr>
            <w:tcW w:w="1800" w:type="dxa"/>
            <w:shd w:val="clear" w:color="000000" w:fill="FFFFFF"/>
            <w:vAlign w:val="center"/>
          </w:tcPr>
          <w:p w14:paraId="0CB842C5" w14:textId="77777777" w:rsidR="00C01845" w:rsidRPr="00A87B7B" w:rsidRDefault="00C01845" w:rsidP="00167050">
            <w:pPr>
              <w:jc w:val="right"/>
              <w:rPr>
                <w:color w:val="000000"/>
                <w:sz w:val="20"/>
                <w:szCs w:val="20"/>
              </w:rPr>
            </w:pPr>
            <w:r>
              <w:rPr>
                <w:color w:val="000000"/>
                <w:sz w:val="20"/>
                <w:szCs w:val="20"/>
              </w:rPr>
              <w:t>$60,000</w:t>
            </w:r>
          </w:p>
        </w:tc>
      </w:tr>
      <w:tr w:rsidR="00770E74" w:rsidRPr="00A87B7B" w14:paraId="434116B7" w14:textId="77777777" w:rsidTr="001562C6">
        <w:trPr>
          <w:trHeight w:val="504"/>
        </w:trPr>
        <w:tc>
          <w:tcPr>
            <w:tcW w:w="3280" w:type="dxa"/>
            <w:shd w:val="clear" w:color="auto" w:fill="D9D9D9" w:themeFill="background1" w:themeFillShade="D9"/>
            <w:vAlign w:val="center"/>
          </w:tcPr>
          <w:p w14:paraId="01D39814" w14:textId="646E73E1" w:rsidR="00C01845" w:rsidRPr="00303903" w:rsidRDefault="00C01845" w:rsidP="00167050">
            <w:pPr>
              <w:jc w:val="center"/>
              <w:rPr>
                <w:b/>
                <w:color w:val="000000"/>
                <w:sz w:val="20"/>
                <w:szCs w:val="20"/>
              </w:rPr>
            </w:pPr>
            <w:r w:rsidRPr="00303903">
              <w:rPr>
                <w:b/>
                <w:color w:val="000000"/>
                <w:sz w:val="20"/>
                <w:szCs w:val="20"/>
              </w:rPr>
              <w:t xml:space="preserve">Ka </w:t>
            </w:r>
            <w:proofErr w:type="spellStart"/>
            <w:r w:rsidRPr="00303903">
              <w:rPr>
                <w:b/>
                <w:color w:val="000000"/>
                <w:sz w:val="20"/>
                <w:szCs w:val="20"/>
              </w:rPr>
              <w:t>Joog</w:t>
            </w:r>
            <w:proofErr w:type="spellEnd"/>
            <w:r w:rsidRPr="00303903">
              <w:rPr>
                <w:b/>
                <w:color w:val="000000"/>
                <w:sz w:val="20"/>
                <w:szCs w:val="20"/>
              </w:rPr>
              <w:t xml:space="preserve"> </w:t>
            </w:r>
          </w:p>
        </w:tc>
        <w:tc>
          <w:tcPr>
            <w:tcW w:w="3285" w:type="dxa"/>
            <w:shd w:val="clear" w:color="auto" w:fill="D9D9D9" w:themeFill="background1" w:themeFillShade="D9"/>
            <w:vAlign w:val="center"/>
          </w:tcPr>
          <w:p w14:paraId="2D7DD7F0" w14:textId="77777777" w:rsidR="00C01845" w:rsidRPr="00A87B7B" w:rsidRDefault="00C01845" w:rsidP="00167050">
            <w:pPr>
              <w:jc w:val="center"/>
              <w:rPr>
                <w:color w:val="000000"/>
                <w:sz w:val="20"/>
                <w:szCs w:val="20"/>
              </w:rPr>
            </w:pPr>
            <w:r>
              <w:rPr>
                <w:color w:val="000000"/>
                <w:sz w:val="20"/>
                <w:szCs w:val="20"/>
              </w:rPr>
              <w:t>Twin Cities</w:t>
            </w:r>
          </w:p>
        </w:tc>
        <w:tc>
          <w:tcPr>
            <w:tcW w:w="1800" w:type="dxa"/>
            <w:shd w:val="clear" w:color="auto" w:fill="D9D9D9" w:themeFill="background1" w:themeFillShade="D9"/>
            <w:noWrap/>
            <w:vAlign w:val="center"/>
          </w:tcPr>
          <w:p w14:paraId="4FD1CD28" w14:textId="77777777" w:rsidR="00C01845" w:rsidRPr="00A87B7B" w:rsidRDefault="00C01845" w:rsidP="00167050">
            <w:pPr>
              <w:jc w:val="right"/>
              <w:rPr>
                <w:color w:val="000000"/>
                <w:sz w:val="20"/>
                <w:szCs w:val="20"/>
              </w:rPr>
            </w:pPr>
            <w:r>
              <w:rPr>
                <w:color w:val="000000"/>
                <w:sz w:val="20"/>
                <w:szCs w:val="20"/>
              </w:rPr>
              <w:t>$60,000</w:t>
            </w:r>
          </w:p>
        </w:tc>
        <w:tc>
          <w:tcPr>
            <w:tcW w:w="1800" w:type="dxa"/>
            <w:shd w:val="clear" w:color="auto" w:fill="D9D9D9" w:themeFill="background1" w:themeFillShade="D9"/>
            <w:vAlign w:val="center"/>
          </w:tcPr>
          <w:p w14:paraId="3EB86680" w14:textId="77777777" w:rsidR="00C01845" w:rsidRPr="00A87B7B" w:rsidRDefault="00C01845" w:rsidP="00167050">
            <w:pPr>
              <w:jc w:val="right"/>
              <w:rPr>
                <w:color w:val="000000"/>
                <w:sz w:val="20"/>
                <w:szCs w:val="20"/>
              </w:rPr>
            </w:pPr>
            <w:r>
              <w:rPr>
                <w:color w:val="000000"/>
                <w:sz w:val="20"/>
                <w:szCs w:val="20"/>
              </w:rPr>
              <w:t>$60,000</w:t>
            </w:r>
          </w:p>
        </w:tc>
      </w:tr>
      <w:tr w:rsidR="00770E74" w:rsidRPr="00A87B7B" w14:paraId="1D26D615" w14:textId="77777777" w:rsidTr="001562C6">
        <w:trPr>
          <w:trHeight w:val="504"/>
        </w:trPr>
        <w:tc>
          <w:tcPr>
            <w:tcW w:w="3280" w:type="dxa"/>
            <w:shd w:val="clear" w:color="000000" w:fill="FFFFFF"/>
            <w:vAlign w:val="center"/>
          </w:tcPr>
          <w:p w14:paraId="331138A2" w14:textId="1BA82419" w:rsidR="00C01845" w:rsidRPr="00303903" w:rsidRDefault="00C01845" w:rsidP="00167050">
            <w:pPr>
              <w:jc w:val="center"/>
              <w:rPr>
                <w:b/>
                <w:color w:val="000000"/>
                <w:sz w:val="20"/>
                <w:szCs w:val="20"/>
              </w:rPr>
            </w:pPr>
            <w:r w:rsidRPr="00303903">
              <w:rPr>
                <w:b/>
                <w:color w:val="000000"/>
                <w:sz w:val="20"/>
                <w:szCs w:val="20"/>
              </w:rPr>
              <w:t>YMCA of the Greater Twin Cities</w:t>
            </w:r>
          </w:p>
        </w:tc>
        <w:tc>
          <w:tcPr>
            <w:tcW w:w="3285" w:type="dxa"/>
            <w:shd w:val="clear" w:color="000000" w:fill="FFFFFF"/>
            <w:vAlign w:val="center"/>
          </w:tcPr>
          <w:p w14:paraId="36B663A3" w14:textId="77777777" w:rsidR="00C01845" w:rsidRPr="00A87B7B" w:rsidRDefault="00C01845" w:rsidP="00167050">
            <w:pPr>
              <w:jc w:val="center"/>
              <w:rPr>
                <w:color w:val="000000"/>
                <w:sz w:val="20"/>
                <w:szCs w:val="20"/>
              </w:rPr>
            </w:pPr>
            <w:r>
              <w:rPr>
                <w:color w:val="000000"/>
                <w:sz w:val="20"/>
                <w:szCs w:val="20"/>
              </w:rPr>
              <w:t>Twin Cities</w:t>
            </w:r>
          </w:p>
        </w:tc>
        <w:tc>
          <w:tcPr>
            <w:tcW w:w="1800" w:type="dxa"/>
            <w:shd w:val="clear" w:color="000000" w:fill="FFFFFF"/>
            <w:noWrap/>
            <w:vAlign w:val="center"/>
          </w:tcPr>
          <w:p w14:paraId="0E193451" w14:textId="77777777" w:rsidR="00C01845" w:rsidRPr="00A87B7B" w:rsidRDefault="00C01845" w:rsidP="00167050">
            <w:pPr>
              <w:jc w:val="right"/>
              <w:rPr>
                <w:color w:val="000000"/>
                <w:sz w:val="20"/>
                <w:szCs w:val="20"/>
              </w:rPr>
            </w:pPr>
            <w:r>
              <w:rPr>
                <w:color w:val="000000"/>
                <w:sz w:val="20"/>
                <w:szCs w:val="20"/>
              </w:rPr>
              <w:t>$50,000</w:t>
            </w:r>
          </w:p>
        </w:tc>
        <w:tc>
          <w:tcPr>
            <w:tcW w:w="1800" w:type="dxa"/>
            <w:shd w:val="clear" w:color="000000" w:fill="FFFFFF"/>
            <w:vAlign w:val="center"/>
          </w:tcPr>
          <w:p w14:paraId="77F8C191" w14:textId="77777777" w:rsidR="00C01845" w:rsidRPr="00A87B7B" w:rsidRDefault="00C01845" w:rsidP="00167050">
            <w:pPr>
              <w:jc w:val="right"/>
              <w:rPr>
                <w:color w:val="000000"/>
                <w:sz w:val="20"/>
                <w:szCs w:val="20"/>
              </w:rPr>
            </w:pPr>
            <w:r>
              <w:rPr>
                <w:color w:val="000000"/>
                <w:sz w:val="20"/>
                <w:szCs w:val="20"/>
              </w:rPr>
              <w:t>$50,000</w:t>
            </w:r>
          </w:p>
        </w:tc>
      </w:tr>
      <w:tr w:rsidR="00770E74" w:rsidRPr="00A87B7B" w14:paraId="566071B3" w14:textId="77777777" w:rsidTr="001562C6">
        <w:trPr>
          <w:trHeight w:val="656"/>
        </w:trPr>
        <w:tc>
          <w:tcPr>
            <w:tcW w:w="3280" w:type="dxa"/>
            <w:shd w:val="clear" w:color="auto" w:fill="D9D9D9" w:themeFill="background1" w:themeFillShade="D9"/>
            <w:vAlign w:val="center"/>
          </w:tcPr>
          <w:p w14:paraId="75EFA796" w14:textId="1899D6DD" w:rsidR="00C01845" w:rsidRPr="00303903" w:rsidRDefault="00C01845" w:rsidP="00167050">
            <w:pPr>
              <w:jc w:val="center"/>
              <w:rPr>
                <w:b/>
                <w:color w:val="000000"/>
                <w:sz w:val="20"/>
                <w:szCs w:val="20"/>
              </w:rPr>
            </w:pPr>
            <w:r w:rsidRPr="00303903">
              <w:rPr>
                <w:b/>
                <w:color w:val="000000"/>
                <w:sz w:val="20"/>
                <w:szCs w:val="20"/>
              </w:rPr>
              <w:t>Goodwill-Easter Seals of Minnesota</w:t>
            </w:r>
          </w:p>
        </w:tc>
        <w:tc>
          <w:tcPr>
            <w:tcW w:w="3285" w:type="dxa"/>
            <w:shd w:val="clear" w:color="auto" w:fill="D9D9D9" w:themeFill="background1" w:themeFillShade="D9"/>
            <w:vAlign w:val="center"/>
          </w:tcPr>
          <w:p w14:paraId="05FD1C08" w14:textId="77777777" w:rsidR="00C01845" w:rsidRPr="00A87B7B" w:rsidRDefault="00C01845" w:rsidP="00167050">
            <w:pPr>
              <w:jc w:val="center"/>
              <w:rPr>
                <w:color w:val="000000"/>
                <w:sz w:val="20"/>
                <w:szCs w:val="20"/>
              </w:rPr>
            </w:pPr>
            <w:r>
              <w:rPr>
                <w:color w:val="000000"/>
                <w:sz w:val="20"/>
                <w:szCs w:val="20"/>
              </w:rPr>
              <w:t>St. Cloud and Willmar</w:t>
            </w:r>
          </w:p>
        </w:tc>
        <w:tc>
          <w:tcPr>
            <w:tcW w:w="1800" w:type="dxa"/>
            <w:shd w:val="clear" w:color="auto" w:fill="D9D9D9" w:themeFill="background1" w:themeFillShade="D9"/>
            <w:noWrap/>
            <w:vAlign w:val="center"/>
          </w:tcPr>
          <w:p w14:paraId="5A29202B" w14:textId="77777777" w:rsidR="00C01845" w:rsidRPr="00A87B7B" w:rsidRDefault="00C01845" w:rsidP="00167050">
            <w:pPr>
              <w:jc w:val="right"/>
              <w:rPr>
                <w:color w:val="000000"/>
                <w:sz w:val="20"/>
                <w:szCs w:val="20"/>
              </w:rPr>
            </w:pPr>
            <w:r>
              <w:rPr>
                <w:color w:val="000000"/>
                <w:sz w:val="20"/>
                <w:szCs w:val="20"/>
              </w:rPr>
              <w:t>$50,000</w:t>
            </w:r>
          </w:p>
        </w:tc>
        <w:tc>
          <w:tcPr>
            <w:tcW w:w="1800" w:type="dxa"/>
            <w:shd w:val="clear" w:color="auto" w:fill="D9D9D9" w:themeFill="background1" w:themeFillShade="D9"/>
            <w:vAlign w:val="center"/>
          </w:tcPr>
          <w:p w14:paraId="76C3F379" w14:textId="77777777" w:rsidR="00C01845" w:rsidRPr="00A87B7B" w:rsidRDefault="00C01845" w:rsidP="00167050">
            <w:pPr>
              <w:jc w:val="right"/>
              <w:rPr>
                <w:color w:val="000000"/>
                <w:sz w:val="20"/>
                <w:szCs w:val="20"/>
              </w:rPr>
            </w:pPr>
            <w:r>
              <w:rPr>
                <w:color w:val="000000"/>
                <w:sz w:val="20"/>
                <w:szCs w:val="20"/>
              </w:rPr>
              <w:t>$50,000</w:t>
            </w:r>
          </w:p>
        </w:tc>
      </w:tr>
      <w:tr w:rsidR="00770E74" w:rsidRPr="00A87B7B" w14:paraId="48E00EAA" w14:textId="77777777" w:rsidTr="001562C6">
        <w:trPr>
          <w:trHeight w:val="683"/>
        </w:trPr>
        <w:tc>
          <w:tcPr>
            <w:tcW w:w="3280" w:type="dxa"/>
            <w:shd w:val="clear" w:color="000000" w:fill="FFFFFF"/>
            <w:vAlign w:val="center"/>
          </w:tcPr>
          <w:p w14:paraId="4CF6CCE6" w14:textId="5614B814" w:rsidR="00C01845" w:rsidRPr="00303903" w:rsidRDefault="00C01845" w:rsidP="00167050">
            <w:pPr>
              <w:jc w:val="center"/>
              <w:rPr>
                <w:b/>
                <w:color w:val="000000"/>
                <w:sz w:val="20"/>
                <w:szCs w:val="20"/>
              </w:rPr>
            </w:pPr>
            <w:r w:rsidRPr="00303903">
              <w:rPr>
                <w:b/>
                <w:color w:val="000000"/>
                <w:sz w:val="20"/>
                <w:szCs w:val="20"/>
              </w:rPr>
              <w:t>Cookie Cart</w:t>
            </w:r>
          </w:p>
        </w:tc>
        <w:tc>
          <w:tcPr>
            <w:tcW w:w="3285" w:type="dxa"/>
            <w:shd w:val="clear" w:color="000000" w:fill="FFFFFF"/>
            <w:vAlign w:val="center"/>
          </w:tcPr>
          <w:p w14:paraId="331F6A79" w14:textId="77777777" w:rsidR="00C01845" w:rsidRPr="00A87B7B" w:rsidRDefault="00C01845" w:rsidP="00167050">
            <w:pPr>
              <w:jc w:val="center"/>
              <w:rPr>
                <w:color w:val="000000"/>
                <w:sz w:val="20"/>
                <w:szCs w:val="20"/>
              </w:rPr>
            </w:pPr>
            <w:r>
              <w:rPr>
                <w:color w:val="000000"/>
                <w:sz w:val="20"/>
                <w:szCs w:val="20"/>
              </w:rPr>
              <w:t>Minneapolis/St. Paul</w:t>
            </w:r>
          </w:p>
        </w:tc>
        <w:tc>
          <w:tcPr>
            <w:tcW w:w="1800" w:type="dxa"/>
            <w:shd w:val="clear" w:color="000000" w:fill="FFFFFF"/>
            <w:noWrap/>
            <w:vAlign w:val="center"/>
          </w:tcPr>
          <w:p w14:paraId="57447268" w14:textId="77777777" w:rsidR="00C01845" w:rsidRPr="00A87B7B" w:rsidRDefault="00C01845" w:rsidP="00167050">
            <w:pPr>
              <w:jc w:val="right"/>
              <w:rPr>
                <w:color w:val="000000"/>
                <w:sz w:val="20"/>
                <w:szCs w:val="20"/>
              </w:rPr>
            </w:pPr>
            <w:r>
              <w:rPr>
                <w:color w:val="000000"/>
                <w:sz w:val="20"/>
                <w:szCs w:val="20"/>
              </w:rPr>
              <w:t>$50,000</w:t>
            </w:r>
          </w:p>
        </w:tc>
        <w:tc>
          <w:tcPr>
            <w:tcW w:w="1800" w:type="dxa"/>
            <w:shd w:val="clear" w:color="000000" w:fill="FFFFFF"/>
            <w:vAlign w:val="center"/>
          </w:tcPr>
          <w:p w14:paraId="77E5E070" w14:textId="77777777" w:rsidR="00C01845" w:rsidRPr="00A87B7B" w:rsidRDefault="00C01845" w:rsidP="00167050">
            <w:pPr>
              <w:jc w:val="right"/>
              <w:rPr>
                <w:color w:val="000000"/>
                <w:sz w:val="20"/>
                <w:szCs w:val="20"/>
              </w:rPr>
            </w:pPr>
            <w:r>
              <w:rPr>
                <w:color w:val="000000"/>
                <w:sz w:val="20"/>
                <w:szCs w:val="20"/>
              </w:rPr>
              <w:t>$50,000</w:t>
            </w:r>
          </w:p>
        </w:tc>
      </w:tr>
      <w:tr w:rsidR="00203863" w:rsidRPr="00A87B7B" w14:paraId="5B6BD35B" w14:textId="77777777" w:rsidTr="001562C6">
        <w:trPr>
          <w:trHeight w:val="504"/>
        </w:trPr>
        <w:tc>
          <w:tcPr>
            <w:tcW w:w="3280" w:type="dxa"/>
            <w:shd w:val="clear" w:color="auto" w:fill="D9D9D9" w:themeFill="background1" w:themeFillShade="D9"/>
            <w:vAlign w:val="center"/>
          </w:tcPr>
          <w:p w14:paraId="569F71D7" w14:textId="76E28AEC" w:rsidR="00203863" w:rsidRPr="00303903" w:rsidRDefault="00203863" w:rsidP="00167050">
            <w:pPr>
              <w:jc w:val="center"/>
              <w:rPr>
                <w:b/>
                <w:color w:val="000000"/>
                <w:sz w:val="20"/>
                <w:szCs w:val="20"/>
              </w:rPr>
            </w:pPr>
            <w:r w:rsidRPr="00303903">
              <w:rPr>
                <w:b/>
                <w:color w:val="000000"/>
                <w:sz w:val="20"/>
                <w:szCs w:val="20"/>
              </w:rPr>
              <w:t>Conservation Corps</w:t>
            </w:r>
          </w:p>
        </w:tc>
        <w:tc>
          <w:tcPr>
            <w:tcW w:w="3285" w:type="dxa"/>
            <w:shd w:val="clear" w:color="auto" w:fill="D9D9D9" w:themeFill="background1" w:themeFillShade="D9"/>
            <w:vAlign w:val="center"/>
          </w:tcPr>
          <w:p w14:paraId="3DDF1607" w14:textId="77777777" w:rsidR="00203863" w:rsidRPr="00A87B7B" w:rsidRDefault="00203863" w:rsidP="00167050">
            <w:pPr>
              <w:jc w:val="center"/>
              <w:rPr>
                <w:color w:val="000000"/>
                <w:sz w:val="20"/>
                <w:szCs w:val="20"/>
              </w:rPr>
            </w:pPr>
            <w:r>
              <w:rPr>
                <w:color w:val="000000"/>
                <w:sz w:val="20"/>
                <w:szCs w:val="20"/>
              </w:rPr>
              <w:t>Twin Cities</w:t>
            </w:r>
          </w:p>
        </w:tc>
        <w:tc>
          <w:tcPr>
            <w:tcW w:w="1800" w:type="dxa"/>
            <w:shd w:val="clear" w:color="auto" w:fill="D9D9D9" w:themeFill="background1" w:themeFillShade="D9"/>
            <w:noWrap/>
            <w:vAlign w:val="center"/>
          </w:tcPr>
          <w:p w14:paraId="325CEAFA" w14:textId="77777777" w:rsidR="00203863" w:rsidRPr="00A87B7B" w:rsidRDefault="00203863" w:rsidP="00167050">
            <w:pPr>
              <w:jc w:val="right"/>
              <w:rPr>
                <w:color w:val="000000"/>
                <w:sz w:val="20"/>
                <w:szCs w:val="20"/>
              </w:rPr>
            </w:pPr>
            <w:r>
              <w:rPr>
                <w:color w:val="000000"/>
                <w:sz w:val="20"/>
                <w:szCs w:val="20"/>
              </w:rPr>
              <w:t>$50,000</w:t>
            </w:r>
          </w:p>
        </w:tc>
        <w:tc>
          <w:tcPr>
            <w:tcW w:w="1800" w:type="dxa"/>
            <w:shd w:val="clear" w:color="auto" w:fill="D9D9D9" w:themeFill="background1" w:themeFillShade="D9"/>
            <w:noWrap/>
            <w:vAlign w:val="center"/>
          </w:tcPr>
          <w:p w14:paraId="2CB29E33" w14:textId="77777777" w:rsidR="00203863" w:rsidRPr="00A87B7B" w:rsidRDefault="00203863" w:rsidP="00167050">
            <w:pPr>
              <w:jc w:val="right"/>
              <w:rPr>
                <w:color w:val="000000"/>
                <w:sz w:val="20"/>
                <w:szCs w:val="20"/>
              </w:rPr>
            </w:pPr>
            <w:r>
              <w:rPr>
                <w:color w:val="000000"/>
                <w:sz w:val="20"/>
                <w:szCs w:val="20"/>
              </w:rPr>
              <w:t>$50,000</w:t>
            </w:r>
          </w:p>
        </w:tc>
      </w:tr>
      <w:tr w:rsidR="00770E74" w:rsidRPr="00A87B7B" w14:paraId="1F2A1445" w14:textId="77777777" w:rsidTr="001562C6">
        <w:trPr>
          <w:trHeight w:val="510"/>
        </w:trPr>
        <w:tc>
          <w:tcPr>
            <w:tcW w:w="3280" w:type="dxa"/>
            <w:shd w:val="clear" w:color="000000" w:fill="FFFFFF"/>
            <w:vAlign w:val="center"/>
          </w:tcPr>
          <w:p w14:paraId="5298392D" w14:textId="360EFA6B" w:rsidR="00C01845" w:rsidRPr="00303903" w:rsidRDefault="00C01845" w:rsidP="00167050">
            <w:pPr>
              <w:jc w:val="center"/>
              <w:rPr>
                <w:b/>
                <w:color w:val="000000"/>
                <w:sz w:val="20"/>
                <w:szCs w:val="20"/>
              </w:rPr>
            </w:pPr>
            <w:r w:rsidRPr="00303903">
              <w:rPr>
                <w:b/>
                <w:color w:val="000000"/>
                <w:sz w:val="20"/>
                <w:szCs w:val="20"/>
              </w:rPr>
              <w:t>Banyan Community</w:t>
            </w:r>
          </w:p>
        </w:tc>
        <w:tc>
          <w:tcPr>
            <w:tcW w:w="3285" w:type="dxa"/>
            <w:shd w:val="clear" w:color="000000" w:fill="FFFFFF"/>
            <w:vAlign w:val="center"/>
          </w:tcPr>
          <w:p w14:paraId="34D65B80" w14:textId="77777777" w:rsidR="00C01845" w:rsidRPr="00A87B7B" w:rsidRDefault="00C01845" w:rsidP="00167050">
            <w:pPr>
              <w:jc w:val="center"/>
              <w:rPr>
                <w:color w:val="000000"/>
                <w:sz w:val="20"/>
                <w:szCs w:val="20"/>
              </w:rPr>
            </w:pPr>
            <w:r>
              <w:rPr>
                <w:color w:val="000000"/>
                <w:sz w:val="20"/>
                <w:szCs w:val="20"/>
              </w:rPr>
              <w:t>Minneapolis</w:t>
            </w:r>
          </w:p>
        </w:tc>
        <w:tc>
          <w:tcPr>
            <w:tcW w:w="1800" w:type="dxa"/>
            <w:shd w:val="clear" w:color="000000" w:fill="FFFFFF"/>
            <w:noWrap/>
            <w:vAlign w:val="center"/>
          </w:tcPr>
          <w:p w14:paraId="1E810369" w14:textId="77777777" w:rsidR="00C01845" w:rsidRPr="00A87B7B" w:rsidRDefault="00C01845" w:rsidP="00167050">
            <w:pPr>
              <w:jc w:val="right"/>
              <w:rPr>
                <w:color w:val="000000"/>
                <w:sz w:val="20"/>
                <w:szCs w:val="20"/>
              </w:rPr>
            </w:pPr>
            <w:r>
              <w:rPr>
                <w:color w:val="000000"/>
                <w:sz w:val="20"/>
                <w:szCs w:val="20"/>
              </w:rPr>
              <w:t xml:space="preserve"> $50,000</w:t>
            </w:r>
          </w:p>
        </w:tc>
        <w:tc>
          <w:tcPr>
            <w:tcW w:w="1800" w:type="dxa"/>
            <w:shd w:val="clear" w:color="000000" w:fill="FFFFFF"/>
            <w:vAlign w:val="center"/>
          </w:tcPr>
          <w:p w14:paraId="566C98AD" w14:textId="77777777" w:rsidR="00C01845" w:rsidRPr="00A87B7B" w:rsidRDefault="00C01845" w:rsidP="00167050">
            <w:pPr>
              <w:jc w:val="right"/>
              <w:rPr>
                <w:color w:val="000000"/>
                <w:sz w:val="20"/>
                <w:szCs w:val="20"/>
              </w:rPr>
            </w:pPr>
            <w:r>
              <w:rPr>
                <w:color w:val="000000"/>
                <w:sz w:val="20"/>
                <w:szCs w:val="20"/>
              </w:rPr>
              <w:t>$50,000</w:t>
            </w:r>
          </w:p>
        </w:tc>
      </w:tr>
      <w:tr w:rsidR="00770E74" w:rsidRPr="00A87B7B" w14:paraId="4CF142FF" w14:textId="77777777" w:rsidTr="001562C6">
        <w:trPr>
          <w:trHeight w:val="510"/>
        </w:trPr>
        <w:tc>
          <w:tcPr>
            <w:tcW w:w="3280" w:type="dxa"/>
            <w:shd w:val="clear" w:color="auto" w:fill="D9D9D9" w:themeFill="background1" w:themeFillShade="D9"/>
            <w:vAlign w:val="center"/>
          </w:tcPr>
          <w:p w14:paraId="2C58525D" w14:textId="77A9BC80" w:rsidR="00C01845" w:rsidRPr="00303903" w:rsidRDefault="00C01845" w:rsidP="00167050">
            <w:pPr>
              <w:jc w:val="center"/>
              <w:rPr>
                <w:b/>
                <w:color w:val="000000"/>
                <w:sz w:val="20"/>
                <w:szCs w:val="20"/>
              </w:rPr>
            </w:pPr>
            <w:proofErr w:type="spellStart"/>
            <w:r w:rsidRPr="00303903">
              <w:rPr>
                <w:b/>
                <w:color w:val="000000"/>
                <w:sz w:val="20"/>
                <w:szCs w:val="20"/>
              </w:rPr>
              <w:t>AchieveMPLS</w:t>
            </w:r>
            <w:proofErr w:type="spellEnd"/>
            <w:r w:rsidRPr="00303903">
              <w:rPr>
                <w:b/>
                <w:color w:val="000000"/>
                <w:sz w:val="20"/>
                <w:szCs w:val="20"/>
              </w:rPr>
              <w:t xml:space="preserve"> </w:t>
            </w:r>
          </w:p>
        </w:tc>
        <w:tc>
          <w:tcPr>
            <w:tcW w:w="3285" w:type="dxa"/>
            <w:shd w:val="clear" w:color="auto" w:fill="D9D9D9" w:themeFill="background1" w:themeFillShade="D9"/>
            <w:vAlign w:val="center"/>
          </w:tcPr>
          <w:p w14:paraId="535C9592" w14:textId="77777777" w:rsidR="00C01845" w:rsidRPr="00A87B7B" w:rsidRDefault="00C01845" w:rsidP="00167050">
            <w:pPr>
              <w:jc w:val="center"/>
              <w:rPr>
                <w:color w:val="000000"/>
                <w:sz w:val="20"/>
                <w:szCs w:val="20"/>
              </w:rPr>
            </w:pPr>
            <w:r>
              <w:rPr>
                <w:color w:val="000000"/>
                <w:sz w:val="20"/>
                <w:szCs w:val="20"/>
              </w:rPr>
              <w:t>Minneapolis</w:t>
            </w:r>
          </w:p>
        </w:tc>
        <w:tc>
          <w:tcPr>
            <w:tcW w:w="1800" w:type="dxa"/>
            <w:shd w:val="clear" w:color="auto" w:fill="D9D9D9" w:themeFill="background1" w:themeFillShade="D9"/>
            <w:noWrap/>
            <w:vAlign w:val="center"/>
          </w:tcPr>
          <w:p w14:paraId="21E2EF70" w14:textId="77777777" w:rsidR="00C01845" w:rsidRPr="00A87B7B" w:rsidRDefault="00C01845" w:rsidP="00167050">
            <w:pPr>
              <w:jc w:val="right"/>
              <w:rPr>
                <w:color w:val="000000"/>
                <w:sz w:val="20"/>
                <w:szCs w:val="20"/>
              </w:rPr>
            </w:pPr>
            <w:r>
              <w:rPr>
                <w:color w:val="000000"/>
                <w:sz w:val="20"/>
                <w:szCs w:val="20"/>
              </w:rPr>
              <w:t>$50,000</w:t>
            </w:r>
          </w:p>
        </w:tc>
        <w:tc>
          <w:tcPr>
            <w:tcW w:w="1800" w:type="dxa"/>
            <w:shd w:val="clear" w:color="auto" w:fill="D9D9D9" w:themeFill="background1" w:themeFillShade="D9"/>
            <w:vAlign w:val="center"/>
          </w:tcPr>
          <w:p w14:paraId="1A0856A9" w14:textId="77777777" w:rsidR="00C01845" w:rsidRPr="00A87B7B" w:rsidRDefault="00C01845" w:rsidP="00167050">
            <w:pPr>
              <w:jc w:val="right"/>
              <w:rPr>
                <w:color w:val="000000"/>
                <w:sz w:val="20"/>
                <w:szCs w:val="20"/>
              </w:rPr>
            </w:pPr>
            <w:r>
              <w:rPr>
                <w:color w:val="000000"/>
                <w:sz w:val="20"/>
                <w:szCs w:val="20"/>
              </w:rPr>
              <w:t>$50,000</w:t>
            </w:r>
          </w:p>
        </w:tc>
      </w:tr>
      <w:tr w:rsidR="00770E74" w:rsidRPr="00A87B7B" w14:paraId="23E1F2CB" w14:textId="77777777" w:rsidTr="001562C6">
        <w:trPr>
          <w:trHeight w:val="510"/>
        </w:trPr>
        <w:tc>
          <w:tcPr>
            <w:tcW w:w="3280" w:type="dxa"/>
            <w:shd w:val="clear" w:color="000000" w:fill="FFFFFF"/>
            <w:vAlign w:val="center"/>
          </w:tcPr>
          <w:p w14:paraId="5EA413EA" w14:textId="45B16E57" w:rsidR="00C01845" w:rsidRPr="00303903" w:rsidRDefault="00C01845" w:rsidP="00167050">
            <w:pPr>
              <w:jc w:val="center"/>
              <w:rPr>
                <w:b/>
                <w:color w:val="000000"/>
                <w:sz w:val="20"/>
                <w:szCs w:val="20"/>
              </w:rPr>
            </w:pPr>
            <w:r w:rsidRPr="00303903">
              <w:rPr>
                <w:b/>
                <w:color w:val="000000"/>
                <w:sz w:val="20"/>
                <w:szCs w:val="20"/>
              </w:rPr>
              <w:t xml:space="preserve">Karen Organization of Minnesota </w:t>
            </w:r>
          </w:p>
        </w:tc>
        <w:tc>
          <w:tcPr>
            <w:tcW w:w="3285" w:type="dxa"/>
            <w:shd w:val="clear" w:color="000000" w:fill="FFFFFF"/>
            <w:vAlign w:val="center"/>
          </w:tcPr>
          <w:p w14:paraId="579CEBB2" w14:textId="77777777" w:rsidR="00C01845" w:rsidRPr="00A87B7B" w:rsidRDefault="00C01845" w:rsidP="00167050">
            <w:pPr>
              <w:jc w:val="center"/>
              <w:rPr>
                <w:color w:val="000000"/>
                <w:sz w:val="20"/>
                <w:szCs w:val="20"/>
              </w:rPr>
            </w:pPr>
            <w:r>
              <w:rPr>
                <w:color w:val="000000"/>
                <w:sz w:val="20"/>
                <w:szCs w:val="20"/>
              </w:rPr>
              <w:t>Ramsey County</w:t>
            </w:r>
          </w:p>
        </w:tc>
        <w:tc>
          <w:tcPr>
            <w:tcW w:w="1800" w:type="dxa"/>
            <w:shd w:val="clear" w:color="000000" w:fill="FFFFFF"/>
            <w:noWrap/>
            <w:vAlign w:val="center"/>
          </w:tcPr>
          <w:p w14:paraId="3A0AF6E3" w14:textId="77777777" w:rsidR="00C01845" w:rsidRPr="00A87B7B" w:rsidRDefault="00C01845" w:rsidP="00167050">
            <w:pPr>
              <w:jc w:val="right"/>
              <w:rPr>
                <w:color w:val="000000"/>
                <w:sz w:val="20"/>
                <w:szCs w:val="20"/>
              </w:rPr>
            </w:pPr>
            <w:r>
              <w:rPr>
                <w:color w:val="000000"/>
                <w:sz w:val="20"/>
                <w:szCs w:val="20"/>
              </w:rPr>
              <w:t>$50,000</w:t>
            </w:r>
          </w:p>
        </w:tc>
        <w:tc>
          <w:tcPr>
            <w:tcW w:w="1800" w:type="dxa"/>
            <w:shd w:val="clear" w:color="000000" w:fill="FFFFFF"/>
            <w:vAlign w:val="center"/>
          </w:tcPr>
          <w:p w14:paraId="51AE3988" w14:textId="77777777" w:rsidR="00C01845" w:rsidRPr="00A87B7B" w:rsidRDefault="00C01845" w:rsidP="00167050">
            <w:pPr>
              <w:jc w:val="right"/>
              <w:rPr>
                <w:color w:val="000000"/>
                <w:sz w:val="20"/>
                <w:szCs w:val="20"/>
              </w:rPr>
            </w:pPr>
            <w:r>
              <w:rPr>
                <w:color w:val="000000"/>
                <w:sz w:val="20"/>
                <w:szCs w:val="20"/>
              </w:rPr>
              <w:t>$50,000</w:t>
            </w:r>
          </w:p>
        </w:tc>
      </w:tr>
      <w:tr w:rsidR="00203863" w:rsidRPr="00A87B7B" w14:paraId="7A22E74C" w14:textId="77777777" w:rsidTr="001562C6">
        <w:trPr>
          <w:trHeight w:val="510"/>
        </w:trPr>
        <w:tc>
          <w:tcPr>
            <w:tcW w:w="3280" w:type="dxa"/>
            <w:shd w:val="clear" w:color="auto" w:fill="D9D9D9" w:themeFill="background1" w:themeFillShade="D9"/>
            <w:vAlign w:val="center"/>
          </w:tcPr>
          <w:p w14:paraId="2E2C2E2A" w14:textId="42E2D28D" w:rsidR="00203863" w:rsidRPr="00303903" w:rsidRDefault="00203863" w:rsidP="00167050">
            <w:pPr>
              <w:jc w:val="center"/>
              <w:rPr>
                <w:b/>
                <w:color w:val="000000"/>
                <w:sz w:val="20"/>
                <w:szCs w:val="20"/>
              </w:rPr>
            </w:pPr>
            <w:r w:rsidRPr="00303903">
              <w:rPr>
                <w:b/>
                <w:color w:val="000000"/>
                <w:sz w:val="20"/>
                <w:szCs w:val="20"/>
              </w:rPr>
              <w:t xml:space="preserve">MIGIZI Communications </w:t>
            </w:r>
          </w:p>
        </w:tc>
        <w:tc>
          <w:tcPr>
            <w:tcW w:w="3285" w:type="dxa"/>
            <w:shd w:val="clear" w:color="auto" w:fill="D9D9D9" w:themeFill="background1" w:themeFillShade="D9"/>
            <w:vAlign w:val="center"/>
          </w:tcPr>
          <w:p w14:paraId="6FF3C19E" w14:textId="77777777" w:rsidR="00203863" w:rsidRPr="00A87B7B" w:rsidRDefault="00203863" w:rsidP="00167050">
            <w:pPr>
              <w:jc w:val="center"/>
              <w:rPr>
                <w:color w:val="000000"/>
                <w:sz w:val="20"/>
                <w:szCs w:val="20"/>
              </w:rPr>
            </w:pPr>
            <w:r>
              <w:rPr>
                <w:color w:val="000000"/>
                <w:sz w:val="20"/>
                <w:szCs w:val="20"/>
              </w:rPr>
              <w:t>Twin Cities</w:t>
            </w:r>
          </w:p>
        </w:tc>
        <w:tc>
          <w:tcPr>
            <w:tcW w:w="1800" w:type="dxa"/>
            <w:shd w:val="clear" w:color="auto" w:fill="D9D9D9" w:themeFill="background1" w:themeFillShade="D9"/>
            <w:noWrap/>
            <w:vAlign w:val="center"/>
          </w:tcPr>
          <w:p w14:paraId="7557CBB9" w14:textId="77777777" w:rsidR="00203863" w:rsidRPr="00A87B7B" w:rsidRDefault="00203863" w:rsidP="00167050">
            <w:pPr>
              <w:jc w:val="right"/>
              <w:rPr>
                <w:color w:val="000000"/>
                <w:sz w:val="20"/>
                <w:szCs w:val="20"/>
              </w:rPr>
            </w:pPr>
            <w:r>
              <w:rPr>
                <w:color w:val="000000"/>
                <w:sz w:val="20"/>
                <w:szCs w:val="20"/>
              </w:rPr>
              <w:t>$50,000</w:t>
            </w:r>
          </w:p>
        </w:tc>
        <w:tc>
          <w:tcPr>
            <w:tcW w:w="1800" w:type="dxa"/>
            <w:shd w:val="clear" w:color="auto" w:fill="D9D9D9" w:themeFill="background1" w:themeFillShade="D9"/>
            <w:noWrap/>
            <w:vAlign w:val="center"/>
          </w:tcPr>
          <w:p w14:paraId="696245F6" w14:textId="77777777" w:rsidR="00203863" w:rsidRPr="00A87B7B" w:rsidRDefault="00203863" w:rsidP="00167050">
            <w:pPr>
              <w:jc w:val="right"/>
              <w:rPr>
                <w:color w:val="000000"/>
                <w:sz w:val="20"/>
                <w:szCs w:val="20"/>
              </w:rPr>
            </w:pPr>
            <w:r>
              <w:rPr>
                <w:color w:val="000000"/>
                <w:sz w:val="20"/>
                <w:szCs w:val="20"/>
              </w:rPr>
              <w:t>$50,000</w:t>
            </w:r>
          </w:p>
        </w:tc>
      </w:tr>
      <w:tr w:rsidR="00203863" w:rsidRPr="00A87B7B" w14:paraId="28B0FCE4" w14:textId="77777777" w:rsidTr="001562C6">
        <w:trPr>
          <w:trHeight w:val="510"/>
        </w:trPr>
        <w:tc>
          <w:tcPr>
            <w:tcW w:w="3280" w:type="dxa"/>
            <w:shd w:val="clear" w:color="000000" w:fill="FFFFFF"/>
            <w:vAlign w:val="center"/>
          </w:tcPr>
          <w:p w14:paraId="28105542" w14:textId="293A6371" w:rsidR="00203863" w:rsidRPr="00303903" w:rsidRDefault="00203863" w:rsidP="00167050">
            <w:pPr>
              <w:jc w:val="center"/>
              <w:rPr>
                <w:b/>
                <w:color w:val="000000"/>
                <w:sz w:val="20"/>
                <w:szCs w:val="20"/>
              </w:rPr>
            </w:pPr>
            <w:r w:rsidRPr="00303903">
              <w:rPr>
                <w:b/>
                <w:color w:val="000000"/>
                <w:sz w:val="20"/>
                <w:szCs w:val="20"/>
              </w:rPr>
              <w:t>Anoka County</w:t>
            </w:r>
          </w:p>
        </w:tc>
        <w:tc>
          <w:tcPr>
            <w:tcW w:w="3285" w:type="dxa"/>
            <w:shd w:val="clear" w:color="000000" w:fill="FFFFFF"/>
            <w:vAlign w:val="center"/>
          </w:tcPr>
          <w:p w14:paraId="15A38831" w14:textId="77777777" w:rsidR="00203863" w:rsidRPr="00A87B7B" w:rsidRDefault="00203863" w:rsidP="00167050">
            <w:pPr>
              <w:jc w:val="center"/>
              <w:rPr>
                <w:color w:val="000000"/>
                <w:sz w:val="20"/>
                <w:szCs w:val="20"/>
              </w:rPr>
            </w:pPr>
            <w:r>
              <w:rPr>
                <w:color w:val="000000"/>
                <w:sz w:val="20"/>
                <w:szCs w:val="20"/>
              </w:rPr>
              <w:t xml:space="preserve">Anoka County </w:t>
            </w:r>
          </w:p>
        </w:tc>
        <w:tc>
          <w:tcPr>
            <w:tcW w:w="1800" w:type="dxa"/>
            <w:shd w:val="clear" w:color="000000" w:fill="FFFFFF"/>
            <w:noWrap/>
            <w:vAlign w:val="center"/>
          </w:tcPr>
          <w:p w14:paraId="3DAC70A8" w14:textId="77777777" w:rsidR="00203863" w:rsidRPr="00A87B7B" w:rsidRDefault="00203863" w:rsidP="00167050">
            <w:pPr>
              <w:jc w:val="right"/>
              <w:rPr>
                <w:color w:val="000000"/>
                <w:sz w:val="20"/>
                <w:szCs w:val="20"/>
              </w:rPr>
            </w:pPr>
            <w:r>
              <w:rPr>
                <w:color w:val="000000"/>
                <w:sz w:val="20"/>
                <w:szCs w:val="20"/>
              </w:rPr>
              <w:t>$50,000</w:t>
            </w:r>
          </w:p>
        </w:tc>
        <w:tc>
          <w:tcPr>
            <w:tcW w:w="1800" w:type="dxa"/>
            <w:shd w:val="clear" w:color="000000" w:fill="FFFFFF"/>
            <w:noWrap/>
            <w:vAlign w:val="center"/>
          </w:tcPr>
          <w:p w14:paraId="64AF0072" w14:textId="77777777" w:rsidR="00203863" w:rsidRPr="00A87B7B" w:rsidRDefault="00203863" w:rsidP="00167050">
            <w:pPr>
              <w:jc w:val="right"/>
              <w:rPr>
                <w:color w:val="000000"/>
                <w:sz w:val="20"/>
                <w:szCs w:val="20"/>
              </w:rPr>
            </w:pPr>
            <w:r>
              <w:rPr>
                <w:color w:val="000000"/>
                <w:sz w:val="20"/>
                <w:szCs w:val="20"/>
              </w:rPr>
              <w:t>$50,000</w:t>
            </w:r>
          </w:p>
        </w:tc>
      </w:tr>
      <w:tr w:rsidR="00770E74" w:rsidRPr="00A87B7B" w14:paraId="10BEC13B" w14:textId="77777777" w:rsidTr="001562C6">
        <w:trPr>
          <w:trHeight w:val="510"/>
        </w:trPr>
        <w:tc>
          <w:tcPr>
            <w:tcW w:w="3280" w:type="dxa"/>
            <w:shd w:val="clear" w:color="auto" w:fill="D9D9D9" w:themeFill="background1" w:themeFillShade="D9"/>
            <w:vAlign w:val="center"/>
          </w:tcPr>
          <w:p w14:paraId="28E28AC0" w14:textId="36774CD2" w:rsidR="00C01845" w:rsidRPr="00303903" w:rsidRDefault="00C01845" w:rsidP="00167050">
            <w:pPr>
              <w:jc w:val="center"/>
              <w:rPr>
                <w:b/>
                <w:color w:val="000000"/>
                <w:sz w:val="20"/>
                <w:szCs w:val="20"/>
              </w:rPr>
            </w:pPr>
            <w:r w:rsidRPr="00303903">
              <w:rPr>
                <w:b/>
                <w:color w:val="000000"/>
                <w:sz w:val="20"/>
                <w:szCs w:val="20"/>
              </w:rPr>
              <w:t>Cristo Rey Jesuit High School</w:t>
            </w:r>
          </w:p>
        </w:tc>
        <w:tc>
          <w:tcPr>
            <w:tcW w:w="3285" w:type="dxa"/>
            <w:shd w:val="clear" w:color="auto" w:fill="D9D9D9" w:themeFill="background1" w:themeFillShade="D9"/>
            <w:vAlign w:val="center"/>
          </w:tcPr>
          <w:p w14:paraId="15F1AC03" w14:textId="77777777" w:rsidR="00C01845" w:rsidRPr="00A87B7B" w:rsidRDefault="00C01845" w:rsidP="00167050">
            <w:pPr>
              <w:jc w:val="center"/>
              <w:rPr>
                <w:color w:val="000000"/>
                <w:sz w:val="20"/>
                <w:szCs w:val="20"/>
              </w:rPr>
            </w:pPr>
            <w:r>
              <w:rPr>
                <w:color w:val="000000"/>
                <w:sz w:val="20"/>
                <w:szCs w:val="20"/>
              </w:rPr>
              <w:t>Minneapolis</w:t>
            </w:r>
          </w:p>
        </w:tc>
        <w:tc>
          <w:tcPr>
            <w:tcW w:w="1800" w:type="dxa"/>
            <w:shd w:val="clear" w:color="auto" w:fill="D9D9D9" w:themeFill="background1" w:themeFillShade="D9"/>
            <w:noWrap/>
            <w:vAlign w:val="center"/>
          </w:tcPr>
          <w:p w14:paraId="7360B4C5" w14:textId="77777777" w:rsidR="00C01845" w:rsidRPr="00A87B7B" w:rsidRDefault="00C01845" w:rsidP="00167050">
            <w:pPr>
              <w:jc w:val="right"/>
              <w:rPr>
                <w:color w:val="000000"/>
                <w:sz w:val="20"/>
                <w:szCs w:val="20"/>
              </w:rPr>
            </w:pPr>
            <w:r>
              <w:rPr>
                <w:color w:val="000000"/>
                <w:sz w:val="20"/>
                <w:szCs w:val="20"/>
              </w:rPr>
              <w:t>$50,000</w:t>
            </w:r>
          </w:p>
        </w:tc>
        <w:tc>
          <w:tcPr>
            <w:tcW w:w="1800" w:type="dxa"/>
            <w:shd w:val="clear" w:color="auto" w:fill="D9D9D9" w:themeFill="background1" w:themeFillShade="D9"/>
            <w:vAlign w:val="center"/>
          </w:tcPr>
          <w:p w14:paraId="6003E6EB" w14:textId="77777777" w:rsidR="00C01845" w:rsidRPr="00A87B7B" w:rsidRDefault="00C01845" w:rsidP="00167050">
            <w:pPr>
              <w:jc w:val="right"/>
              <w:rPr>
                <w:color w:val="000000"/>
                <w:sz w:val="20"/>
                <w:szCs w:val="20"/>
              </w:rPr>
            </w:pPr>
            <w:r>
              <w:rPr>
                <w:color w:val="000000"/>
                <w:sz w:val="20"/>
                <w:szCs w:val="20"/>
              </w:rPr>
              <w:t>$50,000</w:t>
            </w:r>
          </w:p>
        </w:tc>
      </w:tr>
      <w:tr w:rsidR="00770E74" w:rsidRPr="00A87B7B" w14:paraId="2E88E5AC" w14:textId="77777777" w:rsidTr="001562C6">
        <w:trPr>
          <w:trHeight w:val="510"/>
        </w:trPr>
        <w:tc>
          <w:tcPr>
            <w:tcW w:w="3280" w:type="dxa"/>
            <w:shd w:val="clear" w:color="000000" w:fill="FFFFFF"/>
            <w:vAlign w:val="center"/>
          </w:tcPr>
          <w:p w14:paraId="0107B194" w14:textId="196BD62C" w:rsidR="00C01845" w:rsidRPr="00303903" w:rsidRDefault="00C01845" w:rsidP="00167050">
            <w:pPr>
              <w:jc w:val="center"/>
              <w:rPr>
                <w:b/>
                <w:color w:val="000000"/>
                <w:sz w:val="20"/>
                <w:szCs w:val="20"/>
              </w:rPr>
            </w:pPr>
            <w:r w:rsidRPr="00303903">
              <w:rPr>
                <w:b/>
                <w:color w:val="000000"/>
                <w:sz w:val="20"/>
                <w:szCs w:val="20"/>
              </w:rPr>
              <w:t>MAHUBE-OTWA</w:t>
            </w:r>
          </w:p>
        </w:tc>
        <w:tc>
          <w:tcPr>
            <w:tcW w:w="3285" w:type="dxa"/>
            <w:shd w:val="clear" w:color="000000" w:fill="FFFFFF"/>
            <w:vAlign w:val="center"/>
          </w:tcPr>
          <w:p w14:paraId="1F3436A3" w14:textId="77777777" w:rsidR="00C01845" w:rsidRPr="00A87B7B" w:rsidRDefault="00C01845" w:rsidP="00167050">
            <w:pPr>
              <w:jc w:val="center"/>
              <w:rPr>
                <w:color w:val="000000"/>
                <w:sz w:val="20"/>
                <w:szCs w:val="20"/>
              </w:rPr>
            </w:pPr>
            <w:r>
              <w:rPr>
                <w:color w:val="000000"/>
                <w:sz w:val="20"/>
                <w:szCs w:val="20"/>
              </w:rPr>
              <w:t>Mahnomen, Hubbard, Becker, Otter Tail and Watonwan Counties</w:t>
            </w:r>
          </w:p>
        </w:tc>
        <w:tc>
          <w:tcPr>
            <w:tcW w:w="1800" w:type="dxa"/>
            <w:shd w:val="clear" w:color="000000" w:fill="FFFFFF"/>
            <w:noWrap/>
            <w:vAlign w:val="center"/>
          </w:tcPr>
          <w:p w14:paraId="3120C3B7" w14:textId="77777777" w:rsidR="00C01845" w:rsidRPr="00A87B7B" w:rsidRDefault="00C01845" w:rsidP="00167050">
            <w:pPr>
              <w:jc w:val="right"/>
              <w:rPr>
                <w:color w:val="000000"/>
                <w:sz w:val="20"/>
                <w:szCs w:val="20"/>
              </w:rPr>
            </w:pPr>
            <w:r>
              <w:rPr>
                <w:color w:val="000000"/>
                <w:sz w:val="20"/>
                <w:szCs w:val="20"/>
              </w:rPr>
              <w:t>$50,000</w:t>
            </w:r>
          </w:p>
        </w:tc>
        <w:tc>
          <w:tcPr>
            <w:tcW w:w="1800" w:type="dxa"/>
            <w:shd w:val="clear" w:color="000000" w:fill="FFFFFF"/>
            <w:vAlign w:val="center"/>
          </w:tcPr>
          <w:p w14:paraId="510100CF" w14:textId="77777777" w:rsidR="00C01845" w:rsidRPr="00A87B7B" w:rsidRDefault="00C01845" w:rsidP="00167050">
            <w:pPr>
              <w:jc w:val="right"/>
              <w:rPr>
                <w:color w:val="000000"/>
                <w:sz w:val="20"/>
                <w:szCs w:val="20"/>
              </w:rPr>
            </w:pPr>
            <w:r>
              <w:rPr>
                <w:color w:val="000000"/>
                <w:sz w:val="20"/>
                <w:szCs w:val="20"/>
              </w:rPr>
              <w:t>$50,000</w:t>
            </w:r>
          </w:p>
        </w:tc>
      </w:tr>
      <w:tr w:rsidR="00770E74" w:rsidRPr="00A87B7B" w14:paraId="1CB37ECD" w14:textId="77777777" w:rsidTr="001562C6">
        <w:trPr>
          <w:trHeight w:val="510"/>
        </w:trPr>
        <w:tc>
          <w:tcPr>
            <w:tcW w:w="3280" w:type="dxa"/>
            <w:shd w:val="clear" w:color="auto" w:fill="D9D9D9" w:themeFill="background1" w:themeFillShade="D9"/>
            <w:vAlign w:val="center"/>
          </w:tcPr>
          <w:p w14:paraId="54DFB8D2" w14:textId="0B6D1FB9" w:rsidR="00C01845" w:rsidRPr="00303903" w:rsidRDefault="00C01845" w:rsidP="00167050">
            <w:pPr>
              <w:jc w:val="center"/>
              <w:rPr>
                <w:b/>
                <w:color w:val="000000"/>
                <w:sz w:val="20"/>
                <w:szCs w:val="20"/>
              </w:rPr>
            </w:pPr>
            <w:r w:rsidRPr="00303903">
              <w:rPr>
                <w:b/>
                <w:color w:val="000000"/>
                <w:sz w:val="20"/>
                <w:szCs w:val="20"/>
              </w:rPr>
              <w:t>African Community Services</w:t>
            </w:r>
          </w:p>
        </w:tc>
        <w:tc>
          <w:tcPr>
            <w:tcW w:w="3285" w:type="dxa"/>
            <w:shd w:val="clear" w:color="auto" w:fill="D9D9D9" w:themeFill="background1" w:themeFillShade="D9"/>
            <w:vAlign w:val="center"/>
          </w:tcPr>
          <w:p w14:paraId="25C2391E" w14:textId="77777777" w:rsidR="00C01845" w:rsidRPr="00A87B7B" w:rsidRDefault="00C01845" w:rsidP="00167050">
            <w:pPr>
              <w:jc w:val="center"/>
              <w:rPr>
                <w:color w:val="000000"/>
                <w:sz w:val="20"/>
                <w:szCs w:val="20"/>
              </w:rPr>
            </w:pPr>
            <w:r>
              <w:rPr>
                <w:color w:val="000000"/>
                <w:sz w:val="20"/>
                <w:szCs w:val="20"/>
              </w:rPr>
              <w:t>Twin Cities</w:t>
            </w:r>
          </w:p>
        </w:tc>
        <w:tc>
          <w:tcPr>
            <w:tcW w:w="1800" w:type="dxa"/>
            <w:shd w:val="clear" w:color="auto" w:fill="D9D9D9" w:themeFill="background1" w:themeFillShade="D9"/>
            <w:noWrap/>
            <w:vAlign w:val="center"/>
          </w:tcPr>
          <w:p w14:paraId="2715EBCC" w14:textId="77777777" w:rsidR="00C01845" w:rsidRPr="00A87B7B" w:rsidRDefault="00C01845" w:rsidP="00167050">
            <w:pPr>
              <w:jc w:val="right"/>
              <w:rPr>
                <w:color w:val="000000"/>
                <w:sz w:val="20"/>
                <w:szCs w:val="20"/>
              </w:rPr>
            </w:pPr>
            <w:r>
              <w:rPr>
                <w:color w:val="000000"/>
                <w:sz w:val="20"/>
                <w:szCs w:val="20"/>
              </w:rPr>
              <w:t>$50,000</w:t>
            </w:r>
          </w:p>
        </w:tc>
        <w:tc>
          <w:tcPr>
            <w:tcW w:w="1800" w:type="dxa"/>
            <w:shd w:val="clear" w:color="auto" w:fill="D9D9D9" w:themeFill="background1" w:themeFillShade="D9"/>
            <w:vAlign w:val="center"/>
          </w:tcPr>
          <w:p w14:paraId="0F03B7EC" w14:textId="77777777" w:rsidR="00C01845" w:rsidRPr="00A87B7B" w:rsidRDefault="00C01845" w:rsidP="00167050">
            <w:pPr>
              <w:jc w:val="right"/>
              <w:rPr>
                <w:color w:val="000000"/>
                <w:sz w:val="20"/>
                <w:szCs w:val="20"/>
              </w:rPr>
            </w:pPr>
            <w:r>
              <w:rPr>
                <w:color w:val="000000"/>
                <w:sz w:val="20"/>
                <w:szCs w:val="20"/>
              </w:rPr>
              <w:t>$50,000</w:t>
            </w:r>
          </w:p>
        </w:tc>
      </w:tr>
      <w:tr w:rsidR="00770E74" w:rsidRPr="00A87B7B" w14:paraId="2DC282B1" w14:textId="77777777" w:rsidTr="001562C6">
        <w:trPr>
          <w:trHeight w:val="504"/>
        </w:trPr>
        <w:tc>
          <w:tcPr>
            <w:tcW w:w="3280" w:type="dxa"/>
            <w:shd w:val="clear" w:color="000000" w:fill="FFFFFF"/>
            <w:vAlign w:val="center"/>
          </w:tcPr>
          <w:p w14:paraId="2D143C71" w14:textId="7466B599" w:rsidR="00C01845" w:rsidRPr="00303903" w:rsidRDefault="00C01845" w:rsidP="00167050">
            <w:pPr>
              <w:jc w:val="center"/>
              <w:rPr>
                <w:b/>
                <w:color w:val="000000"/>
                <w:sz w:val="20"/>
                <w:szCs w:val="20"/>
              </w:rPr>
            </w:pPr>
            <w:r w:rsidRPr="00303903">
              <w:rPr>
                <w:b/>
                <w:color w:val="000000"/>
                <w:sz w:val="20"/>
                <w:szCs w:val="20"/>
              </w:rPr>
              <w:t>ISD 4 McGregor Public Schools</w:t>
            </w:r>
          </w:p>
        </w:tc>
        <w:tc>
          <w:tcPr>
            <w:tcW w:w="3285" w:type="dxa"/>
            <w:shd w:val="clear" w:color="000000" w:fill="FFFFFF"/>
            <w:vAlign w:val="center"/>
          </w:tcPr>
          <w:p w14:paraId="7C5F76D7" w14:textId="77777777" w:rsidR="00C01845" w:rsidRPr="00A87B7B" w:rsidRDefault="00C01845" w:rsidP="00167050">
            <w:pPr>
              <w:jc w:val="center"/>
              <w:rPr>
                <w:color w:val="000000"/>
                <w:sz w:val="20"/>
                <w:szCs w:val="20"/>
              </w:rPr>
            </w:pPr>
            <w:r>
              <w:rPr>
                <w:color w:val="000000"/>
                <w:sz w:val="20"/>
                <w:szCs w:val="20"/>
              </w:rPr>
              <w:t>Aitkin/Carlton Counties</w:t>
            </w:r>
          </w:p>
        </w:tc>
        <w:tc>
          <w:tcPr>
            <w:tcW w:w="1800" w:type="dxa"/>
            <w:shd w:val="clear" w:color="000000" w:fill="FFFFFF"/>
            <w:noWrap/>
            <w:vAlign w:val="center"/>
          </w:tcPr>
          <w:p w14:paraId="755F145B" w14:textId="77777777" w:rsidR="00C01845" w:rsidRPr="00A87B7B" w:rsidRDefault="00C01845" w:rsidP="00167050">
            <w:pPr>
              <w:jc w:val="right"/>
              <w:rPr>
                <w:color w:val="000000"/>
                <w:sz w:val="20"/>
                <w:szCs w:val="20"/>
              </w:rPr>
            </w:pPr>
            <w:r>
              <w:rPr>
                <w:color w:val="000000"/>
                <w:sz w:val="20"/>
                <w:szCs w:val="20"/>
              </w:rPr>
              <w:t>$50,000</w:t>
            </w:r>
          </w:p>
        </w:tc>
        <w:tc>
          <w:tcPr>
            <w:tcW w:w="1800" w:type="dxa"/>
            <w:shd w:val="clear" w:color="000000" w:fill="FFFFFF"/>
            <w:vAlign w:val="center"/>
          </w:tcPr>
          <w:p w14:paraId="5B9CE9CF" w14:textId="77777777" w:rsidR="00C01845" w:rsidRPr="00A87B7B" w:rsidRDefault="00C01845" w:rsidP="00167050">
            <w:pPr>
              <w:jc w:val="right"/>
              <w:rPr>
                <w:color w:val="000000"/>
                <w:sz w:val="20"/>
                <w:szCs w:val="20"/>
              </w:rPr>
            </w:pPr>
            <w:r>
              <w:rPr>
                <w:color w:val="000000"/>
                <w:sz w:val="20"/>
                <w:szCs w:val="20"/>
              </w:rPr>
              <w:t>$50,000</w:t>
            </w:r>
          </w:p>
        </w:tc>
      </w:tr>
      <w:tr w:rsidR="00770E74" w:rsidRPr="00A87B7B" w14:paraId="4502D5F2" w14:textId="77777777" w:rsidTr="001562C6">
        <w:trPr>
          <w:trHeight w:val="510"/>
        </w:trPr>
        <w:tc>
          <w:tcPr>
            <w:tcW w:w="3280" w:type="dxa"/>
            <w:shd w:val="clear" w:color="auto" w:fill="D9D9D9" w:themeFill="background1" w:themeFillShade="D9"/>
            <w:vAlign w:val="center"/>
          </w:tcPr>
          <w:p w14:paraId="1A1C87A3" w14:textId="10745DB7" w:rsidR="00C01845" w:rsidRPr="00303903" w:rsidRDefault="00C01845" w:rsidP="00167050">
            <w:pPr>
              <w:jc w:val="center"/>
              <w:rPr>
                <w:b/>
                <w:color w:val="000000"/>
                <w:sz w:val="20"/>
                <w:szCs w:val="20"/>
              </w:rPr>
            </w:pPr>
            <w:r w:rsidRPr="00303903">
              <w:rPr>
                <w:b/>
                <w:color w:val="000000"/>
                <w:sz w:val="20"/>
                <w:szCs w:val="20"/>
              </w:rPr>
              <w:lastRenderedPageBreak/>
              <w:t>Elpis Enterprises</w:t>
            </w:r>
          </w:p>
        </w:tc>
        <w:tc>
          <w:tcPr>
            <w:tcW w:w="3285" w:type="dxa"/>
            <w:shd w:val="clear" w:color="auto" w:fill="D9D9D9" w:themeFill="background1" w:themeFillShade="D9"/>
            <w:vAlign w:val="center"/>
          </w:tcPr>
          <w:p w14:paraId="538C28B1" w14:textId="77777777" w:rsidR="00C01845" w:rsidRPr="00A87B7B" w:rsidRDefault="00C01845" w:rsidP="00167050">
            <w:pPr>
              <w:jc w:val="center"/>
              <w:rPr>
                <w:color w:val="000000"/>
                <w:sz w:val="20"/>
                <w:szCs w:val="20"/>
              </w:rPr>
            </w:pPr>
            <w:r>
              <w:rPr>
                <w:color w:val="000000"/>
                <w:sz w:val="20"/>
                <w:szCs w:val="20"/>
              </w:rPr>
              <w:t>Twin Cities</w:t>
            </w:r>
          </w:p>
        </w:tc>
        <w:tc>
          <w:tcPr>
            <w:tcW w:w="1800" w:type="dxa"/>
            <w:shd w:val="clear" w:color="auto" w:fill="D9D9D9" w:themeFill="background1" w:themeFillShade="D9"/>
            <w:noWrap/>
            <w:vAlign w:val="center"/>
          </w:tcPr>
          <w:p w14:paraId="4301FC25" w14:textId="77777777" w:rsidR="00C01845" w:rsidRPr="00A87B7B" w:rsidRDefault="00C01845" w:rsidP="00167050">
            <w:pPr>
              <w:jc w:val="right"/>
              <w:rPr>
                <w:color w:val="000000"/>
                <w:sz w:val="20"/>
                <w:szCs w:val="20"/>
              </w:rPr>
            </w:pPr>
            <w:r>
              <w:rPr>
                <w:color w:val="000000"/>
                <w:sz w:val="20"/>
                <w:szCs w:val="20"/>
              </w:rPr>
              <w:t>$30,000</w:t>
            </w:r>
          </w:p>
        </w:tc>
        <w:tc>
          <w:tcPr>
            <w:tcW w:w="1800" w:type="dxa"/>
            <w:shd w:val="clear" w:color="auto" w:fill="D9D9D9" w:themeFill="background1" w:themeFillShade="D9"/>
            <w:vAlign w:val="center"/>
          </w:tcPr>
          <w:p w14:paraId="3E32FC38" w14:textId="77777777" w:rsidR="00C01845" w:rsidRPr="00A87B7B" w:rsidRDefault="00C01845" w:rsidP="00167050">
            <w:pPr>
              <w:jc w:val="right"/>
              <w:rPr>
                <w:color w:val="000000"/>
                <w:sz w:val="20"/>
                <w:szCs w:val="20"/>
              </w:rPr>
            </w:pPr>
            <w:r>
              <w:rPr>
                <w:color w:val="000000"/>
                <w:sz w:val="20"/>
                <w:szCs w:val="20"/>
              </w:rPr>
              <w:t>$30,000</w:t>
            </w:r>
          </w:p>
        </w:tc>
      </w:tr>
      <w:tr w:rsidR="00770E74" w:rsidRPr="00A87B7B" w14:paraId="0F178EB4" w14:textId="77777777" w:rsidTr="001562C6">
        <w:trPr>
          <w:trHeight w:val="510"/>
        </w:trPr>
        <w:tc>
          <w:tcPr>
            <w:tcW w:w="3280" w:type="dxa"/>
            <w:tcBorders>
              <w:bottom w:val="single" w:sz="4" w:space="0" w:color="auto"/>
            </w:tcBorders>
            <w:shd w:val="clear" w:color="000000" w:fill="FFFFFF"/>
            <w:vAlign w:val="center"/>
          </w:tcPr>
          <w:p w14:paraId="18D68A72" w14:textId="2822059D" w:rsidR="00C01845" w:rsidRPr="00303903" w:rsidRDefault="00C01845" w:rsidP="00167050">
            <w:pPr>
              <w:jc w:val="center"/>
              <w:rPr>
                <w:b/>
                <w:color w:val="000000"/>
                <w:sz w:val="20"/>
                <w:szCs w:val="20"/>
              </w:rPr>
            </w:pPr>
            <w:r w:rsidRPr="00303903">
              <w:rPr>
                <w:b/>
                <w:color w:val="000000"/>
                <w:sz w:val="20"/>
                <w:szCs w:val="20"/>
              </w:rPr>
              <w:t>Change Inc.</w:t>
            </w:r>
          </w:p>
        </w:tc>
        <w:tc>
          <w:tcPr>
            <w:tcW w:w="3285" w:type="dxa"/>
            <w:shd w:val="clear" w:color="000000" w:fill="FFFFFF"/>
            <w:vAlign w:val="center"/>
          </w:tcPr>
          <w:p w14:paraId="7989EF9B" w14:textId="77777777" w:rsidR="00C01845" w:rsidRPr="00A87B7B" w:rsidRDefault="00C01845" w:rsidP="00167050">
            <w:pPr>
              <w:jc w:val="center"/>
              <w:rPr>
                <w:color w:val="000000"/>
                <w:sz w:val="20"/>
                <w:szCs w:val="20"/>
              </w:rPr>
            </w:pPr>
            <w:r>
              <w:rPr>
                <w:color w:val="000000"/>
                <w:sz w:val="20"/>
                <w:szCs w:val="20"/>
              </w:rPr>
              <w:t>Twin Cities</w:t>
            </w:r>
          </w:p>
        </w:tc>
        <w:tc>
          <w:tcPr>
            <w:tcW w:w="1800" w:type="dxa"/>
            <w:shd w:val="clear" w:color="000000" w:fill="FFFFFF"/>
            <w:noWrap/>
            <w:vAlign w:val="center"/>
          </w:tcPr>
          <w:p w14:paraId="3BBA165A" w14:textId="77777777" w:rsidR="00C01845" w:rsidRPr="00A87B7B" w:rsidRDefault="00C01845" w:rsidP="00167050">
            <w:pPr>
              <w:jc w:val="right"/>
              <w:rPr>
                <w:color w:val="000000"/>
                <w:sz w:val="20"/>
                <w:szCs w:val="20"/>
              </w:rPr>
            </w:pPr>
            <w:r>
              <w:rPr>
                <w:color w:val="000000"/>
                <w:sz w:val="20"/>
                <w:szCs w:val="20"/>
              </w:rPr>
              <w:t>$30,000</w:t>
            </w:r>
          </w:p>
        </w:tc>
        <w:tc>
          <w:tcPr>
            <w:tcW w:w="1800" w:type="dxa"/>
            <w:shd w:val="clear" w:color="000000" w:fill="FFFFFF"/>
            <w:vAlign w:val="center"/>
          </w:tcPr>
          <w:p w14:paraId="6CF85D13" w14:textId="77777777" w:rsidR="00C01845" w:rsidRPr="00A87B7B" w:rsidRDefault="00C01845" w:rsidP="00167050">
            <w:pPr>
              <w:jc w:val="right"/>
              <w:rPr>
                <w:color w:val="000000"/>
                <w:sz w:val="20"/>
                <w:szCs w:val="20"/>
              </w:rPr>
            </w:pPr>
            <w:r>
              <w:rPr>
                <w:color w:val="000000"/>
                <w:sz w:val="20"/>
                <w:szCs w:val="20"/>
              </w:rPr>
              <w:t>$30,000</w:t>
            </w:r>
          </w:p>
        </w:tc>
      </w:tr>
      <w:tr w:rsidR="00BA4A80" w:rsidRPr="00A87B7B" w14:paraId="7B2D2B3B" w14:textId="77777777" w:rsidTr="001562C6">
        <w:trPr>
          <w:trHeight w:val="300"/>
        </w:trPr>
        <w:tc>
          <w:tcPr>
            <w:tcW w:w="3280" w:type="dxa"/>
            <w:tcBorders>
              <w:left w:val="nil"/>
              <w:bottom w:val="nil"/>
            </w:tcBorders>
            <w:shd w:val="clear" w:color="auto" w:fill="auto"/>
            <w:noWrap/>
            <w:vAlign w:val="bottom"/>
            <w:hideMark/>
          </w:tcPr>
          <w:p w14:paraId="15CA38FB" w14:textId="77777777" w:rsidR="00C01845" w:rsidRPr="00303903" w:rsidRDefault="00C01845" w:rsidP="00167050">
            <w:pPr>
              <w:jc w:val="right"/>
              <w:rPr>
                <w:b/>
                <w:color w:val="000000"/>
                <w:sz w:val="20"/>
                <w:szCs w:val="20"/>
              </w:rPr>
            </w:pPr>
          </w:p>
        </w:tc>
        <w:tc>
          <w:tcPr>
            <w:tcW w:w="3285" w:type="dxa"/>
            <w:shd w:val="clear" w:color="auto" w:fill="D9D9D9" w:themeFill="background1" w:themeFillShade="D9"/>
            <w:vAlign w:val="center"/>
            <w:hideMark/>
          </w:tcPr>
          <w:p w14:paraId="09F8A165" w14:textId="77777777" w:rsidR="00C01845" w:rsidRPr="00156D20" w:rsidRDefault="00C01845" w:rsidP="00167050">
            <w:pPr>
              <w:jc w:val="center"/>
              <w:rPr>
                <w:b/>
                <w:color w:val="000000"/>
                <w:sz w:val="20"/>
                <w:szCs w:val="20"/>
              </w:rPr>
            </w:pPr>
            <w:r w:rsidRPr="00156D20">
              <w:rPr>
                <w:b/>
                <w:color w:val="000000"/>
                <w:sz w:val="20"/>
                <w:szCs w:val="20"/>
              </w:rPr>
              <w:t xml:space="preserve"> Total:</w:t>
            </w:r>
          </w:p>
        </w:tc>
        <w:tc>
          <w:tcPr>
            <w:tcW w:w="1800" w:type="dxa"/>
            <w:shd w:val="clear" w:color="auto" w:fill="D9D9D9" w:themeFill="background1" w:themeFillShade="D9"/>
            <w:vAlign w:val="center"/>
            <w:hideMark/>
          </w:tcPr>
          <w:p w14:paraId="2254599D" w14:textId="77777777" w:rsidR="00C01845" w:rsidRPr="00156D20" w:rsidRDefault="00C01845" w:rsidP="00167050">
            <w:pPr>
              <w:jc w:val="right"/>
              <w:rPr>
                <w:b/>
                <w:color w:val="000000"/>
                <w:sz w:val="20"/>
                <w:szCs w:val="20"/>
              </w:rPr>
            </w:pPr>
            <w:r w:rsidRPr="00156D20">
              <w:rPr>
                <w:b/>
                <w:color w:val="000000"/>
                <w:sz w:val="20"/>
                <w:szCs w:val="20"/>
              </w:rPr>
              <w:t>$3,893,100</w:t>
            </w:r>
          </w:p>
        </w:tc>
        <w:tc>
          <w:tcPr>
            <w:tcW w:w="1800" w:type="dxa"/>
            <w:shd w:val="clear" w:color="auto" w:fill="D9D9D9" w:themeFill="background1" w:themeFillShade="D9"/>
          </w:tcPr>
          <w:p w14:paraId="18FE9F2C" w14:textId="77777777" w:rsidR="00C01845" w:rsidRPr="00156D20" w:rsidRDefault="00C01845" w:rsidP="00167050">
            <w:pPr>
              <w:jc w:val="right"/>
              <w:rPr>
                <w:b/>
                <w:color w:val="000000"/>
                <w:sz w:val="20"/>
                <w:szCs w:val="20"/>
              </w:rPr>
            </w:pPr>
            <w:r w:rsidRPr="00156D20">
              <w:rPr>
                <w:b/>
                <w:color w:val="000000"/>
                <w:sz w:val="20"/>
                <w:szCs w:val="20"/>
              </w:rPr>
              <w:t>$3,893,100</w:t>
            </w:r>
          </w:p>
        </w:tc>
      </w:tr>
    </w:tbl>
    <w:p w14:paraId="0A009910" w14:textId="79719884" w:rsidR="00C01845" w:rsidRDefault="00C01845" w:rsidP="00C01845">
      <w:pPr>
        <w:pStyle w:val="NoSpacing"/>
        <w:rPr>
          <w:rFonts w:asciiTheme="majorHAnsi" w:hAnsiTheme="majorHAnsi" w:cs="Times New Roman"/>
        </w:rPr>
      </w:pPr>
    </w:p>
    <w:p w14:paraId="15F4F1D9" w14:textId="5FD7DDD1" w:rsidR="00203863" w:rsidRDefault="004C6FC8" w:rsidP="004C6FC8">
      <w:pPr>
        <w:pStyle w:val="Heading3"/>
      </w:pPr>
      <w:bookmarkStart w:id="10" w:name="_Toc90271388"/>
      <w:bookmarkStart w:id="11" w:name="_Hlk51053191"/>
      <w:r>
        <w:t>Project Descriptions and Success Stories</w:t>
      </w:r>
      <w:bookmarkEnd w:id="10"/>
    </w:p>
    <w:p w14:paraId="696856F4" w14:textId="418CBA49" w:rsidR="00812A36" w:rsidRDefault="00812A36" w:rsidP="00812A36">
      <w:r>
        <w:rPr>
          <w:b/>
          <w:bCs/>
          <w:i/>
          <w:iCs/>
        </w:rPr>
        <w:t xml:space="preserve">City of Minneapolis $800,000.  </w:t>
      </w:r>
      <w:r w:rsidRPr="00812A36">
        <w:t xml:space="preserve">The City of Minneapolis </w:t>
      </w:r>
      <w:hyperlink r:id="rId23" w:history="1">
        <w:r w:rsidRPr="00812A36">
          <w:rPr>
            <w:rStyle w:val="Hyperlink"/>
            <w:color w:val="0066FF"/>
          </w:rPr>
          <w:t>STEP-UP</w:t>
        </w:r>
      </w:hyperlink>
      <w:r w:rsidRPr="00812A36">
        <w:t xml:space="preserve"> Program is a public-private partnership designed to provide under-represented Minneapolis youth ages 14-21 with a comprehensive array of employment and training services that focus on helping youth gain the skills to achieve life-long economic self-sufficiency. Funding directly pays for wages for students over SFY 2020-2021. The program will also support youth in earning high school credits for their STEP-UP training and internship experiences. Step Up provides career pathway</w:t>
      </w:r>
      <w:r w:rsidRPr="00812A36">
        <w:rPr>
          <w:strike/>
        </w:rPr>
        <w:t>s</w:t>
      </w:r>
      <w:r w:rsidRPr="00812A36">
        <w:t xml:space="preserve"> internships in many areas including Healthcare, IT, Finance, and Construction related careers. STEP-UP aims to serve youth of color, youth with disabilities and youth from low-income families. </w:t>
      </w:r>
      <w:r w:rsidRPr="00812A36">
        <w:rPr>
          <w:i/>
          <w:iCs/>
        </w:rPr>
        <w:t>Local contact:</w:t>
      </w:r>
      <w:r w:rsidRPr="00812A36">
        <w:rPr>
          <w:i/>
          <w:iCs/>
          <w:strike/>
        </w:rPr>
        <w:t xml:space="preserve"> </w:t>
      </w:r>
      <w:r w:rsidRPr="00812A36">
        <w:t xml:space="preserve">Tammy Dickinson, </w:t>
      </w:r>
      <w:hyperlink r:id="rId24" w:history="1">
        <w:r w:rsidRPr="00812A36">
          <w:rPr>
            <w:rStyle w:val="Hyperlink"/>
          </w:rPr>
          <w:t>tammy.dickinson@minneapolismn.gov</w:t>
        </w:r>
      </w:hyperlink>
    </w:p>
    <w:p w14:paraId="14B23105" w14:textId="6D2587D7" w:rsidR="004C6FC8" w:rsidRDefault="004C6FC8" w:rsidP="00DF3273">
      <w:pPr>
        <w:rPr>
          <w:rStyle w:val="Hyperlink"/>
          <w:rFonts w:asciiTheme="minorHAnsi" w:hAnsiTheme="minorHAnsi" w:cstheme="minorHAnsi"/>
          <w:i/>
        </w:rPr>
      </w:pPr>
      <w:r w:rsidRPr="00DF3273">
        <w:rPr>
          <w:b/>
          <w:i/>
        </w:rPr>
        <w:t xml:space="preserve">City of Saint Paul, $700,000.  </w:t>
      </w:r>
      <w:hyperlink r:id="rId25" w:history="1">
        <w:r w:rsidRPr="00DF3273">
          <w:rPr>
            <w:rStyle w:val="Hyperlink"/>
            <w:rFonts w:asciiTheme="minorHAnsi" w:hAnsiTheme="minorHAnsi" w:cstheme="minorHAnsi"/>
          </w:rPr>
          <w:t>Right Track</w:t>
        </w:r>
      </w:hyperlink>
      <w:r w:rsidRPr="00DF3273">
        <w:t xml:space="preserve"> brings together the City of Saint Paul, Saint Paul Public Schools (SPPS), non-profit, public and private partners to provide employment opportunities for youth of color and youth with other barriers to employment ages 14 to 21. Grant funds expand youth training opportunities in career pathways such as manufacturing and healthcare, all while youth earn a paycheck, learn about career pathways, and develop their own professional network. </w:t>
      </w:r>
      <w:r w:rsidRPr="00DF3273">
        <w:rPr>
          <w:i/>
        </w:rPr>
        <w:t xml:space="preserve">Local contact: Shaina Abraham, </w:t>
      </w:r>
      <w:hyperlink r:id="rId26" w:history="1">
        <w:r w:rsidRPr="00DF3273">
          <w:rPr>
            <w:rStyle w:val="Hyperlink"/>
            <w:rFonts w:asciiTheme="minorHAnsi" w:hAnsiTheme="minorHAnsi" w:cstheme="minorHAnsi"/>
            <w:i/>
          </w:rPr>
          <w:t>Shaina.Abraham@ci.stpaul.mn.us</w:t>
        </w:r>
      </w:hyperlink>
      <w:r w:rsidRPr="00DF3273">
        <w:rPr>
          <w:rStyle w:val="Hyperlink"/>
          <w:rFonts w:asciiTheme="minorHAnsi" w:hAnsiTheme="minorHAnsi" w:cstheme="minorHAnsi"/>
          <w:i/>
        </w:rPr>
        <w:t xml:space="preserve"> </w:t>
      </w:r>
    </w:p>
    <w:p w14:paraId="130F3881" w14:textId="6D320A7A" w:rsidR="004C6FC8" w:rsidRDefault="004C6FC8" w:rsidP="00DF3273">
      <w:pPr>
        <w:rPr>
          <w:i/>
        </w:rPr>
      </w:pPr>
      <w:r w:rsidRPr="00DF3273">
        <w:rPr>
          <w:b/>
          <w:i/>
        </w:rPr>
        <w:t>Minneapolis Park and Recreation Board, $200,000.</w:t>
      </w:r>
      <w:r w:rsidRPr="00DF3273">
        <w:t xml:space="preserve">  </w:t>
      </w:r>
      <w:hyperlink r:id="rId27" w:history="1">
        <w:r w:rsidRPr="00DF3273">
          <w:rPr>
            <w:rStyle w:val="Hyperlink"/>
            <w:rFonts w:asciiTheme="minorHAnsi" w:hAnsiTheme="minorHAnsi" w:cstheme="minorHAnsi"/>
          </w:rPr>
          <w:t>Teen Teamworks</w:t>
        </w:r>
      </w:hyperlink>
      <w:r w:rsidRPr="00DF3273">
        <w:rPr>
          <w:color w:val="111111"/>
          <w:lang w:val="en"/>
        </w:rPr>
        <w:t xml:space="preserve"> provides quality programming to the economically disadvantaged "at risk" Minneapolis youth between the ages of 14 to 24. The project provides career pathways in STEM related fields. Helping youth acquire an appreciation for the connection between academic, social, judgment, and employment skills is the primary focus of the program. </w:t>
      </w:r>
      <w:r w:rsidRPr="00DF3273">
        <w:rPr>
          <w:i/>
        </w:rPr>
        <w:t xml:space="preserve">Local contact: Linda Tkaczik, </w:t>
      </w:r>
      <w:hyperlink r:id="rId28" w:history="1">
        <w:r w:rsidRPr="00DF3273">
          <w:rPr>
            <w:rStyle w:val="Hyperlink"/>
            <w:rFonts w:asciiTheme="minorHAnsi" w:hAnsiTheme="minorHAnsi" w:cstheme="minorHAnsi"/>
            <w:i/>
          </w:rPr>
          <w:t>ltkaczik@minneapolisparks.org</w:t>
        </w:r>
      </w:hyperlink>
      <w:r w:rsidRPr="00DF3273">
        <w:rPr>
          <w:i/>
        </w:rPr>
        <w:t xml:space="preserve"> </w:t>
      </w:r>
    </w:p>
    <w:p w14:paraId="33C8D0D3" w14:textId="6DC290A4" w:rsidR="00F37124" w:rsidRPr="00F37124" w:rsidRDefault="00F37124" w:rsidP="00DF3273">
      <w:pPr>
        <w:rPr>
          <w:b/>
          <w:bCs/>
          <w:i/>
          <w:iCs/>
        </w:rPr>
      </w:pPr>
      <w:r>
        <w:rPr>
          <w:b/>
          <w:bCs/>
          <w:i/>
          <w:iCs/>
        </w:rPr>
        <w:t xml:space="preserve">SUCCESS STORY – </w:t>
      </w:r>
      <w:r w:rsidRPr="00F37124">
        <w:rPr>
          <w:b/>
          <w:bCs/>
          <w:i/>
          <w:iCs/>
        </w:rPr>
        <w:t>“</w:t>
      </w:r>
      <w:proofErr w:type="spellStart"/>
      <w:r w:rsidRPr="00F37124">
        <w:rPr>
          <w:b/>
          <w:bCs/>
          <w:i/>
          <w:iCs/>
        </w:rPr>
        <w:t>Zaka</w:t>
      </w:r>
      <w:proofErr w:type="spellEnd"/>
      <w:r w:rsidRPr="00F37124">
        <w:rPr>
          <w:b/>
          <w:bCs/>
          <w:i/>
          <w:iCs/>
        </w:rPr>
        <w:t xml:space="preserve">” joined Teen </w:t>
      </w:r>
      <w:proofErr w:type="spellStart"/>
      <w:r w:rsidRPr="00F37124">
        <w:rPr>
          <w:b/>
          <w:bCs/>
          <w:i/>
          <w:iCs/>
        </w:rPr>
        <w:t>Teamworks</w:t>
      </w:r>
      <w:proofErr w:type="spellEnd"/>
      <w:r w:rsidRPr="00F37124">
        <w:rPr>
          <w:b/>
          <w:bCs/>
          <w:i/>
          <w:iCs/>
        </w:rPr>
        <w:t xml:space="preserve"> and the MPRB decided to create a specialized team of youth assigned with the task of handling landscaping projects that required the use of machinery.  This team was called “The Power Crew</w:t>
      </w:r>
      <w:r>
        <w:rPr>
          <w:b/>
          <w:bCs/>
          <w:i/>
          <w:iCs/>
        </w:rPr>
        <w:t xml:space="preserve">.” </w:t>
      </w:r>
      <w:proofErr w:type="spellStart"/>
      <w:r>
        <w:rPr>
          <w:b/>
          <w:bCs/>
          <w:i/>
          <w:iCs/>
        </w:rPr>
        <w:t>Zaka</w:t>
      </w:r>
      <w:proofErr w:type="spellEnd"/>
      <w:r>
        <w:rPr>
          <w:b/>
          <w:bCs/>
          <w:i/>
          <w:iCs/>
        </w:rPr>
        <w:t xml:space="preserve"> is a young man with autism</w:t>
      </w:r>
      <w:r w:rsidRPr="00F37124">
        <w:rPr>
          <w:b/>
          <w:bCs/>
          <w:i/>
          <w:iCs/>
        </w:rPr>
        <w:t xml:space="preserve"> </w:t>
      </w:r>
      <w:r>
        <w:rPr>
          <w:b/>
          <w:bCs/>
          <w:i/>
          <w:iCs/>
        </w:rPr>
        <w:t>assessed his skills</w:t>
      </w:r>
      <w:r w:rsidRPr="00F37124">
        <w:rPr>
          <w:b/>
          <w:bCs/>
          <w:i/>
          <w:iCs/>
        </w:rPr>
        <w:t xml:space="preserve"> for the first week to see exactly what </w:t>
      </w:r>
      <w:proofErr w:type="spellStart"/>
      <w:r w:rsidRPr="00F37124">
        <w:rPr>
          <w:b/>
          <w:bCs/>
          <w:i/>
          <w:iCs/>
        </w:rPr>
        <w:t>Zaka</w:t>
      </w:r>
      <w:proofErr w:type="spellEnd"/>
      <w:r w:rsidRPr="00F37124">
        <w:rPr>
          <w:b/>
          <w:bCs/>
          <w:i/>
          <w:iCs/>
        </w:rPr>
        <w:t xml:space="preserve"> could and couldn’t do. </w:t>
      </w:r>
      <w:r>
        <w:rPr>
          <w:b/>
          <w:bCs/>
          <w:i/>
          <w:iCs/>
        </w:rPr>
        <w:t xml:space="preserve">Staff quickly </w:t>
      </w:r>
      <w:r w:rsidRPr="00F37124">
        <w:rPr>
          <w:b/>
          <w:bCs/>
          <w:i/>
          <w:iCs/>
        </w:rPr>
        <w:t xml:space="preserve">learned was that there wasn’t anything </w:t>
      </w:r>
      <w:proofErr w:type="spellStart"/>
      <w:r w:rsidRPr="00F37124">
        <w:rPr>
          <w:b/>
          <w:bCs/>
          <w:i/>
          <w:iCs/>
        </w:rPr>
        <w:t>Zaka</w:t>
      </w:r>
      <w:proofErr w:type="spellEnd"/>
      <w:r w:rsidRPr="00F37124">
        <w:rPr>
          <w:b/>
          <w:bCs/>
          <w:i/>
          <w:iCs/>
        </w:rPr>
        <w:t xml:space="preserve"> couldn’t do with a little training and repetition. Mowing, weed whipping, hedge trimming, and using air blowers require a certain level of skill to perform effectively. </w:t>
      </w:r>
      <w:proofErr w:type="spellStart"/>
      <w:r w:rsidRPr="00F37124">
        <w:rPr>
          <w:b/>
          <w:bCs/>
          <w:i/>
          <w:iCs/>
        </w:rPr>
        <w:t>Zaka</w:t>
      </w:r>
      <w:proofErr w:type="spellEnd"/>
      <w:r>
        <w:rPr>
          <w:b/>
          <w:bCs/>
          <w:i/>
          <w:iCs/>
        </w:rPr>
        <w:t xml:space="preserve"> could</w:t>
      </w:r>
      <w:r w:rsidRPr="00F37124">
        <w:rPr>
          <w:b/>
          <w:bCs/>
          <w:i/>
          <w:iCs/>
        </w:rPr>
        <w:t xml:space="preserve"> do </w:t>
      </w:r>
      <w:proofErr w:type="gramStart"/>
      <w:r w:rsidRPr="00F37124">
        <w:rPr>
          <w:b/>
          <w:bCs/>
          <w:i/>
          <w:iCs/>
        </w:rPr>
        <w:t>all of</w:t>
      </w:r>
      <w:proofErr w:type="gramEnd"/>
      <w:r w:rsidRPr="00F37124">
        <w:rPr>
          <w:b/>
          <w:bCs/>
          <w:i/>
          <w:iCs/>
        </w:rPr>
        <w:t xml:space="preserve"> these duties independently. </w:t>
      </w:r>
      <w:proofErr w:type="spellStart"/>
      <w:r w:rsidRPr="00F37124">
        <w:rPr>
          <w:b/>
          <w:bCs/>
          <w:i/>
          <w:iCs/>
        </w:rPr>
        <w:t>Zaka’s</w:t>
      </w:r>
      <w:proofErr w:type="spellEnd"/>
      <w:r w:rsidRPr="00F37124">
        <w:rPr>
          <w:b/>
          <w:bCs/>
          <w:i/>
          <w:iCs/>
        </w:rPr>
        <w:t xml:space="preserve"> crew leader says, “without question, </w:t>
      </w:r>
      <w:proofErr w:type="spellStart"/>
      <w:r w:rsidRPr="00F37124">
        <w:rPr>
          <w:b/>
          <w:bCs/>
          <w:i/>
          <w:iCs/>
        </w:rPr>
        <w:t>Zaka</w:t>
      </w:r>
      <w:proofErr w:type="spellEnd"/>
      <w:r w:rsidRPr="00F37124">
        <w:rPr>
          <w:b/>
          <w:bCs/>
          <w:i/>
          <w:iCs/>
        </w:rPr>
        <w:t xml:space="preserve"> is one of the hardest working individuals I’ve encountered. Whatever challenges </w:t>
      </w:r>
      <w:r w:rsidRPr="00F37124">
        <w:rPr>
          <w:b/>
          <w:bCs/>
          <w:i/>
          <w:iCs/>
        </w:rPr>
        <w:lastRenderedPageBreak/>
        <w:t>he will face in the workplace as a youth with Autism will not hinder him from being a successful individual in life.”</w:t>
      </w:r>
    </w:p>
    <w:p w14:paraId="319F6222" w14:textId="0A232EFC" w:rsidR="004C6FC8" w:rsidRPr="00DF3273" w:rsidRDefault="004C6FC8" w:rsidP="00DF3273">
      <w:pPr>
        <w:rPr>
          <w:color w:val="000000"/>
        </w:rPr>
      </w:pPr>
      <w:r w:rsidRPr="00DF3273">
        <w:rPr>
          <w:b/>
          <w:i/>
          <w:color w:val="000000"/>
        </w:rPr>
        <w:t>Boys and Girls Clubs of the Twin Cities, $200,000.</w:t>
      </w:r>
      <w:r w:rsidRPr="00DF3273">
        <w:rPr>
          <w:color w:val="000000"/>
        </w:rPr>
        <w:t xml:space="preserve">  </w:t>
      </w:r>
      <w:r w:rsidR="00DF3273" w:rsidRPr="00DF3273">
        <w:t xml:space="preserve">Teen Pathways programming serves high-school aged youth in Saint Paul and Minneapolis through the five main club sites and other satellites. Youth have the opportunity to explore college and career options, receive mentoring and coaching, practice health behaviors, and learn financial management and leadership to put them on a path to high demand employment opportunities, thereby increasing the likelihood of personal success and long term financial independence. Local contact: Andréa Carroll-Franck, </w:t>
      </w:r>
      <w:hyperlink r:id="rId29" w:history="1">
        <w:r w:rsidR="00DF3273" w:rsidRPr="00DF3273">
          <w:t>ACarroll-Franck@bgc-tc.org</w:t>
        </w:r>
      </w:hyperlink>
      <w:r w:rsidR="00DF3273" w:rsidRPr="00DF3273">
        <w:t xml:space="preserve"> </w:t>
      </w:r>
    </w:p>
    <w:p w14:paraId="0A20602C" w14:textId="2F9C68BA" w:rsidR="004C6FC8" w:rsidRPr="00DF3273" w:rsidRDefault="004C6FC8" w:rsidP="00DF3273">
      <w:pPr>
        <w:rPr>
          <w:rFonts w:asciiTheme="minorHAnsi" w:hAnsiTheme="minorHAnsi" w:cstheme="minorHAnsi"/>
          <w:i/>
          <w:color w:val="0563C1" w:themeColor="hyperlink"/>
          <w:u w:val="single"/>
        </w:rPr>
      </w:pPr>
      <w:proofErr w:type="spellStart"/>
      <w:r w:rsidRPr="00DF3273">
        <w:rPr>
          <w:b/>
          <w:i/>
        </w:rPr>
        <w:t>BrookLynk</w:t>
      </w:r>
      <w:proofErr w:type="spellEnd"/>
      <w:r w:rsidRPr="00DF3273">
        <w:rPr>
          <w:b/>
          <w:i/>
        </w:rPr>
        <w:t xml:space="preserve">, $75,000.  </w:t>
      </w:r>
      <w:r w:rsidRPr="00DF3273">
        <w:t xml:space="preserve">The three pillars of </w:t>
      </w:r>
      <w:proofErr w:type="spellStart"/>
      <w:r w:rsidRPr="00DF3273">
        <w:t>BrookLynk’s</w:t>
      </w:r>
      <w:proofErr w:type="spellEnd"/>
      <w:r w:rsidRPr="00DF3273">
        <w:t xml:space="preserve"> programming consist of 21</w:t>
      </w:r>
      <w:r w:rsidRPr="00DF3273">
        <w:rPr>
          <w:vertAlign w:val="superscript"/>
        </w:rPr>
        <w:t>st</w:t>
      </w:r>
      <w:r w:rsidRPr="00DF3273">
        <w:t xml:space="preserve">-Century skill-building, experiential employment opportunities, and local coordination/partnerships. </w:t>
      </w:r>
      <w:hyperlink r:id="rId30" w:history="1">
        <w:r w:rsidRPr="00DF3273">
          <w:rPr>
            <w:rStyle w:val="Hyperlink"/>
            <w:rFonts w:asciiTheme="minorHAnsi" w:hAnsiTheme="minorHAnsi" w:cstheme="minorHAnsi"/>
          </w:rPr>
          <w:t>BrookLynk</w:t>
        </w:r>
      </w:hyperlink>
      <w:r w:rsidRPr="00DF3273">
        <w:t xml:space="preserve"> facilitates training and paid employment opportunities where youth ages 14 to 21 learn essential job skills such as interviewing, networking, and professionalism. </w:t>
      </w:r>
      <w:proofErr w:type="spellStart"/>
      <w:r w:rsidRPr="00DF3273">
        <w:t>Brooklynk</w:t>
      </w:r>
      <w:proofErr w:type="spellEnd"/>
      <w:r w:rsidRPr="00DF3273">
        <w:t xml:space="preserve"> aims to create career pathways for underrepresented youth who face barriers to employment.  </w:t>
      </w:r>
      <w:r w:rsidRPr="00DF3273">
        <w:rPr>
          <w:i/>
        </w:rPr>
        <w:t xml:space="preserve">Local Contact: Breanne Rothstein, </w:t>
      </w:r>
      <w:hyperlink r:id="rId31" w:history="1">
        <w:r w:rsidRPr="00DF3273">
          <w:rPr>
            <w:rStyle w:val="Hyperlink"/>
            <w:rFonts w:asciiTheme="minorHAnsi" w:hAnsiTheme="minorHAnsi" w:cstheme="minorHAnsi"/>
            <w:i/>
          </w:rPr>
          <w:t>Breanne.Rothstein@Brooklynpark.org</w:t>
        </w:r>
      </w:hyperlink>
    </w:p>
    <w:p w14:paraId="4929588E" w14:textId="1E6A6A1C" w:rsidR="004C6FC8" w:rsidRPr="00DF3273" w:rsidRDefault="004C6FC8" w:rsidP="00DF3273">
      <w:r w:rsidRPr="00DF3273">
        <w:rPr>
          <w:b/>
          <w:i/>
        </w:rPr>
        <w:t xml:space="preserve">Pillsbury United Communities, $75,000.  </w:t>
      </w:r>
      <w:r w:rsidR="00AE1EB1" w:rsidRPr="00DF3273">
        <w:t xml:space="preserve">Ladders to Leadership is a comprehensive and integrated internship program that will provide underrepresented youth ages 14-21 (low income, homeless, pregnant/parenting teens, ELL students) in Minneapolis with work experience, relevant skills and the social and business connections to build a foundation for career readiness. Youth are placed in paid internships in five specialized content areas facilitated by industry professionals. </w:t>
      </w:r>
      <w:r w:rsidR="00AE1EB1" w:rsidRPr="00DF3273">
        <w:rPr>
          <w:i/>
        </w:rPr>
        <w:t xml:space="preserve">Local Contact: Julie Graves, </w:t>
      </w:r>
      <w:hyperlink r:id="rId32" w:history="1">
        <w:r w:rsidR="00AE1EB1" w:rsidRPr="00DF3273">
          <w:rPr>
            <w:rStyle w:val="Hyperlink"/>
            <w:rFonts w:asciiTheme="minorHAnsi" w:eastAsiaTheme="majorEastAsia" w:hAnsiTheme="minorHAnsi" w:cstheme="minorHAnsi"/>
            <w:i/>
          </w:rPr>
          <w:t>JulieG@pillsburyunited.org</w:t>
        </w:r>
      </w:hyperlink>
    </w:p>
    <w:p w14:paraId="27EB2FDB" w14:textId="73757309" w:rsidR="004C6FC8" w:rsidRPr="00DF3273" w:rsidRDefault="004C6FC8" w:rsidP="00DF3273">
      <w:pPr>
        <w:rPr>
          <w:rFonts w:asciiTheme="minorHAnsi" w:hAnsiTheme="minorHAnsi" w:cstheme="minorHAnsi"/>
          <w:i/>
          <w:color w:val="0563C1" w:themeColor="hyperlink"/>
          <w:u w:val="single"/>
        </w:rPr>
      </w:pPr>
      <w:r w:rsidRPr="00DF3273">
        <w:rPr>
          <w:b/>
          <w:i/>
        </w:rPr>
        <w:t>Project for Pride Living, $75,000.</w:t>
      </w:r>
      <w:r w:rsidRPr="00DF3273">
        <w:t xml:space="preserve">  The </w:t>
      </w:r>
      <w:hyperlink r:id="rId33" w:history="1">
        <w:r w:rsidRPr="00DF3273">
          <w:rPr>
            <w:rStyle w:val="Hyperlink"/>
            <w:rFonts w:asciiTheme="minorHAnsi" w:hAnsiTheme="minorHAnsi" w:cstheme="minorHAnsi"/>
          </w:rPr>
          <w:t>Learn and Earn to Achieve Potential (LEAP)</w:t>
        </w:r>
      </w:hyperlink>
      <w:r w:rsidRPr="00DF3273">
        <w:t xml:space="preserve"> Initiative goal is to bring together existing programs throughout Hennepin County to create a coordinated resource to serve disconnected, county-involved youth ages 14-24. This will create a coordinated resource that helps youth connect to holistic navigation and wraparound supports to achieve education and career goals. LEAP will provide Career Pathways in healthcare, IT, financial services education, and customer service.  </w:t>
      </w:r>
      <w:r w:rsidRPr="00DF3273">
        <w:rPr>
          <w:i/>
        </w:rPr>
        <w:t xml:space="preserve">Local Contact: May Xiong, </w:t>
      </w:r>
      <w:hyperlink r:id="rId34" w:history="1">
        <w:r w:rsidRPr="00DF3273">
          <w:rPr>
            <w:rStyle w:val="Hyperlink"/>
            <w:rFonts w:asciiTheme="minorHAnsi" w:hAnsiTheme="minorHAnsi" w:cstheme="minorHAnsi"/>
            <w:i/>
          </w:rPr>
          <w:t>may.xiong@ppl-inc.org</w:t>
        </w:r>
      </w:hyperlink>
    </w:p>
    <w:p w14:paraId="4A92F632" w14:textId="69600B9F" w:rsidR="004C6FC8" w:rsidRPr="00DF3273" w:rsidRDefault="004C6FC8" w:rsidP="00DF3273">
      <w:pPr>
        <w:rPr>
          <w:i/>
        </w:rPr>
      </w:pPr>
      <w:r w:rsidRPr="00DF3273">
        <w:rPr>
          <w:b/>
          <w:i/>
        </w:rPr>
        <w:t xml:space="preserve">Hennepin County, $75,000.  </w:t>
      </w:r>
      <w:r w:rsidRPr="00DF3273">
        <w:t xml:space="preserve">The Jobs for America’s Graduates (JAG) program prevents dropouts among young people who have serious barriers to graduation and/or employment. The County partners with alternative high schools, post-secondary institutions, and community-based organizations that have high concentrations of youth ages 14-24 involved in county systems to align and coordinate youth services using the national JAG model. Providing career pathways in healthcare, IT, customer service and financial services education.  </w:t>
      </w:r>
      <w:r w:rsidRPr="00DF3273">
        <w:rPr>
          <w:i/>
        </w:rPr>
        <w:t xml:space="preserve">Local Contact: </w:t>
      </w:r>
      <w:r w:rsidR="0003752D">
        <w:rPr>
          <w:i/>
        </w:rPr>
        <w:t xml:space="preserve">Nola Speiser, </w:t>
      </w:r>
      <w:hyperlink r:id="rId35" w:history="1">
        <w:r w:rsidR="0003752D" w:rsidRPr="004F0BD7">
          <w:rPr>
            <w:rStyle w:val="Hyperlink"/>
            <w:rFonts w:asciiTheme="minorHAnsi" w:hAnsiTheme="minorHAnsi" w:cstheme="minorHAnsi"/>
          </w:rPr>
          <w:t>Nola.Speiser@hennepin.us</w:t>
        </w:r>
      </w:hyperlink>
      <w:r w:rsidRPr="00DF3273">
        <w:rPr>
          <w:i/>
        </w:rPr>
        <w:tab/>
      </w:r>
    </w:p>
    <w:p w14:paraId="02FBAF1D" w14:textId="66823160" w:rsidR="004C6FC8" w:rsidRPr="00DF3273" w:rsidRDefault="004C6FC8" w:rsidP="00DF3273">
      <w:pPr>
        <w:rPr>
          <w:rStyle w:val="Hyperlink"/>
          <w:rFonts w:asciiTheme="minorHAnsi" w:hAnsiTheme="minorHAnsi" w:cstheme="minorHAnsi"/>
          <w:i/>
        </w:rPr>
      </w:pPr>
      <w:r w:rsidRPr="00DF3273">
        <w:rPr>
          <w:b/>
          <w:i/>
        </w:rPr>
        <w:t>East Side Neighborhood Services, $70,000.</w:t>
      </w:r>
      <w:r w:rsidRPr="00DF3273">
        <w:rPr>
          <w:b/>
        </w:rPr>
        <w:t xml:space="preserve">  </w:t>
      </w:r>
      <w:hyperlink r:id="rId36" w:history="1">
        <w:r w:rsidRPr="00DF3273">
          <w:rPr>
            <w:rStyle w:val="Hyperlink"/>
            <w:rFonts w:asciiTheme="minorHAnsi" w:hAnsiTheme="minorHAnsi" w:cstheme="minorHAnsi"/>
          </w:rPr>
          <w:t>FutureConnect</w:t>
        </w:r>
      </w:hyperlink>
      <w:r w:rsidRPr="00DF3273">
        <w:t xml:space="preserve"> moves participants through four phases: 1. work readiness skill development; 2. Career Pathways exploration; 3. Advanced training; and 4. Paid work experiences. Trainings would be offered in Information Technology, Hospitality/Culinary, and Warehouse/Transportation, and Education. The project works with homeless youth, youth of color, and economically disadvantaged youth ages 14-24. </w:t>
      </w:r>
      <w:r w:rsidRPr="00DF3273">
        <w:rPr>
          <w:i/>
        </w:rPr>
        <w:t xml:space="preserve">Local Contact: </w:t>
      </w:r>
      <w:r w:rsidR="006D3C43" w:rsidRPr="00DF3273">
        <w:rPr>
          <w:i/>
        </w:rPr>
        <w:t xml:space="preserve">Perris Johnson, </w:t>
      </w:r>
      <w:hyperlink r:id="rId37" w:history="1">
        <w:r w:rsidR="006D3C43" w:rsidRPr="00DF3273">
          <w:rPr>
            <w:rStyle w:val="Hyperlink"/>
            <w:rFonts w:asciiTheme="minorHAnsi" w:hAnsiTheme="minorHAnsi" w:cstheme="minorHAnsi"/>
          </w:rPr>
          <w:t>pjohnson</w:t>
        </w:r>
        <w:r w:rsidR="006D3C43" w:rsidRPr="00DF3273">
          <w:rPr>
            <w:rStyle w:val="Hyperlink"/>
            <w:rFonts w:asciiTheme="minorHAnsi" w:hAnsiTheme="minorHAnsi" w:cstheme="minorHAnsi"/>
            <w:i/>
          </w:rPr>
          <w:t>@esns.org</w:t>
        </w:r>
      </w:hyperlink>
    </w:p>
    <w:p w14:paraId="6AEE6768" w14:textId="34C606DC" w:rsidR="00546129" w:rsidRPr="00546129" w:rsidRDefault="004C6FC8" w:rsidP="00546129">
      <w:pPr>
        <w:rPr>
          <w:rFonts w:asciiTheme="minorHAnsi" w:hAnsiTheme="minorHAnsi" w:cstheme="minorHAnsi"/>
          <w:color w:val="0563C1" w:themeColor="hyperlink"/>
          <w:u w:val="single"/>
        </w:rPr>
      </w:pPr>
      <w:r w:rsidRPr="00DF3273">
        <w:rPr>
          <w:b/>
          <w:i/>
        </w:rPr>
        <w:t xml:space="preserve">Youthprise, $69,000.  </w:t>
      </w:r>
      <w:r w:rsidRPr="00DF3273">
        <w:t xml:space="preserve">Opportunity Reboot addresses the economic challenges confronting homeless youth, disconnected youth, and youth in foster care and juvenile justice systems in Minnesota (ages 14-24). </w:t>
      </w:r>
      <w:r w:rsidRPr="00DF3273">
        <w:lastRenderedPageBreak/>
        <w:t xml:space="preserve">Opportunity Reboot mobilizes public and private resources to sustain and grow the work of organizations creating career pathways such as, healthcare, manufacturing, education, automotive and IT for at-risk youth populations. </w:t>
      </w:r>
      <w:r w:rsidRPr="00DF3273">
        <w:rPr>
          <w:i/>
        </w:rPr>
        <w:t>Local Contact: Marcus Pope</w:t>
      </w:r>
      <w:r w:rsidRPr="00DF3273">
        <w:t xml:space="preserve"> </w:t>
      </w:r>
      <w:hyperlink r:id="rId38" w:history="1">
        <w:r w:rsidRPr="00DF3273">
          <w:rPr>
            <w:rStyle w:val="Hyperlink"/>
            <w:rFonts w:asciiTheme="minorHAnsi" w:hAnsiTheme="minorHAnsi" w:cstheme="minorHAnsi"/>
          </w:rPr>
          <w:t>marcus@youthprise.org</w:t>
        </w:r>
      </w:hyperlink>
    </w:p>
    <w:p w14:paraId="5701FB5D" w14:textId="7CB15A57" w:rsidR="00546129" w:rsidRPr="00546129" w:rsidRDefault="00546129" w:rsidP="00546129">
      <w:pPr>
        <w:pStyle w:val="Default"/>
        <w:rPr>
          <w:b/>
          <w:bCs/>
          <w:sz w:val="23"/>
          <w:szCs w:val="23"/>
        </w:rPr>
      </w:pPr>
      <w:r>
        <w:rPr>
          <w:b/>
          <w:bCs/>
          <w:sz w:val="23"/>
          <w:szCs w:val="23"/>
        </w:rPr>
        <w:t xml:space="preserve">SUCCESS STORY - </w:t>
      </w:r>
      <w:r w:rsidRPr="00546129">
        <w:rPr>
          <w:b/>
          <w:bCs/>
          <w:sz w:val="23"/>
          <w:szCs w:val="23"/>
        </w:rPr>
        <w:t>Sandy is a 20-year-old Latinx program participant. She was the first in her family to graduate from high school, and during her senior year, Sandy and her siblings spent some time in the foster care system. After graduating with her diploma, she moved into her own apartment and immediately began serving as the primary caretaker of her three younger siblings, while working full-time and taking 14 college credits. Sandy was working two jobs – one as a CNA at a local hospital and the other as a PCA at a nearby retirement center</w:t>
      </w:r>
      <w:r>
        <w:rPr>
          <w:b/>
          <w:bCs/>
          <w:sz w:val="23"/>
          <w:szCs w:val="23"/>
        </w:rPr>
        <w:t>. S</w:t>
      </w:r>
      <w:r w:rsidRPr="00546129">
        <w:rPr>
          <w:b/>
          <w:bCs/>
          <w:sz w:val="23"/>
          <w:szCs w:val="23"/>
        </w:rPr>
        <w:t xml:space="preserve">taff worked with her to do some extensive career exploration and research, and she made the decision to focus </w:t>
      </w:r>
      <w:r>
        <w:rPr>
          <w:b/>
          <w:bCs/>
          <w:sz w:val="23"/>
          <w:szCs w:val="23"/>
        </w:rPr>
        <w:t>on</w:t>
      </w:r>
      <w:r w:rsidRPr="00546129">
        <w:rPr>
          <w:b/>
          <w:bCs/>
          <w:sz w:val="23"/>
          <w:szCs w:val="23"/>
        </w:rPr>
        <w:t xml:space="preserve"> social work. She shared, “I want to help people in the same way that I’ve been helped.” She will graduate with her Associate of Arts degree in </w:t>
      </w:r>
      <w:proofErr w:type="gramStart"/>
      <w:r w:rsidRPr="00546129">
        <w:rPr>
          <w:b/>
          <w:bCs/>
          <w:sz w:val="23"/>
          <w:szCs w:val="23"/>
        </w:rPr>
        <w:t>December</w:t>
      </w:r>
      <w:r>
        <w:rPr>
          <w:b/>
          <w:bCs/>
          <w:sz w:val="23"/>
          <w:szCs w:val="23"/>
        </w:rPr>
        <w:t xml:space="preserve"> 2021</w:t>
      </w:r>
      <w:r w:rsidRPr="00546129">
        <w:rPr>
          <w:b/>
          <w:bCs/>
          <w:sz w:val="23"/>
          <w:szCs w:val="23"/>
        </w:rPr>
        <w:t>, and</w:t>
      </w:r>
      <w:proofErr w:type="gramEnd"/>
      <w:r w:rsidRPr="00546129">
        <w:rPr>
          <w:b/>
          <w:bCs/>
          <w:sz w:val="23"/>
          <w:szCs w:val="23"/>
        </w:rPr>
        <w:t xml:space="preserve"> is eager to begin a Bachelor of Social Work program. She also continues to support her younger siblings</w:t>
      </w:r>
      <w:r>
        <w:rPr>
          <w:b/>
          <w:bCs/>
          <w:sz w:val="23"/>
          <w:szCs w:val="23"/>
        </w:rPr>
        <w:t xml:space="preserve"> including </w:t>
      </w:r>
      <w:r w:rsidRPr="00546129">
        <w:rPr>
          <w:b/>
          <w:bCs/>
          <w:sz w:val="23"/>
          <w:szCs w:val="23"/>
        </w:rPr>
        <w:t>hel</w:t>
      </w:r>
      <w:r>
        <w:rPr>
          <w:b/>
          <w:bCs/>
          <w:sz w:val="23"/>
          <w:szCs w:val="23"/>
        </w:rPr>
        <w:t>ping</w:t>
      </w:r>
      <w:r w:rsidRPr="00546129">
        <w:rPr>
          <w:b/>
          <w:bCs/>
          <w:sz w:val="23"/>
          <w:szCs w:val="23"/>
        </w:rPr>
        <w:t xml:space="preserve"> her brother begin his first year in community colleg</w:t>
      </w:r>
      <w:r>
        <w:rPr>
          <w:b/>
          <w:bCs/>
          <w:sz w:val="23"/>
          <w:szCs w:val="23"/>
        </w:rPr>
        <w:t>e. Sandy</w:t>
      </w:r>
      <w:r w:rsidRPr="00546129">
        <w:rPr>
          <w:b/>
          <w:bCs/>
          <w:sz w:val="23"/>
          <w:szCs w:val="23"/>
        </w:rPr>
        <w:t xml:space="preserve"> told program staff, “I finally feel excited about my plans for the future.” </w:t>
      </w:r>
    </w:p>
    <w:p w14:paraId="1BA2AFC2" w14:textId="38157475" w:rsidR="004C6FC8" w:rsidRPr="00DF3273" w:rsidRDefault="004C6FC8" w:rsidP="00DF3273">
      <w:r w:rsidRPr="00DF3273">
        <w:rPr>
          <w:b/>
          <w:i/>
        </w:rPr>
        <w:t>Somali Community Resettlement Services, $64,100.</w:t>
      </w:r>
      <w:r w:rsidRPr="00DF3273">
        <w:t xml:space="preserve">  </w:t>
      </w:r>
      <w:bookmarkStart w:id="12" w:name="_Hlk51053253"/>
      <w:r w:rsidRPr="00DF3273">
        <w:rPr>
          <w:rStyle w:val="Hyperlink"/>
          <w:rFonts w:asciiTheme="minorHAnsi" w:hAnsiTheme="minorHAnsi" w:cstheme="minorHAnsi"/>
          <w:color w:val="auto"/>
          <w:u w:val="none"/>
        </w:rPr>
        <w:t xml:space="preserve">The Credential to Career (C2C) Youth at Work project is designed to assist at-risk youth ages 14-24 from communities of color make informed decisions regarding future career plans and to aid them in entering their chosen careers. A comprehensive array of support services is provided by project staff in collaboration with local partners. Youth receive intensive, individualized services of career counseling, credential attainment, financial literacy training, and employment experience. </w:t>
      </w:r>
      <w:r w:rsidRPr="00DF3273">
        <w:rPr>
          <w:rStyle w:val="Hyperlink"/>
          <w:rFonts w:asciiTheme="minorHAnsi" w:hAnsiTheme="minorHAnsi" w:cstheme="minorHAnsi"/>
          <w:i/>
          <w:color w:val="auto"/>
          <w:u w:val="none"/>
        </w:rPr>
        <w:t xml:space="preserve">Local Contact: Abdullah N. Hared, </w:t>
      </w:r>
      <w:hyperlink r:id="rId39" w:history="1">
        <w:r w:rsidR="00770E74" w:rsidRPr="00DF3273">
          <w:rPr>
            <w:rStyle w:val="Hyperlink"/>
            <w:rFonts w:asciiTheme="minorHAnsi" w:hAnsiTheme="minorHAnsi" w:cstheme="minorHAnsi"/>
          </w:rPr>
          <w:t>anhared@somalcrs.org</w:t>
        </w:r>
      </w:hyperlink>
      <w:bookmarkEnd w:id="12"/>
    </w:p>
    <w:p w14:paraId="0F392FE6" w14:textId="6E82C6A3" w:rsidR="004C6FC8" w:rsidRPr="00DF3273" w:rsidRDefault="004C6FC8" w:rsidP="00DF3273">
      <w:pPr>
        <w:rPr>
          <w:rStyle w:val="Hyperlink"/>
          <w:rFonts w:asciiTheme="minorHAnsi" w:hAnsiTheme="minorHAnsi" w:cstheme="minorHAnsi"/>
        </w:rPr>
      </w:pPr>
      <w:r w:rsidRPr="00DF3273">
        <w:rPr>
          <w:b/>
          <w:i/>
        </w:rPr>
        <w:t xml:space="preserve">Northwest Indian Community Development Center, $60,000.  </w:t>
      </w:r>
      <w:r w:rsidRPr="00DF3273">
        <w:t xml:space="preserve">NWICDC aims to increase equal access to livable wage jobs and post-secondary resources for American Indian youth ages 14-24. The project will provide a foundation of stabilization, training, and support for members. NWICDC's services increase successful completion of GED, increased educational functional levels, increase members' abilities to navigate career systems while gaining on the job skills that lead to post-secondary credentialing and employment into a variety of in-demand jobs. </w:t>
      </w:r>
      <w:r w:rsidRPr="00DF3273">
        <w:rPr>
          <w:i/>
        </w:rPr>
        <w:t>Local Contact: Tuleah Palmer</w:t>
      </w:r>
      <w:r w:rsidRPr="00DF3273">
        <w:t xml:space="preserve"> </w:t>
      </w:r>
      <w:hyperlink r:id="rId40" w:history="1">
        <w:r w:rsidRPr="00DF3273">
          <w:rPr>
            <w:rStyle w:val="Hyperlink"/>
            <w:rFonts w:asciiTheme="minorHAnsi" w:hAnsiTheme="minorHAnsi" w:cstheme="minorHAnsi"/>
          </w:rPr>
          <w:t>Tuleah.Palmer@nwicdc.org</w:t>
        </w:r>
      </w:hyperlink>
    </w:p>
    <w:p w14:paraId="3F583835" w14:textId="36A38108" w:rsidR="004C6FC8" w:rsidRDefault="004C6FC8" w:rsidP="00DF3273">
      <w:pPr>
        <w:rPr>
          <w:rStyle w:val="Hyperlink"/>
          <w:rFonts w:asciiTheme="minorHAnsi" w:hAnsiTheme="minorHAnsi" w:cstheme="minorHAnsi"/>
          <w:i/>
          <w:iCs/>
        </w:rPr>
      </w:pPr>
      <w:r w:rsidRPr="00DF3273">
        <w:rPr>
          <w:b/>
          <w:i/>
        </w:rPr>
        <w:t xml:space="preserve">Minnesota Valley Action Council, $60,000.  </w:t>
      </w:r>
      <w:hyperlink r:id="rId41" w:history="1">
        <w:r w:rsidR="000074C5" w:rsidRPr="00DF3273">
          <w:rPr>
            <w:rStyle w:val="Hyperlink"/>
            <w:rFonts w:asciiTheme="minorHAnsi" w:hAnsiTheme="minorHAnsi" w:cstheme="minorHAnsi"/>
          </w:rPr>
          <w:t>Dream It. Believe It. Achieve It.</w:t>
        </w:r>
      </w:hyperlink>
      <w:r w:rsidR="000074C5" w:rsidRPr="00DF3273">
        <w:t xml:space="preserve"> provides youth (and parents) with employment and training preparation for careers in high-growth and in-demand occupations. The project serves youth ages 16-24 from communities of color who are underrepresented in the workforce and youth with disabilities. Career Pathways provided to participants are in the healthcare, manufacturing, construction and STEM fields. </w:t>
      </w:r>
      <w:r w:rsidR="000074C5" w:rsidRPr="00DF3273">
        <w:rPr>
          <w:i/>
          <w:iCs/>
        </w:rPr>
        <w:t xml:space="preserve">Local Contact: Heather Gleason, </w:t>
      </w:r>
      <w:hyperlink r:id="rId42" w:history="1">
        <w:r w:rsidR="000074C5" w:rsidRPr="00DF3273">
          <w:rPr>
            <w:rStyle w:val="Hyperlink"/>
            <w:rFonts w:asciiTheme="minorHAnsi" w:hAnsiTheme="minorHAnsi" w:cstheme="minorHAnsi"/>
            <w:i/>
            <w:iCs/>
          </w:rPr>
          <w:t>hgleason@workforcecouncil.org</w:t>
        </w:r>
      </w:hyperlink>
    </w:p>
    <w:p w14:paraId="4DF38FFF" w14:textId="7505F2F3" w:rsidR="005A0954" w:rsidRPr="005A0954" w:rsidRDefault="005A0954" w:rsidP="005A0954">
      <w:pPr>
        <w:rPr>
          <w:b/>
          <w:bCs/>
        </w:rPr>
      </w:pPr>
      <w:r w:rsidRPr="00046A01">
        <w:rPr>
          <w:noProof/>
        </w:rPr>
        <w:lastRenderedPageBreak/>
        <w:drawing>
          <wp:anchor distT="0" distB="0" distL="114300" distR="114300" simplePos="0" relativeHeight="251668480" behindDoc="1" locked="0" layoutInCell="1" allowOverlap="1" wp14:anchorId="217CDB3E" wp14:editId="7427C359">
            <wp:simplePos x="0" y="0"/>
            <wp:positionH relativeFrom="column">
              <wp:posOffset>16510</wp:posOffset>
            </wp:positionH>
            <wp:positionV relativeFrom="paragraph">
              <wp:posOffset>126365</wp:posOffset>
            </wp:positionV>
            <wp:extent cx="1402080" cy="1638300"/>
            <wp:effectExtent l="38100" t="38100" r="45720" b="38100"/>
            <wp:wrapTight wrapText="bothSides">
              <wp:wrapPolygon edited="0">
                <wp:start x="-587" y="-502"/>
                <wp:lineTo x="-587" y="21851"/>
                <wp:lineTo x="22011" y="21851"/>
                <wp:lineTo x="22011" y="-502"/>
                <wp:lineTo x="-587" y="-50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02080" cy="1638300"/>
                    </a:xfrm>
                    <a:prstGeom prst="rect">
                      <a:avLst/>
                    </a:prstGeom>
                    <a:noFill/>
                    <a:ln w="28575">
                      <a:solidFill>
                        <a:srgbClr val="002060"/>
                      </a:solidFill>
                    </a:ln>
                  </pic:spPr>
                </pic:pic>
              </a:graphicData>
            </a:graphic>
            <wp14:sizeRelH relativeFrom="page">
              <wp14:pctWidth>0</wp14:pctWidth>
            </wp14:sizeRelH>
            <wp14:sizeRelV relativeFrom="page">
              <wp14:pctHeight>0</wp14:pctHeight>
            </wp14:sizeRelV>
          </wp:anchor>
        </w:drawing>
      </w:r>
      <w:r w:rsidR="00BC232A">
        <w:rPr>
          <w:rFonts w:cs="Calibri"/>
          <w:b/>
          <w:bCs/>
          <w:i/>
          <w:iCs/>
        </w:rPr>
        <w:t xml:space="preserve">SUCCESS STORY </w:t>
      </w:r>
      <w:r w:rsidR="00BC232A" w:rsidRPr="005A0954">
        <w:rPr>
          <w:rFonts w:cs="Calibri"/>
          <w:b/>
          <w:bCs/>
          <w:i/>
          <w:iCs/>
        </w:rPr>
        <w:t xml:space="preserve">- </w:t>
      </w:r>
      <w:r w:rsidRPr="005A0954">
        <w:rPr>
          <w:b/>
          <w:bCs/>
        </w:rPr>
        <w:t xml:space="preserve">Jasmine began working with the MVAC Young Adult Career Development program towards the end of March 2021. Throughout the following month, Jasmine successfully completed all work readiness assignments in the Get Started curriculum, which did not come as a surprise as she maintained straight </w:t>
      </w:r>
      <w:proofErr w:type="gramStart"/>
      <w:r w:rsidRPr="005A0954">
        <w:rPr>
          <w:b/>
          <w:bCs/>
        </w:rPr>
        <w:t>A’s</w:t>
      </w:r>
      <w:proofErr w:type="gramEnd"/>
      <w:r w:rsidRPr="005A0954">
        <w:rPr>
          <w:b/>
          <w:bCs/>
        </w:rPr>
        <w:t xml:space="preserve"> throughout the school year. Jasmine expressed various areas of interest while working with staff, including baking/cooking, but most notable was her interest in writing and literature. Jasmine took a writing class in June and later attended a practice interview with staff with a stack of books, at which time they discussed working at the local library. Jasmine finished her summer working at the library and continued to do so into the school year. Her supervisors report that she has been an invaluable asset to the team and cited her strengths as she is a quick learner, adaptable, a leader, a team player, and consistently follows through on her responsibilities. Jasmine has also networked with various populations in the community by distributing free books and helping people register for library cards at the weekend Farmer’s Market, which has helped to strengthen the library’s community connections and bridge gaps. </w:t>
      </w:r>
    </w:p>
    <w:p w14:paraId="2E815433" w14:textId="28CC06EB" w:rsidR="004C6FC8" w:rsidRDefault="004C6FC8" w:rsidP="00DF3273">
      <w:pPr>
        <w:rPr>
          <w:rStyle w:val="Hyperlink"/>
          <w:i/>
          <w:iCs/>
        </w:rPr>
      </w:pPr>
      <w:r w:rsidRPr="00DF3273">
        <w:rPr>
          <w:b/>
          <w:i/>
        </w:rPr>
        <w:t>Evergreen Youth and Family Services, $60,000.</w:t>
      </w:r>
      <w:r w:rsidRPr="00DF3273">
        <w:t xml:space="preserve"> </w:t>
      </w:r>
      <w:r w:rsidR="00DF3273" w:rsidRPr="00DF3273">
        <w:t xml:space="preserve">The </w:t>
      </w:r>
      <w:hyperlink r:id="rId44" w:history="1">
        <w:r w:rsidR="00DF3273" w:rsidRPr="00DF3273">
          <w:rPr>
            <w:rStyle w:val="Hyperlink"/>
          </w:rPr>
          <w:t>Evergreen Youth at Work Program</w:t>
        </w:r>
      </w:hyperlink>
      <w:r w:rsidR="00DF3273" w:rsidRPr="00DF3273">
        <w:t xml:space="preserve"> helps youth from economically disadvantage</w:t>
      </w:r>
      <w:r w:rsidR="00F16924">
        <w:t>d</w:t>
      </w:r>
      <w:r w:rsidR="00DF3273" w:rsidRPr="00DF3273">
        <w:t xml:space="preserve"> backgrounds and youth with disabilities ages 14-24 overcome barriers to employment and education. Services provided to youth include support in completing education, providing career readiness skills which includes skill identification, softs skills, providing assessments, job applications, creating resumes and preparing for interviews.  The Youth at Work program contracts with </w:t>
      </w:r>
      <w:proofErr w:type="spellStart"/>
      <w:r w:rsidR="00DF3273" w:rsidRPr="00DF3273">
        <w:t>BiCAP</w:t>
      </w:r>
      <w:proofErr w:type="spellEnd"/>
      <w:r w:rsidR="00DF3273" w:rsidRPr="00DF3273">
        <w:t xml:space="preserve"> </w:t>
      </w:r>
      <w:proofErr w:type="spellStart"/>
      <w:r w:rsidR="00DF3273" w:rsidRPr="00DF3273">
        <w:t>YouthBuild</w:t>
      </w:r>
      <w:proofErr w:type="spellEnd"/>
      <w:r w:rsidR="00DF3273" w:rsidRPr="00DF3273">
        <w:t xml:space="preserve"> to provide on the job training and education completion. </w:t>
      </w:r>
      <w:r w:rsidR="00DF3273" w:rsidRPr="00DF3273">
        <w:rPr>
          <w:i/>
          <w:iCs/>
        </w:rPr>
        <w:t>Local Contact: Samantha Clausen</w:t>
      </w:r>
      <w:r w:rsidR="00DF3273">
        <w:rPr>
          <w:i/>
          <w:iCs/>
        </w:rPr>
        <w:t>,</w:t>
      </w:r>
      <w:r w:rsidR="00DF3273" w:rsidRPr="00DF3273">
        <w:rPr>
          <w:i/>
          <w:iCs/>
        </w:rPr>
        <w:t xml:space="preserve"> </w:t>
      </w:r>
      <w:hyperlink r:id="rId45" w:history="1">
        <w:r w:rsidR="00DF3273" w:rsidRPr="00DF3273">
          <w:rPr>
            <w:rStyle w:val="Hyperlink"/>
            <w:i/>
            <w:iCs/>
          </w:rPr>
          <w:t>sclausen@evergreenyfs.org</w:t>
        </w:r>
      </w:hyperlink>
      <w:r w:rsidR="005A0954">
        <w:rPr>
          <w:rStyle w:val="Hyperlink"/>
          <w:i/>
          <w:iCs/>
        </w:rPr>
        <w:br/>
      </w:r>
    </w:p>
    <w:p w14:paraId="36323206" w14:textId="5773D1FA" w:rsidR="005A0954" w:rsidRPr="005A0954" w:rsidRDefault="005A0954" w:rsidP="00DF3273">
      <w:pPr>
        <w:rPr>
          <w:b/>
          <w:bCs/>
        </w:rPr>
      </w:pPr>
      <w:r>
        <w:rPr>
          <w:b/>
          <w:bCs/>
        </w:rPr>
        <w:t xml:space="preserve">SUCCESS STORY - </w:t>
      </w:r>
      <w:r w:rsidRPr="005A0954">
        <w:rPr>
          <w:b/>
          <w:bCs/>
        </w:rPr>
        <w:t xml:space="preserve">Evergreen began working with a </w:t>
      </w:r>
      <w:proofErr w:type="gramStart"/>
      <w:r w:rsidRPr="005A0954">
        <w:rPr>
          <w:b/>
          <w:bCs/>
        </w:rPr>
        <w:t>17 year old</w:t>
      </w:r>
      <w:proofErr w:type="gramEnd"/>
      <w:r w:rsidRPr="005A0954">
        <w:rPr>
          <w:b/>
          <w:bCs/>
        </w:rPr>
        <w:t xml:space="preserve"> client with a 4 month old baby. Through Evergreen</w:t>
      </w:r>
      <w:r>
        <w:rPr>
          <w:b/>
          <w:bCs/>
        </w:rPr>
        <w:t>,</w:t>
      </w:r>
      <w:r w:rsidRPr="005A0954">
        <w:rPr>
          <w:b/>
          <w:bCs/>
        </w:rPr>
        <w:t xml:space="preserve"> this client obtained housing that meets the needs of the client and </w:t>
      </w:r>
      <w:r>
        <w:rPr>
          <w:b/>
          <w:bCs/>
        </w:rPr>
        <w:t>her</w:t>
      </w:r>
      <w:r w:rsidRPr="005A0954">
        <w:rPr>
          <w:b/>
          <w:bCs/>
        </w:rPr>
        <w:t xml:space="preserve"> baby</w:t>
      </w:r>
      <w:r>
        <w:rPr>
          <w:b/>
          <w:bCs/>
        </w:rPr>
        <w:t>.</w:t>
      </w:r>
      <w:r w:rsidRPr="005A0954">
        <w:rPr>
          <w:b/>
          <w:bCs/>
        </w:rPr>
        <w:t xml:space="preserve"> </w:t>
      </w:r>
      <w:r>
        <w:rPr>
          <w:b/>
          <w:bCs/>
        </w:rPr>
        <w:t>Evergreen helped the youth</w:t>
      </w:r>
      <w:r w:rsidRPr="005A0954">
        <w:rPr>
          <w:b/>
          <w:bCs/>
        </w:rPr>
        <w:t xml:space="preserve"> enroll in </w:t>
      </w:r>
      <w:proofErr w:type="spellStart"/>
      <w:r w:rsidRPr="005A0954">
        <w:rPr>
          <w:b/>
          <w:bCs/>
        </w:rPr>
        <w:t>YouthBuild</w:t>
      </w:r>
      <w:proofErr w:type="spellEnd"/>
      <w:r>
        <w:rPr>
          <w:b/>
          <w:bCs/>
        </w:rPr>
        <w:t xml:space="preserve"> and she currently </w:t>
      </w:r>
      <w:r w:rsidRPr="005A0954">
        <w:rPr>
          <w:b/>
          <w:bCs/>
        </w:rPr>
        <w:t xml:space="preserve">is on track to obtain her GED in the next year, which is significant as </w:t>
      </w:r>
      <w:r>
        <w:rPr>
          <w:b/>
          <w:bCs/>
        </w:rPr>
        <w:t>she</w:t>
      </w:r>
      <w:r w:rsidRPr="005A0954">
        <w:rPr>
          <w:b/>
          <w:bCs/>
        </w:rPr>
        <w:t xml:space="preserve"> ha</w:t>
      </w:r>
      <w:r>
        <w:rPr>
          <w:b/>
          <w:bCs/>
        </w:rPr>
        <w:t>s</w:t>
      </w:r>
      <w:r w:rsidRPr="005A0954">
        <w:rPr>
          <w:b/>
          <w:bCs/>
        </w:rPr>
        <w:t xml:space="preserve"> been out of school for </w:t>
      </w:r>
      <w:proofErr w:type="gramStart"/>
      <w:r w:rsidRPr="005A0954">
        <w:rPr>
          <w:b/>
          <w:bCs/>
        </w:rPr>
        <w:t>a number of</w:t>
      </w:r>
      <w:proofErr w:type="gramEnd"/>
      <w:r w:rsidRPr="005A0954">
        <w:rPr>
          <w:b/>
          <w:bCs/>
        </w:rPr>
        <w:t xml:space="preserve"> years. The youth has also enrolled in driver’s education and attends chemical dependency support groups weekly</w:t>
      </w:r>
      <w:r>
        <w:rPr>
          <w:b/>
          <w:bCs/>
        </w:rPr>
        <w:t xml:space="preserve"> </w:t>
      </w:r>
      <w:r w:rsidRPr="005A0954">
        <w:rPr>
          <w:b/>
          <w:bCs/>
        </w:rPr>
        <w:t>with the transportation assistance of Evergreen.</w:t>
      </w:r>
    </w:p>
    <w:p w14:paraId="32880391" w14:textId="701013ED" w:rsidR="004C6FC8" w:rsidRPr="001562C6" w:rsidRDefault="004C6FC8" w:rsidP="00DF3273">
      <w:pPr>
        <w:rPr>
          <w:b/>
          <w:i/>
        </w:rPr>
      </w:pPr>
      <w:r w:rsidRPr="00DF3273">
        <w:rPr>
          <w:b/>
          <w:i/>
        </w:rPr>
        <w:t xml:space="preserve">Central Minnesota Jobs and Training Services, </w:t>
      </w:r>
      <w:r w:rsidR="001562C6" w:rsidRPr="001562C6">
        <w:rPr>
          <w:b/>
          <w:bCs/>
          <w:i/>
          <w:iCs/>
        </w:rPr>
        <w:t xml:space="preserve">$60,000. </w:t>
      </w:r>
      <w:hyperlink r:id="rId46" w:history="1">
        <w:r w:rsidR="001562C6" w:rsidRPr="001562C6">
          <w:rPr>
            <w:rStyle w:val="Hyperlink"/>
            <w:bCs/>
            <w:iCs/>
          </w:rPr>
          <w:t>Youth at Work</w:t>
        </w:r>
      </w:hyperlink>
      <w:r w:rsidR="001562C6" w:rsidRPr="001562C6">
        <w:rPr>
          <w:bCs/>
          <w:iCs/>
        </w:rPr>
        <w:t xml:space="preserve"> provides support for youth of color, homeless youth and youth with disabilities, ages 14-24, who are economically disadvantaged in Local Workforce Development Area 5 (LWDA 5). This project focuses on services that will improve work readiness and career pathway awareness while providing work-based learning and/or credentialed training opportunities that are industry recognized and/or high growth/in-demand. In addition, homeless youth develop independent living skills necessary to increase self-reliance and stability. Local contact: Diana Ristamaki </w:t>
      </w:r>
      <w:hyperlink r:id="rId47" w:history="1">
        <w:r w:rsidR="001562C6" w:rsidRPr="001562C6">
          <w:rPr>
            <w:rStyle w:val="Hyperlink"/>
            <w:bCs/>
            <w:iCs/>
          </w:rPr>
          <w:t>dristamaki@cmjts.org</w:t>
        </w:r>
      </w:hyperlink>
      <w:r w:rsidR="001562C6" w:rsidRPr="001562C6">
        <w:rPr>
          <w:bCs/>
          <w:iCs/>
        </w:rPr>
        <w:t>.</w:t>
      </w:r>
      <w:r w:rsidR="001562C6" w:rsidRPr="001562C6">
        <w:rPr>
          <w:b/>
          <w:i/>
          <w:iCs/>
        </w:rPr>
        <w:t xml:space="preserve"> </w:t>
      </w:r>
      <w:r w:rsidRPr="00DF3273">
        <w:rPr>
          <w:i/>
        </w:rPr>
        <w:t xml:space="preserve"> </w:t>
      </w:r>
    </w:p>
    <w:p w14:paraId="24EDBAAF" w14:textId="4A52AC87" w:rsidR="004C6FC8" w:rsidRDefault="004C6FC8" w:rsidP="00DF3273">
      <w:pPr>
        <w:rPr>
          <w:i/>
        </w:rPr>
      </w:pPr>
      <w:r w:rsidRPr="00DF3273">
        <w:rPr>
          <w:b/>
          <w:i/>
        </w:rPr>
        <w:t>Afro-American Development Association</w:t>
      </w:r>
      <w:r w:rsidR="00627CD9" w:rsidRPr="00DF3273">
        <w:rPr>
          <w:b/>
          <w:i/>
        </w:rPr>
        <w:t xml:space="preserve"> (AADA)</w:t>
      </w:r>
      <w:r w:rsidRPr="00DF3273">
        <w:rPr>
          <w:b/>
          <w:i/>
        </w:rPr>
        <w:t xml:space="preserve">, $60,000. </w:t>
      </w:r>
      <w:r w:rsidRPr="00DF3273">
        <w:t xml:space="preserve">The project serves communities of new Americans and provides youth ages 14-24 with opportunities to build skills to access jobs and reduce dependency while contributing to regional economic growth and development. New American youth often face barriers to employment, financial challenges, education, training, and navigating public services. The project provides </w:t>
      </w:r>
      <w:r w:rsidRPr="00DF3273">
        <w:lastRenderedPageBreak/>
        <w:t xml:space="preserve">support in accessing and pursing education, career awareness/advancement and employment opportunities. </w:t>
      </w:r>
      <w:r w:rsidRPr="00DF3273">
        <w:rPr>
          <w:i/>
        </w:rPr>
        <w:t xml:space="preserve">Local Contact: Hukun </w:t>
      </w:r>
      <w:r w:rsidR="00783183" w:rsidRPr="00DF3273">
        <w:rPr>
          <w:i/>
        </w:rPr>
        <w:t>Dabar</w:t>
      </w:r>
      <w:r w:rsidRPr="00DF3273">
        <w:rPr>
          <w:i/>
        </w:rPr>
        <w:t xml:space="preserve">, </w:t>
      </w:r>
      <w:r w:rsidRPr="00DF3273">
        <w:rPr>
          <w:rStyle w:val="Hyperlink"/>
          <w:rFonts w:asciiTheme="minorHAnsi" w:hAnsiTheme="minorHAnsi" w:cstheme="minorHAnsi"/>
          <w:i/>
        </w:rPr>
        <w:t>hukun@aadevassoc.org</w:t>
      </w:r>
      <w:r w:rsidRPr="00DF3273">
        <w:rPr>
          <w:i/>
        </w:rPr>
        <w:t xml:space="preserve"> </w:t>
      </w:r>
    </w:p>
    <w:p w14:paraId="3110D6C3" w14:textId="3A1D34CE" w:rsidR="005C3C32" w:rsidRPr="005C3C32" w:rsidRDefault="00E30D56" w:rsidP="00DF3273">
      <w:pPr>
        <w:rPr>
          <w:b/>
          <w:bCs/>
          <w:i/>
          <w:iCs/>
        </w:rPr>
      </w:pPr>
      <w:bookmarkStart w:id="13" w:name="_Hlk88118911"/>
      <w:r>
        <w:rPr>
          <w:b/>
          <w:bCs/>
          <w:i/>
          <w:iCs/>
          <w:noProof/>
        </w:rPr>
        <w:drawing>
          <wp:anchor distT="0" distB="0" distL="114300" distR="114300" simplePos="0" relativeHeight="251659264" behindDoc="1" locked="0" layoutInCell="1" allowOverlap="1" wp14:anchorId="0F14113E" wp14:editId="0B096A10">
            <wp:simplePos x="0" y="0"/>
            <wp:positionH relativeFrom="column">
              <wp:posOffset>56390</wp:posOffset>
            </wp:positionH>
            <wp:positionV relativeFrom="paragraph">
              <wp:posOffset>261809</wp:posOffset>
            </wp:positionV>
            <wp:extent cx="1062355" cy="1374140"/>
            <wp:effectExtent l="38100" t="38100" r="42545" b="35560"/>
            <wp:wrapTight wrapText="bothSides">
              <wp:wrapPolygon edited="0">
                <wp:start x="-775" y="-599"/>
                <wp:lineTo x="-775" y="21860"/>
                <wp:lineTo x="22078" y="21860"/>
                <wp:lineTo x="22078" y="-599"/>
                <wp:lineTo x="-775" y="-59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62355" cy="137414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5C3C32">
        <w:rPr>
          <w:b/>
          <w:bCs/>
          <w:i/>
          <w:iCs/>
        </w:rPr>
        <w:t xml:space="preserve">SUCCESS STORY - </w:t>
      </w:r>
      <w:r w:rsidR="005C3C32" w:rsidRPr="005C3C32">
        <w:rPr>
          <w:b/>
          <w:bCs/>
          <w:i/>
          <w:iCs/>
        </w:rPr>
        <w:t>Mr. Abdifatah came to the AADA office to get help in securing a job as a truck driver. He had difficulty in getting a mentor in the trucking field. His AADA case manager focused on identifying a trucking business in the Fargo-Moorhead area who could train and mentor Mr. Abdifat</w:t>
      </w:r>
      <w:r w:rsidR="00F16924">
        <w:rPr>
          <w:b/>
          <w:bCs/>
          <w:i/>
          <w:iCs/>
        </w:rPr>
        <w:t>a</w:t>
      </w:r>
      <w:r w:rsidR="005C3C32" w:rsidRPr="005C3C32">
        <w:rPr>
          <w:b/>
          <w:bCs/>
          <w:i/>
          <w:iCs/>
        </w:rPr>
        <w:t>h. AADA was able to connect with Amin Logistic. The AADA case manager was able to help Mr. Abdifatah get on board with Amin logistics and start as a partner driver to drive the 200 log hours needed to make him a professional truck driver. After completion of the training Mr. Abdifatah came back to AADA to share his story about how his dream of becoming a truck driver came true with the help of AADA. He says, “I have always dreamed of owning my own freight business and AADA helped me set my foot towards attaining it.” When he is not driving a truck, Abdif</w:t>
      </w:r>
      <w:r w:rsidR="00F16924">
        <w:rPr>
          <w:b/>
          <w:bCs/>
          <w:i/>
          <w:iCs/>
        </w:rPr>
        <w:t>at</w:t>
      </w:r>
      <w:r w:rsidR="005C3C32" w:rsidRPr="005C3C32">
        <w:rPr>
          <w:b/>
          <w:bCs/>
          <w:i/>
          <w:iCs/>
        </w:rPr>
        <w:t xml:space="preserve">ah volunteers with AADA to provide transportation to other youth who need rides to and from AADA organized events. He also </w:t>
      </w:r>
      <w:proofErr w:type="gramStart"/>
      <w:r w:rsidR="005C3C32" w:rsidRPr="005C3C32">
        <w:rPr>
          <w:b/>
          <w:bCs/>
          <w:i/>
          <w:iCs/>
        </w:rPr>
        <w:t>mentors</w:t>
      </w:r>
      <w:proofErr w:type="gramEnd"/>
      <w:r w:rsidR="005C3C32" w:rsidRPr="005C3C32">
        <w:rPr>
          <w:b/>
          <w:bCs/>
          <w:i/>
          <w:iCs/>
        </w:rPr>
        <w:t xml:space="preserve"> other youth in the AADA youth program and shares his story as an example.</w:t>
      </w:r>
    </w:p>
    <w:bookmarkEnd w:id="13"/>
    <w:p w14:paraId="074B5C89" w14:textId="4F9F390A" w:rsidR="004C6FC8" w:rsidRDefault="004C6FC8" w:rsidP="00DF3273">
      <w:r w:rsidRPr="00DF3273">
        <w:rPr>
          <w:b/>
          <w:i/>
        </w:rPr>
        <w:t xml:space="preserve">Rural Minnesota CEP, $60,000. </w:t>
      </w:r>
      <w:r w:rsidRPr="00DF3273">
        <w:t xml:space="preserve">The project focuses on Career Pathways in Occupations in Demand and couples training with work-based learning. The primary goal is for participants to earn an industry recognized credential in one of the identified career pathways combined with training and a related work-based learning experience. Each youth participant in work-based learning is mentored for development of soft skills. Participants are ages 16-24 with priority of service given to at-risk youth from a community of color, a youth with a disability or a youth who meets the priority for enrollment into other programs managed by RMCEP. </w:t>
      </w:r>
      <w:r w:rsidRPr="00DF3273">
        <w:rPr>
          <w:i/>
        </w:rPr>
        <w:t xml:space="preserve">Local Contact: Vicki Leaderbrand, </w:t>
      </w:r>
      <w:hyperlink r:id="rId49" w:history="1">
        <w:r w:rsidRPr="00DF3273">
          <w:rPr>
            <w:rStyle w:val="Hyperlink"/>
            <w:rFonts w:asciiTheme="minorHAnsi" w:hAnsiTheme="minorHAnsi" w:cstheme="minorHAnsi"/>
            <w:i/>
          </w:rPr>
          <w:t>vickil@rmcep.com</w:t>
        </w:r>
      </w:hyperlink>
      <w:r w:rsidRPr="00DF3273">
        <w:t xml:space="preserve"> </w:t>
      </w:r>
    </w:p>
    <w:p w14:paraId="6D0A9F6F" w14:textId="5716A783" w:rsidR="00452F9E" w:rsidRPr="00452F9E" w:rsidRDefault="00452F9E" w:rsidP="00452F9E">
      <w:pPr>
        <w:rPr>
          <w:b/>
          <w:bCs/>
          <w:i/>
          <w:iCs/>
        </w:rPr>
      </w:pPr>
      <w:bookmarkStart w:id="14" w:name="_Hlk88118943"/>
      <w:r>
        <w:rPr>
          <w:noProof/>
        </w:rPr>
        <w:drawing>
          <wp:anchor distT="0" distB="0" distL="114300" distR="114300" simplePos="0" relativeHeight="251663360" behindDoc="1" locked="0" layoutInCell="1" allowOverlap="1" wp14:anchorId="252A8E00" wp14:editId="4CCEF381">
            <wp:simplePos x="0" y="0"/>
            <wp:positionH relativeFrom="column">
              <wp:posOffset>57150</wp:posOffset>
            </wp:positionH>
            <wp:positionV relativeFrom="paragraph">
              <wp:posOffset>213360</wp:posOffset>
            </wp:positionV>
            <wp:extent cx="863600" cy="1289050"/>
            <wp:effectExtent l="38100" t="38100" r="31750" b="44450"/>
            <wp:wrapTight wrapText="bothSides">
              <wp:wrapPolygon edited="0">
                <wp:start x="-953" y="-638"/>
                <wp:lineTo x="-953" y="22026"/>
                <wp:lineTo x="21918" y="22026"/>
                <wp:lineTo x="21918" y="-638"/>
                <wp:lineTo x="-953" y="-63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r="11803"/>
                    <a:stretch/>
                  </pic:blipFill>
                  <pic:spPr bwMode="auto">
                    <a:xfrm>
                      <a:off x="0" y="0"/>
                      <a:ext cx="863600" cy="1289050"/>
                    </a:xfrm>
                    <a:prstGeom prst="rect">
                      <a:avLst/>
                    </a:prstGeom>
                    <a:noFill/>
                    <a:ln w="28575">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232A">
        <w:rPr>
          <w:b/>
          <w:bCs/>
          <w:i/>
          <w:iCs/>
        </w:rPr>
        <w:t xml:space="preserve">SUCCESS STORY - </w:t>
      </w:r>
      <w:r w:rsidRPr="00452F9E">
        <w:rPr>
          <w:b/>
          <w:bCs/>
          <w:i/>
          <w:iCs/>
        </w:rPr>
        <w:t xml:space="preserve">Jazmine is a 17-year-old who attends school at Moorhead High School and is on track to graduate from high school early.  Jazmine was interested in taking a hybrid CNA course offered through NDSCS, but she did not have her own computer. Jazmine was using a school issued computer to complete her summer courses, but Jazmine was required to return the computer prior to her CNA class starting.  Jazmine was able to advocate for herself and ask her teacher if she could extend the loan of the computer past the point of her summer classes in order to use it for the class. </w:t>
      </w:r>
      <w:r>
        <w:rPr>
          <w:b/>
          <w:bCs/>
          <w:i/>
          <w:iCs/>
        </w:rPr>
        <w:t>Jazmine</w:t>
      </w:r>
      <w:r w:rsidRPr="00452F9E">
        <w:rPr>
          <w:b/>
          <w:bCs/>
          <w:i/>
          <w:iCs/>
        </w:rPr>
        <w:t xml:space="preserve"> was interested in doing work as an Activity Aide at a local nursing home after she completed her</w:t>
      </w:r>
      <w:r>
        <w:rPr>
          <w:b/>
          <w:bCs/>
          <w:i/>
          <w:iCs/>
        </w:rPr>
        <w:t xml:space="preserve"> online</w:t>
      </w:r>
      <w:r w:rsidRPr="00452F9E">
        <w:rPr>
          <w:b/>
          <w:bCs/>
          <w:i/>
          <w:iCs/>
        </w:rPr>
        <w:t xml:space="preserve"> First Aid/CPR training</w:t>
      </w:r>
      <w:r>
        <w:rPr>
          <w:b/>
          <w:bCs/>
          <w:i/>
          <w:iCs/>
        </w:rPr>
        <w:t xml:space="preserve"> through the American Red Cross</w:t>
      </w:r>
      <w:r w:rsidRPr="00452F9E">
        <w:rPr>
          <w:b/>
          <w:bCs/>
          <w:i/>
          <w:iCs/>
        </w:rPr>
        <w:t xml:space="preserve">.  The client wanted to ease into her end goal of becoming a CNA.  Jazmine’s worksite supervisor stated that Jazmine was </w:t>
      </w:r>
      <w:r>
        <w:rPr>
          <w:b/>
          <w:bCs/>
          <w:i/>
          <w:iCs/>
        </w:rPr>
        <w:t>great to work with</w:t>
      </w:r>
      <w:r w:rsidRPr="00452F9E">
        <w:rPr>
          <w:b/>
          <w:bCs/>
          <w:i/>
          <w:iCs/>
        </w:rPr>
        <w:t xml:space="preserve"> and wanted to offer her a p</w:t>
      </w:r>
      <w:r>
        <w:rPr>
          <w:b/>
          <w:bCs/>
          <w:i/>
          <w:iCs/>
        </w:rPr>
        <w:t>ermanent</w:t>
      </w:r>
      <w:r w:rsidRPr="00452F9E">
        <w:rPr>
          <w:b/>
          <w:bCs/>
          <w:i/>
          <w:iCs/>
        </w:rPr>
        <w:t xml:space="preserve"> job as a CNA at $13/hour.  Jazmine accepted. </w:t>
      </w:r>
    </w:p>
    <w:bookmarkEnd w:id="14"/>
    <w:p w14:paraId="04B2177E" w14:textId="5492C4E0" w:rsidR="003C2A3F" w:rsidRPr="003C2A3F" w:rsidRDefault="004C6FC8" w:rsidP="003C2A3F">
      <w:r w:rsidRPr="00DF3273">
        <w:rPr>
          <w:b/>
          <w:i/>
          <w:color w:val="111111"/>
          <w:lang w:val="en"/>
        </w:rPr>
        <w:t>Career Solutions, $60,000.</w:t>
      </w:r>
      <w:r w:rsidRPr="00DF3273">
        <w:rPr>
          <w:b/>
          <w:color w:val="111111"/>
          <w:lang w:val="en"/>
        </w:rPr>
        <w:t xml:space="preserve"> </w:t>
      </w:r>
      <w:r w:rsidRPr="00DF3273">
        <w:rPr>
          <w:color w:val="111111"/>
          <w:lang w:val="en"/>
        </w:rPr>
        <w:t xml:space="preserve">Economically disadvantaged and at-risk youth ages 14-21 enrolled in this programming through </w:t>
      </w:r>
      <w:hyperlink r:id="rId51" w:history="1">
        <w:r w:rsidRPr="00DF3273">
          <w:rPr>
            <w:rStyle w:val="Hyperlink"/>
            <w:rFonts w:asciiTheme="minorHAnsi" w:hAnsiTheme="minorHAnsi" w:cstheme="minorHAnsi"/>
            <w:lang w:val="en"/>
          </w:rPr>
          <w:t>Career Solutions</w:t>
        </w:r>
      </w:hyperlink>
      <w:r w:rsidRPr="00DF3273">
        <w:rPr>
          <w:color w:val="111111"/>
          <w:lang w:val="en"/>
        </w:rPr>
        <w:t xml:space="preserve"> will participate in career readiness training to help them gain personal development, workplace learning, readiness, and technical skills needed in high demand businesses and industries. The program is modeled after a Learn &amp; Earn Framework that consists of career counseling, wraparound support services, individualized career plans, and connections to employers. </w:t>
      </w:r>
      <w:r w:rsidRPr="00DF3273">
        <w:rPr>
          <w:i/>
          <w:color w:val="111111"/>
          <w:lang w:val="en"/>
        </w:rPr>
        <w:t xml:space="preserve">Local contact: </w:t>
      </w:r>
      <w:r w:rsidR="003C2A3F">
        <w:rPr>
          <w:i/>
          <w:color w:val="111111"/>
          <w:lang w:val="en"/>
        </w:rPr>
        <w:t>Audrey O’Driscoll</w:t>
      </w:r>
      <w:r w:rsidRPr="00DF3273">
        <w:rPr>
          <w:i/>
          <w:color w:val="111111"/>
          <w:lang w:val="en"/>
        </w:rPr>
        <w:t xml:space="preserve">, </w:t>
      </w:r>
      <w:hyperlink r:id="rId52" w:history="1">
        <w:r w:rsidR="003C2A3F" w:rsidRPr="003C2A3F">
          <w:rPr>
            <w:rStyle w:val="Hyperlink"/>
            <w:i/>
            <w:iCs/>
          </w:rPr>
          <w:t>Audrey.ODriscoll@CSJobs.org</w:t>
        </w:r>
      </w:hyperlink>
    </w:p>
    <w:p w14:paraId="2836142F" w14:textId="1E3705EC" w:rsidR="004C6FC8" w:rsidRDefault="004C6FC8" w:rsidP="00DF3273">
      <w:pPr>
        <w:rPr>
          <w:i/>
          <w:color w:val="111111"/>
          <w:lang w:val="en"/>
        </w:rPr>
      </w:pPr>
      <w:r w:rsidRPr="00DF3273">
        <w:rPr>
          <w:b/>
          <w:i/>
        </w:rPr>
        <w:lastRenderedPageBreak/>
        <w:t xml:space="preserve">City of Duluth, $60,000. </w:t>
      </w:r>
      <w:hyperlink r:id="rId53" w:history="1">
        <w:r w:rsidRPr="00DF3273">
          <w:rPr>
            <w:rStyle w:val="Hyperlink"/>
            <w:rFonts w:asciiTheme="minorHAnsi" w:hAnsiTheme="minorHAnsi" w:cstheme="minorHAnsi"/>
            <w:lang w:val="en"/>
          </w:rPr>
          <w:t>YES! Duluth</w:t>
        </w:r>
      </w:hyperlink>
      <w:r w:rsidRPr="00DF3273">
        <w:rPr>
          <w:color w:val="111111"/>
          <w:lang w:val="en"/>
        </w:rPr>
        <w:t xml:space="preserve"> uses a variety of tools to assess skills and interests to develop an Individual Service Strategy (ISS) that outlines training needs, work experience, and barriers to obtain and retain employment. Participants choose one of two career pathways opportunities in the hospitality and construction fields. Youth are connected to career-track employment and opportunities for further training and advancement.</w:t>
      </w:r>
      <w:r w:rsidRPr="00DF3273">
        <w:t xml:space="preserve"> Participants in this program are youth ages 16-24 with priority of service given to at-risk, economically disadvantaged and in and out of school youth who are underrepresented in the workforce. </w:t>
      </w:r>
      <w:r w:rsidRPr="00DF3273">
        <w:rPr>
          <w:i/>
          <w:color w:val="111111"/>
          <w:lang w:val="en"/>
        </w:rPr>
        <w:t xml:space="preserve">Local Contact: Elena Foshay, </w:t>
      </w:r>
      <w:hyperlink r:id="rId54" w:history="1">
        <w:r w:rsidRPr="00DF3273">
          <w:rPr>
            <w:rStyle w:val="Hyperlink"/>
            <w:rFonts w:asciiTheme="minorHAnsi" w:hAnsiTheme="minorHAnsi" w:cstheme="minorHAnsi"/>
            <w:i/>
            <w:lang w:val="en"/>
          </w:rPr>
          <w:t>efoshay@duluthmn.gov</w:t>
        </w:r>
      </w:hyperlink>
      <w:r w:rsidRPr="00DF3273">
        <w:rPr>
          <w:i/>
          <w:color w:val="111111"/>
          <w:lang w:val="en"/>
        </w:rPr>
        <w:t xml:space="preserve"> </w:t>
      </w:r>
    </w:p>
    <w:p w14:paraId="3FEAEAFA" w14:textId="17B311A9" w:rsidR="005C3C32" w:rsidRPr="005C3C32" w:rsidRDefault="005C3C32" w:rsidP="00DF3273">
      <w:pPr>
        <w:rPr>
          <w:b/>
          <w:bCs/>
          <w:i/>
          <w:iCs/>
        </w:rPr>
      </w:pPr>
      <w:r>
        <w:rPr>
          <w:b/>
          <w:bCs/>
          <w:i/>
          <w:iCs/>
        </w:rPr>
        <w:t xml:space="preserve">SUCCESS STORY – </w:t>
      </w:r>
      <w:r w:rsidRPr="005C3C32">
        <w:rPr>
          <w:b/>
          <w:bCs/>
          <w:i/>
          <w:iCs/>
        </w:rPr>
        <w:t>J</w:t>
      </w:r>
      <w:r>
        <w:rPr>
          <w:b/>
          <w:bCs/>
          <w:i/>
          <w:iCs/>
        </w:rPr>
        <w:t>.</w:t>
      </w:r>
      <w:r w:rsidRPr="005C3C32">
        <w:rPr>
          <w:b/>
          <w:bCs/>
          <w:i/>
          <w:iCs/>
        </w:rPr>
        <w:t>O</w:t>
      </w:r>
      <w:r>
        <w:rPr>
          <w:b/>
          <w:bCs/>
          <w:i/>
          <w:iCs/>
        </w:rPr>
        <w:t>.</w:t>
      </w:r>
      <w:r w:rsidRPr="005C3C32">
        <w:rPr>
          <w:b/>
          <w:bCs/>
          <w:i/>
          <w:iCs/>
        </w:rPr>
        <w:t xml:space="preserve"> was referred to YES Duluth by a homeless liaison and entered the YES Duluth program during the final weeks before graduating from an intensive in-treatment substance abuse program.  J</w:t>
      </w:r>
      <w:r>
        <w:rPr>
          <w:b/>
          <w:bCs/>
          <w:i/>
          <w:iCs/>
        </w:rPr>
        <w:t>.</w:t>
      </w:r>
      <w:r w:rsidRPr="005C3C32">
        <w:rPr>
          <w:b/>
          <w:bCs/>
          <w:i/>
          <w:iCs/>
        </w:rPr>
        <w:t>O</w:t>
      </w:r>
      <w:r>
        <w:rPr>
          <w:b/>
          <w:bCs/>
          <w:i/>
          <w:iCs/>
        </w:rPr>
        <w:t>.</w:t>
      </w:r>
      <w:r w:rsidRPr="005C3C32">
        <w:rPr>
          <w:b/>
          <w:bCs/>
          <w:i/>
          <w:iCs/>
        </w:rPr>
        <w:t xml:space="preserve"> completed career pathway training with his YES Duluth counselor and entered </w:t>
      </w:r>
      <w:r>
        <w:rPr>
          <w:b/>
          <w:bCs/>
          <w:i/>
          <w:iCs/>
        </w:rPr>
        <w:t>a w</w:t>
      </w:r>
      <w:r w:rsidRPr="005C3C32">
        <w:rPr>
          <w:b/>
          <w:bCs/>
          <w:i/>
          <w:iCs/>
        </w:rPr>
        <w:t xml:space="preserve">ork </w:t>
      </w:r>
      <w:r>
        <w:rPr>
          <w:b/>
          <w:bCs/>
          <w:i/>
          <w:iCs/>
        </w:rPr>
        <w:t>e</w:t>
      </w:r>
      <w:r w:rsidRPr="005C3C32">
        <w:rPr>
          <w:b/>
          <w:bCs/>
          <w:i/>
          <w:iCs/>
        </w:rPr>
        <w:t xml:space="preserve">xperience with the City of Duluth Street Maintenance crew.  He excelled in his work and was given opportunity for above-and-beyond skill building and leadership development in his </w:t>
      </w:r>
      <w:r>
        <w:rPr>
          <w:b/>
          <w:bCs/>
          <w:i/>
          <w:iCs/>
        </w:rPr>
        <w:t>w</w:t>
      </w:r>
      <w:r w:rsidRPr="005C3C32">
        <w:rPr>
          <w:b/>
          <w:bCs/>
          <w:i/>
          <w:iCs/>
        </w:rPr>
        <w:t xml:space="preserve">ork </w:t>
      </w:r>
      <w:r>
        <w:rPr>
          <w:b/>
          <w:bCs/>
          <w:i/>
          <w:iCs/>
        </w:rPr>
        <w:t>e</w:t>
      </w:r>
      <w:r w:rsidRPr="005C3C32">
        <w:rPr>
          <w:b/>
          <w:bCs/>
          <w:i/>
          <w:iCs/>
        </w:rPr>
        <w:t>xperience. J</w:t>
      </w:r>
      <w:r>
        <w:rPr>
          <w:b/>
          <w:bCs/>
          <w:i/>
          <w:iCs/>
        </w:rPr>
        <w:t>.</w:t>
      </w:r>
      <w:r w:rsidRPr="005C3C32">
        <w:rPr>
          <w:b/>
          <w:bCs/>
          <w:i/>
          <w:iCs/>
        </w:rPr>
        <w:t>O</w:t>
      </w:r>
      <w:r>
        <w:rPr>
          <w:b/>
          <w:bCs/>
          <w:i/>
          <w:iCs/>
        </w:rPr>
        <w:t>.</w:t>
      </w:r>
      <w:r w:rsidRPr="005C3C32">
        <w:rPr>
          <w:b/>
          <w:bCs/>
          <w:i/>
          <w:iCs/>
        </w:rPr>
        <w:t xml:space="preserve"> has remained sober, employed, and in permanent housing since enrolling in YES Duluth. </w:t>
      </w:r>
      <w:r>
        <w:rPr>
          <w:b/>
          <w:bCs/>
          <w:i/>
          <w:iCs/>
        </w:rPr>
        <w:t>W</w:t>
      </w:r>
      <w:r w:rsidRPr="005C3C32">
        <w:rPr>
          <w:rFonts w:cs="Calibri"/>
          <w:b/>
          <w:bCs/>
          <w:i/>
          <w:iCs/>
        </w:rPr>
        <w:t>hile successfully</w:t>
      </w:r>
      <w:r>
        <w:rPr>
          <w:rFonts w:cs="Calibri"/>
          <w:b/>
          <w:bCs/>
          <w:i/>
          <w:iCs/>
        </w:rPr>
        <w:t xml:space="preserve"> working</w:t>
      </w:r>
      <w:r w:rsidRPr="005C3C32">
        <w:rPr>
          <w:rFonts w:cs="Calibri"/>
          <w:b/>
          <w:bCs/>
          <w:i/>
          <w:iCs/>
        </w:rPr>
        <w:t xml:space="preserve"> </w:t>
      </w:r>
      <w:r>
        <w:rPr>
          <w:rFonts w:cs="Calibri"/>
          <w:b/>
          <w:bCs/>
          <w:i/>
          <w:iCs/>
        </w:rPr>
        <w:t>at the City</w:t>
      </w:r>
      <w:r w:rsidRPr="005C3C32">
        <w:rPr>
          <w:rFonts w:cs="Calibri"/>
          <w:b/>
          <w:bCs/>
          <w:i/>
          <w:iCs/>
        </w:rPr>
        <w:t>, J</w:t>
      </w:r>
      <w:r>
        <w:rPr>
          <w:rFonts w:cs="Calibri"/>
          <w:b/>
          <w:bCs/>
          <w:i/>
          <w:iCs/>
        </w:rPr>
        <w:t>.</w:t>
      </w:r>
      <w:r w:rsidRPr="005C3C32">
        <w:rPr>
          <w:rFonts w:cs="Calibri"/>
          <w:b/>
          <w:bCs/>
          <w:i/>
          <w:iCs/>
        </w:rPr>
        <w:t>O</w:t>
      </w:r>
      <w:r>
        <w:rPr>
          <w:rFonts w:cs="Calibri"/>
          <w:b/>
          <w:bCs/>
          <w:i/>
          <w:iCs/>
        </w:rPr>
        <w:t>.</w:t>
      </w:r>
      <w:r w:rsidRPr="005C3C32">
        <w:rPr>
          <w:rFonts w:cs="Calibri"/>
          <w:b/>
          <w:bCs/>
          <w:i/>
          <w:iCs/>
        </w:rPr>
        <w:t xml:space="preserve"> and his counselor explored better paying jobs in the area </w:t>
      </w:r>
      <w:r>
        <w:rPr>
          <w:rFonts w:cs="Calibri"/>
          <w:b/>
          <w:bCs/>
          <w:i/>
          <w:iCs/>
        </w:rPr>
        <w:t>that</w:t>
      </w:r>
      <w:r w:rsidRPr="005C3C32">
        <w:rPr>
          <w:rFonts w:cs="Calibri"/>
          <w:b/>
          <w:bCs/>
          <w:i/>
          <w:iCs/>
        </w:rPr>
        <w:t xml:space="preserve"> </w:t>
      </w:r>
      <w:r>
        <w:rPr>
          <w:rFonts w:cs="Calibri"/>
          <w:b/>
          <w:bCs/>
          <w:i/>
          <w:iCs/>
        </w:rPr>
        <w:t>aligned more closely</w:t>
      </w:r>
      <w:r w:rsidRPr="005C3C32">
        <w:rPr>
          <w:rFonts w:cs="Calibri"/>
          <w:b/>
          <w:bCs/>
          <w:i/>
          <w:iCs/>
        </w:rPr>
        <w:t xml:space="preserve"> </w:t>
      </w:r>
      <w:r>
        <w:rPr>
          <w:rFonts w:cs="Calibri"/>
          <w:b/>
          <w:bCs/>
          <w:i/>
          <w:iCs/>
        </w:rPr>
        <w:t>his</w:t>
      </w:r>
      <w:r w:rsidRPr="005C3C32">
        <w:rPr>
          <w:rFonts w:cs="Calibri"/>
          <w:b/>
          <w:bCs/>
          <w:i/>
          <w:iCs/>
        </w:rPr>
        <w:t xml:space="preserve"> career pathways goals. </w:t>
      </w:r>
      <w:r>
        <w:rPr>
          <w:rFonts w:cs="Calibri"/>
          <w:b/>
          <w:bCs/>
          <w:i/>
          <w:iCs/>
        </w:rPr>
        <w:t xml:space="preserve">After exploring openings, </w:t>
      </w:r>
      <w:r w:rsidRPr="005C3C32">
        <w:rPr>
          <w:rFonts w:cs="Calibri"/>
          <w:b/>
          <w:bCs/>
          <w:i/>
          <w:iCs/>
        </w:rPr>
        <w:t>J</w:t>
      </w:r>
      <w:r>
        <w:rPr>
          <w:rFonts w:cs="Calibri"/>
          <w:b/>
          <w:bCs/>
          <w:i/>
          <w:iCs/>
        </w:rPr>
        <w:t>.</w:t>
      </w:r>
      <w:r w:rsidRPr="005C3C32">
        <w:rPr>
          <w:rFonts w:cs="Calibri"/>
          <w:b/>
          <w:bCs/>
          <w:i/>
          <w:iCs/>
        </w:rPr>
        <w:t>O</w:t>
      </w:r>
      <w:r>
        <w:rPr>
          <w:rFonts w:cs="Calibri"/>
          <w:b/>
          <w:bCs/>
          <w:i/>
          <w:iCs/>
        </w:rPr>
        <w:t>.</w:t>
      </w:r>
      <w:r w:rsidRPr="005C3C32">
        <w:rPr>
          <w:rFonts w:cs="Calibri"/>
          <w:b/>
          <w:bCs/>
          <w:i/>
          <w:iCs/>
        </w:rPr>
        <w:t xml:space="preserve"> secured a position at AAR Aviation Services.  He is now strongly considering a training program in the field of aviation with the support of his current employer.</w:t>
      </w:r>
    </w:p>
    <w:p w14:paraId="4C5F5A03" w14:textId="6EBF5D34" w:rsidR="004C6FC8" w:rsidRPr="00DF3273" w:rsidRDefault="004C6FC8" w:rsidP="00DF3273">
      <w:r w:rsidRPr="001562C6">
        <w:rPr>
          <w:b/>
          <w:i/>
        </w:rPr>
        <w:t>Bridge For Youth, $60,000.</w:t>
      </w:r>
      <w:r w:rsidRPr="001562C6">
        <w:rPr>
          <w:b/>
        </w:rPr>
        <w:t xml:space="preserve"> </w:t>
      </w:r>
      <w:r w:rsidRPr="001562C6">
        <w:t xml:space="preserve">The Work Ambassador program provides equitable access to resources and opportunities for homeless youth, youth from communities of color, and youth with a disability </w:t>
      </w:r>
      <w:proofErr w:type="gramStart"/>
      <w:r w:rsidRPr="001562C6">
        <w:t>ages</w:t>
      </w:r>
      <w:proofErr w:type="gramEnd"/>
      <w:r w:rsidRPr="001562C6">
        <w:t xml:space="preserve"> 14-24. This project provides targeted workforce development and training opportunities for homeless and at-risk youth that helps them develop the skills to find meaningful employment at a living wage. The program will also provide career pathways in STEM fields. </w:t>
      </w:r>
      <w:r w:rsidRPr="001562C6">
        <w:rPr>
          <w:i/>
        </w:rPr>
        <w:t xml:space="preserve">Local Contact: Christina Woodlee, </w:t>
      </w:r>
      <w:hyperlink r:id="rId55" w:history="1">
        <w:r w:rsidRPr="001562C6">
          <w:rPr>
            <w:rStyle w:val="Hyperlink"/>
            <w:rFonts w:asciiTheme="minorHAnsi" w:hAnsiTheme="minorHAnsi" w:cstheme="minorHAnsi"/>
            <w:i/>
          </w:rPr>
          <w:t>c.woodlee@bridgeforyouth.org</w:t>
        </w:r>
      </w:hyperlink>
      <w:r w:rsidRPr="00DF3273">
        <w:rPr>
          <w:rStyle w:val="Hyperlink"/>
          <w:rFonts w:asciiTheme="minorHAnsi" w:hAnsiTheme="minorHAnsi" w:cstheme="minorHAnsi"/>
          <w:i/>
        </w:rPr>
        <w:t xml:space="preserve"> </w:t>
      </w:r>
    </w:p>
    <w:p w14:paraId="010D0A9F" w14:textId="77777777" w:rsidR="004C6FC8" w:rsidRPr="00DF3273" w:rsidRDefault="004C6FC8" w:rsidP="00DF3273">
      <w:pPr>
        <w:rPr>
          <w:i/>
        </w:rPr>
      </w:pPr>
      <w:r w:rsidRPr="00DF3273">
        <w:rPr>
          <w:b/>
          <w:i/>
        </w:rPr>
        <w:t xml:space="preserve">180 Degrees, $60,000. </w:t>
      </w:r>
      <w:proofErr w:type="spellStart"/>
      <w:r w:rsidRPr="00DF3273">
        <w:t>YoVoPro</w:t>
      </w:r>
      <w:proofErr w:type="spellEnd"/>
      <w:r w:rsidRPr="00DF3273">
        <w:t xml:space="preserve"> serves economically disadvantaged youth of color ages 14-24, in high school at current and new sites. Priority of services is given to homeless and sexually trafficked youth, youth involved in the juvenile justice system, and ex-felons ages 20-24. </w:t>
      </w:r>
      <w:proofErr w:type="spellStart"/>
      <w:r w:rsidRPr="00DF3273">
        <w:t>YoVoPro</w:t>
      </w:r>
      <w:proofErr w:type="spellEnd"/>
      <w:r w:rsidRPr="00DF3273">
        <w:t xml:space="preserve"> provides youth with information about apprenticeships, certifications and jobs with program participants. This program focuses on developing individual plans to explore careers and job interests and set goals to land employment. </w:t>
      </w:r>
      <w:r w:rsidRPr="00DF3273">
        <w:rPr>
          <w:i/>
        </w:rPr>
        <w:t xml:space="preserve">Local Contact: Janet Hallaway, </w:t>
      </w:r>
      <w:hyperlink r:id="rId56" w:history="1">
        <w:r w:rsidRPr="00DF3273">
          <w:rPr>
            <w:rStyle w:val="Hyperlink"/>
            <w:rFonts w:asciiTheme="minorHAnsi" w:hAnsiTheme="minorHAnsi" w:cstheme="minorHAnsi"/>
            <w:i/>
          </w:rPr>
          <w:t>Janet.Hallaway@180Degrees.org</w:t>
        </w:r>
      </w:hyperlink>
      <w:r w:rsidRPr="00DF3273">
        <w:rPr>
          <w:i/>
        </w:rPr>
        <w:t xml:space="preserve">  </w:t>
      </w:r>
    </w:p>
    <w:p w14:paraId="4B43117E" w14:textId="736B2D5D" w:rsidR="004C6FC8" w:rsidRPr="0015174C" w:rsidRDefault="004C6FC8" w:rsidP="00DF3273">
      <w:r w:rsidRPr="00DF3273">
        <w:rPr>
          <w:b/>
          <w:i/>
        </w:rPr>
        <w:t xml:space="preserve">HIRED, $60,000. </w:t>
      </w:r>
      <w:hyperlink r:id="rId57" w:history="1">
        <w:r w:rsidR="0015174C" w:rsidRPr="0015174C">
          <w:rPr>
            <w:rStyle w:val="Hyperlink"/>
          </w:rPr>
          <w:t>Hired</w:t>
        </w:r>
      </w:hyperlink>
      <w:r w:rsidR="0015174C" w:rsidRPr="0015174C">
        <w:t xml:space="preserve"> provides career coaching and wrap-around support for youth who are disconnected from education and employment opportunities, many of whom are homeless or highly mobile and have a history of justice system or gang involvement. Hired builds a supportive relationship with each youth we serve, helping them to stabilize by addressing their basic needs, and then focusing on achievable actions as they pursue their educational and career goals. Hired employment coaches serve as both mentors and guides, helping youth to complete educational milestones, such as GED attainment, and connecting them with skill-building opportunities including paid internships, trainings, credentials and other work experiences as they progress toward their ultimate career goals. </w:t>
      </w:r>
      <w:r w:rsidRPr="00DF3273">
        <w:rPr>
          <w:i/>
        </w:rPr>
        <w:t xml:space="preserve">Local Contact: </w:t>
      </w:r>
      <w:r w:rsidR="0015174C" w:rsidRPr="0015174C">
        <w:rPr>
          <w:i/>
          <w:iCs/>
        </w:rPr>
        <w:t xml:space="preserve">Kendall Carlson, </w:t>
      </w:r>
      <w:hyperlink r:id="rId58" w:history="1">
        <w:r w:rsidR="0015174C" w:rsidRPr="0015174C">
          <w:rPr>
            <w:rStyle w:val="Hyperlink"/>
            <w:i/>
            <w:iCs/>
          </w:rPr>
          <w:t>kendall.carlson@hired.org</w:t>
        </w:r>
      </w:hyperlink>
      <w:r w:rsidR="0015174C" w:rsidRPr="0015174C">
        <w:rPr>
          <w:i/>
          <w:iCs/>
        </w:rPr>
        <w:t xml:space="preserve">  </w:t>
      </w:r>
    </w:p>
    <w:p w14:paraId="06E32AA4" w14:textId="2C8B78FC" w:rsidR="00B61EB1" w:rsidRPr="00DF3273" w:rsidRDefault="00B61EB1" w:rsidP="00B61EB1">
      <w:pPr>
        <w:spacing w:line="240" w:lineRule="auto"/>
        <w:rPr>
          <w:b/>
          <w:i/>
        </w:rPr>
      </w:pPr>
      <w:r>
        <w:rPr>
          <w:b/>
          <w:bCs/>
          <w:i/>
          <w:iCs/>
        </w:rPr>
        <w:t xml:space="preserve">SUCCESS STORY - </w:t>
      </w:r>
      <w:r w:rsidRPr="00B61EB1">
        <w:rPr>
          <w:b/>
          <w:bCs/>
          <w:i/>
          <w:iCs/>
        </w:rPr>
        <w:t xml:space="preserve">Jacob is a 20-year-old young man who has been involved in Extended Juvenile Jurisdiction since he was 17 years old. Prior to his conviction he had never been in trouble with the law, participated in ROTC, was involved in many youth leadership organizations and opportunities, had a strong and supportive </w:t>
      </w:r>
      <w:r w:rsidRPr="00B61EB1">
        <w:rPr>
          <w:b/>
          <w:bCs/>
          <w:i/>
          <w:iCs/>
        </w:rPr>
        <w:lastRenderedPageBreak/>
        <w:t xml:space="preserve">family, and had big plans for his future. </w:t>
      </w:r>
      <w:r>
        <w:rPr>
          <w:b/>
          <w:bCs/>
          <w:i/>
          <w:iCs/>
        </w:rPr>
        <w:t>T</w:t>
      </w:r>
      <w:r w:rsidRPr="00B61EB1">
        <w:rPr>
          <w:b/>
          <w:bCs/>
          <w:i/>
          <w:iCs/>
        </w:rPr>
        <w:t>he HIRED Counselor received a referral for Jacob and immediately began working together on identifying and working towards his goals and dreams. Jacob said in their initial meeting that it was one of the first times he felt that his side of the story was heard and that he was not judged because of his record. The HIRED Counselor and Jacob worked on identifying his skillset and updating his resume to be able to give to employers. By the end of the second week, he had been offered a conditional position, pending passing background check, at a Bakery. A week later, Jacob learned he had passed the background check and would start at the Bakery the following week. Jacob, Jacob’s Mom and Jacob’s Probation Officer credit his work with the HIRED Counselor as being the support that he needed to believe that he could achieve his goals.</w:t>
      </w:r>
    </w:p>
    <w:p w14:paraId="7851A1CC" w14:textId="75FC4863" w:rsidR="004C6FC8" w:rsidRDefault="004C6FC8" w:rsidP="00DF3273">
      <w:pPr>
        <w:rPr>
          <w:i/>
        </w:rPr>
      </w:pPr>
      <w:r w:rsidRPr="00DF3273">
        <w:rPr>
          <w:b/>
          <w:i/>
        </w:rPr>
        <w:t xml:space="preserve">Ka </w:t>
      </w:r>
      <w:proofErr w:type="spellStart"/>
      <w:r w:rsidRPr="00DF3273">
        <w:rPr>
          <w:b/>
          <w:i/>
        </w:rPr>
        <w:t>Joog</w:t>
      </w:r>
      <w:proofErr w:type="spellEnd"/>
      <w:r w:rsidRPr="00DF3273">
        <w:rPr>
          <w:b/>
          <w:i/>
        </w:rPr>
        <w:t xml:space="preserve">, $60,000. </w:t>
      </w:r>
      <w:r w:rsidRPr="00DF3273">
        <w:t xml:space="preserve">Ka </w:t>
      </w:r>
      <w:proofErr w:type="spellStart"/>
      <w:r w:rsidRPr="00DF3273">
        <w:t>Joog</w:t>
      </w:r>
      <w:proofErr w:type="spellEnd"/>
      <w:r w:rsidRPr="00DF3273">
        <w:t xml:space="preserve"> addresses economic disparities in the Somali community through a three-pronged approach that offers Somali youth ages 14-25 from low income households a continuum of support to break through barriers to employment. The primary components of this project </w:t>
      </w:r>
      <w:proofErr w:type="gramStart"/>
      <w:r w:rsidRPr="00DF3273">
        <w:t>include:</w:t>
      </w:r>
      <w:proofErr w:type="gramEnd"/>
      <w:r w:rsidRPr="00DF3273">
        <w:t xml:space="preserve"> dropout intervention and afterschool programming that exposes youth to higher education options and potential STEM career pathways. </w:t>
      </w:r>
      <w:r w:rsidRPr="00DF3273">
        <w:rPr>
          <w:i/>
        </w:rPr>
        <w:t xml:space="preserve">Local Contact: Mohamed Farah, </w:t>
      </w:r>
      <w:hyperlink r:id="rId59" w:history="1">
        <w:r w:rsidRPr="00DF3273">
          <w:rPr>
            <w:rStyle w:val="Hyperlink"/>
            <w:rFonts w:asciiTheme="minorHAnsi" w:hAnsiTheme="minorHAnsi" w:cstheme="minorHAnsi"/>
            <w:i/>
          </w:rPr>
          <w:t>mfarah@kajoog.org</w:t>
        </w:r>
      </w:hyperlink>
      <w:r w:rsidRPr="00DF3273">
        <w:rPr>
          <w:i/>
        </w:rPr>
        <w:t xml:space="preserve"> </w:t>
      </w:r>
    </w:p>
    <w:p w14:paraId="30E3185F" w14:textId="77777777" w:rsidR="003D0DEE" w:rsidRDefault="003D0DEE" w:rsidP="003D0DEE">
      <w:pPr>
        <w:rPr>
          <w:rStyle w:val="Hyperlink"/>
          <w:rFonts w:asciiTheme="minorHAnsi" w:hAnsiTheme="minorHAnsi" w:cstheme="minorHAnsi"/>
          <w:i/>
        </w:rPr>
      </w:pPr>
      <w:r w:rsidRPr="00DF3273">
        <w:rPr>
          <w:b/>
          <w:i/>
        </w:rPr>
        <w:t>Southwest Minnesota Private Industry Council, $60,000.</w:t>
      </w:r>
      <w:r w:rsidRPr="00DF3273">
        <w:t xml:space="preserve">  </w:t>
      </w:r>
      <w:hyperlink r:id="rId60" w:history="1">
        <w:r w:rsidRPr="00DF3273">
          <w:rPr>
            <w:rStyle w:val="Hyperlink"/>
            <w:rFonts w:asciiTheme="minorHAnsi" w:hAnsiTheme="minorHAnsi" w:cstheme="minorHAnsi"/>
          </w:rPr>
          <w:t xml:space="preserve">Southwest Minnesota Young Adult Career Pathways for Youth </w:t>
        </w:r>
      </w:hyperlink>
      <w:r w:rsidRPr="00DF3273">
        <w:t xml:space="preserve"> provides services to youth with disabilities, communities of color, economically disadvantaged youth and at-risk youth ages 14-24 residing in the </w:t>
      </w:r>
      <w:proofErr w:type="gramStart"/>
      <w:r w:rsidRPr="00DF3273">
        <w:t>14 county</w:t>
      </w:r>
      <w:proofErr w:type="gramEnd"/>
      <w:r w:rsidRPr="00DF3273">
        <w:t xml:space="preserve"> rural area. The project provides a continuum of services including career awareness, exploration, and career pathway preparation and training. Participants can earn industry recognized credentials in nursing assistant, welding, electrical controls, and pharmacy technician fields.  </w:t>
      </w:r>
      <w:r w:rsidRPr="00DF3273">
        <w:rPr>
          <w:i/>
        </w:rPr>
        <w:t xml:space="preserve">Local contact: Eriann Faris, </w:t>
      </w:r>
      <w:hyperlink r:id="rId61" w:history="1">
        <w:r w:rsidRPr="00DF3273">
          <w:rPr>
            <w:rStyle w:val="Hyperlink"/>
            <w:rFonts w:asciiTheme="minorHAnsi" w:hAnsiTheme="minorHAnsi" w:cstheme="minorHAnsi"/>
            <w:i/>
          </w:rPr>
          <w:t>efaris@swmnpic.org</w:t>
        </w:r>
      </w:hyperlink>
    </w:p>
    <w:p w14:paraId="6A71F579" w14:textId="6A1BDCCF" w:rsidR="003D0DEE" w:rsidRPr="003D0DEE" w:rsidRDefault="003D0DEE" w:rsidP="00DF3273">
      <w:pPr>
        <w:rPr>
          <w:b/>
          <w:bCs/>
          <w:i/>
          <w:iCs/>
        </w:rPr>
      </w:pPr>
      <w:r>
        <w:rPr>
          <w:b/>
          <w:bCs/>
          <w:i/>
          <w:iCs/>
        </w:rPr>
        <w:t xml:space="preserve">SUCCESS STORY - </w:t>
      </w:r>
      <w:r w:rsidRPr="00B61EB1">
        <w:rPr>
          <w:b/>
          <w:bCs/>
          <w:i/>
          <w:iCs/>
        </w:rPr>
        <w:t xml:space="preserve">Austin began meeting with Southwest Minnesota Private Industry Council in 2017. He was just finishing up his first year of the Law Enforcement program at Minnesota West Community and Technical College in Worthington. Austin was limited to where his internship could be carried out due to transportation barriers and was seeking to be placed in his home community </w:t>
      </w:r>
      <w:r>
        <w:rPr>
          <w:b/>
          <w:bCs/>
          <w:i/>
          <w:iCs/>
        </w:rPr>
        <w:t xml:space="preserve">of Minneota </w:t>
      </w:r>
      <w:r w:rsidRPr="00B61EB1">
        <w:rPr>
          <w:b/>
          <w:bCs/>
          <w:i/>
          <w:iCs/>
        </w:rPr>
        <w:t xml:space="preserve">as a solution. Austin met with PIC staff on a regular basis leading up to the coordination of his work experience with the City of </w:t>
      </w:r>
      <w:proofErr w:type="spellStart"/>
      <w:r w:rsidRPr="00B61EB1">
        <w:rPr>
          <w:b/>
          <w:bCs/>
          <w:i/>
          <w:iCs/>
        </w:rPr>
        <w:t>Minneota’s</w:t>
      </w:r>
      <w:proofErr w:type="spellEnd"/>
      <w:r w:rsidRPr="00B61EB1">
        <w:rPr>
          <w:b/>
          <w:bCs/>
          <w:i/>
          <w:iCs/>
        </w:rPr>
        <w:t xml:space="preserve"> Police Department as a Community Service Officer in June of 2018. During his internship with the City of Minneota, Austin successfully completed his first year in the Law Enforcement program </w:t>
      </w:r>
      <w:proofErr w:type="gramStart"/>
      <w:r w:rsidRPr="00B61EB1">
        <w:rPr>
          <w:b/>
          <w:bCs/>
          <w:i/>
          <w:iCs/>
        </w:rPr>
        <w:t>and also</w:t>
      </w:r>
      <w:proofErr w:type="gramEnd"/>
      <w:r w:rsidRPr="00B61EB1">
        <w:rPr>
          <w:b/>
          <w:bCs/>
          <w:i/>
          <w:iCs/>
        </w:rPr>
        <w:t xml:space="preserve"> the Peace Office Accredited </w:t>
      </w:r>
      <w:proofErr w:type="spellStart"/>
      <w:r w:rsidRPr="00B61EB1">
        <w:rPr>
          <w:b/>
          <w:bCs/>
          <w:i/>
          <w:iCs/>
        </w:rPr>
        <w:t>TRaining</w:t>
      </w:r>
      <w:proofErr w:type="spellEnd"/>
      <w:r w:rsidRPr="00B61EB1">
        <w:rPr>
          <w:b/>
          <w:bCs/>
          <w:i/>
          <w:iCs/>
        </w:rPr>
        <w:t xml:space="preserve"> </w:t>
      </w:r>
      <w:proofErr w:type="spellStart"/>
      <w:r w:rsidRPr="00B61EB1">
        <w:rPr>
          <w:b/>
          <w:bCs/>
          <w:i/>
          <w:iCs/>
        </w:rPr>
        <w:t>OnLine</w:t>
      </w:r>
      <w:proofErr w:type="spellEnd"/>
      <w:r w:rsidRPr="00B61EB1">
        <w:rPr>
          <w:b/>
          <w:bCs/>
          <w:i/>
          <w:iCs/>
        </w:rPr>
        <w:t xml:space="preserve"> (PATROL) while assisting Chief of Police, Bill Bolt with several service calls</w:t>
      </w:r>
      <w:r>
        <w:rPr>
          <w:b/>
          <w:bCs/>
          <w:i/>
          <w:iCs/>
        </w:rPr>
        <w:t>.</w:t>
      </w:r>
      <w:r w:rsidRPr="00B61EB1">
        <w:rPr>
          <w:b/>
          <w:bCs/>
          <w:i/>
          <w:iCs/>
        </w:rPr>
        <w:t xml:space="preserve"> Austin graduated from the Law Enforcement program at Minnesota West Community and Technical College</w:t>
      </w:r>
      <w:r>
        <w:rPr>
          <w:b/>
          <w:bCs/>
          <w:i/>
          <w:iCs/>
        </w:rPr>
        <w:t xml:space="preserve"> in 2019 and</w:t>
      </w:r>
      <w:r w:rsidRPr="00B61EB1">
        <w:rPr>
          <w:b/>
          <w:bCs/>
          <w:i/>
          <w:iCs/>
        </w:rPr>
        <w:t xml:space="preserve"> was hired on by the City of </w:t>
      </w:r>
      <w:proofErr w:type="spellStart"/>
      <w:r w:rsidRPr="00B61EB1">
        <w:rPr>
          <w:b/>
          <w:bCs/>
          <w:i/>
          <w:iCs/>
        </w:rPr>
        <w:t>Minneota’s</w:t>
      </w:r>
      <w:proofErr w:type="spellEnd"/>
      <w:r w:rsidRPr="00B61EB1">
        <w:rPr>
          <w:b/>
          <w:bCs/>
          <w:i/>
          <w:iCs/>
        </w:rPr>
        <w:t xml:space="preserve"> Police Department as a part-time police officer. He was hired at a rate of $23.27 per hour.</w:t>
      </w:r>
    </w:p>
    <w:p w14:paraId="489C4F21" w14:textId="518F93EA" w:rsidR="004C6FC8" w:rsidRPr="00DF3273" w:rsidRDefault="004C6FC8" w:rsidP="00DF3273">
      <w:pPr>
        <w:rPr>
          <w:rFonts w:asciiTheme="minorHAnsi" w:hAnsiTheme="minorHAnsi" w:cstheme="minorHAnsi"/>
          <w:i/>
          <w:color w:val="0563C1" w:themeColor="hyperlink"/>
          <w:u w:val="single"/>
        </w:rPr>
      </w:pPr>
      <w:r w:rsidRPr="00DF3273">
        <w:rPr>
          <w:b/>
          <w:i/>
        </w:rPr>
        <w:t>YMCA of the Greater Twin Cities, $50,000.</w:t>
      </w:r>
      <w:r w:rsidRPr="00DF3273">
        <w:rPr>
          <w:b/>
        </w:rPr>
        <w:t xml:space="preserve"> </w:t>
      </w:r>
      <w:r w:rsidRPr="00DF3273">
        <w:t xml:space="preserve">The </w:t>
      </w:r>
      <w:hyperlink r:id="rId62" w:history="1">
        <w:r w:rsidRPr="00DF3273">
          <w:rPr>
            <w:rStyle w:val="Hyperlink"/>
            <w:rFonts w:asciiTheme="minorHAnsi" w:hAnsiTheme="minorHAnsi" w:cstheme="minorHAnsi"/>
          </w:rPr>
          <w:t>YMCA Career Pathways for Youth</w:t>
        </w:r>
      </w:hyperlink>
      <w:r w:rsidRPr="00DF3273">
        <w:t xml:space="preserve"> aims to serve youth ages 14-24 who face barriers to employment (low income, homelessness, parenting youth and in foster care). This program begins with job skills training and then participants move into 100-hour supervised internships based on their interests. During the internship youth are </w:t>
      </w:r>
      <w:proofErr w:type="gramStart"/>
      <w:r w:rsidRPr="00DF3273">
        <w:t>supported  by</w:t>
      </w:r>
      <w:proofErr w:type="gramEnd"/>
      <w:r w:rsidRPr="00DF3273">
        <w:t xml:space="preserve"> a job coach and will work  to create personalized Career Pathway Plans such as Nursing, Customer Service and Retail Sales. Youth also take part in professional development workshops addressing career and postsecondary options. </w:t>
      </w:r>
      <w:r w:rsidRPr="00DF3273">
        <w:rPr>
          <w:i/>
        </w:rPr>
        <w:t xml:space="preserve">Local contact: Nichol Higdon, </w:t>
      </w:r>
      <w:hyperlink r:id="rId63" w:history="1">
        <w:r w:rsidRPr="00DF3273">
          <w:rPr>
            <w:rStyle w:val="Hyperlink"/>
            <w:rFonts w:asciiTheme="minorHAnsi" w:hAnsiTheme="minorHAnsi" w:cstheme="minorHAnsi"/>
            <w:i/>
          </w:rPr>
          <w:t>nichol.higdon@ymcamn.org</w:t>
        </w:r>
      </w:hyperlink>
    </w:p>
    <w:p w14:paraId="75427CC3" w14:textId="549EF0E7" w:rsidR="001A7ECB" w:rsidRPr="001A7ECB" w:rsidRDefault="001A7ECB" w:rsidP="001A7ECB">
      <w:pPr>
        <w:rPr>
          <w:b/>
          <w:i/>
        </w:rPr>
      </w:pPr>
      <w:r w:rsidRPr="001A7ECB">
        <w:rPr>
          <w:b/>
          <w:bCs/>
          <w:i/>
          <w:iCs/>
        </w:rPr>
        <w:lastRenderedPageBreak/>
        <w:t>Goodwill Easter Seals Minnesota, $50,000.</w:t>
      </w:r>
      <w:r w:rsidRPr="001A7ECB">
        <w:rPr>
          <w:bCs/>
          <w:i/>
          <w:iCs/>
        </w:rPr>
        <w:t xml:space="preserve"> </w:t>
      </w:r>
      <w:r w:rsidRPr="001A7ECB">
        <w:rPr>
          <w:bCs/>
          <w:iCs/>
        </w:rPr>
        <w:t xml:space="preserve">Through the </w:t>
      </w:r>
      <w:hyperlink r:id="rId64" w:history="1">
        <w:r w:rsidRPr="001A7ECB">
          <w:rPr>
            <w:rStyle w:val="Hyperlink"/>
            <w:bCs/>
            <w:iCs/>
          </w:rPr>
          <w:t>Next Generation @ Work Program</w:t>
        </w:r>
      </w:hyperlink>
      <w:r w:rsidRPr="001A7ECB">
        <w:rPr>
          <w:bCs/>
          <w:iCs/>
        </w:rPr>
        <w:t>, Goodwill Easter Seals Minnesota creates opportunities for youth, ages 16-21, to explore their personal employment related goals. G-ESM’s goals are: engaging youth in career and college exploration and life-planning activities; providing paid, work-based learning at high quality worksites; promoting mastery of work readiness competencies and 21</w:t>
      </w:r>
      <w:r w:rsidRPr="001A7ECB">
        <w:rPr>
          <w:bCs/>
          <w:iCs/>
          <w:vertAlign w:val="superscript"/>
        </w:rPr>
        <w:t>st</w:t>
      </w:r>
      <w:r w:rsidRPr="001A7ECB">
        <w:rPr>
          <w:bCs/>
          <w:iCs/>
        </w:rPr>
        <w:t xml:space="preserve"> Century Skills; Job Placement, retention, and advancement; academic credit towards high school graduation (through districts); and support services.  Local contact: Sheila Olson, </w:t>
      </w:r>
      <w:hyperlink r:id="rId65" w:history="1">
        <w:r w:rsidRPr="001A7ECB">
          <w:rPr>
            <w:rStyle w:val="Hyperlink"/>
            <w:bCs/>
            <w:iCs/>
          </w:rPr>
          <w:t>solson@goodwilleasterseals.org</w:t>
        </w:r>
      </w:hyperlink>
    </w:p>
    <w:p w14:paraId="3D64762F" w14:textId="10CA9667" w:rsidR="004C6FC8" w:rsidRPr="00DF3273" w:rsidRDefault="004C6FC8" w:rsidP="00DF3273">
      <w:pPr>
        <w:rPr>
          <w:i/>
        </w:rPr>
      </w:pPr>
      <w:r w:rsidRPr="00DF3273">
        <w:rPr>
          <w:b/>
          <w:i/>
        </w:rPr>
        <w:t>Cookie Cart, $50,000.</w:t>
      </w:r>
      <w:r w:rsidRPr="00DF3273">
        <w:t xml:space="preserve"> </w:t>
      </w:r>
      <w:hyperlink r:id="rId66" w:history="1">
        <w:r w:rsidR="003D0DEE" w:rsidRPr="003D0DEE">
          <w:rPr>
            <w:rStyle w:val="Hyperlink"/>
          </w:rPr>
          <w:t>Cookie Cart's Earn as You Learn Program</w:t>
        </w:r>
      </w:hyperlink>
      <w:r w:rsidR="003D0DEE">
        <w:t xml:space="preserve"> provides</w:t>
      </w:r>
      <w:r w:rsidR="00234657" w:rsidRPr="00234657">
        <w:t xml:space="preserve"> work experience and work readiness skills training designed to build employment, life and leadership skills needed for success in future employment. Based on a unique social enterprise model, neighborhood youth are actively involved in the business operations within a nonprofit bakery, learn leadership skills, and develop professional networks. Cookie Cart serves youth ages 15-18 from communities of color and low-income families, providing them with Certification and Digital Literacy opportunities and the knowledge to embark on a successful career of their choosing. </w:t>
      </w:r>
      <w:r w:rsidR="00234657" w:rsidRPr="00234657">
        <w:rPr>
          <w:i/>
        </w:rPr>
        <w:t xml:space="preserve">Local Contact: Matt Halley, </w:t>
      </w:r>
      <w:hyperlink r:id="rId67" w:history="1">
        <w:r w:rsidR="00234657" w:rsidRPr="00234657">
          <w:rPr>
            <w:rStyle w:val="Hyperlink"/>
          </w:rPr>
          <w:t>mhalley@cookiecart.org</w:t>
        </w:r>
      </w:hyperlink>
    </w:p>
    <w:p w14:paraId="5216C815" w14:textId="77777777" w:rsidR="004C6FC8" w:rsidRPr="00DF3273" w:rsidRDefault="004C6FC8" w:rsidP="00DF3273">
      <w:pPr>
        <w:rPr>
          <w:i/>
        </w:rPr>
      </w:pPr>
      <w:r w:rsidRPr="00DF3273">
        <w:rPr>
          <w:b/>
          <w:i/>
          <w:color w:val="111111"/>
          <w:lang w:val="en"/>
        </w:rPr>
        <w:t>Conservation Corps Minnesota and Iowa, $50,000.</w:t>
      </w:r>
      <w:r w:rsidRPr="00DF3273">
        <w:rPr>
          <w:b/>
          <w:color w:val="111111"/>
          <w:lang w:val="en"/>
        </w:rPr>
        <w:t xml:space="preserve"> </w:t>
      </w:r>
      <w:r w:rsidRPr="00DF3273">
        <w:rPr>
          <w:color w:val="111111"/>
          <w:lang w:val="en"/>
        </w:rPr>
        <w:t xml:space="preserve">Through Conservation Corps service-learning programs, underrepresented youth (refugees/immigrant, low income and youth of color), ages 14-18 build 21st century job skills and gain STEM related skills that qualify them for high school credit. They also receive college and career mentoring providing support and guidance in preparation for successful futures. </w:t>
      </w:r>
      <w:hyperlink r:id="rId68" w:history="1">
        <w:r w:rsidRPr="00DF3273">
          <w:rPr>
            <w:rStyle w:val="Hyperlink"/>
            <w:rFonts w:asciiTheme="minorHAnsi" w:hAnsiTheme="minorHAnsi" w:cstheme="minorHAnsi"/>
            <w:lang w:val="en"/>
          </w:rPr>
          <w:t>Youth Outdoors</w:t>
        </w:r>
      </w:hyperlink>
      <w:r w:rsidRPr="00DF3273">
        <w:rPr>
          <w:rStyle w:val="Hyperlink"/>
          <w:rFonts w:asciiTheme="minorHAnsi" w:hAnsiTheme="minorHAnsi" w:cstheme="minorHAnsi"/>
          <w:lang w:val="en"/>
        </w:rPr>
        <w:t xml:space="preserve"> </w:t>
      </w:r>
      <w:r w:rsidRPr="00DF3273">
        <w:rPr>
          <w:color w:val="111111"/>
          <w:lang w:val="en"/>
        </w:rPr>
        <w:t>engages teens in job training and service-learning projects in their own neighborhoods.</w:t>
      </w:r>
      <w:r w:rsidRPr="00DF3273">
        <w:rPr>
          <w:i/>
        </w:rPr>
        <w:t xml:space="preserve"> Local Contact: Hollis Emery, </w:t>
      </w:r>
      <w:hyperlink r:id="rId69" w:history="1">
        <w:r w:rsidRPr="00DF3273">
          <w:rPr>
            <w:rStyle w:val="Hyperlink"/>
            <w:rFonts w:asciiTheme="minorHAnsi" w:hAnsiTheme="minorHAnsi" w:cstheme="minorHAnsi"/>
            <w:i/>
          </w:rPr>
          <w:t>hollis.emery@conservationcorps.org</w:t>
        </w:r>
      </w:hyperlink>
    </w:p>
    <w:p w14:paraId="4F2AE30E" w14:textId="641F4F4C" w:rsidR="004C6FC8" w:rsidRPr="00DF3273" w:rsidRDefault="004C6FC8" w:rsidP="00DF3273">
      <w:pPr>
        <w:rPr>
          <w:rStyle w:val="Hyperlink"/>
          <w:rFonts w:asciiTheme="minorHAnsi" w:hAnsiTheme="minorHAnsi" w:cstheme="minorHAnsi"/>
          <w:i/>
        </w:rPr>
      </w:pPr>
      <w:r w:rsidRPr="00DF3273">
        <w:rPr>
          <w:b/>
          <w:i/>
        </w:rPr>
        <w:t>Banyan Community, $50,000</w:t>
      </w:r>
      <w:r w:rsidRPr="00DF3273">
        <w:rPr>
          <w:i/>
        </w:rPr>
        <w:t xml:space="preserve"> </w:t>
      </w:r>
      <w:r w:rsidR="006D3C43" w:rsidRPr="00DF3273">
        <w:t xml:space="preserve">The </w:t>
      </w:r>
      <w:hyperlink r:id="rId70" w:history="1">
        <w:r w:rsidR="006D3C43" w:rsidRPr="00DF3273">
          <w:rPr>
            <w:rStyle w:val="Hyperlink"/>
            <w:rFonts w:asciiTheme="minorHAnsi" w:hAnsiTheme="minorHAnsi" w:cstheme="minorHAnsi"/>
          </w:rPr>
          <w:t>Banyan</w:t>
        </w:r>
      </w:hyperlink>
      <w:r w:rsidR="006D3C43" w:rsidRPr="00DF3273">
        <w:t xml:space="preserve"> youth Pathways to Careers Program provides youth of color ages 14-24 with wraparound supports to help them graduate from high school or college and be prepared for meaningful employment in high-growth, in-demand occupations. Youth will also </w:t>
      </w:r>
      <w:proofErr w:type="gramStart"/>
      <w:r w:rsidR="006D3C43" w:rsidRPr="00DF3273">
        <w:t>have the opportunity to</w:t>
      </w:r>
      <w:proofErr w:type="gramEnd"/>
      <w:r w:rsidR="006D3C43" w:rsidRPr="00DF3273">
        <w:t xml:space="preserve"> participate in a work experience at Banyan Community. </w:t>
      </w:r>
      <w:r w:rsidR="006D3C43" w:rsidRPr="00DF3273">
        <w:rPr>
          <w:i/>
        </w:rPr>
        <w:t xml:space="preserve">Local Contact: Joani Essenburg, </w:t>
      </w:r>
      <w:hyperlink r:id="rId71" w:history="1">
        <w:r w:rsidR="006D3C43" w:rsidRPr="00DF3273">
          <w:rPr>
            <w:rStyle w:val="Hyperlink"/>
            <w:rFonts w:asciiTheme="minorHAnsi" w:hAnsiTheme="minorHAnsi" w:cstheme="minorHAnsi"/>
            <w:i/>
          </w:rPr>
          <w:t>joani@banyancommunity.org</w:t>
        </w:r>
      </w:hyperlink>
    </w:p>
    <w:p w14:paraId="58EFA232" w14:textId="53520F68" w:rsidR="004C6FC8" w:rsidRDefault="004C6FC8" w:rsidP="00DF3273">
      <w:pPr>
        <w:rPr>
          <w:rStyle w:val="Hyperlink"/>
          <w:rFonts w:asciiTheme="minorHAnsi" w:hAnsiTheme="minorHAnsi" w:cstheme="minorHAnsi"/>
          <w:i/>
        </w:rPr>
      </w:pPr>
      <w:proofErr w:type="spellStart"/>
      <w:r w:rsidRPr="00DF3273">
        <w:rPr>
          <w:b/>
          <w:i/>
        </w:rPr>
        <w:t>AchieveMPLS</w:t>
      </w:r>
      <w:proofErr w:type="spellEnd"/>
      <w:r w:rsidRPr="00DF3273">
        <w:rPr>
          <w:b/>
          <w:i/>
        </w:rPr>
        <w:t xml:space="preserve">, $50,000. </w:t>
      </w:r>
      <w:r w:rsidR="007200B1" w:rsidRPr="00DF3273">
        <w:t xml:space="preserve">The Career Readiness Initiative increases the capacity of the existing </w:t>
      </w:r>
      <w:hyperlink r:id="rId72" w:history="1">
        <w:r w:rsidR="007200B1" w:rsidRPr="00DF3273">
          <w:rPr>
            <w:rStyle w:val="Hyperlink"/>
            <w:rFonts w:asciiTheme="minorHAnsi" w:hAnsiTheme="minorHAnsi" w:cstheme="minorHAnsi"/>
          </w:rPr>
          <w:t>Career and College Centers</w:t>
        </w:r>
      </w:hyperlink>
      <w:r w:rsidR="007200B1" w:rsidRPr="00DF3273">
        <w:t xml:space="preserve"> infrastructure to provide new, additional, targeted career guidance, resources, exposure and exploration opportunities to students in fields including, but not limited to, Healthcare, STEM, IT and Manufacturing. The purpose of this program is to equip students with a much broader understanding of the career pathways available to them. This programming is available to most Minneapolis Public Schools secondary students and proactively serves youth of color, English Language Learners, students eligible for Free or </w:t>
      </w:r>
      <w:proofErr w:type="gramStart"/>
      <w:r w:rsidR="007200B1" w:rsidRPr="00DF3273">
        <w:t>Reduced Price</w:t>
      </w:r>
      <w:proofErr w:type="gramEnd"/>
      <w:r w:rsidR="007200B1" w:rsidRPr="00DF3273">
        <w:t xml:space="preserve"> Lunch and youth in Special Education. </w:t>
      </w:r>
      <w:r w:rsidR="007200B1" w:rsidRPr="00DF3273">
        <w:rPr>
          <w:i/>
        </w:rPr>
        <w:t xml:space="preserve">Local Contact: Danielle Grant, </w:t>
      </w:r>
      <w:hyperlink r:id="rId73" w:history="1">
        <w:r w:rsidR="007200B1" w:rsidRPr="00DF3273">
          <w:rPr>
            <w:rStyle w:val="Hyperlink"/>
            <w:rFonts w:asciiTheme="minorHAnsi" w:hAnsiTheme="minorHAnsi" w:cstheme="minorHAnsi"/>
            <w:i/>
          </w:rPr>
          <w:t>dgrant@achievempls.org</w:t>
        </w:r>
      </w:hyperlink>
    </w:p>
    <w:p w14:paraId="0E25E146" w14:textId="40F28CAF" w:rsidR="00F37124" w:rsidRPr="00F37124" w:rsidRDefault="00F37124" w:rsidP="00DF3273">
      <w:pPr>
        <w:rPr>
          <w:rStyle w:val="Hyperlink"/>
          <w:rFonts w:asciiTheme="minorHAnsi" w:hAnsiTheme="minorHAnsi" w:cstheme="minorHAnsi"/>
          <w:b/>
          <w:bCs/>
          <w:i/>
          <w:iCs/>
        </w:rPr>
      </w:pPr>
      <w:r>
        <w:rPr>
          <w:b/>
          <w:bCs/>
          <w:i/>
          <w:iCs/>
        </w:rPr>
        <w:t xml:space="preserve">SUCCESS STORY - </w:t>
      </w:r>
      <w:r w:rsidRPr="00F37124">
        <w:rPr>
          <w:b/>
          <w:bCs/>
          <w:i/>
          <w:iCs/>
        </w:rPr>
        <w:t xml:space="preserve">The first time </w:t>
      </w:r>
      <w:r>
        <w:rPr>
          <w:b/>
          <w:bCs/>
          <w:i/>
          <w:iCs/>
        </w:rPr>
        <w:t>“</w:t>
      </w:r>
      <w:r w:rsidRPr="00F37124">
        <w:rPr>
          <w:b/>
          <w:bCs/>
          <w:i/>
          <w:iCs/>
        </w:rPr>
        <w:t>A</w:t>
      </w:r>
      <w:r>
        <w:rPr>
          <w:b/>
          <w:bCs/>
          <w:i/>
          <w:iCs/>
        </w:rPr>
        <w:t>”</w:t>
      </w:r>
      <w:r w:rsidRPr="00F37124">
        <w:rPr>
          <w:b/>
          <w:bCs/>
          <w:i/>
          <w:iCs/>
        </w:rPr>
        <w:t xml:space="preserve"> visited </w:t>
      </w:r>
      <w:proofErr w:type="spellStart"/>
      <w:r w:rsidRPr="00F37124">
        <w:rPr>
          <w:b/>
          <w:bCs/>
          <w:i/>
          <w:iCs/>
        </w:rPr>
        <w:t>AchieveMpls</w:t>
      </w:r>
      <w:proofErr w:type="spellEnd"/>
      <w:r w:rsidRPr="00F37124">
        <w:rPr>
          <w:b/>
          <w:bCs/>
          <w:i/>
          <w:iCs/>
        </w:rPr>
        <w:t xml:space="preserve">’ Roosevelt Career &amp; College Center (CCC) he was a sophomore and had a vague idea that he wanted to go into law enforcement. </w:t>
      </w:r>
      <w:proofErr w:type="spellStart"/>
      <w:r>
        <w:rPr>
          <w:b/>
          <w:bCs/>
          <w:i/>
          <w:iCs/>
        </w:rPr>
        <w:t>AchieveMpls</w:t>
      </w:r>
      <w:proofErr w:type="spellEnd"/>
      <w:r w:rsidRPr="00F37124">
        <w:rPr>
          <w:b/>
          <w:bCs/>
          <w:i/>
          <w:iCs/>
        </w:rPr>
        <w:t xml:space="preserve"> Coordinator, Amanda Justen, sat down with him to talk about pathways and goals and helped him fill out an application to the Police Explorers program through the Minneapolis Police Department, which mentors and trains youth ages 14-20 in a variety of common policing scenarios. </w:t>
      </w:r>
      <w:r>
        <w:rPr>
          <w:b/>
          <w:bCs/>
          <w:i/>
          <w:iCs/>
        </w:rPr>
        <w:t>“</w:t>
      </w:r>
      <w:r w:rsidRPr="00F37124">
        <w:rPr>
          <w:b/>
          <w:bCs/>
          <w:i/>
          <w:iCs/>
        </w:rPr>
        <w:t>A</w:t>
      </w:r>
      <w:r>
        <w:rPr>
          <w:b/>
          <w:bCs/>
          <w:i/>
          <w:iCs/>
        </w:rPr>
        <w:t>”</w:t>
      </w:r>
      <w:r w:rsidRPr="00F37124">
        <w:rPr>
          <w:b/>
          <w:bCs/>
          <w:i/>
          <w:iCs/>
        </w:rPr>
        <w:t xml:space="preserve"> has now been part of the program for three years and participates in many different community events, including the statewide Police Explorers competitions. </w:t>
      </w:r>
      <w:r w:rsidRPr="00F37124">
        <w:rPr>
          <w:b/>
          <w:bCs/>
          <w:i/>
          <w:iCs/>
        </w:rPr>
        <w:lastRenderedPageBreak/>
        <w:t xml:space="preserve">Now a senior, </w:t>
      </w:r>
      <w:proofErr w:type="spellStart"/>
      <w:r w:rsidRPr="00F37124">
        <w:rPr>
          <w:b/>
          <w:bCs/>
          <w:i/>
          <w:iCs/>
        </w:rPr>
        <w:t>AchieveMpls</w:t>
      </w:r>
      <w:proofErr w:type="spellEnd"/>
      <w:r w:rsidRPr="00F37124">
        <w:rPr>
          <w:b/>
          <w:bCs/>
          <w:i/>
          <w:iCs/>
        </w:rPr>
        <w:t xml:space="preserve">’ Coordinators are helping </w:t>
      </w:r>
      <w:r>
        <w:rPr>
          <w:b/>
          <w:bCs/>
          <w:i/>
          <w:iCs/>
        </w:rPr>
        <w:t>“</w:t>
      </w:r>
      <w:r w:rsidRPr="00F37124">
        <w:rPr>
          <w:b/>
          <w:bCs/>
          <w:i/>
          <w:iCs/>
        </w:rPr>
        <w:t>A</w:t>
      </w:r>
      <w:r>
        <w:rPr>
          <w:b/>
          <w:bCs/>
          <w:i/>
          <w:iCs/>
        </w:rPr>
        <w:t>”</w:t>
      </w:r>
      <w:r w:rsidRPr="00F37124">
        <w:rPr>
          <w:b/>
          <w:bCs/>
          <w:i/>
          <w:iCs/>
        </w:rPr>
        <w:t xml:space="preserve"> find financial aid and apply early to Hennepin Technical College’s Law Enforcement program where he intends to enroll this coming fall.</w:t>
      </w:r>
    </w:p>
    <w:p w14:paraId="1693FBC2" w14:textId="06CAB88F" w:rsidR="004C6FC8" w:rsidRPr="00DF3273" w:rsidRDefault="004C6FC8" w:rsidP="00DF3273">
      <w:pPr>
        <w:rPr>
          <w:iCs/>
        </w:rPr>
      </w:pPr>
      <w:r w:rsidRPr="00DF3273">
        <w:rPr>
          <w:b/>
          <w:i/>
        </w:rPr>
        <w:t xml:space="preserve">Karen Organization of Minnesota, $50,000.  </w:t>
      </w:r>
      <w:r w:rsidRPr="00DF3273">
        <w:t xml:space="preserve">Funding supports a partnership between the </w:t>
      </w:r>
      <w:hyperlink r:id="rId74" w:history="1">
        <w:r w:rsidRPr="00DF3273">
          <w:rPr>
            <w:rStyle w:val="Hyperlink"/>
            <w:rFonts w:asciiTheme="minorHAnsi" w:hAnsiTheme="minorHAnsi" w:cstheme="minorHAnsi"/>
          </w:rPr>
          <w:t>Karen Organization of Minnesota</w:t>
        </w:r>
      </w:hyperlink>
      <w:r w:rsidRPr="00DF3273">
        <w:t xml:space="preserve"> (KOM), providing youth ages 14-24 services for refugees from Burma and other low-income populations, and Roseville Area Schools. In addition to ensuring that youth have access to the tools and information needed to make informed decisions about education and employment the program will also increase access to existing programs that can help achieve those goals. </w:t>
      </w:r>
      <w:r w:rsidRPr="00DF3273">
        <w:rPr>
          <w:i/>
        </w:rPr>
        <w:t xml:space="preserve">Local Contact: Alexis Walstad, </w:t>
      </w:r>
      <w:hyperlink r:id="rId75" w:history="1">
        <w:r w:rsidRPr="00DF3273">
          <w:rPr>
            <w:rStyle w:val="Hyperlink"/>
            <w:rFonts w:asciiTheme="minorHAnsi" w:hAnsiTheme="minorHAnsi" w:cstheme="minorHAnsi"/>
            <w:i/>
          </w:rPr>
          <w:t>Awalstad@mnkaren.org</w:t>
        </w:r>
      </w:hyperlink>
      <w:r w:rsidRPr="00DF3273">
        <w:rPr>
          <w:i/>
        </w:rPr>
        <w:t xml:space="preserve"> </w:t>
      </w:r>
      <w:r w:rsidR="00AE1EB1" w:rsidRPr="00DF3273">
        <w:rPr>
          <w:iCs/>
        </w:rPr>
        <w:t xml:space="preserve">- </w:t>
      </w:r>
      <w:hyperlink r:id="rId76" w:history="1">
        <w:r w:rsidR="00AE1EB1" w:rsidRPr="00DF3273">
          <w:rPr>
            <w:rStyle w:val="Hyperlink"/>
            <w:rFonts w:asciiTheme="minorHAnsi" w:hAnsiTheme="minorHAnsi" w:cstheme="minorHAnsi"/>
            <w:iCs/>
          </w:rPr>
          <w:t>www.mnkaren.org/programs/employment-services/youth-career-pathways/</w:t>
        </w:r>
      </w:hyperlink>
    </w:p>
    <w:p w14:paraId="6D3A7961" w14:textId="77777777" w:rsidR="004C6FC8" w:rsidRPr="00DF3273" w:rsidRDefault="004C6FC8" w:rsidP="00DF3273">
      <w:pPr>
        <w:rPr>
          <w:i/>
        </w:rPr>
      </w:pPr>
      <w:r w:rsidRPr="00DF3273">
        <w:rPr>
          <w:b/>
          <w:i/>
        </w:rPr>
        <w:t xml:space="preserve">MIGIZI Communications, $50,000. </w:t>
      </w:r>
      <w:r w:rsidRPr="00DF3273">
        <w:t xml:space="preserve">This project includes career pathways in two of the newest and fastest growing job categories in the Twin Cities region: Solar PV (photovoltaic) installation and Social Media marketing. These job categories will enable American Indian youth ages 14-24 from low income families and in and out of school youth to move from poverty to economic independence. </w:t>
      </w:r>
      <w:r w:rsidRPr="00DF3273">
        <w:rPr>
          <w:i/>
        </w:rPr>
        <w:t xml:space="preserve">Local Contact: Graham Hartley </w:t>
      </w:r>
      <w:hyperlink r:id="rId77" w:history="1">
        <w:r w:rsidRPr="00DF3273">
          <w:rPr>
            <w:rStyle w:val="Hyperlink"/>
            <w:rFonts w:asciiTheme="minorHAnsi" w:hAnsiTheme="minorHAnsi" w:cstheme="minorHAnsi"/>
            <w:i/>
          </w:rPr>
          <w:t>ghartley@migizi.org</w:t>
        </w:r>
      </w:hyperlink>
      <w:r w:rsidRPr="00DF3273">
        <w:rPr>
          <w:i/>
        </w:rPr>
        <w:t xml:space="preserve"> </w:t>
      </w:r>
    </w:p>
    <w:p w14:paraId="081E248A" w14:textId="2F361E12" w:rsidR="000074C5" w:rsidRPr="00DF3273" w:rsidRDefault="004C6FC8" w:rsidP="00DF3273">
      <w:r w:rsidRPr="00DF3273">
        <w:rPr>
          <w:b/>
          <w:i/>
        </w:rPr>
        <w:t xml:space="preserve">Anoka County Job Training Center, $50,000. </w:t>
      </w:r>
      <w:r w:rsidR="000074C5" w:rsidRPr="00DF3273">
        <w:t xml:space="preserve">The project serves youth ages 16-24 from with a priority to serve youth from communities of color and youth with disabilities in </w:t>
      </w:r>
      <w:hyperlink r:id="rId78" w:history="1">
        <w:r w:rsidR="000074C5" w:rsidRPr="00DF3273">
          <w:rPr>
            <w:rStyle w:val="Hyperlink"/>
            <w:rFonts w:asciiTheme="minorHAnsi" w:hAnsiTheme="minorHAnsi" w:cstheme="minorHAnsi"/>
          </w:rPr>
          <w:t>Anoka County</w:t>
        </w:r>
      </w:hyperlink>
      <w:r w:rsidR="000074C5" w:rsidRPr="00DF3273">
        <w:t xml:space="preserve">. Services focus on empowerment and innovation through development of self-advocacy leadership skills and exposure to opportunities in areas such as healthcare and entrepreneurship (small business/innovation focused). Internship development expands with local employers identifying hiring needs and ACJTC matching students to interest and skill building work experience opportunities. Participants can earn a certification in a variety of programs including Certified Nursing and Microsoft Excel. </w:t>
      </w:r>
      <w:r w:rsidR="000074C5" w:rsidRPr="00DF3273">
        <w:rPr>
          <w:i/>
          <w:iCs/>
        </w:rPr>
        <w:t xml:space="preserve">Local Contact, Bridgett Backman, </w:t>
      </w:r>
      <w:hyperlink r:id="rId79" w:history="1">
        <w:r w:rsidR="000074C5" w:rsidRPr="00DF3273">
          <w:rPr>
            <w:rStyle w:val="Hyperlink"/>
            <w:rFonts w:asciiTheme="minorHAnsi" w:hAnsiTheme="minorHAnsi" w:cstheme="minorHAnsi"/>
            <w:i/>
            <w:iCs/>
          </w:rPr>
          <w:t>Bridgett.backman@co.anoka.mn.us</w:t>
        </w:r>
      </w:hyperlink>
    </w:p>
    <w:p w14:paraId="3DDE574D" w14:textId="71D31BAE" w:rsidR="004C6FC8" w:rsidRDefault="004C6FC8" w:rsidP="00DF3273">
      <w:pPr>
        <w:rPr>
          <w:rStyle w:val="Hyperlink"/>
          <w:rFonts w:asciiTheme="minorHAnsi" w:eastAsiaTheme="majorEastAsia" w:hAnsiTheme="minorHAnsi" w:cstheme="minorHAnsi"/>
        </w:rPr>
      </w:pPr>
      <w:r w:rsidRPr="00DF3273">
        <w:rPr>
          <w:b/>
          <w:i/>
        </w:rPr>
        <w:t xml:space="preserve">Cristo Rey Jesuit High School, $50,000. </w:t>
      </w:r>
      <w:r w:rsidR="00AE1EB1" w:rsidRPr="00DF3273">
        <w:t xml:space="preserve">Cristo Rey Jesuit's Corporate Work Study Program serves high school youth of color ages 14-18 who face barriers to success. All students work five full days per month in an entry level corporate job at one of our 85 partners, including corporations, businesses, hospitals, banks, and non-profits. Funding will help maximize career readiness by adding and directly teaching technical skills in the four-year business curriculum. The skills the students learn will be utilized in their workplaces.  </w:t>
      </w:r>
      <w:r w:rsidR="00AE1EB1" w:rsidRPr="00DF3273">
        <w:rPr>
          <w:i/>
        </w:rPr>
        <w:t xml:space="preserve">Local Contact: Michelle Dillon, </w:t>
      </w:r>
      <w:hyperlink r:id="rId80" w:history="1">
        <w:r w:rsidR="00AE1EB1" w:rsidRPr="00DF3273">
          <w:rPr>
            <w:rStyle w:val="Hyperlink"/>
            <w:rFonts w:asciiTheme="minorHAnsi" w:eastAsiaTheme="majorEastAsia" w:hAnsiTheme="minorHAnsi" w:cstheme="minorHAnsi"/>
            <w:i/>
          </w:rPr>
          <w:t>michelledillon@cristoreytc.org</w:t>
        </w:r>
      </w:hyperlink>
      <w:r w:rsidR="00AE1EB1" w:rsidRPr="00DF3273">
        <w:rPr>
          <w:i/>
        </w:rPr>
        <w:t xml:space="preserve"> - </w:t>
      </w:r>
      <w:hyperlink r:id="rId81" w:history="1">
        <w:r w:rsidR="00AE1EB1" w:rsidRPr="00DF3273">
          <w:rPr>
            <w:rStyle w:val="Hyperlink"/>
            <w:rFonts w:asciiTheme="minorHAnsi" w:eastAsiaTheme="majorEastAsia" w:hAnsiTheme="minorHAnsi" w:cstheme="minorHAnsi"/>
          </w:rPr>
          <w:t>www.cristoreytc.org</w:t>
        </w:r>
      </w:hyperlink>
    </w:p>
    <w:p w14:paraId="4AD9E543" w14:textId="66887689" w:rsidR="00F37124" w:rsidRPr="00F37124" w:rsidRDefault="00F37124" w:rsidP="00DF3273">
      <w:pPr>
        <w:rPr>
          <w:b/>
          <w:bCs/>
          <w:i/>
          <w:iCs/>
        </w:rPr>
      </w:pPr>
      <w:r w:rsidRPr="00CB3A39">
        <w:rPr>
          <w:noProof/>
        </w:rPr>
        <w:drawing>
          <wp:anchor distT="0" distB="0" distL="114300" distR="114300" simplePos="0" relativeHeight="251662336" behindDoc="1" locked="0" layoutInCell="1" allowOverlap="1" wp14:anchorId="1F3DF743" wp14:editId="01CE604F">
            <wp:simplePos x="0" y="0"/>
            <wp:positionH relativeFrom="column">
              <wp:posOffset>56043</wp:posOffset>
            </wp:positionH>
            <wp:positionV relativeFrom="paragraph">
              <wp:posOffset>276225</wp:posOffset>
            </wp:positionV>
            <wp:extent cx="1203960" cy="1388745"/>
            <wp:effectExtent l="38100" t="38100" r="34290" b="40005"/>
            <wp:wrapTight wrapText="bothSides">
              <wp:wrapPolygon edited="0">
                <wp:start x="-684" y="-593"/>
                <wp:lineTo x="-684" y="21926"/>
                <wp:lineTo x="21873" y="21926"/>
                <wp:lineTo x="21873" y="-593"/>
                <wp:lineTo x="-684" y="-59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03960" cy="138874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Pr>
          <w:b/>
          <w:bCs/>
          <w:i/>
          <w:iCs/>
        </w:rPr>
        <w:t xml:space="preserve">SUCCESS STORY - </w:t>
      </w:r>
      <w:r w:rsidRPr="00F37124">
        <w:rPr>
          <w:b/>
          <w:bCs/>
          <w:i/>
          <w:iCs/>
        </w:rPr>
        <w:t>Sophomore Wilmar C. works at the University of St. Thomas. Wilmar works with an Associate Professor in the</w:t>
      </w:r>
      <w:r>
        <w:t xml:space="preserve"> </w:t>
      </w:r>
      <w:r w:rsidRPr="00F37124">
        <w:rPr>
          <w:b/>
          <w:bCs/>
          <w:i/>
          <w:iCs/>
        </w:rPr>
        <w:t>Biology department, completing laboratory and field measurements, and data entry projects for the department. On his timesheets, he has described testing vials for levels of ammonia and phosphate, working in the garden to measure soil moisture levels in different quadrants of the plot, and measuring chlorophyll levels in different pepper plants. Wilmar is one of 119 sophomores that, thanks to DEED’s Youth at Work Grant funding, is receiving additional technical skills training during the school day to further prepare him for careers of the future. Cristo Rey staff are confident that the skills he is learning in the classroom will support, complement, and enhance his work at the University of St. Thomas, while at the same time, building skills for his future career!</w:t>
      </w:r>
    </w:p>
    <w:p w14:paraId="0572A69F" w14:textId="559CC1B0" w:rsidR="007053FF" w:rsidRPr="00DF3273" w:rsidRDefault="004C6FC8" w:rsidP="00DF3273">
      <w:pPr>
        <w:rPr>
          <w:rFonts w:eastAsiaTheme="minorHAnsi"/>
          <w:lang w:bidi="ar-SA"/>
        </w:rPr>
      </w:pPr>
      <w:r w:rsidRPr="00DF3273">
        <w:rPr>
          <w:b/>
          <w:i/>
        </w:rPr>
        <w:lastRenderedPageBreak/>
        <w:t>MAHUBE-OTWA Community Action Partnership, Inc., $50,000.</w:t>
      </w:r>
      <w:r w:rsidRPr="00DF3273">
        <w:t xml:space="preserve"> The project targets youth parents (ages 14-24) and their children to set them on a path towards self-sufficiency, supporting living wage employment and educational pathways, utilizing a two generational approach to move families out of poverty. Participants work with an employment coach who assists with barrier removal, career development, placement, and ongoing support. Career Pathways provided include, Early Childhood Development, IT, Family health clinic operations and Clerical support. </w:t>
      </w:r>
      <w:r w:rsidRPr="00DF3273">
        <w:rPr>
          <w:i/>
        </w:rPr>
        <w:t xml:space="preserve">Local Contact: Elizabeth Kuoppala, </w:t>
      </w:r>
      <w:hyperlink r:id="rId83" w:history="1">
        <w:r w:rsidR="007053FF" w:rsidRPr="00DF3273">
          <w:rPr>
            <w:rStyle w:val="Hyperlink"/>
            <w:rFonts w:asciiTheme="minorHAnsi" w:hAnsiTheme="minorHAnsi" w:cstheme="minorHAnsi"/>
            <w:lang w:bidi="ar-SA"/>
          </w:rPr>
          <w:t>lkuoppala@mahube.org</w:t>
        </w:r>
      </w:hyperlink>
      <w:r w:rsidR="007053FF" w:rsidRPr="00DF3273">
        <w:t xml:space="preserve"> – </w:t>
      </w:r>
      <w:hyperlink r:id="rId84" w:history="1">
        <w:r w:rsidR="007053FF" w:rsidRPr="00DF3273">
          <w:rPr>
            <w:rStyle w:val="Hyperlink"/>
            <w:rFonts w:asciiTheme="minorHAnsi" w:hAnsiTheme="minorHAnsi" w:cstheme="minorHAnsi"/>
          </w:rPr>
          <w:t>www.mahube.org</w:t>
        </w:r>
      </w:hyperlink>
      <w:r w:rsidR="007053FF" w:rsidRPr="00DF3273">
        <w:t xml:space="preserve"> </w:t>
      </w:r>
    </w:p>
    <w:p w14:paraId="3813909B" w14:textId="0B3AA138" w:rsidR="004C6FC8" w:rsidRPr="00DF3273" w:rsidRDefault="004C6FC8" w:rsidP="00DF3273">
      <w:r w:rsidRPr="00DF3273">
        <w:rPr>
          <w:b/>
          <w:i/>
        </w:rPr>
        <w:t>African Community Services, $50,000.</w:t>
      </w:r>
      <w:r w:rsidRPr="00DF3273">
        <w:t xml:space="preserve">  The project focuses on serving Somali young adults who have graduated from high school but have not found full-time employment or entered post-secondary education, young adults who dropped out of high school, or juvenile offenders with delinquency records. Participants are exposed to career pathways in in-demand fields including nursing, customer service, manufacturing, and education. Youth attend workshops and trainings that focus on communication skills, resume writing, job searching and interview techniques in order to provide them with career readiness skills. </w:t>
      </w:r>
      <w:r w:rsidRPr="00DF3273">
        <w:rPr>
          <w:i/>
        </w:rPr>
        <w:t xml:space="preserve">Local Contact: Hassan Omar, </w:t>
      </w:r>
      <w:hyperlink r:id="rId85" w:history="1">
        <w:r w:rsidRPr="00DF3273">
          <w:rPr>
            <w:rStyle w:val="Hyperlink"/>
            <w:rFonts w:asciiTheme="minorHAnsi" w:hAnsiTheme="minorHAnsi" w:cstheme="minorHAnsi"/>
            <w:i/>
          </w:rPr>
          <w:t>homar@africans.org</w:t>
        </w:r>
      </w:hyperlink>
      <w:r w:rsidRPr="00DF3273">
        <w:t xml:space="preserve"> </w:t>
      </w:r>
    </w:p>
    <w:p w14:paraId="619F6D10" w14:textId="77777777" w:rsidR="004C6FC8" w:rsidRPr="00DF3273" w:rsidRDefault="004C6FC8" w:rsidP="00DF3273">
      <w:r w:rsidRPr="00DF3273">
        <w:rPr>
          <w:b/>
          <w:i/>
        </w:rPr>
        <w:t>ISD 4, McGregor Public Schools, $50,000.</w:t>
      </w:r>
      <w:r w:rsidRPr="00DF3273">
        <w:t xml:space="preserve"> This project serves American Indian youth, youth with disabilities, economically disadvantaged youth, and at-risk youth ages 16-19. Youth are required to complete a one-semester course during the school year. The course is Enterprise, How to Make Just About Anything, which will teach the process of bringing an idea to fruition for financial gain through practical experience in a technology-driven fabrication lab. Participants earn academic credit towards graduation for successful completion of the course. Participants will also be able to obtain basic credentials related to manufacturing, engineering, and creative technology. </w:t>
      </w:r>
      <w:r w:rsidRPr="00DF3273">
        <w:rPr>
          <w:i/>
        </w:rPr>
        <w:t xml:space="preserve">Local Contact: Cheryl Meld, </w:t>
      </w:r>
      <w:hyperlink r:id="rId86" w:history="1">
        <w:r w:rsidRPr="00DF3273">
          <w:rPr>
            <w:rStyle w:val="Hyperlink"/>
            <w:rFonts w:asciiTheme="minorHAnsi" w:hAnsiTheme="minorHAnsi" w:cstheme="minorHAnsi"/>
            <w:i/>
          </w:rPr>
          <w:t>cmeld@isd4.org</w:t>
        </w:r>
      </w:hyperlink>
      <w:r w:rsidRPr="00DF3273">
        <w:t xml:space="preserve"> </w:t>
      </w:r>
    </w:p>
    <w:p w14:paraId="61FF75B2" w14:textId="77777777" w:rsidR="004C6FC8" w:rsidRPr="00DF3273" w:rsidRDefault="004C6FC8" w:rsidP="00DF3273">
      <w:pPr>
        <w:rPr>
          <w:i/>
        </w:rPr>
      </w:pPr>
      <w:r w:rsidRPr="00DF3273">
        <w:rPr>
          <w:b/>
          <w:i/>
        </w:rPr>
        <w:t>Elpis Enterprises, $30,000.</w:t>
      </w:r>
      <w:r w:rsidRPr="00DF3273">
        <w:t xml:space="preserve"> </w:t>
      </w:r>
      <w:r w:rsidRPr="00DF3273">
        <w:rPr>
          <w:rStyle w:val="Hyperlink"/>
          <w:rFonts w:asciiTheme="minorHAnsi" w:hAnsiTheme="minorHAnsi" w:cstheme="minorHAnsi"/>
          <w:color w:val="auto"/>
          <w:u w:val="none"/>
        </w:rPr>
        <w:t xml:space="preserve">The </w:t>
      </w:r>
      <w:hyperlink r:id="rId87" w:history="1">
        <w:r w:rsidRPr="00DF3273">
          <w:rPr>
            <w:rStyle w:val="Hyperlink"/>
            <w:rFonts w:asciiTheme="minorHAnsi" w:hAnsiTheme="minorHAnsi" w:cstheme="minorHAnsi"/>
            <w:color w:val="auto"/>
            <w:u w:val="none"/>
          </w:rPr>
          <w:t>program</w:t>
        </w:r>
      </w:hyperlink>
      <w:r w:rsidRPr="00DF3273">
        <w:rPr>
          <w:rStyle w:val="Hyperlink"/>
          <w:rFonts w:asciiTheme="minorHAnsi" w:hAnsiTheme="minorHAnsi" w:cstheme="minorHAnsi"/>
          <w:color w:val="auto"/>
          <w:u w:val="none"/>
        </w:rPr>
        <w:t xml:space="preserve"> supports homeless youth or those at-risk of homelessness. Youth ages 16-23 participate in paid work experiences that forms the framework for developing employment readiness skills. Upon program completion, youth demonstrate proficiency in at least 10 of 12 employment readiness skill areas. Participants achieve unsubsidized employment, continuation of their education, or an apprenticeship.</w:t>
      </w:r>
      <w:r w:rsidRPr="00DF3273">
        <w:rPr>
          <w:rStyle w:val="Hyperlink"/>
          <w:rFonts w:asciiTheme="minorHAnsi" w:hAnsiTheme="minorHAnsi" w:cstheme="minorHAnsi"/>
          <w:color w:val="auto"/>
        </w:rPr>
        <w:t xml:space="preserve"> </w:t>
      </w:r>
      <w:r w:rsidRPr="00DF3273">
        <w:rPr>
          <w:i/>
        </w:rPr>
        <w:t xml:space="preserve">Local Contact: Paul Ramsour, </w:t>
      </w:r>
      <w:hyperlink r:id="rId88" w:history="1">
        <w:r w:rsidRPr="00DF3273">
          <w:rPr>
            <w:rStyle w:val="Hyperlink"/>
            <w:rFonts w:asciiTheme="minorHAnsi" w:hAnsiTheme="minorHAnsi" w:cstheme="minorHAnsi"/>
            <w:i/>
          </w:rPr>
          <w:t>paul@elpisenterprises.org</w:t>
        </w:r>
      </w:hyperlink>
    </w:p>
    <w:p w14:paraId="77658E76" w14:textId="34CD3126" w:rsidR="004C6FC8" w:rsidRDefault="004C6FC8" w:rsidP="00DF3273">
      <w:pPr>
        <w:rPr>
          <w:rStyle w:val="Hyperlink"/>
          <w:rFonts w:asciiTheme="minorHAnsi" w:hAnsiTheme="minorHAnsi" w:cstheme="minorHAnsi"/>
        </w:rPr>
      </w:pPr>
      <w:r w:rsidRPr="00DF3273">
        <w:rPr>
          <w:b/>
          <w:i/>
        </w:rPr>
        <w:t>Change Inc., $30,000.</w:t>
      </w:r>
      <w:r w:rsidR="00117C59" w:rsidRPr="00DF3273">
        <w:t xml:space="preserve"> Funds support a Career Counselor serving pre-</w:t>
      </w:r>
      <w:proofErr w:type="spellStart"/>
      <w:r w:rsidR="00117C59" w:rsidRPr="00DF3273">
        <w:t>YouthBuild</w:t>
      </w:r>
      <w:proofErr w:type="spellEnd"/>
      <w:r w:rsidR="00117C59" w:rsidRPr="00DF3273">
        <w:t xml:space="preserve"> students (ages 14-17) who are majority youth of color and/or immigrant youth. The Career Counselor helps youth identify their strengths and interests, form individualized career plans and help youth transition into the </w:t>
      </w:r>
      <w:proofErr w:type="spellStart"/>
      <w:r w:rsidR="00117C59" w:rsidRPr="00DF3273">
        <w:t>YouthBuild</w:t>
      </w:r>
      <w:proofErr w:type="spellEnd"/>
      <w:r w:rsidR="00117C59" w:rsidRPr="00DF3273">
        <w:t xml:space="preserve"> program (ages 18-24) in either the construction or Health Care career pathways with the goal of earning an industry recognized credential. Local Contact: Jody Nelson, </w:t>
      </w:r>
      <w:hyperlink r:id="rId89" w:history="1">
        <w:r w:rsidR="00117C59" w:rsidRPr="00DF3273">
          <w:rPr>
            <w:rStyle w:val="Hyperlink"/>
            <w:rFonts w:asciiTheme="minorHAnsi" w:hAnsiTheme="minorHAnsi" w:cstheme="minorHAnsi"/>
          </w:rPr>
          <w:t>jnelson@gapschool.org</w:t>
        </w:r>
      </w:hyperlink>
    </w:p>
    <w:p w14:paraId="0B5F3DDB" w14:textId="77777777" w:rsidR="00E30D56" w:rsidRPr="00DF3273" w:rsidRDefault="00E30D56" w:rsidP="00DF3273">
      <w:pPr>
        <w:rPr>
          <w:rStyle w:val="Hyperlink"/>
          <w:rFonts w:asciiTheme="minorHAnsi" w:hAnsiTheme="minorHAnsi" w:cstheme="minorHAnsi"/>
          <w:i/>
        </w:rPr>
      </w:pPr>
    </w:p>
    <w:p w14:paraId="331D0FF5" w14:textId="74569651" w:rsidR="009816EB" w:rsidRDefault="009816EB" w:rsidP="009816EB">
      <w:pPr>
        <w:pStyle w:val="Heading3"/>
      </w:pPr>
      <w:bookmarkStart w:id="15" w:name="_Toc90271389"/>
      <w:bookmarkEnd w:id="11"/>
      <w:r>
        <w:t>Program Activities</w:t>
      </w:r>
      <w:bookmarkEnd w:id="15"/>
    </w:p>
    <w:p w14:paraId="3B42CBB0" w14:textId="019ECF66" w:rsidR="009816EB" w:rsidRDefault="009816EB" w:rsidP="009816EB">
      <w:r>
        <w:t xml:space="preserve">The Youth at Work </w:t>
      </w:r>
      <w:r w:rsidR="008E6856">
        <w:t>Equity</w:t>
      </w:r>
      <w:r>
        <w:t xml:space="preserve"> Grant provides grantees with the flexibility to provide youth with a variety of programming opportunities.</w:t>
      </w:r>
    </w:p>
    <w:p w14:paraId="0AE4BED6" w14:textId="4D53C66D" w:rsidR="009816EB" w:rsidRDefault="00D35B99" w:rsidP="009816EB">
      <w:r>
        <w:t xml:space="preserve">The </w:t>
      </w:r>
      <w:r w:rsidR="00E346F1">
        <w:t>definitions</w:t>
      </w:r>
      <w:r>
        <w:t xml:space="preserve"> are </w:t>
      </w:r>
      <w:proofErr w:type="gramStart"/>
      <w:r>
        <w:t>broad</w:t>
      </w:r>
      <w:proofErr w:type="gramEnd"/>
      <w:r>
        <w:t xml:space="preserve"> and the following </w:t>
      </w:r>
      <w:r w:rsidR="00E346F1">
        <w:t>information provides example activities that align with each category:</w:t>
      </w:r>
    </w:p>
    <w:p w14:paraId="58B798D3" w14:textId="21F0163F" w:rsidR="009816EB" w:rsidRDefault="009816EB" w:rsidP="009816EB">
      <w:pPr>
        <w:pStyle w:val="ListParagraph"/>
        <w:numPr>
          <w:ilvl w:val="0"/>
          <w:numId w:val="34"/>
        </w:numPr>
      </w:pPr>
      <w:r w:rsidRPr="00E346F1">
        <w:rPr>
          <w:b/>
        </w:rPr>
        <w:lastRenderedPageBreak/>
        <w:t>Employment Preparation</w:t>
      </w:r>
      <w:r>
        <w:t xml:space="preserve"> – activities including resume writing, job searching, labor market information, soft skills training, job shadowing, </w:t>
      </w:r>
      <w:r w:rsidR="00D35B99">
        <w:t xml:space="preserve">business tours, </w:t>
      </w:r>
      <w:r>
        <w:t>etc.</w:t>
      </w:r>
      <w:r w:rsidR="00E346F1">
        <w:br/>
      </w:r>
    </w:p>
    <w:p w14:paraId="0BD681C7" w14:textId="387F6725" w:rsidR="009816EB" w:rsidRDefault="009816EB" w:rsidP="009816EB">
      <w:pPr>
        <w:pStyle w:val="ListParagraph"/>
        <w:numPr>
          <w:ilvl w:val="0"/>
          <w:numId w:val="34"/>
        </w:numPr>
      </w:pPr>
      <w:r w:rsidRPr="00E346F1">
        <w:rPr>
          <w:b/>
        </w:rPr>
        <w:t>Job Training</w:t>
      </w:r>
      <w:r>
        <w:t xml:space="preserve"> – activities that</w:t>
      </w:r>
      <w:r w:rsidR="00730A9B">
        <w:t xml:space="preserve"> support youth in receiving industry-recognized credentials, industry -specific certifications, and digital literacy skills development.</w:t>
      </w:r>
      <w:r w:rsidR="00E346F1">
        <w:br/>
      </w:r>
    </w:p>
    <w:p w14:paraId="54E04B97" w14:textId="13EEC453" w:rsidR="00730A9B" w:rsidRDefault="00730A9B" w:rsidP="009816EB">
      <w:pPr>
        <w:pStyle w:val="ListParagraph"/>
        <w:numPr>
          <w:ilvl w:val="0"/>
          <w:numId w:val="34"/>
        </w:numPr>
      </w:pPr>
      <w:r w:rsidRPr="00E346F1">
        <w:rPr>
          <w:b/>
        </w:rPr>
        <w:t>Internships or Work Experiences</w:t>
      </w:r>
      <w:r>
        <w:t xml:space="preserve"> </w:t>
      </w:r>
      <w:r w:rsidR="00D35B99">
        <w:t>–</w:t>
      </w:r>
      <w:r>
        <w:t xml:space="preserve"> </w:t>
      </w:r>
      <w:r w:rsidR="00D35B99">
        <w:t xml:space="preserve">Paid experiences in which youth can apply </w:t>
      </w:r>
      <w:r w:rsidR="00303903">
        <w:t xml:space="preserve">technical and soft </w:t>
      </w:r>
      <w:r w:rsidR="00D35B99">
        <w:t>skills.</w:t>
      </w:r>
      <w:r w:rsidR="00E346F1">
        <w:br/>
      </w:r>
    </w:p>
    <w:p w14:paraId="375F01C7" w14:textId="1B051E39" w:rsidR="00D35B99" w:rsidRDefault="00D35B99" w:rsidP="009816EB">
      <w:pPr>
        <w:pStyle w:val="ListParagraph"/>
        <w:numPr>
          <w:ilvl w:val="0"/>
          <w:numId w:val="34"/>
        </w:numPr>
      </w:pPr>
      <w:r w:rsidRPr="00E346F1">
        <w:rPr>
          <w:b/>
        </w:rPr>
        <w:t>Financial Literacy</w:t>
      </w:r>
      <w:r>
        <w:t xml:space="preserve"> – trainings, workshops, and curriculum in which youth learn </w:t>
      </w:r>
      <w:r w:rsidR="008D5D57">
        <w:t>about</w:t>
      </w:r>
      <w:r>
        <w:t xml:space="preserve"> financial literacy concepts.</w:t>
      </w:r>
      <w:r w:rsidR="00E346F1">
        <w:br/>
      </w:r>
    </w:p>
    <w:p w14:paraId="73663C09" w14:textId="350F7C4E" w:rsidR="00D35B99" w:rsidRDefault="00D35B99" w:rsidP="009816EB">
      <w:pPr>
        <w:pStyle w:val="ListParagraph"/>
        <w:numPr>
          <w:ilvl w:val="0"/>
          <w:numId w:val="34"/>
        </w:numPr>
      </w:pPr>
      <w:r w:rsidRPr="00E346F1">
        <w:rPr>
          <w:b/>
        </w:rPr>
        <w:t>Academic Support</w:t>
      </w:r>
      <w:r>
        <w:t xml:space="preserve"> – activities that support youth from dropping out of secondary school including earning academic credit, literacy and numeracy skills development, and tutoring.</w:t>
      </w:r>
      <w:r w:rsidR="00E346F1">
        <w:br/>
      </w:r>
    </w:p>
    <w:p w14:paraId="701A94B1" w14:textId="75E12D2F" w:rsidR="00D35B99" w:rsidRDefault="00D35B99" w:rsidP="009816EB">
      <w:pPr>
        <w:pStyle w:val="ListParagraph"/>
        <w:numPr>
          <w:ilvl w:val="0"/>
          <w:numId w:val="34"/>
        </w:numPr>
      </w:pPr>
      <w:r w:rsidRPr="00E346F1">
        <w:rPr>
          <w:b/>
        </w:rPr>
        <w:t>Post-Secondary Education Support</w:t>
      </w:r>
      <w:r>
        <w:t xml:space="preserve"> – activities that help youth explore post-secondary options, college tours, application and financial aid assistance.</w:t>
      </w:r>
    </w:p>
    <w:p w14:paraId="5A8F6519" w14:textId="5421A73A" w:rsidR="00D35B99" w:rsidRPr="009816EB" w:rsidRDefault="00D35B99" w:rsidP="00D35B99">
      <w:r>
        <w:t xml:space="preserve">The chart below denotes the </w:t>
      </w:r>
      <w:r w:rsidR="00E346F1">
        <w:t xml:space="preserve">activities that each organization is providing through the SFY 2020 Youth at Work </w:t>
      </w:r>
      <w:r w:rsidR="008E6856">
        <w:t>Equity</w:t>
      </w:r>
      <w:r w:rsidR="00E346F1">
        <w:t xml:space="preserve"> Grant.</w:t>
      </w:r>
    </w:p>
    <w:tbl>
      <w:tblPr>
        <w:tblW w:w="10143" w:type="dxa"/>
        <w:tblLook w:val="04A0" w:firstRow="1" w:lastRow="0" w:firstColumn="1" w:lastColumn="0" w:noHBand="0" w:noVBand="1"/>
      </w:tblPr>
      <w:tblGrid>
        <w:gridCol w:w="2235"/>
        <w:gridCol w:w="1304"/>
        <w:gridCol w:w="1448"/>
        <w:gridCol w:w="1234"/>
        <w:gridCol w:w="1069"/>
        <w:gridCol w:w="1471"/>
        <w:gridCol w:w="1382"/>
      </w:tblGrid>
      <w:tr w:rsidR="009816EB" w:rsidRPr="009816EB" w14:paraId="1F818504" w14:textId="77777777" w:rsidTr="00E30D56">
        <w:trPr>
          <w:trHeight w:val="129"/>
          <w:tblHeader/>
        </w:trPr>
        <w:tc>
          <w:tcPr>
            <w:tcW w:w="22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4A55E1" w14:textId="77777777" w:rsidR="009816EB" w:rsidRPr="009816EB" w:rsidRDefault="009816EB" w:rsidP="009816EB">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Organization</w:t>
            </w:r>
          </w:p>
        </w:tc>
        <w:tc>
          <w:tcPr>
            <w:tcW w:w="1304" w:type="dxa"/>
            <w:tcBorders>
              <w:top w:val="single" w:sz="4" w:space="0" w:color="auto"/>
              <w:left w:val="nil"/>
              <w:bottom w:val="single" w:sz="4" w:space="0" w:color="auto"/>
              <w:right w:val="single" w:sz="4" w:space="0" w:color="auto"/>
            </w:tcBorders>
            <w:shd w:val="clear" w:color="000000" w:fill="D9D9D9"/>
            <w:vAlign w:val="center"/>
            <w:hideMark/>
          </w:tcPr>
          <w:p w14:paraId="24CD519C" w14:textId="5987C04F" w:rsidR="009816EB" w:rsidRPr="009816EB" w:rsidRDefault="009816EB" w:rsidP="009816EB">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Employment Prep</w:t>
            </w:r>
            <w:r>
              <w:rPr>
                <w:rFonts w:cs="Calibri"/>
                <w:b/>
                <w:bCs/>
                <w:color w:val="000000"/>
                <w:sz w:val="18"/>
                <w:szCs w:val="18"/>
                <w:lang w:bidi="ar-SA"/>
              </w:rPr>
              <w:t>aration</w:t>
            </w:r>
          </w:p>
        </w:tc>
        <w:tc>
          <w:tcPr>
            <w:tcW w:w="1448" w:type="dxa"/>
            <w:tcBorders>
              <w:top w:val="single" w:sz="4" w:space="0" w:color="auto"/>
              <w:left w:val="nil"/>
              <w:bottom w:val="single" w:sz="4" w:space="0" w:color="auto"/>
              <w:right w:val="single" w:sz="4" w:space="0" w:color="auto"/>
            </w:tcBorders>
            <w:shd w:val="clear" w:color="000000" w:fill="D9D9D9"/>
            <w:vAlign w:val="center"/>
            <w:hideMark/>
          </w:tcPr>
          <w:p w14:paraId="73C0A257" w14:textId="77777777" w:rsidR="009816EB" w:rsidRPr="009816EB" w:rsidRDefault="009816EB" w:rsidP="009816EB">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Job Training</w:t>
            </w:r>
          </w:p>
        </w:tc>
        <w:tc>
          <w:tcPr>
            <w:tcW w:w="1234" w:type="dxa"/>
            <w:tcBorders>
              <w:top w:val="single" w:sz="4" w:space="0" w:color="auto"/>
              <w:left w:val="nil"/>
              <w:bottom w:val="single" w:sz="4" w:space="0" w:color="auto"/>
              <w:right w:val="single" w:sz="4" w:space="0" w:color="auto"/>
            </w:tcBorders>
            <w:shd w:val="clear" w:color="000000" w:fill="D9D9D9"/>
            <w:vAlign w:val="center"/>
            <w:hideMark/>
          </w:tcPr>
          <w:p w14:paraId="4020C72F" w14:textId="77777777" w:rsidR="009816EB" w:rsidRPr="009816EB" w:rsidRDefault="009816EB" w:rsidP="009816EB">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Internships or Work Experiences</w:t>
            </w:r>
          </w:p>
        </w:tc>
        <w:tc>
          <w:tcPr>
            <w:tcW w:w="1069" w:type="dxa"/>
            <w:tcBorders>
              <w:top w:val="single" w:sz="4" w:space="0" w:color="auto"/>
              <w:left w:val="nil"/>
              <w:bottom w:val="single" w:sz="4" w:space="0" w:color="auto"/>
              <w:right w:val="single" w:sz="4" w:space="0" w:color="auto"/>
            </w:tcBorders>
            <w:shd w:val="clear" w:color="000000" w:fill="D9D9D9"/>
            <w:vAlign w:val="center"/>
            <w:hideMark/>
          </w:tcPr>
          <w:p w14:paraId="44863F59" w14:textId="77777777" w:rsidR="009816EB" w:rsidRPr="009816EB" w:rsidRDefault="009816EB" w:rsidP="009816EB">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Financial Literacy</w:t>
            </w:r>
          </w:p>
        </w:tc>
        <w:tc>
          <w:tcPr>
            <w:tcW w:w="1471" w:type="dxa"/>
            <w:tcBorders>
              <w:top w:val="single" w:sz="4" w:space="0" w:color="auto"/>
              <w:left w:val="nil"/>
              <w:bottom w:val="single" w:sz="4" w:space="0" w:color="auto"/>
              <w:right w:val="single" w:sz="4" w:space="0" w:color="auto"/>
            </w:tcBorders>
            <w:shd w:val="clear" w:color="000000" w:fill="D9D9D9"/>
            <w:vAlign w:val="center"/>
            <w:hideMark/>
          </w:tcPr>
          <w:p w14:paraId="6D391B09" w14:textId="77777777" w:rsidR="009816EB" w:rsidRPr="009816EB" w:rsidRDefault="009816EB" w:rsidP="009816EB">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Academic Support</w:t>
            </w:r>
          </w:p>
        </w:tc>
        <w:tc>
          <w:tcPr>
            <w:tcW w:w="1382" w:type="dxa"/>
            <w:tcBorders>
              <w:top w:val="single" w:sz="4" w:space="0" w:color="auto"/>
              <w:left w:val="nil"/>
              <w:bottom w:val="single" w:sz="4" w:space="0" w:color="auto"/>
              <w:right w:val="single" w:sz="4" w:space="0" w:color="auto"/>
            </w:tcBorders>
            <w:shd w:val="clear" w:color="000000" w:fill="D9D9D9"/>
            <w:vAlign w:val="center"/>
            <w:hideMark/>
          </w:tcPr>
          <w:p w14:paraId="42CF2314" w14:textId="77777777" w:rsidR="009816EB" w:rsidRPr="009816EB" w:rsidRDefault="009816EB" w:rsidP="009816EB">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Post-Secondary Education Support</w:t>
            </w:r>
          </w:p>
        </w:tc>
      </w:tr>
      <w:tr w:rsidR="009816EB" w:rsidRPr="009816EB" w14:paraId="58CB5353" w14:textId="77777777" w:rsidTr="00F157DA">
        <w:trPr>
          <w:trHeight w:val="54"/>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46D8C09F" w14:textId="77777777" w:rsidR="009816EB" w:rsidRPr="009816EB" w:rsidRDefault="009816EB" w:rsidP="009816EB">
            <w:pPr>
              <w:spacing w:before="0" w:after="0" w:line="240" w:lineRule="auto"/>
              <w:rPr>
                <w:rFonts w:cs="Calibri"/>
                <w:b/>
                <w:bCs/>
                <w:color w:val="000000"/>
                <w:lang w:bidi="ar-SA"/>
              </w:rPr>
            </w:pPr>
            <w:r w:rsidRPr="009816EB">
              <w:rPr>
                <w:rFonts w:cs="Calibri"/>
                <w:b/>
                <w:bCs/>
                <w:color w:val="000000"/>
                <w:lang w:bidi="ar-SA"/>
              </w:rPr>
              <w:t>180 Degrees</w:t>
            </w:r>
          </w:p>
        </w:tc>
        <w:tc>
          <w:tcPr>
            <w:tcW w:w="1304" w:type="dxa"/>
            <w:tcBorders>
              <w:top w:val="nil"/>
              <w:left w:val="nil"/>
              <w:bottom w:val="single" w:sz="4" w:space="0" w:color="auto"/>
              <w:right w:val="single" w:sz="4" w:space="0" w:color="auto"/>
            </w:tcBorders>
            <w:shd w:val="clear" w:color="auto" w:fill="auto"/>
            <w:noWrap/>
            <w:vAlign w:val="center"/>
            <w:hideMark/>
          </w:tcPr>
          <w:p w14:paraId="04626942" w14:textId="2A1FBE3B" w:rsidR="009816EB" w:rsidRPr="009816EB" w:rsidRDefault="0015174C" w:rsidP="00F157DA">
            <w:pPr>
              <w:spacing w:before="0" w:after="0" w:line="240" w:lineRule="auto"/>
              <w:jc w:val="center"/>
              <w:rPr>
                <w:rFonts w:cs="Calibri"/>
                <w:b/>
                <w:bCs/>
                <w:color w:val="000000"/>
                <w:sz w:val="18"/>
                <w:szCs w:val="18"/>
                <w:lang w:bidi="ar-SA"/>
              </w:rPr>
            </w:pPr>
            <w:r>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4E6CC61E" w14:textId="441C6703" w:rsidR="009816EB" w:rsidRPr="009816EB" w:rsidRDefault="009816EB"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auto" w:fill="auto"/>
            <w:noWrap/>
            <w:vAlign w:val="center"/>
            <w:hideMark/>
          </w:tcPr>
          <w:p w14:paraId="3DF94F21"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auto"/>
            <w:noWrap/>
            <w:vAlign w:val="center"/>
            <w:hideMark/>
          </w:tcPr>
          <w:p w14:paraId="205D83DA" w14:textId="10A8BB3B" w:rsidR="009816EB" w:rsidRPr="009816EB" w:rsidRDefault="0015174C" w:rsidP="00F157DA">
            <w:pPr>
              <w:spacing w:before="0" w:after="0" w:line="240" w:lineRule="auto"/>
              <w:jc w:val="center"/>
              <w:rPr>
                <w:rFonts w:cs="Calibri"/>
                <w:b/>
                <w:bCs/>
                <w:color w:val="000000"/>
                <w:sz w:val="18"/>
                <w:szCs w:val="18"/>
                <w:lang w:bidi="ar-SA"/>
              </w:rPr>
            </w:pPr>
            <w:r>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auto" w:fill="auto"/>
            <w:noWrap/>
            <w:vAlign w:val="center"/>
            <w:hideMark/>
          </w:tcPr>
          <w:p w14:paraId="3E97F406" w14:textId="34237172" w:rsidR="009816EB" w:rsidRPr="009816EB" w:rsidRDefault="009816EB"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auto"/>
            <w:noWrap/>
            <w:vAlign w:val="center"/>
            <w:hideMark/>
          </w:tcPr>
          <w:p w14:paraId="66795C00" w14:textId="4EC3DFEE" w:rsidR="009816EB" w:rsidRPr="009816EB" w:rsidRDefault="009816EB" w:rsidP="00F157DA">
            <w:pPr>
              <w:spacing w:before="0" w:after="0" w:line="240" w:lineRule="auto"/>
              <w:jc w:val="center"/>
              <w:rPr>
                <w:rFonts w:cs="Calibri"/>
                <w:b/>
                <w:bCs/>
                <w:color w:val="000000"/>
                <w:sz w:val="18"/>
                <w:szCs w:val="18"/>
                <w:lang w:bidi="ar-SA"/>
              </w:rPr>
            </w:pPr>
          </w:p>
        </w:tc>
      </w:tr>
      <w:tr w:rsidR="009816EB" w:rsidRPr="009816EB" w14:paraId="3ADFAC40" w14:textId="77777777" w:rsidTr="00F157DA">
        <w:trPr>
          <w:trHeight w:val="54"/>
        </w:trPr>
        <w:tc>
          <w:tcPr>
            <w:tcW w:w="2235" w:type="dxa"/>
            <w:tcBorders>
              <w:top w:val="nil"/>
              <w:left w:val="single" w:sz="4" w:space="0" w:color="auto"/>
              <w:bottom w:val="single" w:sz="4" w:space="0" w:color="auto"/>
              <w:right w:val="single" w:sz="4" w:space="0" w:color="auto"/>
            </w:tcBorders>
            <w:shd w:val="clear" w:color="000000" w:fill="D9D9D9"/>
            <w:vAlign w:val="bottom"/>
            <w:hideMark/>
          </w:tcPr>
          <w:p w14:paraId="0B488381" w14:textId="77777777" w:rsidR="009816EB" w:rsidRPr="009816EB" w:rsidRDefault="009816EB" w:rsidP="009816EB">
            <w:pPr>
              <w:spacing w:before="0" w:after="0" w:line="240" w:lineRule="auto"/>
              <w:rPr>
                <w:rFonts w:cs="Calibri"/>
                <w:b/>
                <w:bCs/>
                <w:color w:val="000000"/>
                <w:lang w:bidi="ar-SA"/>
              </w:rPr>
            </w:pPr>
            <w:proofErr w:type="spellStart"/>
            <w:r w:rsidRPr="009816EB">
              <w:rPr>
                <w:rFonts w:cs="Calibri"/>
                <w:b/>
                <w:bCs/>
                <w:color w:val="000000"/>
                <w:lang w:bidi="ar-SA"/>
              </w:rPr>
              <w:t>AchieveMPLS</w:t>
            </w:r>
            <w:proofErr w:type="spellEnd"/>
          </w:p>
        </w:tc>
        <w:tc>
          <w:tcPr>
            <w:tcW w:w="1304" w:type="dxa"/>
            <w:tcBorders>
              <w:top w:val="nil"/>
              <w:left w:val="nil"/>
              <w:bottom w:val="single" w:sz="4" w:space="0" w:color="auto"/>
              <w:right w:val="single" w:sz="4" w:space="0" w:color="auto"/>
            </w:tcBorders>
            <w:shd w:val="clear" w:color="000000" w:fill="D9D9D9"/>
            <w:noWrap/>
            <w:vAlign w:val="center"/>
            <w:hideMark/>
          </w:tcPr>
          <w:p w14:paraId="77E99200"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000000" w:fill="D9D9D9"/>
            <w:noWrap/>
            <w:vAlign w:val="center"/>
            <w:hideMark/>
          </w:tcPr>
          <w:p w14:paraId="5692F54C" w14:textId="4B728C2C" w:rsidR="009816EB" w:rsidRPr="009816EB" w:rsidRDefault="009816EB"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000000" w:fill="D9D9D9"/>
            <w:noWrap/>
            <w:vAlign w:val="center"/>
            <w:hideMark/>
          </w:tcPr>
          <w:p w14:paraId="5ED942A5" w14:textId="04783E3E" w:rsidR="009816EB" w:rsidRPr="009816EB" w:rsidRDefault="009816EB" w:rsidP="00F157DA">
            <w:pPr>
              <w:spacing w:before="0" w:after="0" w:line="240" w:lineRule="auto"/>
              <w:jc w:val="center"/>
              <w:rPr>
                <w:rFonts w:cs="Calibri"/>
                <w:b/>
                <w:bCs/>
                <w:color w:val="000000"/>
                <w:sz w:val="18"/>
                <w:szCs w:val="18"/>
                <w:lang w:bidi="ar-SA"/>
              </w:rPr>
            </w:pPr>
          </w:p>
        </w:tc>
        <w:tc>
          <w:tcPr>
            <w:tcW w:w="1069" w:type="dxa"/>
            <w:tcBorders>
              <w:top w:val="nil"/>
              <w:left w:val="nil"/>
              <w:bottom w:val="single" w:sz="4" w:space="0" w:color="auto"/>
              <w:right w:val="single" w:sz="4" w:space="0" w:color="auto"/>
            </w:tcBorders>
            <w:shd w:val="clear" w:color="000000" w:fill="D9D9D9"/>
            <w:noWrap/>
            <w:vAlign w:val="center"/>
            <w:hideMark/>
          </w:tcPr>
          <w:p w14:paraId="4FDE8C35" w14:textId="13F8843A" w:rsidR="009816EB" w:rsidRPr="009816EB" w:rsidRDefault="009816EB"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000000" w:fill="D9D9D9"/>
            <w:noWrap/>
            <w:vAlign w:val="center"/>
            <w:hideMark/>
          </w:tcPr>
          <w:p w14:paraId="27B5A60C" w14:textId="3FF56549" w:rsidR="009816EB" w:rsidRPr="009816EB" w:rsidRDefault="009816EB"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000000" w:fill="D9D9D9"/>
            <w:noWrap/>
            <w:vAlign w:val="center"/>
            <w:hideMark/>
          </w:tcPr>
          <w:p w14:paraId="7EAFD733"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9816EB" w:rsidRPr="009816EB" w14:paraId="1EE521C2" w14:textId="77777777" w:rsidTr="00F157DA">
        <w:trPr>
          <w:trHeight w:val="108"/>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31DFDC4E" w14:textId="77777777" w:rsidR="009816EB" w:rsidRPr="009816EB" w:rsidRDefault="009816EB" w:rsidP="009816EB">
            <w:pPr>
              <w:spacing w:before="0" w:after="0" w:line="240" w:lineRule="auto"/>
              <w:rPr>
                <w:rFonts w:cs="Calibri"/>
                <w:b/>
                <w:bCs/>
                <w:color w:val="000000"/>
                <w:lang w:bidi="ar-SA"/>
              </w:rPr>
            </w:pPr>
            <w:r w:rsidRPr="009816EB">
              <w:rPr>
                <w:rFonts w:cs="Calibri"/>
                <w:b/>
                <w:bCs/>
                <w:color w:val="000000"/>
                <w:lang w:bidi="ar-SA"/>
              </w:rPr>
              <w:t>African Community Services</w:t>
            </w:r>
          </w:p>
        </w:tc>
        <w:tc>
          <w:tcPr>
            <w:tcW w:w="1304" w:type="dxa"/>
            <w:tcBorders>
              <w:top w:val="nil"/>
              <w:left w:val="nil"/>
              <w:bottom w:val="single" w:sz="4" w:space="0" w:color="auto"/>
              <w:right w:val="single" w:sz="4" w:space="0" w:color="auto"/>
            </w:tcBorders>
            <w:shd w:val="clear" w:color="auto" w:fill="auto"/>
            <w:noWrap/>
            <w:vAlign w:val="center"/>
            <w:hideMark/>
          </w:tcPr>
          <w:p w14:paraId="741379FE"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2A3C076D" w14:textId="443B6E8C" w:rsidR="009816EB" w:rsidRPr="009816EB" w:rsidRDefault="009816EB"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auto" w:fill="auto"/>
            <w:noWrap/>
            <w:vAlign w:val="center"/>
            <w:hideMark/>
          </w:tcPr>
          <w:p w14:paraId="5BF5A7B4" w14:textId="370CC036" w:rsidR="009816EB" w:rsidRPr="009816EB" w:rsidRDefault="009816EB" w:rsidP="00F157DA">
            <w:pPr>
              <w:spacing w:before="0" w:after="0" w:line="240" w:lineRule="auto"/>
              <w:jc w:val="center"/>
              <w:rPr>
                <w:rFonts w:cs="Calibri"/>
                <w:b/>
                <w:bCs/>
                <w:color w:val="000000"/>
                <w:sz w:val="18"/>
                <w:szCs w:val="18"/>
                <w:lang w:bidi="ar-SA"/>
              </w:rPr>
            </w:pPr>
          </w:p>
        </w:tc>
        <w:tc>
          <w:tcPr>
            <w:tcW w:w="1069" w:type="dxa"/>
            <w:tcBorders>
              <w:top w:val="nil"/>
              <w:left w:val="nil"/>
              <w:bottom w:val="single" w:sz="4" w:space="0" w:color="auto"/>
              <w:right w:val="single" w:sz="4" w:space="0" w:color="auto"/>
            </w:tcBorders>
            <w:shd w:val="clear" w:color="auto" w:fill="auto"/>
            <w:noWrap/>
            <w:vAlign w:val="center"/>
            <w:hideMark/>
          </w:tcPr>
          <w:p w14:paraId="7A2F8CB0" w14:textId="7F3698CD" w:rsidR="009816EB" w:rsidRPr="009816EB" w:rsidRDefault="009816EB"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auto" w:fill="auto"/>
            <w:noWrap/>
            <w:vAlign w:val="center"/>
            <w:hideMark/>
          </w:tcPr>
          <w:p w14:paraId="0D353626" w14:textId="6C90F1B9" w:rsidR="009816EB" w:rsidRPr="009816EB" w:rsidRDefault="009816EB"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auto"/>
            <w:noWrap/>
            <w:vAlign w:val="center"/>
            <w:hideMark/>
          </w:tcPr>
          <w:p w14:paraId="4D6B0D2C" w14:textId="0F962CCA" w:rsidR="009816EB" w:rsidRPr="009816EB" w:rsidRDefault="009816EB" w:rsidP="00F157DA">
            <w:pPr>
              <w:spacing w:before="0" w:after="0" w:line="240" w:lineRule="auto"/>
              <w:jc w:val="center"/>
              <w:rPr>
                <w:rFonts w:cs="Calibri"/>
                <w:b/>
                <w:bCs/>
                <w:color w:val="000000"/>
                <w:sz w:val="18"/>
                <w:szCs w:val="18"/>
                <w:lang w:bidi="ar-SA"/>
              </w:rPr>
            </w:pPr>
          </w:p>
        </w:tc>
      </w:tr>
      <w:tr w:rsidR="009816EB" w:rsidRPr="009816EB" w14:paraId="1305877B" w14:textId="77777777" w:rsidTr="00F157DA">
        <w:trPr>
          <w:trHeight w:val="162"/>
        </w:trPr>
        <w:tc>
          <w:tcPr>
            <w:tcW w:w="2235" w:type="dxa"/>
            <w:tcBorders>
              <w:top w:val="nil"/>
              <w:left w:val="single" w:sz="4" w:space="0" w:color="auto"/>
              <w:bottom w:val="single" w:sz="4" w:space="0" w:color="auto"/>
              <w:right w:val="single" w:sz="4" w:space="0" w:color="auto"/>
            </w:tcBorders>
            <w:shd w:val="clear" w:color="000000" w:fill="D9D9D9"/>
            <w:vAlign w:val="bottom"/>
            <w:hideMark/>
          </w:tcPr>
          <w:p w14:paraId="574CE1F9" w14:textId="77777777" w:rsidR="009816EB" w:rsidRPr="009816EB" w:rsidRDefault="009816EB" w:rsidP="009816EB">
            <w:pPr>
              <w:spacing w:before="0" w:after="0" w:line="240" w:lineRule="auto"/>
              <w:rPr>
                <w:rFonts w:cs="Calibri"/>
                <w:b/>
                <w:bCs/>
                <w:color w:val="000000"/>
                <w:lang w:bidi="ar-SA"/>
              </w:rPr>
            </w:pPr>
            <w:r w:rsidRPr="009816EB">
              <w:rPr>
                <w:rFonts w:cs="Calibri"/>
                <w:b/>
                <w:bCs/>
                <w:color w:val="000000"/>
                <w:lang w:bidi="ar-SA"/>
              </w:rPr>
              <w:t>Afro-American Development Association</w:t>
            </w:r>
          </w:p>
        </w:tc>
        <w:tc>
          <w:tcPr>
            <w:tcW w:w="1304" w:type="dxa"/>
            <w:tcBorders>
              <w:top w:val="nil"/>
              <w:left w:val="nil"/>
              <w:bottom w:val="single" w:sz="4" w:space="0" w:color="auto"/>
              <w:right w:val="single" w:sz="4" w:space="0" w:color="auto"/>
            </w:tcBorders>
            <w:shd w:val="clear" w:color="000000" w:fill="D9D9D9"/>
            <w:noWrap/>
            <w:vAlign w:val="center"/>
            <w:hideMark/>
          </w:tcPr>
          <w:p w14:paraId="3B85E6C6" w14:textId="0F40E820" w:rsidR="009816EB" w:rsidRPr="009816EB" w:rsidRDefault="009816EB" w:rsidP="00F157DA">
            <w:pPr>
              <w:spacing w:before="0" w:after="0" w:line="240" w:lineRule="auto"/>
              <w:jc w:val="center"/>
              <w:rPr>
                <w:rFonts w:cs="Calibri"/>
                <w:b/>
                <w:bCs/>
                <w:color w:val="000000"/>
                <w:sz w:val="18"/>
                <w:szCs w:val="18"/>
                <w:lang w:bidi="ar-SA"/>
              </w:rPr>
            </w:pPr>
          </w:p>
        </w:tc>
        <w:tc>
          <w:tcPr>
            <w:tcW w:w="1448" w:type="dxa"/>
            <w:tcBorders>
              <w:top w:val="nil"/>
              <w:left w:val="nil"/>
              <w:bottom w:val="single" w:sz="4" w:space="0" w:color="auto"/>
              <w:right w:val="single" w:sz="4" w:space="0" w:color="auto"/>
            </w:tcBorders>
            <w:shd w:val="clear" w:color="000000" w:fill="D9D9D9"/>
            <w:noWrap/>
            <w:vAlign w:val="center"/>
            <w:hideMark/>
          </w:tcPr>
          <w:p w14:paraId="1AF30130" w14:textId="4815C394" w:rsidR="009816EB" w:rsidRPr="009816EB" w:rsidRDefault="009816EB"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000000" w:fill="D9D9D9"/>
            <w:noWrap/>
            <w:vAlign w:val="center"/>
            <w:hideMark/>
          </w:tcPr>
          <w:p w14:paraId="77815E4F" w14:textId="05FCE833" w:rsidR="009816EB" w:rsidRPr="009816EB" w:rsidRDefault="009816EB" w:rsidP="00F157DA">
            <w:pPr>
              <w:spacing w:before="0" w:after="0" w:line="240" w:lineRule="auto"/>
              <w:jc w:val="center"/>
              <w:rPr>
                <w:rFonts w:cs="Calibri"/>
                <w:b/>
                <w:bCs/>
                <w:color w:val="000000"/>
                <w:sz w:val="18"/>
                <w:szCs w:val="18"/>
                <w:lang w:bidi="ar-SA"/>
              </w:rPr>
            </w:pPr>
          </w:p>
        </w:tc>
        <w:tc>
          <w:tcPr>
            <w:tcW w:w="1069" w:type="dxa"/>
            <w:tcBorders>
              <w:top w:val="nil"/>
              <w:left w:val="nil"/>
              <w:bottom w:val="single" w:sz="4" w:space="0" w:color="auto"/>
              <w:right w:val="single" w:sz="4" w:space="0" w:color="auto"/>
            </w:tcBorders>
            <w:shd w:val="clear" w:color="000000" w:fill="D9D9D9"/>
            <w:noWrap/>
            <w:vAlign w:val="center"/>
            <w:hideMark/>
          </w:tcPr>
          <w:p w14:paraId="390BEEAA"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000000" w:fill="D9D9D9"/>
            <w:noWrap/>
            <w:vAlign w:val="center"/>
            <w:hideMark/>
          </w:tcPr>
          <w:p w14:paraId="19CFD43D"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000000" w:fill="D9D9D9"/>
            <w:noWrap/>
            <w:vAlign w:val="center"/>
            <w:hideMark/>
          </w:tcPr>
          <w:p w14:paraId="550DF1E3"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9816EB" w:rsidRPr="009816EB" w14:paraId="5C19683E" w14:textId="77777777" w:rsidTr="00F157DA">
        <w:trPr>
          <w:trHeight w:val="54"/>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562B3061" w14:textId="77777777" w:rsidR="009816EB" w:rsidRPr="009816EB" w:rsidRDefault="009816EB" w:rsidP="009816EB">
            <w:pPr>
              <w:spacing w:before="0" w:after="0" w:line="240" w:lineRule="auto"/>
              <w:rPr>
                <w:rFonts w:cs="Calibri"/>
                <w:b/>
                <w:bCs/>
                <w:color w:val="000000"/>
                <w:lang w:bidi="ar-SA"/>
              </w:rPr>
            </w:pPr>
            <w:r w:rsidRPr="009816EB">
              <w:rPr>
                <w:rFonts w:cs="Calibri"/>
                <w:b/>
                <w:bCs/>
                <w:color w:val="000000"/>
                <w:lang w:bidi="ar-SA"/>
              </w:rPr>
              <w:t>Anoka County</w:t>
            </w:r>
          </w:p>
        </w:tc>
        <w:tc>
          <w:tcPr>
            <w:tcW w:w="1304" w:type="dxa"/>
            <w:tcBorders>
              <w:top w:val="nil"/>
              <w:left w:val="nil"/>
              <w:bottom w:val="single" w:sz="4" w:space="0" w:color="auto"/>
              <w:right w:val="single" w:sz="4" w:space="0" w:color="auto"/>
            </w:tcBorders>
            <w:shd w:val="clear" w:color="auto" w:fill="auto"/>
            <w:noWrap/>
            <w:vAlign w:val="center"/>
            <w:hideMark/>
          </w:tcPr>
          <w:p w14:paraId="51EBEA01" w14:textId="5264A16D" w:rsidR="009816EB" w:rsidRPr="009816EB" w:rsidRDefault="009816EB" w:rsidP="00F157DA">
            <w:pPr>
              <w:spacing w:before="0" w:after="0" w:line="240" w:lineRule="auto"/>
              <w:jc w:val="center"/>
              <w:rPr>
                <w:rFonts w:cs="Calibri"/>
                <w:b/>
                <w:bCs/>
                <w:color w:val="000000"/>
                <w:sz w:val="18"/>
                <w:szCs w:val="18"/>
                <w:lang w:bidi="ar-SA"/>
              </w:rPr>
            </w:pPr>
          </w:p>
        </w:tc>
        <w:tc>
          <w:tcPr>
            <w:tcW w:w="1448" w:type="dxa"/>
            <w:tcBorders>
              <w:top w:val="nil"/>
              <w:left w:val="nil"/>
              <w:bottom w:val="single" w:sz="4" w:space="0" w:color="auto"/>
              <w:right w:val="single" w:sz="4" w:space="0" w:color="auto"/>
            </w:tcBorders>
            <w:shd w:val="clear" w:color="auto" w:fill="auto"/>
            <w:noWrap/>
            <w:vAlign w:val="center"/>
            <w:hideMark/>
          </w:tcPr>
          <w:p w14:paraId="627D105D"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auto" w:fill="auto"/>
            <w:noWrap/>
            <w:vAlign w:val="center"/>
            <w:hideMark/>
          </w:tcPr>
          <w:p w14:paraId="72E99E1E"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auto"/>
            <w:noWrap/>
            <w:vAlign w:val="center"/>
            <w:hideMark/>
          </w:tcPr>
          <w:p w14:paraId="0763D90B" w14:textId="7991B593" w:rsidR="009816EB" w:rsidRPr="009816EB" w:rsidRDefault="009816EB"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auto" w:fill="auto"/>
            <w:noWrap/>
            <w:vAlign w:val="center"/>
            <w:hideMark/>
          </w:tcPr>
          <w:p w14:paraId="1C8A1D17" w14:textId="65EFC694" w:rsidR="009816EB" w:rsidRPr="009816EB" w:rsidRDefault="009816EB"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auto"/>
            <w:noWrap/>
            <w:vAlign w:val="center"/>
            <w:hideMark/>
          </w:tcPr>
          <w:p w14:paraId="798AC7A1" w14:textId="3AA21779" w:rsidR="009816EB" w:rsidRPr="009816EB" w:rsidRDefault="009816EB" w:rsidP="00F157DA">
            <w:pPr>
              <w:spacing w:before="0" w:after="0" w:line="240" w:lineRule="auto"/>
              <w:jc w:val="center"/>
              <w:rPr>
                <w:rFonts w:cs="Calibri"/>
                <w:b/>
                <w:bCs/>
                <w:color w:val="000000"/>
                <w:sz w:val="18"/>
                <w:szCs w:val="18"/>
                <w:lang w:bidi="ar-SA"/>
              </w:rPr>
            </w:pPr>
          </w:p>
        </w:tc>
      </w:tr>
      <w:tr w:rsidR="009816EB" w:rsidRPr="009816EB" w14:paraId="16CC390B" w14:textId="77777777" w:rsidTr="00F157DA">
        <w:trPr>
          <w:trHeight w:val="54"/>
        </w:trPr>
        <w:tc>
          <w:tcPr>
            <w:tcW w:w="2235" w:type="dxa"/>
            <w:tcBorders>
              <w:top w:val="nil"/>
              <w:left w:val="single" w:sz="4" w:space="0" w:color="auto"/>
              <w:bottom w:val="single" w:sz="4" w:space="0" w:color="auto"/>
              <w:right w:val="single" w:sz="4" w:space="0" w:color="auto"/>
            </w:tcBorders>
            <w:shd w:val="clear" w:color="000000" w:fill="D9D9D9"/>
            <w:vAlign w:val="bottom"/>
            <w:hideMark/>
          </w:tcPr>
          <w:p w14:paraId="55C0FCFF" w14:textId="77777777" w:rsidR="009816EB" w:rsidRPr="009816EB" w:rsidRDefault="009816EB" w:rsidP="009816EB">
            <w:pPr>
              <w:spacing w:before="0" w:after="0" w:line="240" w:lineRule="auto"/>
              <w:rPr>
                <w:rFonts w:cs="Calibri"/>
                <w:b/>
                <w:bCs/>
                <w:color w:val="000000"/>
                <w:lang w:bidi="ar-SA"/>
              </w:rPr>
            </w:pPr>
            <w:r w:rsidRPr="009816EB">
              <w:rPr>
                <w:rFonts w:cs="Calibri"/>
                <w:b/>
                <w:bCs/>
                <w:color w:val="000000"/>
                <w:lang w:bidi="ar-SA"/>
              </w:rPr>
              <w:t>Banyan Community</w:t>
            </w:r>
          </w:p>
        </w:tc>
        <w:tc>
          <w:tcPr>
            <w:tcW w:w="1304" w:type="dxa"/>
            <w:tcBorders>
              <w:top w:val="nil"/>
              <w:left w:val="nil"/>
              <w:bottom w:val="single" w:sz="4" w:space="0" w:color="auto"/>
              <w:right w:val="single" w:sz="4" w:space="0" w:color="auto"/>
            </w:tcBorders>
            <w:shd w:val="clear" w:color="000000" w:fill="D9D9D9"/>
            <w:noWrap/>
            <w:vAlign w:val="center"/>
            <w:hideMark/>
          </w:tcPr>
          <w:p w14:paraId="67B6A0BF"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000000" w:fill="D9D9D9"/>
            <w:noWrap/>
            <w:vAlign w:val="center"/>
            <w:hideMark/>
          </w:tcPr>
          <w:p w14:paraId="64419E9E" w14:textId="776B5286" w:rsidR="009816EB" w:rsidRPr="009816EB" w:rsidRDefault="009816EB"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000000" w:fill="D9D9D9"/>
            <w:noWrap/>
            <w:vAlign w:val="center"/>
            <w:hideMark/>
          </w:tcPr>
          <w:p w14:paraId="446F0E6E" w14:textId="6B49C927" w:rsidR="009816EB" w:rsidRPr="009816EB" w:rsidRDefault="009816EB" w:rsidP="00F157DA">
            <w:pPr>
              <w:spacing w:before="0" w:after="0" w:line="240" w:lineRule="auto"/>
              <w:jc w:val="center"/>
              <w:rPr>
                <w:rFonts w:cs="Calibri"/>
                <w:b/>
                <w:bCs/>
                <w:color w:val="000000"/>
                <w:sz w:val="18"/>
                <w:szCs w:val="18"/>
                <w:lang w:bidi="ar-SA"/>
              </w:rPr>
            </w:pPr>
          </w:p>
        </w:tc>
        <w:tc>
          <w:tcPr>
            <w:tcW w:w="1069" w:type="dxa"/>
            <w:tcBorders>
              <w:top w:val="nil"/>
              <w:left w:val="nil"/>
              <w:bottom w:val="single" w:sz="4" w:space="0" w:color="auto"/>
              <w:right w:val="single" w:sz="4" w:space="0" w:color="auto"/>
            </w:tcBorders>
            <w:shd w:val="clear" w:color="000000" w:fill="D9D9D9"/>
            <w:noWrap/>
            <w:vAlign w:val="center"/>
            <w:hideMark/>
          </w:tcPr>
          <w:p w14:paraId="7389758A" w14:textId="08B6BB5B" w:rsidR="009816EB" w:rsidRPr="009816EB" w:rsidRDefault="009816EB"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000000" w:fill="D9D9D9"/>
            <w:noWrap/>
            <w:vAlign w:val="center"/>
            <w:hideMark/>
          </w:tcPr>
          <w:p w14:paraId="7B6F1854"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000000" w:fill="D9D9D9"/>
            <w:noWrap/>
            <w:vAlign w:val="center"/>
            <w:hideMark/>
          </w:tcPr>
          <w:p w14:paraId="70054F9D"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9816EB" w:rsidRPr="009816EB" w14:paraId="7D152CF1" w14:textId="77777777" w:rsidTr="00F157DA">
        <w:trPr>
          <w:trHeight w:val="108"/>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33B509FA" w14:textId="77777777" w:rsidR="009816EB" w:rsidRPr="009816EB" w:rsidRDefault="009816EB" w:rsidP="009816EB">
            <w:pPr>
              <w:spacing w:before="0" w:after="0" w:line="240" w:lineRule="auto"/>
              <w:rPr>
                <w:rFonts w:cs="Calibri"/>
                <w:b/>
                <w:bCs/>
                <w:color w:val="000000"/>
                <w:lang w:bidi="ar-SA"/>
              </w:rPr>
            </w:pPr>
            <w:r w:rsidRPr="009816EB">
              <w:rPr>
                <w:rFonts w:cs="Calibri"/>
                <w:b/>
                <w:bCs/>
                <w:color w:val="000000"/>
                <w:lang w:bidi="ar-SA"/>
              </w:rPr>
              <w:t>Boys and Girls Clubs Twin Cities</w:t>
            </w:r>
          </w:p>
        </w:tc>
        <w:tc>
          <w:tcPr>
            <w:tcW w:w="1304" w:type="dxa"/>
            <w:tcBorders>
              <w:top w:val="nil"/>
              <w:left w:val="nil"/>
              <w:bottom w:val="single" w:sz="4" w:space="0" w:color="auto"/>
              <w:right w:val="single" w:sz="4" w:space="0" w:color="auto"/>
            </w:tcBorders>
            <w:shd w:val="clear" w:color="auto" w:fill="auto"/>
            <w:noWrap/>
            <w:vAlign w:val="center"/>
            <w:hideMark/>
          </w:tcPr>
          <w:p w14:paraId="434C9163"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6B726D70" w14:textId="653E51F8" w:rsidR="009816EB" w:rsidRPr="009816EB" w:rsidRDefault="009816EB"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auto" w:fill="auto"/>
            <w:noWrap/>
            <w:vAlign w:val="center"/>
            <w:hideMark/>
          </w:tcPr>
          <w:p w14:paraId="1FDD3FCD"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auto"/>
            <w:noWrap/>
            <w:vAlign w:val="center"/>
            <w:hideMark/>
          </w:tcPr>
          <w:p w14:paraId="05E55459"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auto" w:fill="auto"/>
            <w:noWrap/>
            <w:vAlign w:val="center"/>
            <w:hideMark/>
          </w:tcPr>
          <w:p w14:paraId="49E188A3" w14:textId="22DB94FA" w:rsidR="009816EB" w:rsidRPr="009816EB" w:rsidRDefault="009816EB"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auto"/>
            <w:noWrap/>
            <w:vAlign w:val="center"/>
            <w:hideMark/>
          </w:tcPr>
          <w:p w14:paraId="6C43B8CB"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9816EB" w:rsidRPr="009816EB" w14:paraId="67296335" w14:textId="77777777" w:rsidTr="00F157DA">
        <w:trPr>
          <w:trHeight w:val="54"/>
        </w:trPr>
        <w:tc>
          <w:tcPr>
            <w:tcW w:w="2235" w:type="dxa"/>
            <w:tcBorders>
              <w:top w:val="nil"/>
              <w:left w:val="single" w:sz="4" w:space="0" w:color="auto"/>
              <w:bottom w:val="single" w:sz="4" w:space="0" w:color="auto"/>
              <w:right w:val="single" w:sz="4" w:space="0" w:color="auto"/>
            </w:tcBorders>
            <w:shd w:val="clear" w:color="000000" w:fill="D9D9D9"/>
            <w:vAlign w:val="bottom"/>
            <w:hideMark/>
          </w:tcPr>
          <w:p w14:paraId="306A1AA7" w14:textId="77777777" w:rsidR="009816EB" w:rsidRPr="009816EB" w:rsidRDefault="009816EB" w:rsidP="009816EB">
            <w:pPr>
              <w:spacing w:before="0" w:after="0" w:line="240" w:lineRule="auto"/>
              <w:rPr>
                <w:rFonts w:cs="Calibri"/>
                <w:b/>
                <w:bCs/>
                <w:color w:val="000000"/>
                <w:lang w:bidi="ar-SA"/>
              </w:rPr>
            </w:pPr>
            <w:r w:rsidRPr="009816EB">
              <w:rPr>
                <w:rFonts w:cs="Calibri"/>
                <w:b/>
                <w:bCs/>
                <w:color w:val="000000"/>
                <w:lang w:bidi="ar-SA"/>
              </w:rPr>
              <w:t>Bridge for Youth</w:t>
            </w:r>
          </w:p>
        </w:tc>
        <w:tc>
          <w:tcPr>
            <w:tcW w:w="1304" w:type="dxa"/>
            <w:tcBorders>
              <w:top w:val="nil"/>
              <w:left w:val="nil"/>
              <w:bottom w:val="single" w:sz="4" w:space="0" w:color="auto"/>
              <w:right w:val="single" w:sz="4" w:space="0" w:color="auto"/>
            </w:tcBorders>
            <w:shd w:val="clear" w:color="000000" w:fill="D9D9D9"/>
            <w:noWrap/>
            <w:vAlign w:val="center"/>
            <w:hideMark/>
          </w:tcPr>
          <w:p w14:paraId="718D514E"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000000" w:fill="D9D9D9"/>
            <w:noWrap/>
            <w:vAlign w:val="center"/>
            <w:hideMark/>
          </w:tcPr>
          <w:p w14:paraId="557518F7" w14:textId="5CEEF44A" w:rsidR="009816EB" w:rsidRPr="009816EB" w:rsidRDefault="009816EB"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000000" w:fill="D9D9D9"/>
            <w:noWrap/>
            <w:vAlign w:val="center"/>
            <w:hideMark/>
          </w:tcPr>
          <w:p w14:paraId="084BB0D9"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000000" w:fill="D9D9D9"/>
            <w:noWrap/>
            <w:vAlign w:val="center"/>
            <w:hideMark/>
          </w:tcPr>
          <w:p w14:paraId="5ACC24A3" w14:textId="561EA0EF" w:rsidR="009816EB" w:rsidRPr="009816EB" w:rsidRDefault="009816EB"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000000" w:fill="D9D9D9"/>
            <w:noWrap/>
            <w:vAlign w:val="center"/>
            <w:hideMark/>
          </w:tcPr>
          <w:p w14:paraId="64A656B5"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000000" w:fill="D9D9D9"/>
            <w:noWrap/>
            <w:vAlign w:val="center"/>
            <w:hideMark/>
          </w:tcPr>
          <w:p w14:paraId="5C594142"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9816EB" w:rsidRPr="009816EB" w14:paraId="3DFAC339" w14:textId="77777777" w:rsidTr="00F157DA">
        <w:trPr>
          <w:trHeight w:val="108"/>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39CFC71D" w14:textId="5FC1EBED" w:rsidR="009816EB" w:rsidRPr="009816EB" w:rsidRDefault="009816EB" w:rsidP="009816EB">
            <w:pPr>
              <w:spacing w:before="0" w:after="0" w:line="240" w:lineRule="auto"/>
              <w:rPr>
                <w:rFonts w:cs="Calibri"/>
                <w:b/>
                <w:bCs/>
                <w:color w:val="000000"/>
                <w:lang w:bidi="ar-SA"/>
              </w:rPr>
            </w:pPr>
            <w:proofErr w:type="spellStart"/>
            <w:r w:rsidRPr="009816EB">
              <w:rPr>
                <w:rFonts w:cs="Calibri"/>
                <w:b/>
                <w:bCs/>
                <w:color w:val="000000"/>
                <w:lang w:bidi="ar-SA"/>
              </w:rPr>
              <w:t>Brooklynk</w:t>
            </w:r>
            <w:proofErr w:type="spellEnd"/>
          </w:p>
        </w:tc>
        <w:tc>
          <w:tcPr>
            <w:tcW w:w="1304" w:type="dxa"/>
            <w:tcBorders>
              <w:top w:val="nil"/>
              <w:left w:val="nil"/>
              <w:bottom w:val="single" w:sz="4" w:space="0" w:color="auto"/>
              <w:right w:val="single" w:sz="4" w:space="0" w:color="auto"/>
            </w:tcBorders>
            <w:shd w:val="clear" w:color="auto" w:fill="auto"/>
            <w:noWrap/>
            <w:vAlign w:val="center"/>
            <w:hideMark/>
          </w:tcPr>
          <w:p w14:paraId="73167BB9"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40956064" w14:textId="7010D9CC" w:rsidR="009816EB" w:rsidRPr="009816EB" w:rsidRDefault="009816EB"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auto" w:fill="auto"/>
            <w:noWrap/>
            <w:vAlign w:val="center"/>
            <w:hideMark/>
          </w:tcPr>
          <w:p w14:paraId="3D9FC3A8"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auto"/>
            <w:noWrap/>
            <w:vAlign w:val="center"/>
            <w:hideMark/>
          </w:tcPr>
          <w:p w14:paraId="3521CA04" w14:textId="5180534E" w:rsidR="009816EB" w:rsidRPr="009816EB" w:rsidRDefault="009816EB"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auto" w:fill="auto"/>
            <w:noWrap/>
            <w:vAlign w:val="center"/>
            <w:hideMark/>
          </w:tcPr>
          <w:p w14:paraId="6C4FC7F4" w14:textId="4308BC44" w:rsidR="009816EB" w:rsidRPr="009816EB" w:rsidRDefault="009816EB"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auto"/>
            <w:noWrap/>
            <w:vAlign w:val="center"/>
            <w:hideMark/>
          </w:tcPr>
          <w:p w14:paraId="4BB6C6F0"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9816EB" w:rsidRPr="009816EB" w14:paraId="13F864B6" w14:textId="77777777" w:rsidTr="00F157DA">
        <w:trPr>
          <w:trHeight w:val="54"/>
        </w:trPr>
        <w:tc>
          <w:tcPr>
            <w:tcW w:w="2235" w:type="dxa"/>
            <w:tcBorders>
              <w:top w:val="nil"/>
              <w:left w:val="single" w:sz="4" w:space="0" w:color="auto"/>
              <w:bottom w:val="single" w:sz="4" w:space="0" w:color="auto"/>
              <w:right w:val="single" w:sz="4" w:space="0" w:color="auto"/>
            </w:tcBorders>
            <w:shd w:val="clear" w:color="000000" w:fill="D9D9D9"/>
            <w:vAlign w:val="bottom"/>
            <w:hideMark/>
          </w:tcPr>
          <w:p w14:paraId="582039F9" w14:textId="77777777" w:rsidR="009816EB" w:rsidRPr="009816EB" w:rsidRDefault="009816EB" w:rsidP="009816EB">
            <w:pPr>
              <w:spacing w:before="0" w:after="0" w:line="240" w:lineRule="auto"/>
              <w:rPr>
                <w:rFonts w:cs="Calibri"/>
                <w:b/>
                <w:bCs/>
                <w:color w:val="000000"/>
                <w:lang w:bidi="ar-SA"/>
              </w:rPr>
            </w:pPr>
            <w:r w:rsidRPr="009816EB">
              <w:rPr>
                <w:rFonts w:cs="Calibri"/>
                <w:b/>
                <w:bCs/>
                <w:color w:val="000000"/>
                <w:lang w:bidi="ar-SA"/>
              </w:rPr>
              <w:t>Career Solutions</w:t>
            </w:r>
          </w:p>
        </w:tc>
        <w:tc>
          <w:tcPr>
            <w:tcW w:w="1304" w:type="dxa"/>
            <w:tcBorders>
              <w:top w:val="nil"/>
              <w:left w:val="nil"/>
              <w:bottom w:val="single" w:sz="4" w:space="0" w:color="auto"/>
              <w:right w:val="single" w:sz="4" w:space="0" w:color="auto"/>
            </w:tcBorders>
            <w:shd w:val="clear" w:color="000000" w:fill="D9D9D9"/>
            <w:noWrap/>
            <w:vAlign w:val="center"/>
            <w:hideMark/>
          </w:tcPr>
          <w:p w14:paraId="675CDE3F"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000000" w:fill="D9D9D9"/>
            <w:noWrap/>
            <w:vAlign w:val="center"/>
            <w:hideMark/>
          </w:tcPr>
          <w:p w14:paraId="70C6FA17"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000000" w:fill="D9D9D9"/>
            <w:noWrap/>
            <w:vAlign w:val="center"/>
            <w:hideMark/>
          </w:tcPr>
          <w:p w14:paraId="1C753114"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000000" w:fill="D9D9D9"/>
            <w:noWrap/>
            <w:vAlign w:val="center"/>
            <w:hideMark/>
          </w:tcPr>
          <w:p w14:paraId="56E89552" w14:textId="412B49E1" w:rsidR="009816EB" w:rsidRPr="009816EB" w:rsidRDefault="009816EB"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000000" w:fill="D9D9D9"/>
            <w:noWrap/>
            <w:vAlign w:val="center"/>
            <w:hideMark/>
          </w:tcPr>
          <w:p w14:paraId="33B54873"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000000" w:fill="D9D9D9"/>
            <w:noWrap/>
            <w:vAlign w:val="center"/>
            <w:hideMark/>
          </w:tcPr>
          <w:p w14:paraId="4CA93F90" w14:textId="34BE1A06" w:rsidR="009816EB" w:rsidRPr="009816EB" w:rsidRDefault="009816EB" w:rsidP="00F157DA">
            <w:pPr>
              <w:spacing w:before="0" w:after="0" w:line="240" w:lineRule="auto"/>
              <w:jc w:val="center"/>
              <w:rPr>
                <w:rFonts w:cs="Calibri"/>
                <w:b/>
                <w:bCs/>
                <w:color w:val="000000"/>
                <w:sz w:val="18"/>
                <w:szCs w:val="18"/>
                <w:lang w:bidi="ar-SA"/>
              </w:rPr>
            </w:pPr>
          </w:p>
        </w:tc>
      </w:tr>
      <w:tr w:rsidR="009816EB" w:rsidRPr="009816EB" w14:paraId="363A6914" w14:textId="77777777" w:rsidTr="00F157DA">
        <w:trPr>
          <w:trHeight w:val="162"/>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3B3C5516" w14:textId="77777777" w:rsidR="009816EB" w:rsidRPr="009816EB" w:rsidRDefault="009816EB" w:rsidP="009816EB">
            <w:pPr>
              <w:spacing w:before="0" w:after="0" w:line="240" w:lineRule="auto"/>
              <w:rPr>
                <w:rFonts w:cs="Calibri"/>
                <w:b/>
                <w:bCs/>
                <w:color w:val="000000"/>
                <w:lang w:bidi="ar-SA"/>
              </w:rPr>
            </w:pPr>
            <w:r w:rsidRPr="009816EB">
              <w:rPr>
                <w:rFonts w:cs="Calibri"/>
                <w:b/>
                <w:bCs/>
                <w:color w:val="000000"/>
                <w:lang w:bidi="ar-SA"/>
              </w:rPr>
              <w:t>Central Minnesota Jobs and Training Services</w:t>
            </w:r>
          </w:p>
        </w:tc>
        <w:tc>
          <w:tcPr>
            <w:tcW w:w="1304" w:type="dxa"/>
            <w:tcBorders>
              <w:top w:val="nil"/>
              <w:left w:val="nil"/>
              <w:bottom w:val="single" w:sz="4" w:space="0" w:color="auto"/>
              <w:right w:val="single" w:sz="4" w:space="0" w:color="auto"/>
            </w:tcBorders>
            <w:shd w:val="clear" w:color="auto" w:fill="auto"/>
            <w:noWrap/>
            <w:vAlign w:val="center"/>
            <w:hideMark/>
          </w:tcPr>
          <w:p w14:paraId="149904F6"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4D600E49"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auto" w:fill="auto"/>
            <w:noWrap/>
            <w:vAlign w:val="center"/>
            <w:hideMark/>
          </w:tcPr>
          <w:p w14:paraId="7910D3D8"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auto"/>
            <w:noWrap/>
            <w:vAlign w:val="center"/>
            <w:hideMark/>
          </w:tcPr>
          <w:p w14:paraId="159BF0B2" w14:textId="7BF9377C" w:rsidR="009816EB" w:rsidRPr="009816EB" w:rsidRDefault="00B61FD9" w:rsidP="00F157DA">
            <w:pPr>
              <w:spacing w:before="0" w:after="0" w:line="240" w:lineRule="auto"/>
              <w:jc w:val="center"/>
              <w:rPr>
                <w:rFonts w:cs="Calibri"/>
                <w:b/>
                <w:bCs/>
                <w:color w:val="000000"/>
                <w:sz w:val="18"/>
                <w:szCs w:val="18"/>
                <w:lang w:bidi="ar-SA"/>
              </w:rPr>
            </w:pPr>
            <w:r>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auto" w:fill="auto"/>
            <w:noWrap/>
            <w:vAlign w:val="center"/>
            <w:hideMark/>
          </w:tcPr>
          <w:p w14:paraId="1A6D8D72" w14:textId="0B76A50A" w:rsidR="009816EB" w:rsidRPr="009816EB" w:rsidRDefault="00B61FD9" w:rsidP="00F157DA">
            <w:pPr>
              <w:spacing w:before="0" w:after="0" w:line="240" w:lineRule="auto"/>
              <w:jc w:val="center"/>
              <w:rPr>
                <w:rFonts w:cs="Calibri"/>
                <w:b/>
                <w:bCs/>
                <w:color w:val="000000"/>
                <w:sz w:val="18"/>
                <w:szCs w:val="18"/>
                <w:lang w:bidi="ar-SA"/>
              </w:rPr>
            </w:pPr>
            <w:r>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auto" w:fill="auto"/>
            <w:noWrap/>
            <w:vAlign w:val="center"/>
            <w:hideMark/>
          </w:tcPr>
          <w:p w14:paraId="77D80B67" w14:textId="0339B5E6" w:rsidR="009816EB" w:rsidRPr="009816EB" w:rsidRDefault="00B61FD9" w:rsidP="00F157DA">
            <w:pPr>
              <w:spacing w:before="0" w:after="0" w:line="240" w:lineRule="auto"/>
              <w:jc w:val="center"/>
              <w:rPr>
                <w:rFonts w:cs="Calibri"/>
                <w:b/>
                <w:bCs/>
                <w:color w:val="000000"/>
                <w:sz w:val="18"/>
                <w:szCs w:val="18"/>
                <w:lang w:bidi="ar-SA"/>
              </w:rPr>
            </w:pPr>
            <w:r>
              <w:rPr>
                <w:rFonts w:cs="Calibri"/>
                <w:b/>
                <w:bCs/>
                <w:color w:val="000000"/>
                <w:sz w:val="18"/>
                <w:szCs w:val="18"/>
                <w:lang w:bidi="ar-SA"/>
              </w:rPr>
              <w:t>x</w:t>
            </w:r>
          </w:p>
        </w:tc>
      </w:tr>
      <w:tr w:rsidR="009816EB" w:rsidRPr="009816EB" w14:paraId="4C9CBE4E" w14:textId="77777777" w:rsidTr="00F157DA">
        <w:trPr>
          <w:trHeight w:val="54"/>
        </w:trPr>
        <w:tc>
          <w:tcPr>
            <w:tcW w:w="2235" w:type="dxa"/>
            <w:tcBorders>
              <w:top w:val="nil"/>
              <w:left w:val="single" w:sz="4" w:space="0" w:color="auto"/>
              <w:bottom w:val="single" w:sz="4" w:space="0" w:color="auto"/>
              <w:right w:val="single" w:sz="4" w:space="0" w:color="auto"/>
            </w:tcBorders>
            <w:shd w:val="clear" w:color="000000" w:fill="D9D9D9"/>
            <w:vAlign w:val="bottom"/>
            <w:hideMark/>
          </w:tcPr>
          <w:p w14:paraId="79DDE513" w14:textId="77777777" w:rsidR="009816EB" w:rsidRPr="009816EB" w:rsidRDefault="009816EB" w:rsidP="009816EB">
            <w:pPr>
              <w:spacing w:before="0" w:after="0" w:line="240" w:lineRule="auto"/>
              <w:rPr>
                <w:rFonts w:cs="Calibri"/>
                <w:b/>
                <w:bCs/>
                <w:color w:val="000000"/>
                <w:lang w:bidi="ar-SA"/>
              </w:rPr>
            </w:pPr>
            <w:r w:rsidRPr="009816EB">
              <w:rPr>
                <w:rFonts w:cs="Calibri"/>
                <w:b/>
                <w:bCs/>
                <w:color w:val="000000"/>
                <w:lang w:bidi="ar-SA"/>
              </w:rPr>
              <w:t>Change Inc.</w:t>
            </w:r>
          </w:p>
        </w:tc>
        <w:tc>
          <w:tcPr>
            <w:tcW w:w="1304" w:type="dxa"/>
            <w:tcBorders>
              <w:top w:val="nil"/>
              <w:left w:val="nil"/>
              <w:bottom w:val="single" w:sz="4" w:space="0" w:color="auto"/>
              <w:right w:val="single" w:sz="4" w:space="0" w:color="auto"/>
            </w:tcBorders>
            <w:shd w:val="clear" w:color="000000" w:fill="D9D9D9"/>
            <w:noWrap/>
            <w:vAlign w:val="center"/>
            <w:hideMark/>
          </w:tcPr>
          <w:p w14:paraId="50AA0EAD"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000000" w:fill="D9D9D9"/>
            <w:noWrap/>
            <w:vAlign w:val="center"/>
            <w:hideMark/>
          </w:tcPr>
          <w:p w14:paraId="2701D798"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000000" w:fill="D9D9D9"/>
            <w:noWrap/>
            <w:vAlign w:val="center"/>
            <w:hideMark/>
          </w:tcPr>
          <w:p w14:paraId="0CB8A668"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000000" w:fill="D9D9D9"/>
            <w:noWrap/>
            <w:vAlign w:val="center"/>
            <w:hideMark/>
          </w:tcPr>
          <w:p w14:paraId="22D4A280" w14:textId="5803DC5F" w:rsidR="009816EB" w:rsidRPr="009816EB" w:rsidRDefault="009816EB"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000000" w:fill="D9D9D9"/>
            <w:noWrap/>
            <w:vAlign w:val="center"/>
            <w:hideMark/>
          </w:tcPr>
          <w:p w14:paraId="526ABD40" w14:textId="2729FB9D" w:rsidR="009816EB" w:rsidRPr="009816EB" w:rsidRDefault="00303903" w:rsidP="00F157DA">
            <w:pPr>
              <w:spacing w:before="0" w:after="0" w:line="240" w:lineRule="auto"/>
              <w:jc w:val="center"/>
              <w:rPr>
                <w:rFonts w:cs="Calibri"/>
                <w:b/>
                <w:bCs/>
                <w:color w:val="000000"/>
                <w:sz w:val="18"/>
                <w:szCs w:val="18"/>
                <w:lang w:bidi="ar-SA"/>
              </w:rPr>
            </w:pPr>
            <w:r>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000000" w:fill="D9D9D9"/>
            <w:noWrap/>
            <w:vAlign w:val="center"/>
            <w:hideMark/>
          </w:tcPr>
          <w:p w14:paraId="63EB154B"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9816EB" w:rsidRPr="009816EB" w14:paraId="55F8055F" w14:textId="77777777" w:rsidTr="00F157DA">
        <w:trPr>
          <w:trHeight w:val="54"/>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343D8AEE" w14:textId="77777777" w:rsidR="009816EB" w:rsidRPr="009816EB" w:rsidRDefault="009816EB" w:rsidP="009816EB">
            <w:pPr>
              <w:spacing w:before="0" w:after="0" w:line="240" w:lineRule="auto"/>
              <w:rPr>
                <w:rFonts w:cs="Calibri"/>
                <w:b/>
                <w:bCs/>
                <w:color w:val="000000"/>
                <w:lang w:bidi="ar-SA"/>
              </w:rPr>
            </w:pPr>
            <w:r w:rsidRPr="009816EB">
              <w:rPr>
                <w:rFonts w:cs="Calibri"/>
                <w:b/>
                <w:bCs/>
                <w:color w:val="000000"/>
                <w:lang w:bidi="ar-SA"/>
              </w:rPr>
              <w:t>City of Duluth</w:t>
            </w:r>
          </w:p>
        </w:tc>
        <w:tc>
          <w:tcPr>
            <w:tcW w:w="1304" w:type="dxa"/>
            <w:tcBorders>
              <w:top w:val="nil"/>
              <w:left w:val="nil"/>
              <w:bottom w:val="single" w:sz="4" w:space="0" w:color="auto"/>
              <w:right w:val="single" w:sz="4" w:space="0" w:color="auto"/>
            </w:tcBorders>
            <w:shd w:val="clear" w:color="auto" w:fill="auto"/>
            <w:noWrap/>
            <w:vAlign w:val="center"/>
            <w:hideMark/>
          </w:tcPr>
          <w:p w14:paraId="3807A913"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18EE04DD" w14:textId="10A66B03" w:rsidR="009816EB" w:rsidRPr="009816EB" w:rsidRDefault="009816EB"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auto" w:fill="auto"/>
            <w:noWrap/>
            <w:vAlign w:val="center"/>
            <w:hideMark/>
          </w:tcPr>
          <w:p w14:paraId="7E3D4648" w14:textId="77777777" w:rsidR="009816EB" w:rsidRPr="009816EB" w:rsidRDefault="009816EB"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auto"/>
            <w:noWrap/>
            <w:vAlign w:val="center"/>
            <w:hideMark/>
          </w:tcPr>
          <w:p w14:paraId="0FBE3A9C" w14:textId="5B6415AC" w:rsidR="009816EB" w:rsidRPr="009816EB" w:rsidRDefault="009816EB"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auto" w:fill="auto"/>
            <w:noWrap/>
            <w:vAlign w:val="center"/>
            <w:hideMark/>
          </w:tcPr>
          <w:p w14:paraId="0FDB2F4B" w14:textId="29A0618B" w:rsidR="009816EB" w:rsidRPr="009816EB" w:rsidRDefault="009816EB"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auto"/>
            <w:noWrap/>
            <w:vAlign w:val="center"/>
            <w:hideMark/>
          </w:tcPr>
          <w:p w14:paraId="66B201B2" w14:textId="08CAE738" w:rsidR="009816EB" w:rsidRPr="009816EB" w:rsidRDefault="009816EB" w:rsidP="00F157DA">
            <w:pPr>
              <w:spacing w:before="0" w:after="0" w:line="240" w:lineRule="auto"/>
              <w:jc w:val="center"/>
              <w:rPr>
                <w:rFonts w:cs="Calibri"/>
                <w:b/>
                <w:bCs/>
                <w:color w:val="000000"/>
                <w:sz w:val="18"/>
                <w:szCs w:val="18"/>
                <w:lang w:bidi="ar-SA"/>
              </w:rPr>
            </w:pPr>
          </w:p>
        </w:tc>
      </w:tr>
      <w:tr w:rsidR="00E346F1" w:rsidRPr="009816EB" w14:paraId="61C46D2C" w14:textId="77777777" w:rsidTr="00F157DA">
        <w:trPr>
          <w:trHeight w:val="108"/>
        </w:trPr>
        <w:tc>
          <w:tcPr>
            <w:tcW w:w="2235" w:type="dxa"/>
            <w:tcBorders>
              <w:top w:val="nil"/>
              <w:left w:val="single" w:sz="4" w:space="0" w:color="auto"/>
              <w:bottom w:val="single" w:sz="4" w:space="0" w:color="auto"/>
              <w:right w:val="single" w:sz="4" w:space="0" w:color="auto"/>
            </w:tcBorders>
            <w:shd w:val="clear" w:color="000000" w:fill="D9D9D9"/>
            <w:vAlign w:val="bottom"/>
            <w:hideMark/>
          </w:tcPr>
          <w:p w14:paraId="26F2E315" w14:textId="2F719902" w:rsidR="00E346F1" w:rsidRPr="009816EB" w:rsidRDefault="00E346F1" w:rsidP="00E346F1">
            <w:pPr>
              <w:spacing w:before="0" w:after="0" w:line="240" w:lineRule="auto"/>
              <w:rPr>
                <w:rFonts w:cs="Calibri"/>
                <w:b/>
                <w:bCs/>
                <w:color w:val="000000"/>
                <w:lang w:bidi="ar-SA"/>
              </w:rPr>
            </w:pPr>
            <w:r>
              <w:rPr>
                <w:rFonts w:cs="Calibri"/>
                <w:b/>
                <w:bCs/>
                <w:color w:val="000000"/>
                <w:lang w:bidi="ar-SA"/>
              </w:rPr>
              <w:t xml:space="preserve">City of </w:t>
            </w:r>
            <w:r w:rsidRPr="009816EB">
              <w:rPr>
                <w:rFonts w:cs="Calibri"/>
                <w:b/>
                <w:bCs/>
                <w:color w:val="000000"/>
                <w:lang w:bidi="ar-SA"/>
              </w:rPr>
              <w:t>Minneapolis Step-Up</w:t>
            </w:r>
          </w:p>
        </w:tc>
        <w:tc>
          <w:tcPr>
            <w:tcW w:w="1304" w:type="dxa"/>
            <w:tcBorders>
              <w:top w:val="nil"/>
              <w:left w:val="nil"/>
              <w:bottom w:val="single" w:sz="4" w:space="0" w:color="auto"/>
              <w:right w:val="single" w:sz="4" w:space="0" w:color="auto"/>
            </w:tcBorders>
            <w:shd w:val="clear" w:color="000000" w:fill="D9D9D9"/>
            <w:noWrap/>
            <w:vAlign w:val="center"/>
            <w:hideMark/>
          </w:tcPr>
          <w:p w14:paraId="4EFE60BD" w14:textId="25F5EF65"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000000" w:fill="D9D9D9"/>
            <w:noWrap/>
            <w:vAlign w:val="center"/>
            <w:hideMark/>
          </w:tcPr>
          <w:p w14:paraId="0FD210C6" w14:textId="6B14FB06" w:rsidR="00E346F1" w:rsidRPr="009816EB" w:rsidRDefault="00E346F1"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000000" w:fill="D9D9D9"/>
            <w:noWrap/>
            <w:vAlign w:val="center"/>
            <w:hideMark/>
          </w:tcPr>
          <w:p w14:paraId="08DA34CE" w14:textId="2DE693BF"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000000" w:fill="D9D9D9"/>
            <w:noWrap/>
            <w:vAlign w:val="center"/>
            <w:hideMark/>
          </w:tcPr>
          <w:p w14:paraId="36287124" w14:textId="1EEF116A" w:rsidR="00E346F1" w:rsidRPr="009816EB" w:rsidRDefault="00E346F1"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000000" w:fill="D9D9D9"/>
            <w:noWrap/>
            <w:vAlign w:val="center"/>
            <w:hideMark/>
          </w:tcPr>
          <w:p w14:paraId="488955A8" w14:textId="7C294BCA"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000000" w:fill="D9D9D9"/>
            <w:noWrap/>
            <w:vAlign w:val="center"/>
            <w:hideMark/>
          </w:tcPr>
          <w:p w14:paraId="57A7F73B" w14:textId="547BC947" w:rsidR="00E346F1" w:rsidRPr="009816EB" w:rsidRDefault="00E346F1" w:rsidP="00F157DA">
            <w:pPr>
              <w:spacing w:before="0" w:after="0" w:line="240" w:lineRule="auto"/>
              <w:jc w:val="center"/>
              <w:rPr>
                <w:rFonts w:cs="Calibri"/>
                <w:b/>
                <w:bCs/>
                <w:color w:val="000000"/>
                <w:sz w:val="18"/>
                <w:szCs w:val="18"/>
                <w:lang w:bidi="ar-SA"/>
              </w:rPr>
            </w:pPr>
          </w:p>
        </w:tc>
      </w:tr>
      <w:tr w:rsidR="00E346F1" w:rsidRPr="009816EB" w14:paraId="12A13AFC" w14:textId="77777777" w:rsidTr="00F157DA">
        <w:trPr>
          <w:trHeight w:val="108"/>
        </w:trPr>
        <w:tc>
          <w:tcPr>
            <w:tcW w:w="2235" w:type="dxa"/>
            <w:tcBorders>
              <w:top w:val="nil"/>
              <w:left w:val="single" w:sz="4" w:space="0" w:color="auto"/>
              <w:bottom w:val="single" w:sz="4" w:space="0" w:color="auto"/>
              <w:right w:val="single" w:sz="4" w:space="0" w:color="auto"/>
            </w:tcBorders>
            <w:shd w:val="clear" w:color="auto" w:fill="FFFFFF" w:themeFill="background1"/>
            <w:vAlign w:val="bottom"/>
          </w:tcPr>
          <w:p w14:paraId="3F1CF616" w14:textId="56697DC1"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lastRenderedPageBreak/>
              <w:t>City of St. Paul - Right Track</w:t>
            </w:r>
          </w:p>
        </w:tc>
        <w:tc>
          <w:tcPr>
            <w:tcW w:w="1304" w:type="dxa"/>
            <w:tcBorders>
              <w:top w:val="nil"/>
              <w:left w:val="nil"/>
              <w:bottom w:val="single" w:sz="4" w:space="0" w:color="auto"/>
              <w:right w:val="single" w:sz="4" w:space="0" w:color="auto"/>
            </w:tcBorders>
            <w:shd w:val="clear" w:color="auto" w:fill="FFFFFF" w:themeFill="background1"/>
            <w:noWrap/>
            <w:vAlign w:val="center"/>
          </w:tcPr>
          <w:p w14:paraId="55198541" w14:textId="280A2656"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FFFFFF" w:themeFill="background1"/>
            <w:noWrap/>
            <w:vAlign w:val="center"/>
          </w:tcPr>
          <w:p w14:paraId="4F19F198" w14:textId="286D8730"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auto" w:fill="FFFFFF" w:themeFill="background1"/>
            <w:noWrap/>
            <w:vAlign w:val="center"/>
          </w:tcPr>
          <w:p w14:paraId="31562C09" w14:textId="0CE7FD0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FFFFFF" w:themeFill="background1"/>
            <w:noWrap/>
            <w:vAlign w:val="center"/>
          </w:tcPr>
          <w:p w14:paraId="51E42A9D" w14:textId="3AE2BF0C"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auto" w:fill="FFFFFF" w:themeFill="background1"/>
            <w:noWrap/>
            <w:vAlign w:val="center"/>
          </w:tcPr>
          <w:p w14:paraId="39439E9B" w14:textId="2BE5845B"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FFFFFF" w:themeFill="background1"/>
            <w:noWrap/>
            <w:vAlign w:val="center"/>
          </w:tcPr>
          <w:p w14:paraId="7228646A" w14:textId="1F136F8D" w:rsidR="00E346F1" w:rsidRPr="009816EB" w:rsidRDefault="00E346F1" w:rsidP="00F157DA">
            <w:pPr>
              <w:spacing w:before="0" w:after="0" w:line="240" w:lineRule="auto"/>
              <w:jc w:val="center"/>
              <w:rPr>
                <w:rFonts w:cs="Calibri"/>
                <w:b/>
                <w:bCs/>
                <w:color w:val="000000"/>
                <w:sz w:val="18"/>
                <w:szCs w:val="18"/>
                <w:lang w:bidi="ar-SA"/>
              </w:rPr>
            </w:pPr>
          </w:p>
        </w:tc>
      </w:tr>
      <w:tr w:rsidR="00E346F1" w:rsidRPr="009816EB" w14:paraId="689EB205" w14:textId="77777777" w:rsidTr="00F157DA">
        <w:trPr>
          <w:trHeight w:val="54"/>
        </w:trPr>
        <w:tc>
          <w:tcPr>
            <w:tcW w:w="223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79D098D"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Conservation Corps</w:t>
            </w:r>
          </w:p>
        </w:tc>
        <w:tc>
          <w:tcPr>
            <w:tcW w:w="1304" w:type="dxa"/>
            <w:tcBorders>
              <w:top w:val="nil"/>
              <w:left w:val="nil"/>
              <w:bottom w:val="single" w:sz="4" w:space="0" w:color="auto"/>
              <w:right w:val="single" w:sz="4" w:space="0" w:color="auto"/>
            </w:tcBorders>
            <w:shd w:val="clear" w:color="auto" w:fill="D9D9D9" w:themeFill="background1" w:themeFillShade="D9"/>
            <w:noWrap/>
            <w:vAlign w:val="center"/>
            <w:hideMark/>
          </w:tcPr>
          <w:p w14:paraId="6E843485" w14:textId="47AB3B8E" w:rsidR="00E346F1" w:rsidRPr="009816EB" w:rsidRDefault="00E346F1" w:rsidP="00F157DA">
            <w:pPr>
              <w:spacing w:before="0" w:after="0" w:line="240" w:lineRule="auto"/>
              <w:jc w:val="center"/>
              <w:rPr>
                <w:rFonts w:cs="Calibri"/>
                <w:b/>
                <w:bCs/>
                <w:color w:val="000000"/>
                <w:sz w:val="18"/>
                <w:szCs w:val="18"/>
                <w:lang w:bidi="ar-SA"/>
              </w:rPr>
            </w:pPr>
          </w:p>
        </w:tc>
        <w:tc>
          <w:tcPr>
            <w:tcW w:w="1448" w:type="dxa"/>
            <w:tcBorders>
              <w:top w:val="nil"/>
              <w:left w:val="nil"/>
              <w:bottom w:val="single" w:sz="4" w:space="0" w:color="auto"/>
              <w:right w:val="single" w:sz="4" w:space="0" w:color="auto"/>
            </w:tcBorders>
            <w:shd w:val="clear" w:color="auto" w:fill="D9D9D9" w:themeFill="background1" w:themeFillShade="D9"/>
            <w:noWrap/>
            <w:vAlign w:val="center"/>
            <w:hideMark/>
          </w:tcPr>
          <w:p w14:paraId="60DFCB66"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48AF647" w14:textId="0F188D6E" w:rsidR="00E346F1" w:rsidRPr="009816EB" w:rsidRDefault="00E346F1" w:rsidP="00F157DA">
            <w:pPr>
              <w:spacing w:before="0" w:after="0" w:line="240" w:lineRule="auto"/>
              <w:jc w:val="center"/>
              <w:rPr>
                <w:rFonts w:cs="Calibri"/>
                <w:b/>
                <w:bCs/>
                <w:color w:val="000000"/>
                <w:sz w:val="18"/>
                <w:szCs w:val="18"/>
                <w:lang w:bidi="ar-SA"/>
              </w:rPr>
            </w:pPr>
          </w:p>
        </w:tc>
        <w:tc>
          <w:tcPr>
            <w:tcW w:w="1069" w:type="dxa"/>
            <w:tcBorders>
              <w:top w:val="nil"/>
              <w:left w:val="nil"/>
              <w:bottom w:val="single" w:sz="4" w:space="0" w:color="auto"/>
              <w:right w:val="single" w:sz="4" w:space="0" w:color="auto"/>
            </w:tcBorders>
            <w:shd w:val="clear" w:color="auto" w:fill="D9D9D9" w:themeFill="background1" w:themeFillShade="D9"/>
            <w:noWrap/>
            <w:vAlign w:val="center"/>
            <w:hideMark/>
          </w:tcPr>
          <w:p w14:paraId="6216BCAF" w14:textId="3BF67C71" w:rsidR="00E346F1" w:rsidRPr="009816EB" w:rsidRDefault="00E346F1"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auto" w:fill="D9D9D9" w:themeFill="background1" w:themeFillShade="D9"/>
            <w:noWrap/>
            <w:vAlign w:val="center"/>
            <w:hideMark/>
          </w:tcPr>
          <w:p w14:paraId="1D517CF0"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auto" w:fill="D9D9D9" w:themeFill="background1" w:themeFillShade="D9"/>
            <w:noWrap/>
            <w:vAlign w:val="center"/>
            <w:hideMark/>
          </w:tcPr>
          <w:p w14:paraId="5A32C439"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E346F1" w:rsidRPr="009816EB" w14:paraId="65D857EF" w14:textId="77777777" w:rsidTr="00F157DA">
        <w:trPr>
          <w:trHeight w:val="54"/>
        </w:trPr>
        <w:tc>
          <w:tcPr>
            <w:tcW w:w="223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B205890"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Cookie Cart</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12F251A0"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FFFFFF" w:themeFill="background1"/>
            <w:noWrap/>
            <w:vAlign w:val="center"/>
            <w:hideMark/>
          </w:tcPr>
          <w:p w14:paraId="75321B46"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auto" w:fill="FFFFFF" w:themeFill="background1"/>
            <w:noWrap/>
            <w:vAlign w:val="center"/>
            <w:hideMark/>
          </w:tcPr>
          <w:p w14:paraId="1E4D3675"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FFFFFF" w:themeFill="background1"/>
            <w:noWrap/>
            <w:vAlign w:val="center"/>
            <w:hideMark/>
          </w:tcPr>
          <w:p w14:paraId="132EDAE2"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auto" w:fill="FFFFFF" w:themeFill="background1"/>
            <w:noWrap/>
            <w:vAlign w:val="center"/>
            <w:hideMark/>
          </w:tcPr>
          <w:p w14:paraId="078FC24F" w14:textId="7A10DFD3"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FFFFFF" w:themeFill="background1"/>
            <w:noWrap/>
            <w:vAlign w:val="center"/>
            <w:hideMark/>
          </w:tcPr>
          <w:p w14:paraId="311DF8A3" w14:textId="7467AD9E" w:rsidR="00E346F1" w:rsidRPr="009816EB" w:rsidRDefault="00E346F1" w:rsidP="00F157DA">
            <w:pPr>
              <w:spacing w:before="0" w:after="0" w:line="240" w:lineRule="auto"/>
              <w:jc w:val="center"/>
              <w:rPr>
                <w:rFonts w:cs="Calibri"/>
                <w:b/>
                <w:bCs/>
                <w:color w:val="000000"/>
                <w:sz w:val="18"/>
                <w:szCs w:val="18"/>
                <w:lang w:bidi="ar-SA"/>
              </w:rPr>
            </w:pPr>
          </w:p>
        </w:tc>
      </w:tr>
      <w:tr w:rsidR="00E346F1" w:rsidRPr="009816EB" w14:paraId="3EB71570" w14:textId="77777777" w:rsidTr="00F157DA">
        <w:trPr>
          <w:trHeight w:val="108"/>
        </w:trPr>
        <w:tc>
          <w:tcPr>
            <w:tcW w:w="223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7B25A0B"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Cristo Rey Jesuit High School</w:t>
            </w:r>
          </w:p>
        </w:tc>
        <w:tc>
          <w:tcPr>
            <w:tcW w:w="1304" w:type="dxa"/>
            <w:tcBorders>
              <w:top w:val="nil"/>
              <w:left w:val="nil"/>
              <w:bottom w:val="single" w:sz="4" w:space="0" w:color="auto"/>
              <w:right w:val="single" w:sz="4" w:space="0" w:color="auto"/>
            </w:tcBorders>
            <w:shd w:val="clear" w:color="auto" w:fill="D9D9D9" w:themeFill="background1" w:themeFillShade="D9"/>
            <w:noWrap/>
            <w:vAlign w:val="center"/>
            <w:hideMark/>
          </w:tcPr>
          <w:p w14:paraId="50353941"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D9D9D9" w:themeFill="background1" w:themeFillShade="D9"/>
            <w:noWrap/>
            <w:vAlign w:val="center"/>
            <w:hideMark/>
          </w:tcPr>
          <w:p w14:paraId="24E2439D"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7489F13"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D9D9D9" w:themeFill="background1" w:themeFillShade="D9"/>
            <w:noWrap/>
            <w:vAlign w:val="center"/>
            <w:hideMark/>
          </w:tcPr>
          <w:p w14:paraId="580B68DA" w14:textId="487C6BED" w:rsidR="00E346F1" w:rsidRPr="009816EB" w:rsidRDefault="00E346F1"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auto" w:fill="D9D9D9" w:themeFill="background1" w:themeFillShade="D9"/>
            <w:noWrap/>
            <w:vAlign w:val="center"/>
            <w:hideMark/>
          </w:tcPr>
          <w:p w14:paraId="48C261F0"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auto" w:fill="D9D9D9" w:themeFill="background1" w:themeFillShade="D9"/>
            <w:noWrap/>
            <w:vAlign w:val="center"/>
            <w:hideMark/>
          </w:tcPr>
          <w:p w14:paraId="64341FDC"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E346F1" w:rsidRPr="009816EB" w14:paraId="00F600B5" w14:textId="77777777" w:rsidTr="00F157DA">
        <w:trPr>
          <w:trHeight w:val="162"/>
        </w:trPr>
        <w:tc>
          <w:tcPr>
            <w:tcW w:w="223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0BE2D5A"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Eastside Neighborhood Services</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6ADE89FE"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FFFFFF" w:themeFill="background1"/>
            <w:noWrap/>
            <w:vAlign w:val="center"/>
            <w:hideMark/>
          </w:tcPr>
          <w:p w14:paraId="7660CD3B"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auto" w:fill="FFFFFF" w:themeFill="background1"/>
            <w:noWrap/>
            <w:vAlign w:val="center"/>
            <w:hideMark/>
          </w:tcPr>
          <w:p w14:paraId="7AAE494A"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FFFFFF" w:themeFill="background1"/>
            <w:noWrap/>
            <w:vAlign w:val="center"/>
            <w:hideMark/>
          </w:tcPr>
          <w:p w14:paraId="0B3E9BA4"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auto" w:fill="FFFFFF" w:themeFill="background1"/>
            <w:noWrap/>
            <w:vAlign w:val="center"/>
            <w:hideMark/>
          </w:tcPr>
          <w:p w14:paraId="7BE58A83" w14:textId="684541BB"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FFFFFF" w:themeFill="background1"/>
            <w:noWrap/>
            <w:vAlign w:val="center"/>
            <w:hideMark/>
          </w:tcPr>
          <w:p w14:paraId="2FFFBCAD"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E346F1" w:rsidRPr="009816EB" w14:paraId="76941821" w14:textId="77777777" w:rsidTr="00F157DA">
        <w:trPr>
          <w:trHeight w:val="54"/>
        </w:trPr>
        <w:tc>
          <w:tcPr>
            <w:tcW w:w="223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885DAA5"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Elpis Enterprises</w:t>
            </w:r>
          </w:p>
        </w:tc>
        <w:tc>
          <w:tcPr>
            <w:tcW w:w="1304" w:type="dxa"/>
            <w:tcBorders>
              <w:top w:val="nil"/>
              <w:left w:val="nil"/>
              <w:bottom w:val="single" w:sz="4" w:space="0" w:color="auto"/>
              <w:right w:val="single" w:sz="4" w:space="0" w:color="auto"/>
            </w:tcBorders>
            <w:shd w:val="clear" w:color="auto" w:fill="D9D9D9" w:themeFill="background1" w:themeFillShade="D9"/>
            <w:noWrap/>
            <w:vAlign w:val="center"/>
            <w:hideMark/>
          </w:tcPr>
          <w:p w14:paraId="4221E34E"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D9D9D9" w:themeFill="background1" w:themeFillShade="D9"/>
            <w:noWrap/>
            <w:vAlign w:val="center"/>
            <w:hideMark/>
          </w:tcPr>
          <w:p w14:paraId="2919F3FD" w14:textId="0AD90E51" w:rsidR="00E346F1" w:rsidRPr="009816EB" w:rsidRDefault="00B61FD9" w:rsidP="00F157DA">
            <w:pPr>
              <w:spacing w:before="0" w:after="0" w:line="240" w:lineRule="auto"/>
              <w:jc w:val="center"/>
              <w:rPr>
                <w:rFonts w:cs="Calibri"/>
                <w:b/>
                <w:bCs/>
                <w:color w:val="000000"/>
                <w:sz w:val="18"/>
                <w:szCs w:val="18"/>
                <w:lang w:bidi="ar-SA"/>
              </w:rPr>
            </w:pPr>
            <w:r>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3B203C7"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D9D9D9" w:themeFill="background1" w:themeFillShade="D9"/>
            <w:noWrap/>
            <w:vAlign w:val="center"/>
            <w:hideMark/>
          </w:tcPr>
          <w:p w14:paraId="3F47E573"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auto" w:fill="D9D9D9" w:themeFill="background1" w:themeFillShade="D9"/>
            <w:noWrap/>
            <w:vAlign w:val="center"/>
            <w:hideMark/>
          </w:tcPr>
          <w:p w14:paraId="443A45CB" w14:textId="4406F944"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D9D9D9" w:themeFill="background1" w:themeFillShade="D9"/>
            <w:noWrap/>
            <w:vAlign w:val="center"/>
            <w:hideMark/>
          </w:tcPr>
          <w:p w14:paraId="0A944E7F" w14:textId="5A957640" w:rsidR="00E346F1" w:rsidRPr="009816EB" w:rsidRDefault="00E346F1" w:rsidP="00F157DA">
            <w:pPr>
              <w:spacing w:before="0" w:after="0" w:line="240" w:lineRule="auto"/>
              <w:jc w:val="center"/>
              <w:rPr>
                <w:rFonts w:cs="Calibri"/>
                <w:b/>
                <w:bCs/>
                <w:color w:val="000000"/>
                <w:sz w:val="18"/>
                <w:szCs w:val="18"/>
                <w:lang w:bidi="ar-SA"/>
              </w:rPr>
            </w:pPr>
          </w:p>
        </w:tc>
      </w:tr>
      <w:tr w:rsidR="00E346F1" w:rsidRPr="009816EB" w14:paraId="31CEFC83" w14:textId="77777777" w:rsidTr="00F157DA">
        <w:trPr>
          <w:trHeight w:val="54"/>
        </w:trPr>
        <w:tc>
          <w:tcPr>
            <w:tcW w:w="223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A6E9A75"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Evergreen YFS</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702846B4"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FFFFFF" w:themeFill="background1"/>
            <w:noWrap/>
            <w:vAlign w:val="center"/>
            <w:hideMark/>
          </w:tcPr>
          <w:p w14:paraId="542D5D2D" w14:textId="32E65935" w:rsidR="00E346F1" w:rsidRPr="009816EB" w:rsidRDefault="00E346F1"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auto" w:fill="FFFFFF" w:themeFill="background1"/>
            <w:noWrap/>
            <w:vAlign w:val="center"/>
            <w:hideMark/>
          </w:tcPr>
          <w:p w14:paraId="6B5C75DD" w14:textId="49F90591" w:rsidR="00E346F1" w:rsidRPr="009816EB" w:rsidRDefault="00E346F1" w:rsidP="00F157DA">
            <w:pPr>
              <w:spacing w:before="0" w:after="0" w:line="240" w:lineRule="auto"/>
              <w:jc w:val="center"/>
              <w:rPr>
                <w:rFonts w:cs="Calibri"/>
                <w:b/>
                <w:bCs/>
                <w:color w:val="000000"/>
                <w:sz w:val="18"/>
                <w:szCs w:val="18"/>
                <w:lang w:bidi="ar-SA"/>
              </w:rPr>
            </w:pPr>
          </w:p>
        </w:tc>
        <w:tc>
          <w:tcPr>
            <w:tcW w:w="1069" w:type="dxa"/>
            <w:tcBorders>
              <w:top w:val="nil"/>
              <w:left w:val="nil"/>
              <w:bottom w:val="single" w:sz="4" w:space="0" w:color="auto"/>
              <w:right w:val="single" w:sz="4" w:space="0" w:color="auto"/>
            </w:tcBorders>
            <w:shd w:val="clear" w:color="auto" w:fill="FFFFFF" w:themeFill="background1"/>
            <w:noWrap/>
            <w:vAlign w:val="center"/>
            <w:hideMark/>
          </w:tcPr>
          <w:p w14:paraId="55229C6A" w14:textId="7157782B" w:rsidR="00E346F1" w:rsidRPr="009816EB" w:rsidRDefault="00E346F1"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auto" w:fill="FFFFFF" w:themeFill="background1"/>
            <w:noWrap/>
            <w:vAlign w:val="center"/>
            <w:hideMark/>
          </w:tcPr>
          <w:p w14:paraId="2BD77589"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auto" w:fill="FFFFFF" w:themeFill="background1"/>
            <w:noWrap/>
            <w:vAlign w:val="center"/>
            <w:hideMark/>
          </w:tcPr>
          <w:p w14:paraId="03C4D93F" w14:textId="43AA0A6C" w:rsidR="00E346F1" w:rsidRPr="009816EB" w:rsidRDefault="00E346F1" w:rsidP="00F157DA">
            <w:pPr>
              <w:spacing w:before="0" w:after="0" w:line="240" w:lineRule="auto"/>
              <w:jc w:val="center"/>
              <w:rPr>
                <w:rFonts w:cs="Calibri"/>
                <w:b/>
                <w:bCs/>
                <w:color w:val="000000"/>
                <w:sz w:val="18"/>
                <w:szCs w:val="18"/>
                <w:lang w:bidi="ar-SA"/>
              </w:rPr>
            </w:pPr>
          </w:p>
        </w:tc>
      </w:tr>
      <w:tr w:rsidR="00E346F1" w:rsidRPr="009816EB" w14:paraId="262DA6BC" w14:textId="77777777" w:rsidTr="00F157DA">
        <w:trPr>
          <w:trHeight w:val="108"/>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6CB9F106"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Goodwill-Easter Seals of MN</w:t>
            </w:r>
          </w:p>
        </w:tc>
        <w:tc>
          <w:tcPr>
            <w:tcW w:w="1304" w:type="dxa"/>
            <w:tcBorders>
              <w:top w:val="nil"/>
              <w:left w:val="nil"/>
              <w:bottom w:val="single" w:sz="4" w:space="0" w:color="auto"/>
              <w:right w:val="single" w:sz="4" w:space="0" w:color="auto"/>
            </w:tcBorders>
            <w:shd w:val="clear" w:color="auto" w:fill="auto"/>
            <w:noWrap/>
            <w:vAlign w:val="center"/>
            <w:hideMark/>
          </w:tcPr>
          <w:p w14:paraId="34605F4D"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7034EB01" w14:textId="6D5EB45D" w:rsidR="00E346F1" w:rsidRPr="009816EB" w:rsidRDefault="00E346F1"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auto" w:fill="auto"/>
            <w:noWrap/>
            <w:vAlign w:val="center"/>
            <w:hideMark/>
          </w:tcPr>
          <w:p w14:paraId="392883FE"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auto"/>
            <w:noWrap/>
            <w:vAlign w:val="center"/>
            <w:hideMark/>
          </w:tcPr>
          <w:p w14:paraId="625C8036"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auto" w:fill="auto"/>
            <w:noWrap/>
            <w:vAlign w:val="center"/>
            <w:hideMark/>
          </w:tcPr>
          <w:p w14:paraId="11AF88C3" w14:textId="653A3989"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auto"/>
            <w:noWrap/>
            <w:vAlign w:val="center"/>
            <w:hideMark/>
          </w:tcPr>
          <w:p w14:paraId="161E5EF5" w14:textId="05BE3063" w:rsidR="00E346F1" w:rsidRPr="009816EB" w:rsidRDefault="00E346F1" w:rsidP="00F157DA">
            <w:pPr>
              <w:spacing w:before="0" w:after="0" w:line="240" w:lineRule="auto"/>
              <w:jc w:val="center"/>
              <w:rPr>
                <w:rFonts w:cs="Calibri"/>
                <w:b/>
                <w:bCs/>
                <w:color w:val="000000"/>
                <w:sz w:val="18"/>
                <w:szCs w:val="18"/>
                <w:lang w:bidi="ar-SA"/>
              </w:rPr>
            </w:pPr>
          </w:p>
        </w:tc>
      </w:tr>
      <w:tr w:rsidR="00E346F1" w:rsidRPr="009816EB" w14:paraId="462403BC" w14:textId="77777777" w:rsidTr="00F157DA">
        <w:trPr>
          <w:trHeight w:val="108"/>
        </w:trPr>
        <w:tc>
          <w:tcPr>
            <w:tcW w:w="2235" w:type="dxa"/>
            <w:tcBorders>
              <w:top w:val="nil"/>
              <w:left w:val="single" w:sz="4" w:space="0" w:color="auto"/>
              <w:bottom w:val="single" w:sz="4" w:space="0" w:color="auto"/>
              <w:right w:val="single" w:sz="4" w:space="0" w:color="auto"/>
            </w:tcBorders>
            <w:shd w:val="clear" w:color="000000" w:fill="D9D9D9"/>
            <w:vAlign w:val="bottom"/>
            <w:hideMark/>
          </w:tcPr>
          <w:p w14:paraId="406249F2" w14:textId="66DBC032"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 xml:space="preserve">Hennepin County </w:t>
            </w:r>
          </w:p>
        </w:tc>
        <w:tc>
          <w:tcPr>
            <w:tcW w:w="1304" w:type="dxa"/>
            <w:tcBorders>
              <w:top w:val="nil"/>
              <w:left w:val="nil"/>
              <w:bottom w:val="single" w:sz="4" w:space="0" w:color="auto"/>
              <w:right w:val="single" w:sz="4" w:space="0" w:color="auto"/>
            </w:tcBorders>
            <w:shd w:val="clear" w:color="000000" w:fill="D9D9D9"/>
            <w:noWrap/>
            <w:vAlign w:val="center"/>
            <w:hideMark/>
          </w:tcPr>
          <w:p w14:paraId="15BBA5FA"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000000" w:fill="D9D9D9"/>
            <w:noWrap/>
            <w:vAlign w:val="center"/>
            <w:hideMark/>
          </w:tcPr>
          <w:p w14:paraId="5ADB3239" w14:textId="6C5303DA" w:rsidR="00E346F1" w:rsidRPr="009816EB" w:rsidRDefault="00E346F1"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000000" w:fill="D9D9D9"/>
            <w:noWrap/>
            <w:vAlign w:val="center"/>
            <w:hideMark/>
          </w:tcPr>
          <w:p w14:paraId="26229CB6" w14:textId="47C7C3BF" w:rsidR="00E346F1" w:rsidRPr="009816EB" w:rsidRDefault="00E346F1" w:rsidP="00F157DA">
            <w:pPr>
              <w:spacing w:before="0" w:after="0" w:line="240" w:lineRule="auto"/>
              <w:jc w:val="center"/>
              <w:rPr>
                <w:rFonts w:cs="Calibri"/>
                <w:b/>
                <w:bCs/>
                <w:color w:val="000000"/>
                <w:sz w:val="18"/>
                <w:szCs w:val="18"/>
                <w:lang w:bidi="ar-SA"/>
              </w:rPr>
            </w:pPr>
          </w:p>
        </w:tc>
        <w:tc>
          <w:tcPr>
            <w:tcW w:w="1069" w:type="dxa"/>
            <w:tcBorders>
              <w:top w:val="nil"/>
              <w:left w:val="nil"/>
              <w:bottom w:val="single" w:sz="4" w:space="0" w:color="auto"/>
              <w:right w:val="single" w:sz="4" w:space="0" w:color="auto"/>
            </w:tcBorders>
            <w:shd w:val="clear" w:color="000000" w:fill="D9D9D9"/>
            <w:noWrap/>
            <w:vAlign w:val="center"/>
            <w:hideMark/>
          </w:tcPr>
          <w:p w14:paraId="18E2AA17"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000000" w:fill="D9D9D9"/>
            <w:noWrap/>
            <w:vAlign w:val="center"/>
            <w:hideMark/>
          </w:tcPr>
          <w:p w14:paraId="4AA40221" w14:textId="55AD5279"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000000" w:fill="D9D9D9"/>
            <w:noWrap/>
            <w:vAlign w:val="center"/>
            <w:hideMark/>
          </w:tcPr>
          <w:p w14:paraId="10F29AA9" w14:textId="7541CEDC" w:rsidR="00E346F1" w:rsidRPr="009816EB" w:rsidRDefault="00E346F1" w:rsidP="00F157DA">
            <w:pPr>
              <w:spacing w:before="0" w:after="0" w:line="240" w:lineRule="auto"/>
              <w:jc w:val="center"/>
              <w:rPr>
                <w:rFonts w:cs="Calibri"/>
                <w:b/>
                <w:bCs/>
                <w:color w:val="000000"/>
                <w:sz w:val="18"/>
                <w:szCs w:val="18"/>
                <w:lang w:bidi="ar-SA"/>
              </w:rPr>
            </w:pPr>
          </w:p>
        </w:tc>
      </w:tr>
      <w:tr w:rsidR="00E346F1" w:rsidRPr="009816EB" w14:paraId="4F38F689" w14:textId="77777777" w:rsidTr="00F157DA">
        <w:trPr>
          <w:trHeight w:val="54"/>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6EB021EE"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HIRED</w:t>
            </w:r>
          </w:p>
        </w:tc>
        <w:tc>
          <w:tcPr>
            <w:tcW w:w="1304" w:type="dxa"/>
            <w:tcBorders>
              <w:top w:val="nil"/>
              <w:left w:val="nil"/>
              <w:bottom w:val="single" w:sz="4" w:space="0" w:color="auto"/>
              <w:right w:val="single" w:sz="4" w:space="0" w:color="auto"/>
            </w:tcBorders>
            <w:shd w:val="clear" w:color="auto" w:fill="auto"/>
            <w:noWrap/>
            <w:vAlign w:val="center"/>
            <w:hideMark/>
          </w:tcPr>
          <w:p w14:paraId="7612911B"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4155BD82" w14:textId="78A9C521" w:rsidR="00E346F1" w:rsidRPr="009816EB" w:rsidRDefault="00E346F1"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auto" w:fill="auto"/>
            <w:noWrap/>
            <w:vAlign w:val="center"/>
            <w:hideMark/>
          </w:tcPr>
          <w:p w14:paraId="1153F215" w14:textId="23FC82E5" w:rsidR="00E346F1" w:rsidRPr="009816EB" w:rsidRDefault="00E346F1" w:rsidP="00F157DA">
            <w:pPr>
              <w:spacing w:before="0" w:after="0" w:line="240" w:lineRule="auto"/>
              <w:jc w:val="center"/>
              <w:rPr>
                <w:rFonts w:cs="Calibri"/>
                <w:b/>
                <w:bCs/>
                <w:color w:val="000000"/>
                <w:sz w:val="18"/>
                <w:szCs w:val="18"/>
                <w:lang w:bidi="ar-SA"/>
              </w:rPr>
            </w:pPr>
          </w:p>
        </w:tc>
        <w:tc>
          <w:tcPr>
            <w:tcW w:w="1069" w:type="dxa"/>
            <w:tcBorders>
              <w:top w:val="nil"/>
              <w:left w:val="nil"/>
              <w:bottom w:val="single" w:sz="4" w:space="0" w:color="auto"/>
              <w:right w:val="single" w:sz="4" w:space="0" w:color="auto"/>
            </w:tcBorders>
            <w:shd w:val="clear" w:color="auto" w:fill="auto"/>
            <w:noWrap/>
            <w:vAlign w:val="center"/>
            <w:hideMark/>
          </w:tcPr>
          <w:p w14:paraId="5C7AB88A" w14:textId="29364111" w:rsidR="00E346F1" w:rsidRPr="009816EB" w:rsidRDefault="00E346F1"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auto" w:fill="auto"/>
            <w:noWrap/>
            <w:vAlign w:val="center"/>
            <w:hideMark/>
          </w:tcPr>
          <w:p w14:paraId="6B0666B7" w14:textId="216AF3A8"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auto"/>
            <w:noWrap/>
            <w:vAlign w:val="center"/>
            <w:hideMark/>
          </w:tcPr>
          <w:p w14:paraId="6F9F597D" w14:textId="1F123CA4" w:rsidR="00E346F1" w:rsidRPr="009816EB" w:rsidRDefault="00E346F1" w:rsidP="00F157DA">
            <w:pPr>
              <w:spacing w:before="0" w:after="0" w:line="240" w:lineRule="auto"/>
              <w:jc w:val="center"/>
              <w:rPr>
                <w:rFonts w:cs="Calibri"/>
                <w:b/>
                <w:bCs/>
                <w:color w:val="000000"/>
                <w:sz w:val="18"/>
                <w:szCs w:val="18"/>
                <w:lang w:bidi="ar-SA"/>
              </w:rPr>
            </w:pPr>
          </w:p>
        </w:tc>
      </w:tr>
      <w:tr w:rsidR="00E346F1" w:rsidRPr="009816EB" w14:paraId="5D4EFA84" w14:textId="77777777" w:rsidTr="00F157DA">
        <w:trPr>
          <w:trHeight w:val="108"/>
        </w:trPr>
        <w:tc>
          <w:tcPr>
            <w:tcW w:w="2235" w:type="dxa"/>
            <w:tcBorders>
              <w:top w:val="nil"/>
              <w:left w:val="single" w:sz="4" w:space="0" w:color="auto"/>
              <w:bottom w:val="single" w:sz="4" w:space="0" w:color="auto"/>
              <w:right w:val="single" w:sz="4" w:space="0" w:color="auto"/>
            </w:tcBorders>
            <w:shd w:val="clear" w:color="000000" w:fill="D9D9D9"/>
            <w:vAlign w:val="bottom"/>
            <w:hideMark/>
          </w:tcPr>
          <w:p w14:paraId="5756D5C9"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ISD 4 McGregor Public School</w:t>
            </w:r>
          </w:p>
        </w:tc>
        <w:tc>
          <w:tcPr>
            <w:tcW w:w="1304" w:type="dxa"/>
            <w:tcBorders>
              <w:top w:val="nil"/>
              <w:left w:val="nil"/>
              <w:bottom w:val="single" w:sz="4" w:space="0" w:color="auto"/>
              <w:right w:val="single" w:sz="4" w:space="0" w:color="auto"/>
            </w:tcBorders>
            <w:shd w:val="clear" w:color="000000" w:fill="D9D9D9"/>
            <w:noWrap/>
            <w:vAlign w:val="center"/>
            <w:hideMark/>
          </w:tcPr>
          <w:p w14:paraId="39546F10"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000000" w:fill="D9D9D9"/>
            <w:noWrap/>
            <w:vAlign w:val="center"/>
            <w:hideMark/>
          </w:tcPr>
          <w:p w14:paraId="773599FE"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000000" w:fill="D9D9D9"/>
            <w:noWrap/>
            <w:vAlign w:val="center"/>
            <w:hideMark/>
          </w:tcPr>
          <w:p w14:paraId="5E6195AA"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000000" w:fill="D9D9D9"/>
            <w:noWrap/>
            <w:vAlign w:val="center"/>
            <w:hideMark/>
          </w:tcPr>
          <w:p w14:paraId="60B78647" w14:textId="19AD136E" w:rsidR="00E346F1" w:rsidRPr="009816EB" w:rsidRDefault="00E346F1"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000000" w:fill="D9D9D9"/>
            <w:noWrap/>
            <w:vAlign w:val="center"/>
            <w:hideMark/>
          </w:tcPr>
          <w:p w14:paraId="7BA744BB"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000000" w:fill="D9D9D9"/>
            <w:noWrap/>
            <w:vAlign w:val="center"/>
            <w:hideMark/>
          </w:tcPr>
          <w:p w14:paraId="5B04AC33" w14:textId="1FCF311D" w:rsidR="00E346F1" w:rsidRPr="009816EB" w:rsidRDefault="00E346F1" w:rsidP="00F157DA">
            <w:pPr>
              <w:spacing w:before="0" w:after="0" w:line="240" w:lineRule="auto"/>
              <w:jc w:val="center"/>
              <w:rPr>
                <w:rFonts w:cs="Calibri"/>
                <w:b/>
                <w:bCs/>
                <w:color w:val="000000"/>
                <w:sz w:val="18"/>
                <w:szCs w:val="18"/>
                <w:lang w:bidi="ar-SA"/>
              </w:rPr>
            </w:pPr>
          </w:p>
        </w:tc>
      </w:tr>
      <w:tr w:rsidR="00E346F1" w:rsidRPr="009816EB" w14:paraId="5D5D5523" w14:textId="77777777" w:rsidTr="00F157DA">
        <w:trPr>
          <w:trHeight w:val="54"/>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39ED7990"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 xml:space="preserve">Ka </w:t>
            </w:r>
            <w:proofErr w:type="spellStart"/>
            <w:r w:rsidRPr="009816EB">
              <w:rPr>
                <w:rFonts w:cs="Calibri"/>
                <w:b/>
                <w:bCs/>
                <w:color w:val="000000"/>
                <w:lang w:bidi="ar-SA"/>
              </w:rPr>
              <w:t>Joog</w:t>
            </w:r>
            <w:proofErr w:type="spellEnd"/>
          </w:p>
        </w:tc>
        <w:tc>
          <w:tcPr>
            <w:tcW w:w="1304" w:type="dxa"/>
            <w:tcBorders>
              <w:top w:val="nil"/>
              <w:left w:val="nil"/>
              <w:bottom w:val="single" w:sz="4" w:space="0" w:color="auto"/>
              <w:right w:val="single" w:sz="4" w:space="0" w:color="auto"/>
            </w:tcBorders>
            <w:shd w:val="clear" w:color="auto" w:fill="auto"/>
            <w:noWrap/>
            <w:vAlign w:val="center"/>
            <w:hideMark/>
          </w:tcPr>
          <w:p w14:paraId="665D5A75"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26642FD8" w14:textId="6A9BEA51" w:rsidR="00E346F1" w:rsidRPr="009816EB" w:rsidRDefault="00E346F1"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auto" w:fill="auto"/>
            <w:noWrap/>
            <w:vAlign w:val="center"/>
            <w:hideMark/>
          </w:tcPr>
          <w:p w14:paraId="6C8C362D"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auto"/>
            <w:noWrap/>
            <w:vAlign w:val="center"/>
            <w:hideMark/>
          </w:tcPr>
          <w:p w14:paraId="5A074BD7" w14:textId="7A791BE2" w:rsidR="00E346F1" w:rsidRPr="009816EB" w:rsidRDefault="00E346F1"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auto" w:fill="auto"/>
            <w:noWrap/>
            <w:vAlign w:val="center"/>
            <w:hideMark/>
          </w:tcPr>
          <w:p w14:paraId="64F55BBB"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auto" w:fill="auto"/>
            <w:noWrap/>
            <w:vAlign w:val="center"/>
            <w:hideMark/>
          </w:tcPr>
          <w:p w14:paraId="33CD12F7"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E346F1" w:rsidRPr="009816EB" w14:paraId="3BA944FB" w14:textId="77777777" w:rsidTr="00F157DA">
        <w:trPr>
          <w:trHeight w:val="108"/>
        </w:trPr>
        <w:tc>
          <w:tcPr>
            <w:tcW w:w="2235" w:type="dxa"/>
            <w:tcBorders>
              <w:top w:val="nil"/>
              <w:left w:val="single" w:sz="4" w:space="0" w:color="auto"/>
              <w:bottom w:val="single" w:sz="4" w:space="0" w:color="auto"/>
              <w:right w:val="single" w:sz="4" w:space="0" w:color="auto"/>
            </w:tcBorders>
            <w:shd w:val="clear" w:color="000000" w:fill="D9D9D9"/>
            <w:vAlign w:val="bottom"/>
            <w:hideMark/>
          </w:tcPr>
          <w:p w14:paraId="6097FD86"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Karen Organization of Minnesota</w:t>
            </w:r>
          </w:p>
        </w:tc>
        <w:tc>
          <w:tcPr>
            <w:tcW w:w="1304" w:type="dxa"/>
            <w:tcBorders>
              <w:top w:val="nil"/>
              <w:left w:val="nil"/>
              <w:bottom w:val="single" w:sz="4" w:space="0" w:color="auto"/>
              <w:right w:val="single" w:sz="4" w:space="0" w:color="auto"/>
            </w:tcBorders>
            <w:shd w:val="clear" w:color="000000" w:fill="D9D9D9"/>
            <w:noWrap/>
            <w:vAlign w:val="center"/>
            <w:hideMark/>
          </w:tcPr>
          <w:p w14:paraId="41E5E767"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000000" w:fill="D9D9D9"/>
            <w:noWrap/>
            <w:vAlign w:val="center"/>
            <w:hideMark/>
          </w:tcPr>
          <w:p w14:paraId="2BEB3F93" w14:textId="132FB3FA" w:rsidR="00E346F1" w:rsidRPr="009816EB" w:rsidRDefault="00E346F1"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000000" w:fill="D9D9D9"/>
            <w:noWrap/>
            <w:vAlign w:val="center"/>
            <w:hideMark/>
          </w:tcPr>
          <w:p w14:paraId="7AF2A61E" w14:textId="28182F80" w:rsidR="00E346F1" w:rsidRPr="009816EB" w:rsidRDefault="00E346F1" w:rsidP="00F157DA">
            <w:pPr>
              <w:spacing w:before="0" w:after="0" w:line="240" w:lineRule="auto"/>
              <w:jc w:val="center"/>
              <w:rPr>
                <w:rFonts w:cs="Calibri"/>
                <w:b/>
                <w:bCs/>
                <w:color w:val="000000"/>
                <w:sz w:val="18"/>
                <w:szCs w:val="18"/>
                <w:lang w:bidi="ar-SA"/>
              </w:rPr>
            </w:pPr>
          </w:p>
        </w:tc>
        <w:tc>
          <w:tcPr>
            <w:tcW w:w="1069" w:type="dxa"/>
            <w:tcBorders>
              <w:top w:val="nil"/>
              <w:left w:val="nil"/>
              <w:bottom w:val="single" w:sz="4" w:space="0" w:color="auto"/>
              <w:right w:val="single" w:sz="4" w:space="0" w:color="auto"/>
            </w:tcBorders>
            <w:shd w:val="clear" w:color="000000" w:fill="D9D9D9"/>
            <w:noWrap/>
            <w:vAlign w:val="center"/>
            <w:hideMark/>
          </w:tcPr>
          <w:p w14:paraId="49DBC42F"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000000" w:fill="D9D9D9"/>
            <w:noWrap/>
            <w:vAlign w:val="center"/>
            <w:hideMark/>
          </w:tcPr>
          <w:p w14:paraId="0F021F83" w14:textId="42E30563"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000000" w:fill="D9D9D9"/>
            <w:noWrap/>
            <w:vAlign w:val="center"/>
            <w:hideMark/>
          </w:tcPr>
          <w:p w14:paraId="5F7F8F4C"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E346F1" w:rsidRPr="009816EB" w14:paraId="3EA3FA9F" w14:textId="77777777" w:rsidTr="00F157DA">
        <w:trPr>
          <w:trHeight w:val="54"/>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67C81A03"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MAHUBE-OTWA</w:t>
            </w:r>
          </w:p>
        </w:tc>
        <w:tc>
          <w:tcPr>
            <w:tcW w:w="1304" w:type="dxa"/>
            <w:tcBorders>
              <w:top w:val="nil"/>
              <w:left w:val="nil"/>
              <w:bottom w:val="single" w:sz="4" w:space="0" w:color="auto"/>
              <w:right w:val="single" w:sz="4" w:space="0" w:color="auto"/>
            </w:tcBorders>
            <w:shd w:val="clear" w:color="auto" w:fill="auto"/>
            <w:noWrap/>
            <w:vAlign w:val="center"/>
            <w:hideMark/>
          </w:tcPr>
          <w:p w14:paraId="029AD436"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08CBDD68"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auto" w:fill="auto"/>
            <w:noWrap/>
            <w:vAlign w:val="center"/>
            <w:hideMark/>
          </w:tcPr>
          <w:p w14:paraId="0FF9A4B2"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auto"/>
            <w:noWrap/>
            <w:vAlign w:val="center"/>
            <w:hideMark/>
          </w:tcPr>
          <w:p w14:paraId="772FF6D3"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auto" w:fill="auto"/>
            <w:noWrap/>
            <w:vAlign w:val="center"/>
            <w:hideMark/>
          </w:tcPr>
          <w:p w14:paraId="061CFA20" w14:textId="1A52702C"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auto"/>
            <w:noWrap/>
            <w:vAlign w:val="center"/>
            <w:hideMark/>
          </w:tcPr>
          <w:p w14:paraId="20B44411"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E346F1" w:rsidRPr="009816EB" w14:paraId="708A63A6" w14:textId="77777777" w:rsidTr="00F157DA">
        <w:trPr>
          <w:trHeight w:val="108"/>
        </w:trPr>
        <w:tc>
          <w:tcPr>
            <w:tcW w:w="2235" w:type="dxa"/>
            <w:tcBorders>
              <w:top w:val="nil"/>
              <w:left w:val="single" w:sz="4" w:space="0" w:color="auto"/>
              <w:bottom w:val="single" w:sz="4" w:space="0" w:color="auto"/>
              <w:right w:val="single" w:sz="4" w:space="0" w:color="auto"/>
            </w:tcBorders>
            <w:shd w:val="clear" w:color="000000" w:fill="D9D9D9"/>
            <w:vAlign w:val="bottom"/>
            <w:hideMark/>
          </w:tcPr>
          <w:p w14:paraId="33D27350"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MIGIZI Communications</w:t>
            </w:r>
          </w:p>
        </w:tc>
        <w:tc>
          <w:tcPr>
            <w:tcW w:w="1304" w:type="dxa"/>
            <w:tcBorders>
              <w:top w:val="nil"/>
              <w:left w:val="nil"/>
              <w:bottom w:val="single" w:sz="4" w:space="0" w:color="auto"/>
              <w:right w:val="single" w:sz="4" w:space="0" w:color="auto"/>
            </w:tcBorders>
            <w:shd w:val="clear" w:color="000000" w:fill="D9D9D9"/>
            <w:noWrap/>
            <w:vAlign w:val="center"/>
            <w:hideMark/>
          </w:tcPr>
          <w:p w14:paraId="2B9E9DD4" w14:textId="67A60D37" w:rsidR="00E346F1" w:rsidRPr="009816EB" w:rsidRDefault="00E346F1" w:rsidP="00F157DA">
            <w:pPr>
              <w:spacing w:before="0" w:after="0" w:line="240" w:lineRule="auto"/>
              <w:jc w:val="center"/>
              <w:rPr>
                <w:rFonts w:cs="Calibri"/>
                <w:b/>
                <w:bCs/>
                <w:color w:val="000000"/>
                <w:sz w:val="18"/>
                <w:szCs w:val="18"/>
                <w:lang w:bidi="ar-SA"/>
              </w:rPr>
            </w:pPr>
          </w:p>
        </w:tc>
        <w:tc>
          <w:tcPr>
            <w:tcW w:w="1448" w:type="dxa"/>
            <w:tcBorders>
              <w:top w:val="nil"/>
              <w:left w:val="nil"/>
              <w:bottom w:val="single" w:sz="4" w:space="0" w:color="auto"/>
              <w:right w:val="single" w:sz="4" w:space="0" w:color="auto"/>
            </w:tcBorders>
            <w:shd w:val="clear" w:color="000000" w:fill="D9D9D9"/>
            <w:noWrap/>
            <w:vAlign w:val="center"/>
            <w:hideMark/>
          </w:tcPr>
          <w:p w14:paraId="7F1998B7"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000000" w:fill="D9D9D9"/>
            <w:noWrap/>
            <w:vAlign w:val="center"/>
            <w:hideMark/>
          </w:tcPr>
          <w:p w14:paraId="1404A85B"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000000" w:fill="D9D9D9"/>
            <w:noWrap/>
            <w:vAlign w:val="center"/>
            <w:hideMark/>
          </w:tcPr>
          <w:p w14:paraId="11BB78EA" w14:textId="6855F0E3" w:rsidR="00E346F1" w:rsidRPr="009816EB" w:rsidRDefault="00E346F1"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000000" w:fill="D9D9D9"/>
            <w:noWrap/>
            <w:vAlign w:val="center"/>
            <w:hideMark/>
          </w:tcPr>
          <w:p w14:paraId="601A51EB"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000000" w:fill="D9D9D9"/>
            <w:noWrap/>
            <w:vAlign w:val="center"/>
            <w:hideMark/>
          </w:tcPr>
          <w:p w14:paraId="6CC584F4" w14:textId="4407229C" w:rsidR="00E346F1" w:rsidRPr="009816EB" w:rsidRDefault="00E346F1" w:rsidP="00F157DA">
            <w:pPr>
              <w:spacing w:before="0" w:after="0" w:line="240" w:lineRule="auto"/>
              <w:jc w:val="center"/>
              <w:rPr>
                <w:rFonts w:cs="Calibri"/>
                <w:b/>
                <w:bCs/>
                <w:color w:val="000000"/>
                <w:sz w:val="18"/>
                <w:szCs w:val="18"/>
                <w:lang w:bidi="ar-SA"/>
              </w:rPr>
            </w:pPr>
          </w:p>
        </w:tc>
      </w:tr>
      <w:tr w:rsidR="00E346F1" w:rsidRPr="009816EB" w14:paraId="28782A81" w14:textId="77777777" w:rsidTr="00F157DA">
        <w:trPr>
          <w:trHeight w:val="108"/>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081DBD70"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Minneapolis Park and Rec. Board</w:t>
            </w:r>
          </w:p>
        </w:tc>
        <w:tc>
          <w:tcPr>
            <w:tcW w:w="1304" w:type="dxa"/>
            <w:tcBorders>
              <w:top w:val="nil"/>
              <w:left w:val="nil"/>
              <w:bottom w:val="single" w:sz="4" w:space="0" w:color="auto"/>
              <w:right w:val="single" w:sz="4" w:space="0" w:color="auto"/>
            </w:tcBorders>
            <w:shd w:val="clear" w:color="auto" w:fill="auto"/>
            <w:noWrap/>
            <w:vAlign w:val="center"/>
            <w:hideMark/>
          </w:tcPr>
          <w:p w14:paraId="77F914FA"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29A6A9DE"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auto" w:fill="auto"/>
            <w:noWrap/>
            <w:vAlign w:val="center"/>
            <w:hideMark/>
          </w:tcPr>
          <w:p w14:paraId="79CF649D"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auto"/>
            <w:noWrap/>
            <w:vAlign w:val="center"/>
            <w:hideMark/>
          </w:tcPr>
          <w:p w14:paraId="2453D95E"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auto" w:fill="auto"/>
            <w:noWrap/>
            <w:vAlign w:val="center"/>
            <w:hideMark/>
          </w:tcPr>
          <w:p w14:paraId="3FC6A837" w14:textId="60C794F5"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auto"/>
            <w:noWrap/>
            <w:vAlign w:val="center"/>
            <w:hideMark/>
          </w:tcPr>
          <w:p w14:paraId="4330213E" w14:textId="63AA767C" w:rsidR="00E346F1" w:rsidRPr="009816EB" w:rsidRDefault="00E346F1" w:rsidP="00F157DA">
            <w:pPr>
              <w:spacing w:before="0" w:after="0" w:line="240" w:lineRule="auto"/>
              <w:jc w:val="center"/>
              <w:rPr>
                <w:rFonts w:cs="Calibri"/>
                <w:b/>
                <w:bCs/>
                <w:color w:val="000000"/>
                <w:sz w:val="18"/>
                <w:szCs w:val="18"/>
                <w:lang w:bidi="ar-SA"/>
              </w:rPr>
            </w:pPr>
          </w:p>
        </w:tc>
      </w:tr>
      <w:tr w:rsidR="00E346F1" w:rsidRPr="009816EB" w14:paraId="523877A3" w14:textId="77777777" w:rsidTr="00F157DA">
        <w:trPr>
          <w:trHeight w:val="108"/>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05144917"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MVAC and South Central</w:t>
            </w:r>
          </w:p>
        </w:tc>
        <w:tc>
          <w:tcPr>
            <w:tcW w:w="1304" w:type="dxa"/>
            <w:tcBorders>
              <w:top w:val="nil"/>
              <w:left w:val="nil"/>
              <w:bottom w:val="single" w:sz="4" w:space="0" w:color="auto"/>
              <w:right w:val="single" w:sz="4" w:space="0" w:color="auto"/>
            </w:tcBorders>
            <w:shd w:val="clear" w:color="auto" w:fill="auto"/>
            <w:noWrap/>
            <w:vAlign w:val="center"/>
            <w:hideMark/>
          </w:tcPr>
          <w:p w14:paraId="7644ABBA"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437CFD80" w14:textId="1D905A13" w:rsidR="00E346F1" w:rsidRPr="009816EB" w:rsidRDefault="00E346F1"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auto" w:fill="auto"/>
            <w:noWrap/>
            <w:vAlign w:val="center"/>
            <w:hideMark/>
          </w:tcPr>
          <w:p w14:paraId="2D15E5F4"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auto"/>
            <w:noWrap/>
            <w:vAlign w:val="center"/>
            <w:hideMark/>
          </w:tcPr>
          <w:p w14:paraId="3C237BEF"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auto" w:fill="auto"/>
            <w:noWrap/>
            <w:vAlign w:val="center"/>
            <w:hideMark/>
          </w:tcPr>
          <w:p w14:paraId="385665CD" w14:textId="45DC5B60"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auto"/>
            <w:noWrap/>
            <w:vAlign w:val="center"/>
            <w:hideMark/>
          </w:tcPr>
          <w:p w14:paraId="658C4B7A"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E346F1" w:rsidRPr="009816EB" w14:paraId="0098C290" w14:textId="77777777" w:rsidTr="00F157DA">
        <w:trPr>
          <w:trHeight w:val="162"/>
        </w:trPr>
        <w:tc>
          <w:tcPr>
            <w:tcW w:w="2235" w:type="dxa"/>
            <w:tcBorders>
              <w:top w:val="nil"/>
              <w:left w:val="single" w:sz="4" w:space="0" w:color="auto"/>
              <w:bottom w:val="single" w:sz="4" w:space="0" w:color="auto"/>
              <w:right w:val="single" w:sz="4" w:space="0" w:color="auto"/>
            </w:tcBorders>
            <w:shd w:val="clear" w:color="000000" w:fill="D9D9D9"/>
            <w:vAlign w:val="bottom"/>
            <w:hideMark/>
          </w:tcPr>
          <w:p w14:paraId="5B528CC4"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North West Indian Community Development Center</w:t>
            </w:r>
          </w:p>
        </w:tc>
        <w:tc>
          <w:tcPr>
            <w:tcW w:w="1304" w:type="dxa"/>
            <w:tcBorders>
              <w:top w:val="nil"/>
              <w:left w:val="nil"/>
              <w:bottom w:val="single" w:sz="4" w:space="0" w:color="auto"/>
              <w:right w:val="single" w:sz="4" w:space="0" w:color="auto"/>
            </w:tcBorders>
            <w:shd w:val="clear" w:color="000000" w:fill="D9D9D9"/>
            <w:noWrap/>
            <w:vAlign w:val="center"/>
            <w:hideMark/>
          </w:tcPr>
          <w:p w14:paraId="08EF3245"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000000" w:fill="D9D9D9"/>
            <w:noWrap/>
            <w:vAlign w:val="center"/>
            <w:hideMark/>
          </w:tcPr>
          <w:p w14:paraId="5B68263B"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000000" w:fill="D9D9D9"/>
            <w:noWrap/>
            <w:vAlign w:val="center"/>
            <w:hideMark/>
          </w:tcPr>
          <w:p w14:paraId="458F82DF" w14:textId="31AA4EDD" w:rsidR="00E346F1" w:rsidRPr="009816EB" w:rsidRDefault="00E346F1" w:rsidP="00F157DA">
            <w:pPr>
              <w:spacing w:before="0" w:after="0" w:line="240" w:lineRule="auto"/>
              <w:jc w:val="center"/>
              <w:rPr>
                <w:rFonts w:cs="Calibri"/>
                <w:b/>
                <w:bCs/>
                <w:color w:val="000000"/>
                <w:sz w:val="18"/>
                <w:szCs w:val="18"/>
                <w:lang w:bidi="ar-SA"/>
              </w:rPr>
            </w:pPr>
          </w:p>
        </w:tc>
        <w:tc>
          <w:tcPr>
            <w:tcW w:w="1069" w:type="dxa"/>
            <w:tcBorders>
              <w:top w:val="nil"/>
              <w:left w:val="nil"/>
              <w:bottom w:val="single" w:sz="4" w:space="0" w:color="auto"/>
              <w:right w:val="single" w:sz="4" w:space="0" w:color="auto"/>
            </w:tcBorders>
            <w:shd w:val="clear" w:color="000000" w:fill="D9D9D9"/>
            <w:noWrap/>
            <w:vAlign w:val="center"/>
            <w:hideMark/>
          </w:tcPr>
          <w:p w14:paraId="2D9C6BE5" w14:textId="6DA037B8" w:rsidR="00E346F1" w:rsidRPr="009816EB" w:rsidRDefault="00E346F1"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000000" w:fill="D9D9D9"/>
            <w:noWrap/>
            <w:vAlign w:val="center"/>
            <w:hideMark/>
          </w:tcPr>
          <w:p w14:paraId="64E40396"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000000" w:fill="D9D9D9"/>
            <w:noWrap/>
            <w:vAlign w:val="center"/>
            <w:hideMark/>
          </w:tcPr>
          <w:p w14:paraId="1A6A71B4"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E346F1" w:rsidRPr="009816EB" w14:paraId="0B1B9C17" w14:textId="77777777" w:rsidTr="00F157DA">
        <w:trPr>
          <w:trHeight w:val="108"/>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7F6CBC51"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Pillsbury United Communities</w:t>
            </w:r>
          </w:p>
        </w:tc>
        <w:tc>
          <w:tcPr>
            <w:tcW w:w="1304" w:type="dxa"/>
            <w:tcBorders>
              <w:top w:val="nil"/>
              <w:left w:val="nil"/>
              <w:bottom w:val="single" w:sz="4" w:space="0" w:color="auto"/>
              <w:right w:val="single" w:sz="4" w:space="0" w:color="auto"/>
            </w:tcBorders>
            <w:shd w:val="clear" w:color="auto" w:fill="auto"/>
            <w:noWrap/>
            <w:vAlign w:val="center"/>
            <w:hideMark/>
          </w:tcPr>
          <w:p w14:paraId="09815D80"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42ECB012" w14:textId="368679F7" w:rsidR="00E346F1" w:rsidRPr="009816EB" w:rsidRDefault="00E346F1"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auto" w:fill="auto"/>
            <w:noWrap/>
            <w:vAlign w:val="center"/>
            <w:hideMark/>
          </w:tcPr>
          <w:p w14:paraId="0D2B81B4"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auto"/>
            <w:noWrap/>
            <w:vAlign w:val="center"/>
            <w:hideMark/>
          </w:tcPr>
          <w:p w14:paraId="591B7DBA" w14:textId="6001D6C4" w:rsidR="00E346F1" w:rsidRPr="009816EB" w:rsidRDefault="00E346F1"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auto" w:fill="auto"/>
            <w:noWrap/>
            <w:vAlign w:val="center"/>
            <w:hideMark/>
          </w:tcPr>
          <w:p w14:paraId="0EB33046"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auto" w:fill="auto"/>
            <w:noWrap/>
            <w:vAlign w:val="center"/>
            <w:hideMark/>
          </w:tcPr>
          <w:p w14:paraId="0B4FAFE5"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E346F1" w:rsidRPr="009816EB" w14:paraId="3F39650A" w14:textId="77777777" w:rsidTr="00F157DA">
        <w:trPr>
          <w:trHeight w:val="108"/>
        </w:trPr>
        <w:tc>
          <w:tcPr>
            <w:tcW w:w="2235" w:type="dxa"/>
            <w:tcBorders>
              <w:top w:val="nil"/>
              <w:left w:val="single" w:sz="4" w:space="0" w:color="auto"/>
              <w:bottom w:val="single" w:sz="4" w:space="0" w:color="auto"/>
              <w:right w:val="single" w:sz="4" w:space="0" w:color="auto"/>
            </w:tcBorders>
            <w:shd w:val="clear" w:color="000000" w:fill="D9D9D9"/>
            <w:vAlign w:val="bottom"/>
            <w:hideMark/>
          </w:tcPr>
          <w:p w14:paraId="3D3FE52A"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Project for Pride in Living</w:t>
            </w:r>
          </w:p>
        </w:tc>
        <w:tc>
          <w:tcPr>
            <w:tcW w:w="1304" w:type="dxa"/>
            <w:tcBorders>
              <w:top w:val="nil"/>
              <w:left w:val="nil"/>
              <w:bottom w:val="single" w:sz="4" w:space="0" w:color="auto"/>
              <w:right w:val="single" w:sz="4" w:space="0" w:color="auto"/>
            </w:tcBorders>
            <w:shd w:val="clear" w:color="000000" w:fill="D9D9D9"/>
            <w:noWrap/>
            <w:vAlign w:val="center"/>
            <w:hideMark/>
          </w:tcPr>
          <w:p w14:paraId="574748AF"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000000" w:fill="D9D9D9"/>
            <w:noWrap/>
            <w:vAlign w:val="center"/>
            <w:hideMark/>
          </w:tcPr>
          <w:p w14:paraId="64BC45E7"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000000" w:fill="D9D9D9"/>
            <w:noWrap/>
            <w:vAlign w:val="center"/>
            <w:hideMark/>
          </w:tcPr>
          <w:p w14:paraId="25D29113"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000000" w:fill="D9D9D9"/>
            <w:noWrap/>
            <w:vAlign w:val="center"/>
            <w:hideMark/>
          </w:tcPr>
          <w:p w14:paraId="1A145DCC"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000000" w:fill="D9D9D9"/>
            <w:noWrap/>
            <w:vAlign w:val="center"/>
            <w:hideMark/>
          </w:tcPr>
          <w:p w14:paraId="1A5F110F"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nil"/>
              <w:left w:val="nil"/>
              <w:bottom w:val="single" w:sz="4" w:space="0" w:color="auto"/>
              <w:right w:val="single" w:sz="4" w:space="0" w:color="auto"/>
            </w:tcBorders>
            <w:shd w:val="clear" w:color="000000" w:fill="D9D9D9"/>
            <w:noWrap/>
            <w:vAlign w:val="center"/>
            <w:hideMark/>
          </w:tcPr>
          <w:p w14:paraId="4C1E3DE5"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E346F1" w:rsidRPr="009816EB" w14:paraId="515AB306" w14:textId="77777777" w:rsidTr="00F157DA">
        <w:trPr>
          <w:trHeight w:val="54"/>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17E60B39"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Rural MN CEP</w:t>
            </w:r>
          </w:p>
        </w:tc>
        <w:tc>
          <w:tcPr>
            <w:tcW w:w="1304" w:type="dxa"/>
            <w:tcBorders>
              <w:top w:val="nil"/>
              <w:left w:val="nil"/>
              <w:bottom w:val="single" w:sz="4" w:space="0" w:color="auto"/>
              <w:right w:val="single" w:sz="4" w:space="0" w:color="auto"/>
            </w:tcBorders>
            <w:shd w:val="clear" w:color="auto" w:fill="auto"/>
            <w:noWrap/>
            <w:vAlign w:val="center"/>
            <w:hideMark/>
          </w:tcPr>
          <w:p w14:paraId="6F495455"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auto"/>
            <w:noWrap/>
            <w:vAlign w:val="center"/>
            <w:hideMark/>
          </w:tcPr>
          <w:p w14:paraId="6B353DC8" w14:textId="4198F578" w:rsidR="00E346F1" w:rsidRPr="009816EB" w:rsidRDefault="00E346F1"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auto" w:fill="auto"/>
            <w:noWrap/>
            <w:vAlign w:val="center"/>
            <w:hideMark/>
          </w:tcPr>
          <w:p w14:paraId="74901A10"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auto"/>
            <w:noWrap/>
            <w:vAlign w:val="center"/>
            <w:hideMark/>
          </w:tcPr>
          <w:p w14:paraId="5744D41E" w14:textId="240DD563" w:rsidR="00E346F1" w:rsidRPr="009816EB" w:rsidRDefault="00E346F1" w:rsidP="00F157DA">
            <w:pPr>
              <w:spacing w:before="0" w:after="0" w:line="240" w:lineRule="auto"/>
              <w:jc w:val="center"/>
              <w:rPr>
                <w:rFonts w:cs="Calibri"/>
                <w:b/>
                <w:bCs/>
                <w:color w:val="000000"/>
                <w:sz w:val="18"/>
                <w:szCs w:val="18"/>
                <w:lang w:bidi="ar-SA"/>
              </w:rPr>
            </w:pPr>
          </w:p>
        </w:tc>
        <w:tc>
          <w:tcPr>
            <w:tcW w:w="1471" w:type="dxa"/>
            <w:tcBorders>
              <w:top w:val="nil"/>
              <w:left w:val="nil"/>
              <w:bottom w:val="single" w:sz="4" w:space="0" w:color="auto"/>
              <w:right w:val="single" w:sz="4" w:space="0" w:color="auto"/>
            </w:tcBorders>
            <w:shd w:val="clear" w:color="auto" w:fill="auto"/>
            <w:noWrap/>
            <w:vAlign w:val="center"/>
            <w:hideMark/>
          </w:tcPr>
          <w:p w14:paraId="068A69EE" w14:textId="41BFF3CF"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auto"/>
            <w:noWrap/>
            <w:vAlign w:val="center"/>
            <w:hideMark/>
          </w:tcPr>
          <w:p w14:paraId="070E7993" w14:textId="7BF9128E" w:rsidR="00E346F1" w:rsidRPr="009816EB" w:rsidRDefault="00E346F1" w:rsidP="00F157DA">
            <w:pPr>
              <w:spacing w:before="0" w:after="0" w:line="240" w:lineRule="auto"/>
              <w:jc w:val="center"/>
              <w:rPr>
                <w:rFonts w:cs="Calibri"/>
                <w:b/>
                <w:bCs/>
                <w:color w:val="000000"/>
                <w:sz w:val="18"/>
                <w:szCs w:val="18"/>
                <w:lang w:bidi="ar-SA"/>
              </w:rPr>
            </w:pPr>
          </w:p>
        </w:tc>
      </w:tr>
      <w:tr w:rsidR="00E346F1" w:rsidRPr="009816EB" w14:paraId="7FEFEC6F" w14:textId="77777777" w:rsidTr="00F157DA">
        <w:trPr>
          <w:trHeight w:val="108"/>
        </w:trPr>
        <w:tc>
          <w:tcPr>
            <w:tcW w:w="223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F92D6FB"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Somali Community Resettlement Services</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5F4E20F1"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FFFFFF" w:themeFill="background1"/>
            <w:noWrap/>
            <w:vAlign w:val="center"/>
            <w:hideMark/>
          </w:tcPr>
          <w:p w14:paraId="53529B83"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nil"/>
              <w:left w:val="nil"/>
              <w:bottom w:val="single" w:sz="4" w:space="0" w:color="auto"/>
              <w:right w:val="single" w:sz="4" w:space="0" w:color="auto"/>
            </w:tcBorders>
            <w:shd w:val="clear" w:color="auto" w:fill="FFFFFF" w:themeFill="background1"/>
            <w:noWrap/>
            <w:vAlign w:val="center"/>
            <w:hideMark/>
          </w:tcPr>
          <w:p w14:paraId="2324C1E4"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FFFFFF" w:themeFill="background1"/>
            <w:noWrap/>
            <w:vAlign w:val="center"/>
            <w:hideMark/>
          </w:tcPr>
          <w:p w14:paraId="542EFE60"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auto" w:fill="FFFFFF" w:themeFill="background1"/>
            <w:noWrap/>
            <w:vAlign w:val="center"/>
            <w:hideMark/>
          </w:tcPr>
          <w:p w14:paraId="29E18BB5" w14:textId="1D49C0EF"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FFFFFF" w:themeFill="background1"/>
            <w:noWrap/>
            <w:vAlign w:val="center"/>
            <w:hideMark/>
          </w:tcPr>
          <w:p w14:paraId="4CB968A2"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E346F1" w:rsidRPr="009816EB" w14:paraId="49B9EDC6" w14:textId="77777777" w:rsidTr="00F157DA">
        <w:trPr>
          <w:trHeight w:val="108"/>
        </w:trPr>
        <w:tc>
          <w:tcPr>
            <w:tcW w:w="223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24E5982"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Southwest Private Industry Council</w:t>
            </w:r>
          </w:p>
        </w:tc>
        <w:tc>
          <w:tcPr>
            <w:tcW w:w="1304" w:type="dxa"/>
            <w:tcBorders>
              <w:top w:val="nil"/>
              <w:left w:val="nil"/>
              <w:bottom w:val="single" w:sz="4" w:space="0" w:color="auto"/>
              <w:right w:val="single" w:sz="4" w:space="0" w:color="auto"/>
            </w:tcBorders>
            <w:shd w:val="clear" w:color="auto" w:fill="D9D9D9" w:themeFill="background1" w:themeFillShade="D9"/>
            <w:noWrap/>
            <w:vAlign w:val="center"/>
            <w:hideMark/>
          </w:tcPr>
          <w:p w14:paraId="02CC9B62"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D9D9D9" w:themeFill="background1" w:themeFillShade="D9"/>
            <w:noWrap/>
            <w:vAlign w:val="center"/>
            <w:hideMark/>
          </w:tcPr>
          <w:p w14:paraId="7E71B931" w14:textId="317B414E" w:rsidR="00E346F1" w:rsidRPr="009816EB" w:rsidRDefault="00E346F1" w:rsidP="00F157DA">
            <w:pPr>
              <w:spacing w:before="0" w:after="0" w:line="240" w:lineRule="auto"/>
              <w:jc w:val="center"/>
              <w:rPr>
                <w:rFonts w:cs="Calibri"/>
                <w:b/>
                <w:bCs/>
                <w:color w:val="000000"/>
                <w:sz w:val="18"/>
                <w:szCs w:val="18"/>
                <w:lang w:bidi="ar-SA"/>
              </w:rPr>
            </w:pPr>
          </w:p>
        </w:tc>
        <w:tc>
          <w:tcPr>
            <w:tcW w:w="12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BDA8EA7"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D9D9D9" w:themeFill="background1" w:themeFillShade="D9"/>
            <w:noWrap/>
            <w:vAlign w:val="center"/>
            <w:hideMark/>
          </w:tcPr>
          <w:p w14:paraId="3A9F8532"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71" w:type="dxa"/>
            <w:tcBorders>
              <w:top w:val="nil"/>
              <w:left w:val="nil"/>
              <w:bottom w:val="single" w:sz="4" w:space="0" w:color="auto"/>
              <w:right w:val="single" w:sz="4" w:space="0" w:color="auto"/>
            </w:tcBorders>
            <w:shd w:val="clear" w:color="auto" w:fill="D9D9D9" w:themeFill="background1" w:themeFillShade="D9"/>
            <w:noWrap/>
            <w:vAlign w:val="center"/>
            <w:hideMark/>
          </w:tcPr>
          <w:p w14:paraId="14C591A1" w14:textId="608514D1" w:rsidR="00E346F1" w:rsidRPr="009816EB" w:rsidRDefault="00E346F1" w:rsidP="00F157DA">
            <w:pPr>
              <w:spacing w:before="0" w:after="0" w:line="240" w:lineRule="auto"/>
              <w:jc w:val="center"/>
              <w:rPr>
                <w:rFonts w:cs="Calibri"/>
                <w:b/>
                <w:bCs/>
                <w:color w:val="000000"/>
                <w:sz w:val="18"/>
                <w:szCs w:val="18"/>
                <w:lang w:bidi="ar-SA"/>
              </w:rPr>
            </w:pPr>
          </w:p>
        </w:tc>
        <w:tc>
          <w:tcPr>
            <w:tcW w:w="1382" w:type="dxa"/>
            <w:tcBorders>
              <w:top w:val="nil"/>
              <w:left w:val="nil"/>
              <w:bottom w:val="single" w:sz="4" w:space="0" w:color="auto"/>
              <w:right w:val="single" w:sz="4" w:space="0" w:color="auto"/>
            </w:tcBorders>
            <w:shd w:val="clear" w:color="auto" w:fill="D9D9D9" w:themeFill="background1" w:themeFillShade="D9"/>
            <w:noWrap/>
            <w:vAlign w:val="center"/>
            <w:hideMark/>
          </w:tcPr>
          <w:p w14:paraId="7A708562" w14:textId="77777777" w:rsidR="00E346F1" w:rsidRPr="009816EB" w:rsidRDefault="00E346F1" w:rsidP="00F157DA">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E346F1" w:rsidRPr="009816EB" w14:paraId="1534C242" w14:textId="77777777" w:rsidTr="00E30D56">
        <w:trPr>
          <w:trHeight w:val="108"/>
        </w:trPr>
        <w:tc>
          <w:tcPr>
            <w:tcW w:w="223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CE3916E"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YMCA of the Greater Twin Cities</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414F1442" w14:textId="77777777" w:rsidR="00E346F1" w:rsidRPr="009816EB" w:rsidRDefault="00E346F1" w:rsidP="00E346F1">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nil"/>
              <w:left w:val="nil"/>
              <w:bottom w:val="single" w:sz="4" w:space="0" w:color="auto"/>
              <w:right w:val="single" w:sz="4" w:space="0" w:color="auto"/>
            </w:tcBorders>
            <w:shd w:val="clear" w:color="auto" w:fill="FFFFFF" w:themeFill="background1"/>
            <w:noWrap/>
            <w:vAlign w:val="center"/>
            <w:hideMark/>
          </w:tcPr>
          <w:p w14:paraId="11C90604" w14:textId="77777777" w:rsidR="00E346F1" w:rsidRPr="009816EB" w:rsidRDefault="00E346F1" w:rsidP="00E346F1">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 </w:t>
            </w:r>
          </w:p>
        </w:tc>
        <w:tc>
          <w:tcPr>
            <w:tcW w:w="1234" w:type="dxa"/>
            <w:tcBorders>
              <w:top w:val="nil"/>
              <w:left w:val="nil"/>
              <w:bottom w:val="single" w:sz="4" w:space="0" w:color="auto"/>
              <w:right w:val="single" w:sz="4" w:space="0" w:color="auto"/>
            </w:tcBorders>
            <w:shd w:val="clear" w:color="auto" w:fill="FFFFFF" w:themeFill="background1"/>
            <w:noWrap/>
            <w:vAlign w:val="center"/>
            <w:hideMark/>
          </w:tcPr>
          <w:p w14:paraId="67F8795A" w14:textId="77777777" w:rsidR="00E346F1" w:rsidRPr="009816EB" w:rsidRDefault="00E346F1" w:rsidP="00E346F1">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nil"/>
              <w:left w:val="nil"/>
              <w:bottom w:val="single" w:sz="4" w:space="0" w:color="auto"/>
              <w:right w:val="single" w:sz="4" w:space="0" w:color="auto"/>
            </w:tcBorders>
            <w:shd w:val="clear" w:color="auto" w:fill="FFFFFF" w:themeFill="background1"/>
            <w:noWrap/>
            <w:vAlign w:val="center"/>
            <w:hideMark/>
          </w:tcPr>
          <w:p w14:paraId="425470D9" w14:textId="77777777" w:rsidR="00E346F1" w:rsidRPr="009816EB" w:rsidRDefault="00E346F1" w:rsidP="00E346F1">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 </w:t>
            </w:r>
          </w:p>
        </w:tc>
        <w:tc>
          <w:tcPr>
            <w:tcW w:w="1471" w:type="dxa"/>
            <w:tcBorders>
              <w:top w:val="nil"/>
              <w:left w:val="nil"/>
              <w:bottom w:val="single" w:sz="4" w:space="0" w:color="auto"/>
              <w:right w:val="single" w:sz="4" w:space="0" w:color="auto"/>
            </w:tcBorders>
            <w:shd w:val="clear" w:color="auto" w:fill="FFFFFF" w:themeFill="background1"/>
            <w:noWrap/>
            <w:vAlign w:val="center"/>
            <w:hideMark/>
          </w:tcPr>
          <w:p w14:paraId="3C7A180A" w14:textId="77777777" w:rsidR="00E346F1" w:rsidRPr="009816EB" w:rsidRDefault="00E346F1" w:rsidP="00E346F1">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 </w:t>
            </w:r>
          </w:p>
        </w:tc>
        <w:tc>
          <w:tcPr>
            <w:tcW w:w="1382" w:type="dxa"/>
            <w:tcBorders>
              <w:top w:val="nil"/>
              <w:left w:val="nil"/>
              <w:bottom w:val="single" w:sz="4" w:space="0" w:color="auto"/>
              <w:right w:val="single" w:sz="4" w:space="0" w:color="auto"/>
            </w:tcBorders>
            <w:shd w:val="clear" w:color="auto" w:fill="FFFFFF" w:themeFill="background1"/>
            <w:noWrap/>
            <w:vAlign w:val="center"/>
            <w:hideMark/>
          </w:tcPr>
          <w:p w14:paraId="32F8FDFE" w14:textId="77777777" w:rsidR="00E346F1" w:rsidRPr="009816EB" w:rsidRDefault="00E346F1" w:rsidP="00E346F1">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r>
      <w:tr w:rsidR="00E346F1" w:rsidRPr="009816EB" w14:paraId="5B6BC08F" w14:textId="77777777" w:rsidTr="00E30D56">
        <w:trPr>
          <w:trHeight w:val="54"/>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0D0E4F" w14:textId="77777777" w:rsidR="00E346F1" w:rsidRPr="009816EB" w:rsidRDefault="00E346F1" w:rsidP="00E346F1">
            <w:pPr>
              <w:spacing w:before="0" w:after="0" w:line="240" w:lineRule="auto"/>
              <w:rPr>
                <w:rFonts w:cs="Calibri"/>
                <w:b/>
                <w:bCs/>
                <w:color w:val="000000"/>
                <w:lang w:bidi="ar-SA"/>
              </w:rPr>
            </w:pPr>
            <w:r w:rsidRPr="009816EB">
              <w:rPr>
                <w:rFonts w:cs="Calibri"/>
                <w:b/>
                <w:bCs/>
                <w:color w:val="000000"/>
                <w:lang w:bidi="ar-SA"/>
              </w:rPr>
              <w:t>Youthprise</w:t>
            </w:r>
          </w:p>
        </w:tc>
        <w:tc>
          <w:tcPr>
            <w:tcW w:w="130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3EAA63F" w14:textId="77777777" w:rsidR="00E346F1" w:rsidRPr="009816EB" w:rsidRDefault="00E346F1" w:rsidP="00E346F1">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4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BF8858A" w14:textId="77777777" w:rsidR="00E346F1" w:rsidRPr="009816EB" w:rsidRDefault="00E346F1" w:rsidP="00E346F1">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2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280A5A" w14:textId="77777777" w:rsidR="00E346F1" w:rsidRPr="009816EB" w:rsidRDefault="00E346F1" w:rsidP="00E346F1">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0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21E50F" w14:textId="77777777" w:rsidR="00E346F1" w:rsidRPr="009816EB" w:rsidRDefault="00E346F1" w:rsidP="00E346F1">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 </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5D1311" w14:textId="77777777" w:rsidR="00E346F1" w:rsidRPr="009816EB" w:rsidRDefault="00E346F1" w:rsidP="00E346F1">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x</w:t>
            </w:r>
          </w:p>
        </w:tc>
        <w:tc>
          <w:tcPr>
            <w:tcW w:w="138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BB149DE" w14:textId="77777777" w:rsidR="00E346F1" w:rsidRPr="009816EB" w:rsidRDefault="00E346F1" w:rsidP="00E346F1">
            <w:pPr>
              <w:spacing w:before="0" w:after="0" w:line="240" w:lineRule="auto"/>
              <w:jc w:val="center"/>
              <w:rPr>
                <w:rFonts w:cs="Calibri"/>
                <w:b/>
                <w:bCs/>
                <w:color w:val="000000"/>
                <w:sz w:val="18"/>
                <w:szCs w:val="18"/>
                <w:lang w:bidi="ar-SA"/>
              </w:rPr>
            </w:pPr>
            <w:r w:rsidRPr="009816EB">
              <w:rPr>
                <w:rFonts w:cs="Calibri"/>
                <w:b/>
                <w:bCs/>
                <w:color w:val="000000"/>
                <w:sz w:val="18"/>
                <w:szCs w:val="18"/>
                <w:lang w:bidi="ar-SA"/>
              </w:rPr>
              <w:t> </w:t>
            </w:r>
          </w:p>
        </w:tc>
      </w:tr>
    </w:tbl>
    <w:p w14:paraId="4F5387A2" w14:textId="2A950208" w:rsidR="00B72EA1" w:rsidRDefault="00B72EA1" w:rsidP="00B72EA1">
      <w:pPr>
        <w:pStyle w:val="Heading3"/>
      </w:pPr>
      <w:bookmarkStart w:id="16" w:name="_Toc90271390"/>
      <w:r>
        <w:lastRenderedPageBreak/>
        <w:t>SFY2020 Youth at Work Data</w:t>
      </w:r>
      <w:bookmarkEnd w:id="16"/>
    </w:p>
    <w:p w14:paraId="64182164" w14:textId="056A26E5" w:rsidR="004A28E0" w:rsidRPr="004A28E0" w:rsidRDefault="004A28E0" w:rsidP="004A28E0">
      <w:r>
        <w:t xml:space="preserve">The SFY2020 Youth at Work demographic, activity, and outcome data that is included in this report reflects the cumulative totals of all 39 SFY2020 grantees. Data collected on each individual program can be found </w:t>
      </w:r>
      <w:r w:rsidR="001C6CE8">
        <w:t>in the appendix to this report beginning on page 2</w:t>
      </w:r>
      <w:r w:rsidR="005A2932">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1523"/>
        <w:gridCol w:w="1595"/>
      </w:tblGrid>
      <w:tr w:rsidR="00B12FAA" w:rsidRPr="0070451B" w14:paraId="181E1C45" w14:textId="435258FE" w:rsidTr="005E3A91">
        <w:trPr>
          <w:trHeight w:val="432"/>
        </w:trPr>
        <w:tc>
          <w:tcPr>
            <w:tcW w:w="6952" w:type="dxa"/>
            <w:tcBorders>
              <w:bottom w:val="single" w:sz="12" w:space="0" w:color="auto"/>
            </w:tcBorders>
            <w:shd w:val="clear" w:color="auto" w:fill="E6E6E6"/>
            <w:vAlign w:val="center"/>
          </w:tcPr>
          <w:p w14:paraId="2AFCD15F" w14:textId="45BFB7DF" w:rsidR="00B12FAA" w:rsidRPr="004A28E0" w:rsidRDefault="004A28E0" w:rsidP="004A28E0">
            <w:pPr>
              <w:jc w:val="center"/>
              <w:rPr>
                <w:b/>
                <w:sz w:val="24"/>
                <w:szCs w:val="24"/>
              </w:rPr>
            </w:pPr>
            <w:r w:rsidRPr="004A28E0">
              <w:rPr>
                <w:b/>
                <w:sz w:val="24"/>
                <w:szCs w:val="24"/>
              </w:rPr>
              <w:t>SFY2020 Youth at Work demographic, activity, and outcome data</w:t>
            </w:r>
          </w:p>
        </w:tc>
        <w:tc>
          <w:tcPr>
            <w:tcW w:w="1523" w:type="dxa"/>
            <w:tcBorders>
              <w:bottom w:val="single" w:sz="12" w:space="0" w:color="auto"/>
            </w:tcBorders>
            <w:shd w:val="clear" w:color="auto" w:fill="E6E6E6"/>
            <w:vAlign w:val="center"/>
          </w:tcPr>
          <w:p w14:paraId="03315F35" w14:textId="23B82DCF" w:rsidR="00B12FAA" w:rsidRPr="004A28E0" w:rsidRDefault="00B12FAA" w:rsidP="00B12FAA">
            <w:pPr>
              <w:jc w:val="center"/>
              <w:rPr>
                <w:b/>
                <w:sz w:val="24"/>
                <w:szCs w:val="24"/>
              </w:rPr>
            </w:pPr>
            <w:r w:rsidRPr="004A28E0">
              <w:rPr>
                <w:b/>
                <w:sz w:val="24"/>
                <w:szCs w:val="24"/>
              </w:rPr>
              <w:t>Total</w:t>
            </w:r>
          </w:p>
        </w:tc>
        <w:tc>
          <w:tcPr>
            <w:tcW w:w="1595" w:type="dxa"/>
            <w:tcBorders>
              <w:bottom w:val="single" w:sz="12" w:space="0" w:color="auto"/>
            </w:tcBorders>
            <w:shd w:val="clear" w:color="auto" w:fill="E6E6E6"/>
          </w:tcPr>
          <w:p w14:paraId="492CEB41" w14:textId="03375600" w:rsidR="00B12FAA" w:rsidRPr="004A28E0" w:rsidRDefault="00B12FAA" w:rsidP="00B12FAA">
            <w:pPr>
              <w:jc w:val="center"/>
              <w:rPr>
                <w:b/>
                <w:sz w:val="24"/>
                <w:szCs w:val="24"/>
              </w:rPr>
            </w:pPr>
            <w:r w:rsidRPr="004A28E0">
              <w:rPr>
                <w:b/>
                <w:sz w:val="24"/>
                <w:szCs w:val="24"/>
              </w:rPr>
              <w:t>Grand Total/Percent</w:t>
            </w:r>
          </w:p>
        </w:tc>
      </w:tr>
      <w:tr w:rsidR="00B12FAA" w:rsidRPr="0070451B" w14:paraId="6BC5A386" w14:textId="5B49F46E" w:rsidTr="005E3A91">
        <w:trPr>
          <w:trHeight w:val="458"/>
        </w:trPr>
        <w:tc>
          <w:tcPr>
            <w:tcW w:w="6952" w:type="dxa"/>
            <w:tcBorders>
              <w:top w:val="single" w:sz="12" w:space="0" w:color="auto"/>
              <w:left w:val="single" w:sz="12" w:space="0" w:color="auto"/>
              <w:bottom w:val="single" w:sz="12" w:space="0" w:color="auto"/>
              <w:right w:val="single" w:sz="12" w:space="0" w:color="auto"/>
            </w:tcBorders>
            <w:shd w:val="clear" w:color="auto" w:fill="92D050"/>
            <w:vAlign w:val="center"/>
          </w:tcPr>
          <w:p w14:paraId="562F3665" w14:textId="77777777" w:rsidR="00B12FAA" w:rsidRPr="00D95A00" w:rsidRDefault="00B12FAA" w:rsidP="00B72EA1">
            <w:pPr>
              <w:pStyle w:val="ListParagraph"/>
              <w:numPr>
                <w:ilvl w:val="0"/>
                <w:numId w:val="40"/>
              </w:numPr>
              <w:rPr>
                <w:b/>
                <w:bCs/>
              </w:rPr>
            </w:pPr>
            <w:r w:rsidRPr="00D95A00">
              <w:rPr>
                <w:b/>
                <w:bCs/>
              </w:rPr>
              <w:t xml:space="preserve">Total Individual Participants Served </w:t>
            </w:r>
          </w:p>
        </w:tc>
        <w:tc>
          <w:tcPr>
            <w:tcW w:w="1523" w:type="dxa"/>
            <w:tcBorders>
              <w:top w:val="single" w:sz="12" w:space="0" w:color="auto"/>
              <w:left w:val="single" w:sz="12" w:space="0" w:color="auto"/>
              <w:bottom w:val="single" w:sz="12" w:space="0" w:color="auto"/>
              <w:right w:val="single" w:sz="12" w:space="0" w:color="auto"/>
            </w:tcBorders>
            <w:shd w:val="clear" w:color="auto" w:fill="92D050"/>
            <w:vAlign w:val="center"/>
          </w:tcPr>
          <w:p w14:paraId="6C469B6D" w14:textId="184BBC1F" w:rsidR="00B12FAA" w:rsidRPr="00B12FAA" w:rsidRDefault="00B12FAA" w:rsidP="00B61EB1">
            <w:pPr>
              <w:rPr>
                <w:b/>
                <w:bCs/>
              </w:rPr>
            </w:pPr>
            <w:r w:rsidRPr="00B12FAA">
              <w:rPr>
                <w:b/>
                <w:bCs/>
              </w:rPr>
              <w:t>5</w:t>
            </w:r>
            <w:r>
              <w:rPr>
                <w:b/>
                <w:bCs/>
              </w:rPr>
              <w:t>,</w:t>
            </w:r>
            <w:r w:rsidRPr="00B12FAA">
              <w:rPr>
                <w:b/>
                <w:bCs/>
              </w:rPr>
              <w:t>2</w:t>
            </w:r>
            <w:r w:rsidR="001C6CE8">
              <w:rPr>
                <w:b/>
                <w:bCs/>
              </w:rPr>
              <w:t>31</w:t>
            </w:r>
          </w:p>
        </w:tc>
        <w:tc>
          <w:tcPr>
            <w:tcW w:w="1595" w:type="dxa"/>
            <w:vMerge w:val="restart"/>
            <w:tcBorders>
              <w:top w:val="single" w:sz="12" w:space="0" w:color="auto"/>
              <w:left w:val="single" w:sz="12" w:space="0" w:color="auto"/>
              <w:right w:val="single" w:sz="12" w:space="0" w:color="auto"/>
            </w:tcBorders>
            <w:shd w:val="clear" w:color="auto" w:fill="92D050"/>
          </w:tcPr>
          <w:p w14:paraId="604D96B2" w14:textId="77777777" w:rsidR="00B12FAA" w:rsidRPr="00B12FAA" w:rsidRDefault="00B12FAA" w:rsidP="00B12FAA">
            <w:pPr>
              <w:rPr>
                <w:b/>
                <w:bCs/>
              </w:rPr>
            </w:pPr>
          </w:p>
          <w:p w14:paraId="3F32F54E" w14:textId="47103E14" w:rsidR="00B12FAA" w:rsidRPr="00B12FAA" w:rsidRDefault="00B12FAA" w:rsidP="00B12FAA">
            <w:pPr>
              <w:jc w:val="center"/>
              <w:rPr>
                <w:b/>
                <w:bCs/>
              </w:rPr>
            </w:pPr>
            <w:r w:rsidRPr="00B12FAA">
              <w:rPr>
                <w:b/>
                <w:bCs/>
              </w:rPr>
              <w:t>6</w:t>
            </w:r>
            <w:r w:rsidR="00EB5BA6">
              <w:rPr>
                <w:b/>
                <w:bCs/>
              </w:rPr>
              <w:t>,</w:t>
            </w:r>
            <w:r w:rsidRPr="00B12FAA">
              <w:rPr>
                <w:b/>
                <w:bCs/>
              </w:rPr>
              <w:t>88</w:t>
            </w:r>
            <w:r w:rsidR="001C6CE8">
              <w:rPr>
                <w:b/>
                <w:bCs/>
              </w:rPr>
              <w:t>6</w:t>
            </w:r>
          </w:p>
        </w:tc>
      </w:tr>
      <w:tr w:rsidR="00B12FAA" w:rsidRPr="0070451B" w14:paraId="798E9E96" w14:textId="20F986E8" w:rsidTr="005E3A91">
        <w:trPr>
          <w:trHeight w:val="67"/>
        </w:trPr>
        <w:tc>
          <w:tcPr>
            <w:tcW w:w="6952" w:type="dxa"/>
            <w:tcBorders>
              <w:top w:val="single" w:sz="12" w:space="0" w:color="auto"/>
              <w:left w:val="single" w:sz="12" w:space="0" w:color="auto"/>
              <w:bottom w:val="single" w:sz="12" w:space="0" w:color="auto"/>
              <w:right w:val="single" w:sz="12" w:space="0" w:color="auto"/>
            </w:tcBorders>
            <w:shd w:val="clear" w:color="auto" w:fill="92D050"/>
            <w:vAlign w:val="center"/>
          </w:tcPr>
          <w:p w14:paraId="0CB1D490" w14:textId="1F67D613" w:rsidR="00B12FAA" w:rsidRPr="00D95A00" w:rsidRDefault="00B12FAA" w:rsidP="00B72EA1">
            <w:pPr>
              <w:pStyle w:val="ListParagraph"/>
              <w:numPr>
                <w:ilvl w:val="0"/>
                <w:numId w:val="40"/>
              </w:numPr>
              <w:rPr>
                <w:b/>
                <w:bCs/>
              </w:rPr>
            </w:pPr>
            <w:r w:rsidRPr="00D95A00">
              <w:rPr>
                <w:b/>
                <w:bCs/>
              </w:rPr>
              <w:t>Total Individuals served in a Group Setting</w:t>
            </w:r>
          </w:p>
        </w:tc>
        <w:tc>
          <w:tcPr>
            <w:tcW w:w="1523" w:type="dxa"/>
            <w:tcBorders>
              <w:top w:val="single" w:sz="12" w:space="0" w:color="auto"/>
              <w:left w:val="single" w:sz="12" w:space="0" w:color="auto"/>
              <w:bottom w:val="single" w:sz="12" w:space="0" w:color="auto"/>
              <w:right w:val="single" w:sz="12" w:space="0" w:color="auto"/>
            </w:tcBorders>
            <w:shd w:val="clear" w:color="auto" w:fill="92D050"/>
            <w:vAlign w:val="center"/>
          </w:tcPr>
          <w:p w14:paraId="1D3446D8" w14:textId="7EE8D898" w:rsidR="00B12FAA" w:rsidRPr="00B12FAA" w:rsidRDefault="00B12FAA" w:rsidP="00B61EB1">
            <w:pPr>
              <w:rPr>
                <w:b/>
                <w:bCs/>
              </w:rPr>
            </w:pPr>
            <w:r w:rsidRPr="00B12FAA">
              <w:rPr>
                <w:b/>
                <w:bCs/>
              </w:rPr>
              <w:t>1</w:t>
            </w:r>
            <w:r>
              <w:rPr>
                <w:b/>
                <w:bCs/>
              </w:rPr>
              <w:t>,</w:t>
            </w:r>
            <w:r w:rsidRPr="00B12FAA">
              <w:rPr>
                <w:b/>
                <w:bCs/>
              </w:rPr>
              <w:t>615</w:t>
            </w:r>
          </w:p>
        </w:tc>
        <w:tc>
          <w:tcPr>
            <w:tcW w:w="1595" w:type="dxa"/>
            <w:vMerge/>
            <w:tcBorders>
              <w:left w:val="single" w:sz="12" w:space="0" w:color="auto"/>
              <w:bottom w:val="single" w:sz="12" w:space="0" w:color="auto"/>
              <w:right w:val="single" w:sz="12" w:space="0" w:color="auto"/>
            </w:tcBorders>
            <w:shd w:val="clear" w:color="auto" w:fill="92D050"/>
          </w:tcPr>
          <w:p w14:paraId="1FB93665" w14:textId="77777777" w:rsidR="00B12FAA" w:rsidRPr="00B12FAA" w:rsidRDefault="00B12FAA" w:rsidP="00B61EB1">
            <w:pPr>
              <w:rPr>
                <w:b/>
                <w:bCs/>
              </w:rPr>
            </w:pPr>
          </w:p>
        </w:tc>
      </w:tr>
      <w:tr w:rsidR="00B12FAA" w:rsidRPr="0070451B" w14:paraId="6F3EFBCE" w14:textId="1F687871" w:rsidTr="005E3A91">
        <w:trPr>
          <w:trHeight w:val="432"/>
        </w:trPr>
        <w:tc>
          <w:tcPr>
            <w:tcW w:w="6952" w:type="dxa"/>
            <w:tcBorders>
              <w:top w:val="single" w:sz="12" w:space="0" w:color="auto"/>
            </w:tcBorders>
            <w:shd w:val="clear" w:color="auto" w:fill="auto"/>
            <w:vAlign w:val="center"/>
          </w:tcPr>
          <w:p w14:paraId="181F407F" w14:textId="348EDF3D" w:rsidR="00B12FAA" w:rsidRPr="00D95A00" w:rsidRDefault="00B12FAA" w:rsidP="00B72EA1">
            <w:pPr>
              <w:pStyle w:val="ListParagraph"/>
              <w:numPr>
                <w:ilvl w:val="0"/>
                <w:numId w:val="40"/>
              </w:numPr>
              <w:rPr>
                <w:b/>
                <w:bCs/>
              </w:rPr>
            </w:pPr>
            <w:r w:rsidRPr="00D95A00">
              <w:rPr>
                <w:b/>
                <w:bCs/>
              </w:rPr>
              <w:t>Female</w:t>
            </w:r>
          </w:p>
        </w:tc>
        <w:tc>
          <w:tcPr>
            <w:tcW w:w="1523" w:type="dxa"/>
            <w:tcBorders>
              <w:top w:val="single" w:sz="12" w:space="0" w:color="auto"/>
            </w:tcBorders>
            <w:shd w:val="clear" w:color="auto" w:fill="auto"/>
            <w:vAlign w:val="center"/>
          </w:tcPr>
          <w:p w14:paraId="01FA0283" w14:textId="167E8A91" w:rsidR="00B12FAA" w:rsidRPr="0070451B" w:rsidRDefault="00B12FAA" w:rsidP="00B61EB1">
            <w:r>
              <w:t>2,76</w:t>
            </w:r>
            <w:r w:rsidR="001C6CE8">
              <w:t>2</w:t>
            </w:r>
          </w:p>
        </w:tc>
        <w:tc>
          <w:tcPr>
            <w:tcW w:w="1595" w:type="dxa"/>
            <w:tcBorders>
              <w:top w:val="single" w:sz="12" w:space="0" w:color="auto"/>
            </w:tcBorders>
          </w:tcPr>
          <w:p w14:paraId="05E13FED" w14:textId="6349BB90" w:rsidR="00B12FAA" w:rsidRDefault="00F537BA" w:rsidP="00B61EB1">
            <w:r>
              <w:t>53%</w:t>
            </w:r>
          </w:p>
        </w:tc>
      </w:tr>
      <w:tr w:rsidR="00B12FAA" w:rsidRPr="0070451B" w14:paraId="3106C31F" w14:textId="2D5E1568" w:rsidTr="005E3A91">
        <w:trPr>
          <w:trHeight w:val="432"/>
        </w:trPr>
        <w:tc>
          <w:tcPr>
            <w:tcW w:w="6952" w:type="dxa"/>
            <w:shd w:val="clear" w:color="auto" w:fill="auto"/>
            <w:vAlign w:val="center"/>
          </w:tcPr>
          <w:p w14:paraId="5E4F1216" w14:textId="76437543" w:rsidR="00B12FAA" w:rsidRPr="00D95A00" w:rsidRDefault="00B12FAA" w:rsidP="00B72EA1">
            <w:pPr>
              <w:pStyle w:val="ListParagraph"/>
              <w:numPr>
                <w:ilvl w:val="0"/>
                <w:numId w:val="40"/>
              </w:numPr>
              <w:rPr>
                <w:b/>
                <w:bCs/>
              </w:rPr>
            </w:pPr>
            <w:r w:rsidRPr="00D95A00">
              <w:rPr>
                <w:b/>
                <w:bCs/>
              </w:rPr>
              <w:t>Male</w:t>
            </w:r>
          </w:p>
        </w:tc>
        <w:tc>
          <w:tcPr>
            <w:tcW w:w="1523" w:type="dxa"/>
            <w:shd w:val="clear" w:color="auto" w:fill="auto"/>
            <w:vAlign w:val="center"/>
          </w:tcPr>
          <w:p w14:paraId="1A75B754" w14:textId="45CA4138" w:rsidR="00B12FAA" w:rsidRPr="0070451B" w:rsidRDefault="00B12FAA" w:rsidP="00B61EB1">
            <w:r>
              <w:t>2,420</w:t>
            </w:r>
          </w:p>
        </w:tc>
        <w:tc>
          <w:tcPr>
            <w:tcW w:w="1595" w:type="dxa"/>
          </w:tcPr>
          <w:p w14:paraId="0D67F400" w14:textId="7B919E66" w:rsidR="00B12FAA" w:rsidRDefault="00F537BA" w:rsidP="00B61EB1">
            <w:r>
              <w:t>46%</w:t>
            </w:r>
          </w:p>
        </w:tc>
      </w:tr>
      <w:tr w:rsidR="00B12FAA" w:rsidRPr="0070451B" w14:paraId="081BAF7F" w14:textId="680866D5" w:rsidTr="005E3A91">
        <w:trPr>
          <w:trHeight w:val="432"/>
        </w:trPr>
        <w:tc>
          <w:tcPr>
            <w:tcW w:w="6952" w:type="dxa"/>
            <w:shd w:val="clear" w:color="auto" w:fill="auto"/>
            <w:vAlign w:val="center"/>
          </w:tcPr>
          <w:p w14:paraId="6B78392D" w14:textId="77777777" w:rsidR="00B12FAA" w:rsidRPr="00D95A00" w:rsidRDefault="00B12FAA" w:rsidP="00B72EA1">
            <w:pPr>
              <w:pStyle w:val="ListParagraph"/>
              <w:numPr>
                <w:ilvl w:val="0"/>
                <w:numId w:val="40"/>
              </w:numPr>
              <w:spacing w:before="0" w:after="0" w:line="240" w:lineRule="auto"/>
              <w:rPr>
                <w:b/>
                <w:bCs/>
              </w:rPr>
            </w:pPr>
            <w:r w:rsidRPr="00D95A00">
              <w:rPr>
                <w:b/>
                <w:bCs/>
              </w:rPr>
              <w:t>14 – 15</w:t>
            </w:r>
          </w:p>
        </w:tc>
        <w:tc>
          <w:tcPr>
            <w:tcW w:w="1523" w:type="dxa"/>
            <w:shd w:val="clear" w:color="auto" w:fill="auto"/>
            <w:vAlign w:val="center"/>
          </w:tcPr>
          <w:p w14:paraId="7E366709" w14:textId="63F94AF4" w:rsidR="00B12FAA" w:rsidRPr="0070451B" w:rsidRDefault="00B12FAA" w:rsidP="00B61EB1">
            <w:r>
              <w:t>1,48</w:t>
            </w:r>
            <w:r w:rsidR="001C6CE8">
              <w:t>7</w:t>
            </w:r>
          </w:p>
        </w:tc>
        <w:tc>
          <w:tcPr>
            <w:tcW w:w="1595" w:type="dxa"/>
          </w:tcPr>
          <w:p w14:paraId="255DFA7B" w14:textId="0E0DBCF0" w:rsidR="00B12FAA" w:rsidRDefault="00F537BA" w:rsidP="00B61EB1">
            <w:r>
              <w:t>28%</w:t>
            </w:r>
          </w:p>
        </w:tc>
      </w:tr>
      <w:tr w:rsidR="00B12FAA" w:rsidRPr="0070451B" w14:paraId="1EC04B15" w14:textId="215F1940" w:rsidTr="005E3A91">
        <w:trPr>
          <w:trHeight w:val="432"/>
        </w:trPr>
        <w:tc>
          <w:tcPr>
            <w:tcW w:w="6952" w:type="dxa"/>
            <w:shd w:val="clear" w:color="auto" w:fill="auto"/>
            <w:vAlign w:val="center"/>
          </w:tcPr>
          <w:p w14:paraId="29284BEB" w14:textId="68611EA5" w:rsidR="00B12FAA" w:rsidRPr="00D95A00" w:rsidRDefault="00B12FAA" w:rsidP="00B72EA1">
            <w:pPr>
              <w:pStyle w:val="ListParagraph"/>
              <w:numPr>
                <w:ilvl w:val="0"/>
                <w:numId w:val="40"/>
              </w:numPr>
              <w:rPr>
                <w:b/>
                <w:bCs/>
              </w:rPr>
            </w:pPr>
            <w:r w:rsidRPr="00D95A00">
              <w:rPr>
                <w:b/>
                <w:bCs/>
              </w:rPr>
              <w:t>16 – 17</w:t>
            </w:r>
          </w:p>
        </w:tc>
        <w:tc>
          <w:tcPr>
            <w:tcW w:w="1523" w:type="dxa"/>
            <w:shd w:val="clear" w:color="auto" w:fill="auto"/>
            <w:vAlign w:val="center"/>
          </w:tcPr>
          <w:p w14:paraId="09F5335E" w14:textId="5A9EACDB" w:rsidR="00B12FAA" w:rsidRPr="0070451B" w:rsidRDefault="00B12FAA" w:rsidP="00B61EB1">
            <w:r>
              <w:t>1,49</w:t>
            </w:r>
            <w:r w:rsidR="001C6CE8">
              <w:t>6</w:t>
            </w:r>
          </w:p>
        </w:tc>
        <w:tc>
          <w:tcPr>
            <w:tcW w:w="1595" w:type="dxa"/>
          </w:tcPr>
          <w:p w14:paraId="58587A8D" w14:textId="5DE25634" w:rsidR="00B12FAA" w:rsidRDefault="00F537BA" w:rsidP="00B61EB1">
            <w:r>
              <w:t>29%</w:t>
            </w:r>
          </w:p>
        </w:tc>
      </w:tr>
      <w:tr w:rsidR="00B12FAA" w:rsidRPr="0070451B" w14:paraId="2EBC9FB9" w14:textId="556245F1" w:rsidTr="005E3A91">
        <w:trPr>
          <w:trHeight w:val="432"/>
        </w:trPr>
        <w:tc>
          <w:tcPr>
            <w:tcW w:w="6952" w:type="dxa"/>
            <w:shd w:val="clear" w:color="auto" w:fill="auto"/>
            <w:vAlign w:val="center"/>
          </w:tcPr>
          <w:p w14:paraId="520D255E" w14:textId="5B92C21C" w:rsidR="00B12FAA" w:rsidRPr="00D95A00" w:rsidRDefault="00B12FAA" w:rsidP="00B72EA1">
            <w:pPr>
              <w:pStyle w:val="ListParagraph"/>
              <w:numPr>
                <w:ilvl w:val="0"/>
                <w:numId w:val="40"/>
              </w:numPr>
              <w:rPr>
                <w:b/>
                <w:bCs/>
              </w:rPr>
            </w:pPr>
            <w:r w:rsidRPr="00D95A00">
              <w:rPr>
                <w:b/>
                <w:bCs/>
              </w:rPr>
              <w:t>18 - 21</w:t>
            </w:r>
          </w:p>
        </w:tc>
        <w:tc>
          <w:tcPr>
            <w:tcW w:w="1523" w:type="dxa"/>
            <w:shd w:val="clear" w:color="auto" w:fill="auto"/>
            <w:vAlign w:val="center"/>
          </w:tcPr>
          <w:p w14:paraId="5D5F5E97" w14:textId="481EC79E" w:rsidR="00B12FAA" w:rsidRPr="0070451B" w:rsidRDefault="00B12FAA" w:rsidP="00B61EB1">
            <w:r>
              <w:t>2,120</w:t>
            </w:r>
          </w:p>
        </w:tc>
        <w:tc>
          <w:tcPr>
            <w:tcW w:w="1595" w:type="dxa"/>
          </w:tcPr>
          <w:p w14:paraId="36221CC5" w14:textId="49D2FEE1" w:rsidR="00B12FAA" w:rsidRDefault="00F537BA" w:rsidP="00B61EB1">
            <w:r>
              <w:t>41%</w:t>
            </w:r>
          </w:p>
        </w:tc>
      </w:tr>
      <w:tr w:rsidR="00B12FAA" w:rsidRPr="0070451B" w14:paraId="133B97B3" w14:textId="55B692D3" w:rsidTr="005E3A91">
        <w:trPr>
          <w:trHeight w:val="432"/>
        </w:trPr>
        <w:tc>
          <w:tcPr>
            <w:tcW w:w="6952" w:type="dxa"/>
            <w:shd w:val="clear" w:color="auto" w:fill="auto"/>
            <w:vAlign w:val="center"/>
          </w:tcPr>
          <w:p w14:paraId="76102E38" w14:textId="20B8E620" w:rsidR="00B12FAA" w:rsidRPr="00D95A00" w:rsidRDefault="00B12FAA" w:rsidP="00B72EA1">
            <w:pPr>
              <w:pStyle w:val="ListParagraph"/>
              <w:numPr>
                <w:ilvl w:val="0"/>
                <w:numId w:val="40"/>
              </w:numPr>
              <w:rPr>
                <w:b/>
                <w:bCs/>
              </w:rPr>
            </w:pPr>
            <w:r w:rsidRPr="00D95A00">
              <w:rPr>
                <w:b/>
                <w:bCs/>
              </w:rPr>
              <w:t>22 – 24</w:t>
            </w:r>
          </w:p>
        </w:tc>
        <w:tc>
          <w:tcPr>
            <w:tcW w:w="1523" w:type="dxa"/>
            <w:shd w:val="clear" w:color="auto" w:fill="auto"/>
            <w:vAlign w:val="center"/>
          </w:tcPr>
          <w:p w14:paraId="65CA0C02" w14:textId="785ACCCC" w:rsidR="00B12FAA" w:rsidRPr="0070451B" w:rsidRDefault="00B12FAA" w:rsidP="00B61EB1">
            <w:r>
              <w:t>83</w:t>
            </w:r>
          </w:p>
        </w:tc>
        <w:tc>
          <w:tcPr>
            <w:tcW w:w="1595" w:type="dxa"/>
          </w:tcPr>
          <w:p w14:paraId="582B79A6" w14:textId="24878975" w:rsidR="00B12FAA" w:rsidRDefault="00F537BA" w:rsidP="00B61EB1">
            <w:r>
              <w:t>2%</w:t>
            </w:r>
          </w:p>
        </w:tc>
      </w:tr>
      <w:tr w:rsidR="00B12FAA" w:rsidRPr="0070451B" w14:paraId="3FEB69B0" w14:textId="16E6BCB5" w:rsidTr="005E3A91">
        <w:trPr>
          <w:trHeight w:val="432"/>
        </w:trPr>
        <w:tc>
          <w:tcPr>
            <w:tcW w:w="6952" w:type="dxa"/>
            <w:shd w:val="clear" w:color="auto" w:fill="auto"/>
            <w:vAlign w:val="center"/>
          </w:tcPr>
          <w:p w14:paraId="703761E0" w14:textId="6075F430" w:rsidR="00B12FAA" w:rsidRPr="00D95A00" w:rsidRDefault="00B12FAA" w:rsidP="00B72EA1">
            <w:pPr>
              <w:pStyle w:val="ListParagraph"/>
              <w:numPr>
                <w:ilvl w:val="0"/>
                <w:numId w:val="40"/>
              </w:numPr>
              <w:rPr>
                <w:b/>
                <w:bCs/>
              </w:rPr>
            </w:pPr>
            <w:r w:rsidRPr="00D95A00">
              <w:rPr>
                <w:b/>
                <w:bCs/>
              </w:rPr>
              <w:t>Hispanic/Latino</w:t>
            </w:r>
          </w:p>
        </w:tc>
        <w:tc>
          <w:tcPr>
            <w:tcW w:w="1523" w:type="dxa"/>
            <w:shd w:val="clear" w:color="auto" w:fill="auto"/>
            <w:vAlign w:val="center"/>
          </w:tcPr>
          <w:p w14:paraId="17B2C2E4" w14:textId="3DBF8E5A" w:rsidR="00B12FAA" w:rsidRPr="0070451B" w:rsidRDefault="00B12FAA" w:rsidP="00B61EB1">
            <w:r>
              <w:t>875</w:t>
            </w:r>
          </w:p>
        </w:tc>
        <w:tc>
          <w:tcPr>
            <w:tcW w:w="1595" w:type="dxa"/>
          </w:tcPr>
          <w:p w14:paraId="2CE238B5" w14:textId="189B807B" w:rsidR="00B12FAA" w:rsidRDefault="00F537BA" w:rsidP="00B61EB1">
            <w:r>
              <w:t>17%</w:t>
            </w:r>
          </w:p>
        </w:tc>
      </w:tr>
      <w:tr w:rsidR="00B12FAA" w:rsidRPr="0070451B" w14:paraId="6035942A" w14:textId="7DA64022" w:rsidTr="005E3A91">
        <w:trPr>
          <w:trHeight w:val="432"/>
        </w:trPr>
        <w:tc>
          <w:tcPr>
            <w:tcW w:w="6952" w:type="dxa"/>
            <w:shd w:val="clear" w:color="auto" w:fill="auto"/>
            <w:vAlign w:val="center"/>
          </w:tcPr>
          <w:p w14:paraId="45425C01" w14:textId="1A7D1316" w:rsidR="00B12FAA" w:rsidRPr="00D95A00" w:rsidRDefault="00B12FAA" w:rsidP="00B72EA1">
            <w:pPr>
              <w:pStyle w:val="ListParagraph"/>
              <w:numPr>
                <w:ilvl w:val="0"/>
                <w:numId w:val="40"/>
              </w:numPr>
              <w:rPr>
                <w:b/>
                <w:bCs/>
              </w:rPr>
            </w:pPr>
            <w:r w:rsidRPr="00D95A00">
              <w:rPr>
                <w:b/>
                <w:bCs/>
              </w:rPr>
              <w:t>American Indian or Alaska Native</w:t>
            </w:r>
          </w:p>
        </w:tc>
        <w:tc>
          <w:tcPr>
            <w:tcW w:w="1523" w:type="dxa"/>
            <w:shd w:val="clear" w:color="auto" w:fill="auto"/>
            <w:vAlign w:val="center"/>
          </w:tcPr>
          <w:p w14:paraId="1DD06EC1" w14:textId="4F8C750A" w:rsidR="00B12FAA" w:rsidRPr="0070451B" w:rsidRDefault="00B12FAA" w:rsidP="00B61EB1">
            <w:r>
              <w:t>221</w:t>
            </w:r>
          </w:p>
        </w:tc>
        <w:tc>
          <w:tcPr>
            <w:tcW w:w="1595" w:type="dxa"/>
          </w:tcPr>
          <w:p w14:paraId="6DF74405" w14:textId="3727CC7C" w:rsidR="00B12FAA" w:rsidRDefault="00F537BA" w:rsidP="00B61EB1">
            <w:r>
              <w:t>4%</w:t>
            </w:r>
          </w:p>
        </w:tc>
      </w:tr>
      <w:tr w:rsidR="00B12FAA" w:rsidRPr="0070451B" w14:paraId="34E22BB3" w14:textId="41F974C5" w:rsidTr="005E3A91">
        <w:trPr>
          <w:trHeight w:val="432"/>
        </w:trPr>
        <w:tc>
          <w:tcPr>
            <w:tcW w:w="6952" w:type="dxa"/>
            <w:shd w:val="clear" w:color="auto" w:fill="auto"/>
            <w:vAlign w:val="center"/>
          </w:tcPr>
          <w:p w14:paraId="0281F5FD" w14:textId="2C0CAFDB" w:rsidR="00B12FAA" w:rsidRPr="00D95A00" w:rsidRDefault="00B12FAA" w:rsidP="00B72EA1">
            <w:pPr>
              <w:pStyle w:val="ListParagraph"/>
              <w:numPr>
                <w:ilvl w:val="0"/>
                <w:numId w:val="40"/>
              </w:numPr>
              <w:rPr>
                <w:b/>
                <w:bCs/>
              </w:rPr>
            </w:pPr>
            <w:r w:rsidRPr="00D95A00">
              <w:rPr>
                <w:b/>
                <w:bCs/>
              </w:rPr>
              <w:t>Asian/Pacific Islander</w:t>
            </w:r>
          </w:p>
        </w:tc>
        <w:tc>
          <w:tcPr>
            <w:tcW w:w="1523" w:type="dxa"/>
            <w:shd w:val="clear" w:color="auto" w:fill="auto"/>
            <w:vAlign w:val="center"/>
          </w:tcPr>
          <w:p w14:paraId="4EC69F82" w14:textId="4368BFCE" w:rsidR="00B12FAA" w:rsidRPr="0070451B" w:rsidRDefault="00B12FAA" w:rsidP="00B61EB1">
            <w:r>
              <w:t>752</w:t>
            </w:r>
          </w:p>
        </w:tc>
        <w:tc>
          <w:tcPr>
            <w:tcW w:w="1595" w:type="dxa"/>
          </w:tcPr>
          <w:p w14:paraId="1A017446" w14:textId="305DE91F" w:rsidR="00B12FAA" w:rsidRDefault="00F537BA" w:rsidP="00B61EB1">
            <w:r>
              <w:t>14%</w:t>
            </w:r>
          </w:p>
        </w:tc>
      </w:tr>
      <w:tr w:rsidR="00B12FAA" w:rsidRPr="0070451B" w14:paraId="41F30D7E" w14:textId="44D65894" w:rsidTr="005E3A91">
        <w:trPr>
          <w:trHeight w:val="432"/>
        </w:trPr>
        <w:tc>
          <w:tcPr>
            <w:tcW w:w="6952" w:type="dxa"/>
            <w:shd w:val="clear" w:color="auto" w:fill="auto"/>
            <w:vAlign w:val="center"/>
          </w:tcPr>
          <w:p w14:paraId="63B34AF7" w14:textId="0FE7E5DF" w:rsidR="00B12FAA" w:rsidRPr="00D95A00" w:rsidRDefault="00B12FAA" w:rsidP="00B72EA1">
            <w:pPr>
              <w:pStyle w:val="ListParagraph"/>
              <w:numPr>
                <w:ilvl w:val="0"/>
                <w:numId w:val="40"/>
              </w:numPr>
              <w:rPr>
                <w:b/>
                <w:bCs/>
              </w:rPr>
            </w:pPr>
            <w:r w:rsidRPr="00D95A00">
              <w:rPr>
                <w:b/>
                <w:bCs/>
              </w:rPr>
              <w:t>Black or African American</w:t>
            </w:r>
          </w:p>
        </w:tc>
        <w:tc>
          <w:tcPr>
            <w:tcW w:w="1523" w:type="dxa"/>
            <w:shd w:val="clear" w:color="auto" w:fill="auto"/>
            <w:vAlign w:val="center"/>
          </w:tcPr>
          <w:p w14:paraId="704FD6DF" w14:textId="5FDCCAAB" w:rsidR="00B12FAA" w:rsidRPr="0070451B" w:rsidRDefault="00B12FAA" w:rsidP="00B61EB1">
            <w:r>
              <w:t>2,479</w:t>
            </w:r>
          </w:p>
        </w:tc>
        <w:tc>
          <w:tcPr>
            <w:tcW w:w="1595" w:type="dxa"/>
          </w:tcPr>
          <w:p w14:paraId="6E10F39D" w14:textId="50699750" w:rsidR="00B12FAA" w:rsidRDefault="00F537BA" w:rsidP="00B61EB1">
            <w:r>
              <w:t>47%</w:t>
            </w:r>
          </w:p>
        </w:tc>
      </w:tr>
      <w:tr w:rsidR="00B12FAA" w:rsidRPr="0070451B" w14:paraId="4E6F808A" w14:textId="1B5EC3AD" w:rsidTr="005E3A91">
        <w:trPr>
          <w:trHeight w:val="432"/>
        </w:trPr>
        <w:tc>
          <w:tcPr>
            <w:tcW w:w="6952" w:type="dxa"/>
            <w:shd w:val="clear" w:color="auto" w:fill="auto"/>
            <w:vAlign w:val="center"/>
          </w:tcPr>
          <w:p w14:paraId="24596494" w14:textId="2ADACF47" w:rsidR="00B12FAA" w:rsidRPr="00D95A00" w:rsidRDefault="00B12FAA" w:rsidP="00B72EA1">
            <w:pPr>
              <w:pStyle w:val="ListParagraph"/>
              <w:numPr>
                <w:ilvl w:val="0"/>
                <w:numId w:val="40"/>
              </w:numPr>
              <w:rPr>
                <w:b/>
                <w:bCs/>
              </w:rPr>
            </w:pPr>
            <w:r w:rsidRPr="00D95A00">
              <w:rPr>
                <w:b/>
                <w:bCs/>
              </w:rPr>
              <w:t>White</w:t>
            </w:r>
          </w:p>
        </w:tc>
        <w:tc>
          <w:tcPr>
            <w:tcW w:w="1523" w:type="dxa"/>
            <w:shd w:val="clear" w:color="auto" w:fill="auto"/>
            <w:vAlign w:val="center"/>
          </w:tcPr>
          <w:p w14:paraId="14745863" w14:textId="741B46E2" w:rsidR="00B12FAA" w:rsidRPr="0070451B" w:rsidRDefault="00B12FAA" w:rsidP="00B61EB1">
            <w:r>
              <w:t>8</w:t>
            </w:r>
            <w:r w:rsidR="001C6CE8">
              <w:t>53</w:t>
            </w:r>
          </w:p>
        </w:tc>
        <w:tc>
          <w:tcPr>
            <w:tcW w:w="1595" w:type="dxa"/>
          </w:tcPr>
          <w:p w14:paraId="1D857E38" w14:textId="72488AD4" w:rsidR="00B12FAA" w:rsidRDefault="00F537BA" w:rsidP="00B61EB1">
            <w:r>
              <w:t>1</w:t>
            </w:r>
            <w:r w:rsidR="001C6CE8">
              <w:t>6</w:t>
            </w:r>
            <w:r>
              <w:t>%</w:t>
            </w:r>
          </w:p>
        </w:tc>
      </w:tr>
      <w:tr w:rsidR="00B12FAA" w:rsidRPr="0070451B" w14:paraId="7C157EB4" w14:textId="2547F0EE" w:rsidTr="005E3A91">
        <w:trPr>
          <w:trHeight w:val="432"/>
        </w:trPr>
        <w:tc>
          <w:tcPr>
            <w:tcW w:w="6952" w:type="dxa"/>
            <w:shd w:val="clear" w:color="auto" w:fill="auto"/>
            <w:vAlign w:val="center"/>
          </w:tcPr>
          <w:p w14:paraId="7E60EC4F" w14:textId="3332EF15" w:rsidR="00B12FAA" w:rsidRPr="00D95A00" w:rsidRDefault="00B12FAA" w:rsidP="00B72EA1">
            <w:pPr>
              <w:pStyle w:val="ListParagraph"/>
              <w:numPr>
                <w:ilvl w:val="0"/>
                <w:numId w:val="40"/>
              </w:numPr>
              <w:rPr>
                <w:b/>
                <w:bCs/>
              </w:rPr>
            </w:pPr>
            <w:r w:rsidRPr="00D95A00">
              <w:rPr>
                <w:b/>
                <w:bCs/>
              </w:rPr>
              <w:lastRenderedPageBreak/>
              <w:t>Multiracial</w:t>
            </w:r>
          </w:p>
        </w:tc>
        <w:tc>
          <w:tcPr>
            <w:tcW w:w="1523" w:type="dxa"/>
            <w:shd w:val="clear" w:color="auto" w:fill="auto"/>
            <w:vAlign w:val="center"/>
          </w:tcPr>
          <w:p w14:paraId="67567D65" w14:textId="0D334859" w:rsidR="00B12FAA" w:rsidRPr="0070451B" w:rsidRDefault="00B12FAA" w:rsidP="00B61EB1">
            <w:r>
              <w:t>131</w:t>
            </w:r>
          </w:p>
        </w:tc>
        <w:tc>
          <w:tcPr>
            <w:tcW w:w="1595" w:type="dxa"/>
          </w:tcPr>
          <w:p w14:paraId="53F291FB" w14:textId="05CA45E4" w:rsidR="00B12FAA" w:rsidRDefault="00F537BA" w:rsidP="00B61EB1">
            <w:r>
              <w:t>3%</w:t>
            </w:r>
          </w:p>
        </w:tc>
      </w:tr>
      <w:tr w:rsidR="00B12FAA" w:rsidRPr="0070451B" w14:paraId="319040CE" w14:textId="1BD73AE1" w:rsidTr="005E3A91">
        <w:trPr>
          <w:trHeight w:val="432"/>
        </w:trPr>
        <w:tc>
          <w:tcPr>
            <w:tcW w:w="6952" w:type="dxa"/>
            <w:shd w:val="clear" w:color="auto" w:fill="auto"/>
            <w:vAlign w:val="center"/>
          </w:tcPr>
          <w:p w14:paraId="5CE0836C" w14:textId="12AB31FB" w:rsidR="00B12FAA" w:rsidRPr="00D95A00" w:rsidRDefault="00B12FAA" w:rsidP="00B72EA1">
            <w:pPr>
              <w:pStyle w:val="ListParagraph"/>
              <w:numPr>
                <w:ilvl w:val="0"/>
                <w:numId w:val="40"/>
              </w:numPr>
              <w:rPr>
                <w:b/>
                <w:bCs/>
              </w:rPr>
            </w:pPr>
            <w:r w:rsidRPr="00D95A00">
              <w:rPr>
                <w:b/>
                <w:bCs/>
              </w:rPr>
              <w:t>Did not disclose</w:t>
            </w:r>
          </w:p>
        </w:tc>
        <w:tc>
          <w:tcPr>
            <w:tcW w:w="1523" w:type="dxa"/>
            <w:shd w:val="clear" w:color="auto" w:fill="auto"/>
            <w:vAlign w:val="center"/>
          </w:tcPr>
          <w:p w14:paraId="2C1EB847" w14:textId="5EDE2540" w:rsidR="00B12FAA" w:rsidRPr="0070451B" w:rsidRDefault="00B12FAA" w:rsidP="00B61EB1">
            <w:r>
              <w:t>183</w:t>
            </w:r>
          </w:p>
        </w:tc>
        <w:tc>
          <w:tcPr>
            <w:tcW w:w="1595" w:type="dxa"/>
          </w:tcPr>
          <w:p w14:paraId="2AFA8469" w14:textId="4D9D6072" w:rsidR="00B12FAA" w:rsidRDefault="00F537BA" w:rsidP="00B61EB1">
            <w:r>
              <w:t>4%</w:t>
            </w:r>
          </w:p>
        </w:tc>
      </w:tr>
      <w:tr w:rsidR="00B12FAA" w:rsidRPr="0070451B" w14:paraId="500A4860" w14:textId="67B66C3C" w:rsidTr="005E3A91">
        <w:trPr>
          <w:trHeight w:val="432"/>
        </w:trPr>
        <w:tc>
          <w:tcPr>
            <w:tcW w:w="6952" w:type="dxa"/>
            <w:shd w:val="clear" w:color="auto" w:fill="auto"/>
            <w:vAlign w:val="center"/>
          </w:tcPr>
          <w:p w14:paraId="26A31F47" w14:textId="05A2FA42" w:rsidR="00B12FAA" w:rsidRPr="00D95A00" w:rsidRDefault="00B12FAA" w:rsidP="00B72EA1">
            <w:pPr>
              <w:pStyle w:val="ListParagraph"/>
              <w:numPr>
                <w:ilvl w:val="0"/>
                <w:numId w:val="40"/>
              </w:numPr>
              <w:rPr>
                <w:b/>
                <w:bCs/>
              </w:rPr>
            </w:pPr>
            <w:r w:rsidRPr="00D95A00">
              <w:rPr>
                <w:b/>
                <w:bCs/>
              </w:rPr>
              <w:t>8</w:t>
            </w:r>
            <w:r w:rsidRPr="00D95A00">
              <w:rPr>
                <w:b/>
                <w:bCs/>
                <w:vertAlign w:val="superscript"/>
              </w:rPr>
              <w:t>th</w:t>
            </w:r>
            <w:r w:rsidRPr="00D95A00">
              <w:rPr>
                <w:b/>
                <w:bCs/>
              </w:rPr>
              <w:t xml:space="preserve"> grade and under</w:t>
            </w:r>
          </w:p>
        </w:tc>
        <w:tc>
          <w:tcPr>
            <w:tcW w:w="1523" w:type="dxa"/>
            <w:shd w:val="clear" w:color="auto" w:fill="auto"/>
            <w:vAlign w:val="center"/>
          </w:tcPr>
          <w:p w14:paraId="5AF3A4E8" w14:textId="1C2E781D" w:rsidR="00B12FAA" w:rsidRPr="0070451B" w:rsidRDefault="00B12FAA" w:rsidP="00B61EB1">
            <w:r>
              <w:t>377</w:t>
            </w:r>
          </w:p>
        </w:tc>
        <w:tc>
          <w:tcPr>
            <w:tcW w:w="1595" w:type="dxa"/>
          </w:tcPr>
          <w:p w14:paraId="5C632D8F" w14:textId="2659A85E" w:rsidR="00B12FAA" w:rsidRDefault="00F537BA" w:rsidP="00B61EB1">
            <w:r>
              <w:t>7%</w:t>
            </w:r>
          </w:p>
        </w:tc>
      </w:tr>
      <w:tr w:rsidR="00B12FAA" w:rsidRPr="0070451B" w14:paraId="749E7A6D" w14:textId="63D7B923" w:rsidTr="005E3A91">
        <w:trPr>
          <w:trHeight w:val="432"/>
        </w:trPr>
        <w:tc>
          <w:tcPr>
            <w:tcW w:w="6952" w:type="dxa"/>
            <w:shd w:val="clear" w:color="auto" w:fill="auto"/>
            <w:vAlign w:val="center"/>
          </w:tcPr>
          <w:p w14:paraId="35875A86" w14:textId="1FFB612C" w:rsidR="00B12FAA" w:rsidRPr="00D95A00" w:rsidRDefault="00B12FAA" w:rsidP="00B72EA1">
            <w:pPr>
              <w:pStyle w:val="ListParagraph"/>
              <w:numPr>
                <w:ilvl w:val="0"/>
                <w:numId w:val="40"/>
              </w:numPr>
              <w:rPr>
                <w:b/>
                <w:bCs/>
              </w:rPr>
            </w:pPr>
            <w:r w:rsidRPr="00D95A00">
              <w:rPr>
                <w:b/>
                <w:bCs/>
              </w:rPr>
              <w:t>9</w:t>
            </w:r>
            <w:r w:rsidRPr="00D95A00">
              <w:rPr>
                <w:b/>
                <w:bCs/>
                <w:vertAlign w:val="superscript"/>
              </w:rPr>
              <w:t>th</w:t>
            </w:r>
            <w:r w:rsidRPr="00D95A00">
              <w:rPr>
                <w:b/>
                <w:bCs/>
              </w:rPr>
              <w:t xml:space="preserve"> Grade – 12</w:t>
            </w:r>
            <w:r w:rsidRPr="00D95A00">
              <w:rPr>
                <w:b/>
                <w:bCs/>
                <w:vertAlign w:val="superscript"/>
              </w:rPr>
              <w:t>th</w:t>
            </w:r>
            <w:r w:rsidRPr="00D95A00">
              <w:rPr>
                <w:b/>
                <w:bCs/>
              </w:rPr>
              <w:t xml:space="preserve"> Grade</w:t>
            </w:r>
          </w:p>
        </w:tc>
        <w:tc>
          <w:tcPr>
            <w:tcW w:w="1523" w:type="dxa"/>
            <w:shd w:val="clear" w:color="auto" w:fill="auto"/>
            <w:vAlign w:val="center"/>
          </w:tcPr>
          <w:p w14:paraId="24A8A3BE" w14:textId="7AA3B6D3" w:rsidR="00B12FAA" w:rsidRPr="0070451B" w:rsidRDefault="00B12FAA" w:rsidP="00B61EB1">
            <w:r>
              <w:t>4,25</w:t>
            </w:r>
            <w:r w:rsidR="001C6CE8">
              <w:t>9</w:t>
            </w:r>
          </w:p>
        </w:tc>
        <w:tc>
          <w:tcPr>
            <w:tcW w:w="1595" w:type="dxa"/>
          </w:tcPr>
          <w:p w14:paraId="65E66D06" w14:textId="65521F6B" w:rsidR="00B12FAA" w:rsidRDefault="00F537BA" w:rsidP="00B61EB1">
            <w:r>
              <w:t>81%</w:t>
            </w:r>
          </w:p>
        </w:tc>
      </w:tr>
      <w:tr w:rsidR="00B12FAA" w:rsidRPr="0070451B" w14:paraId="4EB90B39" w14:textId="53F15BF1" w:rsidTr="005E3A91">
        <w:trPr>
          <w:trHeight w:val="432"/>
        </w:trPr>
        <w:tc>
          <w:tcPr>
            <w:tcW w:w="6952" w:type="dxa"/>
            <w:shd w:val="clear" w:color="auto" w:fill="auto"/>
            <w:vAlign w:val="center"/>
          </w:tcPr>
          <w:p w14:paraId="7ECB8F98" w14:textId="194B8DDF" w:rsidR="00B12FAA" w:rsidRPr="00D95A00" w:rsidRDefault="00B12FAA" w:rsidP="00B72EA1">
            <w:pPr>
              <w:pStyle w:val="ListParagraph"/>
              <w:numPr>
                <w:ilvl w:val="0"/>
                <w:numId w:val="40"/>
              </w:numPr>
              <w:rPr>
                <w:b/>
                <w:bCs/>
              </w:rPr>
            </w:pPr>
            <w:r w:rsidRPr="00D95A00">
              <w:rPr>
                <w:b/>
                <w:bCs/>
              </w:rPr>
              <w:t>High School graduate or equivalent</w:t>
            </w:r>
          </w:p>
        </w:tc>
        <w:tc>
          <w:tcPr>
            <w:tcW w:w="1523" w:type="dxa"/>
            <w:shd w:val="clear" w:color="auto" w:fill="auto"/>
            <w:vAlign w:val="center"/>
          </w:tcPr>
          <w:p w14:paraId="6250BEEA" w14:textId="76B691B0" w:rsidR="00B12FAA" w:rsidRPr="0070451B" w:rsidRDefault="00B12FAA" w:rsidP="00B61EB1">
            <w:r>
              <w:t>3</w:t>
            </w:r>
            <w:r w:rsidR="001C6CE8">
              <w:t>57</w:t>
            </w:r>
          </w:p>
        </w:tc>
        <w:tc>
          <w:tcPr>
            <w:tcW w:w="1595" w:type="dxa"/>
          </w:tcPr>
          <w:p w14:paraId="6D610171" w14:textId="12A2CE56" w:rsidR="00B12FAA" w:rsidRDefault="00F537BA" w:rsidP="00B61EB1">
            <w:r>
              <w:t>7%</w:t>
            </w:r>
          </w:p>
        </w:tc>
      </w:tr>
      <w:tr w:rsidR="00B12FAA" w:rsidRPr="0070451B" w14:paraId="13BCBF37" w14:textId="3D814489" w:rsidTr="005E3A91">
        <w:trPr>
          <w:trHeight w:val="432"/>
        </w:trPr>
        <w:tc>
          <w:tcPr>
            <w:tcW w:w="6952" w:type="dxa"/>
            <w:shd w:val="clear" w:color="auto" w:fill="auto"/>
            <w:vAlign w:val="center"/>
          </w:tcPr>
          <w:p w14:paraId="2BF058FC" w14:textId="04A54EDE" w:rsidR="00B12FAA" w:rsidRPr="00D95A00" w:rsidRDefault="00B12FAA" w:rsidP="00B72EA1">
            <w:pPr>
              <w:pStyle w:val="ListParagraph"/>
              <w:numPr>
                <w:ilvl w:val="0"/>
                <w:numId w:val="40"/>
              </w:numPr>
              <w:rPr>
                <w:b/>
                <w:bCs/>
              </w:rPr>
            </w:pPr>
            <w:r w:rsidRPr="00D95A00">
              <w:rPr>
                <w:b/>
                <w:bCs/>
              </w:rPr>
              <w:t>Post-Secondary Education</w:t>
            </w:r>
          </w:p>
        </w:tc>
        <w:tc>
          <w:tcPr>
            <w:tcW w:w="1523" w:type="dxa"/>
            <w:shd w:val="clear" w:color="auto" w:fill="auto"/>
            <w:vAlign w:val="center"/>
          </w:tcPr>
          <w:p w14:paraId="3E9275C4" w14:textId="3CC07039" w:rsidR="00B12FAA" w:rsidRPr="0070451B" w:rsidRDefault="001C6CE8" w:rsidP="00B61EB1">
            <w:r>
              <w:t>302</w:t>
            </w:r>
          </w:p>
        </w:tc>
        <w:tc>
          <w:tcPr>
            <w:tcW w:w="1595" w:type="dxa"/>
          </w:tcPr>
          <w:p w14:paraId="232F189C" w14:textId="481FC3CE" w:rsidR="00B12FAA" w:rsidRDefault="00F537BA" w:rsidP="00B61EB1">
            <w:r>
              <w:t>6%</w:t>
            </w:r>
          </w:p>
        </w:tc>
      </w:tr>
      <w:tr w:rsidR="00B12FAA" w:rsidRPr="0070451B" w14:paraId="68D813CE" w14:textId="60CFCE2B" w:rsidTr="005E3A91">
        <w:trPr>
          <w:trHeight w:val="432"/>
        </w:trPr>
        <w:tc>
          <w:tcPr>
            <w:tcW w:w="6952" w:type="dxa"/>
            <w:shd w:val="clear" w:color="auto" w:fill="auto"/>
            <w:vAlign w:val="center"/>
          </w:tcPr>
          <w:p w14:paraId="4B0060BE" w14:textId="1257DCD6" w:rsidR="00B12FAA" w:rsidRPr="00D95A00" w:rsidRDefault="00B12FAA" w:rsidP="00B72EA1">
            <w:pPr>
              <w:pStyle w:val="ListParagraph"/>
              <w:numPr>
                <w:ilvl w:val="0"/>
                <w:numId w:val="40"/>
              </w:numPr>
              <w:rPr>
                <w:b/>
                <w:bCs/>
              </w:rPr>
            </w:pPr>
            <w:r w:rsidRPr="00D95A00">
              <w:rPr>
                <w:b/>
                <w:bCs/>
              </w:rPr>
              <w:t>Limited English Proficien</w:t>
            </w:r>
            <w:r w:rsidR="00F537BA" w:rsidRPr="00D95A00">
              <w:rPr>
                <w:b/>
                <w:bCs/>
              </w:rPr>
              <w:t>cy</w:t>
            </w:r>
          </w:p>
        </w:tc>
        <w:tc>
          <w:tcPr>
            <w:tcW w:w="1523" w:type="dxa"/>
            <w:shd w:val="clear" w:color="auto" w:fill="auto"/>
            <w:vAlign w:val="center"/>
          </w:tcPr>
          <w:p w14:paraId="688C48F7" w14:textId="5B85175D" w:rsidR="00B12FAA" w:rsidRPr="0070451B" w:rsidRDefault="00B12FAA" w:rsidP="00B61EB1">
            <w:r>
              <w:t>859</w:t>
            </w:r>
          </w:p>
        </w:tc>
        <w:tc>
          <w:tcPr>
            <w:tcW w:w="1595" w:type="dxa"/>
          </w:tcPr>
          <w:p w14:paraId="1F253BFD" w14:textId="1857D56E" w:rsidR="00B12FAA" w:rsidRDefault="00F537BA" w:rsidP="00B61EB1">
            <w:r>
              <w:t>16%</w:t>
            </w:r>
          </w:p>
        </w:tc>
      </w:tr>
      <w:tr w:rsidR="00B12FAA" w:rsidRPr="0070451B" w14:paraId="08B8EDFB" w14:textId="727B0FC1" w:rsidTr="005E3A91">
        <w:trPr>
          <w:trHeight w:val="432"/>
        </w:trPr>
        <w:tc>
          <w:tcPr>
            <w:tcW w:w="6952" w:type="dxa"/>
            <w:shd w:val="clear" w:color="auto" w:fill="auto"/>
            <w:vAlign w:val="center"/>
          </w:tcPr>
          <w:p w14:paraId="447CAB24" w14:textId="104D1A6D" w:rsidR="00B12FAA" w:rsidRPr="00D95A00" w:rsidRDefault="00B12FAA" w:rsidP="00B72EA1">
            <w:pPr>
              <w:pStyle w:val="ListParagraph"/>
              <w:numPr>
                <w:ilvl w:val="0"/>
                <w:numId w:val="40"/>
              </w:numPr>
              <w:rPr>
                <w:b/>
                <w:bCs/>
              </w:rPr>
            </w:pPr>
            <w:r w:rsidRPr="00D95A00">
              <w:rPr>
                <w:b/>
                <w:bCs/>
              </w:rPr>
              <w:t>Participant/Family Receiving Public Assistance</w:t>
            </w:r>
          </w:p>
        </w:tc>
        <w:tc>
          <w:tcPr>
            <w:tcW w:w="1523" w:type="dxa"/>
            <w:shd w:val="clear" w:color="auto" w:fill="auto"/>
            <w:vAlign w:val="center"/>
          </w:tcPr>
          <w:p w14:paraId="7DBE4DBB" w14:textId="2045B267" w:rsidR="00B12FAA" w:rsidRPr="0070451B" w:rsidRDefault="00B12FAA" w:rsidP="00B61EB1">
            <w:r>
              <w:t>2,45</w:t>
            </w:r>
            <w:r w:rsidR="001C6CE8">
              <w:t>6</w:t>
            </w:r>
          </w:p>
        </w:tc>
        <w:tc>
          <w:tcPr>
            <w:tcW w:w="1595" w:type="dxa"/>
          </w:tcPr>
          <w:p w14:paraId="76185DD0" w14:textId="1DEBB9AC" w:rsidR="00B12FAA" w:rsidRPr="0070451B" w:rsidRDefault="00F537BA" w:rsidP="00B61EB1">
            <w:r>
              <w:t>47%</w:t>
            </w:r>
          </w:p>
        </w:tc>
      </w:tr>
      <w:tr w:rsidR="00B12FAA" w:rsidRPr="0070451B" w14:paraId="603FA4A1" w14:textId="1FD3FAC3" w:rsidTr="005E3A91">
        <w:trPr>
          <w:trHeight w:val="432"/>
        </w:trPr>
        <w:tc>
          <w:tcPr>
            <w:tcW w:w="6952" w:type="dxa"/>
            <w:shd w:val="clear" w:color="auto" w:fill="auto"/>
            <w:vAlign w:val="center"/>
          </w:tcPr>
          <w:p w14:paraId="398E7127" w14:textId="50B949B7" w:rsidR="00B12FAA" w:rsidRPr="00D95A00" w:rsidRDefault="00B12FAA" w:rsidP="00B72EA1">
            <w:pPr>
              <w:pStyle w:val="ListParagraph"/>
              <w:numPr>
                <w:ilvl w:val="0"/>
                <w:numId w:val="40"/>
              </w:numPr>
              <w:rPr>
                <w:b/>
                <w:bCs/>
              </w:rPr>
            </w:pPr>
            <w:r w:rsidRPr="00D95A00">
              <w:rPr>
                <w:b/>
                <w:bCs/>
              </w:rPr>
              <w:t>Foster Youth</w:t>
            </w:r>
          </w:p>
        </w:tc>
        <w:tc>
          <w:tcPr>
            <w:tcW w:w="1523" w:type="dxa"/>
            <w:shd w:val="clear" w:color="auto" w:fill="auto"/>
            <w:vAlign w:val="center"/>
          </w:tcPr>
          <w:p w14:paraId="2897BD23" w14:textId="0774091A" w:rsidR="00B12FAA" w:rsidRPr="0070451B" w:rsidRDefault="001C6CE8" w:rsidP="00B61EB1">
            <w:r>
              <w:t>70</w:t>
            </w:r>
          </w:p>
        </w:tc>
        <w:tc>
          <w:tcPr>
            <w:tcW w:w="1595" w:type="dxa"/>
          </w:tcPr>
          <w:p w14:paraId="2247CA9B" w14:textId="3BE7783D" w:rsidR="00B12FAA" w:rsidRPr="0070451B" w:rsidRDefault="00F537BA" w:rsidP="00B61EB1">
            <w:r>
              <w:t>1%</w:t>
            </w:r>
          </w:p>
        </w:tc>
      </w:tr>
      <w:tr w:rsidR="00B12FAA" w:rsidRPr="0070451B" w14:paraId="3D9C051B" w14:textId="373465E4" w:rsidTr="005E3A91">
        <w:trPr>
          <w:trHeight w:val="432"/>
        </w:trPr>
        <w:tc>
          <w:tcPr>
            <w:tcW w:w="6952" w:type="dxa"/>
            <w:shd w:val="clear" w:color="auto" w:fill="auto"/>
            <w:vAlign w:val="center"/>
          </w:tcPr>
          <w:p w14:paraId="049BA82E" w14:textId="28A6CF9A" w:rsidR="00B12FAA" w:rsidRPr="00D95A00" w:rsidRDefault="00B12FAA" w:rsidP="00B72EA1">
            <w:pPr>
              <w:pStyle w:val="ListParagraph"/>
              <w:numPr>
                <w:ilvl w:val="0"/>
                <w:numId w:val="40"/>
              </w:numPr>
              <w:rPr>
                <w:b/>
                <w:bCs/>
              </w:rPr>
            </w:pPr>
            <w:r w:rsidRPr="00D95A00">
              <w:rPr>
                <w:b/>
                <w:bCs/>
              </w:rPr>
              <w:t>Participants with a Disability</w:t>
            </w:r>
          </w:p>
        </w:tc>
        <w:tc>
          <w:tcPr>
            <w:tcW w:w="1523" w:type="dxa"/>
            <w:shd w:val="clear" w:color="auto" w:fill="auto"/>
            <w:vAlign w:val="center"/>
          </w:tcPr>
          <w:p w14:paraId="628FB191" w14:textId="49DB981F" w:rsidR="00B12FAA" w:rsidRPr="0070451B" w:rsidRDefault="00B12FAA" w:rsidP="00B61EB1">
            <w:r>
              <w:t>856</w:t>
            </w:r>
          </w:p>
        </w:tc>
        <w:tc>
          <w:tcPr>
            <w:tcW w:w="1595" w:type="dxa"/>
          </w:tcPr>
          <w:p w14:paraId="70359D8A" w14:textId="1B1FD2F5" w:rsidR="00B12FAA" w:rsidRPr="0070451B" w:rsidRDefault="00F537BA" w:rsidP="00B61EB1">
            <w:r>
              <w:t>16%</w:t>
            </w:r>
          </w:p>
        </w:tc>
      </w:tr>
      <w:tr w:rsidR="00B12FAA" w:rsidRPr="0070451B" w14:paraId="00CC937F" w14:textId="53E99C6F" w:rsidTr="005E3A91">
        <w:trPr>
          <w:trHeight w:val="432"/>
        </w:trPr>
        <w:tc>
          <w:tcPr>
            <w:tcW w:w="6952" w:type="dxa"/>
            <w:shd w:val="clear" w:color="auto" w:fill="auto"/>
            <w:vAlign w:val="center"/>
          </w:tcPr>
          <w:p w14:paraId="257CB932" w14:textId="10EE6DC7" w:rsidR="00B12FAA" w:rsidRPr="00D95A00" w:rsidRDefault="00B12FAA" w:rsidP="00B72EA1">
            <w:pPr>
              <w:pStyle w:val="ListParagraph"/>
              <w:numPr>
                <w:ilvl w:val="0"/>
                <w:numId w:val="40"/>
              </w:numPr>
              <w:rPr>
                <w:b/>
                <w:bCs/>
              </w:rPr>
            </w:pPr>
            <w:r w:rsidRPr="00D95A00">
              <w:rPr>
                <w:b/>
                <w:bCs/>
              </w:rPr>
              <w:t>High School Drop-Out or Potential Dropout</w:t>
            </w:r>
          </w:p>
        </w:tc>
        <w:tc>
          <w:tcPr>
            <w:tcW w:w="1523" w:type="dxa"/>
            <w:shd w:val="clear" w:color="auto" w:fill="auto"/>
            <w:vAlign w:val="center"/>
          </w:tcPr>
          <w:p w14:paraId="3CD98B94" w14:textId="05C7AD49" w:rsidR="00B12FAA" w:rsidRPr="0070451B" w:rsidRDefault="00B12FAA" w:rsidP="00B61EB1">
            <w:r>
              <w:t>216</w:t>
            </w:r>
          </w:p>
        </w:tc>
        <w:tc>
          <w:tcPr>
            <w:tcW w:w="1595" w:type="dxa"/>
          </w:tcPr>
          <w:p w14:paraId="44233E58" w14:textId="4C8F24EE" w:rsidR="00B12FAA" w:rsidRPr="0070451B" w:rsidRDefault="00F537BA" w:rsidP="00B61EB1">
            <w:r>
              <w:t>4%</w:t>
            </w:r>
          </w:p>
        </w:tc>
      </w:tr>
      <w:tr w:rsidR="00B12FAA" w:rsidRPr="0070451B" w14:paraId="105BE2F8" w14:textId="171B7EA7" w:rsidTr="005E3A91">
        <w:trPr>
          <w:trHeight w:val="432"/>
        </w:trPr>
        <w:tc>
          <w:tcPr>
            <w:tcW w:w="6952" w:type="dxa"/>
            <w:shd w:val="clear" w:color="auto" w:fill="auto"/>
            <w:vAlign w:val="center"/>
          </w:tcPr>
          <w:p w14:paraId="434323BD" w14:textId="5AC6FC8A" w:rsidR="00B12FAA" w:rsidRPr="00D95A00" w:rsidRDefault="00B12FAA" w:rsidP="00B72EA1">
            <w:pPr>
              <w:pStyle w:val="ListParagraph"/>
              <w:numPr>
                <w:ilvl w:val="0"/>
                <w:numId w:val="40"/>
              </w:numPr>
              <w:rPr>
                <w:b/>
                <w:bCs/>
              </w:rPr>
            </w:pPr>
            <w:r w:rsidRPr="00D95A00">
              <w:rPr>
                <w:b/>
                <w:bCs/>
              </w:rPr>
              <w:t>Youth or Adult Offender</w:t>
            </w:r>
          </w:p>
        </w:tc>
        <w:tc>
          <w:tcPr>
            <w:tcW w:w="1523" w:type="dxa"/>
            <w:shd w:val="clear" w:color="auto" w:fill="auto"/>
            <w:vAlign w:val="center"/>
          </w:tcPr>
          <w:p w14:paraId="01BED0C6" w14:textId="7D1C0D10" w:rsidR="00B12FAA" w:rsidRPr="0070451B" w:rsidRDefault="00B12FAA" w:rsidP="00B61EB1">
            <w:r>
              <w:t>93</w:t>
            </w:r>
          </w:p>
        </w:tc>
        <w:tc>
          <w:tcPr>
            <w:tcW w:w="1595" w:type="dxa"/>
          </w:tcPr>
          <w:p w14:paraId="14D6877D" w14:textId="549DFB46" w:rsidR="00B12FAA" w:rsidRPr="0070451B" w:rsidRDefault="00F537BA" w:rsidP="00B61EB1">
            <w:r>
              <w:t>2%</w:t>
            </w:r>
          </w:p>
        </w:tc>
      </w:tr>
      <w:tr w:rsidR="00B12FAA" w:rsidRPr="0070451B" w14:paraId="0DB09F46" w14:textId="05189071" w:rsidTr="005E3A91">
        <w:trPr>
          <w:trHeight w:val="432"/>
        </w:trPr>
        <w:tc>
          <w:tcPr>
            <w:tcW w:w="6952" w:type="dxa"/>
            <w:shd w:val="clear" w:color="auto" w:fill="auto"/>
            <w:vAlign w:val="center"/>
          </w:tcPr>
          <w:p w14:paraId="301F0FED" w14:textId="2979DB59" w:rsidR="00B12FAA" w:rsidRPr="00D95A00" w:rsidRDefault="00B12FAA" w:rsidP="00B72EA1">
            <w:pPr>
              <w:pStyle w:val="ListParagraph"/>
              <w:numPr>
                <w:ilvl w:val="0"/>
                <w:numId w:val="40"/>
              </w:numPr>
              <w:rPr>
                <w:b/>
                <w:bCs/>
              </w:rPr>
            </w:pPr>
            <w:r w:rsidRPr="00D95A00">
              <w:rPr>
                <w:b/>
                <w:bCs/>
              </w:rPr>
              <w:t>Pregnant or Parenting Youth</w:t>
            </w:r>
          </w:p>
        </w:tc>
        <w:tc>
          <w:tcPr>
            <w:tcW w:w="1523" w:type="dxa"/>
            <w:shd w:val="clear" w:color="auto" w:fill="auto"/>
            <w:vAlign w:val="center"/>
          </w:tcPr>
          <w:p w14:paraId="32B2BAAF" w14:textId="5C407002" w:rsidR="00B12FAA" w:rsidRPr="0070451B" w:rsidRDefault="00B12FAA" w:rsidP="00B61EB1">
            <w:r>
              <w:t>97</w:t>
            </w:r>
          </w:p>
        </w:tc>
        <w:tc>
          <w:tcPr>
            <w:tcW w:w="1595" w:type="dxa"/>
          </w:tcPr>
          <w:p w14:paraId="1A6A0436" w14:textId="42B4E124" w:rsidR="00B12FAA" w:rsidRPr="0070451B" w:rsidRDefault="00F537BA" w:rsidP="00B61EB1">
            <w:r>
              <w:t>2%</w:t>
            </w:r>
          </w:p>
        </w:tc>
      </w:tr>
      <w:tr w:rsidR="00B12FAA" w:rsidRPr="0070451B" w14:paraId="5BC7960B" w14:textId="70305831" w:rsidTr="005E3A91">
        <w:trPr>
          <w:trHeight w:val="432"/>
        </w:trPr>
        <w:tc>
          <w:tcPr>
            <w:tcW w:w="6952" w:type="dxa"/>
            <w:shd w:val="clear" w:color="auto" w:fill="auto"/>
            <w:vAlign w:val="center"/>
          </w:tcPr>
          <w:p w14:paraId="4BDAEFC9" w14:textId="094BC8AE" w:rsidR="00B12FAA" w:rsidRPr="00D95A00" w:rsidRDefault="00B12FAA" w:rsidP="00B72EA1">
            <w:pPr>
              <w:pStyle w:val="ListParagraph"/>
              <w:numPr>
                <w:ilvl w:val="0"/>
                <w:numId w:val="40"/>
              </w:numPr>
              <w:rPr>
                <w:b/>
                <w:bCs/>
              </w:rPr>
            </w:pPr>
            <w:r w:rsidRPr="00D95A00">
              <w:rPr>
                <w:b/>
                <w:bCs/>
              </w:rPr>
              <w:t>Basic Skills Deficient</w:t>
            </w:r>
          </w:p>
        </w:tc>
        <w:tc>
          <w:tcPr>
            <w:tcW w:w="1523" w:type="dxa"/>
            <w:shd w:val="clear" w:color="auto" w:fill="auto"/>
            <w:vAlign w:val="center"/>
          </w:tcPr>
          <w:p w14:paraId="292DC411" w14:textId="710CE80D" w:rsidR="00B12FAA" w:rsidRPr="0070451B" w:rsidRDefault="00B12FAA" w:rsidP="00B61EB1">
            <w:r>
              <w:t>57</w:t>
            </w:r>
            <w:r w:rsidR="001C6CE8">
              <w:t>6</w:t>
            </w:r>
          </w:p>
        </w:tc>
        <w:tc>
          <w:tcPr>
            <w:tcW w:w="1595" w:type="dxa"/>
          </w:tcPr>
          <w:p w14:paraId="09B44212" w14:textId="6D212EA6" w:rsidR="00B12FAA" w:rsidRPr="0070451B" w:rsidRDefault="00F537BA" w:rsidP="00B61EB1">
            <w:r>
              <w:t>11%</w:t>
            </w:r>
          </w:p>
        </w:tc>
      </w:tr>
      <w:tr w:rsidR="00B12FAA" w:rsidRPr="0070451B" w14:paraId="03E5C2F0" w14:textId="6357602A" w:rsidTr="005E3A91">
        <w:trPr>
          <w:trHeight w:val="432"/>
        </w:trPr>
        <w:tc>
          <w:tcPr>
            <w:tcW w:w="6952" w:type="dxa"/>
            <w:tcBorders>
              <w:bottom w:val="single" w:sz="4" w:space="0" w:color="auto"/>
            </w:tcBorders>
            <w:shd w:val="clear" w:color="auto" w:fill="auto"/>
            <w:vAlign w:val="center"/>
          </w:tcPr>
          <w:p w14:paraId="12D403FB" w14:textId="11DCDC75" w:rsidR="00B12FAA" w:rsidRPr="00D95A00" w:rsidRDefault="00B12FAA" w:rsidP="00B72EA1">
            <w:pPr>
              <w:pStyle w:val="ListParagraph"/>
              <w:numPr>
                <w:ilvl w:val="0"/>
                <w:numId w:val="40"/>
              </w:numPr>
              <w:rPr>
                <w:b/>
                <w:bCs/>
              </w:rPr>
            </w:pPr>
            <w:r w:rsidRPr="00D95A00">
              <w:rPr>
                <w:b/>
                <w:bCs/>
              </w:rPr>
              <w:t xml:space="preserve">Homeless Individual or Runaway Youth </w:t>
            </w:r>
          </w:p>
        </w:tc>
        <w:tc>
          <w:tcPr>
            <w:tcW w:w="1523" w:type="dxa"/>
            <w:tcBorders>
              <w:bottom w:val="single" w:sz="4" w:space="0" w:color="auto"/>
            </w:tcBorders>
            <w:shd w:val="clear" w:color="auto" w:fill="auto"/>
            <w:vAlign w:val="center"/>
          </w:tcPr>
          <w:p w14:paraId="6AA981CF" w14:textId="1413F39F" w:rsidR="00B12FAA" w:rsidRPr="0070451B" w:rsidRDefault="00B12FAA" w:rsidP="00B61EB1">
            <w:r>
              <w:t>206</w:t>
            </w:r>
          </w:p>
        </w:tc>
        <w:tc>
          <w:tcPr>
            <w:tcW w:w="1595" w:type="dxa"/>
            <w:tcBorders>
              <w:bottom w:val="single" w:sz="4" w:space="0" w:color="auto"/>
            </w:tcBorders>
          </w:tcPr>
          <w:p w14:paraId="2A110ADE" w14:textId="16D54E99" w:rsidR="00B12FAA" w:rsidRPr="0070451B" w:rsidRDefault="00F537BA" w:rsidP="00B61EB1">
            <w:r>
              <w:t>4%</w:t>
            </w:r>
          </w:p>
        </w:tc>
      </w:tr>
      <w:tr w:rsidR="00B12FAA" w:rsidRPr="00B72EA1" w14:paraId="083C8A74" w14:textId="6ADAB7CB" w:rsidTr="005E3A91">
        <w:trPr>
          <w:trHeight w:val="432"/>
        </w:trPr>
        <w:tc>
          <w:tcPr>
            <w:tcW w:w="6952" w:type="dxa"/>
            <w:tcBorders>
              <w:bottom w:val="single" w:sz="4" w:space="0" w:color="auto"/>
            </w:tcBorders>
            <w:shd w:val="clear" w:color="auto" w:fill="auto"/>
            <w:vAlign w:val="center"/>
          </w:tcPr>
          <w:p w14:paraId="20741169" w14:textId="6860BB89" w:rsidR="00B12FAA" w:rsidRPr="00D95A00" w:rsidRDefault="00B12FAA" w:rsidP="00B72EA1">
            <w:pPr>
              <w:pStyle w:val="ListParagraph"/>
              <w:numPr>
                <w:ilvl w:val="0"/>
                <w:numId w:val="40"/>
              </w:numPr>
              <w:rPr>
                <w:b/>
                <w:bCs/>
              </w:rPr>
            </w:pPr>
            <w:r w:rsidRPr="00D95A00">
              <w:rPr>
                <w:b/>
                <w:bCs/>
              </w:rPr>
              <w:t>Not Employed at Program Enrollment</w:t>
            </w:r>
          </w:p>
        </w:tc>
        <w:tc>
          <w:tcPr>
            <w:tcW w:w="1523" w:type="dxa"/>
            <w:tcBorders>
              <w:bottom w:val="single" w:sz="4" w:space="0" w:color="auto"/>
            </w:tcBorders>
            <w:shd w:val="clear" w:color="auto" w:fill="auto"/>
            <w:vAlign w:val="center"/>
          </w:tcPr>
          <w:p w14:paraId="1FCCA0AB" w14:textId="5C75CC23" w:rsidR="00B12FAA" w:rsidRPr="00B72EA1" w:rsidRDefault="00B12FAA" w:rsidP="00B61EB1">
            <w:r>
              <w:t>1,267</w:t>
            </w:r>
          </w:p>
        </w:tc>
        <w:tc>
          <w:tcPr>
            <w:tcW w:w="1595" w:type="dxa"/>
            <w:tcBorders>
              <w:bottom w:val="single" w:sz="4" w:space="0" w:color="auto"/>
            </w:tcBorders>
          </w:tcPr>
          <w:p w14:paraId="63C9DC15" w14:textId="7C093EB3" w:rsidR="00B12FAA" w:rsidRDefault="00F537BA" w:rsidP="00B61EB1">
            <w:r>
              <w:t>24%</w:t>
            </w:r>
          </w:p>
        </w:tc>
      </w:tr>
      <w:tr w:rsidR="00B12FAA" w:rsidRPr="00B72EA1" w14:paraId="1AB1936F" w14:textId="520CFCDA" w:rsidTr="005E3A91">
        <w:trPr>
          <w:trHeight w:val="432"/>
        </w:trPr>
        <w:tc>
          <w:tcPr>
            <w:tcW w:w="6952" w:type="dxa"/>
            <w:tcBorders>
              <w:bottom w:val="single" w:sz="4" w:space="0" w:color="auto"/>
            </w:tcBorders>
            <w:shd w:val="clear" w:color="auto" w:fill="auto"/>
            <w:vAlign w:val="center"/>
          </w:tcPr>
          <w:p w14:paraId="15983ED0" w14:textId="1C68D4B9" w:rsidR="00B12FAA" w:rsidRPr="00D95A00" w:rsidRDefault="00B12FAA" w:rsidP="00B72EA1">
            <w:pPr>
              <w:pStyle w:val="ListParagraph"/>
              <w:numPr>
                <w:ilvl w:val="0"/>
                <w:numId w:val="40"/>
              </w:numPr>
              <w:rPr>
                <w:b/>
                <w:bCs/>
              </w:rPr>
            </w:pPr>
            <w:r w:rsidRPr="00D95A00">
              <w:rPr>
                <w:b/>
                <w:bCs/>
              </w:rPr>
              <w:t>Veteran</w:t>
            </w:r>
          </w:p>
        </w:tc>
        <w:tc>
          <w:tcPr>
            <w:tcW w:w="1523" w:type="dxa"/>
            <w:tcBorders>
              <w:bottom w:val="single" w:sz="4" w:space="0" w:color="auto"/>
            </w:tcBorders>
            <w:shd w:val="clear" w:color="auto" w:fill="auto"/>
            <w:vAlign w:val="center"/>
          </w:tcPr>
          <w:p w14:paraId="0CAE6DA9" w14:textId="2E254F74" w:rsidR="00B12FAA" w:rsidRPr="00B72EA1" w:rsidRDefault="00B12FAA" w:rsidP="00B61EB1">
            <w:r>
              <w:t>0</w:t>
            </w:r>
          </w:p>
        </w:tc>
        <w:tc>
          <w:tcPr>
            <w:tcW w:w="1595" w:type="dxa"/>
            <w:tcBorders>
              <w:bottom w:val="single" w:sz="4" w:space="0" w:color="auto"/>
            </w:tcBorders>
          </w:tcPr>
          <w:p w14:paraId="574D0E43" w14:textId="57859999" w:rsidR="00B12FAA" w:rsidRPr="00B72EA1" w:rsidRDefault="00F537BA" w:rsidP="00B61EB1">
            <w:r>
              <w:t>0%</w:t>
            </w:r>
          </w:p>
        </w:tc>
      </w:tr>
      <w:tr w:rsidR="00B12FAA" w:rsidRPr="0070451B" w14:paraId="35DC914C" w14:textId="4228FCBA" w:rsidTr="005E3A91">
        <w:trPr>
          <w:trHeight w:val="432"/>
        </w:trPr>
        <w:tc>
          <w:tcPr>
            <w:tcW w:w="6952" w:type="dxa"/>
            <w:tcBorders>
              <w:bottom w:val="single" w:sz="4" w:space="0" w:color="auto"/>
            </w:tcBorders>
            <w:shd w:val="clear" w:color="auto" w:fill="auto"/>
            <w:vAlign w:val="center"/>
          </w:tcPr>
          <w:p w14:paraId="2971D527" w14:textId="44C7B564" w:rsidR="00B12FAA" w:rsidRPr="00D95A00" w:rsidRDefault="00B12FAA" w:rsidP="00B72EA1">
            <w:pPr>
              <w:pStyle w:val="ListParagraph"/>
              <w:numPr>
                <w:ilvl w:val="0"/>
                <w:numId w:val="40"/>
              </w:numPr>
              <w:rPr>
                <w:b/>
                <w:bCs/>
              </w:rPr>
            </w:pPr>
            <w:r w:rsidRPr="00D95A00">
              <w:rPr>
                <w:b/>
                <w:bCs/>
              </w:rPr>
              <w:lastRenderedPageBreak/>
              <w:t>Economically Disadvantaged Individual</w:t>
            </w:r>
          </w:p>
        </w:tc>
        <w:tc>
          <w:tcPr>
            <w:tcW w:w="1523" w:type="dxa"/>
            <w:tcBorders>
              <w:bottom w:val="single" w:sz="4" w:space="0" w:color="auto"/>
            </w:tcBorders>
            <w:shd w:val="clear" w:color="auto" w:fill="auto"/>
            <w:vAlign w:val="center"/>
          </w:tcPr>
          <w:p w14:paraId="0F0B0C1E" w14:textId="5AC1B271" w:rsidR="00B12FAA" w:rsidRPr="0070451B" w:rsidRDefault="00B12FAA" w:rsidP="00B61EB1">
            <w:r>
              <w:t>4,19</w:t>
            </w:r>
            <w:r w:rsidR="001C6CE8">
              <w:t>0</w:t>
            </w:r>
          </w:p>
        </w:tc>
        <w:tc>
          <w:tcPr>
            <w:tcW w:w="1595" w:type="dxa"/>
            <w:tcBorders>
              <w:bottom w:val="single" w:sz="4" w:space="0" w:color="auto"/>
            </w:tcBorders>
          </w:tcPr>
          <w:p w14:paraId="397443FD" w14:textId="26E4DAD8" w:rsidR="00B12FAA" w:rsidRPr="0070451B" w:rsidRDefault="00F537BA" w:rsidP="00B61EB1">
            <w:r>
              <w:t>80%</w:t>
            </w:r>
          </w:p>
        </w:tc>
      </w:tr>
      <w:tr w:rsidR="005E3A91" w:rsidRPr="00930455" w14:paraId="5B7757FC" w14:textId="3C610146" w:rsidTr="001A7ECB">
        <w:trPr>
          <w:trHeight w:val="432"/>
        </w:trPr>
        <w:tc>
          <w:tcPr>
            <w:tcW w:w="10070" w:type="dxa"/>
            <w:gridSpan w:val="3"/>
            <w:shd w:val="clear" w:color="auto" w:fill="E6E6E6"/>
            <w:vAlign w:val="center"/>
          </w:tcPr>
          <w:p w14:paraId="707AB564" w14:textId="6E7DE696" w:rsidR="005E3A91" w:rsidRPr="00104E2D" w:rsidRDefault="005E3A91" w:rsidP="00B61EB1">
            <w:r w:rsidRPr="00D95A00">
              <w:rPr>
                <w:b/>
                <w:bCs/>
              </w:rPr>
              <w:br w:type="page"/>
              <w:t>PROGRAM SERVICES, ACTIVITIES, AND OTHER RELATED ASSISTANCE FOR INDIVIDUAL SERVICES</w:t>
            </w:r>
          </w:p>
        </w:tc>
      </w:tr>
      <w:tr w:rsidR="00B12FAA" w:rsidRPr="0070451B" w14:paraId="5FEE753B" w14:textId="2E8DAACD" w:rsidTr="005E3A91">
        <w:trPr>
          <w:trHeight w:val="1250"/>
        </w:trPr>
        <w:tc>
          <w:tcPr>
            <w:tcW w:w="6952" w:type="dxa"/>
            <w:shd w:val="clear" w:color="auto" w:fill="auto"/>
            <w:vAlign w:val="center"/>
          </w:tcPr>
          <w:p w14:paraId="0C773B63" w14:textId="77777777" w:rsidR="00B12FAA" w:rsidRPr="00D95A00" w:rsidRDefault="00B12FAA" w:rsidP="00B72EA1">
            <w:pPr>
              <w:pStyle w:val="ListParagraph"/>
              <w:numPr>
                <w:ilvl w:val="0"/>
                <w:numId w:val="41"/>
              </w:numPr>
              <w:spacing w:before="0" w:after="0" w:line="240" w:lineRule="auto"/>
              <w:rPr>
                <w:b/>
                <w:bCs/>
              </w:rPr>
            </w:pPr>
            <w:r w:rsidRPr="00D95A00">
              <w:rPr>
                <w:b/>
                <w:bCs/>
              </w:rPr>
              <w:t xml:space="preserve">Received Education, Employment Preparation, or Work Readiness/Job Training Activities (Includes Training in ABE/Remedial, Basic Skills, Classroom, Labor Market Info, Life Skills, and Occupational Skills) </w:t>
            </w:r>
          </w:p>
        </w:tc>
        <w:tc>
          <w:tcPr>
            <w:tcW w:w="1523" w:type="dxa"/>
            <w:shd w:val="clear" w:color="auto" w:fill="auto"/>
            <w:vAlign w:val="center"/>
          </w:tcPr>
          <w:p w14:paraId="552DFA76" w14:textId="0790D44E" w:rsidR="00B12FAA" w:rsidRPr="00104E2D" w:rsidRDefault="00B12FAA" w:rsidP="00B61EB1">
            <w:r>
              <w:t>3,26</w:t>
            </w:r>
            <w:r w:rsidR="001C6CE8">
              <w:t>9</w:t>
            </w:r>
          </w:p>
        </w:tc>
        <w:tc>
          <w:tcPr>
            <w:tcW w:w="1595" w:type="dxa"/>
          </w:tcPr>
          <w:p w14:paraId="0BDE3C7D" w14:textId="1A0E7295" w:rsidR="00F537BA" w:rsidRPr="00104E2D" w:rsidRDefault="00F537BA" w:rsidP="00F537BA">
            <w:r>
              <w:br/>
              <w:t>6</w:t>
            </w:r>
            <w:r w:rsidR="001C6CE8">
              <w:t>3</w:t>
            </w:r>
            <w:r>
              <w:t>%</w:t>
            </w:r>
          </w:p>
        </w:tc>
      </w:tr>
      <w:tr w:rsidR="00B12FAA" w:rsidRPr="0070451B" w14:paraId="3B6850EA" w14:textId="67C33BDC" w:rsidTr="005E3A91">
        <w:trPr>
          <w:trHeight w:val="432"/>
        </w:trPr>
        <w:tc>
          <w:tcPr>
            <w:tcW w:w="6952" w:type="dxa"/>
            <w:shd w:val="clear" w:color="auto" w:fill="auto"/>
            <w:vAlign w:val="center"/>
          </w:tcPr>
          <w:p w14:paraId="5A1435A5" w14:textId="77777777" w:rsidR="00B12FAA" w:rsidRPr="00D95A00" w:rsidRDefault="00B12FAA" w:rsidP="00B72EA1">
            <w:pPr>
              <w:pStyle w:val="ListParagraph"/>
              <w:numPr>
                <w:ilvl w:val="0"/>
                <w:numId w:val="41"/>
              </w:numPr>
              <w:spacing w:before="0" w:after="0" w:line="240" w:lineRule="auto"/>
              <w:rPr>
                <w:b/>
                <w:bCs/>
              </w:rPr>
            </w:pPr>
            <w:r w:rsidRPr="00D95A00">
              <w:rPr>
                <w:b/>
                <w:bCs/>
              </w:rPr>
              <w:t>Received Work Experience, Internship, or Apprenticeship Activities</w:t>
            </w:r>
          </w:p>
        </w:tc>
        <w:tc>
          <w:tcPr>
            <w:tcW w:w="1523" w:type="dxa"/>
            <w:shd w:val="clear" w:color="auto" w:fill="auto"/>
            <w:vAlign w:val="center"/>
          </w:tcPr>
          <w:p w14:paraId="545AD348" w14:textId="3CB480C2" w:rsidR="00B12FAA" w:rsidRPr="00104E2D" w:rsidRDefault="00B12FAA" w:rsidP="00B61EB1">
            <w:r>
              <w:t>1,782</w:t>
            </w:r>
          </w:p>
        </w:tc>
        <w:tc>
          <w:tcPr>
            <w:tcW w:w="1595" w:type="dxa"/>
          </w:tcPr>
          <w:p w14:paraId="47DC4675" w14:textId="6AAAED5F" w:rsidR="00B12FAA" w:rsidRPr="00104E2D" w:rsidRDefault="00F537BA" w:rsidP="00B61EB1">
            <w:r>
              <w:t>34%</w:t>
            </w:r>
          </w:p>
        </w:tc>
      </w:tr>
      <w:tr w:rsidR="00B12FAA" w:rsidRPr="0070451B" w14:paraId="4287AA99" w14:textId="6887C0AE" w:rsidTr="005E3A91">
        <w:trPr>
          <w:trHeight w:val="432"/>
        </w:trPr>
        <w:tc>
          <w:tcPr>
            <w:tcW w:w="6952" w:type="dxa"/>
            <w:shd w:val="clear" w:color="auto" w:fill="auto"/>
            <w:vAlign w:val="center"/>
          </w:tcPr>
          <w:p w14:paraId="2BF50018" w14:textId="77777777" w:rsidR="00B12FAA" w:rsidRPr="00D95A00" w:rsidRDefault="00B12FAA" w:rsidP="00B72EA1">
            <w:pPr>
              <w:pStyle w:val="ListParagraph"/>
              <w:numPr>
                <w:ilvl w:val="0"/>
                <w:numId w:val="41"/>
              </w:numPr>
              <w:spacing w:before="0" w:after="0" w:line="240" w:lineRule="auto"/>
              <w:rPr>
                <w:b/>
                <w:bCs/>
              </w:rPr>
            </w:pPr>
            <w:r w:rsidRPr="00D95A00">
              <w:rPr>
                <w:b/>
                <w:bCs/>
              </w:rPr>
              <w:t>Received Community Involvement and Leadership Development Activities</w:t>
            </w:r>
          </w:p>
        </w:tc>
        <w:tc>
          <w:tcPr>
            <w:tcW w:w="1523" w:type="dxa"/>
            <w:shd w:val="clear" w:color="auto" w:fill="auto"/>
            <w:vAlign w:val="center"/>
          </w:tcPr>
          <w:p w14:paraId="71115F73" w14:textId="145E7AA1" w:rsidR="00B12FAA" w:rsidRPr="00104E2D" w:rsidRDefault="00B12FAA" w:rsidP="00B61EB1">
            <w:r>
              <w:t>1,2</w:t>
            </w:r>
            <w:r w:rsidR="001C6CE8">
              <w:t>99</w:t>
            </w:r>
          </w:p>
        </w:tc>
        <w:tc>
          <w:tcPr>
            <w:tcW w:w="1595" w:type="dxa"/>
          </w:tcPr>
          <w:p w14:paraId="3AF7CCAC" w14:textId="3512B029" w:rsidR="00B12FAA" w:rsidRPr="00104E2D" w:rsidRDefault="00F537BA" w:rsidP="00B61EB1">
            <w:r>
              <w:t>2</w:t>
            </w:r>
            <w:r w:rsidR="001C6CE8">
              <w:t>5</w:t>
            </w:r>
            <w:r>
              <w:t>%</w:t>
            </w:r>
          </w:p>
        </w:tc>
      </w:tr>
      <w:tr w:rsidR="00B12FAA" w:rsidRPr="0070451B" w14:paraId="4A1A413E" w14:textId="4F73A6D2" w:rsidTr="005E3A91">
        <w:trPr>
          <w:trHeight w:val="432"/>
        </w:trPr>
        <w:tc>
          <w:tcPr>
            <w:tcW w:w="6952" w:type="dxa"/>
            <w:shd w:val="clear" w:color="auto" w:fill="auto"/>
            <w:vAlign w:val="center"/>
          </w:tcPr>
          <w:p w14:paraId="69A8981B" w14:textId="77777777" w:rsidR="00B12FAA" w:rsidRPr="00D95A00" w:rsidRDefault="00B12FAA" w:rsidP="00B72EA1">
            <w:pPr>
              <w:pStyle w:val="ListParagraph"/>
              <w:numPr>
                <w:ilvl w:val="0"/>
                <w:numId w:val="41"/>
              </w:numPr>
              <w:spacing w:before="0" w:after="0" w:line="240" w:lineRule="auto"/>
              <w:rPr>
                <w:b/>
                <w:bCs/>
              </w:rPr>
            </w:pPr>
            <w:r w:rsidRPr="00D95A00">
              <w:rPr>
                <w:b/>
                <w:bCs/>
              </w:rPr>
              <w:t>Received Post-Secondary Exploration, Career Guidance and Planning Activities</w:t>
            </w:r>
          </w:p>
        </w:tc>
        <w:tc>
          <w:tcPr>
            <w:tcW w:w="1523" w:type="dxa"/>
            <w:shd w:val="clear" w:color="auto" w:fill="auto"/>
            <w:vAlign w:val="center"/>
          </w:tcPr>
          <w:p w14:paraId="03E02C90" w14:textId="7218A0D5" w:rsidR="00B12FAA" w:rsidRPr="00104E2D" w:rsidRDefault="00B12FAA" w:rsidP="00B61EB1">
            <w:r>
              <w:t>3,</w:t>
            </w:r>
            <w:r w:rsidR="001C6CE8">
              <w:t>933</w:t>
            </w:r>
          </w:p>
        </w:tc>
        <w:tc>
          <w:tcPr>
            <w:tcW w:w="1595" w:type="dxa"/>
          </w:tcPr>
          <w:p w14:paraId="22D392F1" w14:textId="2942C5F9" w:rsidR="00B12FAA" w:rsidRPr="00104E2D" w:rsidRDefault="001C6CE8" w:rsidP="00B61EB1">
            <w:r>
              <w:t>75%</w:t>
            </w:r>
          </w:p>
        </w:tc>
      </w:tr>
      <w:tr w:rsidR="00B12FAA" w:rsidRPr="0070451B" w14:paraId="3501B7BA" w14:textId="29B8FA6C" w:rsidTr="005E3A91">
        <w:trPr>
          <w:trHeight w:val="432"/>
        </w:trPr>
        <w:tc>
          <w:tcPr>
            <w:tcW w:w="6952" w:type="dxa"/>
            <w:shd w:val="clear" w:color="auto" w:fill="auto"/>
            <w:vAlign w:val="center"/>
          </w:tcPr>
          <w:p w14:paraId="6C45B273" w14:textId="77777777" w:rsidR="00B12FAA" w:rsidRPr="00D95A00" w:rsidRDefault="00B12FAA" w:rsidP="00B72EA1">
            <w:pPr>
              <w:pStyle w:val="ListParagraph"/>
              <w:numPr>
                <w:ilvl w:val="0"/>
                <w:numId w:val="41"/>
              </w:numPr>
              <w:spacing w:before="0" w:after="0" w:line="240" w:lineRule="auto"/>
              <w:rPr>
                <w:b/>
                <w:bCs/>
              </w:rPr>
            </w:pPr>
            <w:r w:rsidRPr="00D95A00">
              <w:rPr>
                <w:b/>
                <w:bCs/>
              </w:rPr>
              <w:t>Received Mentoring Activities</w:t>
            </w:r>
          </w:p>
        </w:tc>
        <w:tc>
          <w:tcPr>
            <w:tcW w:w="1523" w:type="dxa"/>
            <w:shd w:val="clear" w:color="auto" w:fill="auto"/>
            <w:vAlign w:val="center"/>
          </w:tcPr>
          <w:p w14:paraId="48DBD831" w14:textId="4479AA3D" w:rsidR="00B12FAA" w:rsidRPr="00104E2D" w:rsidRDefault="00B12FAA" w:rsidP="00B61EB1">
            <w:r>
              <w:t>2,06</w:t>
            </w:r>
            <w:r w:rsidR="001C6CE8">
              <w:t>8</w:t>
            </w:r>
          </w:p>
        </w:tc>
        <w:tc>
          <w:tcPr>
            <w:tcW w:w="1595" w:type="dxa"/>
          </w:tcPr>
          <w:p w14:paraId="386BD707" w14:textId="7E5E4A0F" w:rsidR="00B12FAA" w:rsidRPr="00104E2D" w:rsidRDefault="00F537BA" w:rsidP="00B61EB1">
            <w:r>
              <w:t>40%</w:t>
            </w:r>
          </w:p>
        </w:tc>
      </w:tr>
      <w:tr w:rsidR="00B12FAA" w:rsidRPr="0070451B" w14:paraId="19F491ED" w14:textId="1C25008F" w:rsidTr="005E3A91">
        <w:trPr>
          <w:trHeight w:val="432"/>
        </w:trPr>
        <w:tc>
          <w:tcPr>
            <w:tcW w:w="6952" w:type="dxa"/>
            <w:tcBorders>
              <w:bottom w:val="single" w:sz="4" w:space="0" w:color="auto"/>
            </w:tcBorders>
            <w:shd w:val="clear" w:color="auto" w:fill="auto"/>
            <w:vAlign w:val="center"/>
          </w:tcPr>
          <w:p w14:paraId="1DF231F0" w14:textId="77777777" w:rsidR="00B12FAA" w:rsidRPr="00D95A00" w:rsidRDefault="00B12FAA" w:rsidP="00B72EA1">
            <w:pPr>
              <w:pStyle w:val="ListParagraph"/>
              <w:numPr>
                <w:ilvl w:val="0"/>
                <w:numId w:val="41"/>
              </w:numPr>
              <w:spacing w:before="0" w:after="0" w:line="240" w:lineRule="auto"/>
              <w:rPr>
                <w:b/>
                <w:bCs/>
              </w:rPr>
            </w:pPr>
            <w:r w:rsidRPr="00D95A00">
              <w:rPr>
                <w:b/>
                <w:bCs/>
              </w:rPr>
              <w:t>Received Support Services</w:t>
            </w:r>
          </w:p>
        </w:tc>
        <w:tc>
          <w:tcPr>
            <w:tcW w:w="1523" w:type="dxa"/>
            <w:tcBorders>
              <w:bottom w:val="single" w:sz="4" w:space="0" w:color="auto"/>
            </w:tcBorders>
            <w:shd w:val="clear" w:color="auto" w:fill="auto"/>
            <w:vAlign w:val="center"/>
          </w:tcPr>
          <w:p w14:paraId="6F729615" w14:textId="47B64CFA" w:rsidR="00B12FAA" w:rsidRPr="00104E2D" w:rsidRDefault="00B12FAA" w:rsidP="00B61EB1">
            <w:r>
              <w:t>849</w:t>
            </w:r>
          </w:p>
        </w:tc>
        <w:tc>
          <w:tcPr>
            <w:tcW w:w="1595" w:type="dxa"/>
            <w:tcBorders>
              <w:bottom w:val="single" w:sz="4" w:space="0" w:color="auto"/>
            </w:tcBorders>
          </w:tcPr>
          <w:p w14:paraId="52933FB2" w14:textId="3B59606D" w:rsidR="00B12FAA" w:rsidRPr="00104E2D" w:rsidRDefault="00F537BA" w:rsidP="00B61EB1">
            <w:r>
              <w:t>16%</w:t>
            </w:r>
          </w:p>
        </w:tc>
      </w:tr>
      <w:tr w:rsidR="00B12FAA" w:rsidRPr="0070451B" w14:paraId="6842F64C" w14:textId="75FF7005" w:rsidTr="005E3A91">
        <w:trPr>
          <w:trHeight w:val="432"/>
        </w:trPr>
        <w:tc>
          <w:tcPr>
            <w:tcW w:w="6952" w:type="dxa"/>
            <w:tcBorders>
              <w:bottom w:val="single" w:sz="4" w:space="0" w:color="auto"/>
            </w:tcBorders>
            <w:shd w:val="clear" w:color="auto" w:fill="auto"/>
            <w:vAlign w:val="center"/>
          </w:tcPr>
          <w:p w14:paraId="568EF2F5" w14:textId="77777777" w:rsidR="00B12FAA" w:rsidRPr="00D95A00" w:rsidRDefault="00B12FAA" w:rsidP="00B72EA1">
            <w:pPr>
              <w:pStyle w:val="ListParagraph"/>
              <w:numPr>
                <w:ilvl w:val="0"/>
                <w:numId w:val="41"/>
              </w:numPr>
              <w:spacing w:before="0" w:after="0" w:line="240" w:lineRule="auto"/>
              <w:rPr>
                <w:b/>
                <w:bCs/>
              </w:rPr>
            </w:pPr>
            <w:r w:rsidRPr="00D95A00">
              <w:rPr>
                <w:b/>
                <w:bCs/>
              </w:rPr>
              <w:t>Received Financial Literacy Education</w:t>
            </w:r>
          </w:p>
        </w:tc>
        <w:tc>
          <w:tcPr>
            <w:tcW w:w="1523" w:type="dxa"/>
            <w:tcBorders>
              <w:bottom w:val="single" w:sz="4" w:space="0" w:color="auto"/>
            </w:tcBorders>
            <w:shd w:val="clear" w:color="auto" w:fill="auto"/>
            <w:vAlign w:val="center"/>
          </w:tcPr>
          <w:p w14:paraId="450B943E" w14:textId="7647FBE4" w:rsidR="00B12FAA" w:rsidRPr="00104E2D" w:rsidRDefault="00B12FAA" w:rsidP="00B61EB1">
            <w:r>
              <w:t>1,3</w:t>
            </w:r>
            <w:r w:rsidR="001C6CE8">
              <w:t>22</w:t>
            </w:r>
          </w:p>
        </w:tc>
        <w:tc>
          <w:tcPr>
            <w:tcW w:w="1595" w:type="dxa"/>
            <w:tcBorders>
              <w:bottom w:val="single" w:sz="4" w:space="0" w:color="auto"/>
            </w:tcBorders>
          </w:tcPr>
          <w:p w14:paraId="63796048" w14:textId="47087214" w:rsidR="00B12FAA" w:rsidRPr="00104E2D" w:rsidRDefault="00F537BA" w:rsidP="00B61EB1">
            <w:r>
              <w:t>25%</w:t>
            </w:r>
          </w:p>
        </w:tc>
      </w:tr>
      <w:tr w:rsidR="005E3A91" w:rsidRPr="00930455" w14:paraId="6B1DB334" w14:textId="426F9CB9" w:rsidTr="001A7ECB">
        <w:trPr>
          <w:trHeight w:val="432"/>
        </w:trPr>
        <w:tc>
          <w:tcPr>
            <w:tcW w:w="10070" w:type="dxa"/>
            <w:gridSpan w:val="3"/>
            <w:shd w:val="clear" w:color="auto" w:fill="E6E6E6"/>
            <w:vAlign w:val="center"/>
          </w:tcPr>
          <w:p w14:paraId="4EDC34A1" w14:textId="00AAC37C" w:rsidR="005E3A91" w:rsidRPr="00104E2D" w:rsidRDefault="005E3A91" w:rsidP="00B61EB1">
            <w:pPr>
              <w:rPr>
                <w:b/>
              </w:rPr>
            </w:pPr>
            <w:r w:rsidRPr="00D95A00">
              <w:rPr>
                <w:b/>
                <w:bCs/>
              </w:rPr>
              <w:t>INDICATORS OF PERFORMANCE FOR INDIVIDUAL SERVICES</w:t>
            </w:r>
          </w:p>
        </w:tc>
      </w:tr>
      <w:tr w:rsidR="00B12FAA" w:rsidRPr="0070451B" w14:paraId="7BDDF613" w14:textId="70DBF301" w:rsidTr="005E3A91">
        <w:trPr>
          <w:trHeight w:val="432"/>
        </w:trPr>
        <w:tc>
          <w:tcPr>
            <w:tcW w:w="6952" w:type="dxa"/>
            <w:shd w:val="clear" w:color="auto" w:fill="auto"/>
            <w:vAlign w:val="center"/>
          </w:tcPr>
          <w:p w14:paraId="6D70C820" w14:textId="77777777" w:rsidR="00B12FAA" w:rsidRPr="00D95A00" w:rsidRDefault="00B12FAA" w:rsidP="00B72EA1">
            <w:pPr>
              <w:pStyle w:val="ListParagraph"/>
              <w:numPr>
                <w:ilvl w:val="0"/>
                <w:numId w:val="42"/>
              </w:numPr>
              <w:spacing w:before="0" w:after="0" w:line="240" w:lineRule="auto"/>
              <w:rPr>
                <w:b/>
                <w:bCs/>
              </w:rPr>
            </w:pPr>
            <w:r w:rsidRPr="00D95A00">
              <w:rPr>
                <w:b/>
                <w:bCs/>
              </w:rPr>
              <w:t>Attained Work Readiness Goals</w:t>
            </w:r>
          </w:p>
        </w:tc>
        <w:tc>
          <w:tcPr>
            <w:tcW w:w="1523" w:type="dxa"/>
            <w:shd w:val="clear" w:color="auto" w:fill="auto"/>
            <w:vAlign w:val="center"/>
          </w:tcPr>
          <w:p w14:paraId="1ABA65BE" w14:textId="60154AA1" w:rsidR="00B12FAA" w:rsidRPr="00104E2D" w:rsidRDefault="00B12FAA" w:rsidP="00B61EB1">
            <w:r>
              <w:t>3,53</w:t>
            </w:r>
            <w:r w:rsidR="001C6CE8">
              <w:t>4</w:t>
            </w:r>
          </w:p>
        </w:tc>
        <w:tc>
          <w:tcPr>
            <w:tcW w:w="1595" w:type="dxa"/>
          </w:tcPr>
          <w:p w14:paraId="41066A7E" w14:textId="185DDDD8" w:rsidR="00B12FAA" w:rsidRPr="00104E2D" w:rsidRDefault="00F537BA" w:rsidP="00B61EB1">
            <w:r>
              <w:t>68%</w:t>
            </w:r>
          </w:p>
        </w:tc>
      </w:tr>
      <w:tr w:rsidR="00B12FAA" w:rsidRPr="0070451B" w14:paraId="60DB1159" w14:textId="2E304ACD" w:rsidTr="005E3A91">
        <w:trPr>
          <w:trHeight w:val="432"/>
        </w:trPr>
        <w:tc>
          <w:tcPr>
            <w:tcW w:w="6952" w:type="dxa"/>
            <w:shd w:val="clear" w:color="auto" w:fill="auto"/>
            <w:vAlign w:val="center"/>
          </w:tcPr>
          <w:p w14:paraId="0D361EC2" w14:textId="77777777" w:rsidR="00B12FAA" w:rsidRPr="00D95A00" w:rsidRDefault="00B12FAA" w:rsidP="00B72EA1">
            <w:pPr>
              <w:pStyle w:val="ListParagraph"/>
              <w:numPr>
                <w:ilvl w:val="0"/>
                <w:numId w:val="42"/>
              </w:numPr>
              <w:spacing w:before="0" w:after="0" w:line="240" w:lineRule="auto"/>
              <w:rPr>
                <w:b/>
                <w:bCs/>
              </w:rPr>
            </w:pPr>
            <w:r w:rsidRPr="00D95A00">
              <w:rPr>
                <w:b/>
                <w:bCs/>
              </w:rPr>
              <w:t>Attained Education Goals</w:t>
            </w:r>
          </w:p>
        </w:tc>
        <w:tc>
          <w:tcPr>
            <w:tcW w:w="1523" w:type="dxa"/>
            <w:shd w:val="clear" w:color="auto" w:fill="auto"/>
            <w:vAlign w:val="center"/>
          </w:tcPr>
          <w:p w14:paraId="7046A2A9" w14:textId="5C2F194D" w:rsidR="00B12FAA" w:rsidRPr="00104E2D" w:rsidRDefault="00B12FAA" w:rsidP="00B61EB1">
            <w:r>
              <w:t>1,9</w:t>
            </w:r>
            <w:r w:rsidR="001C6CE8">
              <w:t>71</w:t>
            </w:r>
          </w:p>
        </w:tc>
        <w:tc>
          <w:tcPr>
            <w:tcW w:w="1595" w:type="dxa"/>
          </w:tcPr>
          <w:p w14:paraId="0DB26AF3" w14:textId="336BB7C1" w:rsidR="00B12FAA" w:rsidRPr="00104E2D" w:rsidRDefault="00F537BA" w:rsidP="00B61EB1">
            <w:r>
              <w:t>38%</w:t>
            </w:r>
          </w:p>
        </w:tc>
      </w:tr>
      <w:tr w:rsidR="00B12FAA" w:rsidRPr="0070451B" w14:paraId="385A5EED" w14:textId="10BDA2E7" w:rsidTr="005E3A91">
        <w:trPr>
          <w:trHeight w:val="432"/>
        </w:trPr>
        <w:tc>
          <w:tcPr>
            <w:tcW w:w="6952" w:type="dxa"/>
            <w:shd w:val="clear" w:color="auto" w:fill="auto"/>
            <w:vAlign w:val="center"/>
          </w:tcPr>
          <w:p w14:paraId="4F356929" w14:textId="7E366D75" w:rsidR="00B12FAA" w:rsidRPr="00D95A00" w:rsidRDefault="00B12FAA" w:rsidP="00B72EA1">
            <w:pPr>
              <w:pStyle w:val="ListParagraph"/>
              <w:numPr>
                <w:ilvl w:val="0"/>
                <w:numId w:val="42"/>
              </w:numPr>
              <w:spacing w:before="0" w:after="0" w:line="240" w:lineRule="auto"/>
              <w:rPr>
                <w:b/>
                <w:bCs/>
              </w:rPr>
            </w:pPr>
            <w:r w:rsidRPr="00D95A00">
              <w:rPr>
                <w:b/>
                <w:bCs/>
              </w:rPr>
              <w:t xml:space="preserve">Received Academic Credit or </w:t>
            </w:r>
            <w:r w:rsidR="00F537BA" w:rsidRPr="00D95A00">
              <w:rPr>
                <w:b/>
                <w:bCs/>
              </w:rPr>
              <w:t>Service-Learning</w:t>
            </w:r>
            <w:r w:rsidRPr="00D95A00">
              <w:rPr>
                <w:b/>
                <w:bCs/>
              </w:rPr>
              <w:t xml:space="preserve"> Credit</w:t>
            </w:r>
          </w:p>
        </w:tc>
        <w:tc>
          <w:tcPr>
            <w:tcW w:w="1523" w:type="dxa"/>
            <w:shd w:val="clear" w:color="auto" w:fill="auto"/>
            <w:vAlign w:val="center"/>
          </w:tcPr>
          <w:p w14:paraId="4F101DF7" w14:textId="52D0BC51" w:rsidR="00B12FAA" w:rsidRPr="00104E2D" w:rsidRDefault="00B12FAA" w:rsidP="00B61EB1">
            <w:r>
              <w:t>71</w:t>
            </w:r>
            <w:r w:rsidR="001C6CE8">
              <w:t>3</w:t>
            </w:r>
          </w:p>
        </w:tc>
        <w:tc>
          <w:tcPr>
            <w:tcW w:w="1595" w:type="dxa"/>
          </w:tcPr>
          <w:p w14:paraId="561F3B5A" w14:textId="47B6BCAD" w:rsidR="00B12FAA" w:rsidRPr="00104E2D" w:rsidRDefault="00F537BA" w:rsidP="00B61EB1">
            <w:r>
              <w:t>14%</w:t>
            </w:r>
          </w:p>
        </w:tc>
      </w:tr>
      <w:tr w:rsidR="00B12FAA" w:rsidRPr="0070451B" w14:paraId="220157D9" w14:textId="0734D7D2" w:rsidTr="005E3A91">
        <w:trPr>
          <w:trHeight w:val="432"/>
        </w:trPr>
        <w:tc>
          <w:tcPr>
            <w:tcW w:w="6952" w:type="dxa"/>
            <w:shd w:val="clear" w:color="auto" w:fill="auto"/>
            <w:vAlign w:val="center"/>
          </w:tcPr>
          <w:p w14:paraId="7DF88DE6" w14:textId="77777777" w:rsidR="00B12FAA" w:rsidRPr="00D95A00" w:rsidRDefault="00B12FAA" w:rsidP="00B72EA1">
            <w:pPr>
              <w:pStyle w:val="ListParagraph"/>
              <w:numPr>
                <w:ilvl w:val="0"/>
                <w:numId w:val="42"/>
              </w:numPr>
              <w:spacing w:before="0" w:after="0" w:line="240" w:lineRule="auto"/>
              <w:rPr>
                <w:b/>
                <w:bCs/>
              </w:rPr>
            </w:pPr>
            <w:r w:rsidRPr="00D95A00">
              <w:rPr>
                <w:b/>
                <w:bCs/>
              </w:rPr>
              <w:t xml:space="preserve">Obtained High School Diploma, GED, Remained in School, </w:t>
            </w:r>
            <w:proofErr w:type="gramStart"/>
            <w:r w:rsidRPr="00D95A00">
              <w:rPr>
                <w:b/>
                <w:bCs/>
              </w:rPr>
              <w:t>Obtained</w:t>
            </w:r>
            <w:proofErr w:type="gramEnd"/>
            <w:r w:rsidRPr="00D95A00">
              <w:rPr>
                <w:b/>
                <w:bCs/>
              </w:rPr>
              <w:t xml:space="preserve"> a Certificate or Degree, or Dropout - Returned to School</w:t>
            </w:r>
          </w:p>
        </w:tc>
        <w:tc>
          <w:tcPr>
            <w:tcW w:w="1523" w:type="dxa"/>
            <w:shd w:val="clear" w:color="auto" w:fill="auto"/>
            <w:vAlign w:val="center"/>
          </w:tcPr>
          <w:p w14:paraId="4368AEA9" w14:textId="2BCBEF20" w:rsidR="00B12FAA" w:rsidRPr="00104E2D" w:rsidRDefault="00B12FAA" w:rsidP="00B61EB1">
            <w:r>
              <w:t>2,43</w:t>
            </w:r>
            <w:r w:rsidR="001C6CE8">
              <w:t>5</w:t>
            </w:r>
          </w:p>
        </w:tc>
        <w:tc>
          <w:tcPr>
            <w:tcW w:w="1595" w:type="dxa"/>
          </w:tcPr>
          <w:p w14:paraId="11484AE4" w14:textId="53AB9B18" w:rsidR="00B12FAA" w:rsidRPr="00104E2D" w:rsidRDefault="00F537BA" w:rsidP="00B61EB1">
            <w:r>
              <w:t>47%</w:t>
            </w:r>
          </w:p>
        </w:tc>
      </w:tr>
      <w:tr w:rsidR="00B12FAA" w:rsidRPr="0070451B" w14:paraId="3ADF6CF4" w14:textId="1D6DB7C4" w:rsidTr="005E3A91">
        <w:trPr>
          <w:trHeight w:val="432"/>
        </w:trPr>
        <w:tc>
          <w:tcPr>
            <w:tcW w:w="6952" w:type="dxa"/>
            <w:shd w:val="clear" w:color="auto" w:fill="auto"/>
            <w:vAlign w:val="center"/>
          </w:tcPr>
          <w:p w14:paraId="2893DA21" w14:textId="5F15161E" w:rsidR="00B12FAA" w:rsidRPr="00D95A00" w:rsidRDefault="00B12FAA" w:rsidP="00B72EA1">
            <w:pPr>
              <w:pStyle w:val="ListParagraph"/>
              <w:numPr>
                <w:ilvl w:val="0"/>
                <w:numId w:val="42"/>
              </w:numPr>
              <w:spacing w:before="0" w:after="0" w:line="240" w:lineRule="auto"/>
              <w:rPr>
                <w:b/>
                <w:bCs/>
              </w:rPr>
            </w:pPr>
            <w:r w:rsidRPr="00D95A00">
              <w:rPr>
                <w:b/>
                <w:bCs/>
              </w:rPr>
              <w:t>Entered Post-Secondary Education, Vocational/Occupational Skills Training, Apprenticeship, or Military</w:t>
            </w:r>
          </w:p>
        </w:tc>
        <w:tc>
          <w:tcPr>
            <w:tcW w:w="1523" w:type="dxa"/>
            <w:shd w:val="clear" w:color="auto" w:fill="auto"/>
            <w:vAlign w:val="center"/>
          </w:tcPr>
          <w:p w14:paraId="4B23E39A" w14:textId="170E2414" w:rsidR="00B12FAA" w:rsidRPr="00104E2D" w:rsidRDefault="00B12FAA" w:rsidP="00B61EB1">
            <w:r>
              <w:t>1</w:t>
            </w:r>
            <w:r w:rsidR="001C6CE8">
              <w:t>77</w:t>
            </w:r>
          </w:p>
        </w:tc>
        <w:tc>
          <w:tcPr>
            <w:tcW w:w="1595" w:type="dxa"/>
          </w:tcPr>
          <w:p w14:paraId="152F90C1" w14:textId="68788506" w:rsidR="00B12FAA" w:rsidRPr="00104E2D" w:rsidRDefault="00F537BA" w:rsidP="00B61EB1">
            <w:r>
              <w:t>4%</w:t>
            </w:r>
          </w:p>
        </w:tc>
      </w:tr>
      <w:tr w:rsidR="00B12FAA" w:rsidRPr="0070451B" w14:paraId="687061A0" w14:textId="5CD0F894" w:rsidTr="005E3A91">
        <w:trPr>
          <w:trHeight w:val="432"/>
        </w:trPr>
        <w:tc>
          <w:tcPr>
            <w:tcW w:w="6952" w:type="dxa"/>
            <w:shd w:val="clear" w:color="auto" w:fill="auto"/>
            <w:vAlign w:val="center"/>
          </w:tcPr>
          <w:p w14:paraId="28639699" w14:textId="77777777" w:rsidR="00B12FAA" w:rsidRPr="00D95A00" w:rsidRDefault="00B12FAA" w:rsidP="00B72EA1">
            <w:pPr>
              <w:pStyle w:val="ListParagraph"/>
              <w:numPr>
                <w:ilvl w:val="0"/>
                <w:numId w:val="42"/>
              </w:numPr>
              <w:spacing w:before="0" w:after="0" w:line="240" w:lineRule="auto"/>
              <w:rPr>
                <w:b/>
                <w:bCs/>
              </w:rPr>
            </w:pPr>
            <w:r w:rsidRPr="00D95A00">
              <w:rPr>
                <w:b/>
                <w:bCs/>
              </w:rPr>
              <w:t>Entered employment</w:t>
            </w:r>
          </w:p>
        </w:tc>
        <w:tc>
          <w:tcPr>
            <w:tcW w:w="1523" w:type="dxa"/>
            <w:shd w:val="clear" w:color="auto" w:fill="auto"/>
            <w:vAlign w:val="center"/>
          </w:tcPr>
          <w:p w14:paraId="0F9529C7" w14:textId="3FB7E34A" w:rsidR="00B12FAA" w:rsidRPr="00104E2D" w:rsidRDefault="00B12FAA" w:rsidP="00B61EB1">
            <w:r>
              <w:t>19</w:t>
            </w:r>
            <w:r w:rsidR="001C6CE8">
              <w:t>6</w:t>
            </w:r>
          </w:p>
        </w:tc>
        <w:tc>
          <w:tcPr>
            <w:tcW w:w="1595" w:type="dxa"/>
          </w:tcPr>
          <w:p w14:paraId="57DD3602" w14:textId="3AF53E16" w:rsidR="00B12FAA" w:rsidRPr="00104E2D" w:rsidRDefault="00F537BA" w:rsidP="00B61EB1">
            <w:r>
              <w:t>4%</w:t>
            </w:r>
          </w:p>
        </w:tc>
      </w:tr>
      <w:tr w:rsidR="00B12FAA" w:rsidRPr="0070451B" w14:paraId="5DCA00B5" w14:textId="5C6DC850" w:rsidTr="005E3A91">
        <w:trPr>
          <w:trHeight w:val="432"/>
        </w:trPr>
        <w:tc>
          <w:tcPr>
            <w:tcW w:w="6952" w:type="dxa"/>
            <w:shd w:val="clear" w:color="auto" w:fill="auto"/>
            <w:vAlign w:val="center"/>
          </w:tcPr>
          <w:p w14:paraId="3A5E2904" w14:textId="77777777" w:rsidR="00B12FAA" w:rsidRPr="00D95A00" w:rsidRDefault="00B12FAA" w:rsidP="00B72EA1">
            <w:pPr>
              <w:pStyle w:val="ListParagraph"/>
              <w:numPr>
                <w:ilvl w:val="0"/>
                <w:numId w:val="42"/>
              </w:numPr>
              <w:spacing w:before="0" w:after="0" w:line="240" w:lineRule="auto"/>
              <w:rPr>
                <w:b/>
                <w:bCs/>
              </w:rPr>
            </w:pPr>
            <w:r w:rsidRPr="00D95A00">
              <w:rPr>
                <w:b/>
                <w:bCs/>
              </w:rPr>
              <w:lastRenderedPageBreak/>
              <w:t>Retained employment, increased wages or advanced career</w:t>
            </w:r>
          </w:p>
        </w:tc>
        <w:tc>
          <w:tcPr>
            <w:tcW w:w="1523" w:type="dxa"/>
            <w:shd w:val="clear" w:color="auto" w:fill="auto"/>
            <w:vAlign w:val="center"/>
          </w:tcPr>
          <w:p w14:paraId="49585BE3" w14:textId="5EB61EC2" w:rsidR="00B12FAA" w:rsidRPr="00104E2D" w:rsidRDefault="00B12FAA" w:rsidP="00B61EB1">
            <w:r>
              <w:t>124</w:t>
            </w:r>
          </w:p>
        </w:tc>
        <w:tc>
          <w:tcPr>
            <w:tcW w:w="1595" w:type="dxa"/>
          </w:tcPr>
          <w:p w14:paraId="7AAA79E1" w14:textId="6DF07DAC" w:rsidR="00B12FAA" w:rsidRPr="00104E2D" w:rsidRDefault="00F537BA" w:rsidP="00B61EB1">
            <w:r>
              <w:t>2%</w:t>
            </w:r>
          </w:p>
        </w:tc>
      </w:tr>
      <w:tr w:rsidR="00B12FAA" w:rsidRPr="0070451B" w14:paraId="0202F2A5" w14:textId="79129E40" w:rsidTr="005E3A91">
        <w:trPr>
          <w:trHeight w:val="432"/>
        </w:trPr>
        <w:tc>
          <w:tcPr>
            <w:tcW w:w="6952" w:type="dxa"/>
            <w:shd w:val="clear" w:color="auto" w:fill="auto"/>
            <w:vAlign w:val="center"/>
          </w:tcPr>
          <w:p w14:paraId="298A1984" w14:textId="77777777" w:rsidR="00B12FAA" w:rsidRPr="00D95A00" w:rsidRDefault="00B12FAA" w:rsidP="00B72EA1">
            <w:pPr>
              <w:pStyle w:val="ListParagraph"/>
              <w:numPr>
                <w:ilvl w:val="0"/>
                <w:numId w:val="42"/>
              </w:numPr>
              <w:spacing w:before="0" w:after="0" w:line="240" w:lineRule="auto"/>
              <w:rPr>
                <w:b/>
                <w:bCs/>
              </w:rPr>
            </w:pPr>
            <w:r w:rsidRPr="00D95A00">
              <w:rPr>
                <w:b/>
                <w:bCs/>
              </w:rPr>
              <w:t>Completed Program Objective</w:t>
            </w:r>
          </w:p>
        </w:tc>
        <w:tc>
          <w:tcPr>
            <w:tcW w:w="1523" w:type="dxa"/>
            <w:shd w:val="clear" w:color="auto" w:fill="auto"/>
            <w:vAlign w:val="center"/>
          </w:tcPr>
          <w:p w14:paraId="320196CD" w14:textId="7E29BB6F" w:rsidR="00B12FAA" w:rsidRPr="00104E2D" w:rsidRDefault="00B12FAA" w:rsidP="00B61EB1">
            <w:r>
              <w:t>3,7</w:t>
            </w:r>
            <w:r w:rsidR="001C6CE8">
              <w:t>54</w:t>
            </w:r>
          </w:p>
        </w:tc>
        <w:tc>
          <w:tcPr>
            <w:tcW w:w="1595" w:type="dxa"/>
          </w:tcPr>
          <w:p w14:paraId="5A4E04A5" w14:textId="48A3424E" w:rsidR="00B12FAA" w:rsidRPr="00104E2D" w:rsidRDefault="00F537BA" w:rsidP="00B61EB1">
            <w:r>
              <w:t>72%</w:t>
            </w:r>
          </w:p>
        </w:tc>
      </w:tr>
      <w:tr w:rsidR="005E3A91" w:rsidRPr="0070451B" w14:paraId="5CDF13DE" w14:textId="7E151078" w:rsidTr="001A7ECB">
        <w:trPr>
          <w:trHeight w:val="432"/>
        </w:trPr>
        <w:tc>
          <w:tcPr>
            <w:tcW w:w="10070" w:type="dxa"/>
            <w:gridSpan w:val="3"/>
            <w:shd w:val="clear" w:color="auto" w:fill="E6E6E6"/>
            <w:vAlign w:val="center"/>
          </w:tcPr>
          <w:p w14:paraId="0925C654" w14:textId="7429787F" w:rsidR="005E3A91" w:rsidRPr="0070451B" w:rsidRDefault="005E3A91" w:rsidP="00B61EB1">
            <w:pPr>
              <w:rPr>
                <w:b/>
              </w:rPr>
            </w:pPr>
            <w:r w:rsidRPr="00D95A00">
              <w:rPr>
                <w:b/>
                <w:bCs/>
              </w:rPr>
              <w:t>CUSTOMER SATISFACTION FOR</w:t>
            </w:r>
            <w:r>
              <w:rPr>
                <w:b/>
                <w:bCs/>
              </w:rPr>
              <w:t xml:space="preserve"> </w:t>
            </w:r>
            <w:r w:rsidRPr="00D95A00">
              <w:rPr>
                <w:b/>
                <w:bCs/>
              </w:rPr>
              <w:t>INDIVIDUAL SERVICES</w:t>
            </w:r>
          </w:p>
        </w:tc>
      </w:tr>
      <w:tr w:rsidR="00B12FAA" w:rsidRPr="0070451B" w14:paraId="255B9138" w14:textId="09364C60" w:rsidTr="005E3A91">
        <w:trPr>
          <w:trHeight w:val="432"/>
        </w:trPr>
        <w:tc>
          <w:tcPr>
            <w:tcW w:w="6952" w:type="dxa"/>
            <w:shd w:val="clear" w:color="auto" w:fill="auto"/>
            <w:vAlign w:val="center"/>
          </w:tcPr>
          <w:p w14:paraId="750A222F" w14:textId="77777777" w:rsidR="00B12FAA" w:rsidRPr="00D95A00" w:rsidRDefault="00B12FAA" w:rsidP="00B72EA1">
            <w:pPr>
              <w:pStyle w:val="ListParagraph"/>
              <w:numPr>
                <w:ilvl w:val="0"/>
                <w:numId w:val="43"/>
              </w:numPr>
              <w:spacing w:before="0" w:after="0" w:line="240" w:lineRule="auto"/>
              <w:rPr>
                <w:b/>
                <w:bCs/>
              </w:rPr>
            </w:pPr>
            <w:r w:rsidRPr="00D95A00">
              <w:rPr>
                <w:b/>
                <w:bCs/>
              </w:rPr>
              <w:t>Number of participants rating experience as “Excellent”</w:t>
            </w:r>
          </w:p>
        </w:tc>
        <w:tc>
          <w:tcPr>
            <w:tcW w:w="1523" w:type="dxa"/>
            <w:shd w:val="clear" w:color="auto" w:fill="auto"/>
            <w:vAlign w:val="center"/>
          </w:tcPr>
          <w:p w14:paraId="20CE4C8D" w14:textId="141935B4" w:rsidR="00B12FAA" w:rsidRPr="0070451B" w:rsidRDefault="00B12FAA" w:rsidP="00B61EB1">
            <w:r>
              <w:t>64</w:t>
            </w:r>
            <w:r w:rsidR="00EB3BF4">
              <w:t>6</w:t>
            </w:r>
          </w:p>
        </w:tc>
        <w:tc>
          <w:tcPr>
            <w:tcW w:w="1595" w:type="dxa"/>
          </w:tcPr>
          <w:p w14:paraId="031CB9C6" w14:textId="1A700BDB" w:rsidR="00B12FAA" w:rsidRPr="0070451B" w:rsidRDefault="00B12FAA" w:rsidP="00B61EB1">
            <w:r>
              <w:t>4</w:t>
            </w:r>
            <w:r w:rsidR="001C6CE8">
              <w:t>1</w:t>
            </w:r>
            <w:r>
              <w:t>%</w:t>
            </w:r>
          </w:p>
        </w:tc>
      </w:tr>
      <w:tr w:rsidR="00B12FAA" w:rsidRPr="0070451B" w14:paraId="5FEB3F18" w14:textId="000F8B91" w:rsidTr="005E3A91">
        <w:trPr>
          <w:trHeight w:val="432"/>
        </w:trPr>
        <w:tc>
          <w:tcPr>
            <w:tcW w:w="6952" w:type="dxa"/>
            <w:shd w:val="clear" w:color="auto" w:fill="auto"/>
            <w:vAlign w:val="center"/>
          </w:tcPr>
          <w:p w14:paraId="44DEDC92" w14:textId="77777777" w:rsidR="00B12FAA" w:rsidRPr="00D95A00" w:rsidRDefault="00B12FAA" w:rsidP="00B72EA1">
            <w:pPr>
              <w:pStyle w:val="ListParagraph"/>
              <w:numPr>
                <w:ilvl w:val="0"/>
                <w:numId w:val="43"/>
              </w:numPr>
              <w:spacing w:before="0" w:after="0" w:line="240" w:lineRule="auto"/>
              <w:rPr>
                <w:b/>
                <w:bCs/>
              </w:rPr>
            </w:pPr>
            <w:r w:rsidRPr="00D95A00">
              <w:rPr>
                <w:b/>
                <w:bCs/>
              </w:rPr>
              <w:t>Number of participants rating experience as “Very Good”</w:t>
            </w:r>
          </w:p>
        </w:tc>
        <w:tc>
          <w:tcPr>
            <w:tcW w:w="1523" w:type="dxa"/>
            <w:shd w:val="clear" w:color="auto" w:fill="auto"/>
            <w:vAlign w:val="center"/>
          </w:tcPr>
          <w:p w14:paraId="34C0B4F7" w14:textId="7E6006DA" w:rsidR="00B12FAA" w:rsidRPr="0070451B" w:rsidRDefault="00B12FAA" w:rsidP="00B61EB1">
            <w:r>
              <w:t>6</w:t>
            </w:r>
            <w:r w:rsidR="001C6CE8">
              <w:t>60</w:t>
            </w:r>
          </w:p>
        </w:tc>
        <w:tc>
          <w:tcPr>
            <w:tcW w:w="1595" w:type="dxa"/>
          </w:tcPr>
          <w:p w14:paraId="6F69FAB7" w14:textId="6A3CFD3E" w:rsidR="00B12FAA" w:rsidRPr="0070451B" w:rsidRDefault="005E3A91" w:rsidP="00B61EB1">
            <w:r>
              <w:t>42</w:t>
            </w:r>
            <w:r w:rsidR="00B12FAA">
              <w:t>%</w:t>
            </w:r>
          </w:p>
        </w:tc>
      </w:tr>
      <w:tr w:rsidR="00B12FAA" w:rsidRPr="0070451B" w14:paraId="777F3CC2" w14:textId="4FC4226E" w:rsidTr="005E3A91">
        <w:trPr>
          <w:trHeight w:val="432"/>
        </w:trPr>
        <w:tc>
          <w:tcPr>
            <w:tcW w:w="6952" w:type="dxa"/>
            <w:shd w:val="clear" w:color="auto" w:fill="auto"/>
            <w:vAlign w:val="center"/>
          </w:tcPr>
          <w:p w14:paraId="5EE073FA" w14:textId="77777777" w:rsidR="00B12FAA" w:rsidRPr="00D95A00" w:rsidRDefault="00B12FAA" w:rsidP="00B72EA1">
            <w:pPr>
              <w:pStyle w:val="ListParagraph"/>
              <w:numPr>
                <w:ilvl w:val="0"/>
                <w:numId w:val="43"/>
              </w:numPr>
              <w:spacing w:before="0" w:after="0" w:line="240" w:lineRule="auto"/>
              <w:rPr>
                <w:b/>
                <w:bCs/>
              </w:rPr>
            </w:pPr>
            <w:r w:rsidRPr="00D95A00">
              <w:rPr>
                <w:b/>
                <w:bCs/>
              </w:rPr>
              <w:t>Number of participants rating experience as “Average”</w:t>
            </w:r>
          </w:p>
        </w:tc>
        <w:tc>
          <w:tcPr>
            <w:tcW w:w="1523" w:type="dxa"/>
            <w:shd w:val="clear" w:color="auto" w:fill="auto"/>
            <w:vAlign w:val="center"/>
          </w:tcPr>
          <w:p w14:paraId="63CE2C1D" w14:textId="46D4F4DC" w:rsidR="00B12FAA" w:rsidRPr="0070451B" w:rsidRDefault="00B12FAA" w:rsidP="00B61EB1">
            <w:r>
              <w:t>2</w:t>
            </w:r>
            <w:r w:rsidR="001C6CE8">
              <w:t>12</w:t>
            </w:r>
          </w:p>
        </w:tc>
        <w:tc>
          <w:tcPr>
            <w:tcW w:w="1595" w:type="dxa"/>
          </w:tcPr>
          <w:p w14:paraId="3269AAB5" w14:textId="52FF06EE" w:rsidR="00B12FAA" w:rsidRPr="0070451B" w:rsidRDefault="005E3A91" w:rsidP="00B61EB1">
            <w:r>
              <w:t>1</w:t>
            </w:r>
            <w:r w:rsidR="001C6CE8">
              <w:t>4</w:t>
            </w:r>
            <w:r w:rsidR="00B12FAA">
              <w:t>%</w:t>
            </w:r>
          </w:p>
        </w:tc>
      </w:tr>
      <w:tr w:rsidR="00B12FAA" w:rsidRPr="0070451B" w14:paraId="3A460A26" w14:textId="1AC6A5F1" w:rsidTr="005E3A91">
        <w:trPr>
          <w:trHeight w:val="432"/>
        </w:trPr>
        <w:tc>
          <w:tcPr>
            <w:tcW w:w="6952" w:type="dxa"/>
            <w:shd w:val="clear" w:color="auto" w:fill="auto"/>
            <w:vAlign w:val="center"/>
          </w:tcPr>
          <w:p w14:paraId="674AD1B7" w14:textId="77777777" w:rsidR="00B12FAA" w:rsidRPr="00D95A00" w:rsidRDefault="00B12FAA" w:rsidP="00B72EA1">
            <w:pPr>
              <w:pStyle w:val="ListParagraph"/>
              <w:numPr>
                <w:ilvl w:val="0"/>
                <w:numId w:val="43"/>
              </w:numPr>
              <w:spacing w:before="0" w:after="0" w:line="240" w:lineRule="auto"/>
              <w:rPr>
                <w:b/>
                <w:bCs/>
              </w:rPr>
            </w:pPr>
            <w:r w:rsidRPr="00D95A00">
              <w:rPr>
                <w:b/>
                <w:bCs/>
              </w:rPr>
              <w:t>Number of participants rating experience as “Below Average”</w:t>
            </w:r>
          </w:p>
        </w:tc>
        <w:tc>
          <w:tcPr>
            <w:tcW w:w="1523" w:type="dxa"/>
            <w:shd w:val="clear" w:color="auto" w:fill="auto"/>
            <w:vAlign w:val="center"/>
          </w:tcPr>
          <w:p w14:paraId="3C5C4168" w14:textId="4871470F" w:rsidR="00B12FAA" w:rsidRPr="0070451B" w:rsidRDefault="00B12FAA" w:rsidP="00B61EB1">
            <w:r>
              <w:t>3</w:t>
            </w:r>
            <w:r w:rsidR="001C6CE8">
              <w:t>1</w:t>
            </w:r>
          </w:p>
        </w:tc>
        <w:tc>
          <w:tcPr>
            <w:tcW w:w="1595" w:type="dxa"/>
          </w:tcPr>
          <w:p w14:paraId="51D8CD44" w14:textId="15D9CC1F" w:rsidR="00B12FAA" w:rsidRPr="0070451B" w:rsidRDefault="00F537BA" w:rsidP="00B61EB1">
            <w:r>
              <w:t>2%</w:t>
            </w:r>
          </w:p>
        </w:tc>
      </w:tr>
      <w:tr w:rsidR="00B12FAA" w:rsidRPr="0070451B" w14:paraId="219E5C04" w14:textId="054784D2" w:rsidTr="005E3A91">
        <w:trPr>
          <w:trHeight w:val="432"/>
        </w:trPr>
        <w:tc>
          <w:tcPr>
            <w:tcW w:w="6952" w:type="dxa"/>
            <w:shd w:val="clear" w:color="auto" w:fill="auto"/>
            <w:vAlign w:val="center"/>
          </w:tcPr>
          <w:p w14:paraId="2C0025B4" w14:textId="77777777" w:rsidR="00B12FAA" w:rsidRPr="00D95A00" w:rsidRDefault="00B12FAA" w:rsidP="00B72EA1">
            <w:pPr>
              <w:pStyle w:val="ListParagraph"/>
              <w:numPr>
                <w:ilvl w:val="0"/>
                <w:numId w:val="43"/>
              </w:numPr>
              <w:spacing w:before="0" w:after="0" w:line="240" w:lineRule="auto"/>
              <w:rPr>
                <w:b/>
                <w:bCs/>
              </w:rPr>
            </w:pPr>
            <w:r w:rsidRPr="00D95A00">
              <w:rPr>
                <w:b/>
                <w:bCs/>
              </w:rPr>
              <w:t>Number of participants rating experience as “Poor”</w:t>
            </w:r>
          </w:p>
        </w:tc>
        <w:tc>
          <w:tcPr>
            <w:tcW w:w="1523" w:type="dxa"/>
            <w:shd w:val="clear" w:color="auto" w:fill="auto"/>
            <w:vAlign w:val="center"/>
          </w:tcPr>
          <w:p w14:paraId="1CB33253" w14:textId="60891512" w:rsidR="00B12FAA" w:rsidRPr="0070451B" w:rsidRDefault="001C6CE8" w:rsidP="00B61EB1">
            <w:r>
              <w:t>12</w:t>
            </w:r>
          </w:p>
        </w:tc>
        <w:tc>
          <w:tcPr>
            <w:tcW w:w="1595" w:type="dxa"/>
          </w:tcPr>
          <w:p w14:paraId="23BF1AF9" w14:textId="7C8C3AAB" w:rsidR="00B12FAA" w:rsidRPr="0070451B" w:rsidRDefault="001C6CE8" w:rsidP="00B61EB1">
            <w:r>
              <w:t>1%</w:t>
            </w:r>
          </w:p>
        </w:tc>
      </w:tr>
      <w:tr w:rsidR="00B12FAA" w:rsidRPr="0070451B" w14:paraId="2BD9AEAD" w14:textId="757A7C26" w:rsidTr="005E3A91">
        <w:trPr>
          <w:trHeight w:val="432"/>
        </w:trPr>
        <w:tc>
          <w:tcPr>
            <w:tcW w:w="6952" w:type="dxa"/>
            <w:shd w:val="clear" w:color="auto" w:fill="auto"/>
            <w:vAlign w:val="center"/>
          </w:tcPr>
          <w:p w14:paraId="533CD254" w14:textId="0C805676" w:rsidR="00B12FAA" w:rsidRPr="00D95A00" w:rsidRDefault="00B12FAA" w:rsidP="00B72EA1">
            <w:pPr>
              <w:pStyle w:val="ListParagraph"/>
              <w:numPr>
                <w:ilvl w:val="0"/>
                <w:numId w:val="43"/>
              </w:numPr>
              <w:spacing w:before="0" w:after="0" w:line="240" w:lineRule="auto"/>
              <w:rPr>
                <w:b/>
                <w:bCs/>
              </w:rPr>
            </w:pPr>
            <w:r w:rsidRPr="00D95A00">
              <w:rPr>
                <w:b/>
                <w:bCs/>
              </w:rPr>
              <w:t>Total Number of Surveys Completed</w:t>
            </w:r>
            <w:r w:rsidR="00E30D56">
              <w:rPr>
                <w:rStyle w:val="FootnoteReference"/>
                <w:b/>
                <w:bCs/>
              </w:rPr>
              <w:footnoteReference w:id="2"/>
            </w:r>
          </w:p>
        </w:tc>
        <w:tc>
          <w:tcPr>
            <w:tcW w:w="1523" w:type="dxa"/>
            <w:shd w:val="clear" w:color="auto" w:fill="auto"/>
            <w:vAlign w:val="center"/>
          </w:tcPr>
          <w:p w14:paraId="5F5DC84A" w14:textId="5FCB3624" w:rsidR="00B12FAA" w:rsidRPr="0070451B" w:rsidRDefault="00B12FAA" w:rsidP="00B61EB1">
            <w:r>
              <w:t>1,</w:t>
            </w:r>
            <w:r w:rsidR="001C6CE8">
              <w:t>5</w:t>
            </w:r>
            <w:r w:rsidR="00EB3BF4">
              <w:t>61</w:t>
            </w:r>
          </w:p>
        </w:tc>
        <w:tc>
          <w:tcPr>
            <w:tcW w:w="1595" w:type="dxa"/>
          </w:tcPr>
          <w:p w14:paraId="76F9B8C2" w14:textId="56C72239" w:rsidR="00B12FAA" w:rsidRPr="0070451B" w:rsidRDefault="00F537BA" w:rsidP="00B61EB1">
            <w:r>
              <w:t>N/A</w:t>
            </w:r>
          </w:p>
        </w:tc>
      </w:tr>
    </w:tbl>
    <w:p w14:paraId="513AE946" w14:textId="526DB465" w:rsidR="00104E2D" w:rsidRDefault="00104E2D" w:rsidP="00770E74">
      <w:pPr>
        <w:pStyle w:val="NoSpacing"/>
        <w:tabs>
          <w:tab w:val="left" w:pos="90"/>
        </w:tabs>
        <w:rPr>
          <w:rFonts w:asciiTheme="majorHAnsi" w:hAnsiTheme="majorHAnsi" w:cs="Times New Roman"/>
          <w:b/>
        </w:rPr>
      </w:pPr>
    </w:p>
    <w:p w14:paraId="1E465947" w14:textId="0A3DCD43" w:rsidR="00FE7C71" w:rsidRDefault="00FE7C71" w:rsidP="00FE7C71">
      <w:pPr>
        <w:pStyle w:val="Heading3"/>
      </w:pPr>
      <w:bookmarkStart w:id="17" w:name="_Toc90271391"/>
      <w:r>
        <w:t>SFY2021 Youth at Work Data</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1523"/>
        <w:gridCol w:w="1595"/>
      </w:tblGrid>
      <w:tr w:rsidR="00FE7C71" w:rsidRPr="0070451B" w14:paraId="3762D9CD" w14:textId="77777777" w:rsidTr="00AB11A8">
        <w:trPr>
          <w:trHeight w:val="432"/>
        </w:trPr>
        <w:tc>
          <w:tcPr>
            <w:tcW w:w="6952" w:type="dxa"/>
            <w:tcBorders>
              <w:bottom w:val="single" w:sz="12" w:space="0" w:color="auto"/>
            </w:tcBorders>
            <w:shd w:val="clear" w:color="auto" w:fill="E6E6E6"/>
            <w:vAlign w:val="center"/>
          </w:tcPr>
          <w:p w14:paraId="36248521" w14:textId="0EDF5AA6" w:rsidR="00FE7C71" w:rsidRPr="004A28E0" w:rsidRDefault="00FE7C71" w:rsidP="00AB11A8">
            <w:pPr>
              <w:jc w:val="center"/>
              <w:rPr>
                <w:b/>
                <w:sz w:val="24"/>
                <w:szCs w:val="24"/>
              </w:rPr>
            </w:pPr>
            <w:r w:rsidRPr="004A28E0">
              <w:rPr>
                <w:b/>
                <w:sz w:val="24"/>
                <w:szCs w:val="24"/>
              </w:rPr>
              <w:t>SFY202</w:t>
            </w:r>
            <w:r>
              <w:rPr>
                <w:b/>
                <w:sz w:val="24"/>
                <w:szCs w:val="24"/>
              </w:rPr>
              <w:t>1</w:t>
            </w:r>
            <w:r w:rsidRPr="004A28E0">
              <w:rPr>
                <w:b/>
                <w:sz w:val="24"/>
                <w:szCs w:val="24"/>
              </w:rPr>
              <w:t xml:space="preserve"> Youth at Work demographic, activity, and outcome data</w:t>
            </w:r>
          </w:p>
        </w:tc>
        <w:tc>
          <w:tcPr>
            <w:tcW w:w="1523" w:type="dxa"/>
            <w:tcBorders>
              <w:bottom w:val="single" w:sz="12" w:space="0" w:color="auto"/>
            </w:tcBorders>
            <w:shd w:val="clear" w:color="auto" w:fill="E6E6E6"/>
            <w:vAlign w:val="center"/>
          </w:tcPr>
          <w:p w14:paraId="32140693" w14:textId="77777777" w:rsidR="00FE7C71" w:rsidRPr="004A28E0" w:rsidRDefault="00FE7C71" w:rsidP="00AB11A8">
            <w:pPr>
              <w:jc w:val="center"/>
              <w:rPr>
                <w:b/>
                <w:sz w:val="24"/>
                <w:szCs w:val="24"/>
              </w:rPr>
            </w:pPr>
            <w:r w:rsidRPr="004A28E0">
              <w:rPr>
                <w:b/>
                <w:sz w:val="24"/>
                <w:szCs w:val="24"/>
              </w:rPr>
              <w:t>Total</w:t>
            </w:r>
          </w:p>
        </w:tc>
        <w:tc>
          <w:tcPr>
            <w:tcW w:w="1595" w:type="dxa"/>
            <w:vMerge w:val="restart"/>
            <w:shd w:val="clear" w:color="auto" w:fill="E6E6E6"/>
          </w:tcPr>
          <w:p w14:paraId="66FDAFD0" w14:textId="77777777" w:rsidR="00FE7C71" w:rsidRPr="004A28E0" w:rsidRDefault="00FE7C71" w:rsidP="00AB11A8">
            <w:pPr>
              <w:jc w:val="center"/>
              <w:rPr>
                <w:b/>
                <w:sz w:val="24"/>
                <w:szCs w:val="24"/>
              </w:rPr>
            </w:pPr>
            <w:r w:rsidRPr="004A28E0">
              <w:rPr>
                <w:b/>
                <w:sz w:val="24"/>
                <w:szCs w:val="24"/>
              </w:rPr>
              <w:t>Percent</w:t>
            </w:r>
          </w:p>
          <w:p w14:paraId="2D4EA464" w14:textId="77777777" w:rsidR="00FE7C71" w:rsidRPr="00B12FAA" w:rsidRDefault="00FE7C71" w:rsidP="00AB11A8">
            <w:pPr>
              <w:rPr>
                <w:b/>
                <w:bCs/>
              </w:rPr>
            </w:pPr>
          </w:p>
          <w:p w14:paraId="454D0919" w14:textId="619ABEF5" w:rsidR="00FE7C71" w:rsidRPr="004A28E0" w:rsidRDefault="00FE7C71" w:rsidP="00AB11A8">
            <w:pPr>
              <w:jc w:val="center"/>
              <w:rPr>
                <w:b/>
                <w:sz w:val="24"/>
                <w:szCs w:val="24"/>
              </w:rPr>
            </w:pPr>
          </w:p>
        </w:tc>
      </w:tr>
      <w:tr w:rsidR="00FE7C71" w:rsidRPr="0070451B" w14:paraId="734C58A2" w14:textId="77777777" w:rsidTr="00AB11A8">
        <w:trPr>
          <w:trHeight w:val="458"/>
        </w:trPr>
        <w:tc>
          <w:tcPr>
            <w:tcW w:w="6952" w:type="dxa"/>
            <w:tcBorders>
              <w:top w:val="single" w:sz="12" w:space="0" w:color="auto"/>
              <w:left w:val="single" w:sz="12" w:space="0" w:color="auto"/>
              <w:bottom w:val="single" w:sz="12" w:space="0" w:color="auto"/>
              <w:right w:val="single" w:sz="12" w:space="0" w:color="auto"/>
            </w:tcBorders>
            <w:shd w:val="clear" w:color="auto" w:fill="92D050"/>
            <w:vAlign w:val="center"/>
          </w:tcPr>
          <w:p w14:paraId="664A5F84" w14:textId="467B3A01" w:rsidR="00FE7C71" w:rsidRPr="00FE7C71" w:rsidRDefault="00FE7C71" w:rsidP="00FE7C71">
            <w:pPr>
              <w:pStyle w:val="ListParagraph"/>
              <w:numPr>
                <w:ilvl w:val="0"/>
                <w:numId w:val="44"/>
              </w:numPr>
              <w:rPr>
                <w:b/>
                <w:bCs/>
              </w:rPr>
            </w:pPr>
            <w:r w:rsidRPr="00FE7C71">
              <w:rPr>
                <w:b/>
                <w:bCs/>
              </w:rPr>
              <w:t xml:space="preserve">Total Individual Participants Served </w:t>
            </w:r>
          </w:p>
        </w:tc>
        <w:tc>
          <w:tcPr>
            <w:tcW w:w="1523" w:type="dxa"/>
            <w:tcBorders>
              <w:top w:val="single" w:sz="12" w:space="0" w:color="auto"/>
              <w:left w:val="single" w:sz="12" w:space="0" w:color="auto"/>
              <w:bottom w:val="single" w:sz="12" w:space="0" w:color="auto"/>
            </w:tcBorders>
            <w:shd w:val="clear" w:color="auto" w:fill="92D050"/>
            <w:vAlign w:val="center"/>
          </w:tcPr>
          <w:p w14:paraId="4E3F472F" w14:textId="12E96F41" w:rsidR="00FE7C71" w:rsidRPr="00B12FAA" w:rsidRDefault="00FE7C71" w:rsidP="00AB11A8">
            <w:pPr>
              <w:rPr>
                <w:b/>
                <w:bCs/>
              </w:rPr>
            </w:pPr>
            <w:r>
              <w:rPr>
                <w:b/>
                <w:bCs/>
              </w:rPr>
              <w:t xml:space="preserve"> </w:t>
            </w:r>
            <w:r w:rsidRPr="00FE7C71">
              <w:rPr>
                <w:b/>
                <w:bCs/>
              </w:rPr>
              <w:t>7,089</w:t>
            </w:r>
          </w:p>
        </w:tc>
        <w:tc>
          <w:tcPr>
            <w:tcW w:w="1595" w:type="dxa"/>
            <w:vMerge/>
            <w:shd w:val="clear" w:color="auto" w:fill="92D050"/>
          </w:tcPr>
          <w:p w14:paraId="06472B14" w14:textId="5FABEC72" w:rsidR="00FE7C71" w:rsidRPr="00B12FAA" w:rsidRDefault="00FE7C71" w:rsidP="00AB11A8">
            <w:pPr>
              <w:jc w:val="center"/>
              <w:rPr>
                <w:b/>
                <w:bCs/>
              </w:rPr>
            </w:pPr>
          </w:p>
        </w:tc>
      </w:tr>
      <w:tr w:rsidR="00FE7C71" w:rsidRPr="0070451B" w14:paraId="7A9F727E" w14:textId="77777777" w:rsidTr="00AB11A8">
        <w:trPr>
          <w:trHeight w:val="432"/>
        </w:trPr>
        <w:tc>
          <w:tcPr>
            <w:tcW w:w="6952" w:type="dxa"/>
            <w:tcBorders>
              <w:top w:val="single" w:sz="12" w:space="0" w:color="auto"/>
            </w:tcBorders>
            <w:shd w:val="clear" w:color="auto" w:fill="auto"/>
            <w:vAlign w:val="center"/>
          </w:tcPr>
          <w:p w14:paraId="7F87D5B3" w14:textId="77777777" w:rsidR="00FE7C71" w:rsidRPr="00D95A00" w:rsidRDefault="00FE7C71" w:rsidP="00FE7C71">
            <w:pPr>
              <w:pStyle w:val="ListParagraph"/>
              <w:numPr>
                <w:ilvl w:val="0"/>
                <w:numId w:val="44"/>
              </w:numPr>
              <w:rPr>
                <w:b/>
                <w:bCs/>
              </w:rPr>
            </w:pPr>
            <w:r w:rsidRPr="00D95A00">
              <w:rPr>
                <w:b/>
                <w:bCs/>
              </w:rPr>
              <w:t>Female</w:t>
            </w:r>
          </w:p>
        </w:tc>
        <w:tc>
          <w:tcPr>
            <w:tcW w:w="1523" w:type="dxa"/>
            <w:tcBorders>
              <w:top w:val="single" w:sz="12" w:space="0" w:color="auto"/>
            </w:tcBorders>
            <w:shd w:val="clear" w:color="auto" w:fill="auto"/>
          </w:tcPr>
          <w:p w14:paraId="191E20C0" w14:textId="422E8809" w:rsidR="00FE7C71" w:rsidRPr="0070451B" w:rsidRDefault="00FE7C71" w:rsidP="00FE7C71">
            <w:r w:rsidRPr="00A65424">
              <w:t xml:space="preserve"> 3,709 </w:t>
            </w:r>
          </w:p>
        </w:tc>
        <w:tc>
          <w:tcPr>
            <w:tcW w:w="1595" w:type="dxa"/>
            <w:tcBorders>
              <w:top w:val="single" w:sz="12" w:space="0" w:color="auto"/>
            </w:tcBorders>
          </w:tcPr>
          <w:p w14:paraId="33DB2ECE" w14:textId="27FCCE5F" w:rsidR="00FE7C71" w:rsidRDefault="00FE7C71" w:rsidP="00FE7C71">
            <w:r w:rsidRPr="006802B6">
              <w:t>52.3%</w:t>
            </w:r>
          </w:p>
        </w:tc>
      </w:tr>
      <w:tr w:rsidR="00FE7C71" w:rsidRPr="0070451B" w14:paraId="067696A6" w14:textId="77777777" w:rsidTr="00AB11A8">
        <w:trPr>
          <w:trHeight w:val="432"/>
        </w:trPr>
        <w:tc>
          <w:tcPr>
            <w:tcW w:w="6952" w:type="dxa"/>
            <w:shd w:val="clear" w:color="auto" w:fill="auto"/>
            <w:vAlign w:val="center"/>
          </w:tcPr>
          <w:p w14:paraId="51F84DEC" w14:textId="77777777" w:rsidR="00FE7C71" w:rsidRPr="00D95A00" w:rsidRDefault="00FE7C71" w:rsidP="00FE7C71">
            <w:pPr>
              <w:pStyle w:val="ListParagraph"/>
              <w:numPr>
                <w:ilvl w:val="0"/>
                <w:numId w:val="44"/>
              </w:numPr>
              <w:rPr>
                <w:b/>
                <w:bCs/>
              </w:rPr>
            </w:pPr>
            <w:r w:rsidRPr="00D95A00">
              <w:rPr>
                <w:b/>
                <w:bCs/>
              </w:rPr>
              <w:t>Male</w:t>
            </w:r>
          </w:p>
        </w:tc>
        <w:tc>
          <w:tcPr>
            <w:tcW w:w="1523" w:type="dxa"/>
            <w:shd w:val="clear" w:color="auto" w:fill="auto"/>
          </w:tcPr>
          <w:p w14:paraId="3DD24434" w14:textId="54630B58" w:rsidR="00FE7C71" w:rsidRPr="0070451B" w:rsidRDefault="00FE7C71" w:rsidP="00FE7C71">
            <w:r w:rsidRPr="00A65424">
              <w:t xml:space="preserve"> 3,331 </w:t>
            </w:r>
          </w:p>
        </w:tc>
        <w:tc>
          <w:tcPr>
            <w:tcW w:w="1595" w:type="dxa"/>
          </w:tcPr>
          <w:p w14:paraId="468F6731" w14:textId="30E956FC" w:rsidR="00FE7C71" w:rsidRDefault="00FE7C71" w:rsidP="00FE7C71">
            <w:r w:rsidRPr="006802B6">
              <w:t>47.0%</w:t>
            </w:r>
          </w:p>
        </w:tc>
      </w:tr>
      <w:tr w:rsidR="00B02D5F" w:rsidRPr="0070451B" w14:paraId="546CDF11" w14:textId="77777777" w:rsidTr="00AB11A8">
        <w:trPr>
          <w:trHeight w:val="432"/>
        </w:trPr>
        <w:tc>
          <w:tcPr>
            <w:tcW w:w="6952" w:type="dxa"/>
            <w:shd w:val="clear" w:color="auto" w:fill="auto"/>
            <w:vAlign w:val="center"/>
          </w:tcPr>
          <w:p w14:paraId="0E7E1B99" w14:textId="77777777" w:rsidR="00B02D5F" w:rsidRPr="00D95A00" w:rsidRDefault="00B02D5F" w:rsidP="00B02D5F">
            <w:pPr>
              <w:pStyle w:val="ListParagraph"/>
              <w:numPr>
                <w:ilvl w:val="0"/>
                <w:numId w:val="44"/>
              </w:numPr>
              <w:spacing w:before="0" w:after="0" w:line="240" w:lineRule="auto"/>
              <w:rPr>
                <w:b/>
                <w:bCs/>
              </w:rPr>
            </w:pPr>
            <w:r w:rsidRPr="00D95A00">
              <w:rPr>
                <w:b/>
                <w:bCs/>
              </w:rPr>
              <w:lastRenderedPageBreak/>
              <w:t>14 – 15</w:t>
            </w:r>
          </w:p>
        </w:tc>
        <w:tc>
          <w:tcPr>
            <w:tcW w:w="1523" w:type="dxa"/>
            <w:shd w:val="clear" w:color="auto" w:fill="auto"/>
          </w:tcPr>
          <w:p w14:paraId="16F58664" w14:textId="53145F81" w:rsidR="00B02D5F" w:rsidRPr="0070451B" w:rsidRDefault="00B02D5F" w:rsidP="00B02D5F">
            <w:r w:rsidRPr="001949E9">
              <w:t xml:space="preserve"> 1,762 </w:t>
            </w:r>
          </w:p>
        </w:tc>
        <w:tc>
          <w:tcPr>
            <w:tcW w:w="1595" w:type="dxa"/>
          </w:tcPr>
          <w:p w14:paraId="64315A94" w14:textId="55C71367" w:rsidR="00B02D5F" w:rsidRDefault="00B02D5F" w:rsidP="00B02D5F">
            <w:r w:rsidRPr="006802B6">
              <w:t>0.7%</w:t>
            </w:r>
          </w:p>
        </w:tc>
      </w:tr>
      <w:tr w:rsidR="00B02D5F" w:rsidRPr="0070451B" w14:paraId="46CCB79C" w14:textId="77777777" w:rsidTr="00AB11A8">
        <w:trPr>
          <w:trHeight w:val="432"/>
        </w:trPr>
        <w:tc>
          <w:tcPr>
            <w:tcW w:w="6952" w:type="dxa"/>
            <w:shd w:val="clear" w:color="auto" w:fill="auto"/>
            <w:vAlign w:val="center"/>
          </w:tcPr>
          <w:p w14:paraId="6FB68051" w14:textId="77777777" w:rsidR="00B02D5F" w:rsidRPr="00D95A00" w:rsidRDefault="00B02D5F" w:rsidP="00B02D5F">
            <w:pPr>
              <w:pStyle w:val="ListParagraph"/>
              <w:numPr>
                <w:ilvl w:val="0"/>
                <w:numId w:val="44"/>
              </w:numPr>
              <w:rPr>
                <w:b/>
                <w:bCs/>
              </w:rPr>
            </w:pPr>
            <w:r w:rsidRPr="00D95A00">
              <w:rPr>
                <w:b/>
                <w:bCs/>
              </w:rPr>
              <w:t>16 – 17</w:t>
            </w:r>
          </w:p>
        </w:tc>
        <w:tc>
          <w:tcPr>
            <w:tcW w:w="1523" w:type="dxa"/>
            <w:shd w:val="clear" w:color="auto" w:fill="auto"/>
          </w:tcPr>
          <w:p w14:paraId="476587E8" w14:textId="6138CA4C" w:rsidR="00B02D5F" w:rsidRPr="0070451B" w:rsidRDefault="00B02D5F" w:rsidP="00B02D5F">
            <w:r w:rsidRPr="001949E9">
              <w:t xml:space="preserve"> 2,991 </w:t>
            </w:r>
          </w:p>
        </w:tc>
        <w:tc>
          <w:tcPr>
            <w:tcW w:w="1595" w:type="dxa"/>
          </w:tcPr>
          <w:p w14:paraId="1D1B9917" w14:textId="2845C89C" w:rsidR="00B02D5F" w:rsidRDefault="00B02D5F" w:rsidP="00B02D5F">
            <w:r w:rsidRPr="006802B6">
              <w:t>24.9%</w:t>
            </w:r>
          </w:p>
        </w:tc>
      </w:tr>
      <w:tr w:rsidR="00B02D5F" w:rsidRPr="0070451B" w14:paraId="6CC05CB9" w14:textId="77777777" w:rsidTr="00AB11A8">
        <w:trPr>
          <w:trHeight w:val="432"/>
        </w:trPr>
        <w:tc>
          <w:tcPr>
            <w:tcW w:w="6952" w:type="dxa"/>
            <w:shd w:val="clear" w:color="auto" w:fill="auto"/>
            <w:vAlign w:val="center"/>
          </w:tcPr>
          <w:p w14:paraId="36ACB49D" w14:textId="77777777" w:rsidR="00B02D5F" w:rsidRPr="00D95A00" w:rsidRDefault="00B02D5F" w:rsidP="00B02D5F">
            <w:pPr>
              <w:pStyle w:val="ListParagraph"/>
              <w:numPr>
                <w:ilvl w:val="0"/>
                <w:numId w:val="44"/>
              </w:numPr>
              <w:rPr>
                <w:b/>
                <w:bCs/>
              </w:rPr>
            </w:pPr>
            <w:r w:rsidRPr="00D95A00">
              <w:rPr>
                <w:b/>
                <w:bCs/>
              </w:rPr>
              <w:t>18 - 21</w:t>
            </w:r>
          </w:p>
        </w:tc>
        <w:tc>
          <w:tcPr>
            <w:tcW w:w="1523" w:type="dxa"/>
            <w:shd w:val="clear" w:color="auto" w:fill="auto"/>
          </w:tcPr>
          <w:p w14:paraId="1A99B5D1" w14:textId="05792788" w:rsidR="00B02D5F" w:rsidRPr="0070451B" w:rsidRDefault="00B02D5F" w:rsidP="00B02D5F">
            <w:r w:rsidRPr="001949E9">
              <w:t xml:space="preserve"> 2,191 </w:t>
            </w:r>
          </w:p>
        </w:tc>
        <w:tc>
          <w:tcPr>
            <w:tcW w:w="1595" w:type="dxa"/>
          </w:tcPr>
          <w:p w14:paraId="15E0D10B" w14:textId="2E2D48C1" w:rsidR="00B02D5F" w:rsidRDefault="00B02D5F" w:rsidP="00B02D5F">
            <w:r w:rsidRPr="006802B6">
              <w:t>42.2%</w:t>
            </w:r>
          </w:p>
        </w:tc>
      </w:tr>
      <w:tr w:rsidR="00B02D5F" w:rsidRPr="0070451B" w14:paraId="4828CCF7" w14:textId="77777777" w:rsidTr="00AB11A8">
        <w:trPr>
          <w:trHeight w:val="432"/>
        </w:trPr>
        <w:tc>
          <w:tcPr>
            <w:tcW w:w="6952" w:type="dxa"/>
            <w:shd w:val="clear" w:color="auto" w:fill="auto"/>
            <w:vAlign w:val="center"/>
          </w:tcPr>
          <w:p w14:paraId="2AB21B39" w14:textId="77777777" w:rsidR="00B02D5F" w:rsidRPr="00D95A00" w:rsidRDefault="00B02D5F" w:rsidP="00B02D5F">
            <w:pPr>
              <w:pStyle w:val="ListParagraph"/>
              <w:numPr>
                <w:ilvl w:val="0"/>
                <w:numId w:val="44"/>
              </w:numPr>
              <w:rPr>
                <w:b/>
                <w:bCs/>
              </w:rPr>
            </w:pPr>
            <w:r w:rsidRPr="00D95A00">
              <w:rPr>
                <w:b/>
                <w:bCs/>
              </w:rPr>
              <w:t>22 – 24</w:t>
            </w:r>
          </w:p>
        </w:tc>
        <w:tc>
          <w:tcPr>
            <w:tcW w:w="1523" w:type="dxa"/>
            <w:shd w:val="clear" w:color="auto" w:fill="auto"/>
          </w:tcPr>
          <w:p w14:paraId="0DCB107C" w14:textId="33A5CED7" w:rsidR="00B02D5F" w:rsidRPr="0070451B" w:rsidRDefault="00B02D5F" w:rsidP="00B02D5F">
            <w:r w:rsidRPr="001949E9">
              <w:t xml:space="preserve"> 103 </w:t>
            </w:r>
          </w:p>
        </w:tc>
        <w:tc>
          <w:tcPr>
            <w:tcW w:w="1595" w:type="dxa"/>
          </w:tcPr>
          <w:p w14:paraId="4244100E" w14:textId="10E1E2E4" w:rsidR="00B02D5F" w:rsidRDefault="00B02D5F" w:rsidP="00B02D5F">
            <w:r w:rsidRPr="006802B6">
              <w:t>30.9%</w:t>
            </w:r>
          </w:p>
        </w:tc>
      </w:tr>
      <w:tr w:rsidR="00B02D5F" w:rsidRPr="0070451B" w14:paraId="745988A1" w14:textId="77777777" w:rsidTr="00AB11A8">
        <w:trPr>
          <w:trHeight w:val="432"/>
        </w:trPr>
        <w:tc>
          <w:tcPr>
            <w:tcW w:w="6952" w:type="dxa"/>
            <w:shd w:val="clear" w:color="auto" w:fill="auto"/>
            <w:vAlign w:val="center"/>
          </w:tcPr>
          <w:p w14:paraId="604BFE70" w14:textId="77777777" w:rsidR="00B02D5F" w:rsidRPr="00D95A00" w:rsidRDefault="00B02D5F" w:rsidP="00B02D5F">
            <w:pPr>
              <w:pStyle w:val="ListParagraph"/>
              <w:numPr>
                <w:ilvl w:val="0"/>
                <w:numId w:val="44"/>
              </w:numPr>
              <w:rPr>
                <w:b/>
                <w:bCs/>
              </w:rPr>
            </w:pPr>
            <w:r w:rsidRPr="00D95A00">
              <w:rPr>
                <w:b/>
                <w:bCs/>
              </w:rPr>
              <w:t>Hispanic/Latino</w:t>
            </w:r>
          </w:p>
        </w:tc>
        <w:tc>
          <w:tcPr>
            <w:tcW w:w="1523" w:type="dxa"/>
            <w:shd w:val="clear" w:color="auto" w:fill="auto"/>
          </w:tcPr>
          <w:p w14:paraId="5E6CFF4E" w14:textId="4F530F03" w:rsidR="00B02D5F" w:rsidRPr="0070451B" w:rsidRDefault="00B02D5F" w:rsidP="00B02D5F">
            <w:r w:rsidRPr="001949E9">
              <w:t xml:space="preserve"> 1,222 </w:t>
            </w:r>
          </w:p>
        </w:tc>
        <w:tc>
          <w:tcPr>
            <w:tcW w:w="1595" w:type="dxa"/>
          </w:tcPr>
          <w:p w14:paraId="168B2D67" w14:textId="2AB63960" w:rsidR="00B02D5F" w:rsidRDefault="00B02D5F" w:rsidP="00B02D5F">
            <w:r w:rsidRPr="006802B6">
              <w:t>1</w:t>
            </w:r>
            <w:r>
              <w:t>7.2</w:t>
            </w:r>
            <w:r w:rsidRPr="006802B6">
              <w:t>%</w:t>
            </w:r>
          </w:p>
        </w:tc>
      </w:tr>
      <w:tr w:rsidR="00B02D5F" w:rsidRPr="0070451B" w14:paraId="6C2A9C62" w14:textId="77777777" w:rsidTr="00AB11A8">
        <w:trPr>
          <w:trHeight w:val="432"/>
        </w:trPr>
        <w:tc>
          <w:tcPr>
            <w:tcW w:w="6952" w:type="dxa"/>
            <w:shd w:val="clear" w:color="auto" w:fill="auto"/>
            <w:vAlign w:val="center"/>
          </w:tcPr>
          <w:p w14:paraId="29DB7BE1" w14:textId="77777777" w:rsidR="00B02D5F" w:rsidRPr="00D95A00" w:rsidRDefault="00B02D5F" w:rsidP="00B02D5F">
            <w:pPr>
              <w:pStyle w:val="ListParagraph"/>
              <w:numPr>
                <w:ilvl w:val="0"/>
                <w:numId w:val="44"/>
              </w:numPr>
              <w:rPr>
                <w:b/>
                <w:bCs/>
              </w:rPr>
            </w:pPr>
            <w:r w:rsidRPr="00D95A00">
              <w:rPr>
                <w:b/>
                <w:bCs/>
              </w:rPr>
              <w:t>American Indian or Alaska Native</w:t>
            </w:r>
          </w:p>
        </w:tc>
        <w:tc>
          <w:tcPr>
            <w:tcW w:w="1523" w:type="dxa"/>
            <w:shd w:val="clear" w:color="auto" w:fill="auto"/>
          </w:tcPr>
          <w:p w14:paraId="642C3616" w14:textId="36C73A68" w:rsidR="00B02D5F" w:rsidRPr="0070451B" w:rsidRDefault="00B02D5F" w:rsidP="00B02D5F">
            <w:r w:rsidRPr="001949E9">
              <w:t xml:space="preserve"> 315 </w:t>
            </w:r>
          </w:p>
        </w:tc>
        <w:tc>
          <w:tcPr>
            <w:tcW w:w="1595" w:type="dxa"/>
          </w:tcPr>
          <w:p w14:paraId="0F23D18C" w14:textId="4108240E" w:rsidR="00B02D5F" w:rsidRDefault="00B02D5F" w:rsidP="00B02D5F">
            <w:r>
              <w:t>4.4</w:t>
            </w:r>
            <w:r w:rsidRPr="006802B6">
              <w:t>%</w:t>
            </w:r>
          </w:p>
        </w:tc>
      </w:tr>
      <w:tr w:rsidR="00B02D5F" w:rsidRPr="0070451B" w14:paraId="16288114" w14:textId="77777777" w:rsidTr="00AB11A8">
        <w:trPr>
          <w:trHeight w:val="432"/>
        </w:trPr>
        <w:tc>
          <w:tcPr>
            <w:tcW w:w="6952" w:type="dxa"/>
            <w:shd w:val="clear" w:color="auto" w:fill="auto"/>
            <w:vAlign w:val="center"/>
          </w:tcPr>
          <w:p w14:paraId="39BE421B" w14:textId="77777777" w:rsidR="00B02D5F" w:rsidRPr="00D95A00" w:rsidRDefault="00B02D5F" w:rsidP="00B02D5F">
            <w:pPr>
              <w:pStyle w:val="ListParagraph"/>
              <w:numPr>
                <w:ilvl w:val="0"/>
                <w:numId w:val="44"/>
              </w:numPr>
              <w:rPr>
                <w:b/>
                <w:bCs/>
              </w:rPr>
            </w:pPr>
            <w:r w:rsidRPr="00D95A00">
              <w:rPr>
                <w:b/>
                <w:bCs/>
              </w:rPr>
              <w:t>Asian/Pacific Islander</w:t>
            </w:r>
          </w:p>
        </w:tc>
        <w:tc>
          <w:tcPr>
            <w:tcW w:w="1523" w:type="dxa"/>
            <w:shd w:val="clear" w:color="auto" w:fill="auto"/>
          </w:tcPr>
          <w:p w14:paraId="52FACBDE" w14:textId="0834E4D7" w:rsidR="00B02D5F" w:rsidRPr="0070451B" w:rsidRDefault="00B02D5F" w:rsidP="00B02D5F">
            <w:r w:rsidRPr="001949E9">
              <w:t xml:space="preserve"> 706 </w:t>
            </w:r>
          </w:p>
        </w:tc>
        <w:tc>
          <w:tcPr>
            <w:tcW w:w="1595" w:type="dxa"/>
          </w:tcPr>
          <w:p w14:paraId="7A6BD71E" w14:textId="75F5A425" w:rsidR="00B02D5F" w:rsidRDefault="00B02D5F" w:rsidP="00B02D5F">
            <w:r>
              <w:t>10</w:t>
            </w:r>
            <w:r w:rsidRPr="006802B6">
              <w:t>%</w:t>
            </w:r>
          </w:p>
        </w:tc>
      </w:tr>
      <w:tr w:rsidR="00B02D5F" w:rsidRPr="0070451B" w14:paraId="2B2DE6E2" w14:textId="77777777" w:rsidTr="00AB11A8">
        <w:trPr>
          <w:trHeight w:val="432"/>
        </w:trPr>
        <w:tc>
          <w:tcPr>
            <w:tcW w:w="6952" w:type="dxa"/>
            <w:shd w:val="clear" w:color="auto" w:fill="auto"/>
            <w:vAlign w:val="center"/>
          </w:tcPr>
          <w:p w14:paraId="2AEC9463" w14:textId="77777777" w:rsidR="00B02D5F" w:rsidRPr="00D95A00" w:rsidRDefault="00B02D5F" w:rsidP="00B02D5F">
            <w:pPr>
              <w:pStyle w:val="ListParagraph"/>
              <w:numPr>
                <w:ilvl w:val="0"/>
                <w:numId w:val="44"/>
              </w:numPr>
              <w:rPr>
                <w:b/>
                <w:bCs/>
              </w:rPr>
            </w:pPr>
            <w:r w:rsidRPr="00D95A00">
              <w:rPr>
                <w:b/>
                <w:bCs/>
              </w:rPr>
              <w:t>Black or African American</w:t>
            </w:r>
          </w:p>
        </w:tc>
        <w:tc>
          <w:tcPr>
            <w:tcW w:w="1523" w:type="dxa"/>
            <w:shd w:val="clear" w:color="auto" w:fill="auto"/>
          </w:tcPr>
          <w:p w14:paraId="510575AD" w14:textId="3CADA5C5" w:rsidR="00B02D5F" w:rsidRPr="0070451B" w:rsidRDefault="00B02D5F" w:rsidP="00B02D5F">
            <w:r w:rsidRPr="001949E9">
              <w:t xml:space="preserve"> 3,016 </w:t>
            </w:r>
          </w:p>
        </w:tc>
        <w:tc>
          <w:tcPr>
            <w:tcW w:w="1595" w:type="dxa"/>
          </w:tcPr>
          <w:p w14:paraId="59805446" w14:textId="20703CB1" w:rsidR="00B02D5F" w:rsidRDefault="00B02D5F" w:rsidP="00B02D5F">
            <w:r>
              <w:t>42.5</w:t>
            </w:r>
            <w:r w:rsidRPr="006802B6">
              <w:t>%</w:t>
            </w:r>
          </w:p>
        </w:tc>
      </w:tr>
      <w:tr w:rsidR="00B02D5F" w:rsidRPr="0070451B" w14:paraId="5A7F7B39" w14:textId="77777777" w:rsidTr="00AB11A8">
        <w:trPr>
          <w:trHeight w:val="432"/>
        </w:trPr>
        <w:tc>
          <w:tcPr>
            <w:tcW w:w="6952" w:type="dxa"/>
            <w:shd w:val="clear" w:color="auto" w:fill="auto"/>
            <w:vAlign w:val="center"/>
          </w:tcPr>
          <w:p w14:paraId="1AFF43B2" w14:textId="77777777" w:rsidR="00B02D5F" w:rsidRPr="00D95A00" w:rsidRDefault="00B02D5F" w:rsidP="00B02D5F">
            <w:pPr>
              <w:pStyle w:val="ListParagraph"/>
              <w:numPr>
                <w:ilvl w:val="0"/>
                <w:numId w:val="44"/>
              </w:numPr>
              <w:rPr>
                <w:b/>
                <w:bCs/>
              </w:rPr>
            </w:pPr>
            <w:r w:rsidRPr="00D95A00">
              <w:rPr>
                <w:b/>
                <w:bCs/>
              </w:rPr>
              <w:t>White</w:t>
            </w:r>
          </w:p>
        </w:tc>
        <w:tc>
          <w:tcPr>
            <w:tcW w:w="1523" w:type="dxa"/>
            <w:shd w:val="clear" w:color="auto" w:fill="auto"/>
          </w:tcPr>
          <w:p w14:paraId="4DD4C41A" w14:textId="3612F3D5" w:rsidR="00B02D5F" w:rsidRPr="0070451B" w:rsidRDefault="00B02D5F" w:rsidP="00B02D5F">
            <w:r w:rsidRPr="001949E9">
              <w:t xml:space="preserve"> 1,800 </w:t>
            </w:r>
          </w:p>
        </w:tc>
        <w:tc>
          <w:tcPr>
            <w:tcW w:w="1595" w:type="dxa"/>
          </w:tcPr>
          <w:p w14:paraId="7673FB60" w14:textId="1F69B4E9" w:rsidR="00B02D5F" w:rsidRDefault="00B02D5F" w:rsidP="00B02D5F">
            <w:r>
              <w:t>25.4</w:t>
            </w:r>
            <w:r w:rsidRPr="006802B6">
              <w:t>%</w:t>
            </w:r>
          </w:p>
        </w:tc>
      </w:tr>
      <w:tr w:rsidR="00B02D5F" w:rsidRPr="0070451B" w14:paraId="23B8A5E4" w14:textId="77777777" w:rsidTr="00AB11A8">
        <w:trPr>
          <w:trHeight w:val="432"/>
        </w:trPr>
        <w:tc>
          <w:tcPr>
            <w:tcW w:w="6952" w:type="dxa"/>
            <w:shd w:val="clear" w:color="auto" w:fill="auto"/>
            <w:vAlign w:val="center"/>
          </w:tcPr>
          <w:p w14:paraId="67A72288" w14:textId="77777777" w:rsidR="00B02D5F" w:rsidRPr="00D95A00" w:rsidRDefault="00B02D5F" w:rsidP="00B02D5F">
            <w:pPr>
              <w:pStyle w:val="ListParagraph"/>
              <w:numPr>
                <w:ilvl w:val="0"/>
                <w:numId w:val="44"/>
              </w:numPr>
              <w:rPr>
                <w:b/>
                <w:bCs/>
              </w:rPr>
            </w:pPr>
            <w:r w:rsidRPr="00D95A00">
              <w:rPr>
                <w:b/>
                <w:bCs/>
              </w:rPr>
              <w:t>Multiracial</w:t>
            </w:r>
          </w:p>
        </w:tc>
        <w:tc>
          <w:tcPr>
            <w:tcW w:w="1523" w:type="dxa"/>
            <w:shd w:val="clear" w:color="auto" w:fill="auto"/>
          </w:tcPr>
          <w:p w14:paraId="11E499AB" w14:textId="5EC7930C" w:rsidR="00B02D5F" w:rsidRPr="0070451B" w:rsidRDefault="00B02D5F" w:rsidP="00B02D5F">
            <w:r w:rsidRPr="001949E9">
              <w:t xml:space="preserve"> 166 </w:t>
            </w:r>
          </w:p>
        </w:tc>
        <w:tc>
          <w:tcPr>
            <w:tcW w:w="1595" w:type="dxa"/>
          </w:tcPr>
          <w:p w14:paraId="09E7FBEF" w14:textId="5DC1E07B" w:rsidR="00B02D5F" w:rsidRDefault="00B02D5F" w:rsidP="00B02D5F">
            <w:r w:rsidRPr="006802B6">
              <w:t>2</w:t>
            </w:r>
            <w:r>
              <w:t>.3</w:t>
            </w:r>
            <w:r w:rsidRPr="006802B6">
              <w:t>%</w:t>
            </w:r>
          </w:p>
        </w:tc>
      </w:tr>
      <w:tr w:rsidR="00FE7C71" w:rsidRPr="0070451B" w14:paraId="3FF1D441" w14:textId="77777777" w:rsidTr="00AB11A8">
        <w:trPr>
          <w:trHeight w:val="432"/>
        </w:trPr>
        <w:tc>
          <w:tcPr>
            <w:tcW w:w="6952" w:type="dxa"/>
            <w:shd w:val="clear" w:color="auto" w:fill="auto"/>
            <w:vAlign w:val="center"/>
          </w:tcPr>
          <w:p w14:paraId="7DC0D9CA" w14:textId="77777777" w:rsidR="00FE7C71" w:rsidRPr="00D95A00" w:rsidRDefault="00FE7C71" w:rsidP="00FE7C71">
            <w:pPr>
              <w:pStyle w:val="ListParagraph"/>
              <w:numPr>
                <w:ilvl w:val="0"/>
                <w:numId w:val="44"/>
              </w:numPr>
              <w:rPr>
                <w:b/>
                <w:bCs/>
              </w:rPr>
            </w:pPr>
            <w:r w:rsidRPr="00D95A00">
              <w:rPr>
                <w:b/>
                <w:bCs/>
              </w:rPr>
              <w:t>Did not disclose</w:t>
            </w:r>
          </w:p>
        </w:tc>
        <w:tc>
          <w:tcPr>
            <w:tcW w:w="1523" w:type="dxa"/>
            <w:shd w:val="clear" w:color="auto" w:fill="auto"/>
          </w:tcPr>
          <w:p w14:paraId="6A7022E6" w14:textId="28A9B5FE" w:rsidR="00FE7C71" w:rsidRPr="0070451B" w:rsidRDefault="00FE7C71" w:rsidP="00FE7C71">
            <w:r w:rsidRPr="00A65424">
              <w:t xml:space="preserve"> </w:t>
            </w:r>
            <w:r w:rsidR="00B02D5F">
              <w:t>319</w:t>
            </w:r>
            <w:r w:rsidRPr="00A65424">
              <w:t xml:space="preserve"> </w:t>
            </w:r>
          </w:p>
        </w:tc>
        <w:tc>
          <w:tcPr>
            <w:tcW w:w="1595" w:type="dxa"/>
          </w:tcPr>
          <w:p w14:paraId="6AF7CFF5" w14:textId="3F70948A" w:rsidR="00FE7C71" w:rsidRDefault="00B02D5F" w:rsidP="00FE7C71">
            <w:r>
              <w:t>4.5</w:t>
            </w:r>
            <w:r w:rsidR="00FE7C71" w:rsidRPr="006802B6">
              <w:t>%</w:t>
            </w:r>
          </w:p>
        </w:tc>
      </w:tr>
      <w:tr w:rsidR="00FE7C71" w:rsidRPr="0070451B" w14:paraId="3C4B88BB" w14:textId="77777777" w:rsidTr="00AB11A8">
        <w:trPr>
          <w:trHeight w:val="432"/>
        </w:trPr>
        <w:tc>
          <w:tcPr>
            <w:tcW w:w="6952" w:type="dxa"/>
            <w:shd w:val="clear" w:color="auto" w:fill="auto"/>
            <w:vAlign w:val="center"/>
          </w:tcPr>
          <w:p w14:paraId="0D8DCF3A" w14:textId="4FE8AE53" w:rsidR="00FE7C71" w:rsidRPr="00D95A00" w:rsidRDefault="00FE7C71" w:rsidP="00FE7C71">
            <w:pPr>
              <w:pStyle w:val="ListParagraph"/>
              <w:numPr>
                <w:ilvl w:val="0"/>
                <w:numId w:val="44"/>
              </w:numPr>
              <w:rPr>
                <w:b/>
                <w:bCs/>
              </w:rPr>
            </w:pPr>
            <w:r>
              <w:rPr>
                <w:b/>
                <w:bCs/>
              </w:rPr>
              <w:t>8</w:t>
            </w:r>
            <w:r w:rsidRPr="00D95A00">
              <w:rPr>
                <w:b/>
                <w:bCs/>
                <w:vertAlign w:val="superscript"/>
              </w:rPr>
              <w:t>th</w:t>
            </w:r>
            <w:r w:rsidRPr="00D95A00">
              <w:rPr>
                <w:b/>
                <w:bCs/>
              </w:rPr>
              <w:t xml:space="preserve"> Grade – 12</w:t>
            </w:r>
            <w:r w:rsidRPr="00D95A00">
              <w:rPr>
                <w:b/>
                <w:bCs/>
                <w:vertAlign w:val="superscript"/>
              </w:rPr>
              <w:t>th</w:t>
            </w:r>
            <w:r w:rsidRPr="00D95A00">
              <w:rPr>
                <w:b/>
                <w:bCs/>
              </w:rPr>
              <w:t xml:space="preserve"> Grade</w:t>
            </w:r>
          </w:p>
        </w:tc>
        <w:tc>
          <w:tcPr>
            <w:tcW w:w="1523" w:type="dxa"/>
            <w:shd w:val="clear" w:color="auto" w:fill="auto"/>
          </w:tcPr>
          <w:p w14:paraId="1453900E" w14:textId="06FEA804" w:rsidR="00FE7C71" w:rsidRPr="0070451B" w:rsidRDefault="00FE7C71" w:rsidP="00FE7C71">
            <w:r w:rsidRPr="00233935">
              <w:t xml:space="preserve"> 6,647 </w:t>
            </w:r>
          </w:p>
        </w:tc>
        <w:tc>
          <w:tcPr>
            <w:tcW w:w="1595" w:type="dxa"/>
          </w:tcPr>
          <w:p w14:paraId="64CA3476" w14:textId="41C26F10" w:rsidR="00FE7C71" w:rsidRDefault="00FE7C71" w:rsidP="00FE7C71">
            <w:r w:rsidRPr="00233935">
              <w:t>93.8%</w:t>
            </w:r>
          </w:p>
        </w:tc>
      </w:tr>
      <w:tr w:rsidR="00FE7C71" w:rsidRPr="0070451B" w14:paraId="4ABF8579" w14:textId="77777777" w:rsidTr="00AB11A8">
        <w:trPr>
          <w:trHeight w:val="432"/>
        </w:trPr>
        <w:tc>
          <w:tcPr>
            <w:tcW w:w="6952" w:type="dxa"/>
            <w:shd w:val="clear" w:color="auto" w:fill="auto"/>
            <w:vAlign w:val="center"/>
          </w:tcPr>
          <w:p w14:paraId="38C93D0F" w14:textId="77777777" w:rsidR="00FE7C71" w:rsidRPr="00D95A00" w:rsidRDefault="00FE7C71" w:rsidP="00FE7C71">
            <w:pPr>
              <w:pStyle w:val="ListParagraph"/>
              <w:numPr>
                <w:ilvl w:val="0"/>
                <w:numId w:val="44"/>
              </w:numPr>
              <w:rPr>
                <w:b/>
                <w:bCs/>
              </w:rPr>
            </w:pPr>
            <w:r w:rsidRPr="00D95A00">
              <w:rPr>
                <w:b/>
                <w:bCs/>
              </w:rPr>
              <w:t>High School graduate or equivalent</w:t>
            </w:r>
          </w:p>
        </w:tc>
        <w:tc>
          <w:tcPr>
            <w:tcW w:w="1523" w:type="dxa"/>
            <w:shd w:val="clear" w:color="auto" w:fill="auto"/>
          </w:tcPr>
          <w:p w14:paraId="1B383B19" w14:textId="3091EEC2" w:rsidR="00FE7C71" w:rsidRPr="0070451B" w:rsidRDefault="00FE7C71" w:rsidP="00FE7C71">
            <w:r w:rsidRPr="00233935">
              <w:t xml:space="preserve"> 321 </w:t>
            </w:r>
          </w:p>
        </w:tc>
        <w:tc>
          <w:tcPr>
            <w:tcW w:w="1595" w:type="dxa"/>
          </w:tcPr>
          <w:p w14:paraId="573FEEF8" w14:textId="1FA07D66" w:rsidR="00FE7C71" w:rsidRDefault="00FE7C71" w:rsidP="00FE7C71">
            <w:r w:rsidRPr="00233935">
              <w:t>4.5%</w:t>
            </w:r>
          </w:p>
        </w:tc>
      </w:tr>
      <w:tr w:rsidR="00FE7C71" w:rsidRPr="0070451B" w14:paraId="4AD792A5" w14:textId="77777777" w:rsidTr="00AB11A8">
        <w:trPr>
          <w:trHeight w:val="432"/>
        </w:trPr>
        <w:tc>
          <w:tcPr>
            <w:tcW w:w="6952" w:type="dxa"/>
            <w:shd w:val="clear" w:color="auto" w:fill="auto"/>
            <w:vAlign w:val="center"/>
          </w:tcPr>
          <w:p w14:paraId="30704395" w14:textId="77777777" w:rsidR="00FE7C71" w:rsidRPr="00D95A00" w:rsidRDefault="00FE7C71" w:rsidP="00FE7C71">
            <w:pPr>
              <w:pStyle w:val="ListParagraph"/>
              <w:numPr>
                <w:ilvl w:val="0"/>
                <w:numId w:val="44"/>
              </w:numPr>
              <w:rPr>
                <w:b/>
                <w:bCs/>
              </w:rPr>
            </w:pPr>
            <w:r w:rsidRPr="00D95A00">
              <w:rPr>
                <w:b/>
                <w:bCs/>
              </w:rPr>
              <w:t>Post-Secondary Education</w:t>
            </w:r>
          </w:p>
        </w:tc>
        <w:tc>
          <w:tcPr>
            <w:tcW w:w="1523" w:type="dxa"/>
            <w:shd w:val="clear" w:color="auto" w:fill="auto"/>
          </w:tcPr>
          <w:p w14:paraId="5DDD6FB0" w14:textId="328E4698" w:rsidR="00FE7C71" w:rsidRPr="0070451B" w:rsidRDefault="00FE7C71" w:rsidP="00FE7C71">
            <w:r w:rsidRPr="00233935">
              <w:t xml:space="preserve"> 110 </w:t>
            </w:r>
          </w:p>
        </w:tc>
        <w:tc>
          <w:tcPr>
            <w:tcW w:w="1595" w:type="dxa"/>
          </w:tcPr>
          <w:p w14:paraId="1312947F" w14:textId="3369A53B" w:rsidR="00FE7C71" w:rsidRDefault="00FE7C71" w:rsidP="00FE7C71">
            <w:r w:rsidRPr="00233935">
              <w:t>1.6%</w:t>
            </w:r>
          </w:p>
        </w:tc>
      </w:tr>
      <w:tr w:rsidR="00FE7C71" w:rsidRPr="0070451B" w14:paraId="7C515898" w14:textId="77777777" w:rsidTr="00AB11A8">
        <w:trPr>
          <w:trHeight w:val="432"/>
        </w:trPr>
        <w:tc>
          <w:tcPr>
            <w:tcW w:w="6952" w:type="dxa"/>
            <w:shd w:val="clear" w:color="auto" w:fill="auto"/>
            <w:vAlign w:val="center"/>
          </w:tcPr>
          <w:p w14:paraId="4B219ADC" w14:textId="77777777" w:rsidR="00FE7C71" w:rsidRPr="00D95A00" w:rsidRDefault="00FE7C71" w:rsidP="00FE7C71">
            <w:pPr>
              <w:pStyle w:val="ListParagraph"/>
              <w:numPr>
                <w:ilvl w:val="0"/>
                <w:numId w:val="44"/>
              </w:numPr>
              <w:rPr>
                <w:b/>
                <w:bCs/>
              </w:rPr>
            </w:pPr>
            <w:r w:rsidRPr="00D95A00">
              <w:rPr>
                <w:b/>
                <w:bCs/>
              </w:rPr>
              <w:t>Limited English Proficiency</w:t>
            </w:r>
          </w:p>
        </w:tc>
        <w:tc>
          <w:tcPr>
            <w:tcW w:w="1523" w:type="dxa"/>
            <w:shd w:val="clear" w:color="auto" w:fill="auto"/>
          </w:tcPr>
          <w:p w14:paraId="633EB85F" w14:textId="0FF94FE8" w:rsidR="00FE7C71" w:rsidRPr="0070451B" w:rsidRDefault="00FE7C71" w:rsidP="00FE7C71">
            <w:r w:rsidRPr="00874915">
              <w:t xml:space="preserve"> 975 </w:t>
            </w:r>
          </w:p>
        </w:tc>
        <w:tc>
          <w:tcPr>
            <w:tcW w:w="1595" w:type="dxa"/>
          </w:tcPr>
          <w:p w14:paraId="7833F52B" w14:textId="12214648" w:rsidR="00FE7C71" w:rsidRDefault="00FE7C71" w:rsidP="00FE7C71">
            <w:r w:rsidRPr="00874915">
              <w:t>13.8%</w:t>
            </w:r>
          </w:p>
        </w:tc>
      </w:tr>
      <w:tr w:rsidR="00FE7C71" w:rsidRPr="0070451B" w14:paraId="519238E7" w14:textId="77777777" w:rsidTr="00AB11A8">
        <w:trPr>
          <w:trHeight w:val="432"/>
        </w:trPr>
        <w:tc>
          <w:tcPr>
            <w:tcW w:w="6952" w:type="dxa"/>
            <w:shd w:val="clear" w:color="auto" w:fill="auto"/>
            <w:vAlign w:val="center"/>
          </w:tcPr>
          <w:p w14:paraId="57C0C7A9" w14:textId="77777777" w:rsidR="00FE7C71" w:rsidRPr="00D95A00" w:rsidRDefault="00FE7C71" w:rsidP="00FE7C71">
            <w:pPr>
              <w:pStyle w:val="ListParagraph"/>
              <w:numPr>
                <w:ilvl w:val="0"/>
                <w:numId w:val="44"/>
              </w:numPr>
              <w:rPr>
                <w:b/>
                <w:bCs/>
              </w:rPr>
            </w:pPr>
            <w:r w:rsidRPr="00D95A00">
              <w:rPr>
                <w:b/>
                <w:bCs/>
              </w:rPr>
              <w:t>Participant/Family Receiving Public Assistance</w:t>
            </w:r>
          </w:p>
        </w:tc>
        <w:tc>
          <w:tcPr>
            <w:tcW w:w="1523" w:type="dxa"/>
            <w:shd w:val="clear" w:color="auto" w:fill="auto"/>
          </w:tcPr>
          <w:p w14:paraId="19B895C2" w14:textId="14FC3C48" w:rsidR="00FE7C71" w:rsidRPr="0070451B" w:rsidRDefault="00FE7C71" w:rsidP="00FE7C71">
            <w:r w:rsidRPr="00AB4E70">
              <w:t xml:space="preserve"> 4,394 </w:t>
            </w:r>
          </w:p>
        </w:tc>
        <w:tc>
          <w:tcPr>
            <w:tcW w:w="1595" w:type="dxa"/>
          </w:tcPr>
          <w:p w14:paraId="5955F483" w14:textId="6613F7B4" w:rsidR="00FE7C71" w:rsidRPr="0070451B" w:rsidRDefault="00FE7C71" w:rsidP="00FE7C71">
            <w:r w:rsidRPr="00AB4E70">
              <w:t>62.0%</w:t>
            </w:r>
          </w:p>
        </w:tc>
      </w:tr>
      <w:tr w:rsidR="00FE7C71" w:rsidRPr="0070451B" w14:paraId="45A622D5" w14:textId="77777777" w:rsidTr="00AB11A8">
        <w:trPr>
          <w:trHeight w:val="432"/>
        </w:trPr>
        <w:tc>
          <w:tcPr>
            <w:tcW w:w="6952" w:type="dxa"/>
            <w:shd w:val="clear" w:color="auto" w:fill="auto"/>
            <w:vAlign w:val="center"/>
          </w:tcPr>
          <w:p w14:paraId="719DE4A9" w14:textId="77777777" w:rsidR="00FE7C71" w:rsidRPr="00D95A00" w:rsidRDefault="00FE7C71" w:rsidP="00FE7C71">
            <w:pPr>
              <w:pStyle w:val="ListParagraph"/>
              <w:numPr>
                <w:ilvl w:val="0"/>
                <w:numId w:val="44"/>
              </w:numPr>
              <w:rPr>
                <w:b/>
                <w:bCs/>
              </w:rPr>
            </w:pPr>
            <w:r w:rsidRPr="00D95A00">
              <w:rPr>
                <w:b/>
                <w:bCs/>
              </w:rPr>
              <w:t>Foster Youth</w:t>
            </w:r>
          </w:p>
        </w:tc>
        <w:tc>
          <w:tcPr>
            <w:tcW w:w="1523" w:type="dxa"/>
            <w:shd w:val="clear" w:color="auto" w:fill="auto"/>
          </w:tcPr>
          <w:p w14:paraId="515A1311" w14:textId="7FE5451D" w:rsidR="00FE7C71" w:rsidRPr="0070451B" w:rsidRDefault="00FE7C71" w:rsidP="00FE7C71">
            <w:r w:rsidRPr="00E302B9">
              <w:t xml:space="preserve"> 91 </w:t>
            </w:r>
          </w:p>
        </w:tc>
        <w:tc>
          <w:tcPr>
            <w:tcW w:w="1595" w:type="dxa"/>
          </w:tcPr>
          <w:p w14:paraId="079A4DC5" w14:textId="2FA23094" w:rsidR="00FE7C71" w:rsidRPr="0070451B" w:rsidRDefault="00FE7C71" w:rsidP="00FE7C71">
            <w:r w:rsidRPr="00E302B9">
              <w:t>1.3%</w:t>
            </w:r>
          </w:p>
        </w:tc>
      </w:tr>
      <w:tr w:rsidR="00FE7C71" w:rsidRPr="0070451B" w14:paraId="687ACEC5" w14:textId="77777777" w:rsidTr="00AB11A8">
        <w:trPr>
          <w:trHeight w:val="432"/>
        </w:trPr>
        <w:tc>
          <w:tcPr>
            <w:tcW w:w="6952" w:type="dxa"/>
            <w:shd w:val="clear" w:color="auto" w:fill="auto"/>
            <w:vAlign w:val="center"/>
          </w:tcPr>
          <w:p w14:paraId="11931BED" w14:textId="77777777" w:rsidR="00FE7C71" w:rsidRPr="00D95A00" w:rsidRDefault="00FE7C71" w:rsidP="00FE7C71">
            <w:pPr>
              <w:pStyle w:val="ListParagraph"/>
              <w:numPr>
                <w:ilvl w:val="0"/>
                <w:numId w:val="44"/>
              </w:numPr>
              <w:rPr>
                <w:b/>
                <w:bCs/>
              </w:rPr>
            </w:pPr>
            <w:r w:rsidRPr="00D95A00">
              <w:rPr>
                <w:b/>
                <w:bCs/>
              </w:rPr>
              <w:lastRenderedPageBreak/>
              <w:t>Participants with a Disability</w:t>
            </w:r>
          </w:p>
        </w:tc>
        <w:tc>
          <w:tcPr>
            <w:tcW w:w="1523" w:type="dxa"/>
            <w:shd w:val="clear" w:color="auto" w:fill="auto"/>
          </w:tcPr>
          <w:p w14:paraId="53A2FEB4" w14:textId="6AF009DB" w:rsidR="00FE7C71" w:rsidRPr="0070451B" w:rsidRDefault="00FE7C71" w:rsidP="00FE7C71">
            <w:r w:rsidRPr="004619D3">
              <w:t xml:space="preserve"> 914 </w:t>
            </w:r>
          </w:p>
        </w:tc>
        <w:tc>
          <w:tcPr>
            <w:tcW w:w="1595" w:type="dxa"/>
          </w:tcPr>
          <w:p w14:paraId="2F1234A8" w14:textId="2722BFF1" w:rsidR="00FE7C71" w:rsidRPr="0070451B" w:rsidRDefault="00FE7C71" w:rsidP="00FE7C71">
            <w:r w:rsidRPr="004619D3">
              <w:t>12.9%</w:t>
            </w:r>
          </w:p>
        </w:tc>
      </w:tr>
      <w:tr w:rsidR="00FE7C71" w:rsidRPr="0070451B" w14:paraId="5EF24C62" w14:textId="77777777" w:rsidTr="00AB11A8">
        <w:trPr>
          <w:trHeight w:val="432"/>
        </w:trPr>
        <w:tc>
          <w:tcPr>
            <w:tcW w:w="6952" w:type="dxa"/>
            <w:shd w:val="clear" w:color="auto" w:fill="auto"/>
            <w:vAlign w:val="center"/>
          </w:tcPr>
          <w:p w14:paraId="4A5B4F2E" w14:textId="77777777" w:rsidR="00FE7C71" w:rsidRPr="00D95A00" w:rsidRDefault="00FE7C71" w:rsidP="00FE7C71">
            <w:pPr>
              <w:pStyle w:val="ListParagraph"/>
              <w:numPr>
                <w:ilvl w:val="0"/>
                <w:numId w:val="44"/>
              </w:numPr>
              <w:rPr>
                <w:b/>
                <w:bCs/>
              </w:rPr>
            </w:pPr>
            <w:r w:rsidRPr="00D95A00">
              <w:rPr>
                <w:b/>
                <w:bCs/>
              </w:rPr>
              <w:t>High School Drop-Out or Potential Dropout</w:t>
            </w:r>
          </w:p>
        </w:tc>
        <w:tc>
          <w:tcPr>
            <w:tcW w:w="1523" w:type="dxa"/>
            <w:shd w:val="clear" w:color="auto" w:fill="auto"/>
            <w:vAlign w:val="center"/>
          </w:tcPr>
          <w:p w14:paraId="2BF97BF7" w14:textId="77777777" w:rsidR="00FE7C71" w:rsidRPr="0070451B" w:rsidRDefault="00FE7C71" w:rsidP="00AB11A8">
            <w:r>
              <w:t>216</w:t>
            </w:r>
          </w:p>
        </w:tc>
        <w:tc>
          <w:tcPr>
            <w:tcW w:w="1595" w:type="dxa"/>
          </w:tcPr>
          <w:p w14:paraId="1D158DEC" w14:textId="77777777" w:rsidR="00FE7C71" w:rsidRPr="0070451B" w:rsidRDefault="00FE7C71" w:rsidP="00AB11A8">
            <w:r>
              <w:t>4%</w:t>
            </w:r>
          </w:p>
        </w:tc>
      </w:tr>
      <w:tr w:rsidR="00FE7C71" w:rsidRPr="0070451B" w14:paraId="51F7047C" w14:textId="77777777" w:rsidTr="00AB11A8">
        <w:trPr>
          <w:trHeight w:val="432"/>
        </w:trPr>
        <w:tc>
          <w:tcPr>
            <w:tcW w:w="6952" w:type="dxa"/>
            <w:shd w:val="clear" w:color="auto" w:fill="auto"/>
            <w:vAlign w:val="center"/>
          </w:tcPr>
          <w:p w14:paraId="1069278B" w14:textId="77777777" w:rsidR="00FE7C71" w:rsidRPr="00D95A00" w:rsidRDefault="00FE7C71" w:rsidP="00FE7C71">
            <w:pPr>
              <w:pStyle w:val="ListParagraph"/>
              <w:numPr>
                <w:ilvl w:val="0"/>
                <w:numId w:val="44"/>
              </w:numPr>
              <w:rPr>
                <w:b/>
                <w:bCs/>
              </w:rPr>
            </w:pPr>
            <w:r w:rsidRPr="00D95A00">
              <w:rPr>
                <w:b/>
                <w:bCs/>
              </w:rPr>
              <w:t>Youth or Adult Offender</w:t>
            </w:r>
          </w:p>
        </w:tc>
        <w:tc>
          <w:tcPr>
            <w:tcW w:w="1523" w:type="dxa"/>
            <w:shd w:val="clear" w:color="auto" w:fill="auto"/>
          </w:tcPr>
          <w:p w14:paraId="2D1EAE1A" w14:textId="1BDBBDE3" w:rsidR="00FE7C71" w:rsidRPr="0070451B" w:rsidRDefault="00FE7C71" w:rsidP="00FE7C71">
            <w:r w:rsidRPr="00196F8A">
              <w:t xml:space="preserve"> 96 </w:t>
            </w:r>
          </w:p>
        </w:tc>
        <w:tc>
          <w:tcPr>
            <w:tcW w:w="1595" w:type="dxa"/>
          </w:tcPr>
          <w:p w14:paraId="0D09F48A" w14:textId="095AD898" w:rsidR="00FE7C71" w:rsidRPr="0070451B" w:rsidRDefault="00FE7C71" w:rsidP="00FE7C71">
            <w:r w:rsidRPr="00196F8A">
              <w:t>1.4%</w:t>
            </w:r>
          </w:p>
        </w:tc>
      </w:tr>
      <w:tr w:rsidR="00FE7C71" w:rsidRPr="0070451B" w14:paraId="2C550886" w14:textId="77777777" w:rsidTr="00AB11A8">
        <w:trPr>
          <w:trHeight w:val="432"/>
        </w:trPr>
        <w:tc>
          <w:tcPr>
            <w:tcW w:w="6952" w:type="dxa"/>
            <w:shd w:val="clear" w:color="auto" w:fill="auto"/>
            <w:vAlign w:val="center"/>
          </w:tcPr>
          <w:p w14:paraId="0C73E549" w14:textId="77777777" w:rsidR="00FE7C71" w:rsidRPr="00D95A00" w:rsidRDefault="00FE7C71" w:rsidP="00FE7C71">
            <w:pPr>
              <w:pStyle w:val="ListParagraph"/>
              <w:numPr>
                <w:ilvl w:val="0"/>
                <w:numId w:val="44"/>
              </w:numPr>
              <w:rPr>
                <w:b/>
                <w:bCs/>
              </w:rPr>
            </w:pPr>
            <w:r w:rsidRPr="00D95A00">
              <w:rPr>
                <w:b/>
                <w:bCs/>
              </w:rPr>
              <w:t>Pregnant or Parenting Youth</w:t>
            </w:r>
          </w:p>
        </w:tc>
        <w:tc>
          <w:tcPr>
            <w:tcW w:w="1523" w:type="dxa"/>
            <w:shd w:val="clear" w:color="auto" w:fill="auto"/>
          </w:tcPr>
          <w:p w14:paraId="552FEBFF" w14:textId="7D7057D6" w:rsidR="00FE7C71" w:rsidRPr="0070451B" w:rsidRDefault="00FE7C71" w:rsidP="00FE7C71">
            <w:r w:rsidRPr="008246E9">
              <w:t xml:space="preserve">119 </w:t>
            </w:r>
          </w:p>
        </w:tc>
        <w:tc>
          <w:tcPr>
            <w:tcW w:w="1595" w:type="dxa"/>
          </w:tcPr>
          <w:p w14:paraId="2A7D849B" w14:textId="3FFEEB53" w:rsidR="00FE7C71" w:rsidRPr="0070451B" w:rsidRDefault="00FE7C71" w:rsidP="00FE7C71">
            <w:r w:rsidRPr="008246E9">
              <w:t>1.7%</w:t>
            </w:r>
          </w:p>
        </w:tc>
      </w:tr>
      <w:tr w:rsidR="00FE7C71" w:rsidRPr="0070451B" w14:paraId="50EB7491" w14:textId="77777777" w:rsidTr="00AB11A8">
        <w:trPr>
          <w:trHeight w:val="432"/>
        </w:trPr>
        <w:tc>
          <w:tcPr>
            <w:tcW w:w="6952" w:type="dxa"/>
            <w:shd w:val="clear" w:color="auto" w:fill="auto"/>
            <w:vAlign w:val="center"/>
          </w:tcPr>
          <w:p w14:paraId="5534CAD4" w14:textId="77777777" w:rsidR="00FE7C71" w:rsidRPr="00D95A00" w:rsidRDefault="00FE7C71" w:rsidP="00FE7C71">
            <w:pPr>
              <w:pStyle w:val="ListParagraph"/>
              <w:numPr>
                <w:ilvl w:val="0"/>
                <w:numId w:val="44"/>
              </w:numPr>
              <w:rPr>
                <w:b/>
                <w:bCs/>
              </w:rPr>
            </w:pPr>
            <w:r w:rsidRPr="00D95A00">
              <w:rPr>
                <w:b/>
                <w:bCs/>
              </w:rPr>
              <w:t>Basic Skills Deficient</w:t>
            </w:r>
          </w:p>
        </w:tc>
        <w:tc>
          <w:tcPr>
            <w:tcW w:w="1523" w:type="dxa"/>
            <w:shd w:val="clear" w:color="auto" w:fill="auto"/>
          </w:tcPr>
          <w:p w14:paraId="65561229" w14:textId="3196B37C" w:rsidR="00FE7C71" w:rsidRPr="0070451B" w:rsidRDefault="00FE7C71" w:rsidP="00FE7C71">
            <w:r w:rsidRPr="002B10C6">
              <w:t xml:space="preserve">2,196 </w:t>
            </w:r>
          </w:p>
        </w:tc>
        <w:tc>
          <w:tcPr>
            <w:tcW w:w="1595" w:type="dxa"/>
          </w:tcPr>
          <w:p w14:paraId="3203A55B" w14:textId="209CCF74" w:rsidR="00FE7C71" w:rsidRPr="0070451B" w:rsidRDefault="00FE7C71" w:rsidP="00FE7C71">
            <w:r w:rsidRPr="002B10C6">
              <w:t>31.0%</w:t>
            </w:r>
          </w:p>
        </w:tc>
      </w:tr>
      <w:tr w:rsidR="00FE7C71" w:rsidRPr="0070451B" w14:paraId="7771310D" w14:textId="77777777" w:rsidTr="00AB11A8">
        <w:trPr>
          <w:trHeight w:val="432"/>
        </w:trPr>
        <w:tc>
          <w:tcPr>
            <w:tcW w:w="6952" w:type="dxa"/>
            <w:tcBorders>
              <w:bottom w:val="single" w:sz="4" w:space="0" w:color="auto"/>
            </w:tcBorders>
            <w:shd w:val="clear" w:color="auto" w:fill="auto"/>
            <w:vAlign w:val="center"/>
          </w:tcPr>
          <w:p w14:paraId="73E3B6B7" w14:textId="77777777" w:rsidR="00FE7C71" w:rsidRPr="00D95A00" w:rsidRDefault="00FE7C71" w:rsidP="00FE7C71">
            <w:pPr>
              <w:pStyle w:val="ListParagraph"/>
              <w:numPr>
                <w:ilvl w:val="0"/>
                <w:numId w:val="44"/>
              </w:numPr>
              <w:rPr>
                <w:b/>
                <w:bCs/>
              </w:rPr>
            </w:pPr>
            <w:r w:rsidRPr="00D95A00">
              <w:rPr>
                <w:b/>
                <w:bCs/>
              </w:rPr>
              <w:t xml:space="preserve">Homeless Individual or Runaway Youth </w:t>
            </w:r>
          </w:p>
        </w:tc>
        <w:tc>
          <w:tcPr>
            <w:tcW w:w="1523" w:type="dxa"/>
            <w:tcBorders>
              <w:bottom w:val="single" w:sz="4" w:space="0" w:color="auto"/>
            </w:tcBorders>
            <w:shd w:val="clear" w:color="auto" w:fill="auto"/>
          </w:tcPr>
          <w:p w14:paraId="01E574BC" w14:textId="59E6AAFF" w:rsidR="00FE7C71" w:rsidRPr="0070451B" w:rsidRDefault="00FE7C71" w:rsidP="00FE7C71">
            <w:r w:rsidRPr="000F3624">
              <w:t xml:space="preserve">130 </w:t>
            </w:r>
          </w:p>
        </w:tc>
        <w:tc>
          <w:tcPr>
            <w:tcW w:w="1595" w:type="dxa"/>
            <w:tcBorders>
              <w:bottom w:val="single" w:sz="4" w:space="0" w:color="auto"/>
            </w:tcBorders>
          </w:tcPr>
          <w:p w14:paraId="5ABBF349" w14:textId="4F160F14" w:rsidR="00FE7C71" w:rsidRPr="0070451B" w:rsidRDefault="00FE7C71" w:rsidP="00FE7C71">
            <w:r w:rsidRPr="000F3624">
              <w:t>1.8%</w:t>
            </w:r>
          </w:p>
        </w:tc>
      </w:tr>
      <w:tr w:rsidR="00FE7C71" w:rsidRPr="00B72EA1" w14:paraId="03678A25" w14:textId="77777777" w:rsidTr="00AB11A8">
        <w:trPr>
          <w:trHeight w:val="432"/>
        </w:trPr>
        <w:tc>
          <w:tcPr>
            <w:tcW w:w="6952" w:type="dxa"/>
            <w:tcBorders>
              <w:bottom w:val="single" w:sz="4" w:space="0" w:color="auto"/>
            </w:tcBorders>
            <w:shd w:val="clear" w:color="auto" w:fill="auto"/>
            <w:vAlign w:val="center"/>
          </w:tcPr>
          <w:p w14:paraId="4C73C864" w14:textId="77777777" w:rsidR="00FE7C71" w:rsidRPr="00D95A00" w:rsidRDefault="00FE7C71" w:rsidP="00FE7C71">
            <w:pPr>
              <w:pStyle w:val="ListParagraph"/>
              <w:numPr>
                <w:ilvl w:val="0"/>
                <w:numId w:val="44"/>
              </w:numPr>
              <w:rPr>
                <w:b/>
                <w:bCs/>
              </w:rPr>
            </w:pPr>
            <w:r w:rsidRPr="00D95A00">
              <w:rPr>
                <w:b/>
                <w:bCs/>
              </w:rPr>
              <w:t>Not Employed at Program Enrollment</w:t>
            </w:r>
          </w:p>
        </w:tc>
        <w:tc>
          <w:tcPr>
            <w:tcW w:w="1523" w:type="dxa"/>
            <w:tcBorders>
              <w:bottom w:val="single" w:sz="4" w:space="0" w:color="auto"/>
            </w:tcBorders>
            <w:shd w:val="clear" w:color="auto" w:fill="auto"/>
          </w:tcPr>
          <w:p w14:paraId="10DB8A29" w14:textId="013AD507" w:rsidR="00FE7C71" w:rsidRPr="00B72EA1" w:rsidRDefault="00FE7C71" w:rsidP="00FE7C71">
            <w:r w:rsidRPr="00CC5244">
              <w:t xml:space="preserve">2,644 </w:t>
            </w:r>
          </w:p>
        </w:tc>
        <w:tc>
          <w:tcPr>
            <w:tcW w:w="1595" w:type="dxa"/>
            <w:tcBorders>
              <w:bottom w:val="single" w:sz="4" w:space="0" w:color="auto"/>
            </w:tcBorders>
          </w:tcPr>
          <w:p w14:paraId="514FF49A" w14:textId="30575A13" w:rsidR="00FE7C71" w:rsidRDefault="00FE7C71" w:rsidP="00FE7C71">
            <w:r w:rsidRPr="00CC5244">
              <w:t>37.3%</w:t>
            </w:r>
          </w:p>
        </w:tc>
      </w:tr>
      <w:tr w:rsidR="00FE7C71" w:rsidRPr="00B72EA1" w14:paraId="65146328" w14:textId="77777777" w:rsidTr="00AB11A8">
        <w:trPr>
          <w:trHeight w:val="432"/>
        </w:trPr>
        <w:tc>
          <w:tcPr>
            <w:tcW w:w="6952" w:type="dxa"/>
            <w:tcBorders>
              <w:bottom w:val="single" w:sz="4" w:space="0" w:color="auto"/>
            </w:tcBorders>
            <w:shd w:val="clear" w:color="auto" w:fill="auto"/>
            <w:vAlign w:val="center"/>
          </w:tcPr>
          <w:p w14:paraId="362B6AE2" w14:textId="77777777" w:rsidR="00FE7C71" w:rsidRPr="00D95A00" w:rsidRDefault="00FE7C71" w:rsidP="00FE7C71">
            <w:pPr>
              <w:pStyle w:val="ListParagraph"/>
              <w:numPr>
                <w:ilvl w:val="0"/>
                <w:numId w:val="44"/>
              </w:numPr>
              <w:rPr>
                <w:b/>
                <w:bCs/>
              </w:rPr>
            </w:pPr>
            <w:r w:rsidRPr="00D95A00">
              <w:rPr>
                <w:b/>
                <w:bCs/>
              </w:rPr>
              <w:t>Veteran</w:t>
            </w:r>
          </w:p>
        </w:tc>
        <w:tc>
          <w:tcPr>
            <w:tcW w:w="1523" w:type="dxa"/>
            <w:tcBorders>
              <w:bottom w:val="single" w:sz="4" w:space="0" w:color="auto"/>
            </w:tcBorders>
            <w:shd w:val="clear" w:color="auto" w:fill="auto"/>
            <w:vAlign w:val="center"/>
          </w:tcPr>
          <w:p w14:paraId="3AB037D8" w14:textId="77777777" w:rsidR="00FE7C71" w:rsidRPr="00B72EA1" w:rsidRDefault="00FE7C71" w:rsidP="00AB11A8">
            <w:r>
              <w:t>0</w:t>
            </w:r>
          </w:p>
        </w:tc>
        <w:tc>
          <w:tcPr>
            <w:tcW w:w="1595" w:type="dxa"/>
            <w:tcBorders>
              <w:bottom w:val="single" w:sz="4" w:space="0" w:color="auto"/>
            </w:tcBorders>
          </w:tcPr>
          <w:p w14:paraId="155B27D9" w14:textId="77777777" w:rsidR="00FE7C71" w:rsidRPr="00B72EA1" w:rsidRDefault="00FE7C71" w:rsidP="00AB11A8">
            <w:r>
              <w:t>0%</w:t>
            </w:r>
          </w:p>
        </w:tc>
      </w:tr>
      <w:tr w:rsidR="00FE7C71" w:rsidRPr="0070451B" w14:paraId="460C7C75" w14:textId="77777777" w:rsidTr="00AB11A8">
        <w:trPr>
          <w:trHeight w:val="432"/>
        </w:trPr>
        <w:tc>
          <w:tcPr>
            <w:tcW w:w="6952" w:type="dxa"/>
            <w:tcBorders>
              <w:bottom w:val="single" w:sz="4" w:space="0" w:color="auto"/>
            </w:tcBorders>
            <w:shd w:val="clear" w:color="auto" w:fill="auto"/>
            <w:vAlign w:val="center"/>
          </w:tcPr>
          <w:p w14:paraId="5A2CDFA1" w14:textId="77777777" w:rsidR="00FE7C71" w:rsidRPr="00D95A00" w:rsidRDefault="00FE7C71" w:rsidP="00FE7C71">
            <w:pPr>
              <w:pStyle w:val="ListParagraph"/>
              <w:numPr>
                <w:ilvl w:val="0"/>
                <w:numId w:val="44"/>
              </w:numPr>
              <w:rPr>
                <w:b/>
                <w:bCs/>
              </w:rPr>
            </w:pPr>
            <w:r w:rsidRPr="00D95A00">
              <w:rPr>
                <w:b/>
                <w:bCs/>
              </w:rPr>
              <w:t>Economically Disadvantaged Individual</w:t>
            </w:r>
          </w:p>
        </w:tc>
        <w:tc>
          <w:tcPr>
            <w:tcW w:w="1523" w:type="dxa"/>
            <w:tcBorders>
              <w:bottom w:val="single" w:sz="4" w:space="0" w:color="auto"/>
            </w:tcBorders>
            <w:shd w:val="clear" w:color="auto" w:fill="auto"/>
          </w:tcPr>
          <w:p w14:paraId="068C0520" w14:textId="490B1F98" w:rsidR="00FE7C71" w:rsidRPr="0070451B" w:rsidRDefault="00FE7C71" w:rsidP="00FE7C71">
            <w:r w:rsidRPr="004E48B7">
              <w:t xml:space="preserve">4,540 </w:t>
            </w:r>
          </w:p>
        </w:tc>
        <w:tc>
          <w:tcPr>
            <w:tcW w:w="1595" w:type="dxa"/>
            <w:tcBorders>
              <w:bottom w:val="single" w:sz="4" w:space="0" w:color="auto"/>
            </w:tcBorders>
          </w:tcPr>
          <w:p w14:paraId="44AD43BD" w14:textId="2CDEA694" w:rsidR="00FE7C71" w:rsidRPr="0070451B" w:rsidRDefault="00FE7C71" w:rsidP="00FE7C71">
            <w:r w:rsidRPr="004E48B7">
              <w:t>64.0%</w:t>
            </w:r>
          </w:p>
        </w:tc>
      </w:tr>
      <w:tr w:rsidR="00FE7C71" w:rsidRPr="00930455" w14:paraId="31626AA7" w14:textId="77777777" w:rsidTr="00AB11A8">
        <w:trPr>
          <w:trHeight w:val="432"/>
        </w:trPr>
        <w:tc>
          <w:tcPr>
            <w:tcW w:w="10070" w:type="dxa"/>
            <w:gridSpan w:val="3"/>
            <w:shd w:val="clear" w:color="auto" w:fill="E6E6E6"/>
            <w:vAlign w:val="center"/>
          </w:tcPr>
          <w:p w14:paraId="680F6354" w14:textId="77777777" w:rsidR="00FE7C71" w:rsidRPr="00104E2D" w:rsidRDefault="00FE7C71" w:rsidP="00AB11A8">
            <w:r w:rsidRPr="00D95A00">
              <w:rPr>
                <w:b/>
                <w:bCs/>
              </w:rPr>
              <w:br w:type="page"/>
              <w:t>PROGRAM SERVICES, ACTIVITIES, AND OTHER RELATED ASSISTANCE FOR INDIVIDUAL SERVICES</w:t>
            </w:r>
          </w:p>
        </w:tc>
      </w:tr>
      <w:tr w:rsidR="00FE7C71" w:rsidRPr="0070451B" w14:paraId="4DC5513A" w14:textId="77777777" w:rsidTr="00AB11A8">
        <w:trPr>
          <w:trHeight w:val="1250"/>
        </w:trPr>
        <w:tc>
          <w:tcPr>
            <w:tcW w:w="6952" w:type="dxa"/>
            <w:shd w:val="clear" w:color="auto" w:fill="auto"/>
            <w:vAlign w:val="center"/>
          </w:tcPr>
          <w:p w14:paraId="27A25A0B" w14:textId="77777777" w:rsidR="00FE7C71" w:rsidRPr="00D95A00" w:rsidRDefault="00FE7C71" w:rsidP="00FE7C71">
            <w:pPr>
              <w:pStyle w:val="ListParagraph"/>
              <w:numPr>
                <w:ilvl w:val="0"/>
                <w:numId w:val="41"/>
              </w:numPr>
              <w:spacing w:before="0" w:after="0" w:line="240" w:lineRule="auto"/>
              <w:rPr>
                <w:b/>
                <w:bCs/>
              </w:rPr>
            </w:pPr>
            <w:r w:rsidRPr="00D95A00">
              <w:rPr>
                <w:b/>
                <w:bCs/>
              </w:rPr>
              <w:t xml:space="preserve">Received Education, Employment Preparation, or Work Readiness/Job Training Activities (Includes Training in ABE/Remedial, Basic Skills, Classroom, Labor Market Info, Life Skills, and Occupational Skills) </w:t>
            </w:r>
          </w:p>
        </w:tc>
        <w:tc>
          <w:tcPr>
            <w:tcW w:w="1523" w:type="dxa"/>
            <w:shd w:val="clear" w:color="auto" w:fill="auto"/>
          </w:tcPr>
          <w:p w14:paraId="1A651584" w14:textId="24D1B29E" w:rsidR="00FE7C71" w:rsidRPr="00104E2D" w:rsidRDefault="00FE7C71" w:rsidP="00FE7C71">
            <w:r w:rsidRPr="00B66A9F">
              <w:t xml:space="preserve"> 2,894 </w:t>
            </w:r>
          </w:p>
        </w:tc>
        <w:tc>
          <w:tcPr>
            <w:tcW w:w="1595" w:type="dxa"/>
          </w:tcPr>
          <w:p w14:paraId="32F7214D" w14:textId="6899782B" w:rsidR="00FE7C71" w:rsidRPr="00104E2D" w:rsidRDefault="00FE7C71" w:rsidP="00FE7C71">
            <w:r w:rsidRPr="00B66A9F">
              <w:t>40.8%</w:t>
            </w:r>
          </w:p>
        </w:tc>
      </w:tr>
      <w:tr w:rsidR="00FE7C71" w:rsidRPr="0070451B" w14:paraId="27BD0BC3" w14:textId="77777777" w:rsidTr="00AB11A8">
        <w:trPr>
          <w:trHeight w:val="432"/>
        </w:trPr>
        <w:tc>
          <w:tcPr>
            <w:tcW w:w="6952" w:type="dxa"/>
            <w:shd w:val="clear" w:color="auto" w:fill="auto"/>
            <w:vAlign w:val="center"/>
          </w:tcPr>
          <w:p w14:paraId="25C9F823" w14:textId="77777777" w:rsidR="00FE7C71" w:rsidRPr="00D95A00" w:rsidRDefault="00FE7C71" w:rsidP="00FE7C71">
            <w:pPr>
              <w:pStyle w:val="ListParagraph"/>
              <w:numPr>
                <w:ilvl w:val="0"/>
                <w:numId w:val="41"/>
              </w:numPr>
              <w:spacing w:before="0" w:after="0" w:line="240" w:lineRule="auto"/>
              <w:rPr>
                <w:b/>
                <w:bCs/>
              </w:rPr>
            </w:pPr>
            <w:r w:rsidRPr="00D95A00">
              <w:rPr>
                <w:b/>
                <w:bCs/>
              </w:rPr>
              <w:t>Received Work Experience, Internship, or Apprenticeship Activities</w:t>
            </w:r>
          </w:p>
        </w:tc>
        <w:tc>
          <w:tcPr>
            <w:tcW w:w="1523" w:type="dxa"/>
            <w:shd w:val="clear" w:color="auto" w:fill="auto"/>
          </w:tcPr>
          <w:p w14:paraId="504116ED" w14:textId="554071BE" w:rsidR="00FE7C71" w:rsidRPr="00104E2D" w:rsidRDefault="00FE7C71" w:rsidP="00FE7C71">
            <w:r w:rsidRPr="007A20CB">
              <w:t xml:space="preserve"> 1,171 </w:t>
            </w:r>
          </w:p>
        </w:tc>
        <w:tc>
          <w:tcPr>
            <w:tcW w:w="1595" w:type="dxa"/>
          </w:tcPr>
          <w:p w14:paraId="6C19757C" w14:textId="6C122216" w:rsidR="00FE7C71" w:rsidRPr="00104E2D" w:rsidRDefault="00FE7C71" w:rsidP="00FE7C71">
            <w:r w:rsidRPr="007A20CB">
              <w:t>16.5%</w:t>
            </w:r>
          </w:p>
        </w:tc>
      </w:tr>
      <w:tr w:rsidR="00FE7C71" w:rsidRPr="0070451B" w14:paraId="70FDC17D" w14:textId="77777777" w:rsidTr="00AB11A8">
        <w:trPr>
          <w:trHeight w:val="432"/>
        </w:trPr>
        <w:tc>
          <w:tcPr>
            <w:tcW w:w="6952" w:type="dxa"/>
            <w:shd w:val="clear" w:color="auto" w:fill="auto"/>
            <w:vAlign w:val="center"/>
          </w:tcPr>
          <w:p w14:paraId="1A78F91B" w14:textId="77777777" w:rsidR="00FE7C71" w:rsidRPr="00D95A00" w:rsidRDefault="00FE7C71" w:rsidP="00FE7C71">
            <w:pPr>
              <w:pStyle w:val="ListParagraph"/>
              <w:numPr>
                <w:ilvl w:val="0"/>
                <w:numId w:val="41"/>
              </w:numPr>
              <w:spacing w:before="0" w:after="0" w:line="240" w:lineRule="auto"/>
              <w:rPr>
                <w:b/>
                <w:bCs/>
              </w:rPr>
            </w:pPr>
            <w:r w:rsidRPr="00D95A00">
              <w:rPr>
                <w:b/>
                <w:bCs/>
              </w:rPr>
              <w:t>Received Community Involvement and Leadership Development Activities</w:t>
            </w:r>
          </w:p>
        </w:tc>
        <w:tc>
          <w:tcPr>
            <w:tcW w:w="1523" w:type="dxa"/>
            <w:shd w:val="clear" w:color="auto" w:fill="auto"/>
          </w:tcPr>
          <w:p w14:paraId="2DF93C4E" w14:textId="3DD2F3DF" w:rsidR="00FE7C71" w:rsidRPr="00104E2D" w:rsidRDefault="00FE7C71" w:rsidP="00FE7C71">
            <w:r w:rsidRPr="00C548C9">
              <w:t xml:space="preserve"> 580 </w:t>
            </w:r>
          </w:p>
        </w:tc>
        <w:tc>
          <w:tcPr>
            <w:tcW w:w="1595" w:type="dxa"/>
          </w:tcPr>
          <w:p w14:paraId="4D8B385A" w14:textId="6D0AE827" w:rsidR="00FE7C71" w:rsidRPr="00104E2D" w:rsidRDefault="00FE7C71" w:rsidP="00FE7C71">
            <w:r w:rsidRPr="00C548C9">
              <w:t>8.2%</w:t>
            </w:r>
          </w:p>
        </w:tc>
      </w:tr>
      <w:tr w:rsidR="00FE7C71" w:rsidRPr="0070451B" w14:paraId="59842DCA" w14:textId="77777777" w:rsidTr="00AB11A8">
        <w:trPr>
          <w:trHeight w:val="432"/>
        </w:trPr>
        <w:tc>
          <w:tcPr>
            <w:tcW w:w="6952" w:type="dxa"/>
            <w:shd w:val="clear" w:color="auto" w:fill="auto"/>
            <w:vAlign w:val="center"/>
          </w:tcPr>
          <w:p w14:paraId="51F4CEB9" w14:textId="77777777" w:rsidR="00FE7C71" w:rsidRPr="00D95A00" w:rsidRDefault="00FE7C71" w:rsidP="00FE7C71">
            <w:pPr>
              <w:pStyle w:val="ListParagraph"/>
              <w:numPr>
                <w:ilvl w:val="0"/>
                <w:numId w:val="41"/>
              </w:numPr>
              <w:spacing w:before="0" w:after="0" w:line="240" w:lineRule="auto"/>
              <w:rPr>
                <w:b/>
                <w:bCs/>
              </w:rPr>
            </w:pPr>
            <w:r w:rsidRPr="00D95A00">
              <w:rPr>
                <w:b/>
                <w:bCs/>
              </w:rPr>
              <w:t>Received Post-Secondary Exploration, Career Guidance and Planning Activities</w:t>
            </w:r>
          </w:p>
        </w:tc>
        <w:tc>
          <w:tcPr>
            <w:tcW w:w="1523" w:type="dxa"/>
            <w:shd w:val="clear" w:color="auto" w:fill="auto"/>
          </w:tcPr>
          <w:p w14:paraId="37AB61DB" w14:textId="17E63432" w:rsidR="00FE7C71" w:rsidRPr="00104E2D" w:rsidRDefault="00FE7C71" w:rsidP="00FE7C71">
            <w:r w:rsidRPr="00E465FA">
              <w:t xml:space="preserve"> 5,327 </w:t>
            </w:r>
          </w:p>
        </w:tc>
        <w:tc>
          <w:tcPr>
            <w:tcW w:w="1595" w:type="dxa"/>
          </w:tcPr>
          <w:p w14:paraId="44D5CF72" w14:textId="76F4EE73" w:rsidR="00FE7C71" w:rsidRPr="00104E2D" w:rsidRDefault="00FE7C71" w:rsidP="00FE7C71">
            <w:r w:rsidRPr="00E465FA">
              <w:t>75.1%</w:t>
            </w:r>
          </w:p>
        </w:tc>
      </w:tr>
      <w:tr w:rsidR="00FE7C71" w:rsidRPr="0070451B" w14:paraId="5C5DFB97" w14:textId="77777777" w:rsidTr="00AB11A8">
        <w:trPr>
          <w:trHeight w:val="432"/>
        </w:trPr>
        <w:tc>
          <w:tcPr>
            <w:tcW w:w="6952" w:type="dxa"/>
            <w:shd w:val="clear" w:color="auto" w:fill="auto"/>
            <w:vAlign w:val="center"/>
          </w:tcPr>
          <w:p w14:paraId="3EDD955F" w14:textId="77777777" w:rsidR="00FE7C71" w:rsidRPr="00D95A00" w:rsidRDefault="00FE7C71" w:rsidP="00FE7C71">
            <w:pPr>
              <w:pStyle w:val="ListParagraph"/>
              <w:numPr>
                <w:ilvl w:val="0"/>
                <w:numId w:val="41"/>
              </w:numPr>
              <w:spacing w:before="0" w:after="0" w:line="240" w:lineRule="auto"/>
              <w:rPr>
                <w:b/>
                <w:bCs/>
              </w:rPr>
            </w:pPr>
            <w:r w:rsidRPr="00D95A00">
              <w:rPr>
                <w:b/>
                <w:bCs/>
              </w:rPr>
              <w:t>Received Mentoring Activities</w:t>
            </w:r>
          </w:p>
        </w:tc>
        <w:tc>
          <w:tcPr>
            <w:tcW w:w="1523" w:type="dxa"/>
            <w:shd w:val="clear" w:color="auto" w:fill="auto"/>
          </w:tcPr>
          <w:p w14:paraId="55B82212" w14:textId="7B3A80F1" w:rsidR="00FE7C71" w:rsidRPr="00104E2D" w:rsidRDefault="00FE7C71" w:rsidP="00FE7C71">
            <w:r w:rsidRPr="004B0221">
              <w:t xml:space="preserve"> 927 </w:t>
            </w:r>
          </w:p>
        </w:tc>
        <w:tc>
          <w:tcPr>
            <w:tcW w:w="1595" w:type="dxa"/>
          </w:tcPr>
          <w:p w14:paraId="13FFEE19" w14:textId="37C94658" w:rsidR="00FE7C71" w:rsidRPr="00104E2D" w:rsidRDefault="00FE7C71" w:rsidP="00FE7C71">
            <w:r w:rsidRPr="004B0221">
              <w:t>13.1%</w:t>
            </w:r>
          </w:p>
        </w:tc>
      </w:tr>
      <w:tr w:rsidR="00FE7C71" w:rsidRPr="0070451B" w14:paraId="2686642C" w14:textId="77777777" w:rsidTr="00AB11A8">
        <w:trPr>
          <w:trHeight w:val="432"/>
        </w:trPr>
        <w:tc>
          <w:tcPr>
            <w:tcW w:w="6952" w:type="dxa"/>
            <w:tcBorders>
              <w:bottom w:val="single" w:sz="4" w:space="0" w:color="auto"/>
            </w:tcBorders>
            <w:shd w:val="clear" w:color="auto" w:fill="auto"/>
            <w:vAlign w:val="center"/>
          </w:tcPr>
          <w:p w14:paraId="1C89A6C6" w14:textId="77777777" w:rsidR="00FE7C71" w:rsidRPr="00D95A00" w:rsidRDefault="00FE7C71" w:rsidP="00FE7C71">
            <w:pPr>
              <w:pStyle w:val="ListParagraph"/>
              <w:numPr>
                <w:ilvl w:val="0"/>
                <w:numId w:val="41"/>
              </w:numPr>
              <w:spacing w:before="0" w:after="0" w:line="240" w:lineRule="auto"/>
              <w:rPr>
                <w:b/>
                <w:bCs/>
              </w:rPr>
            </w:pPr>
            <w:r w:rsidRPr="00D95A00">
              <w:rPr>
                <w:b/>
                <w:bCs/>
              </w:rPr>
              <w:t>Received Support Services</w:t>
            </w:r>
          </w:p>
        </w:tc>
        <w:tc>
          <w:tcPr>
            <w:tcW w:w="1523" w:type="dxa"/>
            <w:tcBorders>
              <w:bottom w:val="single" w:sz="4" w:space="0" w:color="auto"/>
            </w:tcBorders>
            <w:shd w:val="clear" w:color="auto" w:fill="auto"/>
          </w:tcPr>
          <w:p w14:paraId="67CFC861" w14:textId="6F2EC312" w:rsidR="00FE7C71" w:rsidRPr="00104E2D" w:rsidRDefault="00FE7C71" w:rsidP="00FE7C71">
            <w:r w:rsidRPr="004B0221">
              <w:t xml:space="preserve"> 230 </w:t>
            </w:r>
          </w:p>
        </w:tc>
        <w:tc>
          <w:tcPr>
            <w:tcW w:w="1595" w:type="dxa"/>
            <w:tcBorders>
              <w:bottom w:val="single" w:sz="4" w:space="0" w:color="auto"/>
            </w:tcBorders>
          </w:tcPr>
          <w:p w14:paraId="294711E6" w14:textId="0ECC9FAE" w:rsidR="00FE7C71" w:rsidRPr="00104E2D" w:rsidRDefault="00FE7C71" w:rsidP="00FE7C71">
            <w:r w:rsidRPr="004B0221">
              <w:t>3.2%</w:t>
            </w:r>
          </w:p>
        </w:tc>
      </w:tr>
      <w:tr w:rsidR="00FE7C71" w:rsidRPr="0070451B" w14:paraId="1835AF02" w14:textId="77777777" w:rsidTr="00AB11A8">
        <w:trPr>
          <w:trHeight w:val="432"/>
        </w:trPr>
        <w:tc>
          <w:tcPr>
            <w:tcW w:w="6952" w:type="dxa"/>
            <w:tcBorders>
              <w:bottom w:val="single" w:sz="4" w:space="0" w:color="auto"/>
            </w:tcBorders>
            <w:shd w:val="clear" w:color="auto" w:fill="auto"/>
            <w:vAlign w:val="center"/>
          </w:tcPr>
          <w:p w14:paraId="0CBDA7A1" w14:textId="77777777" w:rsidR="00FE7C71" w:rsidRPr="00D95A00" w:rsidRDefault="00FE7C71" w:rsidP="00FE7C71">
            <w:pPr>
              <w:pStyle w:val="ListParagraph"/>
              <w:numPr>
                <w:ilvl w:val="0"/>
                <w:numId w:val="41"/>
              </w:numPr>
              <w:spacing w:before="0" w:after="0" w:line="240" w:lineRule="auto"/>
              <w:rPr>
                <w:b/>
                <w:bCs/>
              </w:rPr>
            </w:pPr>
            <w:r w:rsidRPr="00D95A00">
              <w:rPr>
                <w:b/>
                <w:bCs/>
              </w:rPr>
              <w:lastRenderedPageBreak/>
              <w:t>Received Financial Literacy Education</w:t>
            </w:r>
          </w:p>
        </w:tc>
        <w:tc>
          <w:tcPr>
            <w:tcW w:w="1523" w:type="dxa"/>
            <w:tcBorders>
              <w:bottom w:val="single" w:sz="4" w:space="0" w:color="auto"/>
            </w:tcBorders>
            <w:shd w:val="clear" w:color="auto" w:fill="auto"/>
          </w:tcPr>
          <w:p w14:paraId="62D49571" w14:textId="1BB5F354" w:rsidR="00FE7C71" w:rsidRPr="00104E2D" w:rsidRDefault="00FE7C71" w:rsidP="00FE7C71">
            <w:r w:rsidRPr="00FC02EA">
              <w:t xml:space="preserve"> 1,175 </w:t>
            </w:r>
          </w:p>
        </w:tc>
        <w:tc>
          <w:tcPr>
            <w:tcW w:w="1595" w:type="dxa"/>
            <w:tcBorders>
              <w:bottom w:val="single" w:sz="4" w:space="0" w:color="auto"/>
            </w:tcBorders>
          </w:tcPr>
          <w:p w14:paraId="1075F49C" w14:textId="185B67DC" w:rsidR="00FE7C71" w:rsidRPr="00104E2D" w:rsidRDefault="00FE7C71" w:rsidP="00FE7C71">
            <w:r w:rsidRPr="00FC02EA">
              <w:t>16.6%</w:t>
            </w:r>
          </w:p>
        </w:tc>
      </w:tr>
      <w:tr w:rsidR="00FE7C71" w:rsidRPr="00930455" w14:paraId="15C1BA0D" w14:textId="77777777" w:rsidTr="00AB11A8">
        <w:trPr>
          <w:trHeight w:val="432"/>
        </w:trPr>
        <w:tc>
          <w:tcPr>
            <w:tcW w:w="10070" w:type="dxa"/>
            <w:gridSpan w:val="3"/>
            <w:shd w:val="clear" w:color="auto" w:fill="E6E6E6"/>
            <w:vAlign w:val="center"/>
          </w:tcPr>
          <w:p w14:paraId="5E87AB41" w14:textId="77777777" w:rsidR="00FE7C71" w:rsidRPr="00104E2D" w:rsidRDefault="00FE7C71" w:rsidP="00AB11A8">
            <w:pPr>
              <w:rPr>
                <w:b/>
              </w:rPr>
            </w:pPr>
            <w:r w:rsidRPr="00D95A00">
              <w:rPr>
                <w:b/>
                <w:bCs/>
              </w:rPr>
              <w:t>INDICATORS OF PERFORMANCE FOR INDIVIDUAL SERVICES</w:t>
            </w:r>
          </w:p>
        </w:tc>
      </w:tr>
      <w:tr w:rsidR="00FE7C71" w:rsidRPr="0070451B" w14:paraId="7A8B511C" w14:textId="77777777" w:rsidTr="00AB11A8">
        <w:trPr>
          <w:trHeight w:val="432"/>
        </w:trPr>
        <w:tc>
          <w:tcPr>
            <w:tcW w:w="6952" w:type="dxa"/>
            <w:shd w:val="clear" w:color="auto" w:fill="auto"/>
            <w:vAlign w:val="center"/>
          </w:tcPr>
          <w:p w14:paraId="440B4B9B" w14:textId="136BC0C5" w:rsidR="00FE7C71" w:rsidRPr="00D95A00" w:rsidRDefault="00FE7C71" w:rsidP="00FE7C71">
            <w:pPr>
              <w:pStyle w:val="ListParagraph"/>
              <w:numPr>
                <w:ilvl w:val="0"/>
                <w:numId w:val="42"/>
              </w:numPr>
              <w:spacing w:before="0" w:after="0" w:line="240" w:lineRule="auto"/>
              <w:rPr>
                <w:b/>
                <w:bCs/>
              </w:rPr>
            </w:pPr>
            <w:r w:rsidRPr="00D95A00">
              <w:rPr>
                <w:b/>
                <w:bCs/>
              </w:rPr>
              <w:t>Attained Work Readiness</w:t>
            </w:r>
            <w:r w:rsidR="00272B81">
              <w:rPr>
                <w:b/>
                <w:bCs/>
              </w:rPr>
              <w:t xml:space="preserve"> or Education</w:t>
            </w:r>
            <w:r w:rsidRPr="00D95A00">
              <w:rPr>
                <w:b/>
                <w:bCs/>
              </w:rPr>
              <w:t xml:space="preserve"> Goals</w:t>
            </w:r>
          </w:p>
        </w:tc>
        <w:tc>
          <w:tcPr>
            <w:tcW w:w="1523" w:type="dxa"/>
            <w:shd w:val="clear" w:color="auto" w:fill="auto"/>
          </w:tcPr>
          <w:p w14:paraId="00604CB5" w14:textId="43C82272" w:rsidR="00FE7C71" w:rsidRPr="00104E2D" w:rsidRDefault="00FE7C71" w:rsidP="00FE7C71">
            <w:r w:rsidRPr="000136B5">
              <w:t xml:space="preserve"> 3,244 </w:t>
            </w:r>
          </w:p>
        </w:tc>
        <w:tc>
          <w:tcPr>
            <w:tcW w:w="1595" w:type="dxa"/>
          </w:tcPr>
          <w:p w14:paraId="096B759A" w14:textId="3C2905BF" w:rsidR="00FE7C71" w:rsidRPr="00104E2D" w:rsidRDefault="00FE7C71" w:rsidP="00FE7C71">
            <w:r w:rsidRPr="000136B5">
              <w:t>45.8%</w:t>
            </w:r>
          </w:p>
        </w:tc>
      </w:tr>
      <w:tr w:rsidR="00FE7C71" w:rsidRPr="0070451B" w14:paraId="1592E5CB" w14:textId="77777777" w:rsidTr="00AB11A8">
        <w:trPr>
          <w:trHeight w:val="432"/>
        </w:trPr>
        <w:tc>
          <w:tcPr>
            <w:tcW w:w="6952" w:type="dxa"/>
            <w:shd w:val="clear" w:color="auto" w:fill="auto"/>
            <w:vAlign w:val="center"/>
          </w:tcPr>
          <w:p w14:paraId="3A651EDA" w14:textId="77777777" w:rsidR="00FE7C71" w:rsidRPr="00D95A00" w:rsidRDefault="00FE7C71" w:rsidP="00FE7C71">
            <w:pPr>
              <w:pStyle w:val="ListParagraph"/>
              <w:numPr>
                <w:ilvl w:val="0"/>
                <w:numId w:val="42"/>
              </w:numPr>
              <w:spacing w:before="0" w:after="0" w:line="240" w:lineRule="auto"/>
              <w:rPr>
                <w:b/>
                <w:bCs/>
              </w:rPr>
            </w:pPr>
            <w:r w:rsidRPr="00D95A00">
              <w:rPr>
                <w:b/>
                <w:bCs/>
              </w:rPr>
              <w:t>Received Academic Credit or Service-Learning Credit</w:t>
            </w:r>
          </w:p>
        </w:tc>
        <w:tc>
          <w:tcPr>
            <w:tcW w:w="1523" w:type="dxa"/>
            <w:shd w:val="clear" w:color="auto" w:fill="auto"/>
          </w:tcPr>
          <w:p w14:paraId="545D7779" w14:textId="5E17065E" w:rsidR="00FE7C71" w:rsidRPr="00104E2D" w:rsidRDefault="00FE7C71" w:rsidP="00FE7C71">
            <w:r w:rsidRPr="000136B5">
              <w:t xml:space="preserve"> 786 </w:t>
            </w:r>
          </w:p>
        </w:tc>
        <w:tc>
          <w:tcPr>
            <w:tcW w:w="1595" w:type="dxa"/>
          </w:tcPr>
          <w:p w14:paraId="20BD347A" w14:textId="4C7E8A03" w:rsidR="00FE7C71" w:rsidRPr="00104E2D" w:rsidRDefault="00FE7C71" w:rsidP="00FE7C71">
            <w:r w:rsidRPr="000136B5">
              <w:t>11.1%</w:t>
            </w:r>
          </w:p>
        </w:tc>
      </w:tr>
      <w:tr w:rsidR="00FE7C71" w:rsidRPr="0070451B" w14:paraId="670B65C3" w14:textId="77777777" w:rsidTr="00AB11A8">
        <w:trPr>
          <w:trHeight w:val="432"/>
        </w:trPr>
        <w:tc>
          <w:tcPr>
            <w:tcW w:w="6952" w:type="dxa"/>
            <w:shd w:val="clear" w:color="auto" w:fill="auto"/>
            <w:vAlign w:val="center"/>
          </w:tcPr>
          <w:p w14:paraId="3F865C6F" w14:textId="77777777" w:rsidR="00FE7C71" w:rsidRPr="00D95A00" w:rsidRDefault="00FE7C71" w:rsidP="00FE7C71">
            <w:pPr>
              <w:pStyle w:val="ListParagraph"/>
              <w:numPr>
                <w:ilvl w:val="0"/>
                <w:numId w:val="42"/>
              </w:numPr>
              <w:spacing w:before="0" w:after="0" w:line="240" w:lineRule="auto"/>
              <w:rPr>
                <w:b/>
                <w:bCs/>
              </w:rPr>
            </w:pPr>
            <w:r w:rsidRPr="00D95A00">
              <w:rPr>
                <w:b/>
                <w:bCs/>
              </w:rPr>
              <w:t xml:space="preserve">Obtained High School Diploma, GED, Remained in School, </w:t>
            </w:r>
            <w:proofErr w:type="gramStart"/>
            <w:r w:rsidRPr="00D95A00">
              <w:rPr>
                <w:b/>
                <w:bCs/>
              </w:rPr>
              <w:t>Obtained</w:t>
            </w:r>
            <w:proofErr w:type="gramEnd"/>
            <w:r w:rsidRPr="00D95A00">
              <w:rPr>
                <w:b/>
                <w:bCs/>
              </w:rPr>
              <w:t xml:space="preserve"> a Certificate or Degree, or Dropout - Returned to School</w:t>
            </w:r>
          </w:p>
        </w:tc>
        <w:tc>
          <w:tcPr>
            <w:tcW w:w="1523" w:type="dxa"/>
            <w:shd w:val="clear" w:color="auto" w:fill="auto"/>
          </w:tcPr>
          <w:p w14:paraId="2094F74D" w14:textId="5C695106" w:rsidR="00FE7C71" w:rsidRPr="00104E2D" w:rsidRDefault="00FE7C71" w:rsidP="00FE7C71">
            <w:r w:rsidRPr="000136B5">
              <w:t xml:space="preserve"> 3,367 </w:t>
            </w:r>
          </w:p>
        </w:tc>
        <w:tc>
          <w:tcPr>
            <w:tcW w:w="1595" w:type="dxa"/>
          </w:tcPr>
          <w:p w14:paraId="0DE00ACF" w14:textId="3AD88A28" w:rsidR="00FE7C71" w:rsidRPr="00104E2D" w:rsidRDefault="00FE7C71" w:rsidP="00FE7C71">
            <w:r w:rsidRPr="000136B5">
              <w:t>47.5%</w:t>
            </w:r>
          </w:p>
        </w:tc>
      </w:tr>
      <w:tr w:rsidR="00FE7C71" w:rsidRPr="0070451B" w14:paraId="0B31738D" w14:textId="77777777" w:rsidTr="00AB11A8">
        <w:trPr>
          <w:trHeight w:val="432"/>
        </w:trPr>
        <w:tc>
          <w:tcPr>
            <w:tcW w:w="6952" w:type="dxa"/>
            <w:shd w:val="clear" w:color="auto" w:fill="auto"/>
            <w:vAlign w:val="center"/>
          </w:tcPr>
          <w:p w14:paraId="3B4BDD61" w14:textId="77777777" w:rsidR="00FE7C71" w:rsidRPr="00D95A00" w:rsidRDefault="00FE7C71" w:rsidP="00FE7C71">
            <w:pPr>
              <w:pStyle w:val="ListParagraph"/>
              <w:numPr>
                <w:ilvl w:val="0"/>
                <w:numId w:val="42"/>
              </w:numPr>
              <w:spacing w:before="0" w:after="0" w:line="240" w:lineRule="auto"/>
              <w:rPr>
                <w:b/>
                <w:bCs/>
              </w:rPr>
            </w:pPr>
            <w:r w:rsidRPr="00D95A00">
              <w:rPr>
                <w:b/>
                <w:bCs/>
              </w:rPr>
              <w:t>Entered Post-Secondary Education, Vocational/Occupational Skills Training, Apprenticeship, or Military</w:t>
            </w:r>
          </w:p>
        </w:tc>
        <w:tc>
          <w:tcPr>
            <w:tcW w:w="1523" w:type="dxa"/>
            <w:shd w:val="clear" w:color="auto" w:fill="auto"/>
          </w:tcPr>
          <w:p w14:paraId="6878AF86" w14:textId="45AD5764" w:rsidR="00FE7C71" w:rsidRPr="00104E2D" w:rsidRDefault="00FE7C71" w:rsidP="00FE7C71">
            <w:r w:rsidRPr="000136B5">
              <w:t xml:space="preserve"> 1,057 </w:t>
            </w:r>
          </w:p>
        </w:tc>
        <w:tc>
          <w:tcPr>
            <w:tcW w:w="1595" w:type="dxa"/>
          </w:tcPr>
          <w:p w14:paraId="78F286FC" w14:textId="2B76A53F" w:rsidR="00FE7C71" w:rsidRPr="00104E2D" w:rsidRDefault="00FE7C71" w:rsidP="00FE7C71">
            <w:r w:rsidRPr="000136B5">
              <w:t>14.9%</w:t>
            </w:r>
          </w:p>
        </w:tc>
      </w:tr>
      <w:tr w:rsidR="00FE7C71" w:rsidRPr="0070451B" w14:paraId="62D70482" w14:textId="77777777" w:rsidTr="00AB11A8">
        <w:trPr>
          <w:trHeight w:val="432"/>
        </w:trPr>
        <w:tc>
          <w:tcPr>
            <w:tcW w:w="6952" w:type="dxa"/>
            <w:shd w:val="clear" w:color="auto" w:fill="auto"/>
            <w:vAlign w:val="center"/>
          </w:tcPr>
          <w:p w14:paraId="032AA166" w14:textId="77777777" w:rsidR="00FE7C71" w:rsidRPr="00D95A00" w:rsidRDefault="00FE7C71" w:rsidP="00FE7C71">
            <w:pPr>
              <w:pStyle w:val="ListParagraph"/>
              <w:numPr>
                <w:ilvl w:val="0"/>
                <w:numId w:val="42"/>
              </w:numPr>
              <w:spacing w:before="0" w:after="0" w:line="240" w:lineRule="auto"/>
              <w:rPr>
                <w:b/>
                <w:bCs/>
              </w:rPr>
            </w:pPr>
            <w:r w:rsidRPr="00D95A00">
              <w:rPr>
                <w:b/>
                <w:bCs/>
              </w:rPr>
              <w:t>Entered employment</w:t>
            </w:r>
          </w:p>
        </w:tc>
        <w:tc>
          <w:tcPr>
            <w:tcW w:w="1523" w:type="dxa"/>
            <w:shd w:val="clear" w:color="auto" w:fill="auto"/>
          </w:tcPr>
          <w:p w14:paraId="157E69E0" w14:textId="10B54898" w:rsidR="00FE7C71" w:rsidRPr="00104E2D" w:rsidRDefault="00FE7C71" w:rsidP="00FE7C71">
            <w:r w:rsidRPr="000136B5">
              <w:t xml:space="preserve"> 217 </w:t>
            </w:r>
          </w:p>
        </w:tc>
        <w:tc>
          <w:tcPr>
            <w:tcW w:w="1595" w:type="dxa"/>
          </w:tcPr>
          <w:p w14:paraId="2DB0631C" w14:textId="6A8A0DF8" w:rsidR="00FE7C71" w:rsidRPr="00104E2D" w:rsidRDefault="00FE7C71" w:rsidP="00FE7C71">
            <w:r w:rsidRPr="000136B5">
              <w:t>3.1%</w:t>
            </w:r>
          </w:p>
        </w:tc>
      </w:tr>
      <w:tr w:rsidR="00FE7C71" w:rsidRPr="0070451B" w14:paraId="0287AC67" w14:textId="77777777" w:rsidTr="00AB11A8">
        <w:trPr>
          <w:trHeight w:val="432"/>
        </w:trPr>
        <w:tc>
          <w:tcPr>
            <w:tcW w:w="6952" w:type="dxa"/>
            <w:shd w:val="clear" w:color="auto" w:fill="auto"/>
            <w:vAlign w:val="center"/>
          </w:tcPr>
          <w:p w14:paraId="6DD4D92C" w14:textId="77777777" w:rsidR="00FE7C71" w:rsidRPr="00D95A00" w:rsidRDefault="00FE7C71" w:rsidP="00FE7C71">
            <w:pPr>
              <w:pStyle w:val="ListParagraph"/>
              <w:numPr>
                <w:ilvl w:val="0"/>
                <w:numId w:val="42"/>
              </w:numPr>
              <w:spacing w:before="0" w:after="0" w:line="240" w:lineRule="auto"/>
              <w:rPr>
                <w:b/>
                <w:bCs/>
              </w:rPr>
            </w:pPr>
            <w:r w:rsidRPr="00D95A00">
              <w:rPr>
                <w:b/>
                <w:bCs/>
              </w:rPr>
              <w:t xml:space="preserve">Retained employment, increased </w:t>
            </w:r>
            <w:proofErr w:type="gramStart"/>
            <w:r w:rsidRPr="00D95A00">
              <w:rPr>
                <w:b/>
                <w:bCs/>
              </w:rPr>
              <w:t>wages</w:t>
            </w:r>
            <w:proofErr w:type="gramEnd"/>
            <w:r w:rsidRPr="00D95A00">
              <w:rPr>
                <w:b/>
                <w:bCs/>
              </w:rPr>
              <w:t xml:space="preserve"> or advanced career</w:t>
            </w:r>
          </w:p>
        </w:tc>
        <w:tc>
          <w:tcPr>
            <w:tcW w:w="1523" w:type="dxa"/>
            <w:shd w:val="clear" w:color="auto" w:fill="auto"/>
          </w:tcPr>
          <w:p w14:paraId="199C670C" w14:textId="33C149D3" w:rsidR="00FE7C71" w:rsidRPr="00104E2D" w:rsidRDefault="00FE7C71" w:rsidP="00FE7C71">
            <w:r w:rsidRPr="000136B5">
              <w:t xml:space="preserve"> 187 </w:t>
            </w:r>
          </w:p>
        </w:tc>
        <w:tc>
          <w:tcPr>
            <w:tcW w:w="1595" w:type="dxa"/>
          </w:tcPr>
          <w:p w14:paraId="2029E6CB" w14:textId="6070FFEF" w:rsidR="00FE7C71" w:rsidRPr="00104E2D" w:rsidRDefault="00FE7C71" w:rsidP="00FE7C71">
            <w:r w:rsidRPr="000136B5">
              <w:t>2.6%</w:t>
            </w:r>
          </w:p>
        </w:tc>
      </w:tr>
      <w:tr w:rsidR="00FE7C71" w:rsidRPr="0070451B" w14:paraId="1DF3E079" w14:textId="77777777" w:rsidTr="00AB11A8">
        <w:trPr>
          <w:trHeight w:val="432"/>
        </w:trPr>
        <w:tc>
          <w:tcPr>
            <w:tcW w:w="6952" w:type="dxa"/>
            <w:shd w:val="clear" w:color="auto" w:fill="auto"/>
            <w:vAlign w:val="center"/>
          </w:tcPr>
          <w:p w14:paraId="29ED96CE" w14:textId="77777777" w:rsidR="00FE7C71" w:rsidRPr="00D95A00" w:rsidRDefault="00FE7C71" w:rsidP="00FE7C71">
            <w:pPr>
              <w:pStyle w:val="ListParagraph"/>
              <w:numPr>
                <w:ilvl w:val="0"/>
                <w:numId w:val="42"/>
              </w:numPr>
              <w:spacing w:before="0" w:after="0" w:line="240" w:lineRule="auto"/>
              <w:rPr>
                <w:b/>
                <w:bCs/>
              </w:rPr>
            </w:pPr>
            <w:r w:rsidRPr="00D95A00">
              <w:rPr>
                <w:b/>
                <w:bCs/>
              </w:rPr>
              <w:t>Completed Program Objective</w:t>
            </w:r>
          </w:p>
        </w:tc>
        <w:tc>
          <w:tcPr>
            <w:tcW w:w="1523" w:type="dxa"/>
            <w:shd w:val="clear" w:color="auto" w:fill="auto"/>
          </w:tcPr>
          <w:p w14:paraId="1ABF16D6" w14:textId="20272997" w:rsidR="00FE7C71" w:rsidRPr="00104E2D" w:rsidRDefault="00FE7C71" w:rsidP="00FE7C71">
            <w:r w:rsidRPr="000136B5">
              <w:t xml:space="preserve"> 2,890 </w:t>
            </w:r>
          </w:p>
        </w:tc>
        <w:tc>
          <w:tcPr>
            <w:tcW w:w="1595" w:type="dxa"/>
          </w:tcPr>
          <w:p w14:paraId="2FDBCA7D" w14:textId="750F1C2D" w:rsidR="00FE7C71" w:rsidRPr="00104E2D" w:rsidRDefault="00FE7C71" w:rsidP="00FE7C71">
            <w:r w:rsidRPr="000136B5">
              <w:t>40.8%</w:t>
            </w:r>
          </w:p>
        </w:tc>
      </w:tr>
      <w:tr w:rsidR="00FE7C71" w:rsidRPr="0070451B" w14:paraId="3D0E2F5D" w14:textId="77777777" w:rsidTr="00AB11A8">
        <w:trPr>
          <w:trHeight w:val="432"/>
        </w:trPr>
        <w:tc>
          <w:tcPr>
            <w:tcW w:w="10070" w:type="dxa"/>
            <w:gridSpan w:val="3"/>
            <w:shd w:val="clear" w:color="auto" w:fill="E6E6E6"/>
            <w:vAlign w:val="center"/>
          </w:tcPr>
          <w:p w14:paraId="2FF74B3D" w14:textId="77777777" w:rsidR="00FE7C71" w:rsidRPr="0070451B" w:rsidRDefault="00FE7C71" w:rsidP="00AB11A8">
            <w:pPr>
              <w:rPr>
                <w:b/>
              </w:rPr>
            </w:pPr>
            <w:r w:rsidRPr="00D95A00">
              <w:rPr>
                <w:b/>
                <w:bCs/>
              </w:rPr>
              <w:t>CUSTOMER SATISFACTION FOR</w:t>
            </w:r>
            <w:r>
              <w:rPr>
                <w:b/>
                <w:bCs/>
              </w:rPr>
              <w:t xml:space="preserve"> </w:t>
            </w:r>
            <w:r w:rsidRPr="00D95A00">
              <w:rPr>
                <w:b/>
                <w:bCs/>
              </w:rPr>
              <w:t>INDIVIDUAL SERVICES</w:t>
            </w:r>
          </w:p>
        </w:tc>
      </w:tr>
      <w:tr w:rsidR="00FE7C71" w:rsidRPr="0070451B" w14:paraId="1D25FE8B" w14:textId="77777777" w:rsidTr="00AB11A8">
        <w:trPr>
          <w:trHeight w:val="432"/>
        </w:trPr>
        <w:tc>
          <w:tcPr>
            <w:tcW w:w="6952" w:type="dxa"/>
            <w:shd w:val="clear" w:color="auto" w:fill="auto"/>
            <w:vAlign w:val="center"/>
          </w:tcPr>
          <w:p w14:paraId="643BD235" w14:textId="77777777" w:rsidR="00FE7C71" w:rsidRPr="00D95A00" w:rsidRDefault="00FE7C71" w:rsidP="00FE7C71">
            <w:pPr>
              <w:pStyle w:val="ListParagraph"/>
              <w:numPr>
                <w:ilvl w:val="0"/>
                <w:numId w:val="44"/>
              </w:numPr>
              <w:spacing w:before="0" w:after="0" w:line="240" w:lineRule="auto"/>
              <w:rPr>
                <w:b/>
                <w:bCs/>
              </w:rPr>
            </w:pPr>
            <w:r w:rsidRPr="00D95A00">
              <w:rPr>
                <w:b/>
                <w:bCs/>
              </w:rPr>
              <w:t>Number of participants rating experience as “Excellent”</w:t>
            </w:r>
          </w:p>
        </w:tc>
        <w:tc>
          <w:tcPr>
            <w:tcW w:w="1523" w:type="dxa"/>
            <w:shd w:val="clear" w:color="auto" w:fill="auto"/>
          </w:tcPr>
          <w:p w14:paraId="65FC29C5" w14:textId="2235CF75" w:rsidR="00FE7C71" w:rsidRPr="0070451B" w:rsidRDefault="00FE7C71" w:rsidP="00FE7C71">
            <w:r w:rsidRPr="002B0A9D">
              <w:t xml:space="preserve"> 211 </w:t>
            </w:r>
          </w:p>
        </w:tc>
        <w:tc>
          <w:tcPr>
            <w:tcW w:w="1595" w:type="dxa"/>
          </w:tcPr>
          <w:p w14:paraId="15DB67B3" w14:textId="7D499394" w:rsidR="00FE7C71" w:rsidRPr="0070451B" w:rsidRDefault="00FE7C71" w:rsidP="00FE7C71">
            <w:r w:rsidRPr="002B0A9D">
              <w:t>32.6%</w:t>
            </w:r>
          </w:p>
        </w:tc>
      </w:tr>
      <w:tr w:rsidR="00FE7C71" w:rsidRPr="0070451B" w14:paraId="3A6BC238" w14:textId="77777777" w:rsidTr="00AB11A8">
        <w:trPr>
          <w:trHeight w:val="432"/>
        </w:trPr>
        <w:tc>
          <w:tcPr>
            <w:tcW w:w="6952" w:type="dxa"/>
            <w:shd w:val="clear" w:color="auto" w:fill="auto"/>
            <w:vAlign w:val="center"/>
          </w:tcPr>
          <w:p w14:paraId="55A2DD08" w14:textId="77777777" w:rsidR="00FE7C71" w:rsidRPr="00D95A00" w:rsidRDefault="00FE7C71" w:rsidP="00FE7C71">
            <w:pPr>
              <w:pStyle w:val="ListParagraph"/>
              <w:numPr>
                <w:ilvl w:val="0"/>
                <w:numId w:val="44"/>
              </w:numPr>
              <w:spacing w:before="0" w:after="0" w:line="240" w:lineRule="auto"/>
              <w:rPr>
                <w:b/>
                <w:bCs/>
              </w:rPr>
            </w:pPr>
            <w:r w:rsidRPr="00D95A00">
              <w:rPr>
                <w:b/>
                <w:bCs/>
              </w:rPr>
              <w:t>Number of participants rating experience as “Very Good”</w:t>
            </w:r>
          </w:p>
        </w:tc>
        <w:tc>
          <w:tcPr>
            <w:tcW w:w="1523" w:type="dxa"/>
            <w:shd w:val="clear" w:color="auto" w:fill="auto"/>
          </w:tcPr>
          <w:p w14:paraId="64066122" w14:textId="0D4BDBE9" w:rsidR="00FE7C71" w:rsidRPr="0070451B" w:rsidRDefault="00FE7C71" w:rsidP="00FE7C71">
            <w:r w:rsidRPr="002B0A9D">
              <w:t xml:space="preserve"> 157 </w:t>
            </w:r>
          </w:p>
        </w:tc>
        <w:tc>
          <w:tcPr>
            <w:tcW w:w="1595" w:type="dxa"/>
          </w:tcPr>
          <w:p w14:paraId="63C93E66" w14:textId="632F6E82" w:rsidR="00FE7C71" w:rsidRPr="0070451B" w:rsidRDefault="00FE7C71" w:rsidP="00FE7C71">
            <w:r w:rsidRPr="002B0A9D">
              <w:t>24.2%</w:t>
            </w:r>
          </w:p>
        </w:tc>
      </w:tr>
      <w:tr w:rsidR="00FE7C71" w:rsidRPr="0070451B" w14:paraId="6AA9AF60" w14:textId="77777777" w:rsidTr="00AB11A8">
        <w:trPr>
          <w:trHeight w:val="432"/>
        </w:trPr>
        <w:tc>
          <w:tcPr>
            <w:tcW w:w="6952" w:type="dxa"/>
            <w:shd w:val="clear" w:color="auto" w:fill="auto"/>
            <w:vAlign w:val="center"/>
          </w:tcPr>
          <w:p w14:paraId="5306BF26" w14:textId="77777777" w:rsidR="00FE7C71" w:rsidRPr="00D95A00" w:rsidRDefault="00FE7C71" w:rsidP="00FE7C71">
            <w:pPr>
              <w:pStyle w:val="ListParagraph"/>
              <w:numPr>
                <w:ilvl w:val="0"/>
                <w:numId w:val="44"/>
              </w:numPr>
              <w:spacing w:before="0" w:after="0" w:line="240" w:lineRule="auto"/>
              <w:rPr>
                <w:b/>
                <w:bCs/>
              </w:rPr>
            </w:pPr>
            <w:r w:rsidRPr="00D95A00">
              <w:rPr>
                <w:b/>
                <w:bCs/>
              </w:rPr>
              <w:t>Number of participants rating experience as “Average”</w:t>
            </w:r>
          </w:p>
        </w:tc>
        <w:tc>
          <w:tcPr>
            <w:tcW w:w="1523" w:type="dxa"/>
            <w:shd w:val="clear" w:color="auto" w:fill="auto"/>
          </w:tcPr>
          <w:p w14:paraId="44E008B8" w14:textId="3D82C770" w:rsidR="00FE7C71" w:rsidRPr="0070451B" w:rsidRDefault="00FE7C71" w:rsidP="00FE7C71">
            <w:r w:rsidRPr="002B0A9D">
              <w:t xml:space="preserve"> 276 </w:t>
            </w:r>
          </w:p>
        </w:tc>
        <w:tc>
          <w:tcPr>
            <w:tcW w:w="1595" w:type="dxa"/>
          </w:tcPr>
          <w:p w14:paraId="61BB549B" w14:textId="2A5F5EAD" w:rsidR="00FE7C71" w:rsidRPr="0070451B" w:rsidRDefault="00FE7C71" w:rsidP="00FE7C71">
            <w:r w:rsidRPr="002B0A9D">
              <w:t>42.6%</w:t>
            </w:r>
          </w:p>
        </w:tc>
      </w:tr>
      <w:tr w:rsidR="00FE7C71" w:rsidRPr="0070451B" w14:paraId="1F859C1D" w14:textId="77777777" w:rsidTr="00AB11A8">
        <w:trPr>
          <w:trHeight w:val="432"/>
        </w:trPr>
        <w:tc>
          <w:tcPr>
            <w:tcW w:w="6952" w:type="dxa"/>
            <w:shd w:val="clear" w:color="auto" w:fill="auto"/>
            <w:vAlign w:val="center"/>
          </w:tcPr>
          <w:p w14:paraId="0AB9D364" w14:textId="77777777" w:rsidR="00FE7C71" w:rsidRPr="00D95A00" w:rsidRDefault="00FE7C71" w:rsidP="00FE7C71">
            <w:pPr>
              <w:pStyle w:val="ListParagraph"/>
              <w:numPr>
                <w:ilvl w:val="0"/>
                <w:numId w:val="44"/>
              </w:numPr>
              <w:spacing w:before="0" w:after="0" w:line="240" w:lineRule="auto"/>
              <w:rPr>
                <w:b/>
                <w:bCs/>
              </w:rPr>
            </w:pPr>
            <w:r w:rsidRPr="00D95A00">
              <w:rPr>
                <w:b/>
                <w:bCs/>
              </w:rPr>
              <w:t>Number of participants rating experience as “Below Average”</w:t>
            </w:r>
          </w:p>
        </w:tc>
        <w:tc>
          <w:tcPr>
            <w:tcW w:w="1523" w:type="dxa"/>
            <w:shd w:val="clear" w:color="auto" w:fill="auto"/>
          </w:tcPr>
          <w:p w14:paraId="15EF4AD1" w14:textId="074CE01B" w:rsidR="00FE7C71" w:rsidRPr="0070451B" w:rsidRDefault="00FE7C71" w:rsidP="00FE7C71">
            <w:r w:rsidRPr="002B0A9D">
              <w:t xml:space="preserve"> 3 </w:t>
            </w:r>
          </w:p>
        </w:tc>
        <w:tc>
          <w:tcPr>
            <w:tcW w:w="1595" w:type="dxa"/>
          </w:tcPr>
          <w:p w14:paraId="18160334" w14:textId="0B458E0C" w:rsidR="00FE7C71" w:rsidRPr="0070451B" w:rsidRDefault="00FE7C71" w:rsidP="00FE7C71">
            <w:r w:rsidRPr="002B0A9D">
              <w:t>0.5%</w:t>
            </w:r>
          </w:p>
        </w:tc>
      </w:tr>
      <w:tr w:rsidR="00FE7C71" w:rsidRPr="0070451B" w14:paraId="1AC7C9A7" w14:textId="77777777" w:rsidTr="00AB11A8">
        <w:trPr>
          <w:trHeight w:val="432"/>
        </w:trPr>
        <w:tc>
          <w:tcPr>
            <w:tcW w:w="6952" w:type="dxa"/>
            <w:shd w:val="clear" w:color="auto" w:fill="auto"/>
            <w:vAlign w:val="center"/>
          </w:tcPr>
          <w:p w14:paraId="63C2BD2E" w14:textId="77777777" w:rsidR="00FE7C71" w:rsidRPr="00D95A00" w:rsidRDefault="00FE7C71" w:rsidP="00FE7C71">
            <w:pPr>
              <w:pStyle w:val="ListParagraph"/>
              <w:numPr>
                <w:ilvl w:val="0"/>
                <w:numId w:val="44"/>
              </w:numPr>
              <w:spacing w:before="0" w:after="0" w:line="240" w:lineRule="auto"/>
              <w:rPr>
                <w:b/>
                <w:bCs/>
              </w:rPr>
            </w:pPr>
            <w:r w:rsidRPr="00D95A00">
              <w:rPr>
                <w:b/>
                <w:bCs/>
              </w:rPr>
              <w:t>Number of participants rating experience as “Poor”</w:t>
            </w:r>
          </w:p>
        </w:tc>
        <w:tc>
          <w:tcPr>
            <w:tcW w:w="1523" w:type="dxa"/>
            <w:shd w:val="clear" w:color="auto" w:fill="auto"/>
          </w:tcPr>
          <w:p w14:paraId="40E073D7" w14:textId="3A5BF452" w:rsidR="00FE7C71" w:rsidRPr="0070451B" w:rsidRDefault="00FE7C71" w:rsidP="00FE7C71">
            <w:r w:rsidRPr="002B0A9D">
              <w:t xml:space="preserve"> 1 </w:t>
            </w:r>
          </w:p>
        </w:tc>
        <w:tc>
          <w:tcPr>
            <w:tcW w:w="1595" w:type="dxa"/>
          </w:tcPr>
          <w:p w14:paraId="7DC8C8AE" w14:textId="70F74FD6" w:rsidR="00FE7C71" w:rsidRPr="0070451B" w:rsidRDefault="00FE7C71" w:rsidP="00FE7C71">
            <w:r w:rsidRPr="002B0A9D">
              <w:t>0.2%</w:t>
            </w:r>
          </w:p>
        </w:tc>
      </w:tr>
      <w:tr w:rsidR="00FE7C71" w:rsidRPr="0070451B" w14:paraId="5AB81E8C" w14:textId="77777777" w:rsidTr="00AB11A8">
        <w:trPr>
          <w:trHeight w:val="432"/>
        </w:trPr>
        <w:tc>
          <w:tcPr>
            <w:tcW w:w="6952" w:type="dxa"/>
            <w:shd w:val="clear" w:color="auto" w:fill="auto"/>
            <w:vAlign w:val="center"/>
          </w:tcPr>
          <w:p w14:paraId="7D8FCAAE" w14:textId="77777777" w:rsidR="00FE7C71" w:rsidRPr="00D95A00" w:rsidRDefault="00FE7C71" w:rsidP="00FE7C71">
            <w:pPr>
              <w:pStyle w:val="ListParagraph"/>
              <w:numPr>
                <w:ilvl w:val="0"/>
                <w:numId w:val="44"/>
              </w:numPr>
              <w:spacing w:before="0" w:after="0" w:line="240" w:lineRule="auto"/>
              <w:rPr>
                <w:b/>
                <w:bCs/>
              </w:rPr>
            </w:pPr>
            <w:r w:rsidRPr="00D95A00">
              <w:rPr>
                <w:b/>
                <w:bCs/>
              </w:rPr>
              <w:lastRenderedPageBreak/>
              <w:t>Total Number of Surveys Completed</w:t>
            </w:r>
            <w:r>
              <w:rPr>
                <w:rStyle w:val="FootnoteReference"/>
                <w:b/>
                <w:bCs/>
              </w:rPr>
              <w:footnoteReference w:id="3"/>
            </w:r>
          </w:p>
        </w:tc>
        <w:tc>
          <w:tcPr>
            <w:tcW w:w="1523" w:type="dxa"/>
            <w:shd w:val="clear" w:color="auto" w:fill="auto"/>
          </w:tcPr>
          <w:p w14:paraId="105F6C33" w14:textId="63290E93" w:rsidR="00FE7C71" w:rsidRPr="0070451B" w:rsidRDefault="00FE7C71" w:rsidP="00FE7C71">
            <w:r w:rsidRPr="002B0A9D">
              <w:t xml:space="preserve"> 648 </w:t>
            </w:r>
          </w:p>
        </w:tc>
        <w:tc>
          <w:tcPr>
            <w:tcW w:w="1595" w:type="dxa"/>
          </w:tcPr>
          <w:p w14:paraId="37C6A516" w14:textId="3C008153" w:rsidR="00FE7C71" w:rsidRPr="0070451B" w:rsidRDefault="00272B81" w:rsidP="00FE7C71">
            <w:r>
              <w:t>N/A</w:t>
            </w:r>
          </w:p>
        </w:tc>
      </w:tr>
    </w:tbl>
    <w:p w14:paraId="55AE59F0" w14:textId="77777777" w:rsidR="00FE7C71" w:rsidRDefault="00FE7C71" w:rsidP="00770E74">
      <w:pPr>
        <w:pStyle w:val="NoSpacing"/>
        <w:tabs>
          <w:tab w:val="left" w:pos="90"/>
        </w:tabs>
        <w:rPr>
          <w:rFonts w:asciiTheme="majorHAnsi" w:hAnsiTheme="majorHAnsi" w:cs="Times New Roman"/>
          <w:b/>
        </w:rPr>
      </w:pPr>
    </w:p>
    <w:p w14:paraId="049C81EF" w14:textId="77777777" w:rsidR="00104E2D" w:rsidRDefault="00104E2D" w:rsidP="00770E74">
      <w:pPr>
        <w:pStyle w:val="NoSpacing"/>
        <w:tabs>
          <w:tab w:val="left" w:pos="90"/>
        </w:tabs>
        <w:rPr>
          <w:rFonts w:asciiTheme="majorHAnsi" w:hAnsiTheme="majorHAnsi" w:cs="Times New Roman"/>
          <w:b/>
        </w:rPr>
      </w:pPr>
    </w:p>
    <w:p w14:paraId="41AAB0C8" w14:textId="49AEDEF9" w:rsidR="00E346F1" w:rsidRDefault="00770E74" w:rsidP="00770E74">
      <w:pPr>
        <w:pStyle w:val="NoSpacing"/>
        <w:tabs>
          <w:tab w:val="left" w:pos="90"/>
        </w:tabs>
        <w:rPr>
          <w:rFonts w:asciiTheme="majorHAnsi" w:hAnsiTheme="majorHAnsi" w:cs="Times New Roman"/>
          <w:b/>
        </w:rPr>
      </w:pPr>
      <w:r w:rsidRPr="00E02BB5">
        <w:rPr>
          <w:rFonts w:asciiTheme="majorHAnsi" w:hAnsiTheme="majorHAnsi" w:cs="Times New Roman"/>
          <w:b/>
        </w:rPr>
        <w:t xml:space="preserve">Please contact Kay Tracy, Director of Youth </w:t>
      </w:r>
      <w:r>
        <w:rPr>
          <w:rFonts w:asciiTheme="majorHAnsi" w:hAnsiTheme="majorHAnsi" w:cs="Times New Roman"/>
          <w:b/>
        </w:rPr>
        <w:t>Development</w:t>
      </w:r>
      <w:r w:rsidRPr="00E02BB5">
        <w:rPr>
          <w:rFonts w:asciiTheme="majorHAnsi" w:hAnsiTheme="majorHAnsi" w:cs="Times New Roman"/>
          <w:b/>
        </w:rPr>
        <w:t xml:space="preserve"> at 651.259.7555 or </w:t>
      </w:r>
      <w:hyperlink r:id="rId90" w:history="1">
        <w:r w:rsidRPr="00E02BB5">
          <w:rPr>
            <w:rStyle w:val="Hyperlink"/>
            <w:rFonts w:asciiTheme="majorHAnsi" w:hAnsiTheme="majorHAnsi" w:cs="Times New Roman"/>
            <w:b/>
          </w:rPr>
          <w:t>kay.tracy@state.mn.us</w:t>
        </w:r>
      </w:hyperlink>
      <w:r w:rsidRPr="00E02BB5">
        <w:rPr>
          <w:rFonts w:asciiTheme="majorHAnsi" w:hAnsiTheme="majorHAnsi" w:cs="Times New Roman"/>
          <w:b/>
        </w:rPr>
        <w:t xml:space="preserve">  if you have any questions</w:t>
      </w:r>
      <w:r w:rsidR="00DB5EE9">
        <w:rPr>
          <w:rFonts w:asciiTheme="majorHAnsi" w:hAnsiTheme="majorHAnsi" w:cs="Times New Roman"/>
          <w:b/>
        </w:rPr>
        <w:t xml:space="preserve"> about this report</w:t>
      </w:r>
      <w:r w:rsidRPr="00E02BB5">
        <w:rPr>
          <w:rFonts w:asciiTheme="majorHAnsi" w:hAnsiTheme="majorHAnsi" w:cs="Times New Roman"/>
          <w:b/>
        </w:rPr>
        <w:t>.</w:t>
      </w:r>
      <w:r w:rsidR="00DB5EE9">
        <w:rPr>
          <w:rFonts w:asciiTheme="majorHAnsi" w:hAnsiTheme="majorHAnsi" w:cs="Times New Roman"/>
          <w:b/>
        </w:rPr>
        <w:t xml:space="preserve"> More information on the SFY2020 Youth at Work grants can be found here: </w:t>
      </w:r>
      <w:hyperlink r:id="rId91" w:history="1">
        <w:r w:rsidR="00033658" w:rsidRPr="00033658">
          <w:rPr>
            <w:rStyle w:val="Hyperlink"/>
            <w:rFonts w:asciiTheme="majorHAnsi" w:hAnsiTheme="majorHAnsi" w:cs="Times New Roman"/>
            <w:b/>
            <w:lang w:bidi="en-US"/>
          </w:rPr>
          <w:t>https://mn.gov/deed/programs-services/office-youth-development/special/grants/</w:t>
        </w:r>
      </w:hyperlink>
      <w:r w:rsidR="00033658">
        <w:rPr>
          <w:rFonts w:asciiTheme="majorHAnsi" w:hAnsiTheme="majorHAnsi" w:cs="Times New Roman"/>
          <w:b/>
        </w:rPr>
        <w:t>.</w:t>
      </w:r>
    </w:p>
    <w:p w14:paraId="6DD5EA3C" w14:textId="77777777" w:rsidR="00E346F1" w:rsidRDefault="00E346F1">
      <w:pPr>
        <w:spacing w:before="120" w:after="0"/>
        <w:sectPr w:rsidR="00E346F1" w:rsidSect="00EB251D">
          <w:headerReference w:type="even" r:id="rId92"/>
          <w:headerReference w:type="default" r:id="rId93"/>
          <w:headerReference w:type="first" r:id="rId94"/>
          <w:pgSz w:w="12240" w:h="15840" w:code="1"/>
          <w:pgMar w:top="1728" w:right="1080" w:bottom="1440" w:left="1080" w:header="0" w:footer="504" w:gutter="0"/>
          <w:cols w:space="720"/>
          <w:titlePg/>
          <w:docGrid w:linePitch="326"/>
        </w:sectPr>
      </w:pPr>
    </w:p>
    <w:p w14:paraId="5269D69F" w14:textId="0100F68F" w:rsidR="001C6CE8" w:rsidRDefault="00104E2D" w:rsidP="00104E2D">
      <w:pPr>
        <w:pStyle w:val="Heading3"/>
        <w:jc w:val="center"/>
      </w:pPr>
      <w:bookmarkStart w:id="18" w:name="_Toc90271392"/>
      <w:r>
        <w:rPr>
          <w:noProof/>
        </w:rPr>
        <w:lastRenderedPageBreak/>
        <w:drawing>
          <wp:anchor distT="0" distB="0" distL="114300" distR="114300" simplePos="0" relativeHeight="251658240" behindDoc="0" locked="0" layoutInCell="1" allowOverlap="1" wp14:anchorId="0C65CC1D" wp14:editId="7C2D2C00">
            <wp:simplePos x="0" y="0"/>
            <wp:positionH relativeFrom="column">
              <wp:posOffset>-266525</wp:posOffset>
            </wp:positionH>
            <wp:positionV relativeFrom="paragraph">
              <wp:posOffset>449602</wp:posOffset>
            </wp:positionV>
            <wp:extent cx="8671034" cy="546052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extLst>
                        <a:ext uri="{28A0092B-C50C-407E-A947-70E740481C1C}">
                          <a14:useLocalDpi xmlns:a14="http://schemas.microsoft.com/office/drawing/2010/main" val="0"/>
                        </a:ext>
                      </a:extLst>
                    </a:blip>
                    <a:stretch>
                      <a:fillRect/>
                    </a:stretch>
                  </pic:blipFill>
                  <pic:spPr>
                    <a:xfrm>
                      <a:off x="0" y="0"/>
                      <a:ext cx="8671034" cy="5460528"/>
                    </a:xfrm>
                    <a:prstGeom prst="rect">
                      <a:avLst/>
                    </a:prstGeom>
                  </pic:spPr>
                </pic:pic>
              </a:graphicData>
            </a:graphic>
            <wp14:sizeRelH relativeFrom="margin">
              <wp14:pctWidth>0</wp14:pctWidth>
            </wp14:sizeRelH>
            <wp14:sizeRelV relativeFrom="margin">
              <wp14:pctHeight>0</wp14:pctHeight>
            </wp14:sizeRelV>
          </wp:anchor>
        </w:drawing>
      </w:r>
      <w:r w:rsidR="00E346F1">
        <w:t xml:space="preserve">Youth at Work </w:t>
      </w:r>
      <w:r w:rsidR="008E6856">
        <w:t>Equity</w:t>
      </w:r>
      <w:r w:rsidR="00E346F1">
        <w:t xml:space="preserve"> Grant Logic M</w:t>
      </w:r>
      <w:r w:rsidR="0040222A">
        <w:t>od</w:t>
      </w:r>
      <w:r w:rsidR="003854B0">
        <w:t>el</w:t>
      </w:r>
      <w:bookmarkEnd w:id="18"/>
    </w:p>
    <w:p w14:paraId="23CEB042" w14:textId="783D590C" w:rsidR="005850DD" w:rsidRPr="0003752D" w:rsidRDefault="001C6CE8" w:rsidP="0003752D">
      <w:pPr>
        <w:spacing w:before="120" w:after="0"/>
        <w:rPr>
          <w:rFonts w:asciiTheme="minorHAnsi" w:eastAsiaTheme="majorEastAsia" w:hAnsiTheme="minorHAnsi" w:cs="Arial"/>
          <w:b/>
          <w:color w:val="003865" w:themeColor="accent1"/>
          <w:sz w:val="26"/>
          <w:szCs w:val="24"/>
        </w:rPr>
        <w:sectPr w:rsidR="005850DD" w:rsidRPr="0003752D" w:rsidSect="00104E2D">
          <w:pgSz w:w="15840" w:h="12240" w:orient="landscape" w:code="1"/>
          <w:pgMar w:top="1080" w:right="1728" w:bottom="1080" w:left="1440" w:header="0" w:footer="504" w:gutter="0"/>
          <w:cols w:space="720"/>
          <w:titlePg/>
          <w:docGrid w:linePitch="326"/>
        </w:sectPr>
      </w:pPr>
      <w:r>
        <w:br w:type="page"/>
      </w:r>
    </w:p>
    <w:p w14:paraId="24D19931" w14:textId="1E99401D" w:rsidR="00770E74" w:rsidRPr="00770E74" w:rsidRDefault="00770E74" w:rsidP="0003752D">
      <w:pPr>
        <w:pStyle w:val="Heading3"/>
      </w:pPr>
    </w:p>
    <w:sectPr w:rsidR="00770E74" w:rsidRPr="00770E74" w:rsidSect="005850DD">
      <w:pgSz w:w="12240" w:h="15840" w:code="1"/>
      <w:pgMar w:top="1728"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6667" w14:textId="77777777" w:rsidR="00AB11A8" w:rsidRDefault="00AB11A8" w:rsidP="00D247F6">
      <w:r>
        <w:separator/>
      </w:r>
    </w:p>
  </w:endnote>
  <w:endnote w:type="continuationSeparator" w:id="0">
    <w:p w14:paraId="7F246668" w14:textId="77777777" w:rsidR="00AB11A8" w:rsidRDefault="00AB11A8"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6669" w14:textId="78A9EAC5" w:rsidR="00AB11A8" w:rsidRPr="00324E7E" w:rsidRDefault="00AB11A8" w:rsidP="00324E7E">
    <w:pPr>
      <w:pStyle w:val="Footer"/>
      <w:jc w:val="right"/>
    </w:pPr>
    <w:r>
      <w:t xml:space="preserve">SFY 2020-2021 Youth at Work </w:t>
    </w:r>
    <w:r w:rsidR="008E6856">
      <w:t>Equity</w:t>
    </w:r>
    <w:r>
      <w:t xml:space="preserve"> Grant Progress Report</w:t>
    </w:r>
    <w:r w:rsidRPr="00AF5107">
      <w:tab/>
    </w:r>
    <w:r w:rsidRPr="00AF5107">
      <w:fldChar w:fldCharType="begin"/>
    </w:r>
    <w:r w:rsidRPr="00AF5107">
      <w:instrText xml:space="preserve"> PAGE   \* MERGEFORMAT </w:instrText>
    </w:r>
    <w:r w:rsidRPr="00AF5107">
      <w:fldChar w:fldCharType="separate"/>
    </w:r>
    <w:r>
      <w:rPr>
        <w:noProof/>
      </w:rPr>
      <w:t>4</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995368"/>
      <w:docPartObj>
        <w:docPartGallery w:val="Page Numbers (Bottom of Page)"/>
        <w:docPartUnique/>
      </w:docPartObj>
    </w:sdtPr>
    <w:sdtEndPr>
      <w:rPr>
        <w:noProof/>
      </w:rPr>
    </w:sdtEndPr>
    <w:sdtContent>
      <w:p w14:paraId="78718BB2" w14:textId="72C8794A" w:rsidR="00AB11A8" w:rsidRDefault="00AB11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D87D3F" w14:textId="77777777" w:rsidR="00AB11A8" w:rsidRDefault="00AB1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6665" w14:textId="77777777" w:rsidR="00AB11A8" w:rsidRDefault="00AB11A8" w:rsidP="00D247F6">
      <w:r>
        <w:separator/>
      </w:r>
    </w:p>
  </w:footnote>
  <w:footnote w:type="continuationSeparator" w:id="0">
    <w:p w14:paraId="7F246666" w14:textId="77777777" w:rsidR="00AB11A8" w:rsidRDefault="00AB11A8" w:rsidP="00D247F6">
      <w:r>
        <w:continuationSeparator/>
      </w:r>
    </w:p>
  </w:footnote>
  <w:footnote w:id="1">
    <w:p w14:paraId="32AADD3B" w14:textId="77777777" w:rsidR="00AB11A8" w:rsidRDefault="00AB11A8" w:rsidP="00FF033F">
      <w:pPr>
        <w:pStyle w:val="FootnoteText"/>
      </w:pPr>
      <w:r>
        <w:rPr>
          <w:rStyle w:val="FootnoteReference"/>
        </w:rPr>
        <w:footnoteRef/>
      </w:r>
      <w:r>
        <w:t xml:space="preserve"> </w:t>
      </w:r>
      <w:bookmarkStart w:id="6" w:name="_Hlk88115437"/>
      <w:r w:rsidRPr="005B3536">
        <w:rPr>
          <w:rFonts w:asciiTheme="majorHAnsi" w:hAnsiTheme="majorHAnsi"/>
        </w:rPr>
        <w:t>Laws of Minnesota 201</w:t>
      </w:r>
      <w:r>
        <w:rPr>
          <w:rFonts w:asciiTheme="majorHAnsi" w:hAnsiTheme="majorHAnsi"/>
        </w:rPr>
        <w:t>9</w:t>
      </w:r>
      <w:r w:rsidRPr="005B3536">
        <w:rPr>
          <w:rFonts w:asciiTheme="majorHAnsi" w:hAnsiTheme="majorHAnsi"/>
        </w:rPr>
        <w:t xml:space="preserve">, </w:t>
      </w:r>
      <w:r>
        <w:rPr>
          <w:rFonts w:asciiTheme="majorHAnsi" w:hAnsiTheme="majorHAnsi"/>
        </w:rPr>
        <w:t>1</w:t>
      </w:r>
      <w:r w:rsidRPr="0072443B">
        <w:rPr>
          <w:rFonts w:asciiTheme="majorHAnsi" w:hAnsiTheme="majorHAnsi"/>
          <w:vertAlign w:val="superscript"/>
        </w:rPr>
        <w:t>st</w:t>
      </w:r>
      <w:r>
        <w:rPr>
          <w:rFonts w:asciiTheme="majorHAnsi" w:hAnsiTheme="majorHAnsi"/>
        </w:rPr>
        <w:t xml:space="preserve"> Special Session, </w:t>
      </w:r>
      <w:r w:rsidRPr="005B3536">
        <w:rPr>
          <w:rFonts w:asciiTheme="majorHAnsi" w:hAnsiTheme="majorHAnsi"/>
        </w:rPr>
        <w:t xml:space="preserve">Chapter </w:t>
      </w:r>
      <w:r>
        <w:rPr>
          <w:rFonts w:asciiTheme="majorHAnsi" w:hAnsiTheme="majorHAnsi"/>
        </w:rPr>
        <w:t>7</w:t>
      </w:r>
      <w:r w:rsidRPr="005B3536">
        <w:rPr>
          <w:rFonts w:asciiTheme="majorHAnsi" w:hAnsiTheme="majorHAnsi"/>
        </w:rPr>
        <w:t xml:space="preserve">, Art. 1, Sec. 2, </w:t>
      </w:r>
      <w:proofErr w:type="spellStart"/>
      <w:r w:rsidRPr="005B3536">
        <w:rPr>
          <w:rFonts w:asciiTheme="majorHAnsi" w:hAnsiTheme="majorHAnsi"/>
        </w:rPr>
        <w:t>Subd</w:t>
      </w:r>
      <w:proofErr w:type="spellEnd"/>
      <w:r w:rsidRPr="005B3536">
        <w:rPr>
          <w:rFonts w:asciiTheme="majorHAnsi" w:hAnsiTheme="majorHAnsi"/>
        </w:rPr>
        <w:t>. 3(</w:t>
      </w:r>
      <w:r>
        <w:rPr>
          <w:rFonts w:asciiTheme="majorHAnsi" w:hAnsiTheme="majorHAnsi"/>
        </w:rPr>
        <w:t>dd</w:t>
      </w:r>
      <w:r w:rsidRPr="005B3536">
        <w:rPr>
          <w:rFonts w:asciiTheme="majorHAnsi" w:hAnsiTheme="majorHAnsi"/>
        </w:rPr>
        <w:t>)</w:t>
      </w:r>
      <w:bookmarkEnd w:id="6"/>
    </w:p>
  </w:footnote>
  <w:footnote w:id="2">
    <w:p w14:paraId="3281B1E1" w14:textId="27EC2D5D" w:rsidR="00AB11A8" w:rsidRDefault="00AB11A8">
      <w:pPr>
        <w:pStyle w:val="FootnoteText"/>
      </w:pPr>
      <w:r>
        <w:rPr>
          <w:rStyle w:val="FootnoteReference"/>
        </w:rPr>
        <w:footnoteRef/>
      </w:r>
      <w:r>
        <w:t xml:space="preserve"> Many organizations were not able to collect customer satisfaction from youth participants due to the COVID-19 pandemic restrictions.</w:t>
      </w:r>
    </w:p>
  </w:footnote>
  <w:footnote w:id="3">
    <w:p w14:paraId="6478CDBA" w14:textId="77777777" w:rsidR="00AB11A8" w:rsidRDefault="00AB11A8" w:rsidP="00FE7C71">
      <w:pPr>
        <w:pStyle w:val="FootnoteText"/>
      </w:pPr>
      <w:r>
        <w:rPr>
          <w:rStyle w:val="FootnoteReference"/>
        </w:rPr>
        <w:footnoteRef/>
      </w:r>
      <w:r>
        <w:t xml:space="preserve"> Many organizations were not able to collect customer satisfaction from youth participants due to the COVID-19 pandemic restrictions.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86DD" w14:textId="10DEC089" w:rsidR="00AB11A8" w:rsidRDefault="00AB1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2452" w14:textId="4C8D0835" w:rsidR="00AB11A8" w:rsidRDefault="00AB1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666A" w14:textId="56CCFBA5" w:rsidR="00AB11A8" w:rsidRPr="00E346F1" w:rsidRDefault="00AB11A8" w:rsidP="00E3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F2466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6D7190"/>
    <w:multiLevelType w:val="hybridMultilevel"/>
    <w:tmpl w:val="150CD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260DC"/>
    <w:multiLevelType w:val="hybridMultilevel"/>
    <w:tmpl w:val="5C20B2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C157E"/>
    <w:multiLevelType w:val="hybridMultilevel"/>
    <w:tmpl w:val="5EBCC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84917"/>
    <w:multiLevelType w:val="hybridMultilevel"/>
    <w:tmpl w:val="19A2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A1359"/>
    <w:multiLevelType w:val="hybridMultilevel"/>
    <w:tmpl w:val="340C1224"/>
    <w:lvl w:ilvl="0" w:tplc="BB94BC8C">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C7B7475"/>
    <w:multiLevelType w:val="hybridMultilevel"/>
    <w:tmpl w:val="E9FAD93E"/>
    <w:lvl w:ilvl="0" w:tplc="BB94BC8C">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F705CDC"/>
    <w:multiLevelType w:val="hybridMultilevel"/>
    <w:tmpl w:val="93360F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13A2051"/>
    <w:multiLevelType w:val="hybridMultilevel"/>
    <w:tmpl w:val="E9E6C3D8"/>
    <w:lvl w:ilvl="0" w:tplc="135E80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F6EAD"/>
    <w:multiLevelType w:val="hybridMultilevel"/>
    <w:tmpl w:val="6854B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C2964"/>
    <w:multiLevelType w:val="hybridMultilevel"/>
    <w:tmpl w:val="5016B2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A7E22"/>
    <w:multiLevelType w:val="hybridMultilevel"/>
    <w:tmpl w:val="84D09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8682C"/>
    <w:multiLevelType w:val="hybridMultilevel"/>
    <w:tmpl w:val="FAECCDEC"/>
    <w:lvl w:ilvl="0" w:tplc="BB94B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74188D"/>
    <w:multiLevelType w:val="hybridMultilevel"/>
    <w:tmpl w:val="B0D6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F63A3"/>
    <w:multiLevelType w:val="hybridMultilevel"/>
    <w:tmpl w:val="80C81206"/>
    <w:lvl w:ilvl="0" w:tplc="78885EA6">
      <w:start w:val="28"/>
      <w:numFmt w:val="bullet"/>
      <w:lvlText w:val=""/>
      <w:lvlJc w:val="left"/>
      <w:pPr>
        <w:ind w:left="900" w:hanging="360"/>
      </w:pPr>
      <w:rPr>
        <w:rFonts w:ascii="Symbol" w:eastAsia="Calibri" w:hAnsi="Symbol"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39" w15:restartNumberingAfterBreak="0">
    <w:nsid w:val="7C867799"/>
    <w:multiLevelType w:val="hybridMultilevel"/>
    <w:tmpl w:val="0DD855C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7"/>
  </w:num>
  <w:num w:numId="3">
    <w:abstractNumId w:val="33"/>
  </w:num>
  <w:num w:numId="4">
    <w:abstractNumId w:val="29"/>
  </w:num>
  <w:num w:numId="5">
    <w:abstractNumId w:val="25"/>
  </w:num>
  <w:num w:numId="6">
    <w:abstractNumId w:val="5"/>
  </w:num>
  <w:num w:numId="7">
    <w:abstractNumId w:val="16"/>
  </w:num>
  <w:num w:numId="8">
    <w:abstractNumId w:val="9"/>
  </w:num>
  <w:num w:numId="9">
    <w:abstractNumId w:val="14"/>
  </w:num>
  <w:num w:numId="10">
    <w:abstractNumId w:val="2"/>
  </w:num>
  <w:num w:numId="11">
    <w:abstractNumId w:val="2"/>
  </w:num>
  <w:num w:numId="12">
    <w:abstractNumId w:val="34"/>
  </w:num>
  <w:num w:numId="13">
    <w:abstractNumId w:val="37"/>
  </w:num>
  <w:num w:numId="14">
    <w:abstractNumId w:val="23"/>
  </w:num>
  <w:num w:numId="15">
    <w:abstractNumId w:val="2"/>
  </w:num>
  <w:num w:numId="16">
    <w:abstractNumId w:val="37"/>
  </w:num>
  <w:num w:numId="17">
    <w:abstractNumId w:val="23"/>
  </w:num>
  <w:num w:numId="18">
    <w:abstractNumId w:val="11"/>
  </w:num>
  <w:num w:numId="19">
    <w:abstractNumId w:val="6"/>
  </w:num>
  <w:num w:numId="20">
    <w:abstractNumId w:val="1"/>
  </w:num>
  <w:num w:numId="21">
    <w:abstractNumId w:val="0"/>
  </w:num>
  <w:num w:numId="22">
    <w:abstractNumId w:val="10"/>
  </w:num>
  <w:num w:numId="23">
    <w:abstractNumId w:val="26"/>
  </w:num>
  <w:num w:numId="24">
    <w:abstractNumId w:val="30"/>
  </w:num>
  <w:num w:numId="25">
    <w:abstractNumId w:val="12"/>
  </w:num>
  <w:num w:numId="26">
    <w:abstractNumId w:val="8"/>
  </w:num>
  <w:num w:numId="27">
    <w:abstractNumId w:val="15"/>
  </w:num>
  <w:num w:numId="28">
    <w:abstractNumId w:val="22"/>
  </w:num>
  <w:num w:numId="29">
    <w:abstractNumId w:val="32"/>
  </w:num>
  <w:num w:numId="30">
    <w:abstractNumId w:val="21"/>
  </w:num>
  <w:num w:numId="31">
    <w:abstractNumId w:val="39"/>
  </w:num>
  <w:num w:numId="32">
    <w:abstractNumId w:val="20"/>
  </w:num>
  <w:num w:numId="33">
    <w:abstractNumId w:val="38"/>
  </w:num>
  <w:num w:numId="34">
    <w:abstractNumId w:val="19"/>
  </w:num>
  <w:num w:numId="35">
    <w:abstractNumId w:val="13"/>
  </w:num>
  <w:num w:numId="36">
    <w:abstractNumId w:val="36"/>
  </w:num>
  <w:num w:numId="37">
    <w:abstractNumId w:val="18"/>
  </w:num>
  <w:num w:numId="38">
    <w:abstractNumId w:val="35"/>
  </w:num>
  <w:num w:numId="39">
    <w:abstractNumId w:val="24"/>
  </w:num>
  <w:num w:numId="40">
    <w:abstractNumId w:val="28"/>
  </w:num>
  <w:num w:numId="41">
    <w:abstractNumId w:val="27"/>
  </w:num>
  <w:num w:numId="42">
    <w:abstractNumId w:val="31"/>
  </w:num>
  <w:num w:numId="43">
    <w:abstractNumId w:val="17"/>
  </w:num>
  <w:num w:numId="4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65AC"/>
    <w:rsid w:val="00006A0A"/>
    <w:rsid w:val="000074C5"/>
    <w:rsid w:val="00014777"/>
    <w:rsid w:val="000158A7"/>
    <w:rsid w:val="000233BF"/>
    <w:rsid w:val="000261E8"/>
    <w:rsid w:val="00033658"/>
    <w:rsid w:val="0003752D"/>
    <w:rsid w:val="00064B90"/>
    <w:rsid w:val="0007374A"/>
    <w:rsid w:val="00074A30"/>
    <w:rsid w:val="0007512E"/>
    <w:rsid w:val="00080404"/>
    <w:rsid w:val="00084742"/>
    <w:rsid w:val="000B2E68"/>
    <w:rsid w:val="000C3708"/>
    <w:rsid w:val="000C3761"/>
    <w:rsid w:val="000C7373"/>
    <w:rsid w:val="000E313B"/>
    <w:rsid w:val="000E3E9D"/>
    <w:rsid w:val="000F4BB1"/>
    <w:rsid w:val="00100675"/>
    <w:rsid w:val="00104E2D"/>
    <w:rsid w:val="00117C59"/>
    <w:rsid w:val="00135082"/>
    <w:rsid w:val="00135DC7"/>
    <w:rsid w:val="00147ED1"/>
    <w:rsid w:val="001500D6"/>
    <w:rsid w:val="0015174C"/>
    <w:rsid w:val="001562C6"/>
    <w:rsid w:val="00157C41"/>
    <w:rsid w:val="001661D9"/>
    <w:rsid w:val="00167050"/>
    <w:rsid w:val="001708EC"/>
    <w:rsid w:val="00182561"/>
    <w:rsid w:val="00190FAC"/>
    <w:rsid w:val="001925A8"/>
    <w:rsid w:val="001961CB"/>
    <w:rsid w:val="0019673D"/>
    <w:rsid w:val="001A46BB"/>
    <w:rsid w:val="001A7ECB"/>
    <w:rsid w:val="001B20E6"/>
    <w:rsid w:val="001C4B91"/>
    <w:rsid w:val="001C55E0"/>
    <w:rsid w:val="001C6CE8"/>
    <w:rsid w:val="001D30F2"/>
    <w:rsid w:val="001E160D"/>
    <w:rsid w:val="001E5ECF"/>
    <w:rsid w:val="001F278F"/>
    <w:rsid w:val="00203863"/>
    <w:rsid w:val="002112A1"/>
    <w:rsid w:val="00211CA3"/>
    <w:rsid w:val="00222A49"/>
    <w:rsid w:val="0022552E"/>
    <w:rsid w:val="00227D62"/>
    <w:rsid w:val="00234657"/>
    <w:rsid w:val="00261247"/>
    <w:rsid w:val="00264652"/>
    <w:rsid w:val="00272B81"/>
    <w:rsid w:val="00274294"/>
    <w:rsid w:val="00277822"/>
    <w:rsid w:val="002818F0"/>
    <w:rsid w:val="00282084"/>
    <w:rsid w:val="00291052"/>
    <w:rsid w:val="002B4F7D"/>
    <w:rsid w:val="002B5E79"/>
    <w:rsid w:val="002C0859"/>
    <w:rsid w:val="002D7C32"/>
    <w:rsid w:val="002F1947"/>
    <w:rsid w:val="00303903"/>
    <w:rsid w:val="00306D94"/>
    <w:rsid w:val="003125DF"/>
    <w:rsid w:val="00324E7E"/>
    <w:rsid w:val="00335736"/>
    <w:rsid w:val="0034554C"/>
    <w:rsid w:val="0034728D"/>
    <w:rsid w:val="00355A7E"/>
    <w:rsid w:val="003563D2"/>
    <w:rsid w:val="00367E1E"/>
    <w:rsid w:val="00376FA5"/>
    <w:rsid w:val="003854B0"/>
    <w:rsid w:val="00387693"/>
    <w:rsid w:val="00392B94"/>
    <w:rsid w:val="003A1479"/>
    <w:rsid w:val="003A1813"/>
    <w:rsid w:val="003B7D82"/>
    <w:rsid w:val="003C246F"/>
    <w:rsid w:val="003C2A3F"/>
    <w:rsid w:val="003C4644"/>
    <w:rsid w:val="003C5BE3"/>
    <w:rsid w:val="003C6315"/>
    <w:rsid w:val="003D0DEE"/>
    <w:rsid w:val="003D21E6"/>
    <w:rsid w:val="003F61EE"/>
    <w:rsid w:val="0040222A"/>
    <w:rsid w:val="00413A7C"/>
    <w:rsid w:val="004141DD"/>
    <w:rsid w:val="00447199"/>
    <w:rsid w:val="00452F9E"/>
    <w:rsid w:val="00461804"/>
    <w:rsid w:val="00463AD5"/>
    <w:rsid w:val="00466810"/>
    <w:rsid w:val="004740E1"/>
    <w:rsid w:val="004816B5"/>
    <w:rsid w:val="00483DD2"/>
    <w:rsid w:val="00485A89"/>
    <w:rsid w:val="00490BD7"/>
    <w:rsid w:val="00494E6F"/>
    <w:rsid w:val="004A1B4D"/>
    <w:rsid w:val="004A28E0"/>
    <w:rsid w:val="004A58DD"/>
    <w:rsid w:val="004A6119"/>
    <w:rsid w:val="004B47DC"/>
    <w:rsid w:val="004C04F1"/>
    <w:rsid w:val="004C6FC8"/>
    <w:rsid w:val="004D5320"/>
    <w:rsid w:val="004E2555"/>
    <w:rsid w:val="004E75B3"/>
    <w:rsid w:val="004F04BA"/>
    <w:rsid w:val="004F0EFF"/>
    <w:rsid w:val="004F33A6"/>
    <w:rsid w:val="0050093F"/>
    <w:rsid w:val="00502EBD"/>
    <w:rsid w:val="00507575"/>
    <w:rsid w:val="00514788"/>
    <w:rsid w:val="00535FE1"/>
    <w:rsid w:val="0054371B"/>
    <w:rsid w:val="00546129"/>
    <w:rsid w:val="00555B93"/>
    <w:rsid w:val="0056615E"/>
    <w:rsid w:val="005666F2"/>
    <w:rsid w:val="00575EFD"/>
    <w:rsid w:val="005850DD"/>
    <w:rsid w:val="005A0954"/>
    <w:rsid w:val="005A2932"/>
    <w:rsid w:val="005A5A73"/>
    <w:rsid w:val="005B2DDF"/>
    <w:rsid w:val="005B4AE7"/>
    <w:rsid w:val="005B53B0"/>
    <w:rsid w:val="005C3C32"/>
    <w:rsid w:val="005C5FC6"/>
    <w:rsid w:val="005C672C"/>
    <w:rsid w:val="005D4207"/>
    <w:rsid w:val="005D45B3"/>
    <w:rsid w:val="005E3A91"/>
    <w:rsid w:val="005F6005"/>
    <w:rsid w:val="006064AB"/>
    <w:rsid w:val="006229CF"/>
    <w:rsid w:val="00622BB5"/>
    <w:rsid w:val="00624CFF"/>
    <w:rsid w:val="00627CD9"/>
    <w:rsid w:val="00640C3D"/>
    <w:rsid w:val="00655345"/>
    <w:rsid w:val="0066505C"/>
    <w:rsid w:val="00672536"/>
    <w:rsid w:val="00681EDC"/>
    <w:rsid w:val="0068649F"/>
    <w:rsid w:val="00687189"/>
    <w:rsid w:val="00697CCC"/>
    <w:rsid w:val="006B0D98"/>
    <w:rsid w:val="006B13B7"/>
    <w:rsid w:val="006B2942"/>
    <w:rsid w:val="006B3994"/>
    <w:rsid w:val="006C0E45"/>
    <w:rsid w:val="006D3C43"/>
    <w:rsid w:val="006D4829"/>
    <w:rsid w:val="006F3B38"/>
    <w:rsid w:val="007053FF"/>
    <w:rsid w:val="007124DA"/>
    <w:rsid w:val="007137A4"/>
    <w:rsid w:val="0071469D"/>
    <w:rsid w:val="007200B1"/>
    <w:rsid w:val="007225DF"/>
    <w:rsid w:val="00730A9B"/>
    <w:rsid w:val="007371AC"/>
    <w:rsid w:val="00745873"/>
    <w:rsid w:val="0074778B"/>
    <w:rsid w:val="007655C9"/>
    <w:rsid w:val="007658D0"/>
    <w:rsid w:val="00770E74"/>
    <w:rsid w:val="0077225E"/>
    <w:rsid w:val="00781701"/>
    <w:rsid w:val="00783183"/>
    <w:rsid w:val="00793F48"/>
    <w:rsid w:val="007A0AB7"/>
    <w:rsid w:val="007B038E"/>
    <w:rsid w:val="007B35B2"/>
    <w:rsid w:val="007D0884"/>
    <w:rsid w:val="007D1FFF"/>
    <w:rsid w:val="007D42A0"/>
    <w:rsid w:val="007E0CAA"/>
    <w:rsid w:val="007E685C"/>
    <w:rsid w:val="007F6108"/>
    <w:rsid w:val="007F7097"/>
    <w:rsid w:val="008067A6"/>
    <w:rsid w:val="00812A36"/>
    <w:rsid w:val="00814C62"/>
    <w:rsid w:val="008251B3"/>
    <w:rsid w:val="00844F1D"/>
    <w:rsid w:val="0084749F"/>
    <w:rsid w:val="008533D4"/>
    <w:rsid w:val="00864202"/>
    <w:rsid w:val="008767E5"/>
    <w:rsid w:val="008B2BFB"/>
    <w:rsid w:val="008B5443"/>
    <w:rsid w:val="008C7EEB"/>
    <w:rsid w:val="008D0DEF"/>
    <w:rsid w:val="008D2256"/>
    <w:rsid w:val="008D5D57"/>
    <w:rsid w:val="008D5E3D"/>
    <w:rsid w:val="008E668F"/>
    <w:rsid w:val="008E6856"/>
    <w:rsid w:val="0090737A"/>
    <w:rsid w:val="00930899"/>
    <w:rsid w:val="00932B7B"/>
    <w:rsid w:val="009440E4"/>
    <w:rsid w:val="0096108C"/>
    <w:rsid w:val="00963BA0"/>
    <w:rsid w:val="00967764"/>
    <w:rsid w:val="009810EE"/>
    <w:rsid w:val="009816EB"/>
    <w:rsid w:val="00984CC9"/>
    <w:rsid w:val="0099233F"/>
    <w:rsid w:val="009A66AE"/>
    <w:rsid w:val="009B4090"/>
    <w:rsid w:val="009B54A0"/>
    <w:rsid w:val="009C6405"/>
    <w:rsid w:val="00A06A05"/>
    <w:rsid w:val="00A202DC"/>
    <w:rsid w:val="00A21C0E"/>
    <w:rsid w:val="00A22BB9"/>
    <w:rsid w:val="00A25DD4"/>
    <w:rsid w:val="00A30799"/>
    <w:rsid w:val="00A46B59"/>
    <w:rsid w:val="00A57FE8"/>
    <w:rsid w:val="00A64ECE"/>
    <w:rsid w:val="00A66185"/>
    <w:rsid w:val="00A71CAD"/>
    <w:rsid w:val="00A731A2"/>
    <w:rsid w:val="00A827C1"/>
    <w:rsid w:val="00A82A78"/>
    <w:rsid w:val="00A93B06"/>
    <w:rsid w:val="00A93F40"/>
    <w:rsid w:val="00A96F93"/>
    <w:rsid w:val="00AB11A8"/>
    <w:rsid w:val="00AE1EB1"/>
    <w:rsid w:val="00AE5772"/>
    <w:rsid w:val="00AF1576"/>
    <w:rsid w:val="00AF22AD"/>
    <w:rsid w:val="00AF5107"/>
    <w:rsid w:val="00B01F02"/>
    <w:rsid w:val="00B02D5F"/>
    <w:rsid w:val="00B06264"/>
    <w:rsid w:val="00B07C8F"/>
    <w:rsid w:val="00B12FAA"/>
    <w:rsid w:val="00B275D4"/>
    <w:rsid w:val="00B31F41"/>
    <w:rsid w:val="00B473C4"/>
    <w:rsid w:val="00B545E5"/>
    <w:rsid w:val="00B57354"/>
    <w:rsid w:val="00B61EB1"/>
    <w:rsid w:val="00B61FD9"/>
    <w:rsid w:val="00B72EA1"/>
    <w:rsid w:val="00B75051"/>
    <w:rsid w:val="00B859DE"/>
    <w:rsid w:val="00BA23A4"/>
    <w:rsid w:val="00BA4A80"/>
    <w:rsid w:val="00BC232A"/>
    <w:rsid w:val="00BD0E59"/>
    <w:rsid w:val="00BE41E7"/>
    <w:rsid w:val="00C01845"/>
    <w:rsid w:val="00C03A71"/>
    <w:rsid w:val="00C12D2F"/>
    <w:rsid w:val="00C277A8"/>
    <w:rsid w:val="00C309AE"/>
    <w:rsid w:val="00C356DB"/>
    <w:rsid w:val="00C365CE"/>
    <w:rsid w:val="00C417EB"/>
    <w:rsid w:val="00C528AE"/>
    <w:rsid w:val="00C61688"/>
    <w:rsid w:val="00C801EA"/>
    <w:rsid w:val="00CE45B0"/>
    <w:rsid w:val="00CF625F"/>
    <w:rsid w:val="00D0014D"/>
    <w:rsid w:val="00D22153"/>
    <w:rsid w:val="00D22819"/>
    <w:rsid w:val="00D22C71"/>
    <w:rsid w:val="00D247F6"/>
    <w:rsid w:val="00D35B99"/>
    <w:rsid w:val="00D360F2"/>
    <w:rsid w:val="00D511F0"/>
    <w:rsid w:val="00D54EE5"/>
    <w:rsid w:val="00D63F82"/>
    <w:rsid w:val="00D640FC"/>
    <w:rsid w:val="00D70F7D"/>
    <w:rsid w:val="00D80D0A"/>
    <w:rsid w:val="00D817C7"/>
    <w:rsid w:val="00D92929"/>
    <w:rsid w:val="00D93C2E"/>
    <w:rsid w:val="00D95A00"/>
    <w:rsid w:val="00D970A5"/>
    <w:rsid w:val="00DA212A"/>
    <w:rsid w:val="00DB0BE6"/>
    <w:rsid w:val="00DB4967"/>
    <w:rsid w:val="00DB5EE9"/>
    <w:rsid w:val="00DC68E0"/>
    <w:rsid w:val="00DD3A29"/>
    <w:rsid w:val="00DE50CB"/>
    <w:rsid w:val="00DF3273"/>
    <w:rsid w:val="00DF6662"/>
    <w:rsid w:val="00E05639"/>
    <w:rsid w:val="00E206AE"/>
    <w:rsid w:val="00E23397"/>
    <w:rsid w:val="00E30D56"/>
    <w:rsid w:val="00E32CD7"/>
    <w:rsid w:val="00E346F1"/>
    <w:rsid w:val="00E41BD2"/>
    <w:rsid w:val="00E427A5"/>
    <w:rsid w:val="00E44EE1"/>
    <w:rsid w:val="00E463A4"/>
    <w:rsid w:val="00E5241D"/>
    <w:rsid w:val="00E5680C"/>
    <w:rsid w:val="00E61A16"/>
    <w:rsid w:val="00E76267"/>
    <w:rsid w:val="00E866F6"/>
    <w:rsid w:val="00EA535B"/>
    <w:rsid w:val="00EB251D"/>
    <w:rsid w:val="00EB2B13"/>
    <w:rsid w:val="00EB3BF4"/>
    <w:rsid w:val="00EB5BA6"/>
    <w:rsid w:val="00EC24AF"/>
    <w:rsid w:val="00EC579D"/>
    <w:rsid w:val="00ED5BDC"/>
    <w:rsid w:val="00ED7DAC"/>
    <w:rsid w:val="00EF7D8D"/>
    <w:rsid w:val="00F05B02"/>
    <w:rsid w:val="00F067A6"/>
    <w:rsid w:val="00F157DA"/>
    <w:rsid w:val="00F164F6"/>
    <w:rsid w:val="00F16924"/>
    <w:rsid w:val="00F20B25"/>
    <w:rsid w:val="00F37124"/>
    <w:rsid w:val="00F537BA"/>
    <w:rsid w:val="00F6052E"/>
    <w:rsid w:val="00F70C03"/>
    <w:rsid w:val="00F773F0"/>
    <w:rsid w:val="00F9084A"/>
    <w:rsid w:val="00FB6E40"/>
    <w:rsid w:val="00FC43F1"/>
    <w:rsid w:val="00FD1CCB"/>
    <w:rsid w:val="00FD7A7E"/>
    <w:rsid w:val="00FE7C71"/>
    <w:rsid w:val="00FF033F"/>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46623"/>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324E7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UnresolvedMention">
    <w:name w:val="Unresolved Mention"/>
    <w:basedOn w:val="DefaultParagraphFont"/>
    <w:uiPriority w:val="99"/>
    <w:semiHidden/>
    <w:unhideWhenUsed/>
    <w:rsid w:val="00FF033F"/>
    <w:rPr>
      <w:color w:val="605E5C"/>
      <w:shd w:val="clear" w:color="auto" w:fill="E1DFDD"/>
    </w:rPr>
  </w:style>
  <w:style w:type="character" w:styleId="FollowedHyperlink">
    <w:name w:val="FollowedHyperlink"/>
    <w:basedOn w:val="DefaultParagraphFont"/>
    <w:semiHidden/>
    <w:unhideWhenUsed/>
    <w:rsid w:val="00FF033F"/>
    <w:rPr>
      <w:color w:val="5D295F" w:themeColor="followedHyperlink"/>
      <w:u w:val="single"/>
    </w:rPr>
  </w:style>
  <w:style w:type="paragraph" w:styleId="TOC1">
    <w:name w:val="toc 1"/>
    <w:basedOn w:val="Normal"/>
    <w:next w:val="Normal"/>
    <w:autoRedefine/>
    <w:uiPriority w:val="39"/>
    <w:unhideWhenUsed/>
    <w:rsid w:val="00FF033F"/>
    <w:pPr>
      <w:spacing w:after="100"/>
    </w:pPr>
  </w:style>
  <w:style w:type="paragraph" w:styleId="TOC2">
    <w:name w:val="toc 2"/>
    <w:basedOn w:val="Normal"/>
    <w:next w:val="Normal"/>
    <w:autoRedefine/>
    <w:uiPriority w:val="39"/>
    <w:unhideWhenUsed/>
    <w:rsid w:val="00FF033F"/>
    <w:pPr>
      <w:spacing w:after="100"/>
      <w:ind w:left="220"/>
    </w:pPr>
  </w:style>
  <w:style w:type="paragraph" w:styleId="TOC3">
    <w:name w:val="toc 3"/>
    <w:basedOn w:val="Normal"/>
    <w:next w:val="Normal"/>
    <w:autoRedefine/>
    <w:uiPriority w:val="39"/>
    <w:unhideWhenUsed/>
    <w:rsid w:val="00FF033F"/>
    <w:pPr>
      <w:spacing w:after="100"/>
      <w:ind w:left="440"/>
    </w:pPr>
  </w:style>
  <w:style w:type="paragraph" w:styleId="NoSpacing">
    <w:name w:val="No Spacing"/>
    <w:uiPriority w:val="1"/>
    <w:qFormat/>
    <w:rsid w:val="00C01845"/>
    <w:pPr>
      <w:spacing w:before="0" w:line="240" w:lineRule="auto"/>
    </w:pPr>
    <w:rPr>
      <w:rFonts w:asciiTheme="minorHAnsi" w:eastAsiaTheme="minorHAnsi" w:hAnsiTheme="minorHAnsi" w:cstheme="minorBidi"/>
      <w:lang w:bidi="ar-SA"/>
    </w:rPr>
  </w:style>
  <w:style w:type="character" w:styleId="CommentReference">
    <w:name w:val="annotation reference"/>
    <w:basedOn w:val="DefaultParagraphFont"/>
    <w:semiHidden/>
    <w:unhideWhenUsed/>
    <w:rsid w:val="005850DD"/>
    <w:rPr>
      <w:sz w:val="16"/>
      <w:szCs w:val="16"/>
    </w:rPr>
  </w:style>
  <w:style w:type="paragraph" w:styleId="CommentText">
    <w:name w:val="annotation text"/>
    <w:basedOn w:val="Normal"/>
    <w:link w:val="CommentTextChar"/>
    <w:semiHidden/>
    <w:unhideWhenUsed/>
    <w:rsid w:val="005850DD"/>
    <w:pPr>
      <w:spacing w:line="240" w:lineRule="auto"/>
    </w:pPr>
    <w:rPr>
      <w:sz w:val="20"/>
      <w:szCs w:val="20"/>
    </w:rPr>
  </w:style>
  <w:style w:type="character" w:customStyle="1" w:styleId="CommentTextChar">
    <w:name w:val="Comment Text Char"/>
    <w:basedOn w:val="DefaultParagraphFont"/>
    <w:link w:val="CommentText"/>
    <w:semiHidden/>
    <w:rsid w:val="005850DD"/>
    <w:rPr>
      <w:sz w:val="20"/>
      <w:szCs w:val="20"/>
    </w:rPr>
  </w:style>
  <w:style w:type="paragraph" w:styleId="CommentSubject">
    <w:name w:val="annotation subject"/>
    <w:basedOn w:val="CommentText"/>
    <w:next w:val="CommentText"/>
    <w:link w:val="CommentSubjectChar"/>
    <w:semiHidden/>
    <w:unhideWhenUsed/>
    <w:rsid w:val="005850DD"/>
    <w:rPr>
      <w:b/>
      <w:bCs/>
    </w:rPr>
  </w:style>
  <w:style w:type="character" w:customStyle="1" w:styleId="CommentSubjectChar">
    <w:name w:val="Comment Subject Char"/>
    <w:basedOn w:val="CommentTextChar"/>
    <w:link w:val="CommentSubject"/>
    <w:semiHidden/>
    <w:rsid w:val="005850DD"/>
    <w:rPr>
      <w:b/>
      <w:bCs/>
      <w:sz w:val="20"/>
      <w:szCs w:val="20"/>
    </w:rPr>
  </w:style>
  <w:style w:type="paragraph" w:customStyle="1" w:styleId="Default">
    <w:name w:val="Default"/>
    <w:rsid w:val="00546129"/>
    <w:pPr>
      <w:autoSpaceDE w:val="0"/>
      <w:autoSpaceDN w:val="0"/>
      <w:adjustRightInd w:val="0"/>
      <w:spacing w:before="0" w:line="240" w:lineRule="auto"/>
    </w:pPr>
    <w:rPr>
      <w:rFonts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724">
      <w:bodyDiv w:val="1"/>
      <w:marLeft w:val="0"/>
      <w:marRight w:val="0"/>
      <w:marTop w:val="0"/>
      <w:marBottom w:val="0"/>
      <w:divBdr>
        <w:top w:val="none" w:sz="0" w:space="0" w:color="auto"/>
        <w:left w:val="none" w:sz="0" w:space="0" w:color="auto"/>
        <w:bottom w:val="none" w:sz="0" w:space="0" w:color="auto"/>
        <w:right w:val="none" w:sz="0" w:space="0" w:color="auto"/>
      </w:divBdr>
    </w:div>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7264173">
      <w:bodyDiv w:val="1"/>
      <w:marLeft w:val="0"/>
      <w:marRight w:val="0"/>
      <w:marTop w:val="0"/>
      <w:marBottom w:val="0"/>
      <w:divBdr>
        <w:top w:val="none" w:sz="0" w:space="0" w:color="auto"/>
        <w:left w:val="none" w:sz="0" w:space="0" w:color="auto"/>
        <w:bottom w:val="none" w:sz="0" w:space="0" w:color="auto"/>
        <w:right w:val="none" w:sz="0" w:space="0" w:color="auto"/>
      </w:divBdr>
    </w:div>
    <w:div w:id="73362127">
      <w:bodyDiv w:val="1"/>
      <w:marLeft w:val="0"/>
      <w:marRight w:val="0"/>
      <w:marTop w:val="0"/>
      <w:marBottom w:val="0"/>
      <w:divBdr>
        <w:top w:val="none" w:sz="0" w:space="0" w:color="auto"/>
        <w:left w:val="none" w:sz="0" w:space="0" w:color="auto"/>
        <w:bottom w:val="none" w:sz="0" w:space="0" w:color="auto"/>
        <w:right w:val="none" w:sz="0" w:space="0" w:color="auto"/>
      </w:divBdr>
    </w:div>
    <w:div w:id="110050815">
      <w:bodyDiv w:val="1"/>
      <w:marLeft w:val="0"/>
      <w:marRight w:val="0"/>
      <w:marTop w:val="0"/>
      <w:marBottom w:val="0"/>
      <w:divBdr>
        <w:top w:val="none" w:sz="0" w:space="0" w:color="auto"/>
        <w:left w:val="none" w:sz="0" w:space="0" w:color="auto"/>
        <w:bottom w:val="none" w:sz="0" w:space="0" w:color="auto"/>
        <w:right w:val="none" w:sz="0" w:space="0" w:color="auto"/>
      </w:divBdr>
    </w:div>
    <w:div w:id="168721291">
      <w:bodyDiv w:val="1"/>
      <w:marLeft w:val="0"/>
      <w:marRight w:val="0"/>
      <w:marTop w:val="0"/>
      <w:marBottom w:val="0"/>
      <w:divBdr>
        <w:top w:val="none" w:sz="0" w:space="0" w:color="auto"/>
        <w:left w:val="none" w:sz="0" w:space="0" w:color="auto"/>
        <w:bottom w:val="none" w:sz="0" w:space="0" w:color="auto"/>
        <w:right w:val="none" w:sz="0" w:space="0" w:color="auto"/>
      </w:divBdr>
    </w:div>
    <w:div w:id="290214689">
      <w:bodyDiv w:val="1"/>
      <w:marLeft w:val="0"/>
      <w:marRight w:val="0"/>
      <w:marTop w:val="0"/>
      <w:marBottom w:val="0"/>
      <w:divBdr>
        <w:top w:val="none" w:sz="0" w:space="0" w:color="auto"/>
        <w:left w:val="none" w:sz="0" w:space="0" w:color="auto"/>
        <w:bottom w:val="none" w:sz="0" w:space="0" w:color="auto"/>
        <w:right w:val="none" w:sz="0" w:space="0" w:color="auto"/>
      </w:divBdr>
    </w:div>
    <w:div w:id="334460296">
      <w:bodyDiv w:val="1"/>
      <w:marLeft w:val="0"/>
      <w:marRight w:val="0"/>
      <w:marTop w:val="0"/>
      <w:marBottom w:val="0"/>
      <w:divBdr>
        <w:top w:val="none" w:sz="0" w:space="0" w:color="auto"/>
        <w:left w:val="none" w:sz="0" w:space="0" w:color="auto"/>
        <w:bottom w:val="none" w:sz="0" w:space="0" w:color="auto"/>
        <w:right w:val="none" w:sz="0" w:space="0" w:color="auto"/>
      </w:divBdr>
    </w:div>
    <w:div w:id="335500484">
      <w:bodyDiv w:val="1"/>
      <w:marLeft w:val="0"/>
      <w:marRight w:val="0"/>
      <w:marTop w:val="0"/>
      <w:marBottom w:val="0"/>
      <w:divBdr>
        <w:top w:val="none" w:sz="0" w:space="0" w:color="auto"/>
        <w:left w:val="none" w:sz="0" w:space="0" w:color="auto"/>
        <w:bottom w:val="none" w:sz="0" w:space="0" w:color="auto"/>
        <w:right w:val="none" w:sz="0" w:space="0" w:color="auto"/>
      </w:divBdr>
    </w:div>
    <w:div w:id="378748486">
      <w:bodyDiv w:val="1"/>
      <w:marLeft w:val="0"/>
      <w:marRight w:val="0"/>
      <w:marTop w:val="0"/>
      <w:marBottom w:val="0"/>
      <w:divBdr>
        <w:top w:val="none" w:sz="0" w:space="0" w:color="auto"/>
        <w:left w:val="none" w:sz="0" w:space="0" w:color="auto"/>
        <w:bottom w:val="none" w:sz="0" w:space="0" w:color="auto"/>
        <w:right w:val="none" w:sz="0" w:space="0" w:color="auto"/>
      </w:divBdr>
    </w:div>
    <w:div w:id="461582787">
      <w:bodyDiv w:val="1"/>
      <w:marLeft w:val="0"/>
      <w:marRight w:val="0"/>
      <w:marTop w:val="0"/>
      <w:marBottom w:val="0"/>
      <w:divBdr>
        <w:top w:val="none" w:sz="0" w:space="0" w:color="auto"/>
        <w:left w:val="none" w:sz="0" w:space="0" w:color="auto"/>
        <w:bottom w:val="none" w:sz="0" w:space="0" w:color="auto"/>
        <w:right w:val="none" w:sz="0" w:space="0" w:color="auto"/>
      </w:divBdr>
    </w:div>
    <w:div w:id="472606491">
      <w:bodyDiv w:val="1"/>
      <w:marLeft w:val="0"/>
      <w:marRight w:val="0"/>
      <w:marTop w:val="0"/>
      <w:marBottom w:val="0"/>
      <w:divBdr>
        <w:top w:val="none" w:sz="0" w:space="0" w:color="auto"/>
        <w:left w:val="none" w:sz="0" w:space="0" w:color="auto"/>
        <w:bottom w:val="none" w:sz="0" w:space="0" w:color="auto"/>
        <w:right w:val="none" w:sz="0" w:space="0" w:color="auto"/>
      </w:divBdr>
    </w:div>
    <w:div w:id="673141963">
      <w:bodyDiv w:val="1"/>
      <w:marLeft w:val="0"/>
      <w:marRight w:val="0"/>
      <w:marTop w:val="0"/>
      <w:marBottom w:val="0"/>
      <w:divBdr>
        <w:top w:val="none" w:sz="0" w:space="0" w:color="auto"/>
        <w:left w:val="none" w:sz="0" w:space="0" w:color="auto"/>
        <w:bottom w:val="none" w:sz="0" w:space="0" w:color="auto"/>
        <w:right w:val="none" w:sz="0" w:space="0" w:color="auto"/>
      </w:divBdr>
    </w:div>
    <w:div w:id="893931718">
      <w:bodyDiv w:val="1"/>
      <w:marLeft w:val="0"/>
      <w:marRight w:val="0"/>
      <w:marTop w:val="0"/>
      <w:marBottom w:val="0"/>
      <w:divBdr>
        <w:top w:val="none" w:sz="0" w:space="0" w:color="auto"/>
        <w:left w:val="none" w:sz="0" w:space="0" w:color="auto"/>
        <w:bottom w:val="none" w:sz="0" w:space="0" w:color="auto"/>
        <w:right w:val="none" w:sz="0" w:space="0" w:color="auto"/>
      </w:divBdr>
    </w:div>
    <w:div w:id="927270444">
      <w:bodyDiv w:val="1"/>
      <w:marLeft w:val="0"/>
      <w:marRight w:val="0"/>
      <w:marTop w:val="0"/>
      <w:marBottom w:val="0"/>
      <w:divBdr>
        <w:top w:val="none" w:sz="0" w:space="0" w:color="auto"/>
        <w:left w:val="none" w:sz="0" w:space="0" w:color="auto"/>
        <w:bottom w:val="none" w:sz="0" w:space="0" w:color="auto"/>
        <w:right w:val="none" w:sz="0" w:space="0" w:color="auto"/>
      </w:divBdr>
    </w:div>
    <w:div w:id="943073807">
      <w:bodyDiv w:val="1"/>
      <w:marLeft w:val="0"/>
      <w:marRight w:val="0"/>
      <w:marTop w:val="0"/>
      <w:marBottom w:val="0"/>
      <w:divBdr>
        <w:top w:val="none" w:sz="0" w:space="0" w:color="auto"/>
        <w:left w:val="none" w:sz="0" w:space="0" w:color="auto"/>
        <w:bottom w:val="none" w:sz="0" w:space="0" w:color="auto"/>
        <w:right w:val="none" w:sz="0" w:space="0" w:color="auto"/>
      </w:divBdr>
    </w:div>
    <w:div w:id="1066610323">
      <w:bodyDiv w:val="1"/>
      <w:marLeft w:val="0"/>
      <w:marRight w:val="0"/>
      <w:marTop w:val="0"/>
      <w:marBottom w:val="0"/>
      <w:divBdr>
        <w:top w:val="none" w:sz="0" w:space="0" w:color="auto"/>
        <w:left w:val="none" w:sz="0" w:space="0" w:color="auto"/>
        <w:bottom w:val="none" w:sz="0" w:space="0" w:color="auto"/>
        <w:right w:val="none" w:sz="0" w:space="0" w:color="auto"/>
      </w:divBdr>
    </w:div>
    <w:div w:id="1165785714">
      <w:bodyDiv w:val="1"/>
      <w:marLeft w:val="0"/>
      <w:marRight w:val="0"/>
      <w:marTop w:val="0"/>
      <w:marBottom w:val="0"/>
      <w:divBdr>
        <w:top w:val="none" w:sz="0" w:space="0" w:color="auto"/>
        <w:left w:val="none" w:sz="0" w:space="0" w:color="auto"/>
        <w:bottom w:val="none" w:sz="0" w:space="0" w:color="auto"/>
        <w:right w:val="none" w:sz="0" w:space="0" w:color="auto"/>
      </w:divBdr>
    </w:div>
    <w:div w:id="1236276833">
      <w:bodyDiv w:val="1"/>
      <w:marLeft w:val="0"/>
      <w:marRight w:val="0"/>
      <w:marTop w:val="0"/>
      <w:marBottom w:val="0"/>
      <w:divBdr>
        <w:top w:val="none" w:sz="0" w:space="0" w:color="auto"/>
        <w:left w:val="none" w:sz="0" w:space="0" w:color="auto"/>
        <w:bottom w:val="none" w:sz="0" w:space="0" w:color="auto"/>
        <w:right w:val="none" w:sz="0" w:space="0" w:color="auto"/>
      </w:divBdr>
    </w:div>
    <w:div w:id="1363168244">
      <w:bodyDiv w:val="1"/>
      <w:marLeft w:val="0"/>
      <w:marRight w:val="0"/>
      <w:marTop w:val="0"/>
      <w:marBottom w:val="0"/>
      <w:divBdr>
        <w:top w:val="none" w:sz="0" w:space="0" w:color="auto"/>
        <w:left w:val="none" w:sz="0" w:space="0" w:color="auto"/>
        <w:bottom w:val="none" w:sz="0" w:space="0" w:color="auto"/>
        <w:right w:val="none" w:sz="0" w:space="0" w:color="auto"/>
      </w:divBdr>
    </w:div>
    <w:div w:id="1641615954">
      <w:bodyDiv w:val="1"/>
      <w:marLeft w:val="0"/>
      <w:marRight w:val="0"/>
      <w:marTop w:val="0"/>
      <w:marBottom w:val="0"/>
      <w:divBdr>
        <w:top w:val="none" w:sz="0" w:space="0" w:color="auto"/>
        <w:left w:val="none" w:sz="0" w:space="0" w:color="auto"/>
        <w:bottom w:val="none" w:sz="0" w:space="0" w:color="auto"/>
        <w:right w:val="none" w:sz="0" w:space="0" w:color="auto"/>
      </w:divBdr>
    </w:div>
    <w:div w:id="1645429117">
      <w:bodyDiv w:val="1"/>
      <w:marLeft w:val="0"/>
      <w:marRight w:val="0"/>
      <w:marTop w:val="0"/>
      <w:marBottom w:val="0"/>
      <w:divBdr>
        <w:top w:val="none" w:sz="0" w:space="0" w:color="auto"/>
        <w:left w:val="none" w:sz="0" w:space="0" w:color="auto"/>
        <w:bottom w:val="none" w:sz="0" w:space="0" w:color="auto"/>
        <w:right w:val="none" w:sz="0" w:space="0" w:color="auto"/>
      </w:divBdr>
    </w:div>
    <w:div w:id="1781097353">
      <w:bodyDiv w:val="1"/>
      <w:marLeft w:val="0"/>
      <w:marRight w:val="0"/>
      <w:marTop w:val="0"/>
      <w:marBottom w:val="0"/>
      <w:divBdr>
        <w:top w:val="none" w:sz="0" w:space="0" w:color="auto"/>
        <w:left w:val="none" w:sz="0" w:space="0" w:color="auto"/>
        <w:bottom w:val="none" w:sz="0" w:space="0" w:color="auto"/>
        <w:right w:val="none" w:sz="0" w:space="0" w:color="auto"/>
      </w:divBdr>
    </w:div>
    <w:div w:id="1803958100">
      <w:bodyDiv w:val="1"/>
      <w:marLeft w:val="0"/>
      <w:marRight w:val="0"/>
      <w:marTop w:val="0"/>
      <w:marBottom w:val="0"/>
      <w:divBdr>
        <w:top w:val="none" w:sz="0" w:space="0" w:color="auto"/>
        <w:left w:val="none" w:sz="0" w:space="0" w:color="auto"/>
        <w:bottom w:val="none" w:sz="0" w:space="0" w:color="auto"/>
        <w:right w:val="none" w:sz="0" w:space="0" w:color="auto"/>
      </w:divBdr>
    </w:div>
    <w:div w:id="19523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haina.Abraham@ci.stpaul.mn.us" TargetMode="External"/><Relationship Id="rId21" Type="http://schemas.openxmlformats.org/officeDocument/2006/relationships/hyperlink" Target="https://mn.gov/deed/about/contracts/" TargetMode="External"/><Relationship Id="rId34" Type="http://schemas.openxmlformats.org/officeDocument/2006/relationships/hyperlink" Target="mailto:may.xiong@ppl-inc.org" TargetMode="External"/><Relationship Id="rId42" Type="http://schemas.openxmlformats.org/officeDocument/2006/relationships/hyperlink" Target="mailto:hgleason@workforcecouncil.org" TargetMode="External"/><Relationship Id="rId47" Type="http://schemas.openxmlformats.org/officeDocument/2006/relationships/hyperlink" Target="mailto:dristamaki@cmjts.org" TargetMode="External"/><Relationship Id="rId50" Type="http://schemas.openxmlformats.org/officeDocument/2006/relationships/image" Target="media/image5.jpeg"/><Relationship Id="rId55" Type="http://schemas.openxmlformats.org/officeDocument/2006/relationships/hyperlink" Target="mailto:c.woodlee@bridgeforyouth.org" TargetMode="External"/><Relationship Id="rId63" Type="http://schemas.openxmlformats.org/officeDocument/2006/relationships/hyperlink" Target="mailto:nichol.higdon@ymcamn.org" TargetMode="External"/><Relationship Id="rId68" Type="http://schemas.openxmlformats.org/officeDocument/2006/relationships/hyperlink" Target="http://www.conservationcorps.org/youth-outdoors/" TargetMode="External"/><Relationship Id="rId76" Type="http://schemas.openxmlformats.org/officeDocument/2006/relationships/hyperlink" Target="https://gcc01.safelinks.protection.outlook.com/?url=https%3A%2F%2Fwww.mnkaren.org%2Fprograms%2Femployment-services%2Fyouth-career-pathways%2F&amp;data=02%7C01%7Ccory.schmid%40state.mn.us%7C758b5dbacc1d44704b3e08d85a67d531%7Ceb14b04624c445198f26b89c2159828c%7C0%7C0%7C637358749296833655&amp;sdata=3yM0db%2F1Sv8e5KaLdTyG8uwI0GVDbgrgoXe28b8yARo%3D&amp;reserved=0" TargetMode="External"/><Relationship Id="rId84" Type="http://schemas.openxmlformats.org/officeDocument/2006/relationships/hyperlink" Target="http://www.mahube.org" TargetMode="External"/><Relationship Id="rId89" Type="http://schemas.openxmlformats.org/officeDocument/2006/relationships/hyperlink" Target="mailto:jnelson@gapschool.org"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joani@banyancommunity.org"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visor.mn.gov/statutes/cite/116L.562" TargetMode="External"/><Relationship Id="rId29" Type="http://schemas.openxmlformats.org/officeDocument/2006/relationships/hyperlink" Target="mailto:ACarroll-Franck@bgc-tc.org" TargetMode="External"/><Relationship Id="rId11" Type="http://schemas.openxmlformats.org/officeDocument/2006/relationships/image" Target="media/image2.jpeg"/><Relationship Id="rId24" Type="http://schemas.openxmlformats.org/officeDocument/2006/relationships/hyperlink" Target="mailto:tammy.dickinson@minneapolismn.gov" TargetMode="External"/><Relationship Id="rId32" Type="http://schemas.openxmlformats.org/officeDocument/2006/relationships/hyperlink" Target="mailto:JulieG@pillsburyunited.org" TargetMode="External"/><Relationship Id="rId37" Type="http://schemas.openxmlformats.org/officeDocument/2006/relationships/hyperlink" Target="mailto:pjohnson@esns.org" TargetMode="External"/><Relationship Id="rId40" Type="http://schemas.openxmlformats.org/officeDocument/2006/relationships/hyperlink" Target="mailto:Tuleah.Palmer@nwicdc.org" TargetMode="External"/><Relationship Id="rId45" Type="http://schemas.openxmlformats.org/officeDocument/2006/relationships/hyperlink" Target="mailto:sclausen@evergreenyfs.org" TargetMode="External"/><Relationship Id="rId53" Type="http://schemas.openxmlformats.org/officeDocument/2006/relationships/hyperlink" Target="http://www.duluthmn.gov/workforce-development/" TargetMode="External"/><Relationship Id="rId58" Type="http://schemas.openxmlformats.org/officeDocument/2006/relationships/hyperlink" Target="mailto:kendall.carlson@hired.org" TargetMode="External"/><Relationship Id="rId66" Type="http://schemas.openxmlformats.org/officeDocument/2006/relationships/hyperlink" Target="http://cookiecart.org/" TargetMode="External"/><Relationship Id="rId74" Type="http://schemas.openxmlformats.org/officeDocument/2006/relationships/hyperlink" Target="https://www.mnkaren.org/" TargetMode="External"/><Relationship Id="rId79" Type="http://schemas.openxmlformats.org/officeDocument/2006/relationships/hyperlink" Target="mailto:Bridgett.backman@co.anoka.mn.us" TargetMode="External"/><Relationship Id="rId87" Type="http://schemas.openxmlformats.org/officeDocument/2006/relationships/hyperlink" Target="http://www.elpisenterprises.org" TargetMode="External"/><Relationship Id="rId5" Type="http://schemas.openxmlformats.org/officeDocument/2006/relationships/numbering" Target="numbering.xml"/><Relationship Id="rId61" Type="http://schemas.openxmlformats.org/officeDocument/2006/relationships/hyperlink" Target="mailto:efaris@swmnpic.org" TargetMode="External"/><Relationship Id="rId82" Type="http://schemas.openxmlformats.org/officeDocument/2006/relationships/image" Target="media/image6.jpeg"/><Relationship Id="rId90" Type="http://schemas.openxmlformats.org/officeDocument/2006/relationships/hyperlink" Target="mailto:kay.tracy@state.mn.us" TargetMode="External"/><Relationship Id="rId95" Type="http://schemas.openxmlformats.org/officeDocument/2006/relationships/image" Target="media/image7.png"/><Relationship Id="rId19" Type="http://schemas.openxmlformats.org/officeDocument/2006/relationships/hyperlink" Target="https://mn.gov/deed/programs-services/office-youth-development/special/grants/" TargetMode="External"/><Relationship Id="rId14" Type="http://schemas.openxmlformats.org/officeDocument/2006/relationships/hyperlink" Target="mailto:Kay.Tracy@state.mn.us" TargetMode="External"/><Relationship Id="rId22" Type="http://schemas.openxmlformats.org/officeDocument/2006/relationships/hyperlink" Target="https://mn.gov/deed/about/contracts/" TargetMode="External"/><Relationship Id="rId27" Type="http://schemas.openxmlformats.org/officeDocument/2006/relationships/hyperlink" Target="https://www.minneapolisparks.org/activities__events/youth_programs/teen_programs/teen_teamworks/" TargetMode="External"/><Relationship Id="rId30" Type="http://schemas.openxmlformats.org/officeDocument/2006/relationships/hyperlink" Target="https://www.brooklynk.works/" TargetMode="External"/><Relationship Id="rId35" Type="http://schemas.openxmlformats.org/officeDocument/2006/relationships/hyperlink" Target="mailto:Nola.Speiser@hennepin.us" TargetMode="External"/><Relationship Id="rId43" Type="http://schemas.openxmlformats.org/officeDocument/2006/relationships/image" Target="media/image3.png"/><Relationship Id="rId48" Type="http://schemas.openxmlformats.org/officeDocument/2006/relationships/image" Target="media/image4.png"/><Relationship Id="rId56" Type="http://schemas.openxmlformats.org/officeDocument/2006/relationships/hyperlink" Target="mailto:Janet.Hallaway@180Degrees.org" TargetMode="External"/><Relationship Id="rId64" Type="http://schemas.openxmlformats.org/officeDocument/2006/relationships/hyperlink" Target="https://gcc01.safelinks.protection.outlook.com/?url=http%3A%2F%2Fwww.goodwilleasterseals.org%2Fsite%2FPageServer&amp;data=04%7C01%7Ccory.schmid%40state.mn.us%7Cb25204ff92df4327f34208d88040964c%7Ceb14b04624c445198f26b89c2159828c%7C0%7C0%7C637400362178833594%7CUnknown%7CTWFpbGZsb3d8eyJWIjoiMC4wLjAwMDAiLCJQIjoiV2luMzIiLCJBTiI6Ik1haWwiLCJXVCI6Mn0%3D%7C1000&amp;sdata=F1SV7bmKbjLxDOOkVpGd%2F4i8xMtqr%2Bc2kQtU%2Barcv28%3D&amp;reserved=0" TargetMode="External"/><Relationship Id="rId69" Type="http://schemas.openxmlformats.org/officeDocument/2006/relationships/hyperlink" Target="mailto:hollis.emery@conservationcorps.org" TargetMode="External"/><Relationship Id="rId77" Type="http://schemas.openxmlformats.org/officeDocument/2006/relationships/hyperlink" Target="mailto:ghartley@migizi.org" TargetMode="External"/><Relationship Id="rId8" Type="http://schemas.openxmlformats.org/officeDocument/2006/relationships/webSettings" Target="webSettings.xml"/><Relationship Id="rId51" Type="http://schemas.openxmlformats.org/officeDocument/2006/relationships/hyperlink" Target="https://careersolutionsjobs.org/" TargetMode="External"/><Relationship Id="rId72" Type="http://schemas.openxmlformats.org/officeDocument/2006/relationships/hyperlink" Target="https://www.achievempls.org/career-college-centers" TargetMode="External"/><Relationship Id="rId80" Type="http://schemas.openxmlformats.org/officeDocument/2006/relationships/hyperlink" Target="mailto:michelledillon@cristoreytc.org" TargetMode="External"/><Relationship Id="rId85" Type="http://schemas.openxmlformats.org/officeDocument/2006/relationships/hyperlink" Target="mailto:homar@africans.org" TargetMode="External"/><Relationship Id="rId93"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revisor.mn.gov/statutes/cite/116L.562" TargetMode="External"/><Relationship Id="rId25" Type="http://schemas.openxmlformats.org/officeDocument/2006/relationships/hyperlink" Target="http://righttrack.stpaul.gov/" TargetMode="External"/><Relationship Id="rId33" Type="http://schemas.openxmlformats.org/officeDocument/2006/relationships/hyperlink" Target="http://www.ppl-inc.org/" TargetMode="External"/><Relationship Id="rId38" Type="http://schemas.openxmlformats.org/officeDocument/2006/relationships/hyperlink" Target="mailto:marcus@youthprise.org" TargetMode="External"/><Relationship Id="rId46" Type="http://schemas.openxmlformats.org/officeDocument/2006/relationships/hyperlink" Target="https://gcc01.safelinks.protection.outlook.com/?url=http%3A%2F%2Fwww.cmjts.org%2F&amp;data=02%7C01%7Ccory.schmid%40state.mn.us%7C94d8b881fc87417c886008d85e5333c7%7Ceb14b04624c445198f26b89c2159828c%7C0%7C0%7C637363058731609435&amp;sdata=XZajH2FxLrmf%2BAIut4p2iBy0KIAwur2X15OfBZ8iLy4%3D&amp;reserved=0" TargetMode="External"/><Relationship Id="rId59" Type="http://schemas.openxmlformats.org/officeDocument/2006/relationships/hyperlink" Target="mailto:mfarah@kajoog.org" TargetMode="External"/><Relationship Id="rId67" Type="http://schemas.openxmlformats.org/officeDocument/2006/relationships/hyperlink" Target="mailto:mhalley@cookiecart.org" TargetMode="External"/><Relationship Id="rId20" Type="http://schemas.openxmlformats.org/officeDocument/2006/relationships/hyperlink" Target="https://mn.gov/deed/about/contracts/" TargetMode="External"/><Relationship Id="rId41" Type="http://schemas.openxmlformats.org/officeDocument/2006/relationships/hyperlink" Target="https://gcc01.safelinks.protection.outlook.com/?url=http%3A%2F%2Fwww.workforcecouncil.org%2Fyouth-council%2Fprojects%2F&amp;data=02%7C01%7Ccory.schmid%40state.mn.us%7Cd44f185b9f5144f55de308d859a20b76%7Ceb14b04624c445198f26b89c2159828c%7C0%7C0%7C637357899798836368&amp;sdata=KIPnpYVB6ZMW1rJMJ0aNfZ0K6ehXHi0LLme8PFCYZ4g%3D&amp;reserved=0" TargetMode="External"/><Relationship Id="rId54" Type="http://schemas.openxmlformats.org/officeDocument/2006/relationships/hyperlink" Target="mailto:efoshay@duluthmn.gov" TargetMode="External"/><Relationship Id="rId62" Type="http://schemas.openxmlformats.org/officeDocument/2006/relationships/hyperlink" Target="https://www.ymcamn.org/" TargetMode="External"/><Relationship Id="rId70" Type="http://schemas.openxmlformats.org/officeDocument/2006/relationships/hyperlink" Target="https://www.banyancommunity.org/" TargetMode="External"/><Relationship Id="rId75" Type="http://schemas.openxmlformats.org/officeDocument/2006/relationships/hyperlink" Target="mailto:Awalstad@mnkaren.org" TargetMode="External"/><Relationship Id="rId83" Type="http://schemas.openxmlformats.org/officeDocument/2006/relationships/hyperlink" Target="mailto:lkuoppala@mahube.org" TargetMode="External"/><Relationship Id="rId88" Type="http://schemas.openxmlformats.org/officeDocument/2006/relationships/hyperlink" Target="mailto:paul@elpisenterprises.org" TargetMode="External"/><Relationship Id="rId91" Type="http://schemas.openxmlformats.org/officeDocument/2006/relationships/hyperlink" Target="https://mn.gov/deed/programs-services/office-youth-development/special/grant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n.gov/deed/programs-services/office-youth-development/" TargetMode="External"/><Relationship Id="rId23" Type="http://schemas.openxmlformats.org/officeDocument/2006/relationships/hyperlink" Target="https://gcc02.safelinks.protection.outlook.com/?url=http%3A%2F%2Fwww.minneapolismn.gov%2Fcped%2Fmetp%2Fstep-up_home&amp;data=04%7C01%7Ccory.schmid%40state.mn.us%7C9d6cfc69479a426403a808d9ecc39980%7Ceb14b04624c445198f26b89c2159828c%7C0%7C0%7C637801147122747074%7CUnknown%7CTWFpbGZsb3d8eyJWIjoiMC4wLjAwMDAiLCJQIjoiV2luMzIiLCJBTiI6Ik1haWwiLCJXVCI6Mn0%3D%7C3000&amp;sdata=5wx4FndrgFQ8pA2JgLj42EaH5mD0bkcpyST2zNYJ0Vg%3D&amp;reserved=0" TargetMode="External"/><Relationship Id="rId28" Type="http://schemas.openxmlformats.org/officeDocument/2006/relationships/hyperlink" Target="mailto:ltkaczik@minneapolisparks.org" TargetMode="External"/><Relationship Id="rId36" Type="http://schemas.openxmlformats.org/officeDocument/2006/relationships/hyperlink" Target="http://www.esns.org" TargetMode="External"/><Relationship Id="rId49" Type="http://schemas.openxmlformats.org/officeDocument/2006/relationships/hyperlink" Target="mailto:vickil@rmcep.com" TargetMode="External"/><Relationship Id="rId57" Type="http://schemas.openxmlformats.org/officeDocument/2006/relationships/hyperlink" Target="https://www.hired.org/youth-services" TargetMode="External"/><Relationship Id="rId10" Type="http://schemas.openxmlformats.org/officeDocument/2006/relationships/endnotes" Target="endnotes.xml"/><Relationship Id="rId31" Type="http://schemas.openxmlformats.org/officeDocument/2006/relationships/hyperlink" Target="mailto:Breanne.Rothstein@Brooklynpark.org" TargetMode="External"/><Relationship Id="rId44" Type="http://schemas.openxmlformats.org/officeDocument/2006/relationships/hyperlink" Target="https://gcc01.safelinks.protection.outlook.com/?url=https%3A%2F%2Fwww.evergreenyfs.org%2Fhtml%2Fprograms%2Fyouth-services%2Fyouth-at-work-program.html&amp;data=02%7C01%7CCory.Schmid%40state.mn.us%7Ca49f39e5019a407c914108d85be43db3%7Ceb14b04624c445198f26b89c2159828c%7C0%7C0%7C637360383142992766&amp;sdata=maQueDT5I0tjztTlqAaRM5bJGK2aubdjoLblEg2alUw%3D&amp;reserved=0" TargetMode="External"/><Relationship Id="rId52" Type="http://schemas.openxmlformats.org/officeDocument/2006/relationships/hyperlink" Target="mailto:Audrey.ODriscoll@CSJobs.org" TargetMode="External"/><Relationship Id="rId60" Type="http://schemas.openxmlformats.org/officeDocument/2006/relationships/hyperlink" Target="http://www.swmnpic.org/" TargetMode="External"/><Relationship Id="rId65" Type="http://schemas.openxmlformats.org/officeDocument/2006/relationships/hyperlink" Target="mailto:solson@goodwilleasterseals.org" TargetMode="External"/><Relationship Id="rId73" Type="http://schemas.openxmlformats.org/officeDocument/2006/relationships/hyperlink" Target="mailto:dgrant@achievempls.org" TargetMode="External"/><Relationship Id="rId78" Type="http://schemas.openxmlformats.org/officeDocument/2006/relationships/hyperlink" Target="http://www.anokacounty.us/1293/Empowers-Youth-Program" TargetMode="External"/><Relationship Id="rId81" Type="http://schemas.openxmlformats.org/officeDocument/2006/relationships/hyperlink" Target="http://www.cristoreytc.org" TargetMode="External"/><Relationship Id="rId86" Type="http://schemas.openxmlformats.org/officeDocument/2006/relationships/hyperlink" Target="mailto:cmeld@isd4.org" TargetMode="External"/><Relationship Id="rId9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revisor.mn.gov/statutes/cite/116L.562" TargetMode="External"/><Relationship Id="rId39" Type="http://schemas.openxmlformats.org/officeDocument/2006/relationships/hyperlink" Target="mailto:anhared@somalcr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true</Accessibility_x0020_Check_x0020_Done>
    <Form_x0020__x0023_ xmlns="1cd47f14-7087-4e70-834b-3e31bb072a55" xsi:nil="true"/>
    <Category xmlns="1cd47f14-7087-4e70-834b-3e31bb072a55">Template</Category>
    <Accessibility_x0020_Passed xmlns="1cd47f14-7087-4e70-834b-3e31bb072a55">true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65ba601ff210b096aab9d9bab2103e43">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e2e697e2d244a82ed94f6157180b86f2"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format="Dropdown" ma:internalName="Contact" ma:readOnly="false">
      <xsd:simpleType>
        <xsd:union memberTypes="dms:Text">
          <xsd:simpleType>
            <xsd:restriction base="dms:Choice">
              <xsd:enumeration value="Operations"/>
            </xsd:restriction>
          </xsd:simpleType>
        </xsd:union>
      </xsd:simpleType>
    </xsd:element>
    <xsd:element name="Category" ma:index="8" nillable="true" ma:displayName="Category" ma:format="Dropdown" ma:indexed="true" ma:internalName="Category" ma:readOnly="false">
      <xsd:simpleType>
        <xsd:union memberTypes="dms:Text">
          <xsd:simpleType>
            <xsd:restriction base="dms:Choice">
              <xsd:enumeration value="Records Retention"/>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CareerForce"/>
          <xsd:enumeration value="Records Reten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3A2B-B247-48D0-9579-3481F102C991}">
  <ds:schemaRefs>
    <ds:schemaRef ds:uri="http://purl.org/dc/elements/1.1/"/>
    <ds:schemaRef ds:uri="http://schemas.microsoft.com/office/2006/metadata/properties"/>
    <ds:schemaRef ds:uri="http://schemas.microsoft.com/office/infopath/2007/PartnerControls"/>
    <ds:schemaRef ds:uri="1cd47f14-7087-4e70-834b-3e31bb072a55"/>
    <ds:schemaRef ds:uri="http://purl.org/dc/terms/"/>
    <ds:schemaRef ds:uri="http://schemas.microsoft.com/office/2006/documentManagement/types"/>
    <ds:schemaRef ds:uri="http://schemas.microsoft.com/sharepoint/v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484B8B2-97F6-41AD-A43E-8122C09F1509}">
  <ds:schemaRefs>
    <ds:schemaRef ds:uri="http://schemas.microsoft.com/sharepoint/v3/contenttype/forms"/>
  </ds:schemaRefs>
</ds:datastoreItem>
</file>

<file path=customXml/itemProps3.xml><?xml version="1.0" encoding="utf-8"?>
<ds:datastoreItem xmlns:ds="http://schemas.openxmlformats.org/officeDocument/2006/customXml" ds:itemID="{4199FB1E-E85B-4C4B-81E6-EFB031B76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D9DF8-99F2-4FB0-8444-F84B504F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7681</Words>
  <Characters>51617</Characters>
  <Application>Microsoft Office Word</Application>
  <DocSecurity>0</DocSecurity>
  <Lines>430</Lines>
  <Paragraphs>118</Paragraphs>
  <ScaleCrop>false</ScaleCrop>
  <HeadingPairs>
    <vt:vector size="2" baseType="variant">
      <vt:variant>
        <vt:lpstr>Title</vt:lpstr>
      </vt:variant>
      <vt:variant>
        <vt:i4>1</vt:i4>
      </vt:variant>
    </vt:vector>
  </HeadingPairs>
  <TitlesOfParts>
    <vt:vector size="1" baseType="lpstr">
      <vt:lpstr>Legislative Report Template</vt:lpstr>
    </vt:vector>
  </TitlesOfParts>
  <Manager/>
  <Company/>
  <LinksUpToDate>false</LinksUpToDate>
  <CharactersWithSpaces>59180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Report Template</dc:title>
  <dc:subject>template</dc:subject>
  <dc:creator>Heidi A Johnson</dc:creator>
  <cp:keywords>template, report</cp:keywords>
  <dc:description>Document template version 1.2, Released 4-2017</dc:description>
  <cp:lastModifiedBy>Schmid, Cory (DEED)</cp:lastModifiedBy>
  <cp:revision>2</cp:revision>
  <cp:lastPrinted>2019-12-06T19:37:00Z</cp:lastPrinted>
  <dcterms:created xsi:type="dcterms:W3CDTF">2022-04-20T12:45:00Z</dcterms:created>
  <dcterms:modified xsi:type="dcterms:W3CDTF">2022-04-20T12:45:00Z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