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A081E" w14:textId="456DFA4A" w:rsidR="00A30328" w:rsidRPr="002E27C8" w:rsidRDefault="00A30328" w:rsidP="007F1C4A">
      <w:pPr>
        <w:tabs>
          <w:tab w:val="left" w:pos="360"/>
          <w:tab w:val="left" w:pos="6660"/>
        </w:tabs>
        <w:spacing w:after="240"/>
        <w:jc w:val="center"/>
      </w:pPr>
      <w:r w:rsidRPr="002E27C8">
        <w:rPr>
          <w:noProof/>
        </w:rPr>
        <mc:AlternateContent>
          <mc:Choice Requires="wps">
            <w:drawing>
              <wp:anchor distT="0" distB="0" distL="114300" distR="114300" simplePos="0" relativeHeight="251656704" behindDoc="0" locked="0" layoutInCell="1" allowOverlap="1" wp14:anchorId="3957BDA5" wp14:editId="56846BB4">
                <wp:simplePos x="0" y="0"/>
                <wp:positionH relativeFrom="margin">
                  <wp:align>left</wp:align>
                </wp:positionH>
                <wp:positionV relativeFrom="paragraph">
                  <wp:posOffset>1217047</wp:posOffset>
                </wp:positionV>
                <wp:extent cx="6472362" cy="419100"/>
                <wp:effectExtent l="0" t="0" r="0" b="0"/>
                <wp:wrapNone/>
                <wp:docPr id="2" name="Text Box 2" descr="Text box&#10;&#10;Data on Minnesota Exports for First Quarter 2022 – Published May 2022&#10;For More Information: Alicia Cordes-Mayo (alicia.cordes-mayo@state.mn.us, 763-406-9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2362"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B0058" w14:textId="59AA405B" w:rsidR="007F1C4A" w:rsidRPr="00B577E0" w:rsidRDefault="007F1C4A" w:rsidP="007F1C4A">
                            <w:pPr>
                              <w:pStyle w:val="NoSpacing"/>
                              <w:jc w:val="center"/>
                              <w:rPr>
                                <w:rStyle w:val="Emphasis"/>
                                <w:b/>
                              </w:rPr>
                            </w:pPr>
                            <w:r w:rsidRPr="00B577E0">
                              <w:rPr>
                                <w:rStyle w:val="Emphasis"/>
                                <w:b/>
                              </w:rPr>
                              <w:t>Dat</w:t>
                            </w:r>
                            <w:r w:rsidR="00B85149">
                              <w:rPr>
                                <w:rStyle w:val="Emphasis"/>
                                <w:b/>
                              </w:rPr>
                              <w:t>a</w:t>
                            </w:r>
                            <w:r w:rsidR="00856B05">
                              <w:rPr>
                                <w:rStyle w:val="Emphasis"/>
                                <w:b/>
                              </w:rPr>
                              <w:t xml:space="preserve"> on Minnesota Exports for </w:t>
                            </w:r>
                            <w:r w:rsidR="00A30328">
                              <w:rPr>
                                <w:rStyle w:val="Emphasis"/>
                                <w:b/>
                              </w:rPr>
                              <w:t>First</w:t>
                            </w:r>
                            <w:r w:rsidR="007818E5">
                              <w:rPr>
                                <w:rStyle w:val="Emphasis"/>
                                <w:b/>
                              </w:rPr>
                              <w:t xml:space="preserve"> Quarter </w:t>
                            </w:r>
                            <w:r w:rsidR="00D4733E">
                              <w:rPr>
                                <w:rStyle w:val="Emphasis"/>
                                <w:b/>
                              </w:rPr>
                              <w:t>2022</w:t>
                            </w:r>
                            <w:r w:rsidR="00A43E28">
                              <w:rPr>
                                <w:rStyle w:val="Emphasis"/>
                                <w:b/>
                              </w:rPr>
                              <w:t xml:space="preserve"> – Published </w:t>
                            </w:r>
                            <w:r w:rsidR="00B7514D">
                              <w:rPr>
                                <w:rStyle w:val="Emphasis"/>
                                <w:b/>
                              </w:rPr>
                              <w:t>May</w:t>
                            </w:r>
                            <w:r w:rsidR="0000470B">
                              <w:rPr>
                                <w:rStyle w:val="Emphasis"/>
                                <w:b/>
                              </w:rPr>
                              <w:t xml:space="preserve"> </w:t>
                            </w:r>
                            <w:r w:rsidR="00D4733E">
                              <w:rPr>
                                <w:rStyle w:val="Emphasis"/>
                                <w:b/>
                              </w:rPr>
                              <w:t>2022</w:t>
                            </w:r>
                          </w:p>
                          <w:p w14:paraId="34B91C04" w14:textId="42D225B0" w:rsidR="007F1C4A" w:rsidRPr="00B577E0" w:rsidRDefault="00FE15EB" w:rsidP="0094395B">
                            <w:pPr>
                              <w:pStyle w:val="NoSpacing"/>
                              <w:jc w:val="center"/>
                              <w:rPr>
                                <w:rStyle w:val="Emphasis"/>
                                <w:b/>
                              </w:rPr>
                            </w:pPr>
                            <w:r>
                              <w:rPr>
                                <w:rStyle w:val="Emphasis"/>
                                <w:b/>
                              </w:rPr>
                              <w:t>For More Information</w:t>
                            </w:r>
                            <w:r w:rsidRPr="007818E5">
                              <w:rPr>
                                <w:rStyle w:val="Emphasis"/>
                              </w:rPr>
                              <w:t xml:space="preserve">: </w:t>
                            </w:r>
                            <w:r w:rsidRPr="00690C1B">
                              <w:rPr>
                                <w:rStyle w:val="Strong"/>
                                <w:i/>
                                <w:iCs/>
                              </w:rPr>
                              <w:t>Alicia Cordes-Mayo (</w:t>
                            </w:r>
                            <w:r w:rsidRPr="00690C1B">
                              <w:rPr>
                                <w:b/>
                                <w:bCs/>
                                <w:i/>
                                <w:iCs/>
                              </w:rPr>
                              <w:t>alicia.cordes-mayo@state.mn.us, 763-406-9965)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7BDA5" id="_x0000_t202" coordsize="21600,21600" o:spt="202" path="m,l,21600r21600,l21600,xe">
                <v:stroke joinstyle="miter"/>
                <v:path gradientshapeok="t" o:connecttype="rect"/>
              </v:shapetype>
              <v:shape id="Text Box 2" o:spid="_x0000_s1026" type="#_x0000_t202" alt="Text box&#10;&#10;Data on Minnesota Exports for First Quarter 2022 – Published May 2022&#10;For More Information: Alicia Cordes-Mayo (alicia.cordes-mayo@state.mn.us, 763-406-9965)" style="position:absolute;left:0;text-align:left;margin-left:0;margin-top:95.85pt;width:509.65pt;height:33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BUdgIAAIQEAAAOAAAAZHJzL2Uyb0RvYy54bWysVNFu0zAUfUfiH66MhECiTZp1HQ1LR9ko&#10;mrTC0MYHOI7TWCS+wXaXlCf+gT/kS7h2ulHgDfFi2efGx/ece29Oz/qmhjtprEKdsck4ZiC1wELp&#10;TcY+3a5GLxlYx3XBa9QyYztp2dni8aPTrk1lghXWhTRAJNqmXZuxyrk2jSIrKtlwO8ZWagqWaBru&#10;6Gg2UWF4R+xNHSVxPIs6NEVrUEhrCb0YgmwR+MtSCvehLK10UGeMcnNhNWHN/RotTnm6MbytlNin&#10;wf8hi4YrTY8+UF1wx2Fr1F9UjRIGLZZuLLCJsCyVkEEDqZnEf6i5qXgrgxYyx7YPNtn/Ryve310b&#10;UEXGEgaaN1SiW9k7eIM9EFJIK8itAOXYP33SL1+FJQhEDWultbRIat/2LRpngWoFK2Wsg49bbhxV&#10;N4mTBH58+w7X27xWtpIFrPkuwIFrRTfWaCRc6qHQ1EspLGslFIdzqq+0I7qA8IwHjKwLWEPYa2ou&#10;J8eNHm/tCziZHY2m8Ww0n8+On/vadq1NSeJNSyJdT6KoR0OdbHuF4rMFjecV1xu5NAa7SvKCvJ34&#10;m9HB1YHHepK8W2NBJvGtw0DUl6bxhadSArFTj+0e+sobKQicTU+SoxnZKSg2ncwncWi8iKf3t1vy&#10;653EBvwmY4b6NrDzuyvrfDY8vf/EP6Zxpeo69G6tfwPoQ4+E7H3CQ+quz/u9GzkWO9JhcBgFGl3a&#10;VGi+MuhoDDJmv1DZJIP6UpMX88l06ucmHKbHJwkdzGEkP4xwLYgqY47BsD13w6xtW6M2Fb00uK9x&#10;Sf6VKkjzRg9Z7fOmVg+K92PpW+3wHL769fNY/AQAAP//AwBQSwMEFAAGAAgAAAAhALf2yEbeAAAA&#10;CQEAAA8AAABkcnMvZG93bnJldi54bWxMj81OwzAQhO9IvIO1SNyonUIbEuJUCMS1qOVH4ubG2yQi&#10;Xkex24S37/ZEj7OzmvmmWE2uE0ccQutJQzJTIJAqb1uqNXx+vN09ggjRkDWdJ9TwhwFW5fVVYXLr&#10;R9rgcRtrwSEUcqOhibHPpQxVg86Eme+R2Nv7wZnIcqilHczI4a6Tc6WW0pmWuKExPb40WP1uD07D&#10;13r/8/2g3utXt+hHPylJLpNa395Mz08gIk7x/xnO+IwOJTPt/IFsEJ0GHhL5miUpiLOtkuwexE7D&#10;fJGmIMtCXi4oTwAAAP//AwBQSwECLQAUAAYACAAAACEAtoM4kv4AAADhAQAAEwAAAAAAAAAAAAAA&#10;AAAAAAAAW0NvbnRlbnRfVHlwZXNdLnhtbFBLAQItABQABgAIAAAAIQA4/SH/1gAAAJQBAAALAAAA&#10;AAAAAAAAAAAAAC8BAABfcmVscy8ucmVsc1BLAQItABQABgAIAAAAIQApAvBUdgIAAIQEAAAOAAAA&#10;AAAAAAAAAAAAAC4CAABkcnMvZTJvRG9jLnhtbFBLAQItABQABgAIAAAAIQC39shG3gAAAAkBAAAP&#10;AAAAAAAAAAAAAAAAANAEAABkcnMvZG93bnJldi54bWxQSwUGAAAAAAQABADzAAAA2wUAAAAA&#10;" filled="f" stroked="f">
                <v:textbox>
                  <w:txbxContent>
                    <w:p w14:paraId="482B0058" w14:textId="59AA405B" w:rsidR="007F1C4A" w:rsidRPr="00B577E0" w:rsidRDefault="007F1C4A" w:rsidP="007F1C4A">
                      <w:pPr>
                        <w:pStyle w:val="NoSpacing"/>
                        <w:jc w:val="center"/>
                        <w:rPr>
                          <w:rStyle w:val="Emphasis"/>
                          <w:b/>
                        </w:rPr>
                      </w:pPr>
                      <w:r w:rsidRPr="00B577E0">
                        <w:rPr>
                          <w:rStyle w:val="Emphasis"/>
                          <w:b/>
                        </w:rPr>
                        <w:t>Dat</w:t>
                      </w:r>
                      <w:r w:rsidR="00B85149">
                        <w:rPr>
                          <w:rStyle w:val="Emphasis"/>
                          <w:b/>
                        </w:rPr>
                        <w:t>a</w:t>
                      </w:r>
                      <w:r w:rsidR="00856B05">
                        <w:rPr>
                          <w:rStyle w:val="Emphasis"/>
                          <w:b/>
                        </w:rPr>
                        <w:t xml:space="preserve"> on Minnesota Exports for </w:t>
                      </w:r>
                      <w:r w:rsidR="00A30328">
                        <w:rPr>
                          <w:rStyle w:val="Emphasis"/>
                          <w:b/>
                        </w:rPr>
                        <w:t>First</w:t>
                      </w:r>
                      <w:r w:rsidR="007818E5">
                        <w:rPr>
                          <w:rStyle w:val="Emphasis"/>
                          <w:b/>
                        </w:rPr>
                        <w:t xml:space="preserve"> Quarter </w:t>
                      </w:r>
                      <w:r w:rsidR="00D4733E">
                        <w:rPr>
                          <w:rStyle w:val="Emphasis"/>
                          <w:b/>
                        </w:rPr>
                        <w:t>2022</w:t>
                      </w:r>
                      <w:r w:rsidR="00A43E28">
                        <w:rPr>
                          <w:rStyle w:val="Emphasis"/>
                          <w:b/>
                        </w:rPr>
                        <w:t xml:space="preserve"> – Published </w:t>
                      </w:r>
                      <w:r w:rsidR="00B7514D">
                        <w:rPr>
                          <w:rStyle w:val="Emphasis"/>
                          <w:b/>
                        </w:rPr>
                        <w:t>May</w:t>
                      </w:r>
                      <w:r w:rsidR="0000470B">
                        <w:rPr>
                          <w:rStyle w:val="Emphasis"/>
                          <w:b/>
                        </w:rPr>
                        <w:t xml:space="preserve"> </w:t>
                      </w:r>
                      <w:r w:rsidR="00D4733E">
                        <w:rPr>
                          <w:rStyle w:val="Emphasis"/>
                          <w:b/>
                        </w:rPr>
                        <w:t>2022</w:t>
                      </w:r>
                    </w:p>
                    <w:p w14:paraId="34B91C04" w14:textId="42D225B0" w:rsidR="007F1C4A" w:rsidRPr="00B577E0" w:rsidRDefault="00FE15EB" w:rsidP="0094395B">
                      <w:pPr>
                        <w:pStyle w:val="NoSpacing"/>
                        <w:jc w:val="center"/>
                        <w:rPr>
                          <w:rStyle w:val="Emphasis"/>
                          <w:b/>
                        </w:rPr>
                      </w:pPr>
                      <w:r>
                        <w:rPr>
                          <w:rStyle w:val="Emphasis"/>
                          <w:b/>
                        </w:rPr>
                        <w:t>For More Information</w:t>
                      </w:r>
                      <w:r w:rsidRPr="007818E5">
                        <w:rPr>
                          <w:rStyle w:val="Emphasis"/>
                        </w:rPr>
                        <w:t xml:space="preserve">: </w:t>
                      </w:r>
                      <w:r w:rsidRPr="00690C1B">
                        <w:rPr>
                          <w:rStyle w:val="Strong"/>
                          <w:i/>
                          <w:iCs/>
                        </w:rPr>
                        <w:t>Alicia Cordes-Mayo (</w:t>
                      </w:r>
                      <w:r w:rsidRPr="00690C1B">
                        <w:rPr>
                          <w:b/>
                          <w:bCs/>
                          <w:i/>
                          <w:iCs/>
                        </w:rPr>
                        <w:t>alicia.cordes-mayo@state.mn.us, 763-406-9965)</w:t>
                      </w:r>
                    </w:p>
                  </w:txbxContent>
                </v:textbox>
                <w10:wrap anchorx="margin"/>
              </v:shape>
            </w:pict>
          </mc:Fallback>
        </mc:AlternateContent>
      </w:r>
      <w:r w:rsidRPr="002E27C8">
        <w:rPr>
          <w:noProof/>
        </w:rPr>
        <w:drawing>
          <wp:inline distT="0" distB="0" distL="0" distR="0" wp14:anchorId="3FDEBFAE" wp14:editId="18B09D00">
            <wp:extent cx="6492240" cy="1136015"/>
            <wp:effectExtent l="0" t="0" r="3810" b="6985"/>
            <wp:docPr id="3" name="Picture 3" descr="Title Banner&#10;&#10;1st Quarter Minnesota Export Statistics Newsletter &#10;Minnesota Department of Employment and Economic Development&#10;&#10;Data on Minnesota Exports for First Quarter 2022 – Published May 2022&#10;For More Information: Alicia Cordes-Mayo (alicia.cordes-mayo@state.mn.us, 763-406-9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tle Banner&#10;&#10;1st Quarter Minnesota Export Statistics Newsletter &#10;Minnesota Department of Employment and Economic Development&#10;&#10;Data on Minnesota Exports for First Quarter 2022 – Published May 2022&#10;For More Information: Alicia Cordes-Mayo (alicia.cordes-mayo@state.mn.us, 763-406-9965)"/>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92240" cy="1136015"/>
                    </a:xfrm>
                    <a:prstGeom prst="rect">
                      <a:avLst/>
                    </a:prstGeom>
                  </pic:spPr>
                </pic:pic>
              </a:graphicData>
            </a:graphic>
          </wp:inline>
        </w:drawing>
      </w:r>
    </w:p>
    <w:p w14:paraId="4EAE8978" w14:textId="57D94662" w:rsidR="00CE313B" w:rsidRPr="002E27C8" w:rsidRDefault="00CE313B" w:rsidP="007F1C4A">
      <w:pPr>
        <w:tabs>
          <w:tab w:val="left" w:pos="360"/>
          <w:tab w:val="left" w:pos="6660"/>
        </w:tabs>
        <w:spacing w:after="240"/>
        <w:jc w:val="center"/>
        <w:sectPr w:rsidR="00CE313B" w:rsidRPr="002E27C8" w:rsidSect="00FE15EB">
          <w:headerReference w:type="even" r:id="rId9"/>
          <w:headerReference w:type="default" r:id="rId10"/>
          <w:footerReference w:type="even" r:id="rId11"/>
          <w:footnotePr>
            <w:numRestart w:val="eachSect"/>
          </w:footnotePr>
          <w:endnotePr>
            <w:numFmt w:val="decimal"/>
          </w:endnotePr>
          <w:type w:val="continuous"/>
          <w:pgSz w:w="12240" w:h="15840" w:code="1"/>
          <w:pgMar w:top="864" w:right="1008" w:bottom="864" w:left="1008" w:header="720" w:footer="720" w:gutter="0"/>
          <w:cols w:space="720"/>
          <w:titlePg/>
          <w:docGrid w:linePitch="272"/>
        </w:sectPr>
      </w:pPr>
    </w:p>
    <w:p w14:paraId="18DCA261" w14:textId="27257233" w:rsidR="00641D3B" w:rsidRPr="002E27C8" w:rsidRDefault="0087384F" w:rsidP="00DE2EE4">
      <w:pPr>
        <w:pStyle w:val="Heading1"/>
        <w:spacing w:before="840"/>
        <w:rPr>
          <w:rFonts w:asciiTheme="minorHAnsi" w:hAnsiTheme="minorHAnsi"/>
          <w:color w:val="auto"/>
          <w:sz w:val="36"/>
          <w:szCs w:val="30"/>
        </w:rPr>
        <w:sectPr w:rsidR="00641D3B" w:rsidRPr="002E27C8" w:rsidSect="00FE15EB">
          <w:footnotePr>
            <w:numRestart w:val="eachSect"/>
          </w:footnotePr>
          <w:endnotePr>
            <w:numFmt w:val="decimal"/>
          </w:endnotePr>
          <w:type w:val="continuous"/>
          <w:pgSz w:w="12240" w:h="15840" w:code="1"/>
          <w:pgMar w:top="864" w:right="1008" w:bottom="864" w:left="1008" w:header="720" w:footer="720" w:gutter="0"/>
          <w:cols w:space="720"/>
          <w:titlePg/>
          <w:docGrid w:linePitch="272"/>
        </w:sectPr>
      </w:pPr>
      <w:r w:rsidRPr="002E27C8">
        <w:rPr>
          <w:rFonts w:asciiTheme="minorHAnsi" w:hAnsiTheme="minorHAnsi"/>
          <w:color w:val="auto"/>
          <w:sz w:val="36"/>
          <w:szCs w:val="30"/>
        </w:rPr>
        <w:t>State Exports Show Solid</w:t>
      </w:r>
      <w:r w:rsidR="00DE2EE4" w:rsidRPr="002E27C8">
        <w:rPr>
          <w:rFonts w:asciiTheme="minorHAnsi" w:hAnsiTheme="minorHAnsi"/>
          <w:color w:val="auto"/>
          <w:sz w:val="36"/>
          <w:szCs w:val="30"/>
        </w:rPr>
        <w:t xml:space="preserve"> 13%</w:t>
      </w:r>
      <w:r w:rsidRPr="002E27C8">
        <w:rPr>
          <w:rFonts w:asciiTheme="minorHAnsi" w:hAnsiTheme="minorHAnsi"/>
          <w:color w:val="auto"/>
          <w:sz w:val="36"/>
          <w:szCs w:val="30"/>
        </w:rPr>
        <w:t xml:space="preserve"> Growth</w:t>
      </w:r>
      <w:r w:rsidR="00DE2EE4" w:rsidRPr="002E27C8">
        <w:rPr>
          <w:rFonts w:asciiTheme="minorHAnsi" w:hAnsiTheme="minorHAnsi"/>
          <w:color w:val="auto"/>
          <w:sz w:val="36"/>
          <w:szCs w:val="30"/>
        </w:rPr>
        <w:t xml:space="preserve"> </w:t>
      </w:r>
      <w:r w:rsidR="00BD6641" w:rsidRPr="002E27C8">
        <w:rPr>
          <w:rFonts w:asciiTheme="minorHAnsi" w:hAnsiTheme="minorHAnsi"/>
          <w:color w:val="auto"/>
          <w:sz w:val="36"/>
          <w:szCs w:val="30"/>
        </w:rPr>
        <w:t xml:space="preserve">in </w:t>
      </w:r>
      <w:r w:rsidR="00D4733E" w:rsidRPr="002E27C8">
        <w:rPr>
          <w:rFonts w:asciiTheme="minorHAnsi" w:hAnsiTheme="minorHAnsi"/>
          <w:color w:val="auto"/>
          <w:sz w:val="36"/>
          <w:szCs w:val="30"/>
        </w:rPr>
        <w:t xml:space="preserve">the </w:t>
      </w:r>
      <w:r w:rsidR="00A30328" w:rsidRPr="002E27C8">
        <w:rPr>
          <w:rFonts w:asciiTheme="minorHAnsi" w:hAnsiTheme="minorHAnsi"/>
          <w:color w:val="auto"/>
          <w:sz w:val="36"/>
          <w:szCs w:val="30"/>
        </w:rPr>
        <w:t>First</w:t>
      </w:r>
      <w:r w:rsidR="00BD6641" w:rsidRPr="002E27C8">
        <w:rPr>
          <w:rFonts w:asciiTheme="minorHAnsi" w:hAnsiTheme="minorHAnsi"/>
          <w:color w:val="auto"/>
          <w:sz w:val="36"/>
          <w:szCs w:val="30"/>
        </w:rPr>
        <w:t xml:space="preserve"> Quarter</w:t>
      </w:r>
    </w:p>
    <w:p w14:paraId="2DB69746" w14:textId="18621345" w:rsidR="00F20245" w:rsidRPr="002E27C8" w:rsidRDefault="007F1C4A" w:rsidP="00DE2EE4">
      <w:pPr>
        <w:pStyle w:val="ListParagraph"/>
        <w:numPr>
          <w:ilvl w:val="0"/>
          <w:numId w:val="9"/>
        </w:numPr>
        <w:spacing w:before="120" w:after="0"/>
      </w:pPr>
      <w:r w:rsidRPr="002E27C8">
        <w:t>Minnesota exports</w:t>
      </w:r>
      <w:r w:rsidR="00F20245" w:rsidRPr="002E27C8">
        <w:t xml:space="preserve"> of goods</w:t>
      </w:r>
      <w:r w:rsidRPr="002E27C8">
        <w:t xml:space="preserve"> (including agricultural, </w:t>
      </w:r>
      <w:proofErr w:type="gramStart"/>
      <w:r w:rsidRPr="002E27C8">
        <w:t>mining</w:t>
      </w:r>
      <w:proofErr w:type="gramEnd"/>
      <w:r w:rsidRPr="002E27C8">
        <w:t xml:space="preserve"> and manufact</w:t>
      </w:r>
      <w:r w:rsidR="00A02A94" w:rsidRPr="002E27C8">
        <w:t>ured products) wer</w:t>
      </w:r>
      <w:r w:rsidR="00E92FA6" w:rsidRPr="002E27C8">
        <w:t>e</w:t>
      </w:r>
      <w:r w:rsidR="00F20245" w:rsidRPr="002E27C8">
        <w:t xml:space="preserve"> valued at</w:t>
      </w:r>
      <w:r w:rsidR="00E92FA6" w:rsidRPr="002E27C8">
        <w:t xml:space="preserve"> $</w:t>
      </w:r>
      <w:r w:rsidR="00D4733E" w:rsidRPr="002E27C8">
        <w:t>6.1</w:t>
      </w:r>
      <w:r w:rsidR="00C23DAA" w:rsidRPr="002E27C8">
        <w:t xml:space="preserve"> billion</w:t>
      </w:r>
      <w:r w:rsidR="00DB304D" w:rsidRPr="002E27C8">
        <w:t xml:space="preserve"> in the </w:t>
      </w:r>
      <w:r w:rsidR="00A30328" w:rsidRPr="002E27C8">
        <w:t>first</w:t>
      </w:r>
      <w:r w:rsidR="00DB304D" w:rsidRPr="002E27C8">
        <w:t xml:space="preserve"> quarter of </w:t>
      </w:r>
      <w:r w:rsidR="00D4733E" w:rsidRPr="002E27C8">
        <w:t>2022</w:t>
      </w:r>
      <w:r w:rsidR="00DB304D" w:rsidRPr="002E27C8">
        <w:t xml:space="preserve">, </w:t>
      </w:r>
      <w:r w:rsidR="00F75C80" w:rsidRPr="002E27C8">
        <w:t xml:space="preserve">representing a </w:t>
      </w:r>
      <w:r w:rsidR="00D4733E" w:rsidRPr="002E27C8">
        <w:t xml:space="preserve">gain </w:t>
      </w:r>
      <w:r w:rsidR="00F75C80" w:rsidRPr="002E27C8">
        <w:t>of</w:t>
      </w:r>
      <w:r w:rsidR="00530F70" w:rsidRPr="002E27C8">
        <w:t xml:space="preserve"> </w:t>
      </w:r>
      <w:r w:rsidR="00D4733E" w:rsidRPr="002E27C8">
        <w:t>13</w:t>
      </w:r>
      <w:r w:rsidR="007818E5" w:rsidRPr="002E27C8">
        <w:t>%</w:t>
      </w:r>
      <w:r w:rsidR="00B5144B" w:rsidRPr="002E27C8">
        <w:t xml:space="preserve"> (or</w:t>
      </w:r>
      <w:r w:rsidR="0087384F" w:rsidRPr="002E27C8">
        <w:t xml:space="preserve"> up</w:t>
      </w:r>
      <w:r w:rsidR="00B5144B" w:rsidRPr="002E27C8">
        <w:t xml:space="preserve"> $</w:t>
      </w:r>
      <w:r w:rsidR="00D4733E" w:rsidRPr="002E27C8">
        <w:t>676</w:t>
      </w:r>
      <w:r w:rsidR="00C23DAA" w:rsidRPr="002E27C8">
        <w:t xml:space="preserve"> million</w:t>
      </w:r>
      <w:r w:rsidRPr="002E27C8">
        <w:t xml:space="preserve">) </w:t>
      </w:r>
      <w:r w:rsidR="00D4733E" w:rsidRPr="002E27C8">
        <w:t>over</w:t>
      </w:r>
      <w:r w:rsidR="00DB304D" w:rsidRPr="002E27C8">
        <w:t xml:space="preserve"> </w:t>
      </w:r>
      <w:r w:rsidRPr="002E27C8">
        <w:t xml:space="preserve">the </w:t>
      </w:r>
      <w:r w:rsidR="00A30328" w:rsidRPr="002E27C8">
        <w:t>first</w:t>
      </w:r>
      <w:r w:rsidRPr="002E27C8">
        <w:t xml:space="preserve"> qu</w:t>
      </w:r>
      <w:r w:rsidR="00DB304D" w:rsidRPr="002E27C8">
        <w:t>arter</w:t>
      </w:r>
      <w:r w:rsidR="00957BCF" w:rsidRPr="002E27C8">
        <w:t xml:space="preserve"> of </w:t>
      </w:r>
      <w:r w:rsidR="00D4733E" w:rsidRPr="002E27C8">
        <w:t>2021</w:t>
      </w:r>
      <w:r w:rsidR="00B85149" w:rsidRPr="002E27C8">
        <w:t xml:space="preserve">. </w:t>
      </w:r>
    </w:p>
    <w:p w14:paraId="46069970" w14:textId="5202C035" w:rsidR="006D7A33" w:rsidRPr="002E27C8" w:rsidRDefault="00C97041" w:rsidP="00FE15EB">
      <w:pPr>
        <w:pStyle w:val="ListParagraph"/>
        <w:numPr>
          <w:ilvl w:val="0"/>
          <w:numId w:val="9"/>
        </w:numPr>
        <w:spacing w:after="0"/>
      </w:pPr>
      <w:r w:rsidRPr="002E27C8">
        <w:t>U.S. exports</w:t>
      </w:r>
      <w:r w:rsidR="00742415" w:rsidRPr="002E27C8">
        <w:t xml:space="preserve"> of goods</w:t>
      </w:r>
      <w:r w:rsidR="00C23DAA" w:rsidRPr="002E27C8">
        <w:t xml:space="preserve"> </w:t>
      </w:r>
      <w:r w:rsidR="00AE3C57" w:rsidRPr="002E27C8">
        <w:t xml:space="preserve">rose </w:t>
      </w:r>
      <w:r w:rsidR="00D4733E" w:rsidRPr="002E27C8">
        <w:t>18</w:t>
      </w:r>
      <w:r w:rsidR="007818E5" w:rsidRPr="002E27C8">
        <w:t>%</w:t>
      </w:r>
      <w:r w:rsidR="00521967" w:rsidRPr="002E27C8">
        <w:t xml:space="preserve"> during </w:t>
      </w:r>
      <w:r w:rsidR="007216E3" w:rsidRPr="002E27C8">
        <w:t>in the first quarter</w:t>
      </w:r>
      <w:r w:rsidR="00D4733E" w:rsidRPr="002E27C8">
        <w:t xml:space="preserve">, with </w:t>
      </w:r>
      <w:r w:rsidR="0087384F" w:rsidRPr="002E27C8">
        <w:t>39</w:t>
      </w:r>
      <w:r w:rsidR="00AE3C57" w:rsidRPr="002E27C8">
        <w:t xml:space="preserve"> </w:t>
      </w:r>
      <w:r w:rsidR="001625A3" w:rsidRPr="002E27C8">
        <w:t>states</w:t>
      </w:r>
      <w:r w:rsidR="0087384F" w:rsidRPr="002E27C8">
        <w:t xml:space="preserve"> and Washington D.C.</w:t>
      </w:r>
      <w:r w:rsidR="00D4733E" w:rsidRPr="002E27C8">
        <w:t xml:space="preserve"> </w:t>
      </w:r>
      <w:r w:rsidR="001625A3" w:rsidRPr="002E27C8">
        <w:t>ha</w:t>
      </w:r>
      <w:r w:rsidR="00D4733E" w:rsidRPr="002E27C8">
        <w:t>ving</w:t>
      </w:r>
      <w:r w:rsidR="00954A83" w:rsidRPr="002E27C8">
        <w:t xml:space="preserve"> positive </w:t>
      </w:r>
      <w:r w:rsidR="00D4733E" w:rsidRPr="002E27C8">
        <w:t>export growt</w:t>
      </w:r>
      <w:r w:rsidR="00F72892" w:rsidRPr="002E27C8">
        <w:t xml:space="preserve">h </w:t>
      </w:r>
      <w:r w:rsidR="0087384F" w:rsidRPr="002E27C8">
        <w:t>rates over</w:t>
      </w:r>
      <w:r w:rsidR="00AE3C57" w:rsidRPr="002E27C8">
        <w:t xml:space="preserve"> the first quarter of </w:t>
      </w:r>
      <w:r w:rsidR="00D4733E" w:rsidRPr="002E27C8">
        <w:t>2021</w:t>
      </w:r>
      <w:r w:rsidR="007216E3" w:rsidRPr="002E27C8">
        <w:t>.</w:t>
      </w:r>
    </w:p>
    <w:p w14:paraId="5C9FF439" w14:textId="22C0CE9A" w:rsidR="004F6D22" w:rsidRPr="002E27C8" w:rsidRDefault="00692D3B" w:rsidP="00FE15EB">
      <w:pPr>
        <w:pStyle w:val="ListParagraph"/>
        <w:numPr>
          <w:ilvl w:val="0"/>
          <w:numId w:val="9"/>
        </w:numPr>
        <w:spacing w:after="0"/>
        <w:rPr>
          <w:rStyle w:val="Heading4Char"/>
          <w:rFonts w:eastAsiaTheme="minorEastAsia" w:cstheme="minorBidi"/>
          <w:bCs w:val="0"/>
          <w:i w:val="0"/>
          <w:iCs w:val="0"/>
          <w:color w:val="auto"/>
          <w:sz w:val="22"/>
        </w:rPr>
      </w:pPr>
      <w:r w:rsidRPr="002E27C8">
        <w:t>Minnesota</w:t>
      </w:r>
      <w:r w:rsidR="007216E3" w:rsidRPr="002E27C8">
        <w:t>’s</w:t>
      </w:r>
      <w:r w:rsidRPr="002E27C8">
        <w:t xml:space="preserve"> </w:t>
      </w:r>
      <w:r w:rsidRPr="002E27C8">
        <w:rPr>
          <w:i/>
        </w:rPr>
        <w:t>manufactured</w:t>
      </w:r>
      <w:r w:rsidR="001F7EBF" w:rsidRPr="002E27C8">
        <w:t xml:space="preserve"> exports</w:t>
      </w:r>
      <w:r w:rsidR="00DD736C" w:rsidRPr="002E27C8">
        <w:t xml:space="preserve"> </w:t>
      </w:r>
      <w:r w:rsidR="00DE2EE4" w:rsidRPr="002E27C8">
        <w:t>increased</w:t>
      </w:r>
      <w:r w:rsidR="00C97041" w:rsidRPr="002E27C8">
        <w:t xml:space="preserve"> </w:t>
      </w:r>
      <w:r w:rsidR="00DE2EE4" w:rsidRPr="002E27C8">
        <w:t>8</w:t>
      </w:r>
      <w:r w:rsidR="00742415" w:rsidRPr="002E27C8">
        <w:t>%</w:t>
      </w:r>
      <w:r w:rsidR="00C97041" w:rsidRPr="002E27C8">
        <w:t xml:space="preserve"> to </w:t>
      </w:r>
      <w:r w:rsidR="00956763" w:rsidRPr="002E27C8">
        <w:t>$</w:t>
      </w:r>
      <w:r w:rsidR="00AA4C9D" w:rsidRPr="002E27C8">
        <w:t>5.</w:t>
      </w:r>
      <w:r w:rsidR="00DE2EE4" w:rsidRPr="002E27C8">
        <w:t>5</w:t>
      </w:r>
      <w:r w:rsidR="004A3CC9" w:rsidRPr="002E27C8">
        <w:t xml:space="preserve"> billion</w:t>
      </w:r>
      <w:r w:rsidRPr="002E27C8">
        <w:t xml:space="preserve"> </w:t>
      </w:r>
      <w:r w:rsidR="007F1C4A" w:rsidRPr="002E27C8">
        <w:t xml:space="preserve">in the </w:t>
      </w:r>
      <w:r w:rsidR="00A30328" w:rsidRPr="002E27C8">
        <w:t>first</w:t>
      </w:r>
      <w:r w:rsidR="007F1C4A" w:rsidRPr="002E27C8">
        <w:t xml:space="preserve"> quarter of </w:t>
      </w:r>
      <w:r w:rsidR="00D4733E" w:rsidRPr="002E27C8">
        <w:t>2022</w:t>
      </w:r>
      <w:r w:rsidR="00DE2EE4" w:rsidRPr="002E27C8">
        <w:t>, while</w:t>
      </w:r>
      <w:r w:rsidR="00C23DAA" w:rsidRPr="002E27C8">
        <w:t xml:space="preserve"> </w:t>
      </w:r>
      <w:r w:rsidR="00E42787" w:rsidRPr="002E27C8">
        <w:t>U.S</w:t>
      </w:r>
      <w:r w:rsidR="00742415" w:rsidRPr="002E27C8">
        <w:t xml:space="preserve">. </w:t>
      </w:r>
      <w:r w:rsidR="00742415" w:rsidRPr="002E27C8">
        <w:rPr>
          <w:i/>
        </w:rPr>
        <w:t>manufactured</w:t>
      </w:r>
      <w:r w:rsidR="00742415" w:rsidRPr="002E27C8">
        <w:t xml:space="preserve"> exports </w:t>
      </w:r>
      <w:r w:rsidR="00DE2EE4" w:rsidRPr="002E27C8">
        <w:t>jumped</w:t>
      </w:r>
      <w:r w:rsidR="00956763" w:rsidRPr="002E27C8">
        <w:t xml:space="preserve"> </w:t>
      </w:r>
      <w:r w:rsidR="00AA4C9D" w:rsidRPr="002E27C8">
        <w:t>1</w:t>
      </w:r>
      <w:r w:rsidR="00DE2EE4" w:rsidRPr="002E27C8">
        <w:t>5</w:t>
      </w:r>
      <w:r w:rsidR="007818E5" w:rsidRPr="002E27C8">
        <w:t>%</w:t>
      </w:r>
      <w:r w:rsidR="00557377" w:rsidRPr="002E27C8">
        <w:t>.</w:t>
      </w:r>
    </w:p>
    <w:p w14:paraId="03CA25DA" w14:textId="450B6AD0" w:rsidR="007F1C4A" w:rsidRPr="002E27C8" w:rsidRDefault="00DE2EE4" w:rsidP="00DE2EE4">
      <w:pPr>
        <w:spacing w:after="0" w:line="271" w:lineRule="auto"/>
        <w:rPr>
          <w:rStyle w:val="Heading4Char"/>
          <w:color w:val="auto"/>
        </w:rPr>
      </w:pPr>
      <w:r w:rsidRPr="002E27C8">
        <w:rPr>
          <w:rStyle w:val="Heading4Char"/>
          <w:color w:val="auto"/>
        </w:rPr>
        <w:br w:type="column"/>
      </w:r>
      <w:r w:rsidR="007F1C4A" w:rsidRPr="002E27C8">
        <w:rPr>
          <w:rStyle w:val="Heading4Char"/>
          <w:color w:val="auto"/>
        </w:rPr>
        <w:t xml:space="preserve">Figure </w:t>
      </w:r>
      <w:r w:rsidR="007F1C4A" w:rsidRPr="002E27C8">
        <w:rPr>
          <w:rStyle w:val="Heading4Char"/>
          <w:color w:val="auto"/>
        </w:rPr>
        <w:fldChar w:fldCharType="begin"/>
      </w:r>
      <w:r w:rsidR="007F1C4A" w:rsidRPr="002E27C8">
        <w:rPr>
          <w:rStyle w:val="Heading4Char"/>
          <w:color w:val="auto"/>
        </w:rPr>
        <w:instrText xml:space="preserve"> SEQ Figure \* ARABIC </w:instrText>
      </w:r>
      <w:r w:rsidR="007F1C4A" w:rsidRPr="002E27C8">
        <w:rPr>
          <w:rStyle w:val="Heading4Char"/>
          <w:color w:val="auto"/>
        </w:rPr>
        <w:fldChar w:fldCharType="separate"/>
      </w:r>
      <w:r w:rsidR="00C430F8" w:rsidRPr="002E27C8">
        <w:rPr>
          <w:rStyle w:val="Heading4Char"/>
          <w:noProof/>
          <w:color w:val="auto"/>
        </w:rPr>
        <w:t>1</w:t>
      </w:r>
      <w:r w:rsidR="007F1C4A" w:rsidRPr="002E27C8">
        <w:rPr>
          <w:rStyle w:val="Heading4Char"/>
          <w:color w:val="auto"/>
        </w:rPr>
        <w:fldChar w:fldCharType="end"/>
      </w:r>
      <w:r w:rsidR="00A52415" w:rsidRPr="002E27C8">
        <w:rPr>
          <w:rStyle w:val="Heading4Char"/>
          <w:color w:val="auto"/>
        </w:rPr>
        <w:t>.</w:t>
      </w:r>
      <w:r w:rsidR="00F72892" w:rsidRPr="002E27C8">
        <w:rPr>
          <w:rStyle w:val="Heading4Char"/>
          <w:color w:val="auto"/>
        </w:rPr>
        <w:t xml:space="preserve"> Exports Gr</w:t>
      </w:r>
      <w:r w:rsidR="002E27C8" w:rsidRPr="002E27C8">
        <w:rPr>
          <w:rStyle w:val="Heading4Char"/>
          <w:color w:val="auto"/>
        </w:rPr>
        <w:t>o</w:t>
      </w:r>
      <w:r w:rsidR="00F72892" w:rsidRPr="002E27C8">
        <w:rPr>
          <w:rStyle w:val="Heading4Char"/>
          <w:color w:val="auto"/>
        </w:rPr>
        <w:t>w from Majority of States</w:t>
      </w:r>
    </w:p>
    <w:p w14:paraId="5316D7DA" w14:textId="6458BDC6" w:rsidR="004F6D22" w:rsidRPr="002E27C8" w:rsidRDefault="004F6D22" w:rsidP="00D4733E">
      <w:pPr>
        <w:spacing w:after="0" w:line="271" w:lineRule="auto"/>
        <w:rPr>
          <w:rStyle w:val="Heading4Char"/>
          <w:rFonts w:eastAsiaTheme="minorEastAsia" w:cstheme="minorBidi"/>
          <w:bCs w:val="0"/>
          <w:i w:val="0"/>
          <w:iCs w:val="0"/>
          <w:color w:val="auto"/>
          <w:sz w:val="22"/>
        </w:rPr>
      </w:pPr>
      <w:r w:rsidRPr="002E27C8">
        <w:rPr>
          <w:noProof/>
        </w:rPr>
        <mc:AlternateContent>
          <mc:Choice Requires="wps">
            <w:drawing>
              <wp:anchor distT="0" distB="0" distL="114300" distR="114300" simplePos="0" relativeHeight="251658752" behindDoc="0" locked="0" layoutInCell="1" allowOverlap="1" wp14:anchorId="24E76B40" wp14:editId="6BBABAA1">
                <wp:simplePos x="0" y="0"/>
                <wp:positionH relativeFrom="margin">
                  <wp:posOffset>6083300</wp:posOffset>
                </wp:positionH>
                <wp:positionV relativeFrom="paragraph">
                  <wp:posOffset>1504950</wp:posOffset>
                </wp:positionV>
                <wp:extent cx="780415" cy="435610"/>
                <wp:effectExtent l="0" t="0" r="0" b="2540"/>
                <wp:wrapNone/>
                <wp:docPr id="307" name="Text Box 2" descr="MN: -18%&#10;U.S.: -30%&#10;" title="highlight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435610"/>
                        </a:xfrm>
                        <a:prstGeom prst="rect">
                          <a:avLst/>
                        </a:prstGeom>
                        <a:noFill/>
                        <a:ln w="9525">
                          <a:noFill/>
                          <a:miter lim="800000"/>
                          <a:headEnd/>
                          <a:tailEnd/>
                        </a:ln>
                      </wps:spPr>
                      <wps:txbx>
                        <w:txbxContent>
                          <w:p w14:paraId="60A296D5" w14:textId="2D75D619" w:rsidR="007F1C4A" w:rsidRPr="00681236" w:rsidRDefault="007F1C4A" w:rsidP="007F1C4A">
                            <w:pPr>
                              <w:spacing w:after="0"/>
                              <w:rPr>
                                <w:b/>
                                <w:i/>
                                <w:sz w:val="20"/>
                              </w:rPr>
                            </w:pPr>
                            <w:r w:rsidRPr="00681236">
                              <w:rPr>
                                <w:b/>
                                <w:i/>
                                <w:sz w:val="20"/>
                              </w:rPr>
                              <w:t>M</w:t>
                            </w:r>
                            <w:r w:rsidR="0065603B" w:rsidRPr="00681236">
                              <w:rPr>
                                <w:b/>
                                <w:i/>
                                <w:sz w:val="20"/>
                              </w:rPr>
                              <w:t xml:space="preserve">N:  </w:t>
                            </w:r>
                            <w:r w:rsidR="00F72892">
                              <w:rPr>
                                <w:b/>
                                <w:i/>
                                <w:sz w:val="20"/>
                              </w:rPr>
                              <w:t>+13</w:t>
                            </w:r>
                            <w:r w:rsidRPr="00681236">
                              <w:rPr>
                                <w:b/>
                                <w:i/>
                                <w:sz w:val="20"/>
                              </w:rPr>
                              <w:t>%</w:t>
                            </w:r>
                          </w:p>
                          <w:p w14:paraId="588145EA" w14:textId="1CA33D86" w:rsidR="007F1C4A" w:rsidRPr="00681236" w:rsidRDefault="00293DCF" w:rsidP="007F1C4A">
                            <w:pPr>
                              <w:spacing w:after="0"/>
                              <w:rPr>
                                <w:b/>
                                <w:i/>
                                <w:sz w:val="20"/>
                              </w:rPr>
                            </w:pPr>
                            <w:r w:rsidRPr="00681236">
                              <w:rPr>
                                <w:b/>
                                <w:i/>
                                <w:sz w:val="20"/>
                              </w:rPr>
                              <w:t xml:space="preserve">U.S.: </w:t>
                            </w:r>
                            <w:r w:rsidR="00F72892">
                              <w:rPr>
                                <w:b/>
                                <w:i/>
                                <w:sz w:val="20"/>
                              </w:rPr>
                              <w:t>+18</w:t>
                            </w:r>
                            <w:r w:rsidR="007F1C4A" w:rsidRPr="00681236">
                              <w:rPr>
                                <w:b/>
                                <w:i/>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76B40" id="_x0000_s1027" type="#_x0000_t202" alt="Title: highlight text box - Description: MN: -18%&#10;U.S.: -30%&#10;" style="position:absolute;margin-left:479pt;margin-top:118.5pt;width:61.45pt;height:34.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kNPAIAADoEAAAOAAAAZHJzL2Uyb0RvYy54bWysU9tu2zAMfR+wfxA0bG+N7Vya1ItTZO06&#10;DGi7AWk/QJblWJgsapISO/v6UXKaBtvbMAMWRNM85Dkkl9d9q8heWCdBFzQbpZQIzaGSelvQ56e7&#10;iwUlzjNdMQVaFPQgHL1evX2z7EwuxtCAqoQlCKJd3pmCNt6bPEkcb0TL3AiM0OiswbbMo2m3SWVZ&#10;h+itSsZpepl0YCtjgQvn8Ovt4KSriF/Xgvtvde2EJ6qgWJuPp41nGc5ktWT51jLTSH4sg/1DFS2T&#10;GpOeoG6ZZ2Rn5V9QreQWHNR+xKFNoK4lF5EDssnSP9hsGmZE5ILiOHOSyf0/WP64/26JrAo6SeeU&#10;aNZik55E78kn6MmYkko4jno9PObkIlu8//CuX398Hm1GaE7SwURZpVcY18hto/D1xAeEEvqgb2dc&#10;jmk2BhP5HmFxTqJWztwD/+GIhpuG6a1YWwtdI1iF/LIQmZyFDjgugJTdA1SYju08RKC+tm0QH+Uk&#10;iI59Ppx6Gwrh+HG+SKfZjBKOrulkdpnF3icsfwk21vkvAloSLgW1ODoRnO3vnQ/FsPzll5BLw51U&#10;Ko6P0qQr6NVsPIsBZ55WepxuJduCLtLwDPMWOH7WVQz2TKrhjgmUPpIOPAfGvi/72J+oSBCkhOqA&#10;KlgYhhmXDy8N2F+UdDjIBXU/d8wKStRXjUpeZdNpmPxoTGfzMRr23FOee5jmCFVQT8lwvfFxWwbK&#10;a1S8llGN10qOJeOARpGOyxQ24NyOf72u/Oo3AAAA//8DAFBLAwQUAAYACAAAACEAmaFJK+AAAAAM&#10;AQAADwAAAGRycy9kb3ducmV2LnhtbEyPzU7DMBCE70i8g7VI3KjdlpQkzaaqQFxBlB+Jmxtvk6jx&#10;OordJrw97glus5rR7DfFZrKdONPgW8cI85kCQVw503KN8PH+fJeC8EGz0Z1jQvghD5vy+qrQuXEj&#10;v9F5F2oRS9jnGqEJoc+l9FVDVvuZ64mjd3CD1SGeQy3NoMdYbju5UGolrW45fmh0T48NVcfdySJ8&#10;vhy+v+7Va/1kk350k5JsM4l4ezNt1yACTeEvDBf8iA5lZNq7ExsvOoQsSeOWgLBYPkRxSahUZSD2&#10;CEuVrECWhfw/ovwFAAD//wMAUEsBAi0AFAAGAAgAAAAhALaDOJL+AAAA4QEAABMAAAAAAAAAAAAA&#10;AAAAAAAAAFtDb250ZW50X1R5cGVzXS54bWxQSwECLQAUAAYACAAAACEAOP0h/9YAAACUAQAACwAA&#10;AAAAAAAAAAAAAAAvAQAAX3JlbHMvLnJlbHNQSwECLQAUAAYACAAAACEAZ7kpDTwCAAA6BAAADgAA&#10;AAAAAAAAAAAAAAAuAgAAZHJzL2Uyb0RvYy54bWxQSwECLQAUAAYACAAAACEAmaFJK+AAAAAMAQAA&#10;DwAAAAAAAAAAAAAAAACWBAAAZHJzL2Rvd25yZXYueG1sUEsFBgAAAAAEAAQA8wAAAKMFAAAAAA==&#10;" filled="f" stroked="f">
                <v:textbox>
                  <w:txbxContent>
                    <w:p w14:paraId="60A296D5" w14:textId="2D75D619" w:rsidR="007F1C4A" w:rsidRPr="00681236" w:rsidRDefault="007F1C4A" w:rsidP="007F1C4A">
                      <w:pPr>
                        <w:spacing w:after="0"/>
                        <w:rPr>
                          <w:b/>
                          <w:i/>
                          <w:sz w:val="20"/>
                        </w:rPr>
                      </w:pPr>
                      <w:r w:rsidRPr="00681236">
                        <w:rPr>
                          <w:b/>
                          <w:i/>
                          <w:sz w:val="20"/>
                        </w:rPr>
                        <w:t>M</w:t>
                      </w:r>
                      <w:r w:rsidR="0065603B" w:rsidRPr="00681236">
                        <w:rPr>
                          <w:b/>
                          <w:i/>
                          <w:sz w:val="20"/>
                        </w:rPr>
                        <w:t xml:space="preserve">N:  </w:t>
                      </w:r>
                      <w:r w:rsidR="00F72892">
                        <w:rPr>
                          <w:b/>
                          <w:i/>
                          <w:sz w:val="20"/>
                        </w:rPr>
                        <w:t>+13</w:t>
                      </w:r>
                      <w:r w:rsidRPr="00681236">
                        <w:rPr>
                          <w:b/>
                          <w:i/>
                          <w:sz w:val="20"/>
                        </w:rPr>
                        <w:t>%</w:t>
                      </w:r>
                    </w:p>
                    <w:p w14:paraId="588145EA" w14:textId="1CA33D86" w:rsidR="007F1C4A" w:rsidRPr="00681236" w:rsidRDefault="00293DCF" w:rsidP="007F1C4A">
                      <w:pPr>
                        <w:spacing w:after="0"/>
                        <w:rPr>
                          <w:b/>
                          <w:i/>
                          <w:sz w:val="20"/>
                        </w:rPr>
                      </w:pPr>
                      <w:r w:rsidRPr="00681236">
                        <w:rPr>
                          <w:b/>
                          <w:i/>
                          <w:sz w:val="20"/>
                        </w:rPr>
                        <w:t xml:space="preserve">U.S.: </w:t>
                      </w:r>
                      <w:r w:rsidR="00F72892">
                        <w:rPr>
                          <w:b/>
                          <w:i/>
                          <w:sz w:val="20"/>
                        </w:rPr>
                        <w:t>+18</w:t>
                      </w:r>
                      <w:r w:rsidR="007F1C4A" w:rsidRPr="00681236">
                        <w:rPr>
                          <w:b/>
                          <w:i/>
                          <w:sz w:val="20"/>
                        </w:rPr>
                        <w:t>%</w:t>
                      </w:r>
                    </w:p>
                  </w:txbxContent>
                </v:textbox>
                <w10:wrap anchorx="margin"/>
              </v:shape>
            </w:pict>
          </mc:Fallback>
        </mc:AlternateContent>
      </w:r>
      <w:r w:rsidR="00D4733E" w:rsidRPr="002E27C8">
        <w:rPr>
          <w:noProof/>
        </w:rPr>
        <w:drawing>
          <wp:inline distT="0" distB="0" distL="0" distR="0" wp14:anchorId="37AE32A4" wp14:editId="717F8591">
            <wp:extent cx="3430810" cy="1895475"/>
            <wp:effectExtent l="0" t="0" r="0" b="0"/>
            <wp:docPr id="4" name="Picture 4" descr="Growth trends by state, 2021-Q1 to 2022-Q1 &#10;State %CH&#10;Minnesota 13%&#10;United States 18% &#10;Alabama 12%&#10;Alaska -15%&#10;Arizona 15%&#10;Arkansas 18%&#10;California 11%&#10;Colorado 22%&#10;Connecticut -2%&#10;Delaware 16%&#10;Dist of Columbia 5%&#10;Florida 25%&#10;Georgia 8%&#10;Hawaii 145%&#10;Idaho 3%&#10;Illinois 21%&#10;Indiana 10%&#10;Iowa 7%&#10;Kansas 18%&#10;Kentucky 21%&#10;Louisiana 36%&#10;Maine 58%&#10;Maryland 12%&#10;Massachusetts 20%&#10;Michigan 13%&#10;Mississippi 16%&#10;Missouri -3%&#10;Montana -2%&#10;Nebraska 10%&#10;Nevada 7%&#10;New Hampshire 14%&#10;New Jersey 0%&#10;New Mexico -10%&#10;New York -4%&#10;North Carolina 13%&#10;North Dakota -18%&#10;Ohio 13%&#10;Oklahoma 24%&#10;Oregon 6%&#10;Pennsylvania 11%&#10;Rhode Island -4%&#10;South Carolina 0%&#10;South Dakota 17%&#10;Tennessee 23%&#10;Texas 40%&#10;Utah -23%&#10;Vermont 10%&#10;Virginia 32%&#10;Washington 29%&#10;West Virginia 34%&#10;Wisconsin 16%&#10;Wyoming 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owth trends by state, 2021-Q1 to 2022-Q1 &#10;State %CH&#10;Minnesota 13%&#10;United States 18% &#10;Alabama 12%&#10;Alaska -15%&#10;Arizona 15%&#10;Arkansas 18%&#10;California 11%&#10;Colorado 22%&#10;Connecticut -2%&#10;Delaware 16%&#10;Dist of Columbia 5%&#10;Florida 25%&#10;Georgia 8%&#10;Hawaii 145%&#10;Idaho 3%&#10;Illinois 21%&#10;Indiana 10%&#10;Iowa 7%&#10;Kansas 18%&#10;Kentucky 21%&#10;Louisiana 36%&#10;Maine 58%&#10;Maryland 12%&#10;Massachusetts 20%&#10;Michigan 13%&#10;Mississippi 16%&#10;Missouri -3%&#10;Montana -2%&#10;Nebraska 10%&#10;Nevada 7%&#10;New Hampshire 14%&#10;New Jersey 0%&#10;New Mexico -10%&#10;New York -4%&#10;North Carolina 13%&#10;North Dakota -18%&#10;Ohio 13%&#10;Oklahoma 24%&#10;Oregon 6%&#10;Pennsylvania 11%&#10;Rhode Island -4%&#10;South Carolina 0%&#10;South Dakota 17%&#10;Tennessee 23%&#10;Texas 40%&#10;Utah -23%&#10;Vermont 10%&#10;Virginia 32%&#10;Washington 29%&#10;West Virginia 34%&#10;Wisconsin 16%&#10;Wyoming 26%&#10;"/>
                    <pic:cNvPicPr>
                      <a:picLocks noChangeAspect="1" noChangeArrowheads="1"/>
                    </pic:cNvPicPr>
                  </pic:nvPicPr>
                  <pic:blipFill rotWithShape="1">
                    <a:blip r:embed="rId12">
                      <a:extLst>
                        <a:ext uri="{28A0092B-C50C-407E-A947-70E740481C1C}">
                          <a14:useLocalDpi xmlns:a14="http://schemas.microsoft.com/office/drawing/2010/main" val="0"/>
                        </a:ext>
                      </a:extLst>
                    </a:blip>
                    <a:srcRect t="6480" b="10185"/>
                    <a:stretch/>
                  </pic:blipFill>
                  <pic:spPr bwMode="auto">
                    <a:xfrm>
                      <a:off x="0" y="0"/>
                      <a:ext cx="3432024" cy="1896146"/>
                    </a:xfrm>
                    <a:prstGeom prst="rect">
                      <a:avLst/>
                    </a:prstGeom>
                    <a:noFill/>
                    <a:ln>
                      <a:noFill/>
                    </a:ln>
                    <a:extLst>
                      <a:ext uri="{53640926-AAD7-44D8-BBD7-CCE9431645EC}">
                        <a14:shadowObscured xmlns:a14="http://schemas.microsoft.com/office/drawing/2010/main"/>
                      </a:ext>
                    </a:extLst>
                  </pic:spPr>
                </pic:pic>
              </a:graphicData>
            </a:graphic>
          </wp:inline>
        </w:drawing>
      </w:r>
    </w:p>
    <w:p w14:paraId="0AAEB35D" w14:textId="29FA78A6" w:rsidR="007F1C4A" w:rsidRPr="002E27C8" w:rsidRDefault="007F1C4A" w:rsidP="007F1C4A">
      <w:pPr>
        <w:spacing w:after="0"/>
        <w:rPr>
          <w:i/>
          <w:sz w:val="18"/>
        </w:rPr>
      </w:pPr>
      <w:r w:rsidRPr="002E27C8">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Pr="002E27C8">
        <w:rPr>
          <w:i/>
          <w:sz w:val="18"/>
        </w:rPr>
        <w:t xml:space="preserve"> Decline     0%   Growth</w:t>
      </w:r>
    </w:p>
    <w:p w14:paraId="6B23B2F3" w14:textId="40E1BED4" w:rsidR="00BE4DAD" w:rsidRPr="002E27C8" w:rsidRDefault="00A52415" w:rsidP="00173D78">
      <w:pPr>
        <w:spacing w:after="0"/>
        <w:rPr>
          <w:rFonts w:ascii="Arial Narrow" w:hAnsi="Arial Narrow"/>
          <w:sz w:val="2"/>
          <w:szCs w:val="2"/>
        </w:rPr>
        <w:sectPr w:rsidR="00BE4DAD" w:rsidRPr="002E27C8" w:rsidSect="00FE15EB">
          <w:footnotePr>
            <w:numRestart w:val="eachSect"/>
          </w:footnotePr>
          <w:endnotePr>
            <w:numFmt w:val="decimal"/>
          </w:endnotePr>
          <w:type w:val="continuous"/>
          <w:pgSz w:w="12240" w:h="15840" w:code="1"/>
          <w:pgMar w:top="864" w:right="1008" w:bottom="864" w:left="1008" w:header="720" w:footer="720" w:gutter="0"/>
          <w:cols w:num="2" w:space="450"/>
          <w:titlePg/>
          <w:docGrid w:linePitch="299"/>
        </w:sectPr>
      </w:pPr>
      <w:r w:rsidRPr="002E27C8">
        <w:rPr>
          <w:rFonts w:ascii="Arial Narrow" w:hAnsi="Arial Narrow"/>
          <w:noProof/>
          <w:sz w:val="2"/>
          <w:szCs w:val="2"/>
        </w:rPr>
        <w:drawing>
          <wp:inline distT="0" distB="0" distL="0" distR="0" wp14:anchorId="5C21AFCD" wp14:editId="1362234B">
            <wp:extent cx="1066800" cy="152400"/>
            <wp:effectExtent l="0" t="0" r="0" b="0"/>
            <wp:docPr id="7" name="Picture 7" descr="S:\Groups\CARD\AEO\Thu-Mai\Tableau, Viz\MTO Tableau files\Export Stats Reports\Newsletter &amp; Fact Sheet charts\2018-Q4 USMap_leg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roups\CARD\AEO\Thu-Mai\Tableau, Viz\MTO Tableau files\Export Stats Reports\Newsletter &amp; Fact Sheet charts\2018-Q4 USMap_legend.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41379" b="24138"/>
                    <a:stretch/>
                  </pic:blipFill>
                  <pic:spPr bwMode="auto">
                    <a:xfrm>
                      <a:off x="0" y="0"/>
                      <a:ext cx="1066800" cy="152400"/>
                    </a:xfrm>
                    <a:prstGeom prst="rect">
                      <a:avLst/>
                    </a:prstGeom>
                    <a:noFill/>
                    <a:ln>
                      <a:noFill/>
                    </a:ln>
                    <a:extLst>
                      <a:ext uri="{53640926-AAD7-44D8-BBD7-CCE9431645EC}">
                        <a14:shadowObscured xmlns:a14="http://schemas.microsoft.com/office/drawing/2010/main"/>
                      </a:ext>
                    </a:extLst>
                  </pic:spPr>
                </pic:pic>
              </a:graphicData>
            </a:graphic>
          </wp:inline>
        </w:drawing>
      </w:r>
    </w:p>
    <w:p w14:paraId="53950F02" w14:textId="25C27071" w:rsidR="00E83789" w:rsidRPr="002E27C8" w:rsidRDefault="0087384F" w:rsidP="0087384F">
      <w:pPr>
        <w:pStyle w:val="Heading2"/>
        <w:spacing w:before="0" w:after="80"/>
        <w:rPr>
          <w:rFonts w:asciiTheme="minorHAnsi" w:hAnsiTheme="minorHAnsi"/>
          <w:b w:val="0"/>
          <w:i/>
          <w:color w:val="auto"/>
          <w:sz w:val="28"/>
        </w:rPr>
      </w:pPr>
      <w:r w:rsidRPr="002E27C8">
        <w:rPr>
          <w:rFonts w:asciiTheme="minorHAnsi" w:hAnsiTheme="minorHAnsi"/>
          <w:b w:val="0"/>
          <w:i/>
          <w:color w:val="auto"/>
          <w:sz w:val="28"/>
        </w:rPr>
        <w:t xml:space="preserve">North American and Asian Markets </w:t>
      </w:r>
      <w:r w:rsidR="00D87BD3" w:rsidRPr="002E27C8">
        <w:rPr>
          <w:rFonts w:asciiTheme="minorHAnsi" w:hAnsiTheme="minorHAnsi"/>
          <w:b w:val="0"/>
          <w:i/>
          <w:color w:val="auto"/>
          <w:sz w:val="28"/>
        </w:rPr>
        <w:t>Drive Export Growth</w:t>
      </w:r>
    </w:p>
    <w:p w14:paraId="38C3CADD" w14:textId="38FE175F" w:rsidR="007E6CE7" w:rsidRPr="002E27C8" w:rsidRDefault="00D87BD3" w:rsidP="00D87BD3">
      <w:pPr>
        <w:pStyle w:val="ListParagraph"/>
        <w:numPr>
          <w:ilvl w:val="0"/>
          <w:numId w:val="10"/>
        </w:numPr>
        <w:spacing w:after="0"/>
      </w:pPr>
      <w:r w:rsidRPr="002E27C8">
        <w:t>Minnesota</w:t>
      </w:r>
      <w:r w:rsidR="00136664" w:rsidRPr="002E27C8">
        <w:t>’s e</w:t>
      </w:r>
      <w:r w:rsidR="000D02DD" w:rsidRPr="002E27C8">
        <w:t xml:space="preserve">xports </w:t>
      </w:r>
      <w:r w:rsidR="00751E26" w:rsidRPr="002E27C8">
        <w:t>increased</w:t>
      </w:r>
      <w:r w:rsidR="00F75C80" w:rsidRPr="002E27C8">
        <w:t xml:space="preserve"> </w:t>
      </w:r>
      <w:r w:rsidR="0087384F" w:rsidRPr="002E27C8">
        <w:t>2</w:t>
      </w:r>
      <w:r w:rsidRPr="002E27C8">
        <w:t>8</w:t>
      </w:r>
      <w:r w:rsidR="005727A5" w:rsidRPr="002E27C8">
        <w:t>%</w:t>
      </w:r>
      <w:r w:rsidR="00277E66" w:rsidRPr="002E27C8">
        <w:t xml:space="preserve"> </w:t>
      </w:r>
      <w:r w:rsidR="00136664" w:rsidRPr="002E27C8">
        <w:t xml:space="preserve">to </w:t>
      </w:r>
      <w:r w:rsidR="005727A5" w:rsidRPr="002E27C8">
        <w:rPr>
          <w:b/>
          <w:bCs/>
        </w:rPr>
        <w:t>North America</w:t>
      </w:r>
      <w:r w:rsidR="00A90983" w:rsidRPr="002E27C8">
        <w:rPr>
          <w:b/>
          <w:bCs/>
        </w:rPr>
        <w:t xml:space="preserve"> – </w:t>
      </w:r>
      <w:r w:rsidRPr="002E27C8">
        <w:t xml:space="preserve">largely driven by </w:t>
      </w:r>
      <w:r w:rsidRPr="002E27C8">
        <w:rPr>
          <w:b/>
          <w:bCs/>
        </w:rPr>
        <w:t xml:space="preserve">Canada </w:t>
      </w:r>
      <w:r w:rsidRPr="002E27C8">
        <w:t xml:space="preserve">(up 35%). </w:t>
      </w:r>
      <w:r w:rsidR="00C57088" w:rsidRPr="002E27C8">
        <w:t>S</w:t>
      </w:r>
      <w:r w:rsidRPr="002E27C8">
        <w:t xml:space="preserve">tate exports were flat to </w:t>
      </w:r>
      <w:r w:rsidRPr="002E27C8">
        <w:rPr>
          <w:b/>
          <w:bCs/>
        </w:rPr>
        <w:t>Asia</w:t>
      </w:r>
      <w:r w:rsidRPr="002E27C8">
        <w:t xml:space="preserve">, </w:t>
      </w:r>
      <w:r w:rsidR="00C57088" w:rsidRPr="002E27C8">
        <w:t xml:space="preserve">with </w:t>
      </w:r>
      <w:r w:rsidRPr="002E27C8">
        <w:t>strong</w:t>
      </w:r>
      <w:r w:rsidR="00C57088" w:rsidRPr="002E27C8">
        <w:t xml:space="preserve"> gains in</w:t>
      </w:r>
      <w:r w:rsidRPr="002E27C8">
        <w:t xml:space="preserve"> </w:t>
      </w:r>
      <w:r w:rsidRPr="002E27C8">
        <w:rPr>
          <w:b/>
          <w:bCs/>
        </w:rPr>
        <w:t>China</w:t>
      </w:r>
      <w:r w:rsidRPr="002E27C8">
        <w:t xml:space="preserve"> (up 25%), </w:t>
      </w:r>
      <w:r w:rsidRPr="002E27C8">
        <w:rPr>
          <w:b/>
          <w:bCs/>
        </w:rPr>
        <w:t>Singapore</w:t>
      </w:r>
      <w:r w:rsidRPr="002E27C8">
        <w:t xml:space="preserve"> (up 40%), </w:t>
      </w:r>
      <w:r w:rsidRPr="002E27C8">
        <w:rPr>
          <w:b/>
          <w:bCs/>
        </w:rPr>
        <w:t>Thailand</w:t>
      </w:r>
      <w:r w:rsidR="005727A5" w:rsidRPr="002E27C8">
        <w:t xml:space="preserve"> (up </w:t>
      </w:r>
      <w:r w:rsidRPr="002E27C8">
        <w:t>2</w:t>
      </w:r>
      <w:r w:rsidR="005727A5" w:rsidRPr="002E27C8">
        <w:t>4%)</w:t>
      </w:r>
      <w:r w:rsidR="00751E26" w:rsidRPr="002E27C8">
        <w:t xml:space="preserve"> and </w:t>
      </w:r>
      <w:r w:rsidRPr="002E27C8">
        <w:rPr>
          <w:b/>
          <w:bCs/>
        </w:rPr>
        <w:t>Malaysia</w:t>
      </w:r>
      <w:r w:rsidR="005727A5" w:rsidRPr="002E27C8">
        <w:t xml:space="preserve"> (up </w:t>
      </w:r>
      <w:r w:rsidRPr="002E27C8">
        <w:t>27</w:t>
      </w:r>
      <w:r w:rsidR="005727A5" w:rsidRPr="002E27C8">
        <w:t>%)</w:t>
      </w:r>
      <w:r w:rsidR="00F75C80" w:rsidRPr="002E27C8">
        <w:t xml:space="preserve"> </w:t>
      </w:r>
      <w:r w:rsidRPr="002E27C8">
        <w:t>offset</w:t>
      </w:r>
      <w:r w:rsidR="0087384F" w:rsidRPr="002E27C8">
        <w:t xml:space="preserve">ting </w:t>
      </w:r>
      <w:r w:rsidRPr="002E27C8">
        <w:t xml:space="preserve">steep declines in the </w:t>
      </w:r>
      <w:r w:rsidRPr="002E27C8">
        <w:rPr>
          <w:b/>
          <w:bCs/>
        </w:rPr>
        <w:t>Philippines</w:t>
      </w:r>
      <w:r w:rsidRPr="002E27C8">
        <w:t xml:space="preserve"> (down 70%),</w:t>
      </w:r>
      <w:r w:rsidRPr="002E27C8">
        <w:rPr>
          <w:b/>
          <w:bCs/>
        </w:rPr>
        <w:t xml:space="preserve"> J</w:t>
      </w:r>
      <w:r w:rsidR="00C57088" w:rsidRPr="002E27C8">
        <w:rPr>
          <w:b/>
          <w:bCs/>
        </w:rPr>
        <w:t>a</w:t>
      </w:r>
      <w:r w:rsidRPr="002E27C8">
        <w:rPr>
          <w:b/>
          <w:bCs/>
        </w:rPr>
        <w:t>pan</w:t>
      </w:r>
      <w:r w:rsidRPr="002E27C8">
        <w:t xml:space="preserve"> (down 15%) and </w:t>
      </w:r>
      <w:r w:rsidRPr="002E27C8">
        <w:rPr>
          <w:b/>
          <w:bCs/>
        </w:rPr>
        <w:t xml:space="preserve">Taiwan </w:t>
      </w:r>
      <w:r w:rsidRPr="002E27C8">
        <w:t>(down 24%).</w:t>
      </w:r>
    </w:p>
    <w:p w14:paraId="32D4D0D7" w14:textId="721DA8DE" w:rsidR="00FC7394" w:rsidRPr="002E27C8" w:rsidRDefault="00C84427" w:rsidP="001422BE">
      <w:pPr>
        <w:pStyle w:val="ListParagraph"/>
        <w:numPr>
          <w:ilvl w:val="0"/>
          <w:numId w:val="10"/>
        </w:numPr>
        <w:spacing w:after="120"/>
      </w:pPr>
      <w:bookmarkStart w:id="0" w:name="_Hlk71710426"/>
      <w:r w:rsidRPr="002E27C8">
        <w:t>E</w:t>
      </w:r>
      <w:r w:rsidR="00B43EF1" w:rsidRPr="002E27C8">
        <w:t>xports</w:t>
      </w:r>
      <w:r w:rsidR="00751E26" w:rsidRPr="002E27C8">
        <w:t xml:space="preserve"> grew </w:t>
      </w:r>
      <w:r w:rsidR="00C57088" w:rsidRPr="002E27C8">
        <w:t>8</w:t>
      </w:r>
      <w:r w:rsidR="00751E26" w:rsidRPr="002E27C8">
        <w:t xml:space="preserve">% </w:t>
      </w:r>
      <w:r w:rsidR="00B43EF1" w:rsidRPr="002E27C8">
        <w:t>to</w:t>
      </w:r>
      <w:r w:rsidRPr="002E27C8">
        <w:t xml:space="preserve"> the </w:t>
      </w:r>
      <w:r w:rsidR="001C13C5" w:rsidRPr="002E27C8">
        <w:rPr>
          <w:b/>
        </w:rPr>
        <w:t>European</w:t>
      </w:r>
      <w:r w:rsidR="00C57088" w:rsidRPr="002E27C8">
        <w:rPr>
          <w:b/>
        </w:rPr>
        <w:t xml:space="preserve"> Union</w:t>
      </w:r>
      <w:r w:rsidR="001C13C5" w:rsidRPr="002E27C8">
        <w:rPr>
          <w:b/>
        </w:rPr>
        <w:t xml:space="preserve"> </w:t>
      </w:r>
      <w:r w:rsidR="00A744D1" w:rsidRPr="002E27C8">
        <w:t>(</w:t>
      </w:r>
      <w:r w:rsidR="00AE6B2A" w:rsidRPr="002E27C8">
        <w:t>led</w:t>
      </w:r>
      <w:r w:rsidR="00F555DD" w:rsidRPr="002E27C8">
        <w:t xml:space="preserve"> by</w:t>
      </w:r>
      <w:r w:rsidR="00C57088" w:rsidRPr="002E27C8">
        <w:t xml:space="preserve"> growth to the </w:t>
      </w:r>
      <w:r w:rsidR="00C57088" w:rsidRPr="002E27C8">
        <w:rPr>
          <w:b/>
          <w:bCs/>
        </w:rPr>
        <w:t>Netherlands</w:t>
      </w:r>
      <w:r w:rsidR="00C57088" w:rsidRPr="002E27C8">
        <w:t xml:space="preserve"> and </w:t>
      </w:r>
      <w:r w:rsidR="00C57088" w:rsidRPr="002E27C8">
        <w:rPr>
          <w:b/>
          <w:bCs/>
        </w:rPr>
        <w:t>Belgium</w:t>
      </w:r>
      <w:r w:rsidR="00C57088" w:rsidRPr="002E27C8">
        <w:t xml:space="preserve">), 29% to the </w:t>
      </w:r>
      <w:r w:rsidR="00C57088" w:rsidRPr="002E27C8">
        <w:rPr>
          <w:b/>
          <w:bCs/>
        </w:rPr>
        <w:t>Middle East</w:t>
      </w:r>
      <w:r w:rsidR="00C57088" w:rsidRPr="002E27C8">
        <w:t xml:space="preserve"> (</w:t>
      </w:r>
      <w:r w:rsidR="00FC7394" w:rsidRPr="002E27C8">
        <w:t>as wheat exports</w:t>
      </w:r>
      <w:r w:rsidR="00AE6B2A" w:rsidRPr="002E27C8">
        <w:t xml:space="preserve"> surge</w:t>
      </w:r>
      <w:r w:rsidR="00FC7394" w:rsidRPr="002E27C8">
        <w:t>d</w:t>
      </w:r>
      <w:r w:rsidR="00AE6B2A" w:rsidRPr="002E27C8">
        <w:t xml:space="preserve"> </w:t>
      </w:r>
      <w:r w:rsidR="00FC7394" w:rsidRPr="002E27C8">
        <w:t>by</w:t>
      </w:r>
      <w:r w:rsidR="00C57088" w:rsidRPr="002E27C8">
        <w:t xml:space="preserve"> </w:t>
      </w:r>
      <w:r w:rsidR="00212FF3" w:rsidRPr="002E27C8">
        <w:t>about</w:t>
      </w:r>
      <w:r w:rsidR="00C57088" w:rsidRPr="002E27C8">
        <w:t xml:space="preserve"> $2</w:t>
      </w:r>
      <w:r w:rsidR="00212FF3" w:rsidRPr="002E27C8">
        <w:t>6</w:t>
      </w:r>
      <w:r w:rsidR="00C57088" w:rsidRPr="002E27C8">
        <w:t xml:space="preserve"> million </w:t>
      </w:r>
      <w:r w:rsidR="00F555DD" w:rsidRPr="002E27C8">
        <w:t>to</w:t>
      </w:r>
      <w:r w:rsidR="000B2DF3" w:rsidRPr="002E27C8">
        <w:t xml:space="preserve"> </w:t>
      </w:r>
      <w:r w:rsidR="00C57088" w:rsidRPr="002E27C8">
        <w:rPr>
          <w:b/>
        </w:rPr>
        <w:t>Yemen</w:t>
      </w:r>
      <w:r w:rsidR="003C3B88" w:rsidRPr="002E27C8">
        <w:rPr>
          <w:bCs/>
        </w:rPr>
        <w:t>)</w:t>
      </w:r>
      <w:r w:rsidR="00FC7394" w:rsidRPr="002E27C8">
        <w:rPr>
          <w:bCs/>
        </w:rPr>
        <w:t xml:space="preserve">, and 2% to </w:t>
      </w:r>
      <w:r w:rsidR="00F555DD" w:rsidRPr="002E27C8">
        <w:rPr>
          <w:b/>
        </w:rPr>
        <w:t>Central and South America</w:t>
      </w:r>
      <w:r w:rsidRPr="002E27C8">
        <w:t xml:space="preserve"> </w:t>
      </w:r>
      <w:r w:rsidR="00A744D1" w:rsidRPr="002E27C8">
        <w:t>(</w:t>
      </w:r>
      <w:r w:rsidR="00FC7394" w:rsidRPr="002E27C8">
        <w:t xml:space="preserve">boosted by increased demand in </w:t>
      </w:r>
      <w:r w:rsidR="00FC7394" w:rsidRPr="002E27C8">
        <w:rPr>
          <w:b/>
          <w:bCs/>
        </w:rPr>
        <w:t xml:space="preserve">Colombia </w:t>
      </w:r>
      <w:r w:rsidR="00FC7394" w:rsidRPr="002E27C8">
        <w:t>(up 61%),</w:t>
      </w:r>
      <w:r w:rsidR="00FC7394" w:rsidRPr="002E27C8">
        <w:rPr>
          <w:b/>
          <w:bCs/>
        </w:rPr>
        <w:t xml:space="preserve"> </w:t>
      </w:r>
      <w:bookmarkEnd w:id="0"/>
      <w:r w:rsidR="00F555DD" w:rsidRPr="002E27C8">
        <w:rPr>
          <w:b/>
        </w:rPr>
        <w:t>Costa Rica</w:t>
      </w:r>
      <w:r w:rsidR="00B43EF1" w:rsidRPr="002E27C8">
        <w:rPr>
          <w:b/>
        </w:rPr>
        <w:t xml:space="preserve"> </w:t>
      </w:r>
      <w:r w:rsidR="00B43EF1" w:rsidRPr="002E27C8">
        <w:rPr>
          <w:bCs/>
        </w:rPr>
        <w:t xml:space="preserve">(up </w:t>
      </w:r>
      <w:r w:rsidR="00FC7394" w:rsidRPr="002E27C8">
        <w:rPr>
          <w:bCs/>
        </w:rPr>
        <w:t>6</w:t>
      </w:r>
      <w:r w:rsidR="00B43EF1" w:rsidRPr="002E27C8">
        <w:rPr>
          <w:bCs/>
        </w:rPr>
        <w:t>%),</w:t>
      </w:r>
      <w:r w:rsidR="00F555DD" w:rsidRPr="002E27C8">
        <w:rPr>
          <w:bCs/>
        </w:rPr>
        <w:t xml:space="preserve"> </w:t>
      </w:r>
      <w:r w:rsidR="00FC7394" w:rsidRPr="002E27C8">
        <w:rPr>
          <w:bCs/>
        </w:rPr>
        <w:t xml:space="preserve">and </w:t>
      </w:r>
      <w:r w:rsidR="00FC7394" w:rsidRPr="002E27C8">
        <w:rPr>
          <w:b/>
        </w:rPr>
        <w:t xml:space="preserve">Chile </w:t>
      </w:r>
      <w:r w:rsidR="00FC7394" w:rsidRPr="002E27C8">
        <w:rPr>
          <w:bCs/>
        </w:rPr>
        <w:t xml:space="preserve">(up 23%)). </w:t>
      </w:r>
    </w:p>
    <w:p w14:paraId="21407398" w14:textId="192D792A" w:rsidR="003C43EB" w:rsidRPr="002E27C8" w:rsidRDefault="00FC7394" w:rsidP="001422BE">
      <w:pPr>
        <w:pStyle w:val="ListParagraph"/>
        <w:numPr>
          <w:ilvl w:val="0"/>
          <w:numId w:val="10"/>
        </w:numPr>
        <w:spacing w:after="120"/>
      </w:pPr>
      <w:r w:rsidRPr="002E27C8">
        <w:rPr>
          <w:bCs/>
        </w:rPr>
        <w:t xml:space="preserve">Among regions, exports declined only to the </w:t>
      </w:r>
      <w:r w:rsidRPr="002E27C8">
        <w:rPr>
          <w:b/>
        </w:rPr>
        <w:t>Australia-Pacific</w:t>
      </w:r>
      <w:r w:rsidRPr="002E27C8">
        <w:rPr>
          <w:bCs/>
        </w:rPr>
        <w:t xml:space="preserve"> region (down 13%), as exports</w:t>
      </w:r>
      <w:r w:rsidR="0087384F" w:rsidRPr="002E27C8">
        <w:rPr>
          <w:bCs/>
        </w:rPr>
        <w:t xml:space="preserve"> tumbled</w:t>
      </w:r>
      <w:r w:rsidRPr="002E27C8">
        <w:rPr>
          <w:bCs/>
        </w:rPr>
        <w:t xml:space="preserve"> to </w:t>
      </w:r>
      <w:r w:rsidRPr="002E27C8">
        <w:rPr>
          <w:b/>
        </w:rPr>
        <w:t>Australia</w:t>
      </w:r>
      <w:r w:rsidRPr="002E27C8">
        <w:rPr>
          <w:bCs/>
        </w:rPr>
        <w:t xml:space="preserve"> (down 12%) and </w:t>
      </w:r>
      <w:r w:rsidRPr="002E27C8">
        <w:rPr>
          <w:b/>
        </w:rPr>
        <w:t>New Zealand</w:t>
      </w:r>
      <w:r w:rsidRPr="002E27C8">
        <w:rPr>
          <w:bCs/>
        </w:rPr>
        <w:t xml:space="preserve"> (down 18%).</w:t>
      </w:r>
      <w:r w:rsidR="007E6CE7" w:rsidRPr="002E27C8">
        <w:t xml:space="preserve"> </w:t>
      </w:r>
    </w:p>
    <w:p w14:paraId="481CD972" w14:textId="21CC1F92" w:rsidR="007C165F" w:rsidRPr="002E27C8" w:rsidRDefault="007C165F" w:rsidP="0087384F">
      <w:pPr>
        <w:pStyle w:val="Heading4"/>
        <w:spacing w:before="120" w:after="80"/>
        <w:rPr>
          <w:color w:val="auto"/>
        </w:rPr>
      </w:pPr>
      <w:r w:rsidRPr="002E27C8">
        <w:rPr>
          <w:color w:val="auto"/>
        </w:rPr>
        <w:t xml:space="preserve">Figure </w:t>
      </w:r>
      <w:r w:rsidR="00E36364" w:rsidRPr="002E27C8">
        <w:rPr>
          <w:color w:val="auto"/>
        </w:rPr>
        <w:fldChar w:fldCharType="begin"/>
      </w:r>
      <w:r w:rsidR="00E36364" w:rsidRPr="002E27C8">
        <w:rPr>
          <w:color w:val="auto"/>
        </w:rPr>
        <w:instrText xml:space="preserve"> SEQ Figure \* ARABIC </w:instrText>
      </w:r>
      <w:r w:rsidR="00E36364" w:rsidRPr="002E27C8">
        <w:rPr>
          <w:color w:val="auto"/>
        </w:rPr>
        <w:fldChar w:fldCharType="separate"/>
      </w:r>
      <w:r w:rsidR="00C430F8" w:rsidRPr="002E27C8">
        <w:rPr>
          <w:noProof/>
          <w:color w:val="auto"/>
        </w:rPr>
        <w:t>2</w:t>
      </w:r>
      <w:r w:rsidR="00E36364" w:rsidRPr="002E27C8">
        <w:rPr>
          <w:color w:val="auto"/>
        </w:rPr>
        <w:fldChar w:fldCharType="end"/>
      </w:r>
      <w:r w:rsidR="00C84D0E" w:rsidRPr="002E27C8">
        <w:rPr>
          <w:color w:val="auto"/>
        </w:rPr>
        <w:t xml:space="preserve">. </w:t>
      </w:r>
      <w:r w:rsidR="00A44451" w:rsidRPr="002E27C8">
        <w:rPr>
          <w:color w:val="auto"/>
        </w:rPr>
        <w:t>Export Trends for</w:t>
      </w:r>
      <w:r w:rsidR="0038665A" w:rsidRPr="002E27C8">
        <w:rPr>
          <w:color w:val="auto"/>
        </w:rPr>
        <w:t xml:space="preserve"> Minnesota’s Top 10 Markets, </w:t>
      </w:r>
      <w:r w:rsidR="00A30328" w:rsidRPr="002E27C8">
        <w:rPr>
          <w:color w:val="auto"/>
        </w:rPr>
        <w:t>First</w:t>
      </w:r>
      <w:r w:rsidR="00606AB0" w:rsidRPr="002E27C8">
        <w:rPr>
          <w:color w:val="auto"/>
        </w:rPr>
        <w:t xml:space="preserve"> </w:t>
      </w:r>
      <w:r w:rsidR="00A52415" w:rsidRPr="002E27C8">
        <w:rPr>
          <w:color w:val="auto"/>
        </w:rPr>
        <w:t xml:space="preserve">Quarter </w:t>
      </w:r>
      <w:r w:rsidR="00D4733E" w:rsidRPr="002E27C8">
        <w:rPr>
          <w:color w:val="auto"/>
        </w:rPr>
        <w:t>2022</w:t>
      </w:r>
    </w:p>
    <w:p w14:paraId="44AA0097" w14:textId="45212237" w:rsidR="002A0D6B" w:rsidRPr="002E27C8" w:rsidRDefault="00DE2EE4" w:rsidP="002A0D6B">
      <w:pPr>
        <w:spacing w:after="0"/>
        <w:jc w:val="center"/>
      </w:pPr>
      <w:r w:rsidRPr="002E27C8">
        <w:rPr>
          <w:noProof/>
        </w:rPr>
        <w:drawing>
          <wp:inline distT="0" distB="0" distL="0" distR="0" wp14:anchorId="0E9254B3" wp14:editId="7963989A">
            <wp:extent cx="6492240" cy="1877695"/>
            <wp:effectExtent l="0" t="0" r="3810" b="8255"/>
            <wp:docPr id="5" name="Picture 5" descr="Product Exports (millions) Percent Change, 2021-Q1 to 2022-Q1&#10;WORLD  $6,085  13%&#10;Canada (1)   $1,930  35%&#10;China (2)   $698  25%&#10;Mexico (3)   $676  11%&#10;Japan (4)   $285  -15%&#10;Germany (5)   $186  -17%&#10;Belgium (6)   $184  17%&#10;Netherlands (7)   $162  44%&#10;Korea (8)   $148  -7%&#10;U.K. (9)   $143  14%&#10;Ireland (10)   $132  0%&#10;Other  $1,541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roduct Exports (millions) Percent Change, 2021-Q1 to 2022-Q1&#10;WORLD  $6,085  13%&#10;Canada (1)   $1,930  35%&#10;China (2)   $698  25%&#10;Mexico (3)   $676  11%&#10;Japan (4)   $285  -15%&#10;Germany (5)   $186  -17%&#10;Belgium (6)   $184  17%&#10;Netherlands (7)   $162  44%&#10;Korea (8)   $148  -7%&#10;U.K. (9)   $143  14%&#10;Ireland (10)   $132  0%&#10;Other  $1,541  -1%&#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92240" cy="1877695"/>
                    </a:xfrm>
                    <a:prstGeom prst="rect">
                      <a:avLst/>
                    </a:prstGeom>
                    <a:noFill/>
                    <a:ln>
                      <a:noFill/>
                    </a:ln>
                  </pic:spPr>
                </pic:pic>
              </a:graphicData>
            </a:graphic>
          </wp:inline>
        </w:drawing>
      </w:r>
    </w:p>
    <w:p w14:paraId="52D9CF8F" w14:textId="2728571E" w:rsidR="00212FF3" w:rsidRPr="002E27C8" w:rsidRDefault="00A513DF" w:rsidP="00212FF3">
      <w:pPr>
        <w:pStyle w:val="Heading2"/>
        <w:tabs>
          <w:tab w:val="left" w:pos="360"/>
        </w:tabs>
        <w:spacing w:before="0" w:after="120"/>
        <w:ind w:left="360" w:hanging="360"/>
        <w:rPr>
          <w:rFonts w:asciiTheme="minorHAnsi" w:hAnsiTheme="minorHAnsi"/>
          <w:b w:val="0"/>
          <w:i/>
          <w:color w:val="auto"/>
          <w:sz w:val="28"/>
        </w:rPr>
      </w:pPr>
      <w:r w:rsidRPr="002E27C8">
        <w:rPr>
          <w:rFonts w:asciiTheme="minorHAnsi" w:hAnsiTheme="minorHAnsi"/>
          <w:b w:val="0"/>
          <w:i/>
          <w:color w:val="auto"/>
          <w:sz w:val="28"/>
        </w:rPr>
        <w:lastRenderedPageBreak/>
        <w:t xml:space="preserve">Cereals, Electrical Equipment, Fertilizers and Chemicals </w:t>
      </w:r>
      <w:r w:rsidR="002E27C8" w:rsidRPr="002E27C8">
        <w:rPr>
          <w:rFonts w:asciiTheme="minorHAnsi" w:hAnsiTheme="minorHAnsi"/>
          <w:b w:val="0"/>
          <w:i/>
          <w:color w:val="auto"/>
          <w:sz w:val="28"/>
        </w:rPr>
        <w:t>A</w:t>
      </w:r>
      <w:r w:rsidR="00212FF3" w:rsidRPr="002E27C8">
        <w:rPr>
          <w:rFonts w:asciiTheme="minorHAnsi" w:hAnsiTheme="minorHAnsi"/>
          <w:b w:val="0"/>
          <w:i/>
          <w:color w:val="auto"/>
          <w:sz w:val="28"/>
        </w:rPr>
        <w:t>re Among</w:t>
      </w:r>
      <w:r w:rsidRPr="002E27C8">
        <w:rPr>
          <w:rFonts w:asciiTheme="minorHAnsi" w:hAnsiTheme="minorHAnsi"/>
          <w:b w:val="0"/>
          <w:i/>
          <w:color w:val="auto"/>
          <w:sz w:val="28"/>
        </w:rPr>
        <w:t xml:space="preserve"> Growth</w:t>
      </w:r>
      <w:r w:rsidR="00212FF3" w:rsidRPr="002E27C8">
        <w:rPr>
          <w:rFonts w:asciiTheme="minorHAnsi" w:hAnsiTheme="minorHAnsi"/>
          <w:b w:val="0"/>
          <w:i/>
          <w:color w:val="auto"/>
          <w:sz w:val="28"/>
        </w:rPr>
        <w:t xml:space="preserve"> Markets</w:t>
      </w:r>
    </w:p>
    <w:p w14:paraId="740E7E89" w14:textId="77777777" w:rsidR="00212FF3" w:rsidRPr="002E27C8" w:rsidRDefault="00212FF3" w:rsidP="00212FF3">
      <w:pPr>
        <w:pStyle w:val="NoSpacing"/>
        <w:numPr>
          <w:ilvl w:val="0"/>
          <w:numId w:val="18"/>
        </w:numPr>
        <w:sectPr w:rsidR="00212FF3" w:rsidRPr="002E27C8" w:rsidSect="00FE15EB">
          <w:footerReference w:type="default" r:id="rId15"/>
          <w:footnotePr>
            <w:numRestart w:val="eachSect"/>
          </w:footnotePr>
          <w:endnotePr>
            <w:numFmt w:val="decimal"/>
          </w:endnotePr>
          <w:type w:val="continuous"/>
          <w:pgSz w:w="12240" w:h="15840" w:code="1"/>
          <w:pgMar w:top="864" w:right="1008" w:bottom="864" w:left="1008" w:header="720" w:footer="720" w:gutter="0"/>
          <w:cols w:space="720"/>
          <w:titlePg/>
          <w:docGrid w:linePitch="299"/>
        </w:sectPr>
      </w:pPr>
    </w:p>
    <w:p w14:paraId="243FC245" w14:textId="083FAAE3" w:rsidR="00E76FF1" w:rsidRPr="002E27C8" w:rsidRDefault="00212FF3" w:rsidP="00212FF3">
      <w:pPr>
        <w:pStyle w:val="NoSpacing"/>
        <w:numPr>
          <w:ilvl w:val="0"/>
          <w:numId w:val="18"/>
        </w:numPr>
        <w:spacing w:line="271" w:lineRule="auto"/>
      </w:pPr>
      <w:r w:rsidRPr="002E27C8">
        <w:t>Exports of m</w:t>
      </w:r>
      <w:r w:rsidR="00861FE3" w:rsidRPr="002E27C8">
        <w:t xml:space="preserve">any products </w:t>
      </w:r>
      <w:r w:rsidR="00BB4A7B" w:rsidRPr="002E27C8">
        <w:t>perform</w:t>
      </w:r>
      <w:r w:rsidRPr="002E27C8">
        <w:t>ed</w:t>
      </w:r>
      <w:r w:rsidR="00BB4A7B" w:rsidRPr="002E27C8">
        <w:t xml:space="preserve"> strongly into 2022. </w:t>
      </w:r>
      <w:r w:rsidR="000E532F" w:rsidRPr="002E27C8">
        <w:t>F</w:t>
      </w:r>
      <w:r w:rsidR="00BB4A7B" w:rsidRPr="002E27C8">
        <w:t>ive</w:t>
      </w:r>
      <w:r w:rsidR="00FA1A86" w:rsidRPr="002E27C8">
        <w:t xml:space="preserve"> of the state’s top 10 products</w:t>
      </w:r>
      <w:r w:rsidR="00861FE3" w:rsidRPr="002E27C8">
        <w:t xml:space="preserve"> grew</w:t>
      </w:r>
      <w:r w:rsidR="00B038CC" w:rsidRPr="002E27C8">
        <w:t xml:space="preserve"> in the first quarter</w:t>
      </w:r>
      <w:r w:rsidR="000E532F" w:rsidRPr="002E27C8">
        <w:t xml:space="preserve"> –</w:t>
      </w:r>
      <w:r w:rsidR="00A44451" w:rsidRPr="002E27C8">
        <w:t xml:space="preserve"> </w:t>
      </w:r>
      <w:r w:rsidR="00BB4A7B" w:rsidRPr="002E27C8">
        <w:rPr>
          <w:b/>
          <w:bCs/>
        </w:rPr>
        <w:t>electrical</w:t>
      </w:r>
      <w:r w:rsidR="00BB4A7B" w:rsidRPr="002E27C8">
        <w:t xml:space="preserve"> </w:t>
      </w:r>
      <w:r w:rsidR="00BB4A7B" w:rsidRPr="002E27C8">
        <w:rPr>
          <w:b/>
          <w:bCs/>
        </w:rPr>
        <w:t>equipment</w:t>
      </w:r>
      <w:r w:rsidR="00BB4A7B" w:rsidRPr="002E27C8">
        <w:t xml:space="preserve"> (up </w:t>
      </w:r>
      <w:r w:rsidR="000E532F" w:rsidRPr="002E27C8">
        <w:t>3</w:t>
      </w:r>
      <w:r w:rsidR="00BB4A7B" w:rsidRPr="002E27C8">
        <w:t xml:space="preserve">1%), </w:t>
      </w:r>
      <w:r w:rsidR="00BB4A7B" w:rsidRPr="002E27C8">
        <w:rPr>
          <w:b/>
          <w:bCs/>
        </w:rPr>
        <w:t>optic, medical</w:t>
      </w:r>
      <w:r w:rsidR="00BB4A7B" w:rsidRPr="002E27C8">
        <w:t xml:space="preserve"> (up 5%), </w:t>
      </w:r>
      <w:r w:rsidR="00BB4A7B" w:rsidRPr="002E27C8">
        <w:rPr>
          <w:b/>
          <w:bCs/>
        </w:rPr>
        <w:t>cereals</w:t>
      </w:r>
      <w:r w:rsidR="00BB4A7B" w:rsidRPr="002E27C8">
        <w:t xml:space="preserve"> (up 579%)</w:t>
      </w:r>
      <w:r w:rsidR="000E532F" w:rsidRPr="002E27C8">
        <w:t xml:space="preserve">, </w:t>
      </w:r>
      <w:r w:rsidR="000E532F" w:rsidRPr="002E27C8">
        <w:rPr>
          <w:b/>
          <w:bCs/>
        </w:rPr>
        <w:t>plastic</w:t>
      </w:r>
      <w:r w:rsidR="00F053EF" w:rsidRPr="002E27C8">
        <w:rPr>
          <w:b/>
          <w:bCs/>
        </w:rPr>
        <w:t>s</w:t>
      </w:r>
      <w:r w:rsidR="0061064A" w:rsidRPr="002E27C8">
        <w:rPr>
          <w:b/>
          <w:bCs/>
        </w:rPr>
        <w:t xml:space="preserve"> </w:t>
      </w:r>
      <w:r w:rsidR="0061064A" w:rsidRPr="002E27C8">
        <w:t xml:space="preserve">(up </w:t>
      </w:r>
      <w:r w:rsidRPr="002E27C8">
        <w:t>7</w:t>
      </w:r>
      <w:r w:rsidR="0061064A" w:rsidRPr="002E27C8">
        <w:t>%)</w:t>
      </w:r>
      <w:r w:rsidR="008A202D" w:rsidRPr="002E27C8">
        <w:t xml:space="preserve"> </w:t>
      </w:r>
      <w:r w:rsidR="00952DBF" w:rsidRPr="002E27C8">
        <w:t xml:space="preserve">and </w:t>
      </w:r>
      <w:r w:rsidR="000E532F" w:rsidRPr="002E27C8">
        <w:rPr>
          <w:b/>
        </w:rPr>
        <w:t>meat</w:t>
      </w:r>
      <w:r w:rsidR="0061064A" w:rsidRPr="002E27C8">
        <w:t xml:space="preserve"> (</w:t>
      </w:r>
      <w:r w:rsidR="00D6151B" w:rsidRPr="002E27C8">
        <w:t>up</w:t>
      </w:r>
      <w:r w:rsidR="009B6D4C" w:rsidRPr="002E27C8">
        <w:t xml:space="preserve"> </w:t>
      </w:r>
      <w:r w:rsidR="00861FE3" w:rsidRPr="002E27C8">
        <w:t>2</w:t>
      </w:r>
      <w:r w:rsidR="00952DBF" w:rsidRPr="002E27C8">
        <w:t>%</w:t>
      </w:r>
      <w:r w:rsidR="0061064A" w:rsidRPr="002E27C8">
        <w:t>)</w:t>
      </w:r>
      <w:r w:rsidR="000E532F" w:rsidRPr="002E27C8">
        <w:t xml:space="preserve">. </w:t>
      </w:r>
    </w:p>
    <w:p w14:paraId="332639C5" w14:textId="3ABDC521" w:rsidR="00A513DF" w:rsidRPr="002E27C8" w:rsidRDefault="00A513DF" w:rsidP="00212FF3">
      <w:pPr>
        <w:pStyle w:val="ListParagraph"/>
        <w:numPr>
          <w:ilvl w:val="0"/>
          <w:numId w:val="7"/>
        </w:numPr>
        <w:spacing w:after="0" w:line="271" w:lineRule="auto"/>
        <w:ind w:left="360" w:right="-396"/>
      </w:pPr>
      <w:r w:rsidRPr="002E27C8">
        <w:rPr>
          <w:b/>
        </w:rPr>
        <w:t>Electrical equipment</w:t>
      </w:r>
      <w:r w:rsidRPr="002E27C8">
        <w:rPr>
          <w:bCs/>
        </w:rPr>
        <w:t xml:space="preserve"> sales surged to </w:t>
      </w:r>
      <w:r w:rsidRPr="002E27C8">
        <w:rPr>
          <w:b/>
        </w:rPr>
        <w:t>China</w:t>
      </w:r>
      <w:r w:rsidRPr="002E27C8">
        <w:rPr>
          <w:bCs/>
        </w:rPr>
        <w:t xml:space="preserve"> (up </w:t>
      </w:r>
      <w:r w:rsidR="007E2DB9" w:rsidRPr="002E27C8">
        <w:rPr>
          <w:bCs/>
        </w:rPr>
        <w:t>65</w:t>
      </w:r>
      <w:r w:rsidRPr="002E27C8">
        <w:rPr>
          <w:bCs/>
        </w:rPr>
        <w:t xml:space="preserve">%), </w:t>
      </w:r>
      <w:r w:rsidR="007E2DB9" w:rsidRPr="002E27C8">
        <w:rPr>
          <w:b/>
        </w:rPr>
        <w:t>Thailand</w:t>
      </w:r>
      <w:r w:rsidRPr="002E27C8">
        <w:rPr>
          <w:bCs/>
        </w:rPr>
        <w:t xml:space="preserve"> (up </w:t>
      </w:r>
      <w:r w:rsidR="007E2DB9" w:rsidRPr="002E27C8">
        <w:rPr>
          <w:bCs/>
        </w:rPr>
        <w:t>78</w:t>
      </w:r>
      <w:r w:rsidRPr="002E27C8">
        <w:rPr>
          <w:bCs/>
        </w:rPr>
        <w:t xml:space="preserve">%), </w:t>
      </w:r>
      <w:r w:rsidR="007E2DB9" w:rsidRPr="002E27C8">
        <w:rPr>
          <w:b/>
        </w:rPr>
        <w:t>Germany</w:t>
      </w:r>
      <w:r w:rsidRPr="002E27C8">
        <w:rPr>
          <w:b/>
        </w:rPr>
        <w:t xml:space="preserve"> </w:t>
      </w:r>
      <w:r w:rsidRPr="002E27C8">
        <w:rPr>
          <w:bCs/>
        </w:rPr>
        <w:t xml:space="preserve">(up </w:t>
      </w:r>
      <w:r w:rsidR="007E2DB9" w:rsidRPr="002E27C8">
        <w:rPr>
          <w:bCs/>
        </w:rPr>
        <w:t>65</w:t>
      </w:r>
      <w:r w:rsidRPr="002E27C8">
        <w:rPr>
          <w:bCs/>
        </w:rPr>
        <w:t>%)</w:t>
      </w:r>
      <w:r w:rsidR="007E2DB9" w:rsidRPr="002E27C8">
        <w:rPr>
          <w:bCs/>
        </w:rPr>
        <w:t xml:space="preserve"> and</w:t>
      </w:r>
      <w:r w:rsidRPr="002E27C8">
        <w:rPr>
          <w:bCs/>
        </w:rPr>
        <w:t xml:space="preserve"> </w:t>
      </w:r>
      <w:r w:rsidRPr="002E27C8">
        <w:rPr>
          <w:b/>
        </w:rPr>
        <w:t>Canada</w:t>
      </w:r>
      <w:r w:rsidRPr="002E27C8">
        <w:rPr>
          <w:bCs/>
        </w:rPr>
        <w:t xml:space="preserve"> (</w:t>
      </w:r>
      <w:r w:rsidR="007E2DB9" w:rsidRPr="002E27C8">
        <w:rPr>
          <w:bCs/>
        </w:rPr>
        <w:t>26</w:t>
      </w:r>
      <w:r w:rsidRPr="002E27C8">
        <w:rPr>
          <w:bCs/>
        </w:rPr>
        <w:t xml:space="preserve">%). Leading </w:t>
      </w:r>
      <w:r w:rsidR="007E2DB9" w:rsidRPr="002E27C8">
        <w:rPr>
          <w:bCs/>
        </w:rPr>
        <w:t xml:space="preserve">growth </w:t>
      </w:r>
      <w:r w:rsidRPr="002E27C8">
        <w:rPr>
          <w:bCs/>
        </w:rPr>
        <w:t xml:space="preserve">segments included </w:t>
      </w:r>
      <w:r w:rsidRPr="002E27C8">
        <w:rPr>
          <w:b/>
        </w:rPr>
        <w:t xml:space="preserve">integrated circuits </w:t>
      </w:r>
      <w:r w:rsidRPr="002E27C8">
        <w:rPr>
          <w:bCs/>
        </w:rPr>
        <w:t>(</w:t>
      </w:r>
      <w:r w:rsidR="007E2DB9" w:rsidRPr="002E27C8">
        <w:rPr>
          <w:bCs/>
        </w:rPr>
        <w:t xml:space="preserve">$306 million, </w:t>
      </w:r>
      <w:r w:rsidRPr="002E27C8">
        <w:rPr>
          <w:bCs/>
        </w:rPr>
        <w:t xml:space="preserve">up </w:t>
      </w:r>
      <w:r w:rsidR="007E2DB9" w:rsidRPr="002E27C8">
        <w:rPr>
          <w:bCs/>
        </w:rPr>
        <w:t>46</w:t>
      </w:r>
      <w:r w:rsidRPr="002E27C8">
        <w:rPr>
          <w:bCs/>
        </w:rPr>
        <w:t>%)</w:t>
      </w:r>
      <w:r w:rsidR="007E2DB9" w:rsidRPr="002E27C8">
        <w:rPr>
          <w:bCs/>
        </w:rPr>
        <w:t xml:space="preserve">, </w:t>
      </w:r>
      <w:r w:rsidR="007E2DB9" w:rsidRPr="002E27C8">
        <w:rPr>
          <w:b/>
        </w:rPr>
        <w:t>insulated wire</w:t>
      </w:r>
      <w:r w:rsidR="007E2DB9" w:rsidRPr="002E27C8">
        <w:rPr>
          <w:bCs/>
        </w:rPr>
        <w:t xml:space="preserve"> ($59 million, up 105%)</w:t>
      </w:r>
      <w:r w:rsidRPr="002E27C8">
        <w:rPr>
          <w:bCs/>
        </w:rPr>
        <w:t xml:space="preserve"> and </w:t>
      </w:r>
      <w:r w:rsidR="007E2DB9" w:rsidRPr="002E27C8">
        <w:rPr>
          <w:b/>
        </w:rPr>
        <w:t>switches</w:t>
      </w:r>
      <w:r w:rsidRPr="002E27C8">
        <w:rPr>
          <w:b/>
        </w:rPr>
        <w:t xml:space="preserve"> </w:t>
      </w:r>
      <w:r w:rsidRPr="002E27C8">
        <w:rPr>
          <w:bCs/>
        </w:rPr>
        <w:t>(</w:t>
      </w:r>
      <w:r w:rsidR="007E2DB9" w:rsidRPr="002E27C8">
        <w:rPr>
          <w:bCs/>
        </w:rPr>
        <w:t>$6</w:t>
      </w:r>
      <w:r w:rsidR="00212FF3" w:rsidRPr="002E27C8">
        <w:rPr>
          <w:bCs/>
        </w:rPr>
        <w:t>6</w:t>
      </w:r>
      <w:r w:rsidR="007E2DB9" w:rsidRPr="002E27C8">
        <w:rPr>
          <w:bCs/>
        </w:rPr>
        <w:t xml:space="preserve"> million, </w:t>
      </w:r>
      <w:r w:rsidRPr="002E27C8">
        <w:rPr>
          <w:bCs/>
        </w:rPr>
        <w:t xml:space="preserve">up </w:t>
      </w:r>
      <w:r w:rsidR="007E2DB9" w:rsidRPr="002E27C8">
        <w:rPr>
          <w:bCs/>
        </w:rPr>
        <w:t>45</w:t>
      </w:r>
      <w:r w:rsidRPr="002E27C8">
        <w:rPr>
          <w:bCs/>
        </w:rPr>
        <w:t>%).</w:t>
      </w:r>
    </w:p>
    <w:p w14:paraId="0045A58A" w14:textId="23AFD422" w:rsidR="00A513DF" w:rsidRPr="002E27C8" w:rsidRDefault="002E47BC" w:rsidP="00212FF3">
      <w:pPr>
        <w:pStyle w:val="ListParagraph"/>
        <w:numPr>
          <w:ilvl w:val="0"/>
          <w:numId w:val="7"/>
        </w:numPr>
        <w:spacing w:before="120" w:after="0" w:line="271" w:lineRule="auto"/>
        <w:ind w:left="360" w:right="-396"/>
      </w:pPr>
      <w:r w:rsidRPr="002E27C8">
        <w:rPr>
          <w:bCs/>
        </w:rPr>
        <w:t>As the dominant buyer,</w:t>
      </w:r>
      <w:r w:rsidRPr="002E27C8">
        <w:rPr>
          <w:b/>
        </w:rPr>
        <w:t xml:space="preserve"> </w:t>
      </w:r>
      <w:r w:rsidR="00A513DF" w:rsidRPr="002E27C8">
        <w:rPr>
          <w:b/>
        </w:rPr>
        <w:t>Canada</w:t>
      </w:r>
      <w:r w:rsidR="00A513DF" w:rsidRPr="002E27C8">
        <w:rPr>
          <w:bCs/>
        </w:rPr>
        <w:t xml:space="preserve"> propelled </w:t>
      </w:r>
      <w:r w:rsidR="007E2DB9" w:rsidRPr="002E27C8">
        <w:rPr>
          <w:bCs/>
        </w:rPr>
        <w:t>the state’s growth in exports</w:t>
      </w:r>
      <w:r w:rsidR="00A513DF" w:rsidRPr="002E27C8">
        <w:rPr>
          <w:bCs/>
        </w:rPr>
        <w:t xml:space="preserve"> </w:t>
      </w:r>
      <w:r w:rsidR="007E2DB9" w:rsidRPr="002E27C8">
        <w:rPr>
          <w:bCs/>
        </w:rPr>
        <w:t>of</w:t>
      </w:r>
      <w:r w:rsidR="00A513DF" w:rsidRPr="002E27C8">
        <w:rPr>
          <w:bCs/>
        </w:rPr>
        <w:t xml:space="preserve"> </w:t>
      </w:r>
      <w:r w:rsidR="00A513DF" w:rsidRPr="002E27C8">
        <w:rPr>
          <w:b/>
        </w:rPr>
        <w:t>cereals</w:t>
      </w:r>
      <w:r w:rsidR="007E2DB9" w:rsidRPr="002E27C8">
        <w:rPr>
          <w:b/>
        </w:rPr>
        <w:t xml:space="preserve"> </w:t>
      </w:r>
      <w:r w:rsidR="007E2DB9" w:rsidRPr="002E27C8">
        <w:rPr>
          <w:bCs/>
        </w:rPr>
        <w:t>(</w:t>
      </w:r>
      <w:r w:rsidRPr="002E27C8">
        <w:rPr>
          <w:bCs/>
        </w:rPr>
        <w:t xml:space="preserve">up almost $330 million, </w:t>
      </w:r>
      <w:r w:rsidR="007E2DB9" w:rsidRPr="002E27C8">
        <w:rPr>
          <w:bCs/>
        </w:rPr>
        <w:t xml:space="preserve">mainly </w:t>
      </w:r>
      <w:r w:rsidR="007E2DB9" w:rsidRPr="002E27C8">
        <w:rPr>
          <w:b/>
        </w:rPr>
        <w:t>corn</w:t>
      </w:r>
      <w:r w:rsidRPr="002E27C8">
        <w:rPr>
          <w:bCs/>
        </w:rPr>
        <w:t xml:space="preserve">) and </w:t>
      </w:r>
      <w:r w:rsidRPr="002E27C8">
        <w:rPr>
          <w:b/>
        </w:rPr>
        <w:t xml:space="preserve">fertilizers </w:t>
      </w:r>
      <w:r w:rsidRPr="002E27C8">
        <w:rPr>
          <w:bCs/>
        </w:rPr>
        <w:t>(up $78 million).</w:t>
      </w:r>
    </w:p>
    <w:p w14:paraId="6BA2F72E" w14:textId="1732CC69" w:rsidR="00E76FF1" w:rsidRPr="002E27C8" w:rsidRDefault="00E76FF1" w:rsidP="00212FF3">
      <w:pPr>
        <w:spacing w:after="0" w:line="271" w:lineRule="auto"/>
        <w:ind w:right="-396"/>
      </w:pPr>
      <w:r w:rsidRPr="002E27C8">
        <w:rPr>
          <w:rStyle w:val="Heading4Char"/>
          <w:color w:val="auto"/>
        </w:rPr>
        <w:t xml:space="preserve">Figure </w:t>
      </w:r>
      <w:r w:rsidRPr="002E27C8">
        <w:rPr>
          <w:rStyle w:val="Heading4Char"/>
          <w:b/>
          <w:color w:val="auto"/>
        </w:rPr>
        <w:fldChar w:fldCharType="begin"/>
      </w:r>
      <w:r w:rsidRPr="002E27C8">
        <w:rPr>
          <w:rStyle w:val="Heading4Char"/>
          <w:color w:val="auto"/>
        </w:rPr>
        <w:instrText xml:space="preserve"> SEQ Figure \* ARABIC </w:instrText>
      </w:r>
      <w:r w:rsidRPr="002E27C8">
        <w:rPr>
          <w:rStyle w:val="Heading4Char"/>
          <w:b/>
          <w:color w:val="auto"/>
        </w:rPr>
        <w:fldChar w:fldCharType="separate"/>
      </w:r>
      <w:r w:rsidR="00C430F8" w:rsidRPr="002E27C8">
        <w:rPr>
          <w:rStyle w:val="Heading4Char"/>
          <w:noProof/>
          <w:color w:val="auto"/>
        </w:rPr>
        <w:t>3</w:t>
      </w:r>
      <w:r w:rsidRPr="002E27C8">
        <w:rPr>
          <w:rStyle w:val="Heading4Char"/>
          <w:b/>
          <w:color w:val="auto"/>
        </w:rPr>
        <w:fldChar w:fldCharType="end"/>
      </w:r>
      <w:r w:rsidRPr="002E27C8">
        <w:rPr>
          <w:rStyle w:val="Heading4Char"/>
          <w:color w:val="auto"/>
        </w:rPr>
        <w:t xml:space="preserve">. </w:t>
      </w:r>
      <w:r w:rsidR="00C915E2" w:rsidRPr="002E27C8">
        <w:rPr>
          <w:rStyle w:val="Heading4Char"/>
          <w:color w:val="auto"/>
        </w:rPr>
        <w:t>Top Markets for Electrical Equipment</w:t>
      </w:r>
    </w:p>
    <w:p w14:paraId="362FD8D5" w14:textId="77777777" w:rsidR="00212FF3" w:rsidRPr="002E27C8" w:rsidRDefault="00E76FF1" w:rsidP="00212FF3">
      <w:pPr>
        <w:spacing w:after="0" w:line="271" w:lineRule="auto"/>
        <w:rPr>
          <w:b/>
        </w:rPr>
      </w:pPr>
      <w:r w:rsidRPr="002E27C8">
        <w:rPr>
          <w:noProof/>
        </w:rPr>
        <w:drawing>
          <wp:inline distT="0" distB="0" distL="0" distR="0" wp14:anchorId="15A22583" wp14:editId="53DDC5E5">
            <wp:extent cx="3162300" cy="2028825"/>
            <wp:effectExtent l="0" t="0" r="0" b="0"/>
            <wp:docPr id="10" name="Chart 10" descr="Figure 3&#10;Product Segment - Machinery&#10;Mach. for Making Semiconductors 15%&#10;Centrifuges, Filters 15%&#10;Spraying Equipment 7%&#10;Pumps 7%&#10;Specialized Mach. 6%&#10;Computers 5%&#10;Taps, Valves 5%&#10;Other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577D3B4" w14:textId="77777777" w:rsidR="00212FF3" w:rsidRPr="002E27C8" w:rsidRDefault="00212FF3" w:rsidP="00212FF3">
      <w:pPr>
        <w:pStyle w:val="ListParagraph"/>
        <w:numPr>
          <w:ilvl w:val="0"/>
          <w:numId w:val="19"/>
        </w:numPr>
        <w:spacing w:after="0" w:line="271" w:lineRule="auto"/>
        <w:rPr>
          <w:b/>
        </w:rPr>
        <w:sectPr w:rsidR="00212FF3" w:rsidRPr="002E27C8" w:rsidSect="00212FF3">
          <w:footnotePr>
            <w:numRestart w:val="eachSect"/>
          </w:footnotePr>
          <w:endnotePr>
            <w:numFmt w:val="decimal"/>
          </w:endnotePr>
          <w:type w:val="continuous"/>
          <w:pgSz w:w="12240" w:h="15840" w:code="1"/>
          <w:pgMar w:top="864" w:right="1008" w:bottom="864" w:left="1008" w:header="720" w:footer="720" w:gutter="0"/>
          <w:cols w:num="2" w:space="720"/>
          <w:titlePg/>
          <w:docGrid w:linePitch="299"/>
        </w:sectPr>
      </w:pPr>
    </w:p>
    <w:p w14:paraId="119E2246" w14:textId="17E03DE0" w:rsidR="00051435" w:rsidRPr="002E27C8" w:rsidRDefault="00051435" w:rsidP="00212FF3">
      <w:pPr>
        <w:pStyle w:val="ListParagraph"/>
        <w:numPr>
          <w:ilvl w:val="0"/>
          <w:numId w:val="19"/>
        </w:numPr>
        <w:spacing w:after="0" w:line="271" w:lineRule="auto"/>
      </w:pPr>
      <w:r w:rsidRPr="002E27C8">
        <w:rPr>
          <w:b/>
        </w:rPr>
        <w:t xml:space="preserve">China </w:t>
      </w:r>
      <w:r w:rsidRPr="002E27C8">
        <w:rPr>
          <w:bCs/>
        </w:rPr>
        <w:t xml:space="preserve">($47 million, up 497%), </w:t>
      </w:r>
      <w:r w:rsidRPr="002E27C8">
        <w:rPr>
          <w:b/>
        </w:rPr>
        <w:t xml:space="preserve">Mexico </w:t>
      </w:r>
      <w:r w:rsidRPr="002E27C8">
        <w:rPr>
          <w:bCs/>
        </w:rPr>
        <w:t>($9 million, up 377%) and</w:t>
      </w:r>
      <w:r w:rsidRPr="002E27C8">
        <w:rPr>
          <w:b/>
        </w:rPr>
        <w:t xml:space="preserve"> Italy </w:t>
      </w:r>
      <w:r w:rsidRPr="002E27C8">
        <w:rPr>
          <w:bCs/>
        </w:rPr>
        <w:t>($7 million, up 907%)</w:t>
      </w:r>
      <w:r w:rsidRPr="002E27C8">
        <w:rPr>
          <w:b/>
        </w:rPr>
        <w:t xml:space="preserve"> </w:t>
      </w:r>
      <w:r w:rsidR="00703D62" w:rsidRPr="002E27C8">
        <w:rPr>
          <w:bCs/>
        </w:rPr>
        <w:t>spurr</w:t>
      </w:r>
      <w:r w:rsidRPr="002E27C8">
        <w:rPr>
          <w:bCs/>
        </w:rPr>
        <w:t xml:space="preserve">ed demand for </w:t>
      </w:r>
      <w:r w:rsidRPr="002E27C8">
        <w:rPr>
          <w:b/>
        </w:rPr>
        <w:t>miscellaneous chemicals</w:t>
      </w:r>
      <w:r w:rsidRPr="002E27C8">
        <w:rPr>
          <w:bCs/>
        </w:rPr>
        <w:t xml:space="preserve"> (largely consisting of diagnostic or laboratory reagents).</w:t>
      </w:r>
    </w:p>
    <w:p w14:paraId="5681FD9A" w14:textId="3E363899" w:rsidR="007E2DB9" w:rsidRPr="002E27C8" w:rsidRDefault="007E2DB9" w:rsidP="00212FF3">
      <w:pPr>
        <w:pStyle w:val="ListParagraph"/>
        <w:numPr>
          <w:ilvl w:val="0"/>
          <w:numId w:val="7"/>
        </w:numPr>
        <w:spacing w:after="120" w:line="271" w:lineRule="auto"/>
        <w:ind w:left="360" w:right="-396"/>
      </w:pPr>
      <w:r w:rsidRPr="002E27C8">
        <w:rPr>
          <w:b/>
        </w:rPr>
        <w:t xml:space="preserve">Optic, medical </w:t>
      </w:r>
      <w:r w:rsidRPr="002E27C8">
        <w:rPr>
          <w:bCs/>
        </w:rPr>
        <w:t>exports</w:t>
      </w:r>
      <w:r w:rsidRPr="002E27C8">
        <w:rPr>
          <w:b/>
        </w:rPr>
        <w:t xml:space="preserve"> </w:t>
      </w:r>
      <w:r w:rsidRPr="002E27C8">
        <w:t>gained traction in</w:t>
      </w:r>
      <w:r w:rsidRPr="002E27C8">
        <w:rPr>
          <w:b/>
        </w:rPr>
        <w:t xml:space="preserve"> China</w:t>
      </w:r>
      <w:r w:rsidRPr="002E27C8">
        <w:t xml:space="preserve"> (up 30%) and </w:t>
      </w:r>
      <w:r w:rsidRPr="002E27C8">
        <w:rPr>
          <w:b/>
        </w:rPr>
        <w:t>the Netherlands</w:t>
      </w:r>
      <w:r w:rsidRPr="002E27C8">
        <w:t xml:space="preserve"> (up 63%) but slipped in </w:t>
      </w:r>
      <w:r w:rsidRPr="002E27C8">
        <w:rPr>
          <w:b/>
          <w:bCs/>
        </w:rPr>
        <w:t xml:space="preserve">Taiwan </w:t>
      </w:r>
      <w:r w:rsidRPr="002E27C8">
        <w:t xml:space="preserve">(down 30%), </w:t>
      </w:r>
      <w:r w:rsidRPr="002E27C8">
        <w:rPr>
          <w:b/>
          <w:bCs/>
        </w:rPr>
        <w:t>Canada</w:t>
      </w:r>
      <w:r w:rsidRPr="002E27C8">
        <w:t xml:space="preserve"> (down 10%) and </w:t>
      </w:r>
      <w:r w:rsidRPr="002E27C8">
        <w:rPr>
          <w:b/>
          <w:bCs/>
        </w:rPr>
        <w:t xml:space="preserve">Australia </w:t>
      </w:r>
      <w:r w:rsidRPr="002E27C8">
        <w:t xml:space="preserve">(down 29%). </w:t>
      </w:r>
      <w:r w:rsidR="009A5E1D" w:rsidRPr="002E27C8">
        <w:rPr>
          <w:b/>
          <w:bCs/>
        </w:rPr>
        <w:t>M</w:t>
      </w:r>
      <w:r w:rsidRPr="002E27C8">
        <w:rPr>
          <w:b/>
          <w:bCs/>
        </w:rPr>
        <w:t>edical, surgical instruments</w:t>
      </w:r>
      <w:r w:rsidRPr="002E27C8">
        <w:t xml:space="preserve"> (up 7%) and </w:t>
      </w:r>
      <w:r w:rsidRPr="002E27C8">
        <w:rPr>
          <w:b/>
          <w:bCs/>
        </w:rPr>
        <w:t>optical fiber bundles</w:t>
      </w:r>
      <w:r w:rsidRPr="002E27C8">
        <w:t xml:space="preserve"> (up 53%) </w:t>
      </w:r>
      <w:r w:rsidR="00703D62" w:rsidRPr="002E27C8">
        <w:t>countered</w:t>
      </w:r>
      <w:r w:rsidRPr="002E27C8">
        <w:t xml:space="preserve"> depressed </w:t>
      </w:r>
      <w:r w:rsidR="009A5E1D" w:rsidRPr="002E27C8">
        <w:t>demand for</w:t>
      </w:r>
      <w:r w:rsidRPr="002E27C8">
        <w:t xml:space="preserve"> </w:t>
      </w:r>
      <w:r w:rsidRPr="002E27C8">
        <w:rPr>
          <w:b/>
          <w:bCs/>
        </w:rPr>
        <w:t>navigational instruments</w:t>
      </w:r>
      <w:r w:rsidRPr="002E27C8">
        <w:t xml:space="preserve"> (down 82%). </w:t>
      </w:r>
    </w:p>
    <w:p w14:paraId="614E16FC" w14:textId="6CBAD94C" w:rsidR="00A513DF" w:rsidRPr="002E27C8" w:rsidRDefault="00703D62" w:rsidP="00212FF3">
      <w:pPr>
        <w:pStyle w:val="ListParagraph"/>
        <w:numPr>
          <w:ilvl w:val="0"/>
          <w:numId w:val="7"/>
        </w:numPr>
        <w:spacing w:after="0" w:line="271" w:lineRule="auto"/>
        <w:ind w:left="360"/>
      </w:pPr>
      <w:r w:rsidRPr="002E27C8">
        <w:rPr>
          <w:bCs/>
        </w:rPr>
        <w:t xml:space="preserve">Sales of </w:t>
      </w:r>
      <w:r w:rsidRPr="002E27C8">
        <w:rPr>
          <w:b/>
        </w:rPr>
        <w:t>m</w:t>
      </w:r>
      <w:r w:rsidR="009A5E1D" w:rsidRPr="002E27C8">
        <w:rPr>
          <w:b/>
        </w:rPr>
        <w:t xml:space="preserve">eat </w:t>
      </w:r>
      <w:r w:rsidRPr="002E27C8">
        <w:rPr>
          <w:bCs/>
        </w:rPr>
        <w:t xml:space="preserve">gained strongly in </w:t>
      </w:r>
      <w:r w:rsidRPr="002E27C8">
        <w:rPr>
          <w:b/>
        </w:rPr>
        <w:t xml:space="preserve">Japan </w:t>
      </w:r>
      <w:r w:rsidRPr="002E27C8">
        <w:rPr>
          <w:bCs/>
        </w:rPr>
        <w:t>(up 116%) but fell sharply in</w:t>
      </w:r>
      <w:r w:rsidR="009A5E1D" w:rsidRPr="002E27C8">
        <w:rPr>
          <w:bCs/>
        </w:rPr>
        <w:t xml:space="preserve"> </w:t>
      </w:r>
      <w:r w:rsidR="009A5E1D" w:rsidRPr="002E27C8">
        <w:rPr>
          <w:b/>
        </w:rPr>
        <w:t>China</w:t>
      </w:r>
      <w:r w:rsidR="009A5E1D" w:rsidRPr="002E27C8">
        <w:rPr>
          <w:bCs/>
        </w:rPr>
        <w:t>,</w:t>
      </w:r>
      <w:r w:rsidR="009A5E1D" w:rsidRPr="002E27C8">
        <w:rPr>
          <w:b/>
        </w:rPr>
        <w:t xml:space="preserve"> </w:t>
      </w:r>
      <w:proofErr w:type="gramStart"/>
      <w:r w:rsidR="009A5E1D" w:rsidRPr="002E27C8">
        <w:rPr>
          <w:b/>
        </w:rPr>
        <w:t>Canada</w:t>
      </w:r>
      <w:proofErr w:type="gramEnd"/>
      <w:r w:rsidR="009A5E1D" w:rsidRPr="002E27C8">
        <w:rPr>
          <w:bCs/>
        </w:rPr>
        <w:t xml:space="preserve"> and </w:t>
      </w:r>
      <w:r w:rsidR="009A5E1D" w:rsidRPr="002E27C8">
        <w:rPr>
          <w:b/>
        </w:rPr>
        <w:t>Australia.</w:t>
      </w:r>
    </w:p>
    <w:p w14:paraId="4E4643E6" w14:textId="66846585" w:rsidR="009A5E1D" w:rsidRPr="002E27C8" w:rsidRDefault="002E47BC" w:rsidP="00212FF3">
      <w:pPr>
        <w:pStyle w:val="ListParagraph"/>
        <w:numPr>
          <w:ilvl w:val="0"/>
          <w:numId w:val="7"/>
        </w:numPr>
        <w:spacing w:after="0" w:line="271" w:lineRule="auto"/>
        <w:ind w:left="360"/>
      </w:pPr>
      <w:r w:rsidRPr="002E27C8">
        <w:rPr>
          <w:bCs/>
        </w:rPr>
        <w:t>T</w:t>
      </w:r>
      <w:r w:rsidR="009A5E1D" w:rsidRPr="002E27C8">
        <w:rPr>
          <w:bCs/>
        </w:rPr>
        <w:t xml:space="preserve">he state’s top 3 markets for </w:t>
      </w:r>
      <w:r w:rsidRPr="002E27C8">
        <w:rPr>
          <w:b/>
        </w:rPr>
        <w:t>plastics</w:t>
      </w:r>
      <w:r w:rsidRPr="002E27C8">
        <w:rPr>
          <w:bCs/>
        </w:rPr>
        <w:t xml:space="preserve"> –</w:t>
      </w:r>
      <w:r w:rsidR="009A5E1D" w:rsidRPr="002E27C8">
        <w:rPr>
          <w:bCs/>
        </w:rPr>
        <w:t xml:space="preserve"> </w:t>
      </w:r>
      <w:r w:rsidR="009A5E1D" w:rsidRPr="002E27C8">
        <w:rPr>
          <w:b/>
        </w:rPr>
        <w:t>Canada</w:t>
      </w:r>
      <w:r w:rsidR="009A5E1D" w:rsidRPr="002E27C8">
        <w:rPr>
          <w:bCs/>
        </w:rPr>
        <w:t xml:space="preserve"> (up 31%), </w:t>
      </w:r>
      <w:r w:rsidR="009A5E1D" w:rsidRPr="002E27C8">
        <w:rPr>
          <w:b/>
        </w:rPr>
        <w:t>Mexico</w:t>
      </w:r>
      <w:r w:rsidR="009A5E1D" w:rsidRPr="002E27C8">
        <w:rPr>
          <w:bCs/>
        </w:rPr>
        <w:t xml:space="preserve"> (up 43%) and the </w:t>
      </w:r>
      <w:r w:rsidR="009A5E1D" w:rsidRPr="002E27C8">
        <w:rPr>
          <w:b/>
        </w:rPr>
        <w:t>Netherlands</w:t>
      </w:r>
      <w:r w:rsidR="009A5E1D" w:rsidRPr="002E27C8">
        <w:rPr>
          <w:bCs/>
        </w:rPr>
        <w:t xml:space="preserve"> (up 30%) – </w:t>
      </w:r>
      <w:r w:rsidRPr="002E27C8">
        <w:rPr>
          <w:bCs/>
        </w:rPr>
        <w:t xml:space="preserve">bolstered exports </w:t>
      </w:r>
      <w:r w:rsidR="009A5E1D" w:rsidRPr="002E27C8">
        <w:rPr>
          <w:bCs/>
        </w:rPr>
        <w:t xml:space="preserve">against sharp declines to </w:t>
      </w:r>
      <w:r w:rsidR="009A5E1D" w:rsidRPr="002E27C8">
        <w:rPr>
          <w:b/>
        </w:rPr>
        <w:t>Germany, China,</w:t>
      </w:r>
      <w:r w:rsidR="009A5E1D" w:rsidRPr="002E27C8">
        <w:rPr>
          <w:bCs/>
        </w:rPr>
        <w:t xml:space="preserve"> and </w:t>
      </w:r>
      <w:r w:rsidR="009A5E1D" w:rsidRPr="002E27C8">
        <w:rPr>
          <w:b/>
        </w:rPr>
        <w:t>Thailand</w:t>
      </w:r>
      <w:r w:rsidRPr="002E27C8">
        <w:rPr>
          <w:bCs/>
        </w:rPr>
        <w:t xml:space="preserve">. </w:t>
      </w:r>
      <w:r w:rsidRPr="002E27C8">
        <w:rPr>
          <w:b/>
        </w:rPr>
        <w:t>Miscellaneous polymers</w:t>
      </w:r>
      <w:r w:rsidRPr="002E27C8">
        <w:rPr>
          <w:bCs/>
        </w:rPr>
        <w:t xml:space="preserve"> (up 37%), </w:t>
      </w:r>
      <w:proofErr w:type="spellStart"/>
      <w:r w:rsidRPr="002E27C8">
        <w:rPr>
          <w:b/>
        </w:rPr>
        <w:t>polyethers</w:t>
      </w:r>
      <w:proofErr w:type="spellEnd"/>
      <w:r w:rsidRPr="002E27C8">
        <w:rPr>
          <w:b/>
        </w:rPr>
        <w:t>, other primary forms</w:t>
      </w:r>
      <w:r w:rsidRPr="002E27C8">
        <w:rPr>
          <w:bCs/>
        </w:rPr>
        <w:t xml:space="preserve"> (up 18%) and </w:t>
      </w:r>
      <w:r w:rsidRPr="002E27C8">
        <w:rPr>
          <w:b/>
        </w:rPr>
        <w:t>plastic containers</w:t>
      </w:r>
      <w:r w:rsidR="00703D62" w:rsidRPr="002E27C8">
        <w:rPr>
          <w:b/>
        </w:rPr>
        <w:t xml:space="preserve"> </w:t>
      </w:r>
      <w:r w:rsidRPr="002E27C8">
        <w:rPr>
          <w:bCs/>
        </w:rPr>
        <w:t>(up 44%) generated the most growth.</w:t>
      </w:r>
      <w:r w:rsidR="009A5E1D" w:rsidRPr="002E27C8">
        <w:rPr>
          <w:bCs/>
        </w:rPr>
        <w:t xml:space="preserve"> </w:t>
      </w:r>
    </w:p>
    <w:p w14:paraId="004B3EC4" w14:textId="5C5529FA" w:rsidR="00BC1307" w:rsidRPr="002E27C8" w:rsidRDefault="000F5EB1" w:rsidP="00212FF3">
      <w:pPr>
        <w:pStyle w:val="ListParagraph"/>
        <w:numPr>
          <w:ilvl w:val="0"/>
          <w:numId w:val="7"/>
        </w:numPr>
        <w:spacing w:after="0" w:line="271" w:lineRule="auto"/>
        <w:ind w:left="360" w:right="-396"/>
      </w:pPr>
      <w:r w:rsidRPr="002E27C8">
        <w:t xml:space="preserve">Sales of </w:t>
      </w:r>
      <w:r w:rsidRPr="002E27C8">
        <w:rPr>
          <w:b/>
          <w:bCs/>
        </w:rPr>
        <w:t>ma</w:t>
      </w:r>
      <w:r w:rsidR="00051435" w:rsidRPr="002E27C8">
        <w:rPr>
          <w:b/>
          <w:bCs/>
        </w:rPr>
        <w:t>chinery</w:t>
      </w:r>
      <w:r w:rsidR="00051435" w:rsidRPr="002E27C8">
        <w:t xml:space="preserve"> slumped to </w:t>
      </w:r>
      <w:r w:rsidR="00051435" w:rsidRPr="002E27C8">
        <w:rPr>
          <w:b/>
          <w:bCs/>
        </w:rPr>
        <w:t>the Philippines</w:t>
      </w:r>
      <w:r w:rsidR="00051435" w:rsidRPr="002E27C8">
        <w:t xml:space="preserve"> (down $90 million)</w:t>
      </w:r>
      <w:r w:rsidRPr="002E27C8">
        <w:t xml:space="preserve">, </w:t>
      </w:r>
      <w:r w:rsidR="00051435" w:rsidRPr="002E27C8">
        <w:rPr>
          <w:b/>
          <w:bCs/>
        </w:rPr>
        <w:t>Germany</w:t>
      </w:r>
      <w:r w:rsidR="00051435" w:rsidRPr="002E27C8">
        <w:t xml:space="preserve"> (down $24 million)</w:t>
      </w:r>
      <w:r w:rsidRPr="002E27C8">
        <w:t xml:space="preserve"> and </w:t>
      </w:r>
      <w:r w:rsidRPr="002E27C8">
        <w:rPr>
          <w:b/>
          <w:bCs/>
        </w:rPr>
        <w:t xml:space="preserve">Japan </w:t>
      </w:r>
      <w:r w:rsidRPr="002E27C8">
        <w:t>(down $12 million)</w:t>
      </w:r>
      <w:r w:rsidR="00051435" w:rsidRPr="002E27C8">
        <w:t>, while</w:t>
      </w:r>
      <w:r w:rsidRPr="002E27C8">
        <w:t xml:space="preserve"> those of</w:t>
      </w:r>
      <w:r w:rsidR="00051435" w:rsidRPr="002E27C8">
        <w:t xml:space="preserve"> </w:t>
      </w:r>
      <w:r w:rsidR="00051435" w:rsidRPr="002E27C8">
        <w:rPr>
          <w:b/>
          <w:bCs/>
        </w:rPr>
        <w:t>food by-products</w:t>
      </w:r>
      <w:r w:rsidR="00BC1307" w:rsidRPr="002E27C8">
        <w:t xml:space="preserve"> </w:t>
      </w:r>
      <w:r w:rsidR="00051435" w:rsidRPr="002E27C8">
        <w:t>slid to</w:t>
      </w:r>
      <w:r w:rsidR="00BC1307" w:rsidRPr="002E27C8">
        <w:t xml:space="preserve"> </w:t>
      </w:r>
      <w:r w:rsidR="00051435" w:rsidRPr="002E27C8">
        <w:rPr>
          <w:b/>
        </w:rPr>
        <w:t>Mexico</w:t>
      </w:r>
      <w:r w:rsidR="00BC1307" w:rsidRPr="002E27C8">
        <w:t xml:space="preserve"> (down </w:t>
      </w:r>
      <w:r w:rsidR="00051435" w:rsidRPr="002E27C8">
        <w:t>$34 million</w:t>
      </w:r>
      <w:r w:rsidR="00BC1307" w:rsidRPr="002E27C8">
        <w:t>)</w:t>
      </w:r>
      <w:r w:rsidR="00051435" w:rsidRPr="002E27C8">
        <w:t xml:space="preserve"> and </w:t>
      </w:r>
      <w:r w:rsidR="00051435" w:rsidRPr="002E27C8">
        <w:rPr>
          <w:b/>
          <w:bCs/>
        </w:rPr>
        <w:t xml:space="preserve">Korea </w:t>
      </w:r>
      <w:r w:rsidR="00051435" w:rsidRPr="002E27C8">
        <w:t>(down $6 million)</w:t>
      </w:r>
      <w:r w:rsidR="00BC1307" w:rsidRPr="002E27C8">
        <w:t>.</w:t>
      </w:r>
    </w:p>
    <w:p w14:paraId="2531CFFE" w14:textId="72E5A660" w:rsidR="007F1C4A" w:rsidRPr="002E27C8" w:rsidRDefault="007F1C4A" w:rsidP="00C915E2">
      <w:pPr>
        <w:pStyle w:val="Heading4"/>
        <w:spacing w:before="80" w:after="80"/>
        <w:rPr>
          <w:color w:val="auto"/>
        </w:rPr>
      </w:pPr>
      <w:r w:rsidRPr="002E27C8">
        <w:rPr>
          <w:color w:val="auto"/>
        </w:rPr>
        <w:t>Fi</w:t>
      </w:r>
      <w:r w:rsidR="00A44451" w:rsidRPr="002E27C8">
        <w:rPr>
          <w:color w:val="auto"/>
        </w:rPr>
        <w:t>gure 4. Export Trends for</w:t>
      </w:r>
      <w:r w:rsidRPr="002E27C8">
        <w:rPr>
          <w:color w:val="auto"/>
        </w:rPr>
        <w:t xml:space="preserve"> Minnesota’s Top 10 Products, </w:t>
      </w:r>
      <w:r w:rsidR="00A30328" w:rsidRPr="002E27C8">
        <w:rPr>
          <w:color w:val="auto"/>
        </w:rPr>
        <w:t>First</w:t>
      </w:r>
      <w:r w:rsidR="00A52415" w:rsidRPr="002E27C8">
        <w:rPr>
          <w:color w:val="auto"/>
        </w:rPr>
        <w:t xml:space="preserve"> Quarter </w:t>
      </w:r>
      <w:r w:rsidR="00D4733E" w:rsidRPr="002E27C8">
        <w:rPr>
          <w:color w:val="auto"/>
        </w:rPr>
        <w:t>2022</w:t>
      </w:r>
    </w:p>
    <w:tbl>
      <w:tblPr>
        <w:tblpPr w:leftFromText="180" w:rightFromText="180" w:vertAnchor="page" w:horzAnchor="margin" w:tblpY="12886"/>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E5A6"/>
        <w:tblLook w:val="04A0" w:firstRow="1" w:lastRow="0" w:firstColumn="1" w:lastColumn="0" w:noHBand="0" w:noVBand="1"/>
        <w:tblCaption w:val="Additional information"/>
        <w:tblDescription w:val="Minnesota Quarterly Export Statistics is the most current resource available for tracking the state’s export trends in manufactured and other goods, and is prepared for the Minnesota Trade Office (MTO) by the Department of Employment and Economic Development’s (DEED) Economic Analysis Unit (Thu-Mai Ho-Kim).  The quarterly and annual statistics reports primarily cover export data based on the Harmonized Tariff System (Schedule B), accessed from WISERTrade - State HS Database, based on data collected by the U.S. Census Bureau, Foreign Trade Division. Reports are available on DEED’s website at “Export and Trade Statistics” (http://mn.gov/deed/data/export-stats/). "/>
      </w:tblPr>
      <w:tblGrid>
        <w:gridCol w:w="10255"/>
      </w:tblGrid>
      <w:tr w:rsidR="002E27C8" w:rsidRPr="002E27C8" w14:paraId="691E8215" w14:textId="77777777" w:rsidTr="002E27C8">
        <w:trPr>
          <w:trHeight w:val="530"/>
        </w:trPr>
        <w:tc>
          <w:tcPr>
            <w:tcW w:w="10255" w:type="dxa"/>
            <w:shd w:val="clear" w:color="auto" w:fill="C9E5A6"/>
          </w:tcPr>
          <w:p w14:paraId="40571DC9" w14:textId="210B2AFE" w:rsidR="002E27C8" w:rsidRPr="002E27C8" w:rsidRDefault="002E27C8" w:rsidP="002E27C8">
            <w:pPr>
              <w:spacing w:after="60" w:line="240" w:lineRule="auto"/>
              <w:rPr>
                <w:rFonts w:ascii="Calibri" w:hAnsi="Calibri" w:cs="Calibri"/>
                <w:sz w:val="20"/>
                <w:szCs w:val="20"/>
              </w:rPr>
            </w:pPr>
            <w:r w:rsidRPr="002E27C8">
              <w:rPr>
                <w:rStyle w:val="Emphasis"/>
                <w:rFonts w:cstheme="minorHAnsi"/>
                <w:sz w:val="20"/>
                <w:szCs w:val="20"/>
              </w:rPr>
              <w:t>Minnesota Quarterly Export Statistics</w:t>
            </w:r>
            <w:r w:rsidRPr="002E27C8">
              <w:rPr>
                <w:rFonts w:ascii="Calibri" w:hAnsi="Calibri"/>
                <w:sz w:val="20"/>
                <w:szCs w:val="20"/>
              </w:rPr>
              <w:t xml:space="preserve"> is the most current resource available for tracking the state’s export trends in manufactured and other goods</w:t>
            </w:r>
            <w:r w:rsidR="00DF1972">
              <w:rPr>
                <w:rFonts w:ascii="Calibri" w:hAnsi="Calibri"/>
                <w:sz w:val="20"/>
                <w:szCs w:val="20"/>
              </w:rPr>
              <w:t>. The report</w:t>
            </w:r>
            <w:r w:rsidRPr="002E27C8">
              <w:rPr>
                <w:rFonts w:ascii="Calibri" w:hAnsi="Calibri"/>
                <w:sz w:val="20"/>
                <w:szCs w:val="20"/>
              </w:rPr>
              <w:t xml:space="preserve"> is prepared for the Minnesota Trade Office (MTO) by the Department of Employment and Economic Development’s (DEED) Economic Analysis Unit (Thu-Mai Ho-Kim). </w:t>
            </w:r>
            <w:r w:rsidRPr="002E27C8">
              <w:rPr>
                <w:rFonts w:ascii="Calibri" w:hAnsi="Calibri" w:cs="Calibri"/>
                <w:sz w:val="20"/>
                <w:szCs w:val="20"/>
              </w:rPr>
              <w:t>The quarterly and annual statistics reports primarily cover export data based on the Harmonized System (Schedule B),</w:t>
            </w:r>
            <w:r w:rsidRPr="002E27C8">
              <w:rPr>
                <w:rFonts w:cstheme="minorHAnsi"/>
                <w:sz w:val="20"/>
                <w:szCs w:val="20"/>
              </w:rPr>
              <w:t xml:space="preserve"> accessed from </w:t>
            </w:r>
            <w:proofErr w:type="spellStart"/>
            <w:r w:rsidRPr="002E27C8">
              <w:rPr>
                <w:rFonts w:cstheme="minorHAnsi"/>
                <w:sz w:val="20"/>
                <w:szCs w:val="20"/>
              </w:rPr>
              <w:t>WISERTrade</w:t>
            </w:r>
            <w:proofErr w:type="spellEnd"/>
            <w:r w:rsidRPr="002E27C8">
              <w:rPr>
                <w:rFonts w:cstheme="minorHAnsi"/>
                <w:sz w:val="20"/>
                <w:szCs w:val="20"/>
              </w:rPr>
              <w:t xml:space="preserve"> - State HS Database, based on data collected by the U.S. Census Bureau, Foreign Trade Division</w:t>
            </w:r>
            <w:r w:rsidRPr="002E27C8">
              <w:rPr>
                <w:rFonts w:ascii="Calibri" w:hAnsi="Calibri" w:cs="Calibri"/>
                <w:sz w:val="20"/>
                <w:szCs w:val="20"/>
              </w:rPr>
              <w:t>. Reports are available on DEED’s website at “Export and Trade Statistics” (</w:t>
            </w:r>
            <w:hyperlink r:id="rId17" w:history="1">
              <w:r w:rsidRPr="002E27C8">
                <w:rPr>
                  <w:rStyle w:val="Hyperlink"/>
                  <w:color w:val="auto"/>
                  <w:sz w:val="20"/>
                  <w:szCs w:val="20"/>
                </w:rPr>
                <w:t>http://mn.gov/deed/data/export-stats/</w:t>
              </w:r>
            </w:hyperlink>
            <w:r w:rsidRPr="002E27C8">
              <w:rPr>
                <w:sz w:val="20"/>
                <w:szCs w:val="20"/>
              </w:rPr>
              <w:t>)</w:t>
            </w:r>
            <w:r w:rsidRPr="002E27C8">
              <w:rPr>
                <w:rFonts w:ascii="Calibri" w:hAnsi="Calibri" w:cs="Calibri"/>
                <w:sz w:val="20"/>
                <w:szCs w:val="20"/>
              </w:rPr>
              <w:t xml:space="preserve">. </w:t>
            </w:r>
          </w:p>
        </w:tc>
      </w:tr>
    </w:tbl>
    <w:p w14:paraId="73CDCF23" w14:textId="7A01A1F7" w:rsidR="004A4223" w:rsidRPr="002E27C8" w:rsidRDefault="00C915E2" w:rsidP="000F5EB1">
      <w:pPr>
        <w:spacing w:after="120"/>
      </w:pPr>
      <w:r w:rsidRPr="002E27C8">
        <w:rPr>
          <w:noProof/>
        </w:rPr>
        <w:drawing>
          <wp:inline distT="0" distB="0" distL="0" distR="0" wp14:anchorId="001B4892" wp14:editId="79C70199">
            <wp:extent cx="6492240" cy="1916430"/>
            <wp:effectExtent l="0" t="0" r="3810" b="7620"/>
            <wp:docPr id="6" name="Picture 6" descr="MN exports 2022-Q1&#10;PRODUCT  Exports (millions)  Percent Change, 2021-Q1 to 2022-Q1&#10;TOTAL  $6,085  13%&#10;Electrical Equipment  $936  31%&#10;Optic, Medical  $928  5%&#10;Machinery  $887  -7%&#10;Mineral Fuel, Oil  $431  0%&#10;Cereals  $379  579%&#10;Vehicles  $307  0%&#10;Plastics  $304  7%&#10;Food By-Products  $170  -8%&#10;Meat  $123  2%&#10;Aircraft, Spacecraft  $110  -5%&#10;Other  $1,508  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N exports 2022-Q1&#10;PRODUCT  Exports (millions)  Percent Change, 2021-Q1 to 2022-Q1&#10;TOTAL  $6,085  13%&#10;Electrical Equipment  $936  31%&#10;Optic, Medical  $928  5%&#10;Machinery  $887  -7%&#10;Mineral Fuel, Oil  $431  0%&#10;Cereals  $379  579%&#10;Vehicles  $307  0%&#10;Plastics  $304  7%&#10;Food By-Products  $170  -8%&#10;Meat  $123  2%&#10;Aircraft, Spacecraft  $110  -5%&#10;Other  $1,508  11%&#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92240" cy="1916430"/>
                    </a:xfrm>
                    <a:prstGeom prst="rect">
                      <a:avLst/>
                    </a:prstGeom>
                    <a:noFill/>
                    <a:ln>
                      <a:noFill/>
                    </a:ln>
                  </pic:spPr>
                </pic:pic>
              </a:graphicData>
            </a:graphic>
          </wp:inline>
        </w:drawing>
      </w:r>
    </w:p>
    <w:p w14:paraId="6AC24104" w14:textId="77777777" w:rsidR="00FE15EB" w:rsidRPr="002E27C8" w:rsidRDefault="00FE15EB" w:rsidP="00FE15EB">
      <w:pPr>
        <w:spacing w:after="240"/>
        <w:rPr>
          <w:rFonts w:ascii="Times New Roman" w:eastAsia="Times New Roman" w:hAnsi="Times New Roman" w:cs="Times New Roman"/>
          <w:snapToGrid w:val="0"/>
          <w:w w:val="0"/>
          <w:sz w:val="0"/>
          <w:szCs w:val="0"/>
          <w:u w:color="000000"/>
          <w:bdr w:val="none" w:sz="0" w:space="0" w:color="000000"/>
          <w:shd w:val="clear" w:color="000000" w:fill="000000"/>
          <w:lang w:eastAsia="x-none" w:bidi="x-none"/>
        </w:rPr>
      </w:pPr>
    </w:p>
    <w:sectPr w:rsidR="00FE15EB" w:rsidRPr="002E27C8" w:rsidSect="00FE15EB">
      <w:footnotePr>
        <w:numRestart w:val="eachSect"/>
      </w:footnotePr>
      <w:endnotePr>
        <w:numFmt w:val="decimal"/>
      </w:endnotePr>
      <w:type w:val="continuous"/>
      <w:pgSz w:w="12240" w:h="15840" w:code="1"/>
      <w:pgMar w:top="864" w:right="1008" w:bottom="864" w:left="100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F7945" w14:textId="77777777" w:rsidR="00BC7910" w:rsidRDefault="00BC7910">
      <w:r>
        <w:separator/>
      </w:r>
    </w:p>
  </w:endnote>
  <w:endnote w:type="continuationSeparator" w:id="0">
    <w:p w14:paraId="2F59CBDE" w14:textId="77777777" w:rsidR="00BC7910" w:rsidRDefault="00BC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11F6" w14:textId="77777777" w:rsidR="00CC1B7D" w:rsidRDefault="00CC1B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82E195" w14:textId="77777777" w:rsidR="00CC1B7D" w:rsidRDefault="00CC1B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6150" w14:textId="22E678C6" w:rsidR="00A14E15" w:rsidRPr="00A14E15" w:rsidRDefault="00A14E15" w:rsidP="00A14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BCBC2" w14:textId="77777777" w:rsidR="00BC7910" w:rsidRDefault="00BC7910">
      <w:r>
        <w:separator/>
      </w:r>
    </w:p>
  </w:footnote>
  <w:footnote w:type="continuationSeparator" w:id="0">
    <w:p w14:paraId="6A187EC6" w14:textId="77777777" w:rsidR="00BC7910" w:rsidRDefault="00BC7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B42A" w14:textId="77777777" w:rsidR="00CC1B7D" w:rsidRDefault="00CC1B7D" w:rsidP="00E014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147C6F" w14:textId="77777777" w:rsidR="00CC1B7D" w:rsidRDefault="00CC1B7D" w:rsidP="00E014F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BEFB" w14:textId="77777777" w:rsidR="00CC1B7D" w:rsidRDefault="00CC1B7D" w:rsidP="00E014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236">
      <w:rPr>
        <w:rStyle w:val="PageNumber"/>
        <w:noProof/>
      </w:rPr>
      <w:t>2</w:t>
    </w:r>
    <w:r>
      <w:rPr>
        <w:rStyle w:val="PageNumber"/>
      </w:rPr>
      <w:fldChar w:fldCharType="end"/>
    </w:r>
  </w:p>
  <w:p w14:paraId="4CE97ED2" w14:textId="77777777" w:rsidR="00CC1B7D" w:rsidRDefault="00CC1B7D" w:rsidP="00E014F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89482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AD7251"/>
    <w:multiLevelType w:val="hybridMultilevel"/>
    <w:tmpl w:val="A20C3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055FB0"/>
    <w:multiLevelType w:val="hybridMultilevel"/>
    <w:tmpl w:val="39F01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9B22E7"/>
    <w:multiLevelType w:val="hybridMultilevel"/>
    <w:tmpl w:val="DB8C1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621A5E"/>
    <w:multiLevelType w:val="hybridMultilevel"/>
    <w:tmpl w:val="787C9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8E4940"/>
    <w:multiLevelType w:val="hybridMultilevel"/>
    <w:tmpl w:val="4AAE80EE"/>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1121C"/>
    <w:multiLevelType w:val="hybridMultilevel"/>
    <w:tmpl w:val="CFAA2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731D63"/>
    <w:multiLevelType w:val="hybridMultilevel"/>
    <w:tmpl w:val="0FB4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81A19"/>
    <w:multiLevelType w:val="hybridMultilevel"/>
    <w:tmpl w:val="B832D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4926A3"/>
    <w:multiLevelType w:val="hybridMultilevel"/>
    <w:tmpl w:val="0A604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373CB2"/>
    <w:multiLevelType w:val="hybridMultilevel"/>
    <w:tmpl w:val="641C1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1704E9"/>
    <w:multiLevelType w:val="hybridMultilevel"/>
    <w:tmpl w:val="187CA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38056F"/>
    <w:multiLevelType w:val="hybridMultilevel"/>
    <w:tmpl w:val="88CEE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DA42E3"/>
    <w:multiLevelType w:val="hybridMultilevel"/>
    <w:tmpl w:val="8A0ED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8B18F3"/>
    <w:multiLevelType w:val="hybridMultilevel"/>
    <w:tmpl w:val="9CD05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9D255A"/>
    <w:multiLevelType w:val="hybridMultilevel"/>
    <w:tmpl w:val="2EE46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975A35"/>
    <w:multiLevelType w:val="hybridMultilevel"/>
    <w:tmpl w:val="E5021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F11FFB"/>
    <w:multiLevelType w:val="hybridMultilevel"/>
    <w:tmpl w:val="4CDAD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E717D2"/>
    <w:multiLevelType w:val="hybridMultilevel"/>
    <w:tmpl w:val="E334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2"/>
  </w:num>
  <w:num w:numId="4">
    <w:abstractNumId w:val="4"/>
  </w:num>
  <w:num w:numId="5">
    <w:abstractNumId w:val="1"/>
  </w:num>
  <w:num w:numId="6">
    <w:abstractNumId w:val="7"/>
  </w:num>
  <w:num w:numId="7">
    <w:abstractNumId w:val="18"/>
  </w:num>
  <w:num w:numId="8">
    <w:abstractNumId w:val="16"/>
  </w:num>
  <w:num w:numId="9">
    <w:abstractNumId w:val="10"/>
  </w:num>
  <w:num w:numId="10">
    <w:abstractNumId w:val="8"/>
  </w:num>
  <w:num w:numId="11">
    <w:abstractNumId w:val="6"/>
  </w:num>
  <w:num w:numId="12">
    <w:abstractNumId w:val="2"/>
  </w:num>
  <w:num w:numId="13">
    <w:abstractNumId w:val="17"/>
  </w:num>
  <w:num w:numId="14">
    <w:abstractNumId w:val="11"/>
  </w:num>
  <w:num w:numId="15">
    <w:abstractNumId w:val="5"/>
  </w:num>
  <w:num w:numId="16">
    <w:abstractNumId w:val="3"/>
  </w:num>
  <w:num w:numId="17">
    <w:abstractNumId w:val="9"/>
  </w:num>
  <w:num w:numId="18">
    <w:abstractNumId w:val="14"/>
  </w:num>
  <w:num w:numId="1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Formatting/>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AB"/>
    <w:rsid w:val="00003FDB"/>
    <w:rsid w:val="000041CC"/>
    <w:rsid w:val="0000470B"/>
    <w:rsid w:val="000115BA"/>
    <w:rsid w:val="00013717"/>
    <w:rsid w:val="00015A9D"/>
    <w:rsid w:val="00017FE0"/>
    <w:rsid w:val="000218A0"/>
    <w:rsid w:val="00024BB5"/>
    <w:rsid w:val="000350A7"/>
    <w:rsid w:val="00035328"/>
    <w:rsid w:val="00036238"/>
    <w:rsid w:val="00046117"/>
    <w:rsid w:val="00051435"/>
    <w:rsid w:val="00051FE0"/>
    <w:rsid w:val="00051FF7"/>
    <w:rsid w:val="00052D34"/>
    <w:rsid w:val="000541A0"/>
    <w:rsid w:val="00054A6E"/>
    <w:rsid w:val="00055AAF"/>
    <w:rsid w:val="0005790D"/>
    <w:rsid w:val="000603F2"/>
    <w:rsid w:val="00061093"/>
    <w:rsid w:val="0006144E"/>
    <w:rsid w:val="0006608A"/>
    <w:rsid w:val="000705F0"/>
    <w:rsid w:val="000716AC"/>
    <w:rsid w:val="00073109"/>
    <w:rsid w:val="000731F2"/>
    <w:rsid w:val="00073987"/>
    <w:rsid w:val="0007455F"/>
    <w:rsid w:val="00076DF3"/>
    <w:rsid w:val="00077989"/>
    <w:rsid w:val="0008038B"/>
    <w:rsid w:val="00083199"/>
    <w:rsid w:val="000859F2"/>
    <w:rsid w:val="00085EED"/>
    <w:rsid w:val="000878A3"/>
    <w:rsid w:val="00090B7B"/>
    <w:rsid w:val="000919F2"/>
    <w:rsid w:val="0009219A"/>
    <w:rsid w:val="000924DC"/>
    <w:rsid w:val="00092621"/>
    <w:rsid w:val="0009287F"/>
    <w:rsid w:val="000929D8"/>
    <w:rsid w:val="00092FFB"/>
    <w:rsid w:val="00096FFD"/>
    <w:rsid w:val="000A1B8D"/>
    <w:rsid w:val="000A491B"/>
    <w:rsid w:val="000A4AB3"/>
    <w:rsid w:val="000A5664"/>
    <w:rsid w:val="000A7EF0"/>
    <w:rsid w:val="000B2DF3"/>
    <w:rsid w:val="000B518F"/>
    <w:rsid w:val="000B6338"/>
    <w:rsid w:val="000C1CB0"/>
    <w:rsid w:val="000C2181"/>
    <w:rsid w:val="000C3AE5"/>
    <w:rsid w:val="000D02DD"/>
    <w:rsid w:val="000D1330"/>
    <w:rsid w:val="000D18A9"/>
    <w:rsid w:val="000D5D94"/>
    <w:rsid w:val="000D6FAF"/>
    <w:rsid w:val="000E0786"/>
    <w:rsid w:val="000E3376"/>
    <w:rsid w:val="000E532F"/>
    <w:rsid w:val="000E6BD9"/>
    <w:rsid w:val="000E6F54"/>
    <w:rsid w:val="000E7ED0"/>
    <w:rsid w:val="000F0519"/>
    <w:rsid w:val="000F1844"/>
    <w:rsid w:val="000F1B22"/>
    <w:rsid w:val="000F3E1F"/>
    <w:rsid w:val="000F4C5E"/>
    <w:rsid w:val="000F54F2"/>
    <w:rsid w:val="000F5EB1"/>
    <w:rsid w:val="000F6660"/>
    <w:rsid w:val="000F6CDA"/>
    <w:rsid w:val="00106910"/>
    <w:rsid w:val="00107686"/>
    <w:rsid w:val="001104C3"/>
    <w:rsid w:val="001127F8"/>
    <w:rsid w:val="00112A1D"/>
    <w:rsid w:val="00112A91"/>
    <w:rsid w:val="001214D7"/>
    <w:rsid w:val="0012471B"/>
    <w:rsid w:val="001250AB"/>
    <w:rsid w:val="001263E2"/>
    <w:rsid w:val="00132366"/>
    <w:rsid w:val="00132A66"/>
    <w:rsid w:val="00134ECC"/>
    <w:rsid w:val="00134F20"/>
    <w:rsid w:val="00135A0B"/>
    <w:rsid w:val="001360E3"/>
    <w:rsid w:val="00136664"/>
    <w:rsid w:val="001373C3"/>
    <w:rsid w:val="00137E8C"/>
    <w:rsid w:val="00140B5F"/>
    <w:rsid w:val="00142003"/>
    <w:rsid w:val="0014228E"/>
    <w:rsid w:val="001422BE"/>
    <w:rsid w:val="00145936"/>
    <w:rsid w:val="00147356"/>
    <w:rsid w:val="00147EEF"/>
    <w:rsid w:val="001619F1"/>
    <w:rsid w:val="001625A3"/>
    <w:rsid w:val="00162EF3"/>
    <w:rsid w:val="0016340E"/>
    <w:rsid w:val="00164B97"/>
    <w:rsid w:val="00170A9E"/>
    <w:rsid w:val="00172BF4"/>
    <w:rsid w:val="00172FA7"/>
    <w:rsid w:val="00173478"/>
    <w:rsid w:val="00173D78"/>
    <w:rsid w:val="00176732"/>
    <w:rsid w:val="00176E55"/>
    <w:rsid w:val="0018069A"/>
    <w:rsid w:val="00182D30"/>
    <w:rsid w:val="0018375B"/>
    <w:rsid w:val="0018461A"/>
    <w:rsid w:val="001846AE"/>
    <w:rsid w:val="001873D8"/>
    <w:rsid w:val="00192539"/>
    <w:rsid w:val="001942D2"/>
    <w:rsid w:val="001944CA"/>
    <w:rsid w:val="001968E6"/>
    <w:rsid w:val="001978D1"/>
    <w:rsid w:val="001979B1"/>
    <w:rsid w:val="001A7229"/>
    <w:rsid w:val="001A7363"/>
    <w:rsid w:val="001A787E"/>
    <w:rsid w:val="001B0716"/>
    <w:rsid w:val="001B0D71"/>
    <w:rsid w:val="001B1416"/>
    <w:rsid w:val="001B344A"/>
    <w:rsid w:val="001B3687"/>
    <w:rsid w:val="001B4406"/>
    <w:rsid w:val="001B5950"/>
    <w:rsid w:val="001B6B06"/>
    <w:rsid w:val="001C1112"/>
    <w:rsid w:val="001C13C5"/>
    <w:rsid w:val="001C1A15"/>
    <w:rsid w:val="001C3A93"/>
    <w:rsid w:val="001C6967"/>
    <w:rsid w:val="001D0609"/>
    <w:rsid w:val="001D704D"/>
    <w:rsid w:val="001D767B"/>
    <w:rsid w:val="001E36FD"/>
    <w:rsid w:val="001E4570"/>
    <w:rsid w:val="001E4F28"/>
    <w:rsid w:val="001E53CF"/>
    <w:rsid w:val="001E6B49"/>
    <w:rsid w:val="001E79C1"/>
    <w:rsid w:val="001E7B61"/>
    <w:rsid w:val="001F56E0"/>
    <w:rsid w:val="001F591D"/>
    <w:rsid w:val="001F62FF"/>
    <w:rsid w:val="001F7EBF"/>
    <w:rsid w:val="002003FA"/>
    <w:rsid w:val="0020291D"/>
    <w:rsid w:val="00202963"/>
    <w:rsid w:val="00203298"/>
    <w:rsid w:val="002040F2"/>
    <w:rsid w:val="00205084"/>
    <w:rsid w:val="00205F9C"/>
    <w:rsid w:val="00211025"/>
    <w:rsid w:val="0021231E"/>
    <w:rsid w:val="002127D7"/>
    <w:rsid w:val="00212FF3"/>
    <w:rsid w:val="002158EE"/>
    <w:rsid w:val="00215DA6"/>
    <w:rsid w:val="00216C2D"/>
    <w:rsid w:val="00217960"/>
    <w:rsid w:val="002224AE"/>
    <w:rsid w:val="0022389E"/>
    <w:rsid w:val="00223F46"/>
    <w:rsid w:val="00226A71"/>
    <w:rsid w:val="00234444"/>
    <w:rsid w:val="00244370"/>
    <w:rsid w:val="00245025"/>
    <w:rsid w:val="0024609E"/>
    <w:rsid w:val="00250B75"/>
    <w:rsid w:val="002538D5"/>
    <w:rsid w:val="0025565E"/>
    <w:rsid w:val="002607E0"/>
    <w:rsid w:val="00262FF7"/>
    <w:rsid w:val="0026310F"/>
    <w:rsid w:val="00267778"/>
    <w:rsid w:val="002726A4"/>
    <w:rsid w:val="00272910"/>
    <w:rsid w:val="00275F40"/>
    <w:rsid w:val="0027681D"/>
    <w:rsid w:val="00277C67"/>
    <w:rsid w:val="00277E66"/>
    <w:rsid w:val="0028048A"/>
    <w:rsid w:val="00284EDE"/>
    <w:rsid w:val="00287234"/>
    <w:rsid w:val="002907B4"/>
    <w:rsid w:val="00293DCF"/>
    <w:rsid w:val="002969E6"/>
    <w:rsid w:val="00297DBE"/>
    <w:rsid w:val="002A0D6B"/>
    <w:rsid w:val="002A27D6"/>
    <w:rsid w:val="002A2F54"/>
    <w:rsid w:val="002A3F50"/>
    <w:rsid w:val="002A4808"/>
    <w:rsid w:val="002A52FC"/>
    <w:rsid w:val="002B1415"/>
    <w:rsid w:val="002B329E"/>
    <w:rsid w:val="002B36A6"/>
    <w:rsid w:val="002B3ACE"/>
    <w:rsid w:val="002B6B53"/>
    <w:rsid w:val="002B6EBF"/>
    <w:rsid w:val="002C0C4E"/>
    <w:rsid w:val="002C164C"/>
    <w:rsid w:val="002C52C4"/>
    <w:rsid w:val="002C6521"/>
    <w:rsid w:val="002D2A7E"/>
    <w:rsid w:val="002D2EF5"/>
    <w:rsid w:val="002D63BC"/>
    <w:rsid w:val="002D6A99"/>
    <w:rsid w:val="002D6F33"/>
    <w:rsid w:val="002E27C8"/>
    <w:rsid w:val="002E47BC"/>
    <w:rsid w:val="002E54F1"/>
    <w:rsid w:val="002F0687"/>
    <w:rsid w:val="002F1C0E"/>
    <w:rsid w:val="002F1E64"/>
    <w:rsid w:val="002F257A"/>
    <w:rsid w:val="002F285F"/>
    <w:rsid w:val="002F5224"/>
    <w:rsid w:val="002F71B1"/>
    <w:rsid w:val="002F7ABC"/>
    <w:rsid w:val="00301B16"/>
    <w:rsid w:val="003047CE"/>
    <w:rsid w:val="00304E7F"/>
    <w:rsid w:val="0031458A"/>
    <w:rsid w:val="00314865"/>
    <w:rsid w:val="00314EBD"/>
    <w:rsid w:val="00320905"/>
    <w:rsid w:val="00327817"/>
    <w:rsid w:val="0033034E"/>
    <w:rsid w:val="00330852"/>
    <w:rsid w:val="00332036"/>
    <w:rsid w:val="00332B6B"/>
    <w:rsid w:val="00335273"/>
    <w:rsid w:val="00337018"/>
    <w:rsid w:val="00337315"/>
    <w:rsid w:val="00340E9C"/>
    <w:rsid w:val="003413C6"/>
    <w:rsid w:val="003415A0"/>
    <w:rsid w:val="00342DD3"/>
    <w:rsid w:val="00343C68"/>
    <w:rsid w:val="0034514F"/>
    <w:rsid w:val="0034596F"/>
    <w:rsid w:val="00352999"/>
    <w:rsid w:val="003530DA"/>
    <w:rsid w:val="0035427F"/>
    <w:rsid w:val="003575CE"/>
    <w:rsid w:val="00361002"/>
    <w:rsid w:val="003610A2"/>
    <w:rsid w:val="00365F97"/>
    <w:rsid w:val="00370F35"/>
    <w:rsid w:val="00371C8B"/>
    <w:rsid w:val="00372846"/>
    <w:rsid w:val="00373858"/>
    <w:rsid w:val="00373CD5"/>
    <w:rsid w:val="00374F2A"/>
    <w:rsid w:val="00375BF0"/>
    <w:rsid w:val="0037721A"/>
    <w:rsid w:val="0038071A"/>
    <w:rsid w:val="003823B0"/>
    <w:rsid w:val="003833B0"/>
    <w:rsid w:val="00383D01"/>
    <w:rsid w:val="00385E7F"/>
    <w:rsid w:val="0038665A"/>
    <w:rsid w:val="00387942"/>
    <w:rsid w:val="00387E7F"/>
    <w:rsid w:val="00391815"/>
    <w:rsid w:val="00392609"/>
    <w:rsid w:val="0039324F"/>
    <w:rsid w:val="00396483"/>
    <w:rsid w:val="003975D0"/>
    <w:rsid w:val="003A3D11"/>
    <w:rsid w:val="003B0B33"/>
    <w:rsid w:val="003B2771"/>
    <w:rsid w:val="003B3484"/>
    <w:rsid w:val="003B62FF"/>
    <w:rsid w:val="003C316B"/>
    <w:rsid w:val="003C3B88"/>
    <w:rsid w:val="003C3D13"/>
    <w:rsid w:val="003C43EB"/>
    <w:rsid w:val="003C53CE"/>
    <w:rsid w:val="003C57B0"/>
    <w:rsid w:val="003C7165"/>
    <w:rsid w:val="003D044E"/>
    <w:rsid w:val="003D23DD"/>
    <w:rsid w:val="003D2CFC"/>
    <w:rsid w:val="003D49DF"/>
    <w:rsid w:val="003D4F5D"/>
    <w:rsid w:val="003D6202"/>
    <w:rsid w:val="003D744B"/>
    <w:rsid w:val="003D7C4C"/>
    <w:rsid w:val="003E01C9"/>
    <w:rsid w:val="003E21CA"/>
    <w:rsid w:val="003F27BF"/>
    <w:rsid w:val="003F41C6"/>
    <w:rsid w:val="003F44C1"/>
    <w:rsid w:val="003F6B30"/>
    <w:rsid w:val="0040062C"/>
    <w:rsid w:val="00402A86"/>
    <w:rsid w:val="00405F36"/>
    <w:rsid w:val="004061B1"/>
    <w:rsid w:val="00406E6D"/>
    <w:rsid w:val="00407310"/>
    <w:rsid w:val="00410564"/>
    <w:rsid w:val="00410BBC"/>
    <w:rsid w:val="00412776"/>
    <w:rsid w:val="00412C47"/>
    <w:rsid w:val="00420D04"/>
    <w:rsid w:val="0042279B"/>
    <w:rsid w:val="0042285F"/>
    <w:rsid w:val="00425184"/>
    <w:rsid w:val="00426066"/>
    <w:rsid w:val="00426DC1"/>
    <w:rsid w:val="0043003B"/>
    <w:rsid w:val="004303E8"/>
    <w:rsid w:val="004304CD"/>
    <w:rsid w:val="00433DBF"/>
    <w:rsid w:val="004362B0"/>
    <w:rsid w:val="00437CB6"/>
    <w:rsid w:val="0044214A"/>
    <w:rsid w:val="004430A9"/>
    <w:rsid w:val="00445385"/>
    <w:rsid w:val="00447C35"/>
    <w:rsid w:val="004527A6"/>
    <w:rsid w:val="0045332A"/>
    <w:rsid w:val="004550A2"/>
    <w:rsid w:val="00457D79"/>
    <w:rsid w:val="00464CC9"/>
    <w:rsid w:val="0046665A"/>
    <w:rsid w:val="00466D65"/>
    <w:rsid w:val="0046703D"/>
    <w:rsid w:val="0047028E"/>
    <w:rsid w:val="0047084F"/>
    <w:rsid w:val="00470FED"/>
    <w:rsid w:val="004713E0"/>
    <w:rsid w:val="004736AA"/>
    <w:rsid w:val="00475201"/>
    <w:rsid w:val="00475D79"/>
    <w:rsid w:val="0047760E"/>
    <w:rsid w:val="00480418"/>
    <w:rsid w:val="0048185B"/>
    <w:rsid w:val="00481E39"/>
    <w:rsid w:val="00482FFB"/>
    <w:rsid w:val="00484906"/>
    <w:rsid w:val="004867A4"/>
    <w:rsid w:val="00486B23"/>
    <w:rsid w:val="00487935"/>
    <w:rsid w:val="004900B8"/>
    <w:rsid w:val="004910BF"/>
    <w:rsid w:val="00491AC8"/>
    <w:rsid w:val="00493958"/>
    <w:rsid w:val="00493DF8"/>
    <w:rsid w:val="004944A7"/>
    <w:rsid w:val="004951BC"/>
    <w:rsid w:val="00497570"/>
    <w:rsid w:val="00497998"/>
    <w:rsid w:val="004A0D12"/>
    <w:rsid w:val="004A3CC9"/>
    <w:rsid w:val="004A4223"/>
    <w:rsid w:val="004A43B9"/>
    <w:rsid w:val="004A5B9A"/>
    <w:rsid w:val="004A6B80"/>
    <w:rsid w:val="004A7FE8"/>
    <w:rsid w:val="004B0B28"/>
    <w:rsid w:val="004B4376"/>
    <w:rsid w:val="004B4BD6"/>
    <w:rsid w:val="004B74F8"/>
    <w:rsid w:val="004B7C0E"/>
    <w:rsid w:val="004C0132"/>
    <w:rsid w:val="004C31E6"/>
    <w:rsid w:val="004C4224"/>
    <w:rsid w:val="004D0671"/>
    <w:rsid w:val="004D1EAB"/>
    <w:rsid w:val="004D6223"/>
    <w:rsid w:val="004E06B6"/>
    <w:rsid w:val="004E1A2B"/>
    <w:rsid w:val="004E1D93"/>
    <w:rsid w:val="004E7051"/>
    <w:rsid w:val="004E7967"/>
    <w:rsid w:val="004F046B"/>
    <w:rsid w:val="004F0B2F"/>
    <w:rsid w:val="004F19B8"/>
    <w:rsid w:val="004F5A09"/>
    <w:rsid w:val="004F5CE6"/>
    <w:rsid w:val="004F6D22"/>
    <w:rsid w:val="004F6DBE"/>
    <w:rsid w:val="004F73D4"/>
    <w:rsid w:val="00500A5C"/>
    <w:rsid w:val="005026CC"/>
    <w:rsid w:val="00503AD1"/>
    <w:rsid w:val="0050449A"/>
    <w:rsid w:val="005078AA"/>
    <w:rsid w:val="005100D1"/>
    <w:rsid w:val="00513720"/>
    <w:rsid w:val="0051607A"/>
    <w:rsid w:val="005205F4"/>
    <w:rsid w:val="00521967"/>
    <w:rsid w:val="00524378"/>
    <w:rsid w:val="005269B7"/>
    <w:rsid w:val="005269D3"/>
    <w:rsid w:val="00530F70"/>
    <w:rsid w:val="005315EA"/>
    <w:rsid w:val="00532FD5"/>
    <w:rsid w:val="00534E9F"/>
    <w:rsid w:val="0053506A"/>
    <w:rsid w:val="0053512A"/>
    <w:rsid w:val="00535508"/>
    <w:rsid w:val="00536B13"/>
    <w:rsid w:val="00540B35"/>
    <w:rsid w:val="00544F1F"/>
    <w:rsid w:val="00545752"/>
    <w:rsid w:val="00545DDF"/>
    <w:rsid w:val="00545F38"/>
    <w:rsid w:val="0054634E"/>
    <w:rsid w:val="005514BE"/>
    <w:rsid w:val="005517D0"/>
    <w:rsid w:val="0055424F"/>
    <w:rsid w:val="00554428"/>
    <w:rsid w:val="00557377"/>
    <w:rsid w:val="00560495"/>
    <w:rsid w:val="00560599"/>
    <w:rsid w:val="00562F8A"/>
    <w:rsid w:val="00563721"/>
    <w:rsid w:val="00565776"/>
    <w:rsid w:val="00566508"/>
    <w:rsid w:val="00566C4E"/>
    <w:rsid w:val="00570ACF"/>
    <w:rsid w:val="005727A5"/>
    <w:rsid w:val="00573535"/>
    <w:rsid w:val="00573C2D"/>
    <w:rsid w:val="00575BB7"/>
    <w:rsid w:val="00575F88"/>
    <w:rsid w:val="0057794D"/>
    <w:rsid w:val="00582DC9"/>
    <w:rsid w:val="00585250"/>
    <w:rsid w:val="005859C8"/>
    <w:rsid w:val="00587796"/>
    <w:rsid w:val="005940DB"/>
    <w:rsid w:val="00597ABF"/>
    <w:rsid w:val="005A2AAC"/>
    <w:rsid w:val="005A3C50"/>
    <w:rsid w:val="005A61AB"/>
    <w:rsid w:val="005B0E04"/>
    <w:rsid w:val="005B2781"/>
    <w:rsid w:val="005B6872"/>
    <w:rsid w:val="005B6B09"/>
    <w:rsid w:val="005B75E6"/>
    <w:rsid w:val="005C0164"/>
    <w:rsid w:val="005C4DE0"/>
    <w:rsid w:val="005C5B41"/>
    <w:rsid w:val="005C61D6"/>
    <w:rsid w:val="005D315F"/>
    <w:rsid w:val="005E139A"/>
    <w:rsid w:val="005E2D06"/>
    <w:rsid w:val="005E41A6"/>
    <w:rsid w:val="005E4CC6"/>
    <w:rsid w:val="005E5D9F"/>
    <w:rsid w:val="005E6921"/>
    <w:rsid w:val="005F082A"/>
    <w:rsid w:val="005F1B29"/>
    <w:rsid w:val="005F3BCE"/>
    <w:rsid w:val="005F5087"/>
    <w:rsid w:val="005F69A9"/>
    <w:rsid w:val="00600502"/>
    <w:rsid w:val="0060605E"/>
    <w:rsid w:val="00606AB0"/>
    <w:rsid w:val="00607FAE"/>
    <w:rsid w:val="0061064A"/>
    <w:rsid w:val="006139EC"/>
    <w:rsid w:val="00613CC2"/>
    <w:rsid w:val="00615BC9"/>
    <w:rsid w:val="00615CB4"/>
    <w:rsid w:val="006177AE"/>
    <w:rsid w:val="00620C18"/>
    <w:rsid w:val="00621065"/>
    <w:rsid w:val="00621A4A"/>
    <w:rsid w:val="00624E22"/>
    <w:rsid w:val="006308E7"/>
    <w:rsid w:val="006339F5"/>
    <w:rsid w:val="0063551B"/>
    <w:rsid w:val="00635F82"/>
    <w:rsid w:val="00636B6E"/>
    <w:rsid w:val="0063763A"/>
    <w:rsid w:val="00640620"/>
    <w:rsid w:val="00641D3B"/>
    <w:rsid w:val="00646942"/>
    <w:rsid w:val="00647786"/>
    <w:rsid w:val="006519AF"/>
    <w:rsid w:val="00652A9D"/>
    <w:rsid w:val="006549A6"/>
    <w:rsid w:val="0065603B"/>
    <w:rsid w:val="0066058B"/>
    <w:rsid w:val="006618F7"/>
    <w:rsid w:val="00662222"/>
    <w:rsid w:val="00663755"/>
    <w:rsid w:val="00664A69"/>
    <w:rsid w:val="00666745"/>
    <w:rsid w:val="006674D7"/>
    <w:rsid w:val="0067275F"/>
    <w:rsid w:val="00674A82"/>
    <w:rsid w:val="00674D0B"/>
    <w:rsid w:val="006754B7"/>
    <w:rsid w:val="00675B7D"/>
    <w:rsid w:val="00676C69"/>
    <w:rsid w:val="00680F03"/>
    <w:rsid w:val="0068122B"/>
    <w:rsid w:val="00681236"/>
    <w:rsid w:val="006826BB"/>
    <w:rsid w:val="006829E5"/>
    <w:rsid w:val="006830C9"/>
    <w:rsid w:val="0068364A"/>
    <w:rsid w:val="0068525B"/>
    <w:rsid w:val="00685D4F"/>
    <w:rsid w:val="00685DD6"/>
    <w:rsid w:val="00691D49"/>
    <w:rsid w:val="006922C8"/>
    <w:rsid w:val="00692D3B"/>
    <w:rsid w:val="00693229"/>
    <w:rsid w:val="006951FD"/>
    <w:rsid w:val="00695BB1"/>
    <w:rsid w:val="006964AF"/>
    <w:rsid w:val="006A17BE"/>
    <w:rsid w:val="006A3E64"/>
    <w:rsid w:val="006A56E4"/>
    <w:rsid w:val="006B029D"/>
    <w:rsid w:val="006B2D41"/>
    <w:rsid w:val="006B6D8D"/>
    <w:rsid w:val="006C1643"/>
    <w:rsid w:val="006C287C"/>
    <w:rsid w:val="006C3C15"/>
    <w:rsid w:val="006C7D4F"/>
    <w:rsid w:val="006D12B4"/>
    <w:rsid w:val="006D4F41"/>
    <w:rsid w:val="006D6A44"/>
    <w:rsid w:val="006D7A33"/>
    <w:rsid w:val="006E280A"/>
    <w:rsid w:val="006E6792"/>
    <w:rsid w:val="006E75E2"/>
    <w:rsid w:val="006F01B5"/>
    <w:rsid w:val="006F06FC"/>
    <w:rsid w:val="006F4AD5"/>
    <w:rsid w:val="006F4CA7"/>
    <w:rsid w:val="006F5527"/>
    <w:rsid w:val="006F6211"/>
    <w:rsid w:val="00701034"/>
    <w:rsid w:val="00703D62"/>
    <w:rsid w:val="007046F7"/>
    <w:rsid w:val="00707559"/>
    <w:rsid w:val="007076DF"/>
    <w:rsid w:val="00710701"/>
    <w:rsid w:val="00712602"/>
    <w:rsid w:val="007144F6"/>
    <w:rsid w:val="00716311"/>
    <w:rsid w:val="007216E3"/>
    <w:rsid w:val="00723A6D"/>
    <w:rsid w:val="007269AB"/>
    <w:rsid w:val="00731691"/>
    <w:rsid w:val="00732F74"/>
    <w:rsid w:val="007332F9"/>
    <w:rsid w:val="00734ED0"/>
    <w:rsid w:val="00736085"/>
    <w:rsid w:val="00736171"/>
    <w:rsid w:val="00741394"/>
    <w:rsid w:val="007418D9"/>
    <w:rsid w:val="00742173"/>
    <w:rsid w:val="00742415"/>
    <w:rsid w:val="00743593"/>
    <w:rsid w:val="00743C00"/>
    <w:rsid w:val="00743CDA"/>
    <w:rsid w:val="007441D4"/>
    <w:rsid w:val="00744252"/>
    <w:rsid w:val="00746FD8"/>
    <w:rsid w:val="00750FE0"/>
    <w:rsid w:val="00751E26"/>
    <w:rsid w:val="007548E4"/>
    <w:rsid w:val="0075548A"/>
    <w:rsid w:val="00757335"/>
    <w:rsid w:val="00760360"/>
    <w:rsid w:val="007613E1"/>
    <w:rsid w:val="00761522"/>
    <w:rsid w:val="00762462"/>
    <w:rsid w:val="00762E9C"/>
    <w:rsid w:val="00764F3A"/>
    <w:rsid w:val="00770689"/>
    <w:rsid w:val="00772951"/>
    <w:rsid w:val="007752C1"/>
    <w:rsid w:val="0077623A"/>
    <w:rsid w:val="007771AD"/>
    <w:rsid w:val="007818E5"/>
    <w:rsid w:val="00784103"/>
    <w:rsid w:val="00784C0B"/>
    <w:rsid w:val="007910B2"/>
    <w:rsid w:val="007964A2"/>
    <w:rsid w:val="007970F7"/>
    <w:rsid w:val="007A0496"/>
    <w:rsid w:val="007A2054"/>
    <w:rsid w:val="007A2D2F"/>
    <w:rsid w:val="007A6F27"/>
    <w:rsid w:val="007A7979"/>
    <w:rsid w:val="007A7D3B"/>
    <w:rsid w:val="007B0321"/>
    <w:rsid w:val="007B183D"/>
    <w:rsid w:val="007B1D69"/>
    <w:rsid w:val="007C165F"/>
    <w:rsid w:val="007C1DCB"/>
    <w:rsid w:val="007C29FD"/>
    <w:rsid w:val="007C542D"/>
    <w:rsid w:val="007D2377"/>
    <w:rsid w:val="007D2D9B"/>
    <w:rsid w:val="007D3342"/>
    <w:rsid w:val="007D38E8"/>
    <w:rsid w:val="007D733B"/>
    <w:rsid w:val="007E22C2"/>
    <w:rsid w:val="007E2DB9"/>
    <w:rsid w:val="007E3EFB"/>
    <w:rsid w:val="007E4D02"/>
    <w:rsid w:val="007E4D0D"/>
    <w:rsid w:val="007E5495"/>
    <w:rsid w:val="007E5EA9"/>
    <w:rsid w:val="007E6CE7"/>
    <w:rsid w:val="007F1C4A"/>
    <w:rsid w:val="007F3673"/>
    <w:rsid w:val="007F3B3E"/>
    <w:rsid w:val="007F507E"/>
    <w:rsid w:val="007F63B6"/>
    <w:rsid w:val="007F79B4"/>
    <w:rsid w:val="00800885"/>
    <w:rsid w:val="00800E2F"/>
    <w:rsid w:val="0080162F"/>
    <w:rsid w:val="0080204A"/>
    <w:rsid w:val="008022A8"/>
    <w:rsid w:val="0080286D"/>
    <w:rsid w:val="00811627"/>
    <w:rsid w:val="008117B6"/>
    <w:rsid w:val="00813F99"/>
    <w:rsid w:val="00817E9E"/>
    <w:rsid w:val="00824824"/>
    <w:rsid w:val="008274F3"/>
    <w:rsid w:val="0082792B"/>
    <w:rsid w:val="008303A2"/>
    <w:rsid w:val="00831997"/>
    <w:rsid w:val="00831E3F"/>
    <w:rsid w:val="00831F99"/>
    <w:rsid w:val="00833913"/>
    <w:rsid w:val="00835A94"/>
    <w:rsid w:val="00836835"/>
    <w:rsid w:val="00836FB4"/>
    <w:rsid w:val="00837B67"/>
    <w:rsid w:val="00837BEB"/>
    <w:rsid w:val="0084055A"/>
    <w:rsid w:val="00851C18"/>
    <w:rsid w:val="0085254B"/>
    <w:rsid w:val="00852D9B"/>
    <w:rsid w:val="00856B05"/>
    <w:rsid w:val="00861FE3"/>
    <w:rsid w:val="00863EF0"/>
    <w:rsid w:val="00864F1C"/>
    <w:rsid w:val="00872803"/>
    <w:rsid w:val="00872BA2"/>
    <w:rsid w:val="0087384F"/>
    <w:rsid w:val="00877E32"/>
    <w:rsid w:val="0088063C"/>
    <w:rsid w:val="00881039"/>
    <w:rsid w:val="00883AAA"/>
    <w:rsid w:val="00890980"/>
    <w:rsid w:val="00892EBC"/>
    <w:rsid w:val="00894E39"/>
    <w:rsid w:val="00895418"/>
    <w:rsid w:val="008957D9"/>
    <w:rsid w:val="0089788C"/>
    <w:rsid w:val="00897AF8"/>
    <w:rsid w:val="008A202D"/>
    <w:rsid w:val="008A5FCC"/>
    <w:rsid w:val="008B4846"/>
    <w:rsid w:val="008B5689"/>
    <w:rsid w:val="008B5DBC"/>
    <w:rsid w:val="008B749E"/>
    <w:rsid w:val="008C09B5"/>
    <w:rsid w:val="008C1F20"/>
    <w:rsid w:val="008C2D17"/>
    <w:rsid w:val="008C3E75"/>
    <w:rsid w:val="008C5F38"/>
    <w:rsid w:val="008C6B0E"/>
    <w:rsid w:val="008C6FC8"/>
    <w:rsid w:val="008C7870"/>
    <w:rsid w:val="008D4971"/>
    <w:rsid w:val="008D77FD"/>
    <w:rsid w:val="008E16CE"/>
    <w:rsid w:val="008E1E77"/>
    <w:rsid w:val="008E6A92"/>
    <w:rsid w:val="008F1D37"/>
    <w:rsid w:val="008F4BDD"/>
    <w:rsid w:val="008F7897"/>
    <w:rsid w:val="00900302"/>
    <w:rsid w:val="0090296E"/>
    <w:rsid w:val="00902E31"/>
    <w:rsid w:val="0090379A"/>
    <w:rsid w:val="00906C03"/>
    <w:rsid w:val="0091354B"/>
    <w:rsid w:val="00913E49"/>
    <w:rsid w:val="009147FF"/>
    <w:rsid w:val="00916358"/>
    <w:rsid w:val="009204BB"/>
    <w:rsid w:val="009225DE"/>
    <w:rsid w:val="00922AFC"/>
    <w:rsid w:val="009237A5"/>
    <w:rsid w:val="009301DE"/>
    <w:rsid w:val="00934718"/>
    <w:rsid w:val="009370E2"/>
    <w:rsid w:val="009379AA"/>
    <w:rsid w:val="00940535"/>
    <w:rsid w:val="009407A8"/>
    <w:rsid w:val="0094395B"/>
    <w:rsid w:val="00945F19"/>
    <w:rsid w:val="00950233"/>
    <w:rsid w:val="00950841"/>
    <w:rsid w:val="00952DBF"/>
    <w:rsid w:val="00953B35"/>
    <w:rsid w:val="00954414"/>
    <w:rsid w:val="00954A83"/>
    <w:rsid w:val="00956763"/>
    <w:rsid w:val="00957BCF"/>
    <w:rsid w:val="009625F6"/>
    <w:rsid w:val="009627F9"/>
    <w:rsid w:val="009658D6"/>
    <w:rsid w:val="009676D8"/>
    <w:rsid w:val="00975F96"/>
    <w:rsid w:val="0098324A"/>
    <w:rsid w:val="00985FFB"/>
    <w:rsid w:val="00987CAC"/>
    <w:rsid w:val="00990CFC"/>
    <w:rsid w:val="00993516"/>
    <w:rsid w:val="00995DD7"/>
    <w:rsid w:val="00995E0E"/>
    <w:rsid w:val="00996052"/>
    <w:rsid w:val="009960C9"/>
    <w:rsid w:val="00996C55"/>
    <w:rsid w:val="00997DA9"/>
    <w:rsid w:val="009A2905"/>
    <w:rsid w:val="009A38CE"/>
    <w:rsid w:val="009A5B58"/>
    <w:rsid w:val="009A5E1D"/>
    <w:rsid w:val="009A649B"/>
    <w:rsid w:val="009A6EB1"/>
    <w:rsid w:val="009A72B6"/>
    <w:rsid w:val="009B3E5B"/>
    <w:rsid w:val="009B4294"/>
    <w:rsid w:val="009B430C"/>
    <w:rsid w:val="009B5295"/>
    <w:rsid w:val="009B60BD"/>
    <w:rsid w:val="009B6D4C"/>
    <w:rsid w:val="009B70F4"/>
    <w:rsid w:val="009B7374"/>
    <w:rsid w:val="009C0727"/>
    <w:rsid w:val="009C1EF7"/>
    <w:rsid w:val="009C2556"/>
    <w:rsid w:val="009C6C52"/>
    <w:rsid w:val="009D162F"/>
    <w:rsid w:val="009D1776"/>
    <w:rsid w:val="009D5976"/>
    <w:rsid w:val="009D5A80"/>
    <w:rsid w:val="009D79AE"/>
    <w:rsid w:val="009E0053"/>
    <w:rsid w:val="009E040A"/>
    <w:rsid w:val="009E2345"/>
    <w:rsid w:val="009E40AA"/>
    <w:rsid w:val="009E4E40"/>
    <w:rsid w:val="009E710F"/>
    <w:rsid w:val="009F206C"/>
    <w:rsid w:val="00A00B50"/>
    <w:rsid w:val="00A00E20"/>
    <w:rsid w:val="00A0253A"/>
    <w:rsid w:val="00A02A94"/>
    <w:rsid w:val="00A03293"/>
    <w:rsid w:val="00A03ADC"/>
    <w:rsid w:val="00A10193"/>
    <w:rsid w:val="00A10AC7"/>
    <w:rsid w:val="00A10DF8"/>
    <w:rsid w:val="00A11201"/>
    <w:rsid w:val="00A126F1"/>
    <w:rsid w:val="00A12A9B"/>
    <w:rsid w:val="00A14055"/>
    <w:rsid w:val="00A14E15"/>
    <w:rsid w:val="00A23BB2"/>
    <w:rsid w:val="00A24540"/>
    <w:rsid w:val="00A27388"/>
    <w:rsid w:val="00A300BF"/>
    <w:rsid w:val="00A30328"/>
    <w:rsid w:val="00A3255E"/>
    <w:rsid w:val="00A3267D"/>
    <w:rsid w:val="00A331C8"/>
    <w:rsid w:val="00A43E28"/>
    <w:rsid w:val="00A44451"/>
    <w:rsid w:val="00A46428"/>
    <w:rsid w:val="00A46BDC"/>
    <w:rsid w:val="00A5105C"/>
    <w:rsid w:val="00A513DF"/>
    <w:rsid w:val="00A52415"/>
    <w:rsid w:val="00A57B01"/>
    <w:rsid w:val="00A60B2E"/>
    <w:rsid w:val="00A61566"/>
    <w:rsid w:val="00A6188E"/>
    <w:rsid w:val="00A62E69"/>
    <w:rsid w:val="00A67499"/>
    <w:rsid w:val="00A716CD"/>
    <w:rsid w:val="00A744D1"/>
    <w:rsid w:val="00A745E3"/>
    <w:rsid w:val="00A76173"/>
    <w:rsid w:val="00A762E1"/>
    <w:rsid w:val="00A77AE4"/>
    <w:rsid w:val="00A806F4"/>
    <w:rsid w:val="00A81FA6"/>
    <w:rsid w:val="00A84E31"/>
    <w:rsid w:val="00A8697D"/>
    <w:rsid w:val="00A873DD"/>
    <w:rsid w:val="00A9059D"/>
    <w:rsid w:val="00A90983"/>
    <w:rsid w:val="00A943AF"/>
    <w:rsid w:val="00A96B58"/>
    <w:rsid w:val="00AA0175"/>
    <w:rsid w:val="00AA0A83"/>
    <w:rsid w:val="00AA25E4"/>
    <w:rsid w:val="00AA3112"/>
    <w:rsid w:val="00AA33FB"/>
    <w:rsid w:val="00AA4C9D"/>
    <w:rsid w:val="00AA6162"/>
    <w:rsid w:val="00AA733A"/>
    <w:rsid w:val="00AA78DC"/>
    <w:rsid w:val="00AA7F1A"/>
    <w:rsid w:val="00AB10AA"/>
    <w:rsid w:val="00AB25F9"/>
    <w:rsid w:val="00AB2F51"/>
    <w:rsid w:val="00AB2FDC"/>
    <w:rsid w:val="00AB6229"/>
    <w:rsid w:val="00AC1689"/>
    <w:rsid w:val="00AC1FDD"/>
    <w:rsid w:val="00AC4D72"/>
    <w:rsid w:val="00AC4F4B"/>
    <w:rsid w:val="00AC71A6"/>
    <w:rsid w:val="00AD15B2"/>
    <w:rsid w:val="00AD24FE"/>
    <w:rsid w:val="00AD2536"/>
    <w:rsid w:val="00AD362B"/>
    <w:rsid w:val="00AD4B24"/>
    <w:rsid w:val="00AD6D51"/>
    <w:rsid w:val="00AE1B54"/>
    <w:rsid w:val="00AE2FF1"/>
    <w:rsid w:val="00AE36A3"/>
    <w:rsid w:val="00AE3C57"/>
    <w:rsid w:val="00AE515D"/>
    <w:rsid w:val="00AE64C1"/>
    <w:rsid w:val="00AE6B2A"/>
    <w:rsid w:val="00AF3041"/>
    <w:rsid w:val="00AF48CD"/>
    <w:rsid w:val="00AF5E69"/>
    <w:rsid w:val="00AF5FAD"/>
    <w:rsid w:val="00AF6022"/>
    <w:rsid w:val="00AF7EC8"/>
    <w:rsid w:val="00B015A7"/>
    <w:rsid w:val="00B01F89"/>
    <w:rsid w:val="00B038CC"/>
    <w:rsid w:val="00B053D9"/>
    <w:rsid w:val="00B06556"/>
    <w:rsid w:val="00B06B85"/>
    <w:rsid w:val="00B11F31"/>
    <w:rsid w:val="00B12AB1"/>
    <w:rsid w:val="00B12C14"/>
    <w:rsid w:val="00B14090"/>
    <w:rsid w:val="00B16F92"/>
    <w:rsid w:val="00B21E7A"/>
    <w:rsid w:val="00B21EA3"/>
    <w:rsid w:val="00B2296E"/>
    <w:rsid w:val="00B328E5"/>
    <w:rsid w:val="00B3388D"/>
    <w:rsid w:val="00B34168"/>
    <w:rsid w:val="00B345D9"/>
    <w:rsid w:val="00B34DF8"/>
    <w:rsid w:val="00B37B14"/>
    <w:rsid w:val="00B43D0A"/>
    <w:rsid w:val="00B43EF1"/>
    <w:rsid w:val="00B44303"/>
    <w:rsid w:val="00B47D07"/>
    <w:rsid w:val="00B5144B"/>
    <w:rsid w:val="00B5170B"/>
    <w:rsid w:val="00B52EE1"/>
    <w:rsid w:val="00B53992"/>
    <w:rsid w:val="00B53D6E"/>
    <w:rsid w:val="00B54EA4"/>
    <w:rsid w:val="00B679D3"/>
    <w:rsid w:val="00B67FEA"/>
    <w:rsid w:val="00B708AD"/>
    <w:rsid w:val="00B710D2"/>
    <w:rsid w:val="00B7113C"/>
    <w:rsid w:val="00B712CC"/>
    <w:rsid w:val="00B723DF"/>
    <w:rsid w:val="00B731DE"/>
    <w:rsid w:val="00B734C3"/>
    <w:rsid w:val="00B74252"/>
    <w:rsid w:val="00B7514D"/>
    <w:rsid w:val="00B7627A"/>
    <w:rsid w:val="00B7678B"/>
    <w:rsid w:val="00B77533"/>
    <w:rsid w:val="00B77B05"/>
    <w:rsid w:val="00B85149"/>
    <w:rsid w:val="00B85A12"/>
    <w:rsid w:val="00B86498"/>
    <w:rsid w:val="00B90481"/>
    <w:rsid w:val="00B9063F"/>
    <w:rsid w:val="00B945D4"/>
    <w:rsid w:val="00B94BAD"/>
    <w:rsid w:val="00BA1325"/>
    <w:rsid w:val="00BA5870"/>
    <w:rsid w:val="00BA679F"/>
    <w:rsid w:val="00BB0399"/>
    <w:rsid w:val="00BB0CBB"/>
    <w:rsid w:val="00BB0EFB"/>
    <w:rsid w:val="00BB3223"/>
    <w:rsid w:val="00BB4344"/>
    <w:rsid w:val="00BB4A7B"/>
    <w:rsid w:val="00BB5D61"/>
    <w:rsid w:val="00BC1307"/>
    <w:rsid w:val="00BC2B27"/>
    <w:rsid w:val="00BC3B27"/>
    <w:rsid w:val="00BC4C9B"/>
    <w:rsid w:val="00BC609B"/>
    <w:rsid w:val="00BC7910"/>
    <w:rsid w:val="00BC7BEA"/>
    <w:rsid w:val="00BD0BD5"/>
    <w:rsid w:val="00BD209D"/>
    <w:rsid w:val="00BD6641"/>
    <w:rsid w:val="00BE467F"/>
    <w:rsid w:val="00BE4DAD"/>
    <w:rsid w:val="00BE5E4B"/>
    <w:rsid w:val="00BE6C2B"/>
    <w:rsid w:val="00BE716C"/>
    <w:rsid w:val="00BE7990"/>
    <w:rsid w:val="00BF1AB9"/>
    <w:rsid w:val="00BF29E1"/>
    <w:rsid w:val="00BF2F12"/>
    <w:rsid w:val="00BF30AB"/>
    <w:rsid w:val="00BF3A0E"/>
    <w:rsid w:val="00BF3A82"/>
    <w:rsid w:val="00BF4C9A"/>
    <w:rsid w:val="00BF58CF"/>
    <w:rsid w:val="00C0339F"/>
    <w:rsid w:val="00C0411C"/>
    <w:rsid w:val="00C057FE"/>
    <w:rsid w:val="00C07331"/>
    <w:rsid w:val="00C10955"/>
    <w:rsid w:val="00C11B85"/>
    <w:rsid w:val="00C13C70"/>
    <w:rsid w:val="00C22BC5"/>
    <w:rsid w:val="00C23063"/>
    <w:rsid w:val="00C23DAA"/>
    <w:rsid w:val="00C24103"/>
    <w:rsid w:val="00C267D7"/>
    <w:rsid w:val="00C31877"/>
    <w:rsid w:val="00C31885"/>
    <w:rsid w:val="00C34436"/>
    <w:rsid w:val="00C347A8"/>
    <w:rsid w:val="00C4222C"/>
    <w:rsid w:val="00C42806"/>
    <w:rsid w:val="00C42BB6"/>
    <w:rsid w:val="00C430F8"/>
    <w:rsid w:val="00C43515"/>
    <w:rsid w:val="00C46BC0"/>
    <w:rsid w:val="00C53B91"/>
    <w:rsid w:val="00C53EBB"/>
    <w:rsid w:val="00C5610C"/>
    <w:rsid w:val="00C57088"/>
    <w:rsid w:val="00C60694"/>
    <w:rsid w:val="00C6189C"/>
    <w:rsid w:val="00C620D3"/>
    <w:rsid w:val="00C62687"/>
    <w:rsid w:val="00C64195"/>
    <w:rsid w:val="00C64773"/>
    <w:rsid w:val="00C73A21"/>
    <w:rsid w:val="00C76728"/>
    <w:rsid w:val="00C76F72"/>
    <w:rsid w:val="00C77A75"/>
    <w:rsid w:val="00C80771"/>
    <w:rsid w:val="00C836EC"/>
    <w:rsid w:val="00C84368"/>
    <w:rsid w:val="00C84427"/>
    <w:rsid w:val="00C844F7"/>
    <w:rsid w:val="00C84D0E"/>
    <w:rsid w:val="00C859C7"/>
    <w:rsid w:val="00C8680A"/>
    <w:rsid w:val="00C87B56"/>
    <w:rsid w:val="00C87D7F"/>
    <w:rsid w:val="00C91002"/>
    <w:rsid w:val="00C915E2"/>
    <w:rsid w:val="00C93462"/>
    <w:rsid w:val="00C97041"/>
    <w:rsid w:val="00C97042"/>
    <w:rsid w:val="00C979F3"/>
    <w:rsid w:val="00CA06CE"/>
    <w:rsid w:val="00CA0EED"/>
    <w:rsid w:val="00CA0F8C"/>
    <w:rsid w:val="00CA2794"/>
    <w:rsid w:val="00CB1364"/>
    <w:rsid w:val="00CB3215"/>
    <w:rsid w:val="00CB38A0"/>
    <w:rsid w:val="00CB630A"/>
    <w:rsid w:val="00CB65EF"/>
    <w:rsid w:val="00CB6DBB"/>
    <w:rsid w:val="00CB72F5"/>
    <w:rsid w:val="00CC03E3"/>
    <w:rsid w:val="00CC0D0A"/>
    <w:rsid w:val="00CC1B7D"/>
    <w:rsid w:val="00CC3D8E"/>
    <w:rsid w:val="00CC41DA"/>
    <w:rsid w:val="00CC5AB4"/>
    <w:rsid w:val="00CC6C4E"/>
    <w:rsid w:val="00CC6EA3"/>
    <w:rsid w:val="00CD49EC"/>
    <w:rsid w:val="00CE313B"/>
    <w:rsid w:val="00CE475C"/>
    <w:rsid w:val="00CE7AEB"/>
    <w:rsid w:val="00CE7E3D"/>
    <w:rsid w:val="00CF0DC4"/>
    <w:rsid w:val="00CF0ECB"/>
    <w:rsid w:val="00CF1D5A"/>
    <w:rsid w:val="00CF3C7B"/>
    <w:rsid w:val="00D0254C"/>
    <w:rsid w:val="00D02A61"/>
    <w:rsid w:val="00D02D91"/>
    <w:rsid w:val="00D038F3"/>
    <w:rsid w:val="00D0438E"/>
    <w:rsid w:val="00D06225"/>
    <w:rsid w:val="00D075C8"/>
    <w:rsid w:val="00D126B7"/>
    <w:rsid w:val="00D13636"/>
    <w:rsid w:val="00D14F5B"/>
    <w:rsid w:val="00D17713"/>
    <w:rsid w:val="00D17CB6"/>
    <w:rsid w:val="00D20356"/>
    <w:rsid w:val="00D20FFB"/>
    <w:rsid w:val="00D2478F"/>
    <w:rsid w:val="00D260F8"/>
    <w:rsid w:val="00D26D78"/>
    <w:rsid w:val="00D3214A"/>
    <w:rsid w:val="00D32E6E"/>
    <w:rsid w:val="00D33037"/>
    <w:rsid w:val="00D350D0"/>
    <w:rsid w:val="00D41699"/>
    <w:rsid w:val="00D445FA"/>
    <w:rsid w:val="00D4503A"/>
    <w:rsid w:val="00D4520B"/>
    <w:rsid w:val="00D4733E"/>
    <w:rsid w:val="00D4777B"/>
    <w:rsid w:val="00D54752"/>
    <w:rsid w:val="00D56B8F"/>
    <w:rsid w:val="00D5791A"/>
    <w:rsid w:val="00D60BDF"/>
    <w:rsid w:val="00D60DC5"/>
    <w:rsid w:val="00D6151B"/>
    <w:rsid w:val="00D61780"/>
    <w:rsid w:val="00D623EB"/>
    <w:rsid w:val="00D637FE"/>
    <w:rsid w:val="00D63F04"/>
    <w:rsid w:val="00D66D1C"/>
    <w:rsid w:val="00D72133"/>
    <w:rsid w:val="00D7363A"/>
    <w:rsid w:val="00D73FB7"/>
    <w:rsid w:val="00D73FB9"/>
    <w:rsid w:val="00D75FCF"/>
    <w:rsid w:val="00D76B66"/>
    <w:rsid w:val="00D773D0"/>
    <w:rsid w:val="00D77DC0"/>
    <w:rsid w:val="00D80073"/>
    <w:rsid w:val="00D80EB6"/>
    <w:rsid w:val="00D81A8E"/>
    <w:rsid w:val="00D8329D"/>
    <w:rsid w:val="00D83715"/>
    <w:rsid w:val="00D84A3A"/>
    <w:rsid w:val="00D863CC"/>
    <w:rsid w:val="00D87B9A"/>
    <w:rsid w:val="00D87BD3"/>
    <w:rsid w:val="00D90D24"/>
    <w:rsid w:val="00D90EBF"/>
    <w:rsid w:val="00D956BD"/>
    <w:rsid w:val="00D9611D"/>
    <w:rsid w:val="00D97463"/>
    <w:rsid w:val="00D9773D"/>
    <w:rsid w:val="00D97C6C"/>
    <w:rsid w:val="00DA09EB"/>
    <w:rsid w:val="00DA4B88"/>
    <w:rsid w:val="00DA7EEA"/>
    <w:rsid w:val="00DB304D"/>
    <w:rsid w:val="00DB3AAA"/>
    <w:rsid w:val="00DC04AB"/>
    <w:rsid w:val="00DC2D48"/>
    <w:rsid w:val="00DC3253"/>
    <w:rsid w:val="00DC5FA6"/>
    <w:rsid w:val="00DC6760"/>
    <w:rsid w:val="00DD30F7"/>
    <w:rsid w:val="00DD388E"/>
    <w:rsid w:val="00DD60C4"/>
    <w:rsid w:val="00DD736C"/>
    <w:rsid w:val="00DE2EE4"/>
    <w:rsid w:val="00DE5657"/>
    <w:rsid w:val="00DF0316"/>
    <w:rsid w:val="00DF0E5F"/>
    <w:rsid w:val="00DF11D0"/>
    <w:rsid w:val="00DF13E5"/>
    <w:rsid w:val="00DF1972"/>
    <w:rsid w:val="00DF519C"/>
    <w:rsid w:val="00DF57DB"/>
    <w:rsid w:val="00E00339"/>
    <w:rsid w:val="00E014FE"/>
    <w:rsid w:val="00E025F4"/>
    <w:rsid w:val="00E04238"/>
    <w:rsid w:val="00E076E5"/>
    <w:rsid w:val="00E077E1"/>
    <w:rsid w:val="00E10F45"/>
    <w:rsid w:val="00E12E0B"/>
    <w:rsid w:val="00E1539A"/>
    <w:rsid w:val="00E16ECF"/>
    <w:rsid w:val="00E20692"/>
    <w:rsid w:val="00E206EA"/>
    <w:rsid w:val="00E230B4"/>
    <w:rsid w:val="00E24CCA"/>
    <w:rsid w:val="00E254A0"/>
    <w:rsid w:val="00E2702D"/>
    <w:rsid w:val="00E30182"/>
    <w:rsid w:val="00E3229A"/>
    <w:rsid w:val="00E33AF6"/>
    <w:rsid w:val="00E36364"/>
    <w:rsid w:val="00E36A70"/>
    <w:rsid w:val="00E41451"/>
    <w:rsid w:val="00E415B8"/>
    <w:rsid w:val="00E42787"/>
    <w:rsid w:val="00E427EE"/>
    <w:rsid w:val="00E45817"/>
    <w:rsid w:val="00E45BFB"/>
    <w:rsid w:val="00E46F93"/>
    <w:rsid w:val="00E513D0"/>
    <w:rsid w:val="00E6068D"/>
    <w:rsid w:val="00E61C32"/>
    <w:rsid w:val="00E704F7"/>
    <w:rsid w:val="00E70C45"/>
    <w:rsid w:val="00E73382"/>
    <w:rsid w:val="00E75ABE"/>
    <w:rsid w:val="00E7646B"/>
    <w:rsid w:val="00E76542"/>
    <w:rsid w:val="00E76FF1"/>
    <w:rsid w:val="00E77000"/>
    <w:rsid w:val="00E81560"/>
    <w:rsid w:val="00E83789"/>
    <w:rsid w:val="00E83838"/>
    <w:rsid w:val="00E83A19"/>
    <w:rsid w:val="00E850BA"/>
    <w:rsid w:val="00E8562C"/>
    <w:rsid w:val="00E86556"/>
    <w:rsid w:val="00E876CB"/>
    <w:rsid w:val="00E900A3"/>
    <w:rsid w:val="00E91310"/>
    <w:rsid w:val="00E9144E"/>
    <w:rsid w:val="00E92FA6"/>
    <w:rsid w:val="00E9477E"/>
    <w:rsid w:val="00E9694D"/>
    <w:rsid w:val="00EA1AF6"/>
    <w:rsid w:val="00EA2EEB"/>
    <w:rsid w:val="00EA5D5D"/>
    <w:rsid w:val="00EA692F"/>
    <w:rsid w:val="00EB37A8"/>
    <w:rsid w:val="00EB40B0"/>
    <w:rsid w:val="00EB4443"/>
    <w:rsid w:val="00EB74BC"/>
    <w:rsid w:val="00EC16F8"/>
    <w:rsid w:val="00EC336E"/>
    <w:rsid w:val="00ED2C08"/>
    <w:rsid w:val="00ED3A64"/>
    <w:rsid w:val="00ED560D"/>
    <w:rsid w:val="00ED605B"/>
    <w:rsid w:val="00ED6260"/>
    <w:rsid w:val="00ED6B98"/>
    <w:rsid w:val="00ED6C94"/>
    <w:rsid w:val="00EE1040"/>
    <w:rsid w:val="00EE5B40"/>
    <w:rsid w:val="00EE7685"/>
    <w:rsid w:val="00EF0BF1"/>
    <w:rsid w:val="00EF0EA0"/>
    <w:rsid w:val="00EF35D0"/>
    <w:rsid w:val="00EF4C89"/>
    <w:rsid w:val="00EF5F9F"/>
    <w:rsid w:val="00EF64BD"/>
    <w:rsid w:val="00F0242A"/>
    <w:rsid w:val="00F05050"/>
    <w:rsid w:val="00F053EF"/>
    <w:rsid w:val="00F12FA6"/>
    <w:rsid w:val="00F141DF"/>
    <w:rsid w:val="00F15307"/>
    <w:rsid w:val="00F16041"/>
    <w:rsid w:val="00F17A7A"/>
    <w:rsid w:val="00F20245"/>
    <w:rsid w:val="00F216B1"/>
    <w:rsid w:val="00F25611"/>
    <w:rsid w:val="00F30A87"/>
    <w:rsid w:val="00F31DA3"/>
    <w:rsid w:val="00F3371D"/>
    <w:rsid w:val="00F35CBE"/>
    <w:rsid w:val="00F406A9"/>
    <w:rsid w:val="00F40BF4"/>
    <w:rsid w:val="00F41942"/>
    <w:rsid w:val="00F4261F"/>
    <w:rsid w:val="00F43B0B"/>
    <w:rsid w:val="00F43BA6"/>
    <w:rsid w:val="00F51C02"/>
    <w:rsid w:val="00F5227C"/>
    <w:rsid w:val="00F54C78"/>
    <w:rsid w:val="00F555DD"/>
    <w:rsid w:val="00F55D28"/>
    <w:rsid w:val="00F566C7"/>
    <w:rsid w:val="00F57850"/>
    <w:rsid w:val="00F626E0"/>
    <w:rsid w:val="00F646A4"/>
    <w:rsid w:val="00F65C61"/>
    <w:rsid w:val="00F6667B"/>
    <w:rsid w:val="00F7027C"/>
    <w:rsid w:val="00F70333"/>
    <w:rsid w:val="00F72892"/>
    <w:rsid w:val="00F73106"/>
    <w:rsid w:val="00F7494E"/>
    <w:rsid w:val="00F74B06"/>
    <w:rsid w:val="00F75C80"/>
    <w:rsid w:val="00F80AFA"/>
    <w:rsid w:val="00F8155F"/>
    <w:rsid w:val="00F82D92"/>
    <w:rsid w:val="00F860A4"/>
    <w:rsid w:val="00F86357"/>
    <w:rsid w:val="00F90FBA"/>
    <w:rsid w:val="00F93C02"/>
    <w:rsid w:val="00F95C7C"/>
    <w:rsid w:val="00F96297"/>
    <w:rsid w:val="00FA106A"/>
    <w:rsid w:val="00FA13BE"/>
    <w:rsid w:val="00FA1A86"/>
    <w:rsid w:val="00FA1B4B"/>
    <w:rsid w:val="00FA384A"/>
    <w:rsid w:val="00FA4229"/>
    <w:rsid w:val="00FA4DCD"/>
    <w:rsid w:val="00FA65D1"/>
    <w:rsid w:val="00FA6CA0"/>
    <w:rsid w:val="00FA701F"/>
    <w:rsid w:val="00FB01B3"/>
    <w:rsid w:val="00FB5013"/>
    <w:rsid w:val="00FB507A"/>
    <w:rsid w:val="00FB6A28"/>
    <w:rsid w:val="00FB76CD"/>
    <w:rsid w:val="00FC662C"/>
    <w:rsid w:val="00FC7394"/>
    <w:rsid w:val="00FD2F99"/>
    <w:rsid w:val="00FD3B61"/>
    <w:rsid w:val="00FD5E0B"/>
    <w:rsid w:val="00FE15EB"/>
    <w:rsid w:val="00FE4B51"/>
    <w:rsid w:val="00FE5772"/>
    <w:rsid w:val="00FE752E"/>
    <w:rsid w:val="00FE7DFE"/>
    <w:rsid w:val="00FF06F1"/>
    <w:rsid w:val="00FF2C7A"/>
    <w:rsid w:val="00FF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18ACD"/>
  <w15:docId w15:val="{46804143-F042-4640-B650-B2CC126C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65F"/>
  </w:style>
  <w:style w:type="paragraph" w:styleId="Heading1">
    <w:name w:val="heading 1"/>
    <w:basedOn w:val="Normal"/>
    <w:next w:val="Normal"/>
    <w:link w:val="Heading1Char"/>
    <w:uiPriority w:val="9"/>
    <w:qFormat/>
    <w:rsid w:val="007C16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16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16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36A70"/>
    <w:pPr>
      <w:keepNext/>
      <w:keepLines/>
      <w:spacing w:before="200" w:after="0"/>
      <w:outlineLvl w:val="3"/>
    </w:pPr>
    <w:rPr>
      <w:rFonts w:eastAsiaTheme="majorEastAsia" w:cstheme="majorBidi"/>
      <w:bCs/>
      <w:i/>
      <w:iCs/>
      <w:color w:val="4F81BD" w:themeColor="accent1"/>
      <w:sz w:val="24"/>
    </w:rPr>
  </w:style>
  <w:style w:type="paragraph" w:styleId="Heading5">
    <w:name w:val="heading 5"/>
    <w:basedOn w:val="Normal"/>
    <w:next w:val="Normal"/>
    <w:link w:val="Heading5Char"/>
    <w:uiPriority w:val="9"/>
    <w:unhideWhenUsed/>
    <w:qFormat/>
    <w:rsid w:val="007C16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C16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C16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C16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C16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rsid w:val="00E91310"/>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rsid w:val="00E91310"/>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rsid w:val="00E913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rsid w:val="00E913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rsid w:val="00E913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rsid w:val="00E913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rsid w:val="00E913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rsid w:val="00E913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Triangles">
    <w:name w:val="1Triangles"/>
    <w:rsid w:val="00E91310"/>
    <w:pPr>
      <w:widowControl w:val="0"/>
      <w:tabs>
        <w:tab w:val="left" w:pos="720"/>
      </w:tabs>
      <w:autoSpaceDE w:val="0"/>
      <w:autoSpaceDN w:val="0"/>
      <w:adjustRightInd w:val="0"/>
      <w:ind w:left="720" w:hanging="720"/>
      <w:jc w:val="both"/>
    </w:pPr>
    <w:rPr>
      <w:sz w:val="24"/>
      <w:szCs w:val="24"/>
    </w:rPr>
  </w:style>
  <w:style w:type="paragraph" w:customStyle="1" w:styleId="2Triangles">
    <w:name w:val="2Triangles"/>
    <w:rsid w:val="00E91310"/>
    <w:pPr>
      <w:widowControl w:val="0"/>
      <w:tabs>
        <w:tab w:val="left" w:pos="720"/>
        <w:tab w:val="left" w:pos="1440"/>
      </w:tabs>
      <w:autoSpaceDE w:val="0"/>
      <w:autoSpaceDN w:val="0"/>
      <w:adjustRightInd w:val="0"/>
      <w:ind w:left="1440" w:hanging="720"/>
      <w:jc w:val="both"/>
    </w:pPr>
    <w:rPr>
      <w:sz w:val="24"/>
      <w:szCs w:val="24"/>
    </w:rPr>
  </w:style>
  <w:style w:type="paragraph" w:customStyle="1" w:styleId="3Triangles">
    <w:name w:val="3Triangles"/>
    <w:rsid w:val="00E913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Triangles">
    <w:name w:val="4Triangles"/>
    <w:rsid w:val="00E913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Triangles">
    <w:name w:val="5Triangles"/>
    <w:rsid w:val="00E913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Triangles">
    <w:name w:val="6Triangles"/>
    <w:rsid w:val="00E913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Triangles">
    <w:name w:val="7Triangles"/>
    <w:rsid w:val="00E913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Triangles">
    <w:name w:val="8Triangles"/>
    <w:rsid w:val="00E913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a">
    <w:name w:val="_"/>
    <w:rsid w:val="00E91310"/>
    <w:pPr>
      <w:widowControl w:val="0"/>
      <w:autoSpaceDE w:val="0"/>
      <w:autoSpaceDN w:val="0"/>
      <w:adjustRightInd w:val="0"/>
      <w:ind w:left="-1080"/>
    </w:pPr>
    <w:rPr>
      <w:sz w:val="24"/>
      <w:szCs w:val="24"/>
    </w:rPr>
  </w:style>
  <w:style w:type="character" w:customStyle="1" w:styleId="DefaultPara">
    <w:name w:val="Default Para"/>
    <w:rsid w:val="00E91310"/>
  </w:style>
  <w:style w:type="character" w:customStyle="1" w:styleId="SYSHYPERTEXT">
    <w:name w:val="SYS_HYPERTEXT"/>
    <w:rsid w:val="00E91310"/>
    <w:rPr>
      <w:color w:val="0000FF"/>
    </w:rPr>
  </w:style>
  <w:style w:type="paragraph" w:styleId="Header">
    <w:name w:val="header"/>
    <w:basedOn w:val="Normal"/>
    <w:rsid w:val="00E91310"/>
    <w:pPr>
      <w:tabs>
        <w:tab w:val="center" w:pos="4320"/>
        <w:tab w:val="right" w:pos="8640"/>
      </w:tabs>
    </w:pPr>
  </w:style>
  <w:style w:type="character" w:styleId="PageNumber">
    <w:name w:val="page number"/>
    <w:basedOn w:val="DefaultParagraphFont"/>
    <w:rsid w:val="00E91310"/>
  </w:style>
  <w:style w:type="paragraph" w:styleId="BodyText">
    <w:name w:val="Body Text"/>
    <w:basedOn w:val="Normal"/>
    <w:link w:val="BodyTextChar"/>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FF00FF"/>
    </w:rPr>
  </w:style>
  <w:style w:type="paragraph" w:styleId="Caption">
    <w:name w:val="caption"/>
    <w:basedOn w:val="Normal"/>
    <w:next w:val="Normal"/>
    <w:uiPriority w:val="35"/>
    <w:unhideWhenUsed/>
    <w:qFormat/>
    <w:rsid w:val="007C165F"/>
    <w:pPr>
      <w:spacing w:line="240" w:lineRule="auto"/>
    </w:pPr>
    <w:rPr>
      <w:b/>
      <w:bCs/>
      <w:color w:val="4F81BD" w:themeColor="accent1"/>
      <w:sz w:val="18"/>
      <w:szCs w:val="18"/>
    </w:rPr>
  </w:style>
  <w:style w:type="paragraph" w:styleId="BodyText2">
    <w:name w:val="Body Text 2"/>
    <w:basedOn w:val="Normal"/>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BodyText3">
    <w:name w:val="Body Text 3"/>
    <w:basedOn w:val="Normal"/>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styleId="Hyperlink">
    <w:name w:val="Hyperlink"/>
    <w:rsid w:val="00E91310"/>
    <w:rPr>
      <w:color w:val="0000FF"/>
      <w:u w:val="single"/>
    </w:rPr>
  </w:style>
  <w:style w:type="character" w:styleId="FollowedHyperlink">
    <w:name w:val="FollowedHyperlink"/>
    <w:rsid w:val="00E91310"/>
    <w:rPr>
      <w:color w:val="800080"/>
      <w:u w:val="single"/>
    </w:rPr>
  </w:style>
  <w:style w:type="paragraph" w:styleId="Footer">
    <w:name w:val="footer"/>
    <w:basedOn w:val="Normal"/>
    <w:link w:val="FooterChar"/>
    <w:uiPriority w:val="99"/>
    <w:rsid w:val="00E91310"/>
    <w:pPr>
      <w:tabs>
        <w:tab w:val="center" w:pos="4320"/>
        <w:tab w:val="right" w:pos="8640"/>
      </w:tabs>
    </w:pPr>
  </w:style>
  <w:style w:type="paragraph" w:customStyle="1" w:styleId="Default">
    <w:name w:val="Default"/>
    <w:rsid w:val="0080088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6059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4C89"/>
    <w:rPr>
      <w:rFonts w:ascii="Tahoma" w:hAnsi="Tahoma" w:cs="Tahoma"/>
      <w:sz w:val="16"/>
      <w:szCs w:val="16"/>
    </w:rPr>
  </w:style>
  <w:style w:type="paragraph" w:styleId="ListParagraph">
    <w:name w:val="List Paragraph"/>
    <w:basedOn w:val="Normal"/>
    <w:qFormat/>
    <w:rsid w:val="007C165F"/>
    <w:pPr>
      <w:ind w:left="720"/>
      <w:contextualSpacing/>
    </w:pPr>
  </w:style>
  <w:style w:type="paragraph" w:styleId="ListBullet">
    <w:name w:val="List Bullet"/>
    <w:basedOn w:val="Normal"/>
    <w:rsid w:val="00C4222C"/>
    <w:pPr>
      <w:numPr>
        <w:numId w:val="1"/>
      </w:numPr>
      <w:spacing w:after="120"/>
    </w:pPr>
  </w:style>
  <w:style w:type="character" w:customStyle="1" w:styleId="BodyTextChar">
    <w:name w:val="Body Text Char"/>
    <w:basedOn w:val="DefaultParagraphFont"/>
    <w:link w:val="BodyText"/>
    <w:rsid w:val="00CE313B"/>
    <w:rPr>
      <w:color w:val="FF00FF"/>
      <w:sz w:val="22"/>
      <w:szCs w:val="22"/>
    </w:rPr>
  </w:style>
  <w:style w:type="paragraph" w:customStyle="1" w:styleId="StyleListBulletAfter12pt">
    <w:name w:val="Style List Bullet + After:  12 pt"/>
    <w:basedOn w:val="ListBullet"/>
    <w:rsid w:val="00C4222C"/>
  </w:style>
  <w:style w:type="character" w:styleId="Strong">
    <w:name w:val="Strong"/>
    <w:basedOn w:val="DefaultParagraphFont"/>
    <w:uiPriority w:val="22"/>
    <w:qFormat/>
    <w:rsid w:val="007C165F"/>
    <w:rPr>
      <w:b/>
      <w:bCs/>
    </w:rPr>
  </w:style>
  <w:style w:type="character" w:styleId="Emphasis">
    <w:name w:val="Emphasis"/>
    <w:basedOn w:val="DefaultParagraphFont"/>
    <w:qFormat/>
    <w:rsid w:val="007C165F"/>
    <w:rPr>
      <w:i/>
      <w:iCs/>
    </w:rPr>
  </w:style>
  <w:style w:type="paragraph" w:styleId="Revision">
    <w:name w:val="Revision"/>
    <w:hidden/>
    <w:uiPriority w:val="99"/>
    <w:semiHidden/>
    <w:rsid w:val="00895418"/>
  </w:style>
  <w:style w:type="paragraph" w:styleId="NoSpacing">
    <w:name w:val="No Spacing"/>
    <w:uiPriority w:val="1"/>
    <w:qFormat/>
    <w:rsid w:val="007C165F"/>
    <w:pPr>
      <w:spacing w:after="0" w:line="240" w:lineRule="auto"/>
    </w:pPr>
  </w:style>
  <w:style w:type="character" w:customStyle="1" w:styleId="Heading1Char">
    <w:name w:val="Heading 1 Char"/>
    <w:basedOn w:val="DefaultParagraphFont"/>
    <w:link w:val="Heading1"/>
    <w:uiPriority w:val="9"/>
    <w:rsid w:val="007C16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16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16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36A70"/>
    <w:rPr>
      <w:rFonts w:eastAsiaTheme="majorEastAsia" w:cstheme="majorBidi"/>
      <w:bCs/>
      <w:i/>
      <w:iCs/>
      <w:color w:val="4F81BD" w:themeColor="accent1"/>
      <w:sz w:val="24"/>
    </w:rPr>
  </w:style>
  <w:style w:type="character" w:customStyle="1" w:styleId="Heading5Char">
    <w:name w:val="Heading 5 Char"/>
    <w:basedOn w:val="DefaultParagraphFont"/>
    <w:link w:val="Heading5"/>
    <w:uiPriority w:val="9"/>
    <w:rsid w:val="007C16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C16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C16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C16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C165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7C16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16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C16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C165F"/>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7C165F"/>
    <w:rPr>
      <w:i/>
      <w:iCs/>
      <w:color w:val="000000" w:themeColor="text1"/>
    </w:rPr>
  </w:style>
  <w:style w:type="character" w:customStyle="1" w:styleId="QuoteChar">
    <w:name w:val="Quote Char"/>
    <w:basedOn w:val="DefaultParagraphFont"/>
    <w:link w:val="Quote"/>
    <w:uiPriority w:val="29"/>
    <w:rsid w:val="007C165F"/>
    <w:rPr>
      <w:i/>
      <w:iCs/>
      <w:color w:val="000000" w:themeColor="text1"/>
    </w:rPr>
  </w:style>
  <w:style w:type="paragraph" w:styleId="IntenseQuote">
    <w:name w:val="Intense Quote"/>
    <w:basedOn w:val="Normal"/>
    <w:next w:val="Normal"/>
    <w:link w:val="IntenseQuoteChar"/>
    <w:uiPriority w:val="30"/>
    <w:qFormat/>
    <w:rsid w:val="007C16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C165F"/>
    <w:rPr>
      <w:b/>
      <w:bCs/>
      <w:i/>
      <w:iCs/>
      <w:color w:val="4F81BD" w:themeColor="accent1"/>
    </w:rPr>
  </w:style>
  <w:style w:type="character" w:styleId="SubtleEmphasis">
    <w:name w:val="Subtle Emphasis"/>
    <w:basedOn w:val="DefaultParagraphFont"/>
    <w:uiPriority w:val="19"/>
    <w:qFormat/>
    <w:rsid w:val="007C165F"/>
    <w:rPr>
      <w:i/>
      <w:iCs/>
      <w:color w:val="808080" w:themeColor="text1" w:themeTint="7F"/>
    </w:rPr>
  </w:style>
  <w:style w:type="character" w:styleId="IntenseEmphasis">
    <w:name w:val="Intense Emphasis"/>
    <w:basedOn w:val="DefaultParagraphFont"/>
    <w:uiPriority w:val="21"/>
    <w:qFormat/>
    <w:rsid w:val="007C165F"/>
    <w:rPr>
      <w:b/>
      <w:bCs/>
      <w:i/>
      <w:iCs/>
      <w:color w:val="4F81BD" w:themeColor="accent1"/>
    </w:rPr>
  </w:style>
  <w:style w:type="character" w:styleId="SubtleReference">
    <w:name w:val="Subtle Reference"/>
    <w:basedOn w:val="DefaultParagraphFont"/>
    <w:uiPriority w:val="31"/>
    <w:qFormat/>
    <w:rsid w:val="007C165F"/>
    <w:rPr>
      <w:smallCaps/>
      <w:color w:val="C0504D" w:themeColor="accent2"/>
      <w:u w:val="single"/>
    </w:rPr>
  </w:style>
  <w:style w:type="character" w:styleId="IntenseReference">
    <w:name w:val="Intense Reference"/>
    <w:basedOn w:val="DefaultParagraphFont"/>
    <w:uiPriority w:val="32"/>
    <w:qFormat/>
    <w:rsid w:val="007C165F"/>
    <w:rPr>
      <w:b/>
      <w:bCs/>
      <w:smallCaps/>
      <w:color w:val="C0504D" w:themeColor="accent2"/>
      <w:spacing w:val="5"/>
      <w:u w:val="single"/>
    </w:rPr>
  </w:style>
  <w:style w:type="character" w:styleId="BookTitle">
    <w:name w:val="Book Title"/>
    <w:basedOn w:val="DefaultParagraphFont"/>
    <w:uiPriority w:val="33"/>
    <w:qFormat/>
    <w:rsid w:val="007C165F"/>
    <w:rPr>
      <w:b/>
      <w:bCs/>
      <w:smallCaps/>
      <w:spacing w:val="5"/>
    </w:rPr>
  </w:style>
  <w:style w:type="paragraph" w:styleId="TOCHeading">
    <w:name w:val="TOC Heading"/>
    <w:basedOn w:val="Heading1"/>
    <w:next w:val="Normal"/>
    <w:uiPriority w:val="39"/>
    <w:semiHidden/>
    <w:unhideWhenUsed/>
    <w:qFormat/>
    <w:rsid w:val="007C165F"/>
    <w:pPr>
      <w:outlineLvl w:val="9"/>
    </w:pPr>
  </w:style>
  <w:style w:type="character" w:customStyle="1" w:styleId="FooterChar">
    <w:name w:val="Footer Char"/>
    <w:basedOn w:val="DefaultParagraphFont"/>
    <w:link w:val="Footer"/>
    <w:uiPriority w:val="99"/>
    <w:rsid w:val="001B6B06"/>
  </w:style>
  <w:style w:type="character" w:styleId="CommentReference">
    <w:name w:val="annotation reference"/>
    <w:basedOn w:val="DefaultParagraphFont"/>
    <w:semiHidden/>
    <w:unhideWhenUsed/>
    <w:rsid w:val="00D63F04"/>
    <w:rPr>
      <w:sz w:val="16"/>
      <w:szCs w:val="16"/>
    </w:rPr>
  </w:style>
  <w:style w:type="paragraph" w:styleId="CommentText">
    <w:name w:val="annotation text"/>
    <w:basedOn w:val="Normal"/>
    <w:link w:val="CommentTextChar"/>
    <w:semiHidden/>
    <w:unhideWhenUsed/>
    <w:rsid w:val="00D63F04"/>
    <w:pPr>
      <w:spacing w:line="240" w:lineRule="auto"/>
    </w:pPr>
    <w:rPr>
      <w:sz w:val="20"/>
      <w:szCs w:val="20"/>
    </w:rPr>
  </w:style>
  <w:style w:type="character" w:customStyle="1" w:styleId="CommentTextChar">
    <w:name w:val="Comment Text Char"/>
    <w:basedOn w:val="DefaultParagraphFont"/>
    <w:link w:val="CommentText"/>
    <w:semiHidden/>
    <w:rsid w:val="00D63F04"/>
    <w:rPr>
      <w:sz w:val="20"/>
      <w:szCs w:val="20"/>
    </w:rPr>
  </w:style>
  <w:style w:type="paragraph" w:styleId="CommentSubject">
    <w:name w:val="annotation subject"/>
    <w:basedOn w:val="CommentText"/>
    <w:next w:val="CommentText"/>
    <w:link w:val="CommentSubjectChar"/>
    <w:semiHidden/>
    <w:unhideWhenUsed/>
    <w:rsid w:val="00D63F04"/>
    <w:rPr>
      <w:b/>
      <w:bCs/>
    </w:rPr>
  </w:style>
  <w:style w:type="character" w:customStyle="1" w:styleId="CommentSubjectChar">
    <w:name w:val="Comment Subject Char"/>
    <w:basedOn w:val="CommentTextChar"/>
    <w:link w:val="CommentSubject"/>
    <w:semiHidden/>
    <w:rsid w:val="00D63F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1572">
      <w:bodyDiv w:val="1"/>
      <w:marLeft w:val="60"/>
      <w:marRight w:val="60"/>
      <w:marTop w:val="60"/>
      <w:marBottom w:val="15"/>
      <w:divBdr>
        <w:top w:val="none" w:sz="0" w:space="0" w:color="auto"/>
        <w:left w:val="none" w:sz="0" w:space="0" w:color="auto"/>
        <w:bottom w:val="none" w:sz="0" w:space="0" w:color="auto"/>
        <w:right w:val="none" w:sz="0" w:space="0" w:color="auto"/>
      </w:divBdr>
      <w:divsChild>
        <w:div w:id="130952323">
          <w:marLeft w:val="0"/>
          <w:marRight w:val="0"/>
          <w:marTop w:val="0"/>
          <w:marBottom w:val="0"/>
          <w:divBdr>
            <w:top w:val="none" w:sz="0" w:space="0" w:color="auto"/>
            <w:left w:val="none" w:sz="0" w:space="0" w:color="auto"/>
            <w:bottom w:val="none" w:sz="0" w:space="0" w:color="auto"/>
            <w:right w:val="none" w:sz="0" w:space="0" w:color="auto"/>
          </w:divBdr>
        </w:div>
        <w:div w:id="135029660">
          <w:marLeft w:val="0"/>
          <w:marRight w:val="0"/>
          <w:marTop w:val="0"/>
          <w:marBottom w:val="0"/>
          <w:divBdr>
            <w:top w:val="none" w:sz="0" w:space="0" w:color="auto"/>
            <w:left w:val="none" w:sz="0" w:space="0" w:color="auto"/>
            <w:bottom w:val="none" w:sz="0" w:space="0" w:color="auto"/>
            <w:right w:val="none" w:sz="0" w:space="0" w:color="auto"/>
          </w:divBdr>
        </w:div>
        <w:div w:id="140199586">
          <w:marLeft w:val="0"/>
          <w:marRight w:val="0"/>
          <w:marTop w:val="0"/>
          <w:marBottom w:val="0"/>
          <w:divBdr>
            <w:top w:val="none" w:sz="0" w:space="0" w:color="auto"/>
            <w:left w:val="none" w:sz="0" w:space="0" w:color="auto"/>
            <w:bottom w:val="none" w:sz="0" w:space="0" w:color="auto"/>
            <w:right w:val="none" w:sz="0" w:space="0" w:color="auto"/>
          </w:divBdr>
        </w:div>
        <w:div w:id="165025019">
          <w:marLeft w:val="0"/>
          <w:marRight w:val="0"/>
          <w:marTop w:val="0"/>
          <w:marBottom w:val="0"/>
          <w:divBdr>
            <w:top w:val="none" w:sz="0" w:space="0" w:color="auto"/>
            <w:left w:val="none" w:sz="0" w:space="0" w:color="auto"/>
            <w:bottom w:val="none" w:sz="0" w:space="0" w:color="auto"/>
            <w:right w:val="none" w:sz="0" w:space="0" w:color="auto"/>
          </w:divBdr>
        </w:div>
        <w:div w:id="233275361">
          <w:marLeft w:val="0"/>
          <w:marRight w:val="0"/>
          <w:marTop w:val="0"/>
          <w:marBottom w:val="0"/>
          <w:divBdr>
            <w:top w:val="none" w:sz="0" w:space="0" w:color="auto"/>
            <w:left w:val="none" w:sz="0" w:space="0" w:color="auto"/>
            <w:bottom w:val="none" w:sz="0" w:space="0" w:color="auto"/>
            <w:right w:val="none" w:sz="0" w:space="0" w:color="auto"/>
          </w:divBdr>
        </w:div>
        <w:div w:id="236519906">
          <w:marLeft w:val="0"/>
          <w:marRight w:val="0"/>
          <w:marTop w:val="0"/>
          <w:marBottom w:val="0"/>
          <w:divBdr>
            <w:top w:val="none" w:sz="0" w:space="0" w:color="auto"/>
            <w:left w:val="none" w:sz="0" w:space="0" w:color="auto"/>
            <w:bottom w:val="none" w:sz="0" w:space="0" w:color="auto"/>
            <w:right w:val="none" w:sz="0" w:space="0" w:color="auto"/>
          </w:divBdr>
        </w:div>
        <w:div w:id="274560804">
          <w:marLeft w:val="0"/>
          <w:marRight w:val="0"/>
          <w:marTop w:val="0"/>
          <w:marBottom w:val="0"/>
          <w:divBdr>
            <w:top w:val="none" w:sz="0" w:space="0" w:color="auto"/>
            <w:left w:val="none" w:sz="0" w:space="0" w:color="auto"/>
            <w:bottom w:val="none" w:sz="0" w:space="0" w:color="auto"/>
            <w:right w:val="none" w:sz="0" w:space="0" w:color="auto"/>
          </w:divBdr>
        </w:div>
        <w:div w:id="331493830">
          <w:marLeft w:val="0"/>
          <w:marRight w:val="0"/>
          <w:marTop w:val="0"/>
          <w:marBottom w:val="0"/>
          <w:divBdr>
            <w:top w:val="none" w:sz="0" w:space="0" w:color="auto"/>
            <w:left w:val="none" w:sz="0" w:space="0" w:color="auto"/>
            <w:bottom w:val="none" w:sz="0" w:space="0" w:color="auto"/>
            <w:right w:val="none" w:sz="0" w:space="0" w:color="auto"/>
          </w:divBdr>
        </w:div>
        <w:div w:id="444538856">
          <w:marLeft w:val="0"/>
          <w:marRight w:val="0"/>
          <w:marTop w:val="0"/>
          <w:marBottom w:val="0"/>
          <w:divBdr>
            <w:top w:val="none" w:sz="0" w:space="0" w:color="auto"/>
            <w:left w:val="none" w:sz="0" w:space="0" w:color="auto"/>
            <w:bottom w:val="none" w:sz="0" w:space="0" w:color="auto"/>
            <w:right w:val="none" w:sz="0" w:space="0" w:color="auto"/>
          </w:divBdr>
        </w:div>
        <w:div w:id="513375455">
          <w:marLeft w:val="0"/>
          <w:marRight w:val="0"/>
          <w:marTop w:val="0"/>
          <w:marBottom w:val="0"/>
          <w:divBdr>
            <w:top w:val="none" w:sz="0" w:space="0" w:color="auto"/>
            <w:left w:val="none" w:sz="0" w:space="0" w:color="auto"/>
            <w:bottom w:val="none" w:sz="0" w:space="0" w:color="auto"/>
            <w:right w:val="none" w:sz="0" w:space="0" w:color="auto"/>
          </w:divBdr>
        </w:div>
        <w:div w:id="514464967">
          <w:marLeft w:val="0"/>
          <w:marRight w:val="0"/>
          <w:marTop w:val="0"/>
          <w:marBottom w:val="0"/>
          <w:divBdr>
            <w:top w:val="none" w:sz="0" w:space="0" w:color="auto"/>
            <w:left w:val="none" w:sz="0" w:space="0" w:color="auto"/>
            <w:bottom w:val="none" w:sz="0" w:space="0" w:color="auto"/>
            <w:right w:val="none" w:sz="0" w:space="0" w:color="auto"/>
          </w:divBdr>
        </w:div>
        <w:div w:id="522091692">
          <w:marLeft w:val="0"/>
          <w:marRight w:val="0"/>
          <w:marTop w:val="0"/>
          <w:marBottom w:val="0"/>
          <w:divBdr>
            <w:top w:val="none" w:sz="0" w:space="0" w:color="auto"/>
            <w:left w:val="none" w:sz="0" w:space="0" w:color="auto"/>
            <w:bottom w:val="none" w:sz="0" w:space="0" w:color="auto"/>
            <w:right w:val="none" w:sz="0" w:space="0" w:color="auto"/>
          </w:divBdr>
        </w:div>
        <w:div w:id="549847490">
          <w:marLeft w:val="0"/>
          <w:marRight w:val="0"/>
          <w:marTop w:val="0"/>
          <w:marBottom w:val="0"/>
          <w:divBdr>
            <w:top w:val="none" w:sz="0" w:space="0" w:color="auto"/>
            <w:left w:val="none" w:sz="0" w:space="0" w:color="auto"/>
            <w:bottom w:val="none" w:sz="0" w:space="0" w:color="auto"/>
            <w:right w:val="none" w:sz="0" w:space="0" w:color="auto"/>
          </w:divBdr>
        </w:div>
        <w:div w:id="571158826">
          <w:marLeft w:val="0"/>
          <w:marRight w:val="0"/>
          <w:marTop w:val="0"/>
          <w:marBottom w:val="0"/>
          <w:divBdr>
            <w:top w:val="none" w:sz="0" w:space="0" w:color="auto"/>
            <w:left w:val="none" w:sz="0" w:space="0" w:color="auto"/>
            <w:bottom w:val="none" w:sz="0" w:space="0" w:color="auto"/>
            <w:right w:val="none" w:sz="0" w:space="0" w:color="auto"/>
          </w:divBdr>
        </w:div>
        <w:div w:id="734858534">
          <w:marLeft w:val="0"/>
          <w:marRight w:val="0"/>
          <w:marTop w:val="0"/>
          <w:marBottom w:val="0"/>
          <w:divBdr>
            <w:top w:val="none" w:sz="0" w:space="0" w:color="auto"/>
            <w:left w:val="none" w:sz="0" w:space="0" w:color="auto"/>
            <w:bottom w:val="none" w:sz="0" w:space="0" w:color="auto"/>
            <w:right w:val="none" w:sz="0" w:space="0" w:color="auto"/>
          </w:divBdr>
        </w:div>
        <w:div w:id="852917297">
          <w:marLeft w:val="0"/>
          <w:marRight w:val="0"/>
          <w:marTop w:val="0"/>
          <w:marBottom w:val="0"/>
          <w:divBdr>
            <w:top w:val="none" w:sz="0" w:space="0" w:color="auto"/>
            <w:left w:val="none" w:sz="0" w:space="0" w:color="auto"/>
            <w:bottom w:val="none" w:sz="0" w:space="0" w:color="auto"/>
            <w:right w:val="none" w:sz="0" w:space="0" w:color="auto"/>
          </w:divBdr>
        </w:div>
        <w:div w:id="885220769">
          <w:marLeft w:val="0"/>
          <w:marRight w:val="0"/>
          <w:marTop w:val="0"/>
          <w:marBottom w:val="0"/>
          <w:divBdr>
            <w:top w:val="none" w:sz="0" w:space="0" w:color="auto"/>
            <w:left w:val="none" w:sz="0" w:space="0" w:color="auto"/>
            <w:bottom w:val="none" w:sz="0" w:space="0" w:color="auto"/>
            <w:right w:val="none" w:sz="0" w:space="0" w:color="auto"/>
          </w:divBdr>
        </w:div>
        <w:div w:id="921719138">
          <w:marLeft w:val="0"/>
          <w:marRight w:val="0"/>
          <w:marTop w:val="0"/>
          <w:marBottom w:val="0"/>
          <w:divBdr>
            <w:top w:val="none" w:sz="0" w:space="0" w:color="auto"/>
            <w:left w:val="none" w:sz="0" w:space="0" w:color="auto"/>
            <w:bottom w:val="none" w:sz="0" w:space="0" w:color="auto"/>
            <w:right w:val="none" w:sz="0" w:space="0" w:color="auto"/>
          </w:divBdr>
        </w:div>
        <w:div w:id="1124808185">
          <w:marLeft w:val="0"/>
          <w:marRight w:val="0"/>
          <w:marTop w:val="0"/>
          <w:marBottom w:val="0"/>
          <w:divBdr>
            <w:top w:val="none" w:sz="0" w:space="0" w:color="auto"/>
            <w:left w:val="none" w:sz="0" w:space="0" w:color="auto"/>
            <w:bottom w:val="none" w:sz="0" w:space="0" w:color="auto"/>
            <w:right w:val="none" w:sz="0" w:space="0" w:color="auto"/>
          </w:divBdr>
        </w:div>
        <w:div w:id="1298149345">
          <w:marLeft w:val="0"/>
          <w:marRight w:val="0"/>
          <w:marTop w:val="0"/>
          <w:marBottom w:val="0"/>
          <w:divBdr>
            <w:top w:val="none" w:sz="0" w:space="0" w:color="auto"/>
            <w:left w:val="none" w:sz="0" w:space="0" w:color="auto"/>
            <w:bottom w:val="none" w:sz="0" w:space="0" w:color="auto"/>
            <w:right w:val="none" w:sz="0" w:space="0" w:color="auto"/>
          </w:divBdr>
        </w:div>
        <w:div w:id="1319269194">
          <w:marLeft w:val="0"/>
          <w:marRight w:val="0"/>
          <w:marTop w:val="0"/>
          <w:marBottom w:val="0"/>
          <w:divBdr>
            <w:top w:val="none" w:sz="0" w:space="0" w:color="auto"/>
            <w:left w:val="none" w:sz="0" w:space="0" w:color="auto"/>
            <w:bottom w:val="none" w:sz="0" w:space="0" w:color="auto"/>
            <w:right w:val="none" w:sz="0" w:space="0" w:color="auto"/>
          </w:divBdr>
        </w:div>
        <w:div w:id="1368215720">
          <w:marLeft w:val="0"/>
          <w:marRight w:val="0"/>
          <w:marTop w:val="0"/>
          <w:marBottom w:val="0"/>
          <w:divBdr>
            <w:top w:val="none" w:sz="0" w:space="0" w:color="auto"/>
            <w:left w:val="none" w:sz="0" w:space="0" w:color="auto"/>
            <w:bottom w:val="none" w:sz="0" w:space="0" w:color="auto"/>
            <w:right w:val="none" w:sz="0" w:space="0" w:color="auto"/>
          </w:divBdr>
        </w:div>
        <w:div w:id="1411851049">
          <w:marLeft w:val="0"/>
          <w:marRight w:val="0"/>
          <w:marTop w:val="0"/>
          <w:marBottom w:val="0"/>
          <w:divBdr>
            <w:top w:val="none" w:sz="0" w:space="0" w:color="auto"/>
            <w:left w:val="none" w:sz="0" w:space="0" w:color="auto"/>
            <w:bottom w:val="none" w:sz="0" w:space="0" w:color="auto"/>
            <w:right w:val="none" w:sz="0" w:space="0" w:color="auto"/>
          </w:divBdr>
        </w:div>
        <w:div w:id="1519932120">
          <w:marLeft w:val="0"/>
          <w:marRight w:val="0"/>
          <w:marTop w:val="0"/>
          <w:marBottom w:val="0"/>
          <w:divBdr>
            <w:top w:val="none" w:sz="0" w:space="0" w:color="auto"/>
            <w:left w:val="none" w:sz="0" w:space="0" w:color="auto"/>
            <w:bottom w:val="none" w:sz="0" w:space="0" w:color="auto"/>
            <w:right w:val="none" w:sz="0" w:space="0" w:color="auto"/>
          </w:divBdr>
        </w:div>
        <w:div w:id="1557472255">
          <w:marLeft w:val="0"/>
          <w:marRight w:val="0"/>
          <w:marTop w:val="0"/>
          <w:marBottom w:val="0"/>
          <w:divBdr>
            <w:top w:val="none" w:sz="0" w:space="0" w:color="auto"/>
            <w:left w:val="none" w:sz="0" w:space="0" w:color="auto"/>
            <w:bottom w:val="none" w:sz="0" w:space="0" w:color="auto"/>
            <w:right w:val="none" w:sz="0" w:space="0" w:color="auto"/>
          </w:divBdr>
        </w:div>
        <w:div w:id="1582105048">
          <w:marLeft w:val="0"/>
          <w:marRight w:val="0"/>
          <w:marTop w:val="0"/>
          <w:marBottom w:val="0"/>
          <w:divBdr>
            <w:top w:val="none" w:sz="0" w:space="0" w:color="auto"/>
            <w:left w:val="none" w:sz="0" w:space="0" w:color="auto"/>
            <w:bottom w:val="none" w:sz="0" w:space="0" w:color="auto"/>
            <w:right w:val="none" w:sz="0" w:space="0" w:color="auto"/>
          </w:divBdr>
        </w:div>
        <w:div w:id="1710063345">
          <w:marLeft w:val="0"/>
          <w:marRight w:val="0"/>
          <w:marTop w:val="0"/>
          <w:marBottom w:val="0"/>
          <w:divBdr>
            <w:top w:val="none" w:sz="0" w:space="0" w:color="auto"/>
            <w:left w:val="none" w:sz="0" w:space="0" w:color="auto"/>
            <w:bottom w:val="none" w:sz="0" w:space="0" w:color="auto"/>
            <w:right w:val="none" w:sz="0" w:space="0" w:color="auto"/>
          </w:divBdr>
        </w:div>
        <w:div w:id="1752772614">
          <w:marLeft w:val="0"/>
          <w:marRight w:val="0"/>
          <w:marTop w:val="0"/>
          <w:marBottom w:val="0"/>
          <w:divBdr>
            <w:top w:val="none" w:sz="0" w:space="0" w:color="auto"/>
            <w:left w:val="none" w:sz="0" w:space="0" w:color="auto"/>
            <w:bottom w:val="none" w:sz="0" w:space="0" w:color="auto"/>
            <w:right w:val="none" w:sz="0" w:space="0" w:color="auto"/>
          </w:divBdr>
        </w:div>
        <w:div w:id="1813214408">
          <w:marLeft w:val="0"/>
          <w:marRight w:val="0"/>
          <w:marTop w:val="0"/>
          <w:marBottom w:val="0"/>
          <w:divBdr>
            <w:top w:val="none" w:sz="0" w:space="0" w:color="auto"/>
            <w:left w:val="none" w:sz="0" w:space="0" w:color="auto"/>
            <w:bottom w:val="none" w:sz="0" w:space="0" w:color="auto"/>
            <w:right w:val="none" w:sz="0" w:space="0" w:color="auto"/>
          </w:divBdr>
        </w:div>
        <w:div w:id="1819223066">
          <w:marLeft w:val="0"/>
          <w:marRight w:val="0"/>
          <w:marTop w:val="0"/>
          <w:marBottom w:val="0"/>
          <w:divBdr>
            <w:top w:val="none" w:sz="0" w:space="0" w:color="auto"/>
            <w:left w:val="none" w:sz="0" w:space="0" w:color="auto"/>
            <w:bottom w:val="none" w:sz="0" w:space="0" w:color="auto"/>
            <w:right w:val="none" w:sz="0" w:space="0" w:color="auto"/>
          </w:divBdr>
        </w:div>
        <w:div w:id="1850943744">
          <w:marLeft w:val="0"/>
          <w:marRight w:val="0"/>
          <w:marTop w:val="0"/>
          <w:marBottom w:val="0"/>
          <w:divBdr>
            <w:top w:val="none" w:sz="0" w:space="0" w:color="auto"/>
            <w:left w:val="none" w:sz="0" w:space="0" w:color="auto"/>
            <w:bottom w:val="none" w:sz="0" w:space="0" w:color="auto"/>
            <w:right w:val="none" w:sz="0" w:space="0" w:color="auto"/>
          </w:divBdr>
        </w:div>
        <w:div w:id="1886482137">
          <w:marLeft w:val="0"/>
          <w:marRight w:val="0"/>
          <w:marTop w:val="0"/>
          <w:marBottom w:val="0"/>
          <w:divBdr>
            <w:top w:val="none" w:sz="0" w:space="0" w:color="auto"/>
            <w:left w:val="none" w:sz="0" w:space="0" w:color="auto"/>
            <w:bottom w:val="none" w:sz="0" w:space="0" w:color="auto"/>
            <w:right w:val="none" w:sz="0" w:space="0" w:color="auto"/>
          </w:divBdr>
        </w:div>
        <w:div w:id="1978029152">
          <w:marLeft w:val="0"/>
          <w:marRight w:val="0"/>
          <w:marTop w:val="0"/>
          <w:marBottom w:val="0"/>
          <w:divBdr>
            <w:top w:val="none" w:sz="0" w:space="0" w:color="auto"/>
            <w:left w:val="none" w:sz="0" w:space="0" w:color="auto"/>
            <w:bottom w:val="none" w:sz="0" w:space="0" w:color="auto"/>
            <w:right w:val="none" w:sz="0" w:space="0" w:color="auto"/>
          </w:divBdr>
        </w:div>
        <w:div w:id="2045397593">
          <w:marLeft w:val="0"/>
          <w:marRight w:val="0"/>
          <w:marTop w:val="0"/>
          <w:marBottom w:val="0"/>
          <w:divBdr>
            <w:top w:val="none" w:sz="0" w:space="0" w:color="auto"/>
            <w:left w:val="none" w:sz="0" w:space="0" w:color="auto"/>
            <w:bottom w:val="none" w:sz="0" w:space="0" w:color="auto"/>
            <w:right w:val="none" w:sz="0" w:space="0" w:color="auto"/>
          </w:divBdr>
        </w:div>
      </w:divsChild>
    </w:div>
    <w:div w:id="148258125">
      <w:bodyDiv w:val="1"/>
      <w:marLeft w:val="0"/>
      <w:marRight w:val="0"/>
      <w:marTop w:val="0"/>
      <w:marBottom w:val="0"/>
      <w:divBdr>
        <w:top w:val="none" w:sz="0" w:space="0" w:color="auto"/>
        <w:left w:val="none" w:sz="0" w:space="0" w:color="auto"/>
        <w:bottom w:val="none" w:sz="0" w:space="0" w:color="auto"/>
        <w:right w:val="none" w:sz="0" w:space="0" w:color="auto"/>
      </w:divBdr>
    </w:div>
    <w:div w:id="507446586">
      <w:bodyDiv w:val="1"/>
      <w:marLeft w:val="0"/>
      <w:marRight w:val="0"/>
      <w:marTop w:val="0"/>
      <w:marBottom w:val="0"/>
      <w:divBdr>
        <w:top w:val="none" w:sz="0" w:space="0" w:color="auto"/>
        <w:left w:val="none" w:sz="0" w:space="0" w:color="auto"/>
        <w:bottom w:val="none" w:sz="0" w:space="0" w:color="auto"/>
        <w:right w:val="none" w:sz="0" w:space="0" w:color="auto"/>
      </w:divBdr>
    </w:div>
    <w:div w:id="556091595">
      <w:bodyDiv w:val="1"/>
      <w:marLeft w:val="0"/>
      <w:marRight w:val="0"/>
      <w:marTop w:val="0"/>
      <w:marBottom w:val="0"/>
      <w:divBdr>
        <w:top w:val="none" w:sz="0" w:space="0" w:color="auto"/>
        <w:left w:val="none" w:sz="0" w:space="0" w:color="auto"/>
        <w:bottom w:val="none" w:sz="0" w:space="0" w:color="auto"/>
        <w:right w:val="none" w:sz="0" w:space="0" w:color="auto"/>
      </w:divBdr>
    </w:div>
    <w:div w:id="569192947">
      <w:bodyDiv w:val="1"/>
      <w:marLeft w:val="0"/>
      <w:marRight w:val="0"/>
      <w:marTop w:val="0"/>
      <w:marBottom w:val="0"/>
      <w:divBdr>
        <w:top w:val="none" w:sz="0" w:space="0" w:color="auto"/>
        <w:left w:val="none" w:sz="0" w:space="0" w:color="auto"/>
        <w:bottom w:val="none" w:sz="0" w:space="0" w:color="auto"/>
        <w:right w:val="none" w:sz="0" w:space="0" w:color="auto"/>
      </w:divBdr>
    </w:div>
    <w:div w:id="617833075">
      <w:bodyDiv w:val="1"/>
      <w:marLeft w:val="0"/>
      <w:marRight w:val="0"/>
      <w:marTop w:val="0"/>
      <w:marBottom w:val="0"/>
      <w:divBdr>
        <w:top w:val="none" w:sz="0" w:space="0" w:color="auto"/>
        <w:left w:val="none" w:sz="0" w:space="0" w:color="auto"/>
        <w:bottom w:val="none" w:sz="0" w:space="0" w:color="auto"/>
        <w:right w:val="none" w:sz="0" w:space="0" w:color="auto"/>
      </w:divBdr>
    </w:div>
    <w:div w:id="799149858">
      <w:bodyDiv w:val="1"/>
      <w:marLeft w:val="0"/>
      <w:marRight w:val="0"/>
      <w:marTop w:val="0"/>
      <w:marBottom w:val="0"/>
      <w:divBdr>
        <w:top w:val="none" w:sz="0" w:space="0" w:color="auto"/>
        <w:left w:val="none" w:sz="0" w:space="0" w:color="auto"/>
        <w:bottom w:val="none" w:sz="0" w:space="0" w:color="auto"/>
        <w:right w:val="none" w:sz="0" w:space="0" w:color="auto"/>
      </w:divBdr>
    </w:div>
    <w:div w:id="846596447">
      <w:bodyDiv w:val="1"/>
      <w:marLeft w:val="0"/>
      <w:marRight w:val="0"/>
      <w:marTop w:val="0"/>
      <w:marBottom w:val="0"/>
      <w:divBdr>
        <w:top w:val="none" w:sz="0" w:space="0" w:color="auto"/>
        <w:left w:val="none" w:sz="0" w:space="0" w:color="auto"/>
        <w:bottom w:val="none" w:sz="0" w:space="0" w:color="auto"/>
        <w:right w:val="none" w:sz="0" w:space="0" w:color="auto"/>
      </w:divBdr>
    </w:div>
    <w:div w:id="1491678343">
      <w:bodyDiv w:val="1"/>
      <w:marLeft w:val="60"/>
      <w:marRight w:val="60"/>
      <w:marTop w:val="60"/>
      <w:marBottom w:val="15"/>
      <w:divBdr>
        <w:top w:val="none" w:sz="0" w:space="0" w:color="auto"/>
        <w:left w:val="none" w:sz="0" w:space="0" w:color="auto"/>
        <w:bottom w:val="none" w:sz="0" w:space="0" w:color="auto"/>
        <w:right w:val="none" w:sz="0" w:space="0" w:color="auto"/>
      </w:divBdr>
      <w:divsChild>
        <w:div w:id="6180454">
          <w:marLeft w:val="0"/>
          <w:marRight w:val="0"/>
          <w:marTop w:val="0"/>
          <w:marBottom w:val="0"/>
          <w:divBdr>
            <w:top w:val="none" w:sz="0" w:space="0" w:color="auto"/>
            <w:left w:val="none" w:sz="0" w:space="0" w:color="auto"/>
            <w:bottom w:val="none" w:sz="0" w:space="0" w:color="auto"/>
            <w:right w:val="none" w:sz="0" w:space="0" w:color="auto"/>
          </w:divBdr>
        </w:div>
        <w:div w:id="48652241">
          <w:marLeft w:val="0"/>
          <w:marRight w:val="0"/>
          <w:marTop w:val="0"/>
          <w:marBottom w:val="0"/>
          <w:divBdr>
            <w:top w:val="none" w:sz="0" w:space="0" w:color="auto"/>
            <w:left w:val="none" w:sz="0" w:space="0" w:color="auto"/>
            <w:bottom w:val="none" w:sz="0" w:space="0" w:color="auto"/>
            <w:right w:val="none" w:sz="0" w:space="0" w:color="auto"/>
          </w:divBdr>
        </w:div>
        <w:div w:id="75983683">
          <w:marLeft w:val="0"/>
          <w:marRight w:val="0"/>
          <w:marTop w:val="0"/>
          <w:marBottom w:val="0"/>
          <w:divBdr>
            <w:top w:val="none" w:sz="0" w:space="0" w:color="auto"/>
            <w:left w:val="none" w:sz="0" w:space="0" w:color="auto"/>
            <w:bottom w:val="none" w:sz="0" w:space="0" w:color="auto"/>
            <w:right w:val="none" w:sz="0" w:space="0" w:color="auto"/>
          </w:divBdr>
        </w:div>
        <w:div w:id="264308144">
          <w:marLeft w:val="0"/>
          <w:marRight w:val="0"/>
          <w:marTop w:val="0"/>
          <w:marBottom w:val="0"/>
          <w:divBdr>
            <w:top w:val="none" w:sz="0" w:space="0" w:color="auto"/>
            <w:left w:val="none" w:sz="0" w:space="0" w:color="auto"/>
            <w:bottom w:val="none" w:sz="0" w:space="0" w:color="auto"/>
            <w:right w:val="none" w:sz="0" w:space="0" w:color="auto"/>
          </w:divBdr>
        </w:div>
        <w:div w:id="320622269">
          <w:marLeft w:val="0"/>
          <w:marRight w:val="0"/>
          <w:marTop w:val="0"/>
          <w:marBottom w:val="0"/>
          <w:divBdr>
            <w:top w:val="none" w:sz="0" w:space="0" w:color="auto"/>
            <w:left w:val="none" w:sz="0" w:space="0" w:color="auto"/>
            <w:bottom w:val="none" w:sz="0" w:space="0" w:color="auto"/>
            <w:right w:val="none" w:sz="0" w:space="0" w:color="auto"/>
          </w:divBdr>
        </w:div>
        <w:div w:id="379676130">
          <w:marLeft w:val="0"/>
          <w:marRight w:val="0"/>
          <w:marTop w:val="0"/>
          <w:marBottom w:val="0"/>
          <w:divBdr>
            <w:top w:val="none" w:sz="0" w:space="0" w:color="auto"/>
            <w:left w:val="none" w:sz="0" w:space="0" w:color="auto"/>
            <w:bottom w:val="none" w:sz="0" w:space="0" w:color="auto"/>
            <w:right w:val="none" w:sz="0" w:space="0" w:color="auto"/>
          </w:divBdr>
        </w:div>
        <w:div w:id="433013661">
          <w:marLeft w:val="0"/>
          <w:marRight w:val="0"/>
          <w:marTop w:val="0"/>
          <w:marBottom w:val="0"/>
          <w:divBdr>
            <w:top w:val="none" w:sz="0" w:space="0" w:color="auto"/>
            <w:left w:val="none" w:sz="0" w:space="0" w:color="auto"/>
            <w:bottom w:val="none" w:sz="0" w:space="0" w:color="auto"/>
            <w:right w:val="none" w:sz="0" w:space="0" w:color="auto"/>
          </w:divBdr>
        </w:div>
        <w:div w:id="491798577">
          <w:marLeft w:val="0"/>
          <w:marRight w:val="0"/>
          <w:marTop w:val="0"/>
          <w:marBottom w:val="0"/>
          <w:divBdr>
            <w:top w:val="none" w:sz="0" w:space="0" w:color="auto"/>
            <w:left w:val="none" w:sz="0" w:space="0" w:color="auto"/>
            <w:bottom w:val="none" w:sz="0" w:space="0" w:color="auto"/>
            <w:right w:val="none" w:sz="0" w:space="0" w:color="auto"/>
          </w:divBdr>
        </w:div>
        <w:div w:id="533082959">
          <w:marLeft w:val="0"/>
          <w:marRight w:val="0"/>
          <w:marTop w:val="0"/>
          <w:marBottom w:val="0"/>
          <w:divBdr>
            <w:top w:val="none" w:sz="0" w:space="0" w:color="auto"/>
            <w:left w:val="none" w:sz="0" w:space="0" w:color="auto"/>
            <w:bottom w:val="none" w:sz="0" w:space="0" w:color="auto"/>
            <w:right w:val="none" w:sz="0" w:space="0" w:color="auto"/>
          </w:divBdr>
        </w:div>
        <w:div w:id="549615924">
          <w:marLeft w:val="0"/>
          <w:marRight w:val="0"/>
          <w:marTop w:val="0"/>
          <w:marBottom w:val="0"/>
          <w:divBdr>
            <w:top w:val="none" w:sz="0" w:space="0" w:color="auto"/>
            <w:left w:val="none" w:sz="0" w:space="0" w:color="auto"/>
            <w:bottom w:val="none" w:sz="0" w:space="0" w:color="auto"/>
            <w:right w:val="none" w:sz="0" w:space="0" w:color="auto"/>
          </w:divBdr>
        </w:div>
        <w:div w:id="693576273">
          <w:marLeft w:val="0"/>
          <w:marRight w:val="0"/>
          <w:marTop w:val="0"/>
          <w:marBottom w:val="0"/>
          <w:divBdr>
            <w:top w:val="none" w:sz="0" w:space="0" w:color="auto"/>
            <w:left w:val="none" w:sz="0" w:space="0" w:color="auto"/>
            <w:bottom w:val="none" w:sz="0" w:space="0" w:color="auto"/>
            <w:right w:val="none" w:sz="0" w:space="0" w:color="auto"/>
          </w:divBdr>
        </w:div>
        <w:div w:id="733507878">
          <w:marLeft w:val="0"/>
          <w:marRight w:val="0"/>
          <w:marTop w:val="0"/>
          <w:marBottom w:val="0"/>
          <w:divBdr>
            <w:top w:val="none" w:sz="0" w:space="0" w:color="auto"/>
            <w:left w:val="none" w:sz="0" w:space="0" w:color="auto"/>
            <w:bottom w:val="none" w:sz="0" w:space="0" w:color="auto"/>
            <w:right w:val="none" w:sz="0" w:space="0" w:color="auto"/>
          </w:divBdr>
        </w:div>
        <w:div w:id="738329561">
          <w:marLeft w:val="0"/>
          <w:marRight w:val="0"/>
          <w:marTop w:val="0"/>
          <w:marBottom w:val="0"/>
          <w:divBdr>
            <w:top w:val="none" w:sz="0" w:space="0" w:color="auto"/>
            <w:left w:val="none" w:sz="0" w:space="0" w:color="auto"/>
            <w:bottom w:val="none" w:sz="0" w:space="0" w:color="auto"/>
            <w:right w:val="none" w:sz="0" w:space="0" w:color="auto"/>
          </w:divBdr>
        </w:div>
        <w:div w:id="766539687">
          <w:marLeft w:val="0"/>
          <w:marRight w:val="0"/>
          <w:marTop w:val="0"/>
          <w:marBottom w:val="0"/>
          <w:divBdr>
            <w:top w:val="none" w:sz="0" w:space="0" w:color="auto"/>
            <w:left w:val="none" w:sz="0" w:space="0" w:color="auto"/>
            <w:bottom w:val="none" w:sz="0" w:space="0" w:color="auto"/>
            <w:right w:val="none" w:sz="0" w:space="0" w:color="auto"/>
          </w:divBdr>
        </w:div>
        <w:div w:id="814761948">
          <w:marLeft w:val="0"/>
          <w:marRight w:val="0"/>
          <w:marTop w:val="0"/>
          <w:marBottom w:val="0"/>
          <w:divBdr>
            <w:top w:val="none" w:sz="0" w:space="0" w:color="auto"/>
            <w:left w:val="none" w:sz="0" w:space="0" w:color="auto"/>
            <w:bottom w:val="none" w:sz="0" w:space="0" w:color="auto"/>
            <w:right w:val="none" w:sz="0" w:space="0" w:color="auto"/>
          </w:divBdr>
        </w:div>
        <w:div w:id="897323485">
          <w:marLeft w:val="0"/>
          <w:marRight w:val="0"/>
          <w:marTop w:val="0"/>
          <w:marBottom w:val="0"/>
          <w:divBdr>
            <w:top w:val="none" w:sz="0" w:space="0" w:color="auto"/>
            <w:left w:val="none" w:sz="0" w:space="0" w:color="auto"/>
            <w:bottom w:val="none" w:sz="0" w:space="0" w:color="auto"/>
            <w:right w:val="none" w:sz="0" w:space="0" w:color="auto"/>
          </w:divBdr>
        </w:div>
        <w:div w:id="956451479">
          <w:marLeft w:val="0"/>
          <w:marRight w:val="0"/>
          <w:marTop w:val="0"/>
          <w:marBottom w:val="0"/>
          <w:divBdr>
            <w:top w:val="none" w:sz="0" w:space="0" w:color="auto"/>
            <w:left w:val="none" w:sz="0" w:space="0" w:color="auto"/>
            <w:bottom w:val="none" w:sz="0" w:space="0" w:color="auto"/>
            <w:right w:val="none" w:sz="0" w:space="0" w:color="auto"/>
          </w:divBdr>
        </w:div>
        <w:div w:id="1027292865">
          <w:marLeft w:val="0"/>
          <w:marRight w:val="0"/>
          <w:marTop w:val="0"/>
          <w:marBottom w:val="0"/>
          <w:divBdr>
            <w:top w:val="none" w:sz="0" w:space="0" w:color="auto"/>
            <w:left w:val="none" w:sz="0" w:space="0" w:color="auto"/>
            <w:bottom w:val="none" w:sz="0" w:space="0" w:color="auto"/>
            <w:right w:val="none" w:sz="0" w:space="0" w:color="auto"/>
          </w:divBdr>
        </w:div>
        <w:div w:id="1049381007">
          <w:marLeft w:val="0"/>
          <w:marRight w:val="0"/>
          <w:marTop w:val="0"/>
          <w:marBottom w:val="0"/>
          <w:divBdr>
            <w:top w:val="none" w:sz="0" w:space="0" w:color="auto"/>
            <w:left w:val="none" w:sz="0" w:space="0" w:color="auto"/>
            <w:bottom w:val="none" w:sz="0" w:space="0" w:color="auto"/>
            <w:right w:val="none" w:sz="0" w:space="0" w:color="auto"/>
          </w:divBdr>
        </w:div>
        <w:div w:id="1226143700">
          <w:marLeft w:val="0"/>
          <w:marRight w:val="0"/>
          <w:marTop w:val="0"/>
          <w:marBottom w:val="0"/>
          <w:divBdr>
            <w:top w:val="none" w:sz="0" w:space="0" w:color="auto"/>
            <w:left w:val="none" w:sz="0" w:space="0" w:color="auto"/>
            <w:bottom w:val="none" w:sz="0" w:space="0" w:color="auto"/>
            <w:right w:val="none" w:sz="0" w:space="0" w:color="auto"/>
          </w:divBdr>
        </w:div>
        <w:div w:id="1273366763">
          <w:marLeft w:val="0"/>
          <w:marRight w:val="0"/>
          <w:marTop w:val="0"/>
          <w:marBottom w:val="0"/>
          <w:divBdr>
            <w:top w:val="none" w:sz="0" w:space="0" w:color="auto"/>
            <w:left w:val="none" w:sz="0" w:space="0" w:color="auto"/>
            <w:bottom w:val="none" w:sz="0" w:space="0" w:color="auto"/>
            <w:right w:val="none" w:sz="0" w:space="0" w:color="auto"/>
          </w:divBdr>
        </w:div>
        <w:div w:id="1293752070">
          <w:marLeft w:val="0"/>
          <w:marRight w:val="0"/>
          <w:marTop w:val="0"/>
          <w:marBottom w:val="0"/>
          <w:divBdr>
            <w:top w:val="none" w:sz="0" w:space="0" w:color="auto"/>
            <w:left w:val="none" w:sz="0" w:space="0" w:color="auto"/>
            <w:bottom w:val="none" w:sz="0" w:space="0" w:color="auto"/>
            <w:right w:val="none" w:sz="0" w:space="0" w:color="auto"/>
          </w:divBdr>
        </w:div>
        <w:div w:id="1295713079">
          <w:marLeft w:val="0"/>
          <w:marRight w:val="0"/>
          <w:marTop w:val="0"/>
          <w:marBottom w:val="0"/>
          <w:divBdr>
            <w:top w:val="none" w:sz="0" w:space="0" w:color="auto"/>
            <w:left w:val="none" w:sz="0" w:space="0" w:color="auto"/>
            <w:bottom w:val="none" w:sz="0" w:space="0" w:color="auto"/>
            <w:right w:val="none" w:sz="0" w:space="0" w:color="auto"/>
          </w:divBdr>
        </w:div>
        <w:div w:id="1302806349">
          <w:marLeft w:val="0"/>
          <w:marRight w:val="0"/>
          <w:marTop w:val="0"/>
          <w:marBottom w:val="0"/>
          <w:divBdr>
            <w:top w:val="none" w:sz="0" w:space="0" w:color="auto"/>
            <w:left w:val="none" w:sz="0" w:space="0" w:color="auto"/>
            <w:bottom w:val="none" w:sz="0" w:space="0" w:color="auto"/>
            <w:right w:val="none" w:sz="0" w:space="0" w:color="auto"/>
          </w:divBdr>
        </w:div>
        <w:div w:id="1509902587">
          <w:marLeft w:val="0"/>
          <w:marRight w:val="0"/>
          <w:marTop w:val="0"/>
          <w:marBottom w:val="0"/>
          <w:divBdr>
            <w:top w:val="none" w:sz="0" w:space="0" w:color="auto"/>
            <w:left w:val="none" w:sz="0" w:space="0" w:color="auto"/>
            <w:bottom w:val="none" w:sz="0" w:space="0" w:color="auto"/>
            <w:right w:val="none" w:sz="0" w:space="0" w:color="auto"/>
          </w:divBdr>
        </w:div>
        <w:div w:id="1553730171">
          <w:marLeft w:val="0"/>
          <w:marRight w:val="0"/>
          <w:marTop w:val="0"/>
          <w:marBottom w:val="0"/>
          <w:divBdr>
            <w:top w:val="none" w:sz="0" w:space="0" w:color="auto"/>
            <w:left w:val="none" w:sz="0" w:space="0" w:color="auto"/>
            <w:bottom w:val="none" w:sz="0" w:space="0" w:color="auto"/>
            <w:right w:val="none" w:sz="0" w:space="0" w:color="auto"/>
          </w:divBdr>
        </w:div>
        <w:div w:id="1627736823">
          <w:marLeft w:val="0"/>
          <w:marRight w:val="0"/>
          <w:marTop w:val="0"/>
          <w:marBottom w:val="0"/>
          <w:divBdr>
            <w:top w:val="none" w:sz="0" w:space="0" w:color="auto"/>
            <w:left w:val="none" w:sz="0" w:space="0" w:color="auto"/>
            <w:bottom w:val="none" w:sz="0" w:space="0" w:color="auto"/>
            <w:right w:val="none" w:sz="0" w:space="0" w:color="auto"/>
          </w:divBdr>
        </w:div>
        <w:div w:id="1653365614">
          <w:marLeft w:val="0"/>
          <w:marRight w:val="0"/>
          <w:marTop w:val="0"/>
          <w:marBottom w:val="0"/>
          <w:divBdr>
            <w:top w:val="none" w:sz="0" w:space="0" w:color="auto"/>
            <w:left w:val="none" w:sz="0" w:space="0" w:color="auto"/>
            <w:bottom w:val="none" w:sz="0" w:space="0" w:color="auto"/>
            <w:right w:val="none" w:sz="0" w:space="0" w:color="auto"/>
          </w:divBdr>
        </w:div>
        <w:div w:id="1741712463">
          <w:marLeft w:val="0"/>
          <w:marRight w:val="0"/>
          <w:marTop w:val="0"/>
          <w:marBottom w:val="0"/>
          <w:divBdr>
            <w:top w:val="none" w:sz="0" w:space="0" w:color="auto"/>
            <w:left w:val="none" w:sz="0" w:space="0" w:color="auto"/>
            <w:bottom w:val="none" w:sz="0" w:space="0" w:color="auto"/>
            <w:right w:val="none" w:sz="0" w:space="0" w:color="auto"/>
          </w:divBdr>
        </w:div>
        <w:div w:id="1887374909">
          <w:marLeft w:val="0"/>
          <w:marRight w:val="0"/>
          <w:marTop w:val="0"/>
          <w:marBottom w:val="0"/>
          <w:divBdr>
            <w:top w:val="none" w:sz="0" w:space="0" w:color="auto"/>
            <w:left w:val="none" w:sz="0" w:space="0" w:color="auto"/>
            <w:bottom w:val="none" w:sz="0" w:space="0" w:color="auto"/>
            <w:right w:val="none" w:sz="0" w:space="0" w:color="auto"/>
          </w:divBdr>
        </w:div>
        <w:div w:id="1951157452">
          <w:marLeft w:val="0"/>
          <w:marRight w:val="0"/>
          <w:marTop w:val="0"/>
          <w:marBottom w:val="0"/>
          <w:divBdr>
            <w:top w:val="none" w:sz="0" w:space="0" w:color="auto"/>
            <w:left w:val="none" w:sz="0" w:space="0" w:color="auto"/>
            <w:bottom w:val="none" w:sz="0" w:space="0" w:color="auto"/>
            <w:right w:val="none" w:sz="0" w:space="0" w:color="auto"/>
          </w:divBdr>
        </w:div>
        <w:div w:id="2075657967">
          <w:marLeft w:val="0"/>
          <w:marRight w:val="0"/>
          <w:marTop w:val="0"/>
          <w:marBottom w:val="0"/>
          <w:divBdr>
            <w:top w:val="none" w:sz="0" w:space="0" w:color="auto"/>
            <w:left w:val="none" w:sz="0" w:space="0" w:color="auto"/>
            <w:bottom w:val="none" w:sz="0" w:space="0" w:color="auto"/>
            <w:right w:val="none" w:sz="0" w:space="0" w:color="auto"/>
          </w:divBdr>
        </w:div>
        <w:div w:id="2090153335">
          <w:marLeft w:val="0"/>
          <w:marRight w:val="0"/>
          <w:marTop w:val="0"/>
          <w:marBottom w:val="0"/>
          <w:divBdr>
            <w:top w:val="none" w:sz="0" w:space="0" w:color="auto"/>
            <w:left w:val="none" w:sz="0" w:space="0" w:color="auto"/>
            <w:bottom w:val="none" w:sz="0" w:space="0" w:color="auto"/>
            <w:right w:val="none" w:sz="0" w:space="0" w:color="auto"/>
          </w:divBdr>
        </w:div>
        <w:div w:id="2134706714">
          <w:marLeft w:val="0"/>
          <w:marRight w:val="0"/>
          <w:marTop w:val="0"/>
          <w:marBottom w:val="0"/>
          <w:divBdr>
            <w:top w:val="none" w:sz="0" w:space="0" w:color="auto"/>
            <w:left w:val="none" w:sz="0" w:space="0" w:color="auto"/>
            <w:bottom w:val="none" w:sz="0" w:space="0" w:color="auto"/>
            <w:right w:val="none" w:sz="0" w:space="0" w:color="auto"/>
          </w:divBdr>
        </w:div>
      </w:divsChild>
    </w:div>
    <w:div w:id="1580869024">
      <w:bodyDiv w:val="1"/>
      <w:marLeft w:val="0"/>
      <w:marRight w:val="0"/>
      <w:marTop w:val="0"/>
      <w:marBottom w:val="0"/>
      <w:divBdr>
        <w:top w:val="none" w:sz="0" w:space="0" w:color="auto"/>
        <w:left w:val="none" w:sz="0" w:space="0" w:color="auto"/>
        <w:bottom w:val="none" w:sz="0" w:space="0" w:color="auto"/>
        <w:right w:val="none" w:sz="0" w:space="0" w:color="auto"/>
      </w:divBdr>
    </w:div>
    <w:div w:id="1581252783">
      <w:bodyDiv w:val="1"/>
      <w:marLeft w:val="0"/>
      <w:marRight w:val="0"/>
      <w:marTop w:val="0"/>
      <w:marBottom w:val="0"/>
      <w:divBdr>
        <w:top w:val="none" w:sz="0" w:space="0" w:color="auto"/>
        <w:left w:val="none" w:sz="0" w:space="0" w:color="auto"/>
        <w:bottom w:val="none" w:sz="0" w:space="0" w:color="auto"/>
        <w:right w:val="none" w:sz="0" w:space="0" w:color="auto"/>
      </w:divBdr>
    </w:div>
    <w:div w:id="1588879076">
      <w:bodyDiv w:val="1"/>
      <w:marLeft w:val="0"/>
      <w:marRight w:val="0"/>
      <w:marTop w:val="0"/>
      <w:marBottom w:val="0"/>
      <w:divBdr>
        <w:top w:val="none" w:sz="0" w:space="0" w:color="auto"/>
        <w:left w:val="none" w:sz="0" w:space="0" w:color="auto"/>
        <w:bottom w:val="none" w:sz="0" w:space="0" w:color="auto"/>
        <w:right w:val="none" w:sz="0" w:space="0" w:color="auto"/>
      </w:divBdr>
    </w:div>
    <w:div w:id="1724938557">
      <w:bodyDiv w:val="1"/>
      <w:marLeft w:val="0"/>
      <w:marRight w:val="0"/>
      <w:marTop w:val="0"/>
      <w:marBottom w:val="0"/>
      <w:divBdr>
        <w:top w:val="none" w:sz="0" w:space="0" w:color="auto"/>
        <w:left w:val="none" w:sz="0" w:space="0" w:color="auto"/>
        <w:bottom w:val="none" w:sz="0" w:space="0" w:color="auto"/>
        <w:right w:val="none" w:sz="0" w:space="0" w:color="auto"/>
      </w:divBdr>
    </w:div>
    <w:div w:id="1728409520">
      <w:bodyDiv w:val="1"/>
      <w:marLeft w:val="0"/>
      <w:marRight w:val="0"/>
      <w:marTop w:val="0"/>
      <w:marBottom w:val="0"/>
      <w:divBdr>
        <w:top w:val="none" w:sz="0" w:space="0" w:color="auto"/>
        <w:left w:val="none" w:sz="0" w:space="0" w:color="auto"/>
        <w:bottom w:val="none" w:sz="0" w:space="0" w:color="auto"/>
        <w:right w:val="none" w:sz="0" w:space="0" w:color="auto"/>
      </w:divBdr>
    </w:div>
    <w:div w:id="19814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mn.gov/deed/data/export-stats/"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1891657970464535"/>
          <c:y val="6.1730311880029087E-2"/>
          <c:w val="0.59552418752533987"/>
          <c:h val="0.82097792726096053"/>
        </c:manualLayout>
      </c:layout>
      <c:pieChart>
        <c:varyColors val="1"/>
        <c:ser>
          <c:idx val="0"/>
          <c:order val="0"/>
          <c:tx>
            <c:strRef>
              <c:f>Sheet1!$B$1</c:f>
              <c:strCache>
                <c:ptCount val="1"/>
                <c:pt idx="0">
                  <c:v> Exports, 2022-Q1 </c:v>
                </c:pt>
              </c:strCache>
            </c:strRef>
          </c:tx>
          <c:spPr>
            <a:ln>
              <a:solidFill>
                <a:schemeClr val="tx1">
                  <a:lumMod val="50000"/>
                  <a:lumOff val="50000"/>
                </a:schemeClr>
              </a:solidFill>
            </a:ln>
          </c:spPr>
          <c:dPt>
            <c:idx val="0"/>
            <c:bubble3D val="0"/>
            <c:spPr>
              <a:solidFill>
                <a:schemeClr val="accent6">
                  <a:shade val="44000"/>
                </a:schemeClr>
              </a:solidFill>
              <a:ln>
                <a:solidFill>
                  <a:schemeClr val="tx1">
                    <a:lumMod val="50000"/>
                    <a:lumOff val="50000"/>
                  </a:schemeClr>
                </a:solidFill>
              </a:ln>
              <a:effectLst/>
            </c:spPr>
            <c:extLst>
              <c:ext xmlns:c16="http://schemas.microsoft.com/office/drawing/2014/chart" uri="{C3380CC4-5D6E-409C-BE32-E72D297353CC}">
                <c16:uniqueId val="{00000001-1B88-468F-B926-1611BD07E22A}"/>
              </c:ext>
            </c:extLst>
          </c:dPt>
          <c:dPt>
            <c:idx val="1"/>
            <c:bubble3D val="0"/>
            <c:spPr>
              <a:solidFill>
                <a:schemeClr val="accent6">
                  <a:shade val="58000"/>
                </a:schemeClr>
              </a:solidFill>
              <a:ln>
                <a:solidFill>
                  <a:schemeClr val="tx1">
                    <a:lumMod val="50000"/>
                    <a:lumOff val="50000"/>
                  </a:schemeClr>
                </a:solidFill>
              </a:ln>
              <a:effectLst/>
            </c:spPr>
            <c:extLst>
              <c:ext xmlns:c16="http://schemas.microsoft.com/office/drawing/2014/chart" uri="{C3380CC4-5D6E-409C-BE32-E72D297353CC}">
                <c16:uniqueId val="{00000003-1B88-468F-B926-1611BD07E22A}"/>
              </c:ext>
            </c:extLst>
          </c:dPt>
          <c:dPt>
            <c:idx val="2"/>
            <c:bubble3D val="0"/>
            <c:spPr>
              <a:solidFill>
                <a:schemeClr val="accent6">
                  <a:shade val="72000"/>
                </a:schemeClr>
              </a:solidFill>
              <a:ln>
                <a:solidFill>
                  <a:schemeClr val="tx1">
                    <a:lumMod val="50000"/>
                    <a:lumOff val="50000"/>
                  </a:schemeClr>
                </a:solidFill>
              </a:ln>
              <a:effectLst/>
            </c:spPr>
            <c:extLst>
              <c:ext xmlns:c16="http://schemas.microsoft.com/office/drawing/2014/chart" uri="{C3380CC4-5D6E-409C-BE32-E72D297353CC}">
                <c16:uniqueId val="{00000005-1B88-468F-B926-1611BD07E22A}"/>
              </c:ext>
            </c:extLst>
          </c:dPt>
          <c:dPt>
            <c:idx val="3"/>
            <c:bubble3D val="0"/>
            <c:spPr>
              <a:solidFill>
                <a:schemeClr val="accent6">
                  <a:shade val="86000"/>
                </a:schemeClr>
              </a:solidFill>
              <a:ln>
                <a:solidFill>
                  <a:schemeClr val="tx1">
                    <a:lumMod val="50000"/>
                    <a:lumOff val="50000"/>
                  </a:schemeClr>
                </a:solidFill>
              </a:ln>
              <a:effectLst/>
            </c:spPr>
            <c:extLst>
              <c:ext xmlns:c16="http://schemas.microsoft.com/office/drawing/2014/chart" uri="{C3380CC4-5D6E-409C-BE32-E72D297353CC}">
                <c16:uniqueId val="{00000007-1B88-468F-B926-1611BD07E22A}"/>
              </c:ext>
            </c:extLst>
          </c:dPt>
          <c:dPt>
            <c:idx val="4"/>
            <c:bubble3D val="0"/>
            <c:spPr>
              <a:solidFill>
                <a:schemeClr val="accent6"/>
              </a:solidFill>
              <a:ln>
                <a:solidFill>
                  <a:schemeClr val="tx1">
                    <a:lumMod val="50000"/>
                    <a:lumOff val="50000"/>
                  </a:schemeClr>
                </a:solidFill>
              </a:ln>
              <a:effectLst/>
            </c:spPr>
            <c:extLst>
              <c:ext xmlns:c16="http://schemas.microsoft.com/office/drawing/2014/chart" uri="{C3380CC4-5D6E-409C-BE32-E72D297353CC}">
                <c16:uniqueId val="{00000009-1B88-468F-B926-1611BD07E22A}"/>
              </c:ext>
            </c:extLst>
          </c:dPt>
          <c:dPt>
            <c:idx val="5"/>
            <c:bubble3D val="0"/>
            <c:spPr>
              <a:solidFill>
                <a:schemeClr val="accent6">
                  <a:tint val="86000"/>
                </a:schemeClr>
              </a:solidFill>
              <a:ln>
                <a:solidFill>
                  <a:schemeClr val="tx1">
                    <a:lumMod val="50000"/>
                    <a:lumOff val="50000"/>
                  </a:schemeClr>
                </a:solidFill>
              </a:ln>
              <a:effectLst/>
            </c:spPr>
            <c:extLst>
              <c:ext xmlns:c16="http://schemas.microsoft.com/office/drawing/2014/chart" uri="{C3380CC4-5D6E-409C-BE32-E72D297353CC}">
                <c16:uniqueId val="{0000000B-1B88-468F-B926-1611BD07E22A}"/>
              </c:ext>
            </c:extLst>
          </c:dPt>
          <c:dPt>
            <c:idx val="6"/>
            <c:bubble3D val="0"/>
            <c:spPr>
              <a:solidFill>
                <a:schemeClr val="accent6">
                  <a:tint val="72000"/>
                </a:schemeClr>
              </a:solidFill>
              <a:ln>
                <a:solidFill>
                  <a:schemeClr val="tx1">
                    <a:lumMod val="50000"/>
                    <a:lumOff val="50000"/>
                  </a:schemeClr>
                </a:solidFill>
              </a:ln>
              <a:effectLst/>
            </c:spPr>
            <c:extLst>
              <c:ext xmlns:c16="http://schemas.microsoft.com/office/drawing/2014/chart" uri="{C3380CC4-5D6E-409C-BE32-E72D297353CC}">
                <c16:uniqueId val="{0000000D-1B88-468F-B926-1611BD07E22A}"/>
              </c:ext>
            </c:extLst>
          </c:dPt>
          <c:dPt>
            <c:idx val="7"/>
            <c:bubble3D val="0"/>
            <c:spPr>
              <a:solidFill>
                <a:schemeClr val="accent6">
                  <a:tint val="58000"/>
                </a:schemeClr>
              </a:solidFill>
              <a:ln>
                <a:solidFill>
                  <a:schemeClr val="tx1">
                    <a:lumMod val="50000"/>
                    <a:lumOff val="50000"/>
                  </a:schemeClr>
                </a:solidFill>
              </a:ln>
              <a:effectLst/>
            </c:spPr>
            <c:extLst>
              <c:ext xmlns:c16="http://schemas.microsoft.com/office/drawing/2014/chart" uri="{C3380CC4-5D6E-409C-BE32-E72D297353CC}">
                <c16:uniqueId val="{0000000F-1B88-468F-B926-1611BD07E22A}"/>
              </c:ext>
            </c:extLst>
          </c:dPt>
          <c:dPt>
            <c:idx val="8"/>
            <c:bubble3D val="0"/>
            <c:spPr>
              <a:solidFill>
                <a:schemeClr val="accent6">
                  <a:tint val="44000"/>
                </a:schemeClr>
              </a:solidFill>
              <a:ln>
                <a:solidFill>
                  <a:schemeClr val="tx1">
                    <a:lumMod val="50000"/>
                    <a:lumOff val="50000"/>
                  </a:schemeClr>
                </a:solidFill>
              </a:ln>
              <a:effectLst/>
            </c:spPr>
            <c:extLst>
              <c:ext xmlns:c16="http://schemas.microsoft.com/office/drawing/2014/chart" uri="{C3380CC4-5D6E-409C-BE32-E72D297353CC}">
                <c16:uniqueId val="{00000011-1B88-468F-B926-1611BD07E22A}"/>
              </c:ext>
            </c:extLst>
          </c:dPt>
          <c:dLbls>
            <c:dLbl>
              <c:idx val="0"/>
              <c:layout>
                <c:manualLayout>
                  <c:x val="-2.0081902412801547E-3"/>
                  <c:y val="2.7167942035414588E-2"/>
                </c:manualLayout>
              </c:layout>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5743794073933524"/>
                      <c:h val="0.12504824220916047"/>
                    </c:manualLayout>
                  </c15:layout>
                </c:ext>
                <c:ext xmlns:c16="http://schemas.microsoft.com/office/drawing/2014/chart" uri="{C3380CC4-5D6E-409C-BE32-E72D297353CC}">
                  <c16:uniqueId val="{00000001-1B88-468F-B926-1611BD07E22A}"/>
                </c:ext>
              </c:extLst>
            </c:dLbl>
            <c:dLbl>
              <c:idx val="1"/>
              <c:layout>
                <c:manualLayout>
                  <c:x val="6.4516333048730357E-3"/>
                  <c:y val="-6.9818983894618866E-2"/>
                </c:manualLayout>
              </c:layout>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6238528918824905"/>
                      <c:h val="0.10214878069818736"/>
                    </c:manualLayout>
                  </c15:layout>
                </c:ext>
                <c:ext xmlns:c16="http://schemas.microsoft.com/office/drawing/2014/chart" uri="{C3380CC4-5D6E-409C-BE32-E72D297353CC}">
                  <c16:uniqueId val="{00000003-1B88-468F-B926-1611BD07E22A}"/>
                </c:ext>
              </c:extLst>
            </c:dLbl>
            <c:dLbl>
              <c:idx val="2"/>
              <c:layout>
                <c:manualLayout>
                  <c:x val="2.0566992378964678E-2"/>
                  <c:y val="-4.1724890022549997E-2"/>
                </c:manualLayout>
              </c:layout>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7951996964234893"/>
                      <c:h val="9.1117272312791875E-2"/>
                    </c:manualLayout>
                  </c15:layout>
                </c:ext>
                <c:ext xmlns:c16="http://schemas.microsoft.com/office/drawing/2014/chart" uri="{C3380CC4-5D6E-409C-BE32-E72D297353CC}">
                  <c16:uniqueId val="{00000005-1B88-468F-B926-1611BD07E22A}"/>
                </c:ext>
              </c:extLst>
            </c:dLbl>
            <c:dLbl>
              <c:idx val="3"/>
              <c:layout>
                <c:manualLayout>
                  <c:x val="2.5943142649337433E-2"/>
                  <c:y val="-5.1262951732788505E-2"/>
                </c:manualLayout>
              </c:layout>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24367232710369036"/>
                      <c:h val="0.10409964363634429"/>
                    </c:manualLayout>
                  </c15:layout>
                </c:ext>
                <c:ext xmlns:c16="http://schemas.microsoft.com/office/drawing/2014/chart" uri="{C3380CC4-5D6E-409C-BE32-E72D297353CC}">
                  <c16:uniqueId val="{00000007-1B88-468F-B926-1611BD07E22A}"/>
                </c:ext>
              </c:extLst>
            </c:dLbl>
            <c:dLbl>
              <c:idx val="4"/>
              <c:layout>
                <c:manualLayout>
                  <c:x val="6.1072953230243809E-2"/>
                  <c:y val="3.9436514917579279E-4"/>
                </c:manualLayout>
              </c:layout>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a:noFill/>
                    <a:ln>
                      <a:noFill/>
                    </a:ln>
                  </c15:spPr>
                  <c15:layout>
                    <c:manualLayout>
                      <c:w val="0.39253834234576102"/>
                      <c:h val="8.1583625873967919E-2"/>
                    </c:manualLayout>
                  </c15:layout>
                </c:ext>
                <c:ext xmlns:c16="http://schemas.microsoft.com/office/drawing/2014/chart" uri="{C3380CC4-5D6E-409C-BE32-E72D297353CC}">
                  <c16:uniqueId val="{00000009-1B88-468F-B926-1611BD07E22A}"/>
                </c:ext>
              </c:extLst>
            </c:dLbl>
            <c:dLbl>
              <c:idx val="5"/>
              <c:layout>
                <c:manualLayout>
                  <c:x val="1.84539733738102E-2"/>
                  <c:y val="-1.2581173832144222E-3"/>
                </c:manualLayout>
              </c:layout>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1133795022610125"/>
                      <c:h val="7.7315194755585112E-2"/>
                    </c:manualLayout>
                  </c15:layout>
                </c:ext>
                <c:ext xmlns:c16="http://schemas.microsoft.com/office/drawing/2014/chart" uri="{C3380CC4-5D6E-409C-BE32-E72D297353CC}">
                  <c16:uniqueId val="{0000000B-1B88-468F-B926-1611BD07E22A}"/>
                </c:ext>
              </c:extLst>
            </c:dLbl>
            <c:dLbl>
              <c:idx val="6"/>
              <c:layout>
                <c:manualLayout>
                  <c:x val="1.5811276602472884E-7"/>
                  <c:y val="-4.0366468275972657E-2"/>
                </c:manualLayout>
              </c:layout>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30400436391234226"/>
                      <c:h val="8.6639310931204E-2"/>
                    </c:manualLayout>
                  </c15:layout>
                </c:ext>
                <c:ext xmlns:c16="http://schemas.microsoft.com/office/drawing/2014/chart" uri="{C3380CC4-5D6E-409C-BE32-E72D297353CC}">
                  <c16:uniqueId val="{0000000D-1B88-468F-B926-1611BD07E22A}"/>
                </c:ext>
              </c:extLst>
            </c:dLbl>
            <c:dLbl>
              <c:idx val="7"/>
              <c:layout>
                <c:manualLayout>
                  <c:x val="-1.0681782247098644E-2"/>
                  <c:y val="-7.5843631720601046E-2"/>
                </c:manualLayout>
              </c:layout>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5822629099073457"/>
                      <c:h val="8.8580828804850104E-2"/>
                    </c:manualLayout>
                  </c15:layout>
                </c:ext>
                <c:ext xmlns:c16="http://schemas.microsoft.com/office/drawing/2014/chart" uri="{C3380CC4-5D6E-409C-BE32-E72D297353CC}">
                  <c16:uniqueId val="{0000000F-1B88-468F-B926-1611BD07E22A}"/>
                </c:ext>
              </c:extLst>
            </c:dLbl>
            <c:dLbl>
              <c:idx val="8"/>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eparator> </c:separator>
              <c:extLst>
                <c:ext xmlns:c15="http://schemas.microsoft.com/office/drawing/2012/chart" uri="{CE6537A1-D6FC-4f65-9D91-7224C49458BB}">
                  <c15:layout>
                    <c:manualLayout>
                      <c:w val="0.22034120734908136"/>
                      <c:h val="0.1104225352112676"/>
                    </c:manualLayout>
                  </c15:layout>
                </c:ext>
                <c:ext xmlns:c16="http://schemas.microsoft.com/office/drawing/2014/chart" uri="{C3380CC4-5D6E-409C-BE32-E72D297353CC}">
                  <c16:uniqueId val="{00000011-1B88-468F-B926-1611BD07E22A}"/>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lumMod val="50000"/>
                      <a:lumOff val="50000"/>
                    </a:schemeClr>
                  </a:solidFill>
                  <a:prstDash val="solid"/>
                  <a:round/>
                </a:ln>
                <a:effectLst/>
              </c:spPr>
            </c:leaderLines>
            <c:extLst>
              <c:ext xmlns:c15="http://schemas.microsoft.com/office/drawing/2012/chart" uri="{CE6537A1-D6FC-4f65-9D91-7224C49458BB}"/>
            </c:extLst>
          </c:dLbls>
          <c:cat>
            <c:strRef>
              <c:f>Sheet1!$A$2:$A$10</c:f>
              <c:strCache>
                <c:ptCount val="9"/>
                <c:pt idx="0">
                  <c:v>China</c:v>
                </c:pt>
                <c:pt idx="1">
                  <c:v>Canada</c:v>
                </c:pt>
                <c:pt idx="2">
                  <c:v>Mexico</c:v>
                </c:pt>
                <c:pt idx="3">
                  <c:v>Thailand</c:v>
                </c:pt>
                <c:pt idx="4">
                  <c:v>Germany</c:v>
                </c:pt>
                <c:pt idx="5">
                  <c:v>Japan</c:v>
                </c:pt>
                <c:pt idx="6">
                  <c:v>Switzerland</c:v>
                </c:pt>
                <c:pt idx="7">
                  <c:v>Singapore</c:v>
                </c:pt>
                <c:pt idx="8">
                  <c:v>Other</c:v>
                </c:pt>
              </c:strCache>
            </c:strRef>
          </c:cat>
          <c:val>
            <c:numRef>
              <c:f>Sheet1!$B$2:$B$10</c:f>
              <c:numCache>
                <c:formatCode>#,##0</c:formatCode>
                <c:ptCount val="9"/>
                <c:pt idx="0">
                  <c:v>190056892</c:v>
                </c:pt>
                <c:pt idx="1">
                  <c:v>98829483</c:v>
                </c:pt>
                <c:pt idx="2">
                  <c:v>89234680</c:v>
                </c:pt>
                <c:pt idx="3">
                  <c:v>59843957</c:v>
                </c:pt>
                <c:pt idx="4">
                  <c:v>55490673</c:v>
                </c:pt>
                <c:pt idx="5">
                  <c:v>43249455</c:v>
                </c:pt>
                <c:pt idx="6">
                  <c:v>34221124</c:v>
                </c:pt>
                <c:pt idx="7">
                  <c:v>32779393</c:v>
                </c:pt>
                <c:pt idx="8">
                  <c:v>332787215</c:v>
                </c:pt>
              </c:numCache>
            </c:numRef>
          </c:val>
          <c:extLst>
            <c:ext xmlns:c16="http://schemas.microsoft.com/office/drawing/2014/chart" uri="{C3380CC4-5D6E-409C-BE32-E72D297353CC}">
              <c16:uniqueId val="{00000012-1B88-468F-B926-1611BD07E22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3175" cap="flat" cmpd="sng" algn="ctr">
      <a:no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103">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B6C44-9FF8-492D-ADB5-283AD1E5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Minnesota Quarterly Export Statistics, 1st Quarter 2022</vt:lpstr>
    </vt:vector>
  </TitlesOfParts>
  <Company>MN DEED</Company>
  <LinksUpToDate>false</LinksUpToDate>
  <CharactersWithSpaces>4328</CharactersWithSpaces>
  <SharedDoc>false</SharedDoc>
  <HLinks>
    <vt:vector size="12" baseType="variant">
      <vt:variant>
        <vt:i4>6488181</vt:i4>
      </vt:variant>
      <vt:variant>
        <vt:i4>9</vt:i4>
      </vt:variant>
      <vt:variant>
        <vt:i4>0</vt:i4>
      </vt:variant>
      <vt:variant>
        <vt:i4>5</vt:i4>
      </vt:variant>
      <vt:variant>
        <vt:lpwstr>http://www.deed.state.mn.us/facts/manufacturing.htm</vt:lpwstr>
      </vt:variant>
      <vt:variant>
        <vt:lpwstr/>
      </vt:variant>
      <vt:variant>
        <vt:i4>3211383</vt:i4>
      </vt:variant>
      <vt:variant>
        <vt:i4>6</vt:i4>
      </vt:variant>
      <vt:variant>
        <vt:i4>0</vt:i4>
      </vt:variant>
      <vt:variant>
        <vt:i4>5</vt:i4>
      </vt:variant>
      <vt:variant>
        <vt:lpwstr>http://www.exportminnesota.com/itradestats.htm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Quarterly Export Statistics, 1st Quarter 2022</dc:title>
  <dc:subject>Minnesota Quarterly Export Statistics</dc:subject>
  <dc:creator>Economic Analysis Unit (T. Ho-Kim)</dc:creator>
  <dc:description>1st Quarter 2022</dc:description>
  <cp:lastModifiedBy>Ho-Kim, Thu-Mai (DEED)</cp:lastModifiedBy>
  <cp:revision>16</cp:revision>
  <cp:lastPrinted>2021-02-10T19:09:00Z</cp:lastPrinted>
  <dcterms:created xsi:type="dcterms:W3CDTF">2022-05-06T18:06:00Z</dcterms:created>
  <dcterms:modified xsi:type="dcterms:W3CDTF">2022-05-31T13:44:00Z</dcterms:modified>
</cp:coreProperties>
</file>