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0E19" w14:textId="77777777" w:rsidR="00CE313B" w:rsidRPr="0071326C" w:rsidRDefault="00EB5C34" w:rsidP="004B3151">
      <w:pPr>
        <w:tabs>
          <w:tab w:val="left" w:pos="360"/>
          <w:tab w:val="left" w:pos="6660"/>
        </w:tabs>
        <w:spacing w:after="120"/>
        <w:jc w:val="center"/>
        <w:sectPr w:rsidR="00CE313B" w:rsidRPr="0071326C" w:rsidSect="00BC5D6C">
          <w:headerReference w:type="even" r:id="rId8"/>
          <w:footerReference w:type="even" r:id="rId9"/>
          <w:footnotePr>
            <w:numRestart w:val="eachSect"/>
          </w:footnotePr>
          <w:endnotePr>
            <w:numFmt w:val="decimal"/>
          </w:endnotePr>
          <w:type w:val="continuous"/>
          <w:pgSz w:w="12240" w:h="15840" w:code="1"/>
          <w:pgMar w:top="864" w:right="1152" w:bottom="864" w:left="1152" w:header="720" w:footer="720" w:gutter="0"/>
          <w:cols w:space="720"/>
          <w:titlePg/>
          <w:docGrid w:linePitch="272"/>
        </w:sectPr>
      </w:pPr>
      <w:r w:rsidRPr="0071326C">
        <w:rPr>
          <w:noProof/>
        </w:rPr>
        <mc:AlternateContent>
          <mc:Choice Requires="wps">
            <w:drawing>
              <wp:anchor distT="0" distB="0" distL="114300" distR="114300" simplePos="0" relativeHeight="251666432" behindDoc="0" locked="0" layoutInCell="1" allowOverlap="1" wp14:anchorId="2D21032A" wp14:editId="651FFBC4">
                <wp:simplePos x="0" y="0"/>
                <wp:positionH relativeFrom="column">
                  <wp:posOffset>6350</wp:posOffset>
                </wp:positionH>
                <wp:positionV relativeFrom="paragraph">
                  <wp:posOffset>1113155</wp:posOffset>
                </wp:positionV>
                <wp:extent cx="6303010" cy="419100"/>
                <wp:effectExtent l="0" t="0" r="0" b="0"/>
                <wp:wrapNone/>
                <wp:docPr id="2" name="Text Box 2" descr="text box:&#10;Annual 2023 Data on Minnesota Manufactured Exports – Published in March 2024&#10;For More Information: Mary Haugen (mary.haugen@state.mn.u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F056" w14:textId="5D198548" w:rsidR="00EB5C34" w:rsidRPr="00B577E0" w:rsidRDefault="00EB5C34" w:rsidP="00EB5C34">
                            <w:pPr>
                              <w:pStyle w:val="NoSpacing"/>
                              <w:jc w:val="center"/>
                              <w:rPr>
                                <w:rStyle w:val="Emphasis"/>
                                <w:b/>
                              </w:rPr>
                            </w:pPr>
                            <w:bookmarkStart w:id="0" w:name="_Hlk97280551"/>
                            <w:r>
                              <w:rPr>
                                <w:rStyle w:val="Emphasis"/>
                                <w:b/>
                              </w:rPr>
                              <w:t>Annual</w:t>
                            </w:r>
                            <w:r w:rsidR="008D6805">
                              <w:rPr>
                                <w:rStyle w:val="Emphasis"/>
                                <w:b/>
                              </w:rPr>
                              <w:t xml:space="preserve"> </w:t>
                            </w:r>
                            <w:r w:rsidRPr="00B577E0">
                              <w:rPr>
                                <w:rStyle w:val="Emphasis"/>
                                <w:b/>
                              </w:rPr>
                              <w:t>Dat</w:t>
                            </w:r>
                            <w:r>
                              <w:rPr>
                                <w:rStyle w:val="Emphasis"/>
                                <w:b/>
                              </w:rPr>
                              <w:t xml:space="preserve">a on Minnesota </w:t>
                            </w:r>
                            <w:r w:rsidR="00777893">
                              <w:rPr>
                                <w:rStyle w:val="Emphasis"/>
                                <w:b/>
                              </w:rPr>
                              <w:t xml:space="preserve">Manufactured </w:t>
                            </w:r>
                            <w:r>
                              <w:rPr>
                                <w:rStyle w:val="Emphasis"/>
                                <w:b/>
                              </w:rPr>
                              <w:t>Exports – Published</w:t>
                            </w:r>
                            <w:r w:rsidR="002E7C23">
                              <w:rPr>
                                <w:rStyle w:val="Emphasis"/>
                                <w:b/>
                              </w:rPr>
                              <w:t xml:space="preserve"> in</w:t>
                            </w:r>
                            <w:r w:rsidR="00EF4385">
                              <w:rPr>
                                <w:rStyle w:val="Emphasis"/>
                                <w:b/>
                              </w:rPr>
                              <w:t xml:space="preserve"> </w:t>
                            </w:r>
                            <w:r w:rsidR="002F018D">
                              <w:rPr>
                                <w:rStyle w:val="Emphasis"/>
                                <w:b/>
                              </w:rPr>
                              <w:t>March</w:t>
                            </w:r>
                            <w:r>
                              <w:rPr>
                                <w:rStyle w:val="Emphasis"/>
                                <w:b/>
                              </w:rPr>
                              <w:t xml:space="preserve"> 202</w:t>
                            </w:r>
                            <w:r w:rsidR="008D6805">
                              <w:rPr>
                                <w:rStyle w:val="Emphasis"/>
                                <w:b/>
                              </w:rPr>
                              <w:t>4</w:t>
                            </w:r>
                          </w:p>
                          <w:bookmarkEnd w:id="0"/>
                          <w:p w14:paraId="5AC981D1" w14:textId="77777777" w:rsidR="008D6805" w:rsidRPr="0034753B" w:rsidRDefault="008D6805" w:rsidP="008D6805">
                            <w:pPr>
                              <w:pStyle w:val="NoSpacing"/>
                              <w:jc w:val="center"/>
                              <w:rPr>
                                <w:rStyle w:val="Emphasis"/>
                                <w:b/>
                                <w:bCs/>
                              </w:rPr>
                            </w:pPr>
                            <w:r>
                              <w:rPr>
                                <w:rStyle w:val="Emphasis"/>
                                <w:b/>
                              </w:rPr>
                              <w:t>For More Information</w:t>
                            </w:r>
                            <w:r w:rsidRPr="007818E5">
                              <w:rPr>
                                <w:rStyle w:val="Emphasis"/>
                              </w:rPr>
                              <w:t xml:space="preserve">: </w:t>
                            </w:r>
                            <w:r w:rsidRPr="0034753B">
                              <w:rPr>
                                <w:b/>
                                <w:bCs/>
                                <w:i/>
                                <w:iCs/>
                              </w:rPr>
                              <w:t>Mary Haugen (mary.haugen@state.mn.us)</w:t>
                            </w:r>
                          </w:p>
                          <w:p w14:paraId="5815E523" w14:textId="5A35BE11" w:rsidR="00EB5C34" w:rsidRPr="00690C1B" w:rsidRDefault="00EB5C34" w:rsidP="008D6805">
                            <w:pPr>
                              <w:pStyle w:val="NoSpacing"/>
                              <w:jc w:val="center"/>
                              <w:rPr>
                                <w:rStyle w:val="Emphasis"/>
                                <w:b/>
                                <w:i w:val="0"/>
                                <w:iCs w:val="0"/>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1032A" id="_x0000_t202" coordsize="21600,21600" o:spt="202" path="m,l,21600r21600,l21600,xe">
                <v:stroke joinstyle="miter"/>
                <v:path gradientshapeok="t" o:connecttype="rect"/>
              </v:shapetype>
              <v:shape id="Text Box 2" o:spid="_x0000_s1026" type="#_x0000_t202" alt="text box:&#10;Annual 2023 Data on Minnesota Manufactured Exports – Published in March 2024&#10;For More Information: Mary Haugen (mary.haugen@state.mn.us)&#10;" style="position:absolute;left:0;text-align:left;margin-left:.5pt;margin-top:87.65pt;width:496.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" filled="f" stroked="f">
                <v:textbox>
                  <w:txbxContent>
                    <w:p w14:paraId="42C9F056" w14:textId="5D198548" w:rsidR="00EB5C34" w:rsidRPr="00B577E0" w:rsidRDefault="00EB5C34" w:rsidP="00EB5C34">
                      <w:pPr>
                        <w:pStyle w:val="NoSpacing"/>
                        <w:jc w:val="center"/>
                        <w:rPr>
                          <w:rStyle w:val="Emphasis"/>
                          <w:b/>
                        </w:rPr>
                      </w:pPr>
                      <w:bookmarkStart w:id="1" w:name="_Hlk97280551"/>
                      <w:r>
                        <w:rPr>
                          <w:rStyle w:val="Emphasis"/>
                          <w:b/>
                        </w:rPr>
                        <w:t>Annual</w:t>
                      </w:r>
                      <w:r w:rsidR="008D6805">
                        <w:rPr>
                          <w:rStyle w:val="Emphasis"/>
                          <w:b/>
                        </w:rPr>
                        <w:t xml:space="preserve"> </w:t>
                      </w:r>
                      <w:r w:rsidRPr="00B577E0">
                        <w:rPr>
                          <w:rStyle w:val="Emphasis"/>
                          <w:b/>
                        </w:rPr>
                        <w:t>Dat</w:t>
                      </w:r>
                      <w:r>
                        <w:rPr>
                          <w:rStyle w:val="Emphasis"/>
                          <w:b/>
                        </w:rPr>
                        <w:t xml:space="preserve">a on Minnesota </w:t>
                      </w:r>
                      <w:r w:rsidR="00777893">
                        <w:rPr>
                          <w:rStyle w:val="Emphasis"/>
                          <w:b/>
                        </w:rPr>
                        <w:t xml:space="preserve">Manufactured </w:t>
                      </w:r>
                      <w:r>
                        <w:rPr>
                          <w:rStyle w:val="Emphasis"/>
                          <w:b/>
                        </w:rPr>
                        <w:t>Exports – Published</w:t>
                      </w:r>
                      <w:r w:rsidR="002E7C23">
                        <w:rPr>
                          <w:rStyle w:val="Emphasis"/>
                          <w:b/>
                        </w:rPr>
                        <w:t xml:space="preserve"> in</w:t>
                      </w:r>
                      <w:r w:rsidR="00EF4385">
                        <w:rPr>
                          <w:rStyle w:val="Emphasis"/>
                          <w:b/>
                        </w:rPr>
                        <w:t xml:space="preserve"> </w:t>
                      </w:r>
                      <w:r w:rsidR="002F018D">
                        <w:rPr>
                          <w:rStyle w:val="Emphasis"/>
                          <w:b/>
                        </w:rPr>
                        <w:t>March</w:t>
                      </w:r>
                      <w:r>
                        <w:rPr>
                          <w:rStyle w:val="Emphasis"/>
                          <w:b/>
                        </w:rPr>
                        <w:t xml:space="preserve"> 202</w:t>
                      </w:r>
                      <w:r w:rsidR="008D6805">
                        <w:rPr>
                          <w:rStyle w:val="Emphasis"/>
                          <w:b/>
                        </w:rPr>
                        <w:t>4</w:t>
                      </w:r>
                    </w:p>
                    <w:bookmarkEnd w:id="1"/>
                    <w:p w14:paraId="5AC981D1" w14:textId="77777777" w:rsidR="008D6805" w:rsidRPr="0034753B" w:rsidRDefault="008D6805" w:rsidP="008D6805">
                      <w:pPr>
                        <w:pStyle w:val="NoSpacing"/>
                        <w:jc w:val="center"/>
                        <w:rPr>
                          <w:rStyle w:val="Emphasis"/>
                          <w:b/>
                          <w:bCs/>
                        </w:rPr>
                      </w:pPr>
                      <w:r>
                        <w:rPr>
                          <w:rStyle w:val="Emphasis"/>
                          <w:b/>
                        </w:rPr>
                        <w:t>For More Information</w:t>
                      </w:r>
                      <w:r w:rsidRPr="007818E5">
                        <w:rPr>
                          <w:rStyle w:val="Emphasis"/>
                        </w:rPr>
                        <w:t xml:space="preserve">: </w:t>
                      </w:r>
                      <w:r w:rsidRPr="0034753B">
                        <w:rPr>
                          <w:b/>
                          <w:bCs/>
                          <w:i/>
                          <w:iCs/>
                        </w:rPr>
                        <w:t>Mary Haugen (mary.haugen@state.mn.us)</w:t>
                      </w:r>
                    </w:p>
                    <w:p w14:paraId="5815E523" w14:textId="5A35BE11" w:rsidR="00EB5C34" w:rsidRPr="00690C1B" w:rsidRDefault="00EB5C34" w:rsidP="008D6805">
                      <w:pPr>
                        <w:pStyle w:val="NoSpacing"/>
                        <w:jc w:val="center"/>
                        <w:rPr>
                          <w:rStyle w:val="Emphasis"/>
                          <w:b/>
                          <w:i w:val="0"/>
                          <w:iCs w:val="0"/>
                          <w:color w:val="FF0000"/>
                        </w:rPr>
                      </w:pPr>
                    </w:p>
                  </w:txbxContent>
                </v:textbox>
              </v:shape>
            </w:pict>
          </mc:Fallback>
        </mc:AlternateContent>
      </w:r>
      <w:r w:rsidR="00634377" w:rsidRPr="0071326C">
        <w:rPr>
          <w:noProof/>
        </w:rPr>
        <w:drawing>
          <wp:inline distT="0" distB="0" distL="0" distR="0" wp14:anchorId="5382DE4E" wp14:editId="5AF2BF36">
            <wp:extent cx="6309360" cy="1103630"/>
            <wp:effectExtent l="0" t="0" r="0" b="1270"/>
            <wp:docPr id="7" name="Picture 7" descr="title banner&#10;&#10;Annual 2023 Data on Minnesota  Manufactured Exports – Published March 2024.&#10;For More Information: Alicia Cordes-Mayo (alicia.cordes-mayo@state.mn.us, 763-406-99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tle banner&#10;&#10;Annual 2023 Data on Minnesota  Manufactured Exports – Published March 2024.&#10;For More Information: Alicia Cordes-Mayo (alicia.cordes-mayo@state.mn.us, 763-406-9965)&#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r w:rsidR="00961671" w:rsidRPr="0071326C">
        <w:rPr>
          <w:noProof/>
        </w:rPr>
        <w:t xml:space="preserve"> </w:t>
      </w:r>
    </w:p>
    <w:p w14:paraId="0393960A" w14:textId="1B576D43" w:rsidR="00D73299" w:rsidRPr="0071326C" w:rsidRDefault="00EF4385" w:rsidP="0000336A">
      <w:pPr>
        <w:pStyle w:val="Heading1"/>
        <w:spacing w:before="720" w:after="120"/>
        <w:sectPr w:rsidR="00D73299" w:rsidRPr="0071326C" w:rsidSect="00BC5D6C">
          <w:footerReference w:type="default" r:id="rId11"/>
          <w:footnotePr>
            <w:numRestart w:val="eachSect"/>
          </w:footnotePr>
          <w:endnotePr>
            <w:numFmt w:val="decimal"/>
          </w:endnotePr>
          <w:type w:val="continuous"/>
          <w:pgSz w:w="12240" w:h="15840" w:code="1"/>
          <w:pgMar w:top="864" w:right="1152" w:bottom="864" w:left="1152" w:header="720" w:footer="720" w:gutter="0"/>
          <w:cols w:space="720"/>
          <w:titlePg/>
          <w:docGrid w:linePitch="299"/>
        </w:sectPr>
      </w:pPr>
      <w:r w:rsidRPr="0071326C">
        <w:t xml:space="preserve">State </w:t>
      </w:r>
      <w:r w:rsidR="00F050F6" w:rsidRPr="0071326C">
        <w:t>Export</w:t>
      </w:r>
      <w:r w:rsidR="005F1D50" w:rsidRPr="0071326C">
        <w:t>s</w:t>
      </w:r>
      <w:r w:rsidR="00F050F6" w:rsidRPr="0071326C">
        <w:t xml:space="preserve"> </w:t>
      </w:r>
      <w:r w:rsidR="008D6805" w:rsidRPr="0071326C">
        <w:t>Drop to</w:t>
      </w:r>
      <w:r w:rsidR="00EB5C34" w:rsidRPr="0071326C">
        <w:t xml:space="preserve"> $2</w:t>
      </w:r>
      <w:r w:rsidR="008D6805" w:rsidRPr="0071326C">
        <w:t>5</w:t>
      </w:r>
      <w:r w:rsidR="00634377" w:rsidRPr="0071326C">
        <w:t xml:space="preserve"> Billion</w:t>
      </w:r>
      <w:r w:rsidR="009C03F9" w:rsidRPr="0071326C">
        <w:t xml:space="preserve"> in 202</w:t>
      </w:r>
      <w:r w:rsidR="000B61DB">
        <w:t>3</w:t>
      </w:r>
      <w:r w:rsidR="009C03F9" w:rsidRPr="0071326C">
        <w:t>,</w:t>
      </w:r>
      <w:r w:rsidR="00073511" w:rsidRPr="0071326C">
        <w:t xml:space="preserve"> </w:t>
      </w:r>
      <w:r w:rsidR="008D6805" w:rsidRPr="0071326C">
        <w:t>Down</w:t>
      </w:r>
      <w:r w:rsidR="00073511" w:rsidRPr="0071326C">
        <w:t xml:space="preserve"> </w:t>
      </w:r>
      <w:r w:rsidR="008D6805" w:rsidRPr="0071326C">
        <w:t>8</w:t>
      </w:r>
      <w:r w:rsidR="00073511" w:rsidRPr="0071326C">
        <w:t>%</w:t>
      </w:r>
    </w:p>
    <w:p w14:paraId="09D85C5C" w14:textId="58953D1B" w:rsidR="00654545" w:rsidRPr="0071326C" w:rsidRDefault="007F1C4A" w:rsidP="00FA7D40">
      <w:pPr>
        <w:pStyle w:val="ListParagraph"/>
        <w:numPr>
          <w:ilvl w:val="0"/>
          <w:numId w:val="27"/>
        </w:numPr>
        <w:spacing w:after="0"/>
        <w:ind w:left="450" w:right="-54"/>
      </w:pPr>
      <w:r w:rsidRPr="0071326C">
        <w:t>Minnesota export</w:t>
      </w:r>
      <w:r w:rsidR="009C5011">
        <w:t>ed</w:t>
      </w:r>
      <w:r w:rsidRPr="0071326C">
        <w:t xml:space="preserve"> </w:t>
      </w:r>
      <w:r w:rsidR="00D00CB1" w:rsidRPr="0071326C">
        <w:t>about</w:t>
      </w:r>
      <w:r w:rsidR="002E7C23" w:rsidRPr="0071326C">
        <w:t xml:space="preserve"> </w:t>
      </w:r>
      <w:r w:rsidR="00E92FA6" w:rsidRPr="0071326C">
        <w:t>$</w:t>
      </w:r>
      <w:r w:rsidR="00EB5C34" w:rsidRPr="0071326C">
        <w:t>2</w:t>
      </w:r>
      <w:r w:rsidR="008D6805" w:rsidRPr="0071326C">
        <w:t>5</w:t>
      </w:r>
      <w:r w:rsidR="0072390C" w:rsidRPr="0071326C">
        <w:t xml:space="preserve"> billion </w:t>
      </w:r>
      <w:r w:rsidR="00BF3ADC" w:rsidRPr="0071326C">
        <w:t>in</w:t>
      </w:r>
      <w:r w:rsidR="009C5011">
        <w:t xml:space="preserve"> </w:t>
      </w:r>
      <w:r w:rsidR="009C5011" w:rsidRPr="0071326C">
        <w:t xml:space="preserve">agricultural, </w:t>
      </w:r>
      <w:proofErr w:type="gramStart"/>
      <w:r w:rsidR="009C5011" w:rsidRPr="0071326C">
        <w:t>mining</w:t>
      </w:r>
      <w:proofErr w:type="gramEnd"/>
      <w:r w:rsidR="009C5011" w:rsidRPr="0071326C">
        <w:t xml:space="preserve"> and manufactured</w:t>
      </w:r>
      <w:r w:rsidR="009C5011">
        <w:t xml:space="preserve"> goods to nearly 200 countries in</w:t>
      </w:r>
      <w:r w:rsidR="00BF3ADC" w:rsidRPr="0071326C">
        <w:t xml:space="preserve"> </w:t>
      </w:r>
      <w:r w:rsidR="008D6805" w:rsidRPr="0071326C">
        <w:t>2023</w:t>
      </w:r>
      <w:r w:rsidR="001403DF" w:rsidRPr="0071326C">
        <w:t xml:space="preserve">. </w:t>
      </w:r>
      <w:r w:rsidR="00654545" w:rsidRPr="0071326C">
        <w:t xml:space="preserve">Minnesota </w:t>
      </w:r>
      <w:r w:rsidR="00D00CB1" w:rsidRPr="0071326C">
        <w:t>ha</w:t>
      </w:r>
      <w:r w:rsidR="00654545" w:rsidRPr="0071326C">
        <w:t>d</w:t>
      </w:r>
      <w:r w:rsidR="00D00CB1" w:rsidRPr="0071326C">
        <w:t xml:space="preserve"> the</w:t>
      </w:r>
      <w:r w:rsidR="00654545" w:rsidRPr="0071326C">
        <w:t xml:space="preserve"> 23</w:t>
      </w:r>
      <w:r w:rsidR="00654545" w:rsidRPr="0071326C">
        <w:rPr>
          <w:vertAlign w:val="superscript"/>
        </w:rPr>
        <w:t>rd</w:t>
      </w:r>
      <w:r w:rsidR="00654545" w:rsidRPr="0071326C">
        <w:t xml:space="preserve"> highest in export value among all states. </w:t>
      </w:r>
    </w:p>
    <w:p w14:paraId="04D3F822" w14:textId="24FF0B35" w:rsidR="00A92ABE" w:rsidRDefault="00A92ABE" w:rsidP="0059345E">
      <w:pPr>
        <w:pStyle w:val="ListParagraph"/>
        <w:numPr>
          <w:ilvl w:val="0"/>
          <w:numId w:val="27"/>
        </w:numPr>
        <w:ind w:left="450"/>
      </w:pPr>
      <w:r>
        <w:t>The state’s e</w:t>
      </w:r>
      <w:r w:rsidRPr="0071326C">
        <w:t>xports</w:t>
      </w:r>
      <w:r>
        <w:t xml:space="preserve"> fell an overall </w:t>
      </w:r>
      <w:r w:rsidRPr="0071326C">
        <w:t>8%</w:t>
      </w:r>
      <w:r>
        <w:t xml:space="preserve"> between 2022 and 202</w:t>
      </w:r>
      <w:r w:rsidR="0059345E">
        <w:t>3</w:t>
      </w:r>
      <w:r w:rsidR="009C5011">
        <w:t>. M</w:t>
      </w:r>
      <w:r w:rsidR="0059345E">
        <w:t>ineral fuel and oil exports</w:t>
      </w:r>
      <w:r w:rsidR="009C5011">
        <w:t xml:space="preserve"> drove the decline,</w:t>
      </w:r>
      <w:r w:rsidR="0059345E">
        <w:t xml:space="preserve"> </w:t>
      </w:r>
      <w:r w:rsidR="000B61DB">
        <w:t>reflecting</w:t>
      </w:r>
      <w:r w:rsidR="009C5011">
        <w:t xml:space="preserve"> the</w:t>
      </w:r>
      <w:r w:rsidR="0059345E">
        <w:t xml:space="preserve"> impact of falling energy</w:t>
      </w:r>
      <w:r>
        <w:t xml:space="preserve"> prices</w:t>
      </w:r>
      <w:r w:rsidR="0059345E">
        <w:t xml:space="preserve"> </w:t>
      </w:r>
      <w:r w:rsidR="009C5011">
        <w:t>combined with</w:t>
      </w:r>
      <w:r>
        <w:t xml:space="preserve"> decreased demand</w:t>
      </w:r>
      <w:r w:rsidR="0059345E">
        <w:t>. Absent the mineral fuel, oil trend, overall state exports would have been flat</w:t>
      </w:r>
      <w:r>
        <w:t>.</w:t>
      </w:r>
    </w:p>
    <w:p w14:paraId="521DDFB1" w14:textId="475AE619" w:rsidR="007F1C4A" w:rsidRPr="00A92ABE" w:rsidRDefault="00846B2F" w:rsidP="00A92ABE">
      <w:pPr>
        <w:pStyle w:val="ListParagraph"/>
        <w:numPr>
          <w:ilvl w:val="0"/>
          <w:numId w:val="27"/>
        </w:numPr>
        <w:spacing w:after="0"/>
        <w:ind w:left="450"/>
        <w:rPr>
          <w:rStyle w:val="Heading4Char"/>
          <w:rFonts w:eastAsiaTheme="minorEastAsia" w:cstheme="minorBidi"/>
          <w:bCs w:val="0"/>
          <w:i w:val="0"/>
          <w:iCs w:val="0"/>
          <w:color w:val="auto"/>
          <w:sz w:val="22"/>
        </w:rPr>
      </w:pPr>
      <w:r w:rsidRPr="0071326C">
        <w:t>U.S. exports</w:t>
      </w:r>
      <w:r w:rsidR="008D6805" w:rsidRPr="0071326C">
        <w:t xml:space="preserve"> dec</w:t>
      </w:r>
      <w:r w:rsidR="00763AAD" w:rsidRPr="0071326C">
        <w:t>reased</w:t>
      </w:r>
      <w:r w:rsidR="008D6805" w:rsidRPr="0071326C">
        <w:t xml:space="preserve"> 2</w:t>
      </w:r>
      <w:r w:rsidR="001F5C09" w:rsidRPr="0071326C">
        <w:t>%</w:t>
      </w:r>
      <w:r w:rsidR="00F96126" w:rsidRPr="0071326C">
        <w:t xml:space="preserve"> </w:t>
      </w:r>
      <w:r w:rsidR="00EF4385" w:rsidRPr="0071326C">
        <w:t>between</w:t>
      </w:r>
      <w:r w:rsidR="00F96126" w:rsidRPr="0071326C">
        <w:t xml:space="preserve"> </w:t>
      </w:r>
      <w:r w:rsidR="008D6805" w:rsidRPr="0071326C">
        <w:t>2022</w:t>
      </w:r>
      <w:r w:rsidR="00EF4385" w:rsidRPr="0071326C">
        <w:t xml:space="preserve"> and </w:t>
      </w:r>
      <w:r w:rsidR="008D6805" w:rsidRPr="0071326C">
        <w:t>2023</w:t>
      </w:r>
      <w:r w:rsidR="00654545" w:rsidRPr="0071326C">
        <w:t>. Although</w:t>
      </w:r>
      <w:r w:rsidR="00221D2D" w:rsidRPr="0071326C">
        <w:t xml:space="preserve"> exports from</w:t>
      </w:r>
      <w:r w:rsidR="00654545" w:rsidRPr="0071326C">
        <w:t xml:space="preserve"> fewer than half of states decline</w:t>
      </w:r>
      <w:r w:rsidR="00221D2D" w:rsidRPr="0071326C">
        <w:t>d</w:t>
      </w:r>
      <w:r w:rsidR="00654545" w:rsidRPr="0071326C">
        <w:t>,</w:t>
      </w:r>
      <w:r w:rsidR="008D6805" w:rsidRPr="0071326C">
        <w:t xml:space="preserve"> </w:t>
      </w:r>
      <w:r w:rsidR="00763AAD" w:rsidRPr="0071326C">
        <w:t xml:space="preserve">those from </w:t>
      </w:r>
      <w:r w:rsidR="008D6805" w:rsidRPr="0071326C">
        <w:t>the four largest</w:t>
      </w:r>
      <w:r w:rsidR="00763AAD" w:rsidRPr="0071326C">
        <w:t xml:space="preserve"> </w:t>
      </w:r>
      <w:r w:rsidR="008D6805" w:rsidRPr="0071326C">
        <w:t xml:space="preserve">states </w:t>
      </w:r>
      <w:r w:rsidR="00221D2D" w:rsidRPr="0071326C">
        <w:t>(TX, CA, LA, NY)</w:t>
      </w:r>
      <w:r w:rsidR="00763AAD" w:rsidRPr="0071326C">
        <w:t xml:space="preserve"> slid considerably.</w:t>
      </w:r>
      <w:r w:rsidR="00AF3AAB" w:rsidRPr="0071326C">
        <w:br w:type="column"/>
      </w:r>
      <w:r w:rsidR="007F1C4A" w:rsidRPr="00A92ABE">
        <w:rPr>
          <w:rStyle w:val="Heading4Char"/>
          <w:color w:val="auto"/>
        </w:rPr>
        <w:t xml:space="preserve">Figure </w:t>
      </w:r>
      <w:r w:rsidR="007F1C4A" w:rsidRPr="00A92ABE">
        <w:rPr>
          <w:rStyle w:val="Heading4Char"/>
          <w:b/>
          <w:color w:val="auto"/>
        </w:rPr>
        <w:fldChar w:fldCharType="begin"/>
      </w:r>
      <w:r w:rsidR="007F1C4A" w:rsidRPr="00A92ABE">
        <w:rPr>
          <w:rStyle w:val="Heading4Char"/>
          <w:color w:val="auto"/>
        </w:rPr>
        <w:instrText xml:space="preserve"> SEQ Figure \* ARABIC </w:instrText>
      </w:r>
      <w:r w:rsidR="007F1C4A" w:rsidRPr="00A92ABE">
        <w:rPr>
          <w:rStyle w:val="Heading4Char"/>
          <w:b/>
          <w:color w:val="auto"/>
        </w:rPr>
        <w:fldChar w:fldCharType="separate"/>
      </w:r>
      <w:r w:rsidR="009D1486" w:rsidRPr="00A92ABE">
        <w:rPr>
          <w:rStyle w:val="Heading4Char"/>
          <w:noProof/>
          <w:color w:val="auto"/>
        </w:rPr>
        <w:t>1</w:t>
      </w:r>
      <w:r w:rsidR="007F1C4A" w:rsidRPr="00A92ABE">
        <w:rPr>
          <w:rStyle w:val="Heading4Char"/>
          <w:b/>
          <w:color w:val="auto"/>
        </w:rPr>
        <w:fldChar w:fldCharType="end"/>
      </w:r>
      <w:r w:rsidR="00714F39" w:rsidRPr="00A92ABE">
        <w:rPr>
          <w:rStyle w:val="Heading4Char"/>
          <w:color w:val="auto"/>
        </w:rPr>
        <w:t xml:space="preserve">. </w:t>
      </w:r>
      <w:r w:rsidR="00F96126" w:rsidRPr="00A92ABE">
        <w:rPr>
          <w:rStyle w:val="Heading4Char"/>
          <w:color w:val="auto"/>
        </w:rPr>
        <w:t xml:space="preserve"> </w:t>
      </w:r>
      <w:r w:rsidR="0029293B" w:rsidRPr="00A92ABE">
        <w:rPr>
          <w:rStyle w:val="Heading4Char"/>
          <w:color w:val="auto"/>
        </w:rPr>
        <w:t>Mixed Export Trends Across States</w:t>
      </w:r>
    </w:p>
    <w:p w14:paraId="5F1B5AAC" w14:textId="2E772CF2" w:rsidR="007F1C4A" w:rsidRPr="0071326C" w:rsidRDefault="007F1C4A" w:rsidP="00876C3E">
      <w:pPr>
        <w:spacing w:after="0"/>
        <w:ind w:left="360"/>
      </w:pPr>
      <w:r w:rsidRPr="0071326C">
        <w:rPr>
          <w:noProof/>
        </w:rPr>
        <mc:AlternateContent>
          <mc:Choice Requires="wps">
            <w:drawing>
              <wp:anchor distT="0" distB="0" distL="114300" distR="114300" simplePos="0" relativeHeight="251664384" behindDoc="0" locked="0" layoutInCell="1" allowOverlap="1" wp14:anchorId="6AB82DA7" wp14:editId="1BE862EB">
                <wp:simplePos x="0" y="0"/>
                <wp:positionH relativeFrom="column">
                  <wp:posOffset>2674266</wp:posOffset>
                </wp:positionH>
                <wp:positionV relativeFrom="paragraph">
                  <wp:posOffset>1385408</wp:posOffset>
                </wp:positionV>
                <wp:extent cx="803910" cy="441960"/>
                <wp:effectExtent l="0" t="0" r="0" b="0"/>
                <wp:wrapNone/>
                <wp:docPr id="307" name="Text Box 2" descr="highlight text box&#10;MN +16%&#10;U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41960"/>
                        </a:xfrm>
                        <a:prstGeom prst="rect">
                          <a:avLst/>
                        </a:prstGeom>
                        <a:noFill/>
                        <a:ln w="9525">
                          <a:noFill/>
                          <a:miter lim="800000"/>
                          <a:headEnd/>
                          <a:tailEnd/>
                        </a:ln>
                      </wps:spPr>
                      <wps:txbx>
                        <w:txbxContent>
                          <w:p w14:paraId="51975AF3" w14:textId="3F07C78F"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654545">
                              <w:rPr>
                                <w:b/>
                                <w:i/>
                                <w:sz w:val="20"/>
                              </w:rPr>
                              <w:t>-8</w:t>
                            </w:r>
                            <w:r w:rsidRPr="00CE0E91">
                              <w:rPr>
                                <w:b/>
                                <w:i/>
                                <w:sz w:val="20"/>
                              </w:rPr>
                              <w:t>%</w:t>
                            </w:r>
                          </w:p>
                          <w:p w14:paraId="36890F85" w14:textId="587F73D6" w:rsidR="007F1C4A" w:rsidRPr="00CE0E91" w:rsidRDefault="004344C8" w:rsidP="007F1C4A">
                            <w:pPr>
                              <w:spacing w:after="0"/>
                              <w:rPr>
                                <w:b/>
                                <w:i/>
                                <w:sz w:val="20"/>
                              </w:rPr>
                            </w:pPr>
                            <w:r w:rsidRPr="00CE0E91">
                              <w:rPr>
                                <w:b/>
                                <w:i/>
                                <w:sz w:val="20"/>
                              </w:rPr>
                              <w:t xml:space="preserve">U.S.: </w:t>
                            </w:r>
                            <w:r w:rsidR="00654545">
                              <w:rPr>
                                <w:b/>
                                <w:i/>
                                <w:sz w:val="20"/>
                              </w:rPr>
                              <w:t>-2</w:t>
                            </w:r>
                            <w:r w:rsidR="007F1C4A" w:rsidRPr="00CE0E91">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82DA7" id="_x0000_s1027" type="#_x0000_t202" alt="highlight text box&#10;MN +16%&#10;US +18%" style="position:absolute;left:0;text-align:left;margin-left:210.55pt;margin-top:109.1pt;width:63.3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" filled="f" stroked="f">
                <v:textbox>
                  <w:txbxContent>
                    <w:p w14:paraId="51975AF3" w14:textId="3F07C78F"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654545">
                        <w:rPr>
                          <w:b/>
                          <w:i/>
                          <w:sz w:val="20"/>
                        </w:rPr>
                        <w:t>-8</w:t>
                      </w:r>
                      <w:r w:rsidRPr="00CE0E91">
                        <w:rPr>
                          <w:b/>
                          <w:i/>
                          <w:sz w:val="20"/>
                        </w:rPr>
                        <w:t>%</w:t>
                      </w:r>
                    </w:p>
                    <w:p w14:paraId="36890F85" w14:textId="587F73D6" w:rsidR="007F1C4A" w:rsidRPr="00CE0E91" w:rsidRDefault="004344C8" w:rsidP="007F1C4A">
                      <w:pPr>
                        <w:spacing w:after="0"/>
                        <w:rPr>
                          <w:b/>
                          <w:i/>
                          <w:sz w:val="20"/>
                        </w:rPr>
                      </w:pPr>
                      <w:r w:rsidRPr="00CE0E91">
                        <w:rPr>
                          <w:b/>
                          <w:i/>
                          <w:sz w:val="20"/>
                        </w:rPr>
                        <w:t xml:space="preserve">U.S.: </w:t>
                      </w:r>
                      <w:r w:rsidR="00654545">
                        <w:rPr>
                          <w:b/>
                          <w:i/>
                          <w:sz w:val="20"/>
                        </w:rPr>
                        <w:t>-2</w:t>
                      </w:r>
                      <w:r w:rsidR="007F1C4A" w:rsidRPr="00CE0E91">
                        <w:rPr>
                          <w:b/>
                          <w:i/>
                          <w:sz w:val="20"/>
                        </w:rPr>
                        <w:t>%</w:t>
                      </w:r>
                    </w:p>
                  </w:txbxContent>
                </v:textbox>
              </v:shape>
            </w:pict>
          </mc:Fallback>
        </mc:AlternateContent>
      </w:r>
      <w:r w:rsidRPr="0071326C">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29293B" w:rsidRPr="0071326C">
        <w:rPr>
          <w:noProof/>
        </w:rPr>
        <w:drawing>
          <wp:inline distT="0" distB="0" distL="0" distR="0" wp14:anchorId="2EC7E4B9" wp14:editId="0A06169C">
            <wp:extent cx="3073400" cy="1732555"/>
            <wp:effectExtent l="0" t="0" r="0" b="1270"/>
            <wp:docPr id="4" name="Picture 4" descr="2023 Export growth rates by state&#10;State Percent Change, 2022-2023&#10;MN -8%&#10;US -2%&#10;AL 6%&#10;AK -6%&#10;AZ 5%&#10;AR 9%&#10;CA -4%&#10;CO 1%&#10;CT 3%&#10;DE -6%&#10;DC 14%&#10;FL 2%&#10;GA 5%&#10;HI 31%&#10;ID -2%&#10;IL 0%&#10;IN 24%&#10;IA 2%&#10;KS 1%&#10;KY 17%&#10;LA -17%&#10;ME -15%&#10;MD 3%&#10;MA 8%&#10;MI 6%&#10;MS -11%&#10;MO 10%&#10;MT 14%&#10;NE -10%&#10;NV -6%&#10;NH 5%&#10;NJ -6%&#10;NM 3%&#10;NY -11%&#10;NC 5%&#10;ND 43%&#10;OH -2%&#10;OK -5%&#10;OR -20%&#10;PA 6%&#10;RI 4%&#10;SC 18%&#10;SD 2%&#10;TN 0%&#10;TX -9%&#10;UT 5%&#10;VT -21%&#10;VA -10%&#10;WA 0%&#10;WV -27%&#10;WI 2%&#10;WY 1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3 Export growth rates by state&#10;State Percent Change, 2022-2023&#10;MN -8%&#10;US -2%&#10;AL 6%&#10;AK -6%&#10;AZ 5%&#10;AR 9%&#10;CA -4%&#10;CO 1%&#10;CT 3%&#10;DE -6%&#10;DC 14%&#10;FL 2%&#10;GA 5%&#10;HI 31%&#10;ID -2%&#10;IL 0%&#10;IN 24%&#10;IA 2%&#10;KS 1%&#10;KY 17%&#10;LA -17%&#10;ME -15%&#10;MD 3%&#10;MA 8%&#10;MI 6%&#10;MS -11%&#10;MO 10%&#10;MT 14%&#10;NE -10%&#10;NV -6%&#10;NH 5%&#10;NJ -6%&#10;NM 3%&#10;NY -11%&#10;NC 5%&#10;ND 43%&#10;OH -2%&#10;OK -5%&#10;OR -20%&#10;PA 6%&#10;RI 4%&#10;SC 18%&#10;SD 2%&#10;TN 0%&#10;TX -9%&#10;UT 5%&#10;VT -21%&#10;VA -10%&#10;WA 0%&#10;WV -27%&#10;WI 2%&#10;WY 14%&#10;&#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027" b="8808"/>
                    <a:stretch/>
                  </pic:blipFill>
                  <pic:spPr bwMode="auto">
                    <a:xfrm>
                      <a:off x="0" y="0"/>
                      <a:ext cx="3085133" cy="1739169"/>
                    </a:xfrm>
                    <a:prstGeom prst="rect">
                      <a:avLst/>
                    </a:prstGeom>
                    <a:noFill/>
                    <a:ln>
                      <a:noFill/>
                    </a:ln>
                    <a:extLst>
                      <a:ext uri="{53640926-AAD7-44D8-BBD7-CCE9431645EC}">
                        <a14:shadowObscured xmlns:a14="http://schemas.microsoft.com/office/drawing/2010/main"/>
                      </a:ext>
                    </a:extLst>
                  </pic:spPr>
                </pic:pic>
              </a:graphicData>
            </a:graphic>
          </wp:inline>
        </w:drawing>
      </w:r>
    </w:p>
    <w:p w14:paraId="37725C5D" w14:textId="77777777" w:rsidR="007F1C4A" w:rsidRPr="0071326C" w:rsidRDefault="007F1C4A" w:rsidP="00876C3E">
      <w:pPr>
        <w:tabs>
          <w:tab w:val="left" w:pos="450"/>
        </w:tabs>
        <w:spacing w:after="0"/>
        <w:ind w:left="360"/>
        <w:rPr>
          <w:i/>
          <w:sz w:val="18"/>
        </w:rPr>
      </w:pPr>
      <w:r w:rsidRPr="0071326C">
        <w:rPr>
          <w:i/>
          <w:sz w:val="18"/>
        </w:rPr>
        <w:t>Decline     0%   Growth</w:t>
      </w:r>
    </w:p>
    <w:p w14:paraId="394E3A7F" w14:textId="77777777" w:rsidR="00D811FA" w:rsidRPr="0071326C" w:rsidRDefault="00E2669F" w:rsidP="00876C3E">
      <w:pPr>
        <w:tabs>
          <w:tab w:val="left" w:pos="450"/>
        </w:tabs>
        <w:spacing w:after="0"/>
        <w:ind w:left="360"/>
      </w:pPr>
      <w:r w:rsidRPr="0071326C">
        <w:rPr>
          <w:noProof/>
        </w:rPr>
        <w:drawing>
          <wp:inline distT="0" distB="0" distL="0" distR="0" wp14:anchorId="4B03B774" wp14:editId="68A1C271">
            <wp:extent cx="1066800" cy="152400"/>
            <wp:effectExtent l="0" t="0" r="0" b="0"/>
            <wp:docPr id="6" name="Picture 6" descr="color legend for map (yellow for negative trend/decline, green for positive trend/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80" b="24137"/>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0926E465" w14:textId="77777777" w:rsidR="00D73299" w:rsidRPr="0071326C" w:rsidRDefault="00D73299" w:rsidP="00876C3E">
      <w:pPr>
        <w:pStyle w:val="ListParagraph"/>
        <w:ind w:left="360"/>
        <w:sectPr w:rsidR="00D73299" w:rsidRPr="0071326C" w:rsidSect="00FA08BA">
          <w:footnotePr>
            <w:numRestart w:val="eachSect"/>
          </w:footnotePr>
          <w:endnotePr>
            <w:numFmt w:val="decimal"/>
          </w:endnotePr>
          <w:type w:val="continuous"/>
          <w:pgSz w:w="12240" w:h="15840" w:code="1"/>
          <w:pgMar w:top="1440" w:right="1080" w:bottom="1440" w:left="1080" w:header="720" w:footer="720" w:gutter="0"/>
          <w:cols w:num="2" w:space="288"/>
          <w:titlePg/>
          <w:docGrid w:linePitch="299"/>
        </w:sectPr>
      </w:pPr>
    </w:p>
    <w:p w14:paraId="17983E9E" w14:textId="1CB44FB6" w:rsidR="001D101E" w:rsidRPr="0071326C" w:rsidRDefault="00EC4AEF" w:rsidP="0096279A">
      <w:pPr>
        <w:pStyle w:val="ListParagraph"/>
        <w:numPr>
          <w:ilvl w:val="0"/>
          <w:numId w:val="27"/>
        </w:numPr>
        <w:spacing w:after="0"/>
        <w:ind w:left="360" w:right="-54"/>
      </w:pPr>
      <w:r>
        <w:t xml:space="preserve">An estimated over 8,300 </w:t>
      </w:r>
      <w:r w:rsidR="00FA7D40" w:rsidRPr="0071326C">
        <w:t>Minnesota export</w:t>
      </w:r>
      <w:r>
        <w:t>ers</w:t>
      </w:r>
      <w:r w:rsidR="00FA7D40" w:rsidRPr="0071326C">
        <w:t xml:space="preserve"> of goods and services supported </w:t>
      </w:r>
      <w:r>
        <w:t>about</w:t>
      </w:r>
      <w:r w:rsidR="00FA7D40" w:rsidRPr="0071326C">
        <w:t xml:space="preserve"> 117,900 jobs in 2021.</w:t>
      </w:r>
      <w:r>
        <w:t xml:space="preserve"> </w:t>
      </w:r>
    </w:p>
    <w:p w14:paraId="3414AA65" w14:textId="4774F201" w:rsidR="00E83789" w:rsidRPr="0071326C" w:rsidRDefault="00F513A5" w:rsidP="00E77860">
      <w:pPr>
        <w:pStyle w:val="Heading2"/>
        <w:spacing w:before="120" w:after="120"/>
      </w:pPr>
      <w:r w:rsidRPr="0071326C">
        <w:t xml:space="preserve">Demand </w:t>
      </w:r>
      <w:r w:rsidR="0052593E" w:rsidRPr="0071326C">
        <w:t xml:space="preserve">Weakened </w:t>
      </w:r>
      <w:r w:rsidRPr="0071326C">
        <w:t xml:space="preserve">in </w:t>
      </w:r>
      <w:r w:rsidR="0052593E" w:rsidRPr="0071326C">
        <w:t xml:space="preserve">Markets in </w:t>
      </w:r>
      <w:r w:rsidR="008025ED" w:rsidRPr="0071326C">
        <w:t>North America</w:t>
      </w:r>
      <w:r w:rsidRPr="0071326C">
        <w:t xml:space="preserve"> and Asia</w:t>
      </w:r>
    </w:p>
    <w:p w14:paraId="2936DC84" w14:textId="0C2FD60A" w:rsidR="00F513A5" w:rsidRPr="0071326C" w:rsidRDefault="00FA7D40" w:rsidP="00FA7D40">
      <w:pPr>
        <w:pStyle w:val="ListParagraph"/>
        <w:numPr>
          <w:ilvl w:val="0"/>
          <w:numId w:val="27"/>
        </w:numPr>
        <w:spacing w:after="0"/>
        <w:ind w:left="360"/>
      </w:pPr>
      <w:r w:rsidRPr="0071326C">
        <w:t xml:space="preserve">Under constrained global economic </w:t>
      </w:r>
      <w:r w:rsidR="00E77860" w:rsidRPr="0071326C">
        <w:t>conditions</w:t>
      </w:r>
      <w:r w:rsidRPr="0071326C">
        <w:t xml:space="preserve">, </w:t>
      </w:r>
      <w:r w:rsidR="004E2649" w:rsidRPr="0071326C">
        <w:t>Minnesota</w:t>
      </w:r>
      <w:r w:rsidR="00104038" w:rsidRPr="0071326C">
        <w:t xml:space="preserve"> exports</w:t>
      </w:r>
      <w:r w:rsidR="00F513A5" w:rsidRPr="0071326C">
        <w:t xml:space="preserve"> reversed </w:t>
      </w:r>
      <w:r w:rsidRPr="0071326C">
        <w:t>their</w:t>
      </w:r>
      <w:r w:rsidR="00F513A5" w:rsidRPr="0071326C">
        <w:t xml:space="preserve"> growth</w:t>
      </w:r>
      <w:r w:rsidR="007258AB" w:rsidRPr="0071326C">
        <w:t xml:space="preserve"> streak</w:t>
      </w:r>
      <w:r w:rsidR="00F513A5" w:rsidRPr="0071326C">
        <w:t xml:space="preserve"> of </w:t>
      </w:r>
      <w:r w:rsidRPr="0071326C">
        <w:t>2022</w:t>
      </w:r>
      <w:r w:rsidR="00E77860" w:rsidRPr="0071326C">
        <w:t>.</w:t>
      </w:r>
    </w:p>
    <w:p w14:paraId="445C7865" w14:textId="2E41800F" w:rsidR="007258AB" w:rsidRPr="0071326C" w:rsidRDefault="007258AB" w:rsidP="00FA08BA">
      <w:pPr>
        <w:pStyle w:val="ListParagraph"/>
        <w:numPr>
          <w:ilvl w:val="0"/>
          <w:numId w:val="27"/>
        </w:numPr>
        <w:spacing w:after="0"/>
        <w:ind w:left="360"/>
      </w:pPr>
      <w:r w:rsidRPr="0071326C">
        <w:t xml:space="preserve">Exports to </w:t>
      </w:r>
      <w:r w:rsidR="008025ED" w:rsidRPr="0071326C">
        <w:rPr>
          <w:b/>
          <w:bCs/>
        </w:rPr>
        <w:t>North America</w:t>
      </w:r>
      <w:r w:rsidR="008025ED" w:rsidRPr="0071326C">
        <w:t xml:space="preserve"> </w:t>
      </w:r>
      <w:r w:rsidR="00CF2D75" w:rsidRPr="0071326C">
        <w:t>slipped</w:t>
      </w:r>
      <w:r w:rsidR="00F513A5" w:rsidRPr="0071326C">
        <w:t xml:space="preserve"> to</w:t>
      </w:r>
      <w:r w:rsidR="00876C3E" w:rsidRPr="0071326C">
        <w:t xml:space="preserve"> </w:t>
      </w:r>
      <w:r w:rsidR="008025ED" w:rsidRPr="0071326C">
        <w:t>$</w:t>
      </w:r>
      <w:r w:rsidR="009B7CC1" w:rsidRPr="0071326C">
        <w:t>1</w:t>
      </w:r>
      <w:r w:rsidR="00F513A5" w:rsidRPr="0071326C">
        <w:t>0</w:t>
      </w:r>
      <w:r w:rsidR="009B7CC1" w:rsidRPr="0071326C">
        <w:t>.</w:t>
      </w:r>
      <w:r w:rsidR="00F513A5" w:rsidRPr="0071326C">
        <w:t>4</w:t>
      </w:r>
      <w:r w:rsidR="008025ED" w:rsidRPr="0071326C">
        <w:t xml:space="preserve"> billion</w:t>
      </w:r>
      <w:r w:rsidR="00F513A5" w:rsidRPr="0071326C">
        <w:t>, dropping $1.4 billion</w:t>
      </w:r>
      <w:r w:rsidR="00CF2D75" w:rsidRPr="0071326C">
        <w:t xml:space="preserve"> in value</w:t>
      </w:r>
      <w:r w:rsidR="00876C3E" w:rsidRPr="0071326C">
        <w:t xml:space="preserve"> (</w:t>
      </w:r>
      <w:r w:rsidR="009B7CC1" w:rsidRPr="0071326C">
        <w:t xml:space="preserve">or </w:t>
      </w:r>
      <w:r w:rsidR="00CF2D75" w:rsidRPr="0071326C">
        <w:t>down</w:t>
      </w:r>
      <w:r w:rsidR="009B7CC1" w:rsidRPr="0071326C">
        <w:t xml:space="preserve"> </w:t>
      </w:r>
      <w:r w:rsidR="00F513A5" w:rsidRPr="0071326C">
        <w:t>12</w:t>
      </w:r>
      <w:r w:rsidR="009B7CC1" w:rsidRPr="0071326C">
        <w:t>%</w:t>
      </w:r>
      <w:r w:rsidR="00876C3E" w:rsidRPr="0071326C">
        <w:t>)</w:t>
      </w:r>
      <w:r w:rsidR="009B7CC1" w:rsidRPr="0071326C">
        <w:t xml:space="preserve"> </w:t>
      </w:r>
      <w:r w:rsidR="00F513A5" w:rsidRPr="0071326C">
        <w:t>since</w:t>
      </w:r>
      <w:r w:rsidR="009B7CC1" w:rsidRPr="0071326C">
        <w:t xml:space="preserve"> </w:t>
      </w:r>
      <w:r w:rsidR="008D6805" w:rsidRPr="0071326C">
        <w:t>2022</w:t>
      </w:r>
      <w:r w:rsidR="008025ED" w:rsidRPr="0071326C">
        <w:t xml:space="preserve">. </w:t>
      </w:r>
      <w:r w:rsidR="00D13DB2" w:rsidRPr="0071326C">
        <w:t>Export</w:t>
      </w:r>
      <w:r w:rsidR="00833612" w:rsidRPr="0071326C">
        <w:t>s</w:t>
      </w:r>
      <w:r w:rsidR="00D13DB2" w:rsidRPr="0071326C">
        <w:t xml:space="preserve"> </w:t>
      </w:r>
      <w:r w:rsidR="00833612" w:rsidRPr="0071326C">
        <w:t xml:space="preserve">also </w:t>
      </w:r>
      <w:r w:rsidR="00CF2D75" w:rsidRPr="0071326C">
        <w:t xml:space="preserve">slumped </w:t>
      </w:r>
      <w:r w:rsidR="009B7CC1" w:rsidRPr="0071326C">
        <w:t xml:space="preserve">to </w:t>
      </w:r>
      <w:r w:rsidR="00F513A5" w:rsidRPr="0071326C">
        <w:rPr>
          <w:b/>
          <w:bCs/>
        </w:rPr>
        <w:t>Asia</w:t>
      </w:r>
      <w:r w:rsidR="009B7CC1" w:rsidRPr="0071326C">
        <w:t xml:space="preserve"> ($</w:t>
      </w:r>
      <w:r w:rsidR="00CF2D75" w:rsidRPr="0071326C">
        <w:t>6.4 bill</w:t>
      </w:r>
      <w:r w:rsidR="009B7CC1" w:rsidRPr="0071326C">
        <w:t xml:space="preserve">ion, </w:t>
      </w:r>
      <w:r w:rsidR="00F513A5" w:rsidRPr="0071326C">
        <w:t>down</w:t>
      </w:r>
      <w:r w:rsidR="009B7CC1" w:rsidRPr="0071326C">
        <w:t xml:space="preserve"> </w:t>
      </w:r>
      <w:r w:rsidR="00F513A5" w:rsidRPr="0071326C">
        <w:t>13</w:t>
      </w:r>
      <w:r w:rsidR="009B7CC1" w:rsidRPr="0071326C">
        <w:t>%)</w:t>
      </w:r>
      <w:r w:rsidRPr="0071326C">
        <w:t xml:space="preserve"> and </w:t>
      </w:r>
      <w:r w:rsidRPr="0071326C">
        <w:rPr>
          <w:b/>
          <w:bCs/>
        </w:rPr>
        <w:t xml:space="preserve">the European Union </w:t>
      </w:r>
      <w:r w:rsidRPr="0071326C">
        <w:t>($4.4 billion, down 7%).</w:t>
      </w:r>
    </w:p>
    <w:p w14:paraId="17D9A4E8" w14:textId="09D9DF46" w:rsidR="003E6250" w:rsidRPr="0071326C" w:rsidRDefault="00CF2D75" w:rsidP="0052593E">
      <w:pPr>
        <w:pStyle w:val="ListParagraph"/>
        <w:numPr>
          <w:ilvl w:val="0"/>
          <w:numId w:val="27"/>
        </w:numPr>
        <w:spacing w:after="0"/>
        <w:ind w:left="360"/>
      </w:pPr>
      <w:r w:rsidRPr="0071326C">
        <w:t>The state’s e</w:t>
      </w:r>
      <w:r w:rsidR="007258AB" w:rsidRPr="0071326C">
        <w:t>xporters found</w:t>
      </w:r>
      <w:r w:rsidR="0052593E" w:rsidRPr="0071326C">
        <w:t xml:space="preserve"> </w:t>
      </w:r>
      <w:r w:rsidR="00996D25" w:rsidRPr="0071326C">
        <w:t>promising</w:t>
      </w:r>
      <w:r w:rsidR="007258AB" w:rsidRPr="0071326C">
        <w:t xml:space="preserve"> growth opportunities in </w:t>
      </w:r>
      <w:r w:rsidR="00A5262D" w:rsidRPr="0071326C">
        <w:t xml:space="preserve">the </w:t>
      </w:r>
      <w:r w:rsidR="00A5262D" w:rsidRPr="0071326C">
        <w:rPr>
          <w:b/>
          <w:bCs/>
        </w:rPr>
        <w:t>Caribbean</w:t>
      </w:r>
      <w:r w:rsidR="007258AB" w:rsidRPr="0071326C">
        <w:rPr>
          <w:b/>
          <w:bCs/>
        </w:rPr>
        <w:t>,</w:t>
      </w:r>
      <w:r w:rsidR="00A5262D" w:rsidRPr="0071326C">
        <w:t xml:space="preserve"> </w:t>
      </w:r>
      <w:r w:rsidR="009B7CC1" w:rsidRPr="0071326C">
        <w:rPr>
          <w:b/>
          <w:bCs/>
        </w:rPr>
        <w:t xml:space="preserve">Central </w:t>
      </w:r>
      <w:proofErr w:type="gramStart"/>
      <w:r w:rsidR="007258AB" w:rsidRPr="0071326C">
        <w:rPr>
          <w:b/>
          <w:bCs/>
        </w:rPr>
        <w:t>America</w:t>
      </w:r>
      <w:proofErr w:type="gramEnd"/>
      <w:r w:rsidR="007258AB" w:rsidRPr="0071326C">
        <w:rPr>
          <w:b/>
          <w:bCs/>
        </w:rPr>
        <w:t xml:space="preserve"> </w:t>
      </w:r>
      <w:r w:rsidR="009B7CC1" w:rsidRPr="0071326C">
        <w:rPr>
          <w:b/>
          <w:bCs/>
        </w:rPr>
        <w:t>and South America</w:t>
      </w:r>
      <w:r w:rsidR="009B7CC1" w:rsidRPr="0071326C">
        <w:t xml:space="preserve"> ($1.</w:t>
      </w:r>
      <w:r w:rsidR="007258AB" w:rsidRPr="0071326C">
        <w:t>3</w:t>
      </w:r>
      <w:r w:rsidR="009B7CC1" w:rsidRPr="0071326C">
        <w:t xml:space="preserve"> billion, up </w:t>
      </w:r>
      <w:r w:rsidR="007258AB" w:rsidRPr="0071326C">
        <w:t>1</w:t>
      </w:r>
      <w:r w:rsidRPr="0071326C">
        <w:t>4</w:t>
      </w:r>
      <w:r w:rsidR="009B7CC1" w:rsidRPr="0071326C">
        <w:t>%)</w:t>
      </w:r>
      <w:r w:rsidR="007258AB" w:rsidRPr="0071326C">
        <w:t>,</w:t>
      </w:r>
      <w:r w:rsidR="009B7CC1" w:rsidRPr="0071326C">
        <w:t xml:space="preserve"> </w:t>
      </w:r>
      <w:r w:rsidR="00A5262D" w:rsidRPr="0071326C">
        <w:t xml:space="preserve">the </w:t>
      </w:r>
      <w:r w:rsidR="00A5262D" w:rsidRPr="0071326C">
        <w:rPr>
          <w:b/>
          <w:bCs/>
        </w:rPr>
        <w:t>Australia-Pacific</w:t>
      </w:r>
      <w:r w:rsidR="00A5262D" w:rsidRPr="0071326C">
        <w:t xml:space="preserve"> </w:t>
      </w:r>
      <w:r w:rsidR="007258AB" w:rsidRPr="0071326C">
        <w:t>region</w:t>
      </w:r>
      <w:r w:rsidR="00A5262D" w:rsidRPr="0071326C">
        <w:t xml:space="preserve"> (</w:t>
      </w:r>
      <w:r w:rsidR="007258AB" w:rsidRPr="0071326C">
        <w:t>$619 million, up 26</w:t>
      </w:r>
      <w:r w:rsidR="00A5262D" w:rsidRPr="0071326C">
        <w:t>%)</w:t>
      </w:r>
      <w:r w:rsidR="007258AB" w:rsidRPr="0071326C">
        <w:t xml:space="preserve"> and </w:t>
      </w:r>
      <w:r w:rsidR="007258AB" w:rsidRPr="0071326C">
        <w:rPr>
          <w:b/>
          <w:bCs/>
        </w:rPr>
        <w:t>Africa</w:t>
      </w:r>
      <w:r w:rsidR="007258AB" w:rsidRPr="0071326C">
        <w:t xml:space="preserve"> ($262 million, up 41%).</w:t>
      </w:r>
      <w:r w:rsidR="0052593E" w:rsidRPr="0071326C">
        <w:t xml:space="preserve"> </w:t>
      </w:r>
      <w:r w:rsidRPr="0071326C">
        <w:t>Sales also edged up in</w:t>
      </w:r>
      <w:r w:rsidR="0052593E" w:rsidRPr="0071326C">
        <w:t xml:space="preserve"> t</w:t>
      </w:r>
      <w:r w:rsidR="007258AB" w:rsidRPr="0071326C">
        <w:t xml:space="preserve">he </w:t>
      </w:r>
      <w:r w:rsidR="007258AB" w:rsidRPr="0071326C">
        <w:rPr>
          <w:b/>
          <w:bCs/>
        </w:rPr>
        <w:t>Middle East</w:t>
      </w:r>
      <w:r w:rsidR="007258AB" w:rsidRPr="0071326C">
        <w:t xml:space="preserve"> (up </w:t>
      </w:r>
      <w:r w:rsidR="0052593E" w:rsidRPr="0071326C">
        <w:t>4</w:t>
      </w:r>
      <w:r w:rsidR="007258AB" w:rsidRPr="0071326C">
        <w:t>%)</w:t>
      </w:r>
      <w:r w:rsidR="0052593E" w:rsidRPr="0071326C">
        <w:t xml:space="preserve"> and </w:t>
      </w:r>
      <w:r w:rsidR="0052593E" w:rsidRPr="0071326C">
        <w:rPr>
          <w:b/>
          <w:bCs/>
        </w:rPr>
        <w:t>European markets outside the EU</w:t>
      </w:r>
      <w:r w:rsidR="007258AB" w:rsidRPr="0071326C">
        <w:t xml:space="preserve"> </w:t>
      </w:r>
      <w:r w:rsidR="0052593E" w:rsidRPr="0071326C">
        <w:t>(up 3%</w:t>
      </w:r>
      <w:r w:rsidR="007258AB" w:rsidRPr="0071326C">
        <w:t>)</w:t>
      </w:r>
      <w:r w:rsidR="0052593E" w:rsidRPr="0071326C">
        <w:t>.</w:t>
      </w:r>
      <w:r w:rsidR="007258AB" w:rsidRPr="0071326C">
        <w:t xml:space="preserve"> </w:t>
      </w:r>
    </w:p>
    <w:p w14:paraId="13648AF3" w14:textId="644A6D38" w:rsidR="0052593E" w:rsidRPr="0071326C" w:rsidRDefault="0052593E" w:rsidP="0052593E">
      <w:pPr>
        <w:pStyle w:val="ListParagraph"/>
        <w:numPr>
          <w:ilvl w:val="0"/>
          <w:numId w:val="27"/>
        </w:numPr>
        <w:spacing w:after="0"/>
        <w:ind w:left="360"/>
        <w:rPr>
          <w:b/>
          <w:bCs/>
        </w:rPr>
      </w:pPr>
      <w:r w:rsidRPr="0071326C">
        <w:rPr>
          <w:b/>
          <w:bCs/>
        </w:rPr>
        <w:t xml:space="preserve">Mexico, Australia, Ireland, Saudi Arabia, </w:t>
      </w:r>
      <w:r w:rsidRPr="0071326C">
        <w:t xml:space="preserve">and </w:t>
      </w:r>
      <w:r w:rsidRPr="0071326C">
        <w:rPr>
          <w:b/>
          <w:bCs/>
        </w:rPr>
        <w:t xml:space="preserve">Chile </w:t>
      </w:r>
      <w:r w:rsidRPr="0071326C">
        <w:t xml:space="preserve">generated </w:t>
      </w:r>
      <w:r w:rsidR="00CF2D75" w:rsidRPr="0071326C">
        <w:t>the largest export gains per market</w:t>
      </w:r>
      <w:r w:rsidRPr="0071326C">
        <w:t xml:space="preserve"> in 2023</w:t>
      </w:r>
      <w:r w:rsidRPr="0071326C">
        <w:rPr>
          <w:b/>
          <w:bCs/>
        </w:rPr>
        <w:t>.</w:t>
      </w:r>
    </w:p>
    <w:p w14:paraId="3927CA69" w14:textId="14CEA94A" w:rsidR="0018019E" w:rsidRDefault="007C165F" w:rsidP="00FA7D40">
      <w:pPr>
        <w:spacing w:before="80" w:after="80"/>
        <w:rPr>
          <w:rStyle w:val="Heading4Char"/>
          <w:color w:val="auto"/>
        </w:rPr>
      </w:pPr>
      <w:r w:rsidRPr="0071326C">
        <w:rPr>
          <w:rStyle w:val="Heading4Char"/>
          <w:color w:val="auto"/>
        </w:rPr>
        <w:t xml:space="preserve">Figure </w:t>
      </w:r>
      <w:r w:rsidR="00E36364" w:rsidRPr="0071326C">
        <w:rPr>
          <w:rStyle w:val="Heading4Char"/>
          <w:color w:val="auto"/>
        </w:rPr>
        <w:fldChar w:fldCharType="begin"/>
      </w:r>
      <w:r w:rsidR="00E36364" w:rsidRPr="0071326C">
        <w:rPr>
          <w:rStyle w:val="Heading4Char"/>
          <w:color w:val="auto"/>
        </w:rPr>
        <w:instrText xml:space="preserve"> SEQ Figure \* ARABIC </w:instrText>
      </w:r>
      <w:r w:rsidR="00E36364" w:rsidRPr="0071326C">
        <w:rPr>
          <w:rStyle w:val="Heading4Char"/>
          <w:color w:val="auto"/>
        </w:rPr>
        <w:fldChar w:fldCharType="separate"/>
      </w:r>
      <w:r w:rsidR="009D1486" w:rsidRPr="0071326C">
        <w:rPr>
          <w:rStyle w:val="Heading4Char"/>
          <w:noProof/>
          <w:color w:val="auto"/>
        </w:rPr>
        <w:t>2</w:t>
      </w:r>
      <w:r w:rsidR="00E36364" w:rsidRPr="0071326C">
        <w:rPr>
          <w:rStyle w:val="Heading4Char"/>
          <w:color w:val="auto"/>
        </w:rPr>
        <w:fldChar w:fldCharType="end"/>
      </w:r>
      <w:r w:rsidR="00C84D0E" w:rsidRPr="0071326C">
        <w:rPr>
          <w:rStyle w:val="Heading4Char"/>
          <w:color w:val="auto"/>
        </w:rPr>
        <w:t xml:space="preserve">. </w:t>
      </w:r>
      <w:r w:rsidR="00542EF2" w:rsidRPr="0071326C">
        <w:rPr>
          <w:rStyle w:val="Heading4Char"/>
          <w:color w:val="auto"/>
        </w:rPr>
        <w:t xml:space="preserve">Exports </w:t>
      </w:r>
      <w:r w:rsidR="0029293B" w:rsidRPr="0071326C">
        <w:rPr>
          <w:rStyle w:val="Heading4Char"/>
          <w:color w:val="auto"/>
        </w:rPr>
        <w:t>to</w:t>
      </w:r>
      <w:r w:rsidR="0038665A" w:rsidRPr="0071326C">
        <w:rPr>
          <w:rStyle w:val="Heading4Char"/>
          <w:color w:val="auto"/>
        </w:rPr>
        <w:t xml:space="preserve"> Minnesota’s Top 10 Markets</w:t>
      </w:r>
      <w:r w:rsidR="00705190" w:rsidRPr="0071326C">
        <w:rPr>
          <w:rStyle w:val="Heading4Char"/>
          <w:color w:val="auto"/>
        </w:rPr>
        <w:t xml:space="preserve"> in</w:t>
      </w:r>
      <w:r w:rsidR="0038665A" w:rsidRPr="0071326C">
        <w:rPr>
          <w:rStyle w:val="Heading4Char"/>
          <w:color w:val="auto"/>
        </w:rPr>
        <w:t xml:space="preserve"> </w:t>
      </w:r>
      <w:r w:rsidR="008D6805" w:rsidRPr="0071326C">
        <w:rPr>
          <w:rStyle w:val="Heading4Char"/>
          <w:color w:val="auto"/>
        </w:rPr>
        <w:t>2023</w:t>
      </w:r>
    </w:p>
    <w:p w14:paraId="00915E84" w14:textId="0CFD4EEE" w:rsidR="00823BB9" w:rsidRPr="0071326C" w:rsidRDefault="00823BB9" w:rsidP="00FA7D40">
      <w:pPr>
        <w:spacing w:before="80" w:after="80"/>
        <w:rPr>
          <w:rStyle w:val="Heading4Char"/>
          <w:color w:val="auto"/>
        </w:rPr>
      </w:pPr>
      <w:r>
        <w:rPr>
          <w:noProof/>
        </w:rPr>
        <w:drawing>
          <wp:inline distT="0" distB="0" distL="0" distR="0" wp14:anchorId="72701F21" wp14:editId="6893D2AD">
            <wp:extent cx="6309360" cy="1855815"/>
            <wp:effectExtent l="0" t="0" r="0" b="0"/>
            <wp:docPr id="1" name="Picture 1" descr="MN Exports to top 10 countries, 2023&#10;Country Exports (billions) Percent Change, 2022 to 2023&#10;WORLD  $24.9  -8%&#10;Canada (1)   $7.0  -22%&#10;Mexico (2)   $3.3  19%&#10;China (3)   $2.4  -11%&#10;Japan (4)   $1.0  -10%&#10;Germany (5)   $0.9  -1%&#10;Belgium (6)   $0.7  -2%&#10;Netherlands (7)   $0.7  -9%&#10;Ireland (8)   $0.7  17%&#10;Korea (9)   $0.6  -21%&#10;Australia (10)   $0.6  33%&#10;Other  $7.0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 Exports to top 10 countries, 2023&#10;Country Exports (billions) Percent Change, 2022 to 2023&#10;WORLD  $24.9  -8%&#10;Canada (1)   $7.0  -22%&#10;Mexico (2)   $3.3  19%&#10;China (3)   $2.4  -11%&#10;Japan (4)   $1.0  -10%&#10;Germany (5)   $0.9  -1%&#10;Belgium (6)   $0.7  -2%&#10;Netherlands (7)   $0.7  -9%&#10;Ireland (8)   $0.7  17%&#10;Korea (9)   $0.6  -21%&#10;Australia (10)   $0.6  33%&#10;Other  $7.0  -6%&#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628"/>
                    <a:stretch/>
                  </pic:blipFill>
                  <pic:spPr bwMode="auto">
                    <a:xfrm>
                      <a:off x="0" y="0"/>
                      <a:ext cx="6309360" cy="1855815"/>
                    </a:xfrm>
                    <a:prstGeom prst="rect">
                      <a:avLst/>
                    </a:prstGeom>
                    <a:noFill/>
                    <a:ln>
                      <a:noFill/>
                    </a:ln>
                    <a:extLst>
                      <a:ext uri="{53640926-AAD7-44D8-BBD7-CCE9431645EC}">
                        <a14:shadowObscured xmlns:a14="http://schemas.microsoft.com/office/drawing/2010/main"/>
                      </a:ext>
                    </a:extLst>
                  </pic:spPr>
                </pic:pic>
              </a:graphicData>
            </a:graphic>
          </wp:inline>
        </w:drawing>
      </w:r>
    </w:p>
    <w:p w14:paraId="29AFD6FC" w14:textId="3C4A60AC" w:rsidR="00AD20E9" w:rsidRPr="0071326C" w:rsidRDefault="00996D25" w:rsidP="00EC4AEF">
      <w:pPr>
        <w:pStyle w:val="Heading2"/>
        <w:spacing w:before="120" w:after="120"/>
        <w:sectPr w:rsidR="00AD20E9" w:rsidRPr="0071326C" w:rsidSect="009D4735">
          <w:footnotePr>
            <w:numRestart w:val="eachSect"/>
          </w:footnotePr>
          <w:endnotePr>
            <w:numFmt w:val="decimal"/>
          </w:endnotePr>
          <w:type w:val="continuous"/>
          <w:pgSz w:w="12240" w:h="15840" w:code="1"/>
          <w:pgMar w:top="864" w:right="1152" w:bottom="864" w:left="1152" w:header="432" w:footer="432" w:gutter="0"/>
          <w:cols w:space="720"/>
          <w:docGrid w:linePitch="299"/>
        </w:sectPr>
      </w:pPr>
      <w:r w:rsidRPr="0071326C">
        <w:lastRenderedPageBreak/>
        <w:t xml:space="preserve">Growth in Vehicles, Optic &amp; Medical, Aircraft &amp; Spacecraft Help Bolster Exports </w:t>
      </w:r>
    </w:p>
    <w:p w14:paraId="59D74E92" w14:textId="6BF12041" w:rsidR="00A1620E" w:rsidRPr="0071326C" w:rsidRDefault="00763AAD" w:rsidP="00BC4C10">
      <w:pPr>
        <w:pStyle w:val="ListParagraph"/>
        <w:numPr>
          <w:ilvl w:val="0"/>
          <w:numId w:val="7"/>
        </w:numPr>
        <w:spacing w:before="60" w:after="0" w:line="271" w:lineRule="auto"/>
        <w:ind w:left="360" w:right="18"/>
        <w:rPr>
          <w:b/>
          <w:sz w:val="24"/>
        </w:rPr>
      </w:pPr>
      <w:r w:rsidRPr="0071326C">
        <w:rPr>
          <w:b/>
        </w:rPr>
        <w:t>V</w:t>
      </w:r>
      <w:r w:rsidR="00996D25" w:rsidRPr="0071326C">
        <w:rPr>
          <w:b/>
        </w:rPr>
        <w:t>ehicles</w:t>
      </w:r>
      <w:r w:rsidR="00BE7D73" w:rsidRPr="0071326C">
        <w:rPr>
          <w:b/>
        </w:rPr>
        <w:t xml:space="preserve"> </w:t>
      </w:r>
      <w:r w:rsidR="00BE7D73" w:rsidRPr="0071326C">
        <w:rPr>
          <w:bCs/>
        </w:rPr>
        <w:t xml:space="preserve">(up </w:t>
      </w:r>
      <w:r w:rsidR="005911D1" w:rsidRPr="0071326C">
        <w:rPr>
          <w:bCs/>
        </w:rPr>
        <w:t>$</w:t>
      </w:r>
      <w:r w:rsidR="00996D25" w:rsidRPr="0071326C">
        <w:rPr>
          <w:bCs/>
        </w:rPr>
        <w:t>634</w:t>
      </w:r>
      <w:r w:rsidR="005911D1" w:rsidRPr="0071326C">
        <w:rPr>
          <w:bCs/>
        </w:rPr>
        <w:t xml:space="preserve"> </w:t>
      </w:r>
      <w:r w:rsidR="00996D25" w:rsidRPr="0071326C">
        <w:rPr>
          <w:bCs/>
        </w:rPr>
        <w:t>m</w:t>
      </w:r>
      <w:r w:rsidR="005911D1" w:rsidRPr="0071326C">
        <w:rPr>
          <w:bCs/>
        </w:rPr>
        <w:t>illion</w:t>
      </w:r>
      <w:r w:rsidR="00BE7D73" w:rsidRPr="0071326C">
        <w:rPr>
          <w:bCs/>
        </w:rPr>
        <w:t>)</w:t>
      </w:r>
      <w:r w:rsidR="00BC4C10" w:rsidRPr="0071326C">
        <w:rPr>
          <w:bCs/>
        </w:rPr>
        <w:t>,</w:t>
      </w:r>
      <w:r w:rsidR="009A2C9D" w:rsidRPr="0071326C">
        <w:rPr>
          <w:bCs/>
        </w:rPr>
        <w:t xml:space="preserve"> </w:t>
      </w:r>
      <w:r w:rsidR="00996D25" w:rsidRPr="0071326C">
        <w:rPr>
          <w:b/>
        </w:rPr>
        <w:t>optic, medical</w:t>
      </w:r>
      <w:r w:rsidR="009A2C9D" w:rsidRPr="0071326C">
        <w:rPr>
          <w:b/>
        </w:rPr>
        <w:t xml:space="preserve"> </w:t>
      </w:r>
      <w:r w:rsidR="009A2C9D" w:rsidRPr="0071326C">
        <w:rPr>
          <w:bCs/>
        </w:rPr>
        <w:t>(up $</w:t>
      </w:r>
      <w:r w:rsidR="00996D25" w:rsidRPr="0071326C">
        <w:rPr>
          <w:bCs/>
        </w:rPr>
        <w:t>29</w:t>
      </w:r>
      <w:r w:rsidR="00BC4C10" w:rsidRPr="0071326C">
        <w:rPr>
          <w:bCs/>
        </w:rPr>
        <w:t>1</w:t>
      </w:r>
      <w:r w:rsidR="009A2C9D" w:rsidRPr="0071326C">
        <w:rPr>
          <w:bCs/>
        </w:rPr>
        <w:t xml:space="preserve"> million)</w:t>
      </w:r>
      <w:r w:rsidR="00996D25" w:rsidRPr="0071326C">
        <w:t xml:space="preserve"> and</w:t>
      </w:r>
      <w:r w:rsidR="00BC4C10" w:rsidRPr="0071326C">
        <w:t xml:space="preserve"> </w:t>
      </w:r>
      <w:r w:rsidR="00996D25" w:rsidRPr="0071326C">
        <w:rPr>
          <w:b/>
        </w:rPr>
        <w:t>aircraft, spacecraft</w:t>
      </w:r>
      <w:r w:rsidR="00BC4C10" w:rsidRPr="0071326C">
        <w:rPr>
          <w:b/>
        </w:rPr>
        <w:t xml:space="preserve"> </w:t>
      </w:r>
      <w:r w:rsidR="00BC4C10" w:rsidRPr="0071326C">
        <w:rPr>
          <w:bCs/>
        </w:rPr>
        <w:t>(up $</w:t>
      </w:r>
      <w:r w:rsidR="00996D25" w:rsidRPr="0071326C">
        <w:rPr>
          <w:bCs/>
        </w:rPr>
        <w:t>92</w:t>
      </w:r>
      <w:r w:rsidR="00BC4C10" w:rsidRPr="0071326C">
        <w:rPr>
          <w:bCs/>
        </w:rPr>
        <w:t xml:space="preserve"> million)</w:t>
      </w:r>
      <w:r w:rsidRPr="0071326C">
        <w:rPr>
          <w:bCs/>
        </w:rPr>
        <w:t xml:space="preserve"> </w:t>
      </w:r>
      <w:r w:rsidR="00E77860" w:rsidRPr="0071326C">
        <w:rPr>
          <w:bCs/>
        </w:rPr>
        <w:t>offered bright spots</w:t>
      </w:r>
      <w:r w:rsidR="00EC4AEF">
        <w:rPr>
          <w:bCs/>
        </w:rPr>
        <w:t xml:space="preserve"> of </w:t>
      </w:r>
      <w:r w:rsidRPr="0071326C">
        <w:t>surg</w:t>
      </w:r>
      <w:r w:rsidR="00EC4AEF">
        <w:t>ing demand</w:t>
      </w:r>
      <w:r w:rsidRPr="0071326C">
        <w:t>.</w:t>
      </w:r>
    </w:p>
    <w:p w14:paraId="72A70324" w14:textId="6385F182" w:rsidR="0071280F" w:rsidRPr="0071326C" w:rsidRDefault="0071280F" w:rsidP="0071280F">
      <w:pPr>
        <w:pStyle w:val="ListParagraph"/>
        <w:numPr>
          <w:ilvl w:val="0"/>
          <w:numId w:val="7"/>
        </w:numPr>
        <w:spacing w:before="80" w:after="80" w:line="271" w:lineRule="auto"/>
        <w:ind w:left="360" w:right="18"/>
      </w:pPr>
      <w:r w:rsidRPr="0071326C">
        <w:t xml:space="preserve">The </w:t>
      </w:r>
      <w:r w:rsidR="00763AAD" w:rsidRPr="0071326C">
        <w:t>65%</w:t>
      </w:r>
      <w:r w:rsidRPr="0071326C">
        <w:t xml:space="preserve"> decrease in </w:t>
      </w:r>
      <w:r w:rsidRPr="0071326C">
        <w:rPr>
          <w:b/>
          <w:bCs/>
        </w:rPr>
        <w:t>m</w:t>
      </w:r>
      <w:r w:rsidRPr="0071326C">
        <w:rPr>
          <w:b/>
        </w:rPr>
        <w:t>ineral fuel, oil</w:t>
      </w:r>
      <w:r w:rsidRPr="0071326C">
        <w:t xml:space="preserve"> represented a loss of $2.3 billion in </w:t>
      </w:r>
      <w:r w:rsidR="00763AAD" w:rsidRPr="0071326C">
        <w:t>exports and</w:t>
      </w:r>
      <w:r w:rsidRPr="0071326C">
        <w:t xml:space="preserve"> was driven by </w:t>
      </w:r>
      <w:r w:rsidRPr="0071326C">
        <w:rPr>
          <w:b/>
          <w:bCs/>
        </w:rPr>
        <w:t>Canada</w:t>
      </w:r>
      <w:r w:rsidR="00763AAD" w:rsidRPr="0071326C">
        <w:t>. It</w:t>
      </w:r>
      <w:r w:rsidRPr="0071326C">
        <w:t xml:space="preserve"> was the underlying</w:t>
      </w:r>
      <w:r w:rsidR="00E77860" w:rsidRPr="0071326C">
        <w:t xml:space="preserve"> source</w:t>
      </w:r>
      <w:r w:rsidRPr="0071326C">
        <w:t xml:space="preserve"> </w:t>
      </w:r>
      <w:r w:rsidR="00763AAD" w:rsidRPr="0071326C">
        <w:t xml:space="preserve">of the state’s </w:t>
      </w:r>
      <w:r w:rsidRPr="0071326C">
        <w:t>decrease in</w:t>
      </w:r>
      <w:r w:rsidR="00763AAD" w:rsidRPr="0071326C">
        <w:t xml:space="preserve"> total</w:t>
      </w:r>
      <w:r w:rsidRPr="0071326C">
        <w:t xml:space="preserve"> exports</w:t>
      </w:r>
      <w:r w:rsidR="00763AAD" w:rsidRPr="0071326C">
        <w:t>.</w:t>
      </w:r>
    </w:p>
    <w:p w14:paraId="5337A94D" w14:textId="0C105AE8" w:rsidR="003329A5" w:rsidRPr="0071326C" w:rsidRDefault="00996D25" w:rsidP="0071280F">
      <w:pPr>
        <w:pStyle w:val="ListParagraph"/>
        <w:numPr>
          <w:ilvl w:val="0"/>
          <w:numId w:val="7"/>
        </w:numPr>
        <w:spacing w:after="0" w:line="271" w:lineRule="auto"/>
        <w:ind w:left="360"/>
      </w:pPr>
      <w:r w:rsidRPr="0071326C">
        <w:rPr>
          <w:b/>
        </w:rPr>
        <w:t>Vehicles</w:t>
      </w:r>
      <w:r w:rsidR="00BC4C10" w:rsidRPr="0071326C">
        <w:rPr>
          <w:b/>
        </w:rPr>
        <w:t xml:space="preserve"> </w:t>
      </w:r>
      <w:r w:rsidR="00BC4C10" w:rsidRPr="0071326C">
        <w:t>exports</w:t>
      </w:r>
      <w:r w:rsidR="00BC4C10" w:rsidRPr="0071326C">
        <w:rPr>
          <w:b/>
        </w:rPr>
        <w:t xml:space="preserve"> </w:t>
      </w:r>
      <w:r w:rsidRPr="0071326C">
        <w:t>grew 45%</w:t>
      </w:r>
      <w:r w:rsidR="00BC4C10" w:rsidRPr="0071326C">
        <w:t xml:space="preserve"> to </w:t>
      </w:r>
      <w:r w:rsidRPr="0071326C">
        <w:t xml:space="preserve">over </w:t>
      </w:r>
      <w:r w:rsidR="00BC4C10" w:rsidRPr="0071326C">
        <w:t>$</w:t>
      </w:r>
      <w:r w:rsidRPr="0071326C">
        <w:t>2</w:t>
      </w:r>
      <w:r w:rsidR="00BC4C10" w:rsidRPr="0071326C">
        <w:t xml:space="preserve"> billion</w:t>
      </w:r>
      <w:r w:rsidRPr="0071326C">
        <w:t xml:space="preserve">. </w:t>
      </w:r>
      <w:r w:rsidR="00BC4C10" w:rsidRPr="0071326C">
        <w:rPr>
          <w:b/>
        </w:rPr>
        <w:t>Canad</w:t>
      </w:r>
      <w:r w:rsidR="00275B48" w:rsidRPr="0071326C">
        <w:rPr>
          <w:b/>
        </w:rPr>
        <w:t>a</w:t>
      </w:r>
      <w:r w:rsidR="00B76132" w:rsidRPr="0071326C">
        <w:rPr>
          <w:bCs/>
        </w:rPr>
        <w:t xml:space="preserve"> </w:t>
      </w:r>
      <w:r w:rsidRPr="0071326C">
        <w:rPr>
          <w:bCs/>
        </w:rPr>
        <w:t xml:space="preserve">(up 45%) </w:t>
      </w:r>
      <w:r w:rsidR="00B76132" w:rsidRPr="0071326C">
        <w:rPr>
          <w:bCs/>
        </w:rPr>
        <w:t>and</w:t>
      </w:r>
      <w:r w:rsidR="00BC4C10" w:rsidRPr="0071326C">
        <w:t xml:space="preserve"> </w:t>
      </w:r>
      <w:r w:rsidRPr="0071326C">
        <w:rPr>
          <w:b/>
        </w:rPr>
        <w:t xml:space="preserve">Mexico </w:t>
      </w:r>
      <w:r w:rsidRPr="0071326C">
        <w:rPr>
          <w:bCs/>
        </w:rPr>
        <w:t>(up 30%) largely fueled growth</w:t>
      </w:r>
      <w:r w:rsidR="0071280F" w:rsidRPr="0071326C">
        <w:rPr>
          <w:bCs/>
        </w:rPr>
        <w:t>.</w:t>
      </w:r>
      <w:r w:rsidRPr="0071326C">
        <w:rPr>
          <w:bCs/>
        </w:rPr>
        <w:t xml:space="preserve"> </w:t>
      </w:r>
      <w:r w:rsidRPr="0071326C">
        <w:rPr>
          <w:b/>
        </w:rPr>
        <w:t xml:space="preserve">Australia, Ukraine, Saudi </w:t>
      </w:r>
      <w:proofErr w:type="gramStart"/>
      <w:r w:rsidRPr="0071326C">
        <w:rPr>
          <w:b/>
        </w:rPr>
        <w:t>Arabia</w:t>
      </w:r>
      <w:proofErr w:type="gramEnd"/>
      <w:r w:rsidRPr="0071326C">
        <w:rPr>
          <w:b/>
        </w:rPr>
        <w:t xml:space="preserve"> </w:t>
      </w:r>
      <w:r w:rsidRPr="0071326C">
        <w:rPr>
          <w:bCs/>
        </w:rPr>
        <w:t xml:space="preserve">and </w:t>
      </w:r>
      <w:r w:rsidRPr="0071326C">
        <w:rPr>
          <w:b/>
        </w:rPr>
        <w:t>UAE</w:t>
      </w:r>
      <w:r w:rsidRPr="0071326C">
        <w:rPr>
          <w:bCs/>
        </w:rPr>
        <w:t xml:space="preserve"> </w:t>
      </w:r>
      <w:r w:rsidR="0071280F" w:rsidRPr="0071326C">
        <w:rPr>
          <w:bCs/>
        </w:rPr>
        <w:t>also contributed significantly to growth</w:t>
      </w:r>
      <w:r w:rsidRPr="0071326C">
        <w:rPr>
          <w:bCs/>
        </w:rPr>
        <w:t>.</w:t>
      </w:r>
      <w:r w:rsidR="0073270D" w:rsidRPr="0071326C">
        <w:rPr>
          <w:bCs/>
        </w:rPr>
        <w:t xml:space="preserve"> </w:t>
      </w:r>
      <w:r w:rsidR="0082399F" w:rsidRPr="0071326C">
        <w:rPr>
          <w:rStyle w:val="Heading4Char"/>
          <w:color w:val="auto"/>
        </w:rPr>
        <w:br w:type="column"/>
      </w:r>
      <w:r w:rsidR="003329A5" w:rsidRPr="0071326C">
        <w:rPr>
          <w:rStyle w:val="Heading4Char"/>
          <w:color w:val="auto"/>
        </w:rPr>
        <w:t xml:space="preserve">Figure </w:t>
      </w:r>
      <w:r w:rsidR="003329A5" w:rsidRPr="0071326C">
        <w:rPr>
          <w:rStyle w:val="Heading4Char"/>
          <w:b/>
          <w:color w:val="auto"/>
        </w:rPr>
        <w:fldChar w:fldCharType="begin"/>
      </w:r>
      <w:r w:rsidR="003329A5" w:rsidRPr="0071326C">
        <w:rPr>
          <w:rStyle w:val="Heading4Char"/>
          <w:color w:val="auto"/>
        </w:rPr>
        <w:instrText xml:space="preserve"> SEQ Figure \* ARABIC </w:instrText>
      </w:r>
      <w:r w:rsidR="003329A5" w:rsidRPr="0071326C">
        <w:rPr>
          <w:rStyle w:val="Heading4Char"/>
          <w:b/>
          <w:color w:val="auto"/>
        </w:rPr>
        <w:fldChar w:fldCharType="separate"/>
      </w:r>
      <w:r w:rsidR="003329A5" w:rsidRPr="0071326C">
        <w:rPr>
          <w:rStyle w:val="Heading4Char"/>
          <w:noProof/>
          <w:color w:val="auto"/>
        </w:rPr>
        <w:t>3</w:t>
      </w:r>
      <w:r w:rsidR="003329A5" w:rsidRPr="0071326C">
        <w:rPr>
          <w:rStyle w:val="Heading4Char"/>
          <w:b/>
          <w:color w:val="auto"/>
        </w:rPr>
        <w:fldChar w:fldCharType="end"/>
      </w:r>
      <w:r w:rsidR="00576FFD" w:rsidRPr="0071326C">
        <w:rPr>
          <w:rStyle w:val="Heading4Char"/>
          <w:color w:val="auto"/>
        </w:rPr>
        <w:t xml:space="preserve">. </w:t>
      </w:r>
      <w:r w:rsidR="0063143F" w:rsidRPr="0071326C">
        <w:rPr>
          <w:rStyle w:val="Heading4Char"/>
          <w:color w:val="auto"/>
        </w:rPr>
        <w:t>Optic, Medical</w:t>
      </w:r>
      <w:r w:rsidR="003754FD" w:rsidRPr="0071326C">
        <w:rPr>
          <w:rStyle w:val="Heading4Char"/>
          <w:color w:val="auto"/>
        </w:rPr>
        <w:t xml:space="preserve"> </w:t>
      </w:r>
      <w:r w:rsidR="00DD6A21" w:rsidRPr="0071326C">
        <w:rPr>
          <w:rStyle w:val="Heading4Char"/>
          <w:color w:val="auto"/>
        </w:rPr>
        <w:t>Exports</w:t>
      </w:r>
      <w:r w:rsidR="0063143F" w:rsidRPr="0071326C">
        <w:rPr>
          <w:rStyle w:val="Heading4Char"/>
          <w:color w:val="auto"/>
        </w:rPr>
        <w:t>, by Segment</w:t>
      </w:r>
    </w:p>
    <w:p w14:paraId="1966C9DD" w14:textId="77777777" w:rsidR="003329A5" w:rsidRPr="0071326C" w:rsidRDefault="003329A5" w:rsidP="00EC4AEF">
      <w:pPr>
        <w:spacing w:after="120" w:line="271" w:lineRule="auto"/>
        <w:sectPr w:rsidR="003329A5" w:rsidRPr="0071326C" w:rsidSect="00864EE6">
          <w:footerReference w:type="default" r:id="rId15"/>
          <w:footnotePr>
            <w:numRestart w:val="eachSect"/>
          </w:footnotePr>
          <w:endnotePr>
            <w:numFmt w:val="decimal"/>
          </w:endnotePr>
          <w:type w:val="continuous"/>
          <w:pgSz w:w="12240" w:h="15840" w:code="1"/>
          <w:pgMar w:top="864" w:right="1152" w:bottom="864" w:left="1152" w:header="720" w:footer="720" w:gutter="0"/>
          <w:cols w:num="2" w:space="360"/>
          <w:titlePg/>
          <w:docGrid w:linePitch="299"/>
        </w:sectPr>
      </w:pPr>
      <w:r w:rsidRPr="0071326C">
        <w:rPr>
          <w:noProof/>
        </w:rPr>
        <w:drawing>
          <wp:inline distT="0" distB="0" distL="0" distR="0" wp14:anchorId="45C6D587" wp14:editId="5331DE43">
            <wp:extent cx="2922270" cy="1859280"/>
            <wp:effectExtent l="0" t="0" r="0" b="0"/>
            <wp:docPr id="3" name="Chart 3" descr="Figure 3 Major exported optic, medical&#10;In products, 2023&#10;Medical, Surgical Instr. 40%&#10;Orthoped., Artif. Body Parts 20%&#10;Phys., Chem. Analysis 9%&#10;Measuring Instr. 8%&#10;Testing devices 3%&#10;Other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6BC4D8" w14:textId="6043D677" w:rsidR="0071280F" w:rsidRPr="0071326C" w:rsidRDefault="000E5D90" w:rsidP="00EC4AEF">
      <w:pPr>
        <w:pStyle w:val="ListParagraph"/>
        <w:numPr>
          <w:ilvl w:val="0"/>
          <w:numId w:val="7"/>
        </w:numPr>
        <w:spacing w:after="0" w:line="271" w:lineRule="auto"/>
        <w:ind w:left="360"/>
        <w:rPr>
          <w:b/>
        </w:rPr>
      </w:pPr>
      <w:r w:rsidRPr="0071326C">
        <w:t>Exports</w:t>
      </w:r>
      <w:r w:rsidR="0071280F" w:rsidRPr="0071326C">
        <w:t xml:space="preserve"> of </w:t>
      </w:r>
      <w:r w:rsidR="0071280F" w:rsidRPr="0071326C">
        <w:rPr>
          <w:b/>
          <w:bCs/>
        </w:rPr>
        <w:t xml:space="preserve">optical, medical goods </w:t>
      </w:r>
      <w:r w:rsidR="0071280F" w:rsidRPr="0071326C">
        <w:t>grew a solid 7%.</w:t>
      </w:r>
      <w:r w:rsidR="0063143F" w:rsidRPr="0071326C">
        <w:t xml:space="preserve"> Markets such as</w:t>
      </w:r>
      <w:r w:rsidR="0071280F" w:rsidRPr="0071326C">
        <w:t xml:space="preserve"> </w:t>
      </w:r>
      <w:r w:rsidR="0071280F" w:rsidRPr="0071326C">
        <w:rPr>
          <w:b/>
          <w:bCs/>
        </w:rPr>
        <w:t>Ireland</w:t>
      </w:r>
      <w:r w:rsidR="0063143F" w:rsidRPr="0071326C">
        <w:rPr>
          <w:b/>
          <w:bCs/>
        </w:rPr>
        <w:t xml:space="preserve">, </w:t>
      </w:r>
      <w:r w:rsidR="0071280F" w:rsidRPr="0071326C">
        <w:rPr>
          <w:b/>
          <w:bCs/>
        </w:rPr>
        <w:t>Belgium, Canada</w:t>
      </w:r>
      <w:r w:rsidRPr="0071326C">
        <w:rPr>
          <w:b/>
          <w:bCs/>
        </w:rPr>
        <w:t>,</w:t>
      </w:r>
      <w:r w:rsidR="0071280F" w:rsidRPr="0071326C">
        <w:t xml:space="preserve"> </w:t>
      </w:r>
      <w:r w:rsidRPr="0071326C">
        <w:rPr>
          <w:b/>
          <w:bCs/>
        </w:rPr>
        <w:t xml:space="preserve">Costa </w:t>
      </w:r>
      <w:proofErr w:type="gramStart"/>
      <w:r w:rsidRPr="0071326C">
        <w:rPr>
          <w:b/>
          <w:bCs/>
        </w:rPr>
        <w:t>Rica</w:t>
      </w:r>
      <w:proofErr w:type="gramEnd"/>
      <w:r w:rsidRPr="0071326C">
        <w:rPr>
          <w:b/>
          <w:bCs/>
        </w:rPr>
        <w:t xml:space="preserve"> </w:t>
      </w:r>
      <w:r w:rsidRPr="0071326C">
        <w:t>and</w:t>
      </w:r>
      <w:r w:rsidRPr="0071326C">
        <w:rPr>
          <w:b/>
          <w:bCs/>
        </w:rPr>
        <w:t xml:space="preserve"> Korea </w:t>
      </w:r>
      <w:r w:rsidR="0063143F" w:rsidRPr="0071326C">
        <w:rPr>
          <w:bCs/>
        </w:rPr>
        <w:t xml:space="preserve">led in gains. Key growth products included </w:t>
      </w:r>
      <w:r w:rsidR="0063143F" w:rsidRPr="0071326C">
        <w:rPr>
          <w:b/>
        </w:rPr>
        <w:t>medical</w:t>
      </w:r>
      <w:r w:rsidR="0071326C" w:rsidRPr="0071326C">
        <w:rPr>
          <w:b/>
        </w:rPr>
        <w:t xml:space="preserve">, </w:t>
      </w:r>
      <w:proofErr w:type="gramStart"/>
      <w:r w:rsidR="0063143F" w:rsidRPr="0071326C">
        <w:rPr>
          <w:b/>
        </w:rPr>
        <w:t>surgical</w:t>
      </w:r>
      <w:proofErr w:type="gramEnd"/>
      <w:r w:rsidR="0063143F" w:rsidRPr="0071326C">
        <w:rPr>
          <w:b/>
        </w:rPr>
        <w:t xml:space="preserve"> </w:t>
      </w:r>
      <w:r w:rsidR="0063143F" w:rsidRPr="0071326C">
        <w:rPr>
          <w:bCs/>
        </w:rPr>
        <w:t>and</w:t>
      </w:r>
      <w:r w:rsidR="0063143F" w:rsidRPr="0071326C">
        <w:rPr>
          <w:b/>
        </w:rPr>
        <w:t xml:space="preserve"> analytical instruments.</w:t>
      </w:r>
      <w:r w:rsidR="0071280F" w:rsidRPr="0071326C">
        <w:rPr>
          <w:b/>
        </w:rPr>
        <w:t xml:space="preserve"> </w:t>
      </w:r>
    </w:p>
    <w:p w14:paraId="07EB6505" w14:textId="368E1186" w:rsidR="0073270D" w:rsidRPr="0071326C" w:rsidRDefault="00BB29C8" w:rsidP="00B76132">
      <w:pPr>
        <w:pStyle w:val="ListParagraph"/>
        <w:numPr>
          <w:ilvl w:val="0"/>
          <w:numId w:val="7"/>
        </w:numPr>
        <w:spacing w:before="120" w:after="0" w:line="271" w:lineRule="auto"/>
        <w:ind w:left="360"/>
      </w:pPr>
      <w:r w:rsidRPr="0071326C">
        <w:rPr>
          <w:b/>
        </w:rPr>
        <w:t xml:space="preserve">Germany </w:t>
      </w:r>
      <w:r w:rsidRPr="0071326C">
        <w:rPr>
          <w:bCs/>
        </w:rPr>
        <w:t>($8</w:t>
      </w:r>
      <w:r w:rsidR="005F4010" w:rsidRPr="0071326C">
        <w:rPr>
          <w:bCs/>
        </w:rPr>
        <w:t>4</w:t>
      </w:r>
      <w:r w:rsidRPr="0071326C">
        <w:rPr>
          <w:bCs/>
        </w:rPr>
        <w:t xml:space="preserve"> million, up 107%), </w:t>
      </w:r>
      <w:r w:rsidRPr="0071326C">
        <w:rPr>
          <w:b/>
        </w:rPr>
        <w:t xml:space="preserve">Japan </w:t>
      </w:r>
      <w:r w:rsidRPr="0071326C">
        <w:rPr>
          <w:bCs/>
        </w:rPr>
        <w:t>($27 million, up 1,107%)</w:t>
      </w:r>
      <w:r w:rsidR="005F4010" w:rsidRPr="0071326C">
        <w:rPr>
          <w:bCs/>
        </w:rPr>
        <w:t xml:space="preserve"> and</w:t>
      </w:r>
      <w:r w:rsidRPr="0071326C">
        <w:rPr>
          <w:b/>
        </w:rPr>
        <w:t xml:space="preserve"> </w:t>
      </w:r>
      <w:r w:rsidR="005F4010" w:rsidRPr="0071326C">
        <w:rPr>
          <w:b/>
        </w:rPr>
        <w:t xml:space="preserve">Canada </w:t>
      </w:r>
      <w:r w:rsidR="005F4010" w:rsidRPr="0071326C">
        <w:rPr>
          <w:bCs/>
        </w:rPr>
        <w:t>($50 million, up 62%) lifted sales of</w:t>
      </w:r>
      <w:r w:rsidRPr="0071326C">
        <w:rPr>
          <w:bCs/>
        </w:rPr>
        <w:t xml:space="preserve"> </w:t>
      </w:r>
      <w:r w:rsidRPr="0071326C">
        <w:rPr>
          <w:b/>
        </w:rPr>
        <w:t>aircraft, spacecraft.</w:t>
      </w:r>
      <w:r w:rsidR="0073270D" w:rsidRPr="0071326C">
        <w:rPr>
          <w:bCs/>
        </w:rPr>
        <w:t xml:space="preserve"> </w:t>
      </w:r>
      <w:r w:rsidR="007D61CF" w:rsidRPr="0071326C">
        <w:rPr>
          <w:bCs/>
        </w:rPr>
        <w:t>Critical expanding</w:t>
      </w:r>
      <w:r w:rsidR="0073270D" w:rsidRPr="0071326C">
        <w:rPr>
          <w:bCs/>
        </w:rPr>
        <w:t xml:space="preserve"> segments were </w:t>
      </w:r>
      <w:r w:rsidR="005F4010" w:rsidRPr="0071326C">
        <w:rPr>
          <w:b/>
        </w:rPr>
        <w:t xml:space="preserve">civilian aircraft </w:t>
      </w:r>
      <w:r w:rsidR="005F4010" w:rsidRPr="0071326C">
        <w:rPr>
          <w:bCs/>
        </w:rPr>
        <w:t>and</w:t>
      </w:r>
      <w:r w:rsidR="005F4010" w:rsidRPr="0071326C">
        <w:rPr>
          <w:b/>
        </w:rPr>
        <w:t xml:space="preserve"> aircraft parts.</w:t>
      </w:r>
    </w:p>
    <w:p w14:paraId="425B3418" w14:textId="288C23BE" w:rsidR="00864EE6" w:rsidRPr="0071326C" w:rsidRDefault="007D61CF" w:rsidP="007D61CF">
      <w:pPr>
        <w:pStyle w:val="ListParagraph"/>
        <w:numPr>
          <w:ilvl w:val="0"/>
          <w:numId w:val="7"/>
        </w:numPr>
        <w:spacing w:before="120" w:after="0" w:line="271" w:lineRule="auto"/>
        <w:ind w:left="360"/>
      </w:pPr>
      <w:r w:rsidRPr="0071326C">
        <w:t>The dominant market,</w:t>
      </w:r>
      <w:r w:rsidRPr="0071326C">
        <w:rPr>
          <w:b/>
          <w:bCs/>
        </w:rPr>
        <w:t xml:space="preserve"> </w:t>
      </w:r>
      <w:r w:rsidR="001A0504" w:rsidRPr="0071326C">
        <w:rPr>
          <w:b/>
          <w:bCs/>
        </w:rPr>
        <w:t>Canada</w:t>
      </w:r>
      <w:r w:rsidR="0039082F" w:rsidRPr="0071326C">
        <w:rPr>
          <w:b/>
          <w:bCs/>
        </w:rPr>
        <w:t xml:space="preserve"> </w:t>
      </w:r>
      <w:r w:rsidR="0039082F" w:rsidRPr="0071326C">
        <w:t>($</w:t>
      </w:r>
      <w:r w:rsidR="0038252D" w:rsidRPr="0071326C">
        <w:t>54</w:t>
      </w:r>
      <w:r w:rsidR="0039082F" w:rsidRPr="0071326C">
        <w:t>4 million, up 9%)</w:t>
      </w:r>
      <w:r w:rsidRPr="0071326C">
        <w:t xml:space="preserve"> – as well as</w:t>
      </w:r>
      <w:r w:rsidR="000E5D90" w:rsidRPr="0071326C">
        <w:t xml:space="preserve"> </w:t>
      </w:r>
      <w:r w:rsidR="0038252D" w:rsidRPr="0071326C">
        <w:rPr>
          <w:b/>
          <w:bCs/>
        </w:rPr>
        <w:t xml:space="preserve">Japan </w:t>
      </w:r>
      <w:r w:rsidR="0038252D" w:rsidRPr="0071326C">
        <w:t>($23 million, up 131%)</w:t>
      </w:r>
      <w:r w:rsidR="000E5D90" w:rsidRPr="0071326C">
        <w:t xml:space="preserve"> </w:t>
      </w:r>
      <w:r w:rsidRPr="0071326C">
        <w:t xml:space="preserve">– </w:t>
      </w:r>
      <w:r w:rsidR="000E5D90" w:rsidRPr="0071326C">
        <w:t xml:space="preserve">drove increased demand for </w:t>
      </w:r>
      <w:r w:rsidR="000E5D90" w:rsidRPr="0071326C">
        <w:rPr>
          <w:b/>
          <w:bCs/>
        </w:rPr>
        <w:t>ores, slag, ash</w:t>
      </w:r>
      <w:r w:rsidR="000E5D90" w:rsidRPr="0071326C">
        <w:t xml:space="preserve"> </w:t>
      </w:r>
      <w:r w:rsidRPr="0071326C">
        <w:t xml:space="preserve">products, </w:t>
      </w:r>
      <w:r w:rsidR="000E5D90" w:rsidRPr="0071326C">
        <w:t xml:space="preserve">which consist of </w:t>
      </w:r>
      <w:r w:rsidR="000E5D90" w:rsidRPr="0071326C">
        <w:rPr>
          <w:b/>
          <w:bCs/>
        </w:rPr>
        <w:t>iron ore</w:t>
      </w:r>
      <w:r w:rsidRPr="0071326C">
        <w:rPr>
          <w:b/>
          <w:bCs/>
        </w:rPr>
        <w:t>s</w:t>
      </w:r>
      <w:r w:rsidR="000E5D90" w:rsidRPr="0071326C">
        <w:rPr>
          <w:b/>
          <w:bCs/>
        </w:rPr>
        <w:t xml:space="preserve"> </w:t>
      </w:r>
      <w:r w:rsidRPr="0071326C">
        <w:rPr>
          <w:b/>
          <w:bCs/>
        </w:rPr>
        <w:t>and concentrates</w:t>
      </w:r>
      <w:r w:rsidR="000E5D90" w:rsidRPr="0071326C">
        <w:rPr>
          <w:b/>
          <w:bCs/>
        </w:rPr>
        <w:t xml:space="preserve"> </w:t>
      </w:r>
      <w:r w:rsidR="000E5D90" w:rsidRPr="0071326C">
        <w:t>for Minnesota</w:t>
      </w:r>
      <w:r w:rsidRPr="0071326C">
        <w:t>.</w:t>
      </w:r>
    </w:p>
    <w:p w14:paraId="691DE89D" w14:textId="0DEDF735" w:rsidR="0088746C" w:rsidRPr="0071326C" w:rsidRDefault="0038252D" w:rsidP="00C202D6">
      <w:pPr>
        <w:pStyle w:val="ListParagraph"/>
        <w:numPr>
          <w:ilvl w:val="0"/>
          <w:numId w:val="7"/>
        </w:numPr>
        <w:spacing w:before="60" w:after="0" w:line="271" w:lineRule="auto"/>
        <w:ind w:left="360" w:right="18"/>
        <w:rPr>
          <w:b/>
          <w:sz w:val="24"/>
        </w:rPr>
      </w:pPr>
      <w:r w:rsidRPr="0071326C">
        <w:rPr>
          <w:b/>
          <w:bCs/>
        </w:rPr>
        <w:t>Italy</w:t>
      </w:r>
      <w:r w:rsidRPr="0071326C">
        <w:t xml:space="preserve"> ($79 million, up 53%) and </w:t>
      </w:r>
      <w:r w:rsidR="002E12C5" w:rsidRPr="0071326C">
        <w:rPr>
          <w:b/>
          <w:bCs/>
        </w:rPr>
        <w:t>China</w:t>
      </w:r>
      <w:r w:rsidR="002E12C5" w:rsidRPr="0071326C">
        <w:t xml:space="preserve"> ($2</w:t>
      </w:r>
      <w:r w:rsidRPr="0071326C">
        <w:t>36</w:t>
      </w:r>
      <w:r w:rsidR="002E12C5" w:rsidRPr="0071326C">
        <w:t xml:space="preserve"> million, up </w:t>
      </w:r>
      <w:r w:rsidRPr="0071326C">
        <w:t>8</w:t>
      </w:r>
      <w:r w:rsidR="002E12C5" w:rsidRPr="0071326C">
        <w:t xml:space="preserve">%) spurred </w:t>
      </w:r>
      <w:r w:rsidR="00BF7790" w:rsidRPr="0071326C">
        <w:t xml:space="preserve">growth in </w:t>
      </w:r>
      <w:r w:rsidR="003E7BE4" w:rsidRPr="0071326C">
        <w:rPr>
          <w:b/>
          <w:bCs/>
        </w:rPr>
        <w:t>misc. chemicals</w:t>
      </w:r>
      <w:r w:rsidR="0088746C" w:rsidRPr="0071326C">
        <w:rPr>
          <w:b/>
          <w:bCs/>
        </w:rPr>
        <w:t xml:space="preserve"> </w:t>
      </w:r>
      <w:r w:rsidR="0088746C" w:rsidRPr="0071326C">
        <w:t>(</w:t>
      </w:r>
      <w:r w:rsidR="003E7BE4" w:rsidRPr="0071326C">
        <w:t>$4</w:t>
      </w:r>
      <w:r w:rsidRPr="0071326C">
        <w:t>99</w:t>
      </w:r>
      <w:r w:rsidR="003E7BE4" w:rsidRPr="0071326C">
        <w:t xml:space="preserve"> million, up </w:t>
      </w:r>
      <w:r w:rsidRPr="0071326C">
        <w:t>9%)</w:t>
      </w:r>
      <w:r w:rsidR="007D61CF" w:rsidRPr="0071326C">
        <w:t>. A large majority consists of</w:t>
      </w:r>
      <w:r w:rsidR="00351C1E" w:rsidRPr="0071326C">
        <w:t xml:space="preserve"> </w:t>
      </w:r>
      <w:r w:rsidR="00351C1E" w:rsidRPr="0071326C">
        <w:rPr>
          <w:b/>
          <w:bCs/>
        </w:rPr>
        <w:t xml:space="preserve">composite diagnostic or lab reagents </w:t>
      </w:r>
      <w:r w:rsidR="00351C1E" w:rsidRPr="0071326C">
        <w:t>($</w:t>
      </w:r>
      <w:r w:rsidR="007D61CF" w:rsidRPr="0071326C">
        <w:t>400</w:t>
      </w:r>
      <w:r w:rsidR="00351C1E" w:rsidRPr="0071326C">
        <w:t xml:space="preserve"> million, up </w:t>
      </w:r>
      <w:r w:rsidR="007D61CF" w:rsidRPr="0071326C">
        <w:t>14</w:t>
      </w:r>
      <w:r w:rsidR="00351C1E" w:rsidRPr="0071326C">
        <w:t>%).</w:t>
      </w:r>
    </w:p>
    <w:p w14:paraId="0181B1C3" w14:textId="61843DA2" w:rsidR="00267A87" w:rsidRPr="0071326C" w:rsidRDefault="00267A87" w:rsidP="003E7BE4">
      <w:pPr>
        <w:pStyle w:val="ListParagraph"/>
        <w:numPr>
          <w:ilvl w:val="0"/>
          <w:numId w:val="7"/>
        </w:numPr>
        <w:spacing w:after="0" w:line="271" w:lineRule="auto"/>
        <w:ind w:left="360"/>
        <w:rPr>
          <w:b/>
        </w:rPr>
      </w:pPr>
      <w:r w:rsidRPr="0071326C">
        <w:t xml:space="preserve">Trends in </w:t>
      </w:r>
      <w:r w:rsidRPr="0071326C">
        <w:rPr>
          <w:b/>
          <w:bCs/>
        </w:rPr>
        <w:t xml:space="preserve">machinery </w:t>
      </w:r>
      <w:r w:rsidRPr="0071326C">
        <w:t xml:space="preserve">exports were mixed, as sales surged to </w:t>
      </w:r>
      <w:r w:rsidRPr="0071326C">
        <w:rPr>
          <w:b/>
          <w:bCs/>
        </w:rPr>
        <w:t xml:space="preserve">Mexico </w:t>
      </w:r>
      <w:r w:rsidRPr="0071326C">
        <w:t xml:space="preserve">(up 15%), </w:t>
      </w:r>
      <w:r w:rsidRPr="0071326C">
        <w:rPr>
          <w:b/>
          <w:bCs/>
        </w:rPr>
        <w:t xml:space="preserve">Chile </w:t>
      </w:r>
      <w:r w:rsidRPr="0071326C">
        <w:t>(up 340%),</w:t>
      </w:r>
      <w:r w:rsidRPr="0071326C">
        <w:rPr>
          <w:b/>
          <w:bCs/>
        </w:rPr>
        <w:t xml:space="preserve"> Canada </w:t>
      </w:r>
      <w:r w:rsidRPr="0071326C">
        <w:t>(up 7%), and</w:t>
      </w:r>
      <w:r w:rsidRPr="0071326C">
        <w:rPr>
          <w:b/>
          <w:bCs/>
        </w:rPr>
        <w:t xml:space="preserve"> Saudi Arabia </w:t>
      </w:r>
      <w:r w:rsidRPr="0071326C">
        <w:t xml:space="preserve">(up 294%) but sank to </w:t>
      </w:r>
      <w:r w:rsidRPr="0071326C">
        <w:rPr>
          <w:b/>
          <w:bCs/>
        </w:rPr>
        <w:t>China</w:t>
      </w:r>
      <w:r w:rsidRPr="0071326C">
        <w:t>,</w:t>
      </w:r>
      <w:r w:rsidRPr="0071326C">
        <w:rPr>
          <w:b/>
          <w:bCs/>
        </w:rPr>
        <w:t xml:space="preserve"> the Philippines </w:t>
      </w:r>
      <w:r w:rsidRPr="0071326C">
        <w:t xml:space="preserve">and </w:t>
      </w:r>
      <w:r w:rsidRPr="0071326C">
        <w:rPr>
          <w:b/>
        </w:rPr>
        <w:t>Singapore.</w:t>
      </w:r>
    </w:p>
    <w:p w14:paraId="6782B6C7" w14:textId="4152B442" w:rsidR="003E7BE4" w:rsidRPr="0071326C" w:rsidRDefault="0039728A" w:rsidP="003E7BE4">
      <w:pPr>
        <w:pStyle w:val="ListParagraph"/>
        <w:numPr>
          <w:ilvl w:val="0"/>
          <w:numId w:val="7"/>
        </w:numPr>
        <w:spacing w:after="0" w:line="271" w:lineRule="auto"/>
        <w:ind w:left="360"/>
      </w:pPr>
      <w:r w:rsidRPr="0071326C">
        <w:rPr>
          <w:b/>
          <w:bCs/>
        </w:rPr>
        <w:t>Oil seeds, misc. grains</w:t>
      </w:r>
      <w:r w:rsidRPr="0071326C">
        <w:t xml:space="preserve"> ($298 million, up 28%) leaped to </w:t>
      </w:r>
      <w:r w:rsidRPr="0071326C">
        <w:rPr>
          <w:b/>
          <w:bCs/>
        </w:rPr>
        <w:t xml:space="preserve">Mexico </w:t>
      </w:r>
      <w:r w:rsidRPr="0071326C">
        <w:t xml:space="preserve">($135 million, up 136%). Other agricultural and food products with robust growth were </w:t>
      </w:r>
      <w:r w:rsidRPr="0071326C">
        <w:rPr>
          <w:b/>
          <w:bCs/>
        </w:rPr>
        <w:t>v</w:t>
      </w:r>
      <w:r w:rsidR="000E5D90" w:rsidRPr="0071326C">
        <w:rPr>
          <w:b/>
          <w:bCs/>
        </w:rPr>
        <w:t>egetables</w:t>
      </w:r>
      <w:r w:rsidR="000E5D90" w:rsidRPr="0071326C">
        <w:t xml:space="preserve"> ($105 million, up 62%), </w:t>
      </w:r>
      <w:r w:rsidRPr="0071326C">
        <w:rPr>
          <w:b/>
          <w:bCs/>
        </w:rPr>
        <w:t>prepared</w:t>
      </w:r>
      <w:r w:rsidRPr="0071326C">
        <w:t xml:space="preserve"> </w:t>
      </w:r>
      <w:r w:rsidR="000E5D90" w:rsidRPr="0071326C">
        <w:rPr>
          <w:b/>
          <w:bCs/>
        </w:rPr>
        <w:t>cereal, flour</w:t>
      </w:r>
      <w:r w:rsidR="000E5D90" w:rsidRPr="0071326C">
        <w:t xml:space="preserve"> ($180 million, up 21%), </w:t>
      </w:r>
      <w:r w:rsidR="000E5D90" w:rsidRPr="0071326C">
        <w:rPr>
          <w:b/>
          <w:bCs/>
        </w:rPr>
        <w:t xml:space="preserve">milling </w:t>
      </w:r>
      <w:r w:rsidR="005510E2" w:rsidRPr="0071326C">
        <w:rPr>
          <w:b/>
          <w:bCs/>
        </w:rPr>
        <w:t>goods</w:t>
      </w:r>
      <w:r w:rsidR="000E5D90" w:rsidRPr="0071326C">
        <w:t xml:space="preserve"> ($74 million, up 35%) and </w:t>
      </w:r>
      <w:r w:rsidR="000E5D90" w:rsidRPr="0071326C">
        <w:rPr>
          <w:b/>
          <w:bCs/>
        </w:rPr>
        <w:t>sugar, confectionary</w:t>
      </w:r>
      <w:r w:rsidR="000E5D90" w:rsidRPr="0071326C">
        <w:t xml:space="preserve"> ($94 million, up </w:t>
      </w:r>
      <w:r w:rsidRPr="0071326C">
        <w:t>23</w:t>
      </w:r>
      <w:r w:rsidR="000E5D90" w:rsidRPr="0071326C">
        <w:t>%)</w:t>
      </w:r>
      <w:r w:rsidRPr="0071326C">
        <w:t>.</w:t>
      </w:r>
    </w:p>
    <w:p w14:paraId="7A324B63" w14:textId="6C4677D0" w:rsidR="000D50BF" w:rsidRPr="0071326C" w:rsidRDefault="00C72BBA" w:rsidP="00E77860">
      <w:pPr>
        <w:pStyle w:val="Heading4"/>
        <w:spacing w:before="120" w:after="80"/>
        <w:rPr>
          <w:color w:val="auto"/>
        </w:rPr>
      </w:pPr>
      <w:r w:rsidRPr="0071326C">
        <w:rPr>
          <w:color w:val="auto"/>
        </w:rPr>
        <w:t>Figure 4</w:t>
      </w:r>
      <w:r w:rsidR="00542EF2" w:rsidRPr="0071326C">
        <w:rPr>
          <w:color w:val="auto"/>
        </w:rPr>
        <w:t xml:space="preserve">. Exports </w:t>
      </w:r>
      <w:r w:rsidR="0029293B" w:rsidRPr="0071326C">
        <w:rPr>
          <w:color w:val="auto"/>
        </w:rPr>
        <w:t>of</w:t>
      </w:r>
      <w:r w:rsidR="007F1C4A" w:rsidRPr="0071326C">
        <w:rPr>
          <w:color w:val="auto"/>
        </w:rPr>
        <w:t xml:space="preserve"> Minnesota’s Top 10 Products</w:t>
      </w:r>
      <w:r w:rsidR="001130EE" w:rsidRPr="0071326C">
        <w:rPr>
          <w:color w:val="auto"/>
        </w:rPr>
        <w:t xml:space="preserve"> in</w:t>
      </w:r>
      <w:r w:rsidR="007F1C4A" w:rsidRPr="0071326C">
        <w:rPr>
          <w:color w:val="auto"/>
        </w:rPr>
        <w:t xml:space="preserve"> </w:t>
      </w:r>
      <w:r w:rsidR="008D6805" w:rsidRPr="0071326C">
        <w:rPr>
          <w:color w:val="auto"/>
        </w:rPr>
        <w:t>2023</w:t>
      </w:r>
    </w:p>
    <w:p w14:paraId="61B32600" w14:textId="3E892433" w:rsidR="00DC646D" w:rsidRPr="0071326C" w:rsidRDefault="00DC646D" w:rsidP="00DC646D">
      <w:pPr>
        <w:spacing w:after="0"/>
      </w:pPr>
      <w:r w:rsidRPr="0071326C">
        <w:rPr>
          <w:noProof/>
        </w:rPr>
        <w:drawing>
          <wp:inline distT="0" distB="0" distL="0" distR="0" wp14:anchorId="6FC66F7B" wp14:editId="1A098843">
            <wp:extent cx="6426099" cy="1943100"/>
            <wp:effectExtent l="0" t="0" r="0" b="0"/>
            <wp:docPr id="13" name="Picture 13" descr="MN Exports of top 10 products, 2023&#10;Product Exports (billions) Percent Change, 2022 to 2023&#10;TOTAL  $24.9  -8%&#10;Optic, Medical  $4.2  7%&#10;Machinery  $3.9  1%&#10;Electrical Equipment  $3.6  -6%&#10;Vehicles  $2.0  45%&#10;Mineral Fuel, Oil  $1.2  -65%&#10;Plastics  $1.0  -11%&#10;Cereals  $0.8  -24%&#10;Food By-Products  $0.7  -4%&#10;Ores, Slag, Ash  $0.6  12%&#10;Aircraft, Spacecraft  $0.5  20%&#10;Other  $6.3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N Exports of top 10 products, 2023&#10;Product Exports (billions) Percent Change, 2022 to 2023&#10;TOTAL  $24.9  -8%&#10;Optic, Medical  $4.2  7%&#10;Machinery  $3.9  1%&#10;Electrical Equipment  $3.6  -6%&#10;Vehicles  $2.0  45%&#10;Mineral Fuel, Oil  $1.2  -65%&#10;Plastics  $1.0  -11%&#10;Cereals  $0.8  -24%&#10;Food By-Products  $0.7  -4%&#10;Ores, Slag, Ash  $0.6  12%&#10;Aircraft, Spacecraft  $0.5  20%&#10;Other  $6.3  -7%&#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003"/>
                    <a:stretch/>
                  </pic:blipFill>
                  <pic:spPr bwMode="auto">
                    <a:xfrm>
                      <a:off x="0" y="0"/>
                      <a:ext cx="6466739" cy="195538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279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FBB"/>
        <w:tblLook w:val="04A0" w:firstRow="1" w:lastRow="0" w:firstColumn="1" w:lastColumn="0" w:noHBand="0" w:noVBand="1"/>
        <w:tblCaption w:val="Additional information"/>
        <w:tblDescription w:val="Minnesota Export Statistics 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Additional Notes: The U.S. Department of Agriculture (USDA) publishes alternate annual agricultural export estimates based on different methodology. 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
      </w:tblPr>
      <w:tblGrid>
        <w:gridCol w:w="10165"/>
      </w:tblGrid>
      <w:tr w:rsidR="0071326C" w:rsidRPr="0071326C" w14:paraId="0F19B306" w14:textId="77777777" w:rsidTr="009D4735">
        <w:trPr>
          <w:trHeight w:val="440"/>
        </w:trPr>
        <w:tc>
          <w:tcPr>
            <w:tcW w:w="10165" w:type="dxa"/>
            <w:shd w:val="clear" w:color="auto" w:fill="DAEFBB"/>
          </w:tcPr>
          <w:p w14:paraId="7D10F87C" w14:textId="2C2C5BCF" w:rsidR="009D4735" w:rsidRPr="0071326C" w:rsidRDefault="009D4735" w:rsidP="009D4735">
            <w:pPr>
              <w:spacing w:after="0"/>
              <w:rPr>
                <w:rFonts w:asciiTheme="majorHAnsi" w:hAnsiTheme="majorHAnsi" w:cstheme="minorHAnsi"/>
                <w:sz w:val="16"/>
                <w:szCs w:val="16"/>
              </w:rPr>
            </w:pPr>
            <w:r w:rsidRPr="0071326C">
              <w:rPr>
                <w:rStyle w:val="Emphasis"/>
                <w:rFonts w:asciiTheme="majorHAnsi" w:hAnsiTheme="majorHAnsi" w:cstheme="minorHAnsi"/>
                <w:sz w:val="16"/>
                <w:szCs w:val="16"/>
              </w:rPr>
              <w:t xml:space="preserve">Minnesota Export Statistics </w:t>
            </w:r>
            <w:r w:rsidRPr="0071326C">
              <w:rPr>
                <w:rFonts w:asciiTheme="majorHAnsi" w:hAnsiTheme="majorHAnsi" w:cstheme="minorHAnsi"/>
                <w:sz w:val="16"/>
                <w:szCs w:val="16"/>
              </w:rPr>
              <w:t>tracks the state’s trends in exports of goods and is prepared for the Minnesota Trade Office by DEED’s Economic Analysis Unit (by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71326C">
                <w:rPr>
                  <w:rStyle w:val="Hyperlink"/>
                  <w:rFonts w:asciiTheme="majorHAnsi" w:hAnsiTheme="majorHAnsi" w:cstheme="minorHAnsi"/>
                  <w:color w:val="auto"/>
                  <w:sz w:val="16"/>
                  <w:szCs w:val="16"/>
                </w:rPr>
                <w:t>http://mn.gov/deed/data/export-stats/</w:t>
              </w:r>
            </w:hyperlink>
            <w:r w:rsidRPr="0071326C">
              <w:rPr>
                <w:rFonts w:asciiTheme="majorHAnsi" w:hAnsiTheme="majorHAnsi" w:cstheme="minorHAnsi"/>
                <w:sz w:val="16"/>
                <w:szCs w:val="16"/>
              </w:rPr>
              <w:t>).  The U.S. Department of Agriculture (USDA) publishes alternate agricultural export data based on different methodology. USDA estimated that Minnesota exported $</w:t>
            </w:r>
            <w:r w:rsidR="00B871F2" w:rsidRPr="0071326C">
              <w:rPr>
                <w:rFonts w:asciiTheme="majorHAnsi" w:hAnsiTheme="majorHAnsi" w:cstheme="minorHAnsi"/>
                <w:sz w:val="16"/>
                <w:szCs w:val="16"/>
              </w:rPr>
              <w:t>10</w:t>
            </w:r>
            <w:r w:rsidRPr="0071326C">
              <w:rPr>
                <w:rFonts w:asciiTheme="majorHAnsi" w:hAnsiTheme="majorHAnsi" w:cstheme="minorHAnsi"/>
                <w:sz w:val="16"/>
                <w:szCs w:val="16"/>
              </w:rPr>
              <w:t xml:space="preserve"> billion in ag and food products in </w:t>
            </w:r>
            <w:r w:rsidR="008D6805" w:rsidRPr="0071326C">
              <w:rPr>
                <w:rFonts w:asciiTheme="majorHAnsi" w:hAnsiTheme="majorHAnsi" w:cstheme="minorHAnsi"/>
                <w:sz w:val="16"/>
                <w:szCs w:val="16"/>
              </w:rPr>
              <w:t>2022</w:t>
            </w:r>
            <w:r w:rsidRPr="0071326C">
              <w:rPr>
                <w:rFonts w:asciiTheme="majorHAnsi" w:hAnsiTheme="majorHAnsi" w:cstheme="minorHAnsi"/>
                <w:sz w:val="16"/>
                <w:szCs w:val="16"/>
              </w:rPr>
              <w:t xml:space="preserve"> and ranked </w:t>
            </w:r>
            <w:r w:rsidR="00E77860" w:rsidRPr="0071326C">
              <w:rPr>
                <w:rFonts w:asciiTheme="majorHAnsi" w:hAnsiTheme="majorHAnsi" w:cstheme="minorHAnsi"/>
                <w:sz w:val="16"/>
                <w:szCs w:val="16"/>
              </w:rPr>
              <w:t>4</w:t>
            </w:r>
            <w:r w:rsidRPr="0071326C">
              <w:rPr>
                <w:rFonts w:asciiTheme="majorHAnsi" w:hAnsiTheme="majorHAnsi" w:cstheme="minorHAnsi"/>
                <w:sz w:val="16"/>
                <w:szCs w:val="16"/>
              </w:rPr>
              <w:t xml:space="preserve">th highest among states. </w:t>
            </w:r>
            <w:r w:rsidR="00B871F2" w:rsidRPr="0071326C">
              <w:rPr>
                <w:rFonts w:asciiTheme="majorHAnsi" w:hAnsiTheme="majorHAnsi" w:cstheme="minorHAnsi"/>
                <w:sz w:val="16"/>
                <w:szCs w:val="16"/>
              </w:rPr>
              <w:t>The International Trade Administration</w:t>
            </w:r>
            <w:r w:rsidR="00EC4AEF">
              <w:rPr>
                <w:rFonts w:asciiTheme="majorHAnsi" w:hAnsiTheme="majorHAnsi" w:cstheme="minorHAnsi"/>
                <w:sz w:val="16"/>
                <w:szCs w:val="16"/>
              </w:rPr>
              <w:t xml:space="preserve"> </w:t>
            </w:r>
            <w:r w:rsidR="00B871F2" w:rsidRPr="0071326C">
              <w:rPr>
                <w:rFonts w:asciiTheme="majorHAnsi" w:hAnsiTheme="majorHAnsi" w:cstheme="minorHAnsi"/>
                <w:sz w:val="16"/>
                <w:szCs w:val="16"/>
              </w:rPr>
              <w:t>estimate</w:t>
            </w:r>
            <w:r w:rsidR="0071326C" w:rsidRPr="0071326C">
              <w:rPr>
                <w:rFonts w:asciiTheme="majorHAnsi" w:hAnsiTheme="majorHAnsi" w:cstheme="minorHAnsi"/>
                <w:sz w:val="16"/>
                <w:szCs w:val="16"/>
              </w:rPr>
              <w:t>s</w:t>
            </w:r>
            <w:r w:rsidR="00B871F2" w:rsidRPr="0071326C">
              <w:rPr>
                <w:rFonts w:asciiTheme="majorHAnsi" w:hAnsiTheme="majorHAnsi" w:cstheme="minorHAnsi"/>
                <w:sz w:val="16"/>
                <w:szCs w:val="16"/>
              </w:rPr>
              <w:t xml:space="preserve"> jobs supported by U.S. exports of goods and services</w:t>
            </w:r>
            <w:r w:rsidR="00EC4AEF">
              <w:rPr>
                <w:rFonts w:asciiTheme="majorHAnsi" w:hAnsiTheme="majorHAnsi" w:cstheme="minorHAnsi"/>
                <w:sz w:val="16"/>
                <w:szCs w:val="16"/>
              </w:rPr>
              <w:t>, while the Census Bureau collects data on the number of identified exporters.</w:t>
            </w:r>
            <w:r w:rsidR="00B871F2" w:rsidRPr="0071326C">
              <w:rPr>
                <w:rFonts w:asciiTheme="majorHAnsi" w:hAnsiTheme="majorHAnsi" w:cstheme="minorHAnsi"/>
                <w:sz w:val="16"/>
                <w:szCs w:val="16"/>
              </w:rPr>
              <w:t xml:space="preserve">  </w:t>
            </w:r>
            <w:r w:rsidR="00FA7FF2" w:rsidRPr="0071326C">
              <w:rPr>
                <w:rFonts w:asciiTheme="majorHAnsi" w:hAnsiTheme="majorHAnsi" w:cstheme="minorHAnsi"/>
                <w:sz w:val="16"/>
                <w:szCs w:val="16"/>
              </w:rPr>
              <w:t>Export d</w:t>
            </w:r>
            <w:r w:rsidR="00B871F2" w:rsidRPr="0071326C">
              <w:rPr>
                <w:rFonts w:asciiTheme="majorHAnsi" w:hAnsiTheme="majorHAnsi" w:cstheme="minorHAnsi"/>
                <w:sz w:val="16"/>
                <w:szCs w:val="16"/>
              </w:rPr>
              <w:t>a</w:t>
            </w:r>
            <w:r w:rsidR="0071326C" w:rsidRPr="0071326C">
              <w:rPr>
                <w:rFonts w:asciiTheme="majorHAnsi" w:hAnsiTheme="majorHAnsi" w:cstheme="minorHAnsi"/>
                <w:sz w:val="16"/>
                <w:szCs w:val="16"/>
              </w:rPr>
              <w:t xml:space="preserve">ta on </w:t>
            </w:r>
            <w:r w:rsidR="00B871F2" w:rsidRPr="0071326C">
              <w:rPr>
                <w:rFonts w:asciiTheme="majorHAnsi" w:hAnsiTheme="majorHAnsi" w:cstheme="minorHAnsi"/>
                <w:sz w:val="16"/>
                <w:szCs w:val="16"/>
              </w:rPr>
              <w:t xml:space="preserve">services </w:t>
            </w:r>
            <w:r w:rsidR="00FA7FF2" w:rsidRPr="0071326C">
              <w:rPr>
                <w:rFonts w:asciiTheme="majorHAnsi" w:hAnsiTheme="majorHAnsi" w:cstheme="minorHAnsi"/>
                <w:sz w:val="16"/>
                <w:szCs w:val="16"/>
              </w:rPr>
              <w:t>industries</w:t>
            </w:r>
            <w:r w:rsidR="00B871F2" w:rsidRPr="0071326C">
              <w:rPr>
                <w:rFonts w:asciiTheme="majorHAnsi" w:hAnsiTheme="majorHAnsi" w:cstheme="minorHAnsi"/>
                <w:sz w:val="16"/>
                <w:szCs w:val="16"/>
              </w:rPr>
              <w:t xml:space="preserve"> are limited; in 2021, Minnesota’s services</w:t>
            </w:r>
            <w:r w:rsidR="00FA7FF2" w:rsidRPr="0071326C">
              <w:rPr>
                <w:rFonts w:asciiTheme="majorHAnsi" w:hAnsiTheme="majorHAnsi" w:cstheme="minorHAnsi"/>
                <w:sz w:val="16"/>
                <w:szCs w:val="16"/>
              </w:rPr>
              <w:t xml:space="preserve"> exports were </w:t>
            </w:r>
            <w:r w:rsidR="00B871F2" w:rsidRPr="0071326C">
              <w:rPr>
                <w:rFonts w:asciiTheme="majorHAnsi" w:hAnsiTheme="majorHAnsi" w:cstheme="minorHAnsi"/>
                <w:sz w:val="16"/>
                <w:szCs w:val="16"/>
              </w:rPr>
              <w:t xml:space="preserve">estimated </w:t>
            </w:r>
            <w:r w:rsidR="0071326C" w:rsidRPr="0071326C">
              <w:rPr>
                <w:rFonts w:asciiTheme="majorHAnsi" w:hAnsiTheme="majorHAnsi" w:cstheme="minorHAnsi"/>
                <w:sz w:val="16"/>
                <w:szCs w:val="16"/>
              </w:rPr>
              <w:t xml:space="preserve">at </w:t>
            </w:r>
            <w:r w:rsidR="00B871F2" w:rsidRPr="0071326C">
              <w:rPr>
                <w:rFonts w:asciiTheme="majorHAnsi" w:hAnsiTheme="majorHAnsi" w:cstheme="minorHAnsi"/>
                <w:sz w:val="16"/>
                <w:szCs w:val="16"/>
              </w:rPr>
              <w:t>$12 billion</w:t>
            </w:r>
            <w:r w:rsidR="0071326C" w:rsidRPr="0071326C">
              <w:rPr>
                <w:rFonts w:asciiTheme="majorHAnsi" w:hAnsiTheme="majorHAnsi" w:cstheme="minorHAnsi"/>
                <w:sz w:val="16"/>
                <w:szCs w:val="16"/>
              </w:rPr>
              <w:t xml:space="preserve"> by</w:t>
            </w:r>
            <w:r w:rsidR="00B871F2" w:rsidRPr="0071326C">
              <w:rPr>
                <w:rFonts w:asciiTheme="majorHAnsi" w:hAnsiTheme="majorHAnsi" w:cstheme="minorHAnsi"/>
                <w:sz w:val="16"/>
                <w:szCs w:val="16"/>
              </w:rPr>
              <w:t xml:space="preserve"> the Coalition of Services Industries.  </w:t>
            </w:r>
          </w:p>
        </w:tc>
      </w:tr>
    </w:tbl>
    <w:p w14:paraId="37A30B84" w14:textId="77777777" w:rsidR="00A729A4" w:rsidRPr="0071326C" w:rsidRDefault="00A729A4" w:rsidP="00B31E11"/>
    <w:sectPr w:rsidR="00A729A4" w:rsidRPr="0071326C" w:rsidSect="004B3151">
      <w:footerReference w:type="default" r:id="rId19"/>
      <w:footnotePr>
        <w:numRestart w:val="eachSect"/>
      </w:footnotePr>
      <w:endnotePr>
        <w:numFmt w:val="decimal"/>
      </w:endnotePr>
      <w:type w:val="continuous"/>
      <w:pgSz w:w="12240" w:h="15840" w:code="1"/>
      <w:pgMar w:top="720" w:right="1152"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F873" w14:textId="77777777" w:rsidR="00E4638C" w:rsidRDefault="00E4638C">
      <w:r>
        <w:separator/>
      </w:r>
    </w:p>
  </w:endnote>
  <w:endnote w:type="continuationSeparator" w:id="0">
    <w:p w14:paraId="3C2299F0" w14:textId="77777777" w:rsidR="00E4638C" w:rsidRDefault="00E4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EC55" w14:textId="4333A254"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478">
      <w:rPr>
        <w:rStyle w:val="PageNumber"/>
        <w:noProof/>
      </w:rPr>
      <w:t>2</w:t>
    </w:r>
    <w:r>
      <w:rPr>
        <w:rStyle w:val="PageNumber"/>
      </w:rPr>
      <w:fldChar w:fldCharType="end"/>
    </w:r>
  </w:p>
  <w:p w14:paraId="54D5374B"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F35D" w14:textId="77777777" w:rsidR="00A14E15" w:rsidRPr="009D4735" w:rsidRDefault="00A14E15" w:rsidP="009D4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F5DE" w14:textId="77777777" w:rsidR="003329A5" w:rsidRPr="00A14E15" w:rsidRDefault="003329A5" w:rsidP="00A14E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35635"/>
      <w:docPartObj>
        <w:docPartGallery w:val="Page Numbers (Bottom of Page)"/>
        <w:docPartUnique/>
      </w:docPartObj>
    </w:sdtPr>
    <w:sdtEndPr>
      <w:rPr>
        <w:noProof/>
      </w:rPr>
    </w:sdtEndPr>
    <w:sdtContent>
      <w:p w14:paraId="69CAE3AE" w14:textId="77777777" w:rsidR="00EF688D" w:rsidRDefault="00EF688D">
        <w:pPr>
          <w:pStyle w:val="Footer"/>
          <w:jc w:val="right"/>
        </w:pPr>
        <w:r>
          <w:fldChar w:fldCharType="begin"/>
        </w:r>
        <w:r>
          <w:instrText xml:space="preserve"> PAGE   \* MERGEFORMAT </w:instrText>
        </w:r>
        <w:r>
          <w:fldChar w:fldCharType="separate"/>
        </w:r>
        <w:r w:rsidR="00275CD0">
          <w:rPr>
            <w:noProof/>
          </w:rPr>
          <w:t>3</w:t>
        </w:r>
        <w:r>
          <w:rPr>
            <w:noProof/>
          </w:rPr>
          <w:fldChar w:fldCharType="end"/>
        </w:r>
      </w:p>
    </w:sdtContent>
  </w:sdt>
  <w:p w14:paraId="278D84B8" w14:textId="77777777" w:rsidR="00C72BBA" w:rsidRPr="00A14E15" w:rsidRDefault="00C72BBA"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F309" w14:textId="77777777" w:rsidR="00E4638C" w:rsidRDefault="00E4638C">
      <w:r>
        <w:separator/>
      </w:r>
    </w:p>
  </w:footnote>
  <w:footnote w:type="continuationSeparator" w:id="0">
    <w:p w14:paraId="3954C3AF" w14:textId="77777777" w:rsidR="00E4638C" w:rsidRDefault="00E4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364"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361D9"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003E"/>
    <w:multiLevelType w:val="hybridMultilevel"/>
    <w:tmpl w:val="EF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06D6"/>
    <w:multiLevelType w:val="hybridMultilevel"/>
    <w:tmpl w:val="D70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A56C3"/>
    <w:multiLevelType w:val="hybridMultilevel"/>
    <w:tmpl w:val="9BE2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B22E7"/>
    <w:multiLevelType w:val="hybridMultilevel"/>
    <w:tmpl w:val="3D58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E1423"/>
    <w:multiLevelType w:val="hybridMultilevel"/>
    <w:tmpl w:val="47C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B210F"/>
    <w:multiLevelType w:val="hybridMultilevel"/>
    <w:tmpl w:val="EF88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22BE2"/>
    <w:multiLevelType w:val="hybridMultilevel"/>
    <w:tmpl w:val="52E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674F"/>
    <w:multiLevelType w:val="hybridMultilevel"/>
    <w:tmpl w:val="28C6A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73CB2"/>
    <w:multiLevelType w:val="hybridMultilevel"/>
    <w:tmpl w:val="B27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C2E21"/>
    <w:multiLevelType w:val="hybridMultilevel"/>
    <w:tmpl w:val="BB48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554E84"/>
    <w:multiLevelType w:val="hybridMultilevel"/>
    <w:tmpl w:val="0A9C8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4DC224F"/>
    <w:multiLevelType w:val="hybridMultilevel"/>
    <w:tmpl w:val="B9A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02F2B"/>
    <w:multiLevelType w:val="hybridMultilevel"/>
    <w:tmpl w:val="92C4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E717D2"/>
    <w:multiLevelType w:val="hybridMultilevel"/>
    <w:tmpl w:val="8FA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131549">
    <w:abstractNumId w:val="0"/>
  </w:num>
  <w:num w:numId="2" w16cid:durableId="952709957">
    <w:abstractNumId w:val="19"/>
  </w:num>
  <w:num w:numId="3" w16cid:durableId="1884754658">
    <w:abstractNumId w:val="18"/>
  </w:num>
  <w:num w:numId="4" w16cid:durableId="449662904">
    <w:abstractNumId w:val="8"/>
  </w:num>
  <w:num w:numId="5" w16cid:durableId="1460957330">
    <w:abstractNumId w:val="3"/>
  </w:num>
  <w:num w:numId="6" w16cid:durableId="1206873112">
    <w:abstractNumId w:val="13"/>
  </w:num>
  <w:num w:numId="7" w16cid:durableId="2123065712">
    <w:abstractNumId w:val="25"/>
  </w:num>
  <w:num w:numId="8" w16cid:durableId="581717029">
    <w:abstractNumId w:val="23"/>
  </w:num>
  <w:num w:numId="9" w16cid:durableId="2118088977">
    <w:abstractNumId w:val="15"/>
  </w:num>
  <w:num w:numId="10" w16cid:durableId="1771394721">
    <w:abstractNumId w:val="14"/>
  </w:num>
  <w:num w:numId="11" w16cid:durableId="1801680926">
    <w:abstractNumId w:val="10"/>
  </w:num>
  <w:num w:numId="12" w16cid:durableId="978191781">
    <w:abstractNumId w:val="5"/>
  </w:num>
  <w:num w:numId="13" w16cid:durableId="633293954">
    <w:abstractNumId w:val="24"/>
  </w:num>
  <w:num w:numId="14" w16cid:durableId="219097138">
    <w:abstractNumId w:val="17"/>
  </w:num>
  <w:num w:numId="15" w16cid:durableId="1375232504">
    <w:abstractNumId w:val="12"/>
  </w:num>
  <w:num w:numId="16" w16cid:durableId="1619481738">
    <w:abstractNumId w:val="16"/>
  </w:num>
  <w:num w:numId="17" w16cid:durableId="1329282912">
    <w:abstractNumId w:val="7"/>
  </w:num>
  <w:num w:numId="18" w16cid:durableId="962614777">
    <w:abstractNumId w:val="1"/>
  </w:num>
  <w:num w:numId="19" w16cid:durableId="1818254638">
    <w:abstractNumId w:val="6"/>
  </w:num>
  <w:num w:numId="20" w16cid:durableId="2070762075">
    <w:abstractNumId w:val="6"/>
  </w:num>
  <w:num w:numId="21" w16cid:durableId="737945085">
    <w:abstractNumId w:val="22"/>
  </w:num>
  <w:num w:numId="22" w16cid:durableId="1878081607">
    <w:abstractNumId w:val="9"/>
  </w:num>
  <w:num w:numId="23" w16cid:durableId="1845968903">
    <w:abstractNumId w:val="11"/>
  </w:num>
  <w:num w:numId="24" w16cid:durableId="2013607395">
    <w:abstractNumId w:val="20"/>
  </w:num>
  <w:num w:numId="25" w16cid:durableId="1284194146">
    <w:abstractNumId w:val="2"/>
  </w:num>
  <w:num w:numId="26" w16cid:durableId="946087402">
    <w:abstractNumId w:val="4"/>
  </w:num>
  <w:num w:numId="27" w16cid:durableId="126885107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2128"/>
    <w:rsid w:val="0000336A"/>
    <w:rsid w:val="000041CC"/>
    <w:rsid w:val="00007266"/>
    <w:rsid w:val="000115BA"/>
    <w:rsid w:val="0001235B"/>
    <w:rsid w:val="00013717"/>
    <w:rsid w:val="000146CA"/>
    <w:rsid w:val="00017FE0"/>
    <w:rsid w:val="000215A5"/>
    <w:rsid w:val="000218A0"/>
    <w:rsid w:val="00024BB5"/>
    <w:rsid w:val="00034C5A"/>
    <w:rsid w:val="00034FBE"/>
    <w:rsid w:val="00035328"/>
    <w:rsid w:val="00036238"/>
    <w:rsid w:val="00041E17"/>
    <w:rsid w:val="00045958"/>
    <w:rsid w:val="00046117"/>
    <w:rsid w:val="00051FE0"/>
    <w:rsid w:val="00051FF7"/>
    <w:rsid w:val="00055A2D"/>
    <w:rsid w:val="00055A45"/>
    <w:rsid w:val="0005790D"/>
    <w:rsid w:val="0006144E"/>
    <w:rsid w:val="00070016"/>
    <w:rsid w:val="000716AC"/>
    <w:rsid w:val="0007242D"/>
    <w:rsid w:val="000731F2"/>
    <w:rsid w:val="00073511"/>
    <w:rsid w:val="00073987"/>
    <w:rsid w:val="00073E4C"/>
    <w:rsid w:val="000750C3"/>
    <w:rsid w:val="00076DF3"/>
    <w:rsid w:val="00077712"/>
    <w:rsid w:val="00077989"/>
    <w:rsid w:val="00077EF4"/>
    <w:rsid w:val="0008038B"/>
    <w:rsid w:val="00084F9F"/>
    <w:rsid w:val="000859F2"/>
    <w:rsid w:val="00085EED"/>
    <w:rsid w:val="000903C9"/>
    <w:rsid w:val="00090B7B"/>
    <w:rsid w:val="0009219A"/>
    <w:rsid w:val="00092621"/>
    <w:rsid w:val="0009348A"/>
    <w:rsid w:val="00096FFD"/>
    <w:rsid w:val="000A409A"/>
    <w:rsid w:val="000A491B"/>
    <w:rsid w:val="000A4AB3"/>
    <w:rsid w:val="000A5664"/>
    <w:rsid w:val="000A7EF0"/>
    <w:rsid w:val="000B2A85"/>
    <w:rsid w:val="000B2D86"/>
    <w:rsid w:val="000B38B1"/>
    <w:rsid w:val="000B3EC3"/>
    <w:rsid w:val="000B445D"/>
    <w:rsid w:val="000B518F"/>
    <w:rsid w:val="000B61DB"/>
    <w:rsid w:val="000C1CB0"/>
    <w:rsid w:val="000C2181"/>
    <w:rsid w:val="000C3AE5"/>
    <w:rsid w:val="000C7D1B"/>
    <w:rsid w:val="000D18A9"/>
    <w:rsid w:val="000D50BF"/>
    <w:rsid w:val="000D5400"/>
    <w:rsid w:val="000D5C2B"/>
    <w:rsid w:val="000D5D94"/>
    <w:rsid w:val="000D6FAF"/>
    <w:rsid w:val="000E0786"/>
    <w:rsid w:val="000E3376"/>
    <w:rsid w:val="000E5242"/>
    <w:rsid w:val="000E5D90"/>
    <w:rsid w:val="000E6BD9"/>
    <w:rsid w:val="000E7ED0"/>
    <w:rsid w:val="000F0519"/>
    <w:rsid w:val="000F1844"/>
    <w:rsid w:val="000F1B22"/>
    <w:rsid w:val="000F3E1F"/>
    <w:rsid w:val="000F4677"/>
    <w:rsid w:val="000F54F2"/>
    <w:rsid w:val="000F6660"/>
    <w:rsid w:val="000F6CDA"/>
    <w:rsid w:val="00100204"/>
    <w:rsid w:val="00104038"/>
    <w:rsid w:val="00107686"/>
    <w:rsid w:val="001104C3"/>
    <w:rsid w:val="001127F8"/>
    <w:rsid w:val="00112A1D"/>
    <w:rsid w:val="00112A91"/>
    <w:rsid w:val="001130EE"/>
    <w:rsid w:val="00114D4B"/>
    <w:rsid w:val="00116C04"/>
    <w:rsid w:val="00117F52"/>
    <w:rsid w:val="001214D7"/>
    <w:rsid w:val="00121B5D"/>
    <w:rsid w:val="0012471B"/>
    <w:rsid w:val="001250AB"/>
    <w:rsid w:val="001263E2"/>
    <w:rsid w:val="00130080"/>
    <w:rsid w:val="00131B23"/>
    <w:rsid w:val="00131EDB"/>
    <w:rsid w:val="00132A66"/>
    <w:rsid w:val="00133985"/>
    <w:rsid w:val="00134ECC"/>
    <w:rsid w:val="00134F20"/>
    <w:rsid w:val="001360E3"/>
    <w:rsid w:val="001403DF"/>
    <w:rsid w:val="001406DC"/>
    <w:rsid w:val="00142003"/>
    <w:rsid w:val="0014228E"/>
    <w:rsid w:val="00147356"/>
    <w:rsid w:val="00155169"/>
    <w:rsid w:val="00155C52"/>
    <w:rsid w:val="00160C41"/>
    <w:rsid w:val="00162EF3"/>
    <w:rsid w:val="0016340E"/>
    <w:rsid w:val="00170A9E"/>
    <w:rsid w:val="00171E5B"/>
    <w:rsid w:val="00173478"/>
    <w:rsid w:val="00173D78"/>
    <w:rsid w:val="00176E55"/>
    <w:rsid w:val="00177D5B"/>
    <w:rsid w:val="0018019E"/>
    <w:rsid w:val="0018375B"/>
    <w:rsid w:val="0018461A"/>
    <w:rsid w:val="001866EF"/>
    <w:rsid w:val="00191624"/>
    <w:rsid w:val="00192539"/>
    <w:rsid w:val="00192CA0"/>
    <w:rsid w:val="001942D2"/>
    <w:rsid w:val="001968E6"/>
    <w:rsid w:val="001978D1"/>
    <w:rsid w:val="001979B1"/>
    <w:rsid w:val="001A0504"/>
    <w:rsid w:val="001A08C3"/>
    <w:rsid w:val="001A52A7"/>
    <w:rsid w:val="001B0716"/>
    <w:rsid w:val="001B0D71"/>
    <w:rsid w:val="001B1416"/>
    <w:rsid w:val="001B344A"/>
    <w:rsid w:val="001B3687"/>
    <w:rsid w:val="001B3ED7"/>
    <w:rsid w:val="001B6B06"/>
    <w:rsid w:val="001C28D2"/>
    <w:rsid w:val="001C3A93"/>
    <w:rsid w:val="001C6967"/>
    <w:rsid w:val="001C6C05"/>
    <w:rsid w:val="001D0609"/>
    <w:rsid w:val="001D101E"/>
    <w:rsid w:val="001D704D"/>
    <w:rsid w:val="001E3D72"/>
    <w:rsid w:val="001E4570"/>
    <w:rsid w:val="001E4F28"/>
    <w:rsid w:val="001E53CF"/>
    <w:rsid w:val="001E6B49"/>
    <w:rsid w:val="001E6F3B"/>
    <w:rsid w:val="001E79C1"/>
    <w:rsid w:val="001F3A7C"/>
    <w:rsid w:val="001F56E0"/>
    <w:rsid w:val="001F5C09"/>
    <w:rsid w:val="001F62FF"/>
    <w:rsid w:val="002003FA"/>
    <w:rsid w:val="0020291D"/>
    <w:rsid w:val="00202963"/>
    <w:rsid w:val="00203298"/>
    <w:rsid w:val="002040F2"/>
    <w:rsid w:val="00204236"/>
    <w:rsid w:val="0020462B"/>
    <w:rsid w:val="00205084"/>
    <w:rsid w:val="0021036F"/>
    <w:rsid w:val="00211025"/>
    <w:rsid w:val="0021231E"/>
    <w:rsid w:val="00214302"/>
    <w:rsid w:val="0021557D"/>
    <w:rsid w:val="002158EE"/>
    <w:rsid w:val="00215DA6"/>
    <w:rsid w:val="00217960"/>
    <w:rsid w:val="00221D2D"/>
    <w:rsid w:val="002224AE"/>
    <w:rsid w:val="00222FBC"/>
    <w:rsid w:val="0022389E"/>
    <w:rsid w:val="00225F0B"/>
    <w:rsid w:val="00226A71"/>
    <w:rsid w:val="002303BC"/>
    <w:rsid w:val="0023239F"/>
    <w:rsid w:val="00235FD0"/>
    <w:rsid w:val="002408B6"/>
    <w:rsid w:val="00245025"/>
    <w:rsid w:val="0024609E"/>
    <w:rsid w:val="00247785"/>
    <w:rsid w:val="002503A5"/>
    <w:rsid w:val="00250661"/>
    <w:rsid w:val="00253674"/>
    <w:rsid w:val="002538D5"/>
    <w:rsid w:val="00254B81"/>
    <w:rsid w:val="002607E0"/>
    <w:rsid w:val="0026310F"/>
    <w:rsid w:val="00267A87"/>
    <w:rsid w:val="00270CC6"/>
    <w:rsid w:val="00271EFA"/>
    <w:rsid w:val="00272910"/>
    <w:rsid w:val="00275B48"/>
    <w:rsid w:val="00275CD0"/>
    <w:rsid w:val="00275F40"/>
    <w:rsid w:val="00277973"/>
    <w:rsid w:val="00277C67"/>
    <w:rsid w:val="0028048A"/>
    <w:rsid w:val="00281C4F"/>
    <w:rsid w:val="00282533"/>
    <w:rsid w:val="002831FE"/>
    <w:rsid w:val="00284EDE"/>
    <w:rsid w:val="00287234"/>
    <w:rsid w:val="002907B4"/>
    <w:rsid w:val="0029293B"/>
    <w:rsid w:val="00294EDA"/>
    <w:rsid w:val="002969E6"/>
    <w:rsid w:val="00297DBE"/>
    <w:rsid w:val="002A27D6"/>
    <w:rsid w:val="002A2F54"/>
    <w:rsid w:val="002A3F50"/>
    <w:rsid w:val="002A4808"/>
    <w:rsid w:val="002A52FC"/>
    <w:rsid w:val="002B1415"/>
    <w:rsid w:val="002B36A6"/>
    <w:rsid w:val="002B38F3"/>
    <w:rsid w:val="002B6B53"/>
    <w:rsid w:val="002B6EBF"/>
    <w:rsid w:val="002C0C4E"/>
    <w:rsid w:val="002C164C"/>
    <w:rsid w:val="002C52C4"/>
    <w:rsid w:val="002C6521"/>
    <w:rsid w:val="002C724E"/>
    <w:rsid w:val="002C74B4"/>
    <w:rsid w:val="002D12D7"/>
    <w:rsid w:val="002D22E6"/>
    <w:rsid w:val="002D2A7E"/>
    <w:rsid w:val="002D2EF5"/>
    <w:rsid w:val="002D4A79"/>
    <w:rsid w:val="002D6206"/>
    <w:rsid w:val="002D6A99"/>
    <w:rsid w:val="002D6F33"/>
    <w:rsid w:val="002D73E6"/>
    <w:rsid w:val="002E12C5"/>
    <w:rsid w:val="002E3F44"/>
    <w:rsid w:val="002E54F1"/>
    <w:rsid w:val="002E71A7"/>
    <w:rsid w:val="002E7C23"/>
    <w:rsid w:val="002F018D"/>
    <w:rsid w:val="002F0687"/>
    <w:rsid w:val="002F1C0E"/>
    <w:rsid w:val="002F1FEC"/>
    <w:rsid w:val="002F285F"/>
    <w:rsid w:val="002F5753"/>
    <w:rsid w:val="002F7ABC"/>
    <w:rsid w:val="00302918"/>
    <w:rsid w:val="003047CE"/>
    <w:rsid w:val="00304E7F"/>
    <w:rsid w:val="0031398E"/>
    <w:rsid w:val="003139FE"/>
    <w:rsid w:val="0031458A"/>
    <w:rsid w:val="00314865"/>
    <w:rsid w:val="00314D15"/>
    <w:rsid w:val="00314EBD"/>
    <w:rsid w:val="00320905"/>
    <w:rsid w:val="0032597F"/>
    <w:rsid w:val="00326558"/>
    <w:rsid w:val="00326E34"/>
    <w:rsid w:val="00327817"/>
    <w:rsid w:val="0033034E"/>
    <w:rsid w:val="00330852"/>
    <w:rsid w:val="00332036"/>
    <w:rsid w:val="003329A5"/>
    <w:rsid w:val="00332B6B"/>
    <w:rsid w:val="00337018"/>
    <w:rsid w:val="00337315"/>
    <w:rsid w:val="003413C6"/>
    <w:rsid w:val="003415A0"/>
    <w:rsid w:val="00342DD3"/>
    <w:rsid w:val="00343C68"/>
    <w:rsid w:val="00344A16"/>
    <w:rsid w:val="0034596F"/>
    <w:rsid w:val="00351C1E"/>
    <w:rsid w:val="00352999"/>
    <w:rsid w:val="00353947"/>
    <w:rsid w:val="0035427F"/>
    <w:rsid w:val="003608E7"/>
    <w:rsid w:val="00361002"/>
    <w:rsid w:val="003610A2"/>
    <w:rsid w:val="00365F97"/>
    <w:rsid w:val="00370F35"/>
    <w:rsid w:val="00371C8B"/>
    <w:rsid w:val="00373CD5"/>
    <w:rsid w:val="00374F2A"/>
    <w:rsid w:val="003754FD"/>
    <w:rsid w:val="00375BF0"/>
    <w:rsid w:val="0037721A"/>
    <w:rsid w:val="003816E0"/>
    <w:rsid w:val="0038252D"/>
    <w:rsid w:val="0038303E"/>
    <w:rsid w:val="003833B0"/>
    <w:rsid w:val="00383D01"/>
    <w:rsid w:val="0038665A"/>
    <w:rsid w:val="0039075E"/>
    <w:rsid w:val="0039082F"/>
    <w:rsid w:val="00390F3B"/>
    <w:rsid w:val="00391815"/>
    <w:rsid w:val="00391E28"/>
    <w:rsid w:val="00392609"/>
    <w:rsid w:val="00396483"/>
    <w:rsid w:val="0039728A"/>
    <w:rsid w:val="003A0A16"/>
    <w:rsid w:val="003A2478"/>
    <w:rsid w:val="003A3D11"/>
    <w:rsid w:val="003B0B33"/>
    <w:rsid w:val="003B2771"/>
    <w:rsid w:val="003B3B3A"/>
    <w:rsid w:val="003B4BE4"/>
    <w:rsid w:val="003B4D8B"/>
    <w:rsid w:val="003B62FF"/>
    <w:rsid w:val="003C316B"/>
    <w:rsid w:val="003C3E3E"/>
    <w:rsid w:val="003C57B0"/>
    <w:rsid w:val="003C7165"/>
    <w:rsid w:val="003D03FE"/>
    <w:rsid w:val="003D044E"/>
    <w:rsid w:val="003D23DD"/>
    <w:rsid w:val="003D2B14"/>
    <w:rsid w:val="003D4F5D"/>
    <w:rsid w:val="003D744B"/>
    <w:rsid w:val="003D7C4C"/>
    <w:rsid w:val="003E1B39"/>
    <w:rsid w:val="003E6250"/>
    <w:rsid w:val="003E7BE4"/>
    <w:rsid w:val="003E7EAB"/>
    <w:rsid w:val="003F11AE"/>
    <w:rsid w:val="003F24D7"/>
    <w:rsid w:val="003F27BF"/>
    <w:rsid w:val="003F41C6"/>
    <w:rsid w:val="003F44C1"/>
    <w:rsid w:val="004003DF"/>
    <w:rsid w:val="0040053E"/>
    <w:rsid w:val="0040062C"/>
    <w:rsid w:val="00402A86"/>
    <w:rsid w:val="00405F36"/>
    <w:rsid w:val="004061B1"/>
    <w:rsid w:val="00406C81"/>
    <w:rsid w:val="00406E6D"/>
    <w:rsid w:val="00407310"/>
    <w:rsid w:val="00411E0D"/>
    <w:rsid w:val="00412776"/>
    <w:rsid w:val="00415D0D"/>
    <w:rsid w:val="00420D04"/>
    <w:rsid w:val="0042279B"/>
    <w:rsid w:val="0042285F"/>
    <w:rsid w:val="00426066"/>
    <w:rsid w:val="00426DC1"/>
    <w:rsid w:val="004303E8"/>
    <w:rsid w:val="004304CD"/>
    <w:rsid w:val="00433DBF"/>
    <w:rsid w:val="004344C8"/>
    <w:rsid w:val="0043482D"/>
    <w:rsid w:val="00435C4F"/>
    <w:rsid w:val="004362B0"/>
    <w:rsid w:val="00437CB6"/>
    <w:rsid w:val="0044214A"/>
    <w:rsid w:val="004430A9"/>
    <w:rsid w:val="00445385"/>
    <w:rsid w:val="00447207"/>
    <w:rsid w:val="00447943"/>
    <w:rsid w:val="00447B4E"/>
    <w:rsid w:val="00450EC4"/>
    <w:rsid w:val="004527A6"/>
    <w:rsid w:val="00453DF8"/>
    <w:rsid w:val="00455C32"/>
    <w:rsid w:val="0045745E"/>
    <w:rsid w:val="00457D79"/>
    <w:rsid w:val="00464190"/>
    <w:rsid w:val="0046423E"/>
    <w:rsid w:val="00464C8D"/>
    <w:rsid w:val="00464CC9"/>
    <w:rsid w:val="0046665A"/>
    <w:rsid w:val="0047028E"/>
    <w:rsid w:val="00470FED"/>
    <w:rsid w:val="004713E0"/>
    <w:rsid w:val="004736AA"/>
    <w:rsid w:val="0047469E"/>
    <w:rsid w:val="00475201"/>
    <w:rsid w:val="00475D79"/>
    <w:rsid w:val="0047760E"/>
    <w:rsid w:val="00480418"/>
    <w:rsid w:val="00481845"/>
    <w:rsid w:val="0048185B"/>
    <w:rsid w:val="00481E39"/>
    <w:rsid w:val="0048260A"/>
    <w:rsid w:val="00482FFB"/>
    <w:rsid w:val="00484906"/>
    <w:rsid w:val="00485683"/>
    <w:rsid w:val="004867A4"/>
    <w:rsid w:val="00486B23"/>
    <w:rsid w:val="00487935"/>
    <w:rsid w:val="00487C0D"/>
    <w:rsid w:val="004900B8"/>
    <w:rsid w:val="004907DB"/>
    <w:rsid w:val="004910BF"/>
    <w:rsid w:val="00491AC8"/>
    <w:rsid w:val="00493958"/>
    <w:rsid w:val="00493DF8"/>
    <w:rsid w:val="004944A7"/>
    <w:rsid w:val="00497570"/>
    <w:rsid w:val="00497998"/>
    <w:rsid w:val="004A106F"/>
    <w:rsid w:val="004A3CC9"/>
    <w:rsid w:val="004A43B9"/>
    <w:rsid w:val="004A5B9A"/>
    <w:rsid w:val="004A7FE8"/>
    <w:rsid w:val="004B3151"/>
    <w:rsid w:val="004B4BD6"/>
    <w:rsid w:val="004B6E42"/>
    <w:rsid w:val="004B74F8"/>
    <w:rsid w:val="004B7C0E"/>
    <w:rsid w:val="004C46FF"/>
    <w:rsid w:val="004C58F4"/>
    <w:rsid w:val="004D1EAB"/>
    <w:rsid w:val="004D23D5"/>
    <w:rsid w:val="004D2FBE"/>
    <w:rsid w:val="004D4C85"/>
    <w:rsid w:val="004D6223"/>
    <w:rsid w:val="004D75DA"/>
    <w:rsid w:val="004E1A2B"/>
    <w:rsid w:val="004E209A"/>
    <w:rsid w:val="004E2649"/>
    <w:rsid w:val="004E7051"/>
    <w:rsid w:val="004E7967"/>
    <w:rsid w:val="004F046B"/>
    <w:rsid w:val="004F0B2F"/>
    <w:rsid w:val="004F5228"/>
    <w:rsid w:val="004F5A09"/>
    <w:rsid w:val="004F5A6F"/>
    <w:rsid w:val="004F5CE6"/>
    <w:rsid w:val="00500A5C"/>
    <w:rsid w:val="005026CC"/>
    <w:rsid w:val="00502E58"/>
    <w:rsid w:val="00503AD1"/>
    <w:rsid w:val="0050449A"/>
    <w:rsid w:val="005061AE"/>
    <w:rsid w:val="005109CF"/>
    <w:rsid w:val="00511827"/>
    <w:rsid w:val="00511E71"/>
    <w:rsid w:val="00513720"/>
    <w:rsid w:val="0051607A"/>
    <w:rsid w:val="00520464"/>
    <w:rsid w:val="005205F4"/>
    <w:rsid w:val="00524378"/>
    <w:rsid w:val="0052593E"/>
    <w:rsid w:val="005269B7"/>
    <w:rsid w:val="00526AD1"/>
    <w:rsid w:val="005315EA"/>
    <w:rsid w:val="00535283"/>
    <w:rsid w:val="00535508"/>
    <w:rsid w:val="005363FA"/>
    <w:rsid w:val="00542EF2"/>
    <w:rsid w:val="00545F38"/>
    <w:rsid w:val="00546280"/>
    <w:rsid w:val="0054634E"/>
    <w:rsid w:val="005510E2"/>
    <w:rsid w:val="00552465"/>
    <w:rsid w:val="0055424F"/>
    <w:rsid w:val="00555E17"/>
    <w:rsid w:val="00557377"/>
    <w:rsid w:val="00560599"/>
    <w:rsid w:val="0056138D"/>
    <w:rsid w:val="00563721"/>
    <w:rsid w:val="0056477B"/>
    <w:rsid w:val="00565776"/>
    <w:rsid w:val="00566508"/>
    <w:rsid w:val="00570ACF"/>
    <w:rsid w:val="00573535"/>
    <w:rsid w:val="00573C2D"/>
    <w:rsid w:val="00575BB7"/>
    <w:rsid w:val="00576FFD"/>
    <w:rsid w:val="00580E08"/>
    <w:rsid w:val="00585250"/>
    <w:rsid w:val="00586F18"/>
    <w:rsid w:val="00587796"/>
    <w:rsid w:val="005911D1"/>
    <w:rsid w:val="0059345E"/>
    <w:rsid w:val="00593AA7"/>
    <w:rsid w:val="005940DB"/>
    <w:rsid w:val="00594587"/>
    <w:rsid w:val="00595776"/>
    <w:rsid w:val="005968B2"/>
    <w:rsid w:val="005A1B0C"/>
    <w:rsid w:val="005A2891"/>
    <w:rsid w:val="005A2AAC"/>
    <w:rsid w:val="005A3C50"/>
    <w:rsid w:val="005A61AB"/>
    <w:rsid w:val="005B0E04"/>
    <w:rsid w:val="005B0E05"/>
    <w:rsid w:val="005B17CE"/>
    <w:rsid w:val="005B23D6"/>
    <w:rsid w:val="005B2781"/>
    <w:rsid w:val="005B6872"/>
    <w:rsid w:val="005B6B09"/>
    <w:rsid w:val="005C4DE0"/>
    <w:rsid w:val="005C5B41"/>
    <w:rsid w:val="005C61D6"/>
    <w:rsid w:val="005C7F9E"/>
    <w:rsid w:val="005D315F"/>
    <w:rsid w:val="005D7A63"/>
    <w:rsid w:val="005E2D06"/>
    <w:rsid w:val="005F1D50"/>
    <w:rsid w:val="005F2A2C"/>
    <w:rsid w:val="005F3BCE"/>
    <w:rsid w:val="005F4010"/>
    <w:rsid w:val="005F5087"/>
    <w:rsid w:val="005F5CDA"/>
    <w:rsid w:val="005F69A9"/>
    <w:rsid w:val="00600502"/>
    <w:rsid w:val="0060091E"/>
    <w:rsid w:val="00603AFF"/>
    <w:rsid w:val="0060605E"/>
    <w:rsid w:val="006107AB"/>
    <w:rsid w:val="006139EC"/>
    <w:rsid w:val="00613CC2"/>
    <w:rsid w:val="00615CB4"/>
    <w:rsid w:val="006177AE"/>
    <w:rsid w:val="00620C18"/>
    <w:rsid w:val="0062175F"/>
    <w:rsid w:val="00621A4A"/>
    <w:rsid w:val="00623165"/>
    <w:rsid w:val="00624E22"/>
    <w:rsid w:val="00626765"/>
    <w:rsid w:val="006267B7"/>
    <w:rsid w:val="006267C6"/>
    <w:rsid w:val="00626D4E"/>
    <w:rsid w:val="0063143F"/>
    <w:rsid w:val="00632673"/>
    <w:rsid w:val="006339F5"/>
    <w:rsid w:val="00634377"/>
    <w:rsid w:val="0063551B"/>
    <w:rsid w:val="00635F82"/>
    <w:rsid w:val="00636B16"/>
    <w:rsid w:val="00636B6E"/>
    <w:rsid w:val="00640620"/>
    <w:rsid w:val="00641D3B"/>
    <w:rsid w:val="00642531"/>
    <w:rsid w:val="00646942"/>
    <w:rsid w:val="006470D8"/>
    <w:rsid w:val="006479EA"/>
    <w:rsid w:val="006519AF"/>
    <w:rsid w:val="00654545"/>
    <w:rsid w:val="006549A6"/>
    <w:rsid w:val="0066058B"/>
    <w:rsid w:val="006618F7"/>
    <w:rsid w:val="00662222"/>
    <w:rsid w:val="00663755"/>
    <w:rsid w:val="006674D7"/>
    <w:rsid w:val="00674128"/>
    <w:rsid w:val="00674A82"/>
    <w:rsid w:val="00674D0B"/>
    <w:rsid w:val="00675227"/>
    <w:rsid w:val="006754B7"/>
    <w:rsid w:val="00675630"/>
    <w:rsid w:val="006756C0"/>
    <w:rsid w:val="00676C69"/>
    <w:rsid w:val="00680F03"/>
    <w:rsid w:val="0068122B"/>
    <w:rsid w:val="006826BB"/>
    <w:rsid w:val="006830C9"/>
    <w:rsid w:val="0068364A"/>
    <w:rsid w:val="0068525B"/>
    <w:rsid w:val="00685D4F"/>
    <w:rsid w:val="00685DD6"/>
    <w:rsid w:val="006869A1"/>
    <w:rsid w:val="00686D73"/>
    <w:rsid w:val="00687B31"/>
    <w:rsid w:val="00690C1B"/>
    <w:rsid w:val="006918FD"/>
    <w:rsid w:val="00691D49"/>
    <w:rsid w:val="00692D3B"/>
    <w:rsid w:val="006A17BE"/>
    <w:rsid w:val="006A26EE"/>
    <w:rsid w:val="006A28F1"/>
    <w:rsid w:val="006A3E64"/>
    <w:rsid w:val="006A3EBB"/>
    <w:rsid w:val="006A515F"/>
    <w:rsid w:val="006A56E4"/>
    <w:rsid w:val="006B029D"/>
    <w:rsid w:val="006B197C"/>
    <w:rsid w:val="006B2D41"/>
    <w:rsid w:val="006B6D8D"/>
    <w:rsid w:val="006B7D05"/>
    <w:rsid w:val="006C0226"/>
    <w:rsid w:val="006C1643"/>
    <w:rsid w:val="006C295B"/>
    <w:rsid w:val="006C3C15"/>
    <w:rsid w:val="006C7D4F"/>
    <w:rsid w:val="006D1BBC"/>
    <w:rsid w:val="006D28F6"/>
    <w:rsid w:val="006D46CE"/>
    <w:rsid w:val="006D66D6"/>
    <w:rsid w:val="006D6A44"/>
    <w:rsid w:val="006E75E2"/>
    <w:rsid w:val="006E7964"/>
    <w:rsid w:val="006F01B5"/>
    <w:rsid w:val="006F2A06"/>
    <w:rsid w:val="006F45EE"/>
    <w:rsid w:val="006F4AD5"/>
    <w:rsid w:val="006F5527"/>
    <w:rsid w:val="006F6211"/>
    <w:rsid w:val="00702DA8"/>
    <w:rsid w:val="007046F7"/>
    <w:rsid w:val="00705190"/>
    <w:rsid w:val="007076DF"/>
    <w:rsid w:val="007117CE"/>
    <w:rsid w:val="0071280F"/>
    <w:rsid w:val="0071326C"/>
    <w:rsid w:val="0071377D"/>
    <w:rsid w:val="007138EB"/>
    <w:rsid w:val="007144F6"/>
    <w:rsid w:val="00714F39"/>
    <w:rsid w:val="007163FD"/>
    <w:rsid w:val="00716EA8"/>
    <w:rsid w:val="00717F98"/>
    <w:rsid w:val="0072390C"/>
    <w:rsid w:val="00723A6D"/>
    <w:rsid w:val="007258AB"/>
    <w:rsid w:val="007269AB"/>
    <w:rsid w:val="00727A28"/>
    <w:rsid w:val="0073043A"/>
    <w:rsid w:val="0073270D"/>
    <w:rsid w:val="00732F74"/>
    <w:rsid w:val="007332F9"/>
    <w:rsid w:val="00734ED0"/>
    <w:rsid w:val="00736085"/>
    <w:rsid w:val="00740D9C"/>
    <w:rsid w:val="00741394"/>
    <w:rsid w:val="007418D9"/>
    <w:rsid w:val="00741FA2"/>
    <w:rsid w:val="00742173"/>
    <w:rsid w:val="00743CDA"/>
    <w:rsid w:val="00744252"/>
    <w:rsid w:val="00745488"/>
    <w:rsid w:val="00746FD8"/>
    <w:rsid w:val="00747332"/>
    <w:rsid w:val="00750FE0"/>
    <w:rsid w:val="007548E4"/>
    <w:rsid w:val="0075694F"/>
    <w:rsid w:val="00757335"/>
    <w:rsid w:val="007613E1"/>
    <w:rsid w:val="00761522"/>
    <w:rsid w:val="00762E9C"/>
    <w:rsid w:val="00763AAD"/>
    <w:rsid w:val="007648FB"/>
    <w:rsid w:val="00764F3A"/>
    <w:rsid w:val="0076720B"/>
    <w:rsid w:val="00770689"/>
    <w:rsid w:val="00772951"/>
    <w:rsid w:val="007752C1"/>
    <w:rsid w:val="007761E6"/>
    <w:rsid w:val="0077623A"/>
    <w:rsid w:val="00776D3B"/>
    <w:rsid w:val="007771AD"/>
    <w:rsid w:val="00777893"/>
    <w:rsid w:val="00777BE5"/>
    <w:rsid w:val="00784103"/>
    <w:rsid w:val="00784C0B"/>
    <w:rsid w:val="00792FA5"/>
    <w:rsid w:val="00795196"/>
    <w:rsid w:val="00795A9B"/>
    <w:rsid w:val="007964A2"/>
    <w:rsid w:val="007970F7"/>
    <w:rsid w:val="007A0496"/>
    <w:rsid w:val="007A2D2F"/>
    <w:rsid w:val="007A6F27"/>
    <w:rsid w:val="007A7979"/>
    <w:rsid w:val="007A7D3B"/>
    <w:rsid w:val="007B0321"/>
    <w:rsid w:val="007B502E"/>
    <w:rsid w:val="007B5C21"/>
    <w:rsid w:val="007C024D"/>
    <w:rsid w:val="007C035E"/>
    <w:rsid w:val="007C165F"/>
    <w:rsid w:val="007C1DCB"/>
    <w:rsid w:val="007C2679"/>
    <w:rsid w:val="007C29FD"/>
    <w:rsid w:val="007D01BE"/>
    <w:rsid w:val="007D082D"/>
    <w:rsid w:val="007D2377"/>
    <w:rsid w:val="007D61CF"/>
    <w:rsid w:val="007E1CBA"/>
    <w:rsid w:val="007E22C2"/>
    <w:rsid w:val="007E3861"/>
    <w:rsid w:val="007E4433"/>
    <w:rsid w:val="007E4D02"/>
    <w:rsid w:val="007E5495"/>
    <w:rsid w:val="007F1C4A"/>
    <w:rsid w:val="007F3673"/>
    <w:rsid w:val="007F3B3E"/>
    <w:rsid w:val="007F507E"/>
    <w:rsid w:val="007F61BA"/>
    <w:rsid w:val="007F63B6"/>
    <w:rsid w:val="00800885"/>
    <w:rsid w:val="00800E2F"/>
    <w:rsid w:val="0080162F"/>
    <w:rsid w:val="0080204A"/>
    <w:rsid w:val="008022A8"/>
    <w:rsid w:val="008025ED"/>
    <w:rsid w:val="0080286D"/>
    <w:rsid w:val="00811627"/>
    <w:rsid w:val="008117B6"/>
    <w:rsid w:val="00813F99"/>
    <w:rsid w:val="00817E9E"/>
    <w:rsid w:val="0082399F"/>
    <w:rsid w:val="00823BB9"/>
    <w:rsid w:val="00824824"/>
    <w:rsid w:val="00826B94"/>
    <w:rsid w:val="0082792B"/>
    <w:rsid w:val="008303A2"/>
    <w:rsid w:val="00830532"/>
    <w:rsid w:val="00831E3F"/>
    <w:rsid w:val="00833612"/>
    <w:rsid w:val="00833913"/>
    <w:rsid w:val="008341D8"/>
    <w:rsid w:val="00835A94"/>
    <w:rsid w:val="00836835"/>
    <w:rsid w:val="00836FB4"/>
    <w:rsid w:val="00837B67"/>
    <w:rsid w:val="00837BEB"/>
    <w:rsid w:val="0084055A"/>
    <w:rsid w:val="00846AB1"/>
    <w:rsid w:val="00846B2F"/>
    <w:rsid w:val="00851C18"/>
    <w:rsid w:val="00861C24"/>
    <w:rsid w:val="00863EF0"/>
    <w:rsid w:val="00864EE6"/>
    <w:rsid w:val="00864F1C"/>
    <w:rsid w:val="00872803"/>
    <w:rsid w:val="00872BA2"/>
    <w:rsid w:val="00876C3E"/>
    <w:rsid w:val="008801AF"/>
    <w:rsid w:val="00881039"/>
    <w:rsid w:val="00882877"/>
    <w:rsid w:val="00883AAA"/>
    <w:rsid w:val="00883CEC"/>
    <w:rsid w:val="0088746C"/>
    <w:rsid w:val="00890980"/>
    <w:rsid w:val="00892EBC"/>
    <w:rsid w:val="00893DD6"/>
    <w:rsid w:val="00895418"/>
    <w:rsid w:val="0089788C"/>
    <w:rsid w:val="00897A7F"/>
    <w:rsid w:val="00897AF8"/>
    <w:rsid w:val="008A09F3"/>
    <w:rsid w:val="008A37E5"/>
    <w:rsid w:val="008A5515"/>
    <w:rsid w:val="008A56A8"/>
    <w:rsid w:val="008A5FCC"/>
    <w:rsid w:val="008B4846"/>
    <w:rsid w:val="008B558F"/>
    <w:rsid w:val="008B749E"/>
    <w:rsid w:val="008C09B5"/>
    <w:rsid w:val="008C1D0C"/>
    <w:rsid w:val="008C2D17"/>
    <w:rsid w:val="008C3E75"/>
    <w:rsid w:val="008C3F62"/>
    <w:rsid w:val="008C560F"/>
    <w:rsid w:val="008C5F38"/>
    <w:rsid w:val="008C6A20"/>
    <w:rsid w:val="008C7870"/>
    <w:rsid w:val="008D2E08"/>
    <w:rsid w:val="008D4733"/>
    <w:rsid w:val="008D4971"/>
    <w:rsid w:val="008D6805"/>
    <w:rsid w:val="008D77FD"/>
    <w:rsid w:val="008E1E77"/>
    <w:rsid w:val="008E6A92"/>
    <w:rsid w:val="008F4C17"/>
    <w:rsid w:val="008F5F07"/>
    <w:rsid w:val="008F7897"/>
    <w:rsid w:val="0090296E"/>
    <w:rsid w:val="00905BBE"/>
    <w:rsid w:val="009078DB"/>
    <w:rsid w:val="009106E6"/>
    <w:rsid w:val="00910785"/>
    <w:rsid w:val="0091354B"/>
    <w:rsid w:val="00913E49"/>
    <w:rsid w:val="00914B6D"/>
    <w:rsid w:val="00916358"/>
    <w:rsid w:val="009204BB"/>
    <w:rsid w:val="0092107D"/>
    <w:rsid w:val="009214D3"/>
    <w:rsid w:val="009225DE"/>
    <w:rsid w:val="00922AFC"/>
    <w:rsid w:val="00922F72"/>
    <w:rsid w:val="009237A5"/>
    <w:rsid w:val="009271CA"/>
    <w:rsid w:val="009301DE"/>
    <w:rsid w:val="009315F5"/>
    <w:rsid w:val="00933571"/>
    <w:rsid w:val="00933919"/>
    <w:rsid w:val="00934718"/>
    <w:rsid w:val="009370E2"/>
    <w:rsid w:val="009379AA"/>
    <w:rsid w:val="00940535"/>
    <w:rsid w:val="0094275A"/>
    <w:rsid w:val="00945F19"/>
    <w:rsid w:val="00950841"/>
    <w:rsid w:val="00954414"/>
    <w:rsid w:val="00957BCF"/>
    <w:rsid w:val="00961671"/>
    <w:rsid w:val="00961E35"/>
    <w:rsid w:val="00961E58"/>
    <w:rsid w:val="00962B5C"/>
    <w:rsid w:val="009658D6"/>
    <w:rsid w:val="00970CFD"/>
    <w:rsid w:val="00975F96"/>
    <w:rsid w:val="0098324A"/>
    <w:rsid w:val="00985FFB"/>
    <w:rsid w:val="00987CAC"/>
    <w:rsid w:val="00990CFC"/>
    <w:rsid w:val="00993516"/>
    <w:rsid w:val="0099535F"/>
    <w:rsid w:val="00995C10"/>
    <w:rsid w:val="00995DD7"/>
    <w:rsid w:val="00995E0E"/>
    <w:rsid w:val="00996052"/>
    <w:rsid w:val="009960C9"/>
    <w:rsid w:val="00996C55"/>
    <w:rsid w:val="00996D25"/>
    <w:rsid w:val="00997193"/>
    <w:rsid w:val="00997DA9"/>
    <w:rsid w:val="009A2905"/>
    <w:rsid w:val="009A2C6B"/>
    <w:rsid w:val="009A2C9D"/>
    <w:rsid w:val="009A38CE"/>
    <w:rsid w:val="009A4A95"/>
    <w:rsid w:val="009A5690"/>
    <w:rsid w:val="009A5B58"/>
    <w:rsid w:val="009A6EB1"/>
    <w:rsid w:val="009A72B6"/>
    <w:rsid w:val="009B159B"/>
    <w:rsid w:val="009B2245"/>
    <w:rsid w:val="009B4294"/>
    <w:rsid w:val="009B430C"/>
    <w:rsid w:val="009B5295"/>
    <w:rsid w:val="009B7374"/>
    <w:rsid w:val="009B7C98"/>
    <w:rsid w:val="009B7CC1"/>
    <w:rsid w:val="009C03F9"/>
    <w:rsid w:val="009C0727"/>
    <w:rsid w:val="009C1EF7"/>
    <w:rsid w:val="009C2556"/>
    <w:rsid w:val="009C5011"/>
    <w:rsid w:val="009C52A7"/>
    <w:rsid w:val="009C6C52"/>
    <w:rsid w:val="009D0295"/>
    <w:rsid w:val="009D06AE"/>
    <w:rsid w:val="009D1486"/>
    <w:rsid w:val="009D162F"/>
    <w:rsid w:val="009D1776"/>
    <w:rsid w:val="009D2EA2"/>
    <w:rsid w:val="009D4735"/>
    <w:rsid w:val="009D5976"/>
    <w:rsid w:val="009D79AE"/>
    <w:rsid w:val="009E040A"/>
    <w:rsid w:val="009E2345"/>
    <w:rsid w:val="009E40AA"/>
    <w:rsid w:val="009E4E40"/>
    <w:rsid w:val="009E710F"/>
    <w:rsid w:val="009F5B77"/>
    <w:rsid w:val="009F6A10"/>
    <w:rsid w:val="00A0253A"/>
    <w:rsid w:val="00A02A94"/>
    <w:rsid w:val="00A02B06"/>
    <w:rsid w:val="00A03293"/>
    <w:rsid w:val="00A0443D"/>
    <w:rsid w:val="00A10193"/>
    <w:rsid w:val="00A14055"/>
    <w:rsid w:val="00A14E15"/>
    <w:rsid w:val="00A1620E"/>
    <w:rsid w:val="00A24540"/>
    <w:rsid w:val="00A25107"/>
    <w:rsid w:val="00A27388"/>
    <w:rsid w:val="00A300BF"/>
    <w:rsid w:val="00A30F95"/>
    <w:rsid w:val="00A3163E"/>
    <w:rsid w:val="00A3255E"/>
    <w:rsid w:val="00A331C8"/>
    <w:rsid w:val="00A420D4"/>
    <w:rsid w:val="00A43E28"/>
    <w:rsid w:val="00A46428"/>
    <w:rsid w:val="00A47436"/>
    <w:rsid w:val="00A5105C"/>
    <w:rsid w:val="00A5262D"/>
    <w:rsid w:val="00A54B31"/>
    <w:rsid w:val="00A5691B"/>
    <w:rsid w:val="00A729A4"/>
    <w:rsid w:val="00A76173"/>
    <w:rsid w:val="00A762E1"/>
    <w:rsid w:val="00A77AE4"/>
    <w:rsid w:val="00A801C4"/>
    <w:rsid w:val="00A806F4"/>
    <w:rsid w:val="00A81FA6"/>
    <w:rsid w:val="00A84237"/>
    <w:rsid w:val="00A84E31"/>
    <w:rsid w:val="00A8697D"/>
    <w:rsid w:val="00A86A1F"/>
    <w:rsid w:val="00A873DD"/>
    <w:rsid w:val="00A9059D"/>
    <w:rsid w:val="00A928F7"/>
    <w:rsid w:val="00A92ABE"/>
    <w:rsid w:val="00A949FF"/>
    <w:rsid w:val="00A955CC"/>
    <w:rsid w:val="00A957E0"/>
    <w:rsid w:val="00AA0175"/>
    <w:rsid w:val="00AA0A83"/>
    <w:rsid w:val="00AA25E4"/>
    <w:rsid w:val="00AA28FB"/>
    <w:rsid w:val="00AA3112"/>
    <w:rsid w:val="00AA5510"/>
    <w:rsid w:val="00AA6162"/>
    <w:rsid w:val="00AA733A"/>
    <w:rsid w:val="00AA7B6C"/>
    <w:rsid w:val="00AA7F1A"/>
    <w:rsid w:val="00AB1420"/>
    <w:rsid w:val="00AB25F9"/>
    <w:rsid w:val="00AB2F51"/>
    <w:rsid w:val="00AB3D47"/>
    <w:rsid w:val="00AB444F"/>
    <w:rsid w:val="00AB49F5"/>
    <w:rsid w:val="00AC1689"/>
    <w:rsid w:val="00AC1FDD"/>
    <w:rsid w:val="00AC2DE2"/>
    <w:rsid w:val="00AC4D72"/>
    <w:rsid w:val="00AC4F4B"/>
    <w:rsid w:val="00AC639C"/>
    <w:rsid w:val="00AC71A6"/>
    <w:rsid w:val="00AD15E0"/>
    <w:rsid w:val="00AD20E9"/>
    <w:rsid w:val="00AD24FE"/>
    <w:rsid w:val="00AD362B"/>
    <w:rsid w:val="00AD4B24"/>
    <w:rsid w:val="00AD729C"/>
    <w:rsid w:val="00AD73C3"/>
    <w:rsid w:val="00AE0192"/>
    <w:rsid w:val="00AE2FF1"/>
    <w:rsid w:val="00AE36A3"/>
    <w:rsid w:val="00AE515D"/>
    <w:rsid w:val="00AF03EA"/>
    <w:rsid w:val="00AF3041"/>
    <w:rsid w:val="00AF3AAB"/>
    <w:rsid w:val="00AF48CD"/>
    <w:rsid w:val="00AF59D2"/>
    <w:rsid w:val="00AF5E69"/>
    <w:rsid w:val="00AF5FAD"/>
    <w:rsid w:val="00AF78AB"/>
    <w:rsid w:val="00AF7EC8"/>
    <w:rsid w:val="00B015A7"/>
    <w:rsid w:val="00B01F89"/>
    <w:rsid w:val="00B040D7"/>
    <w:rsid w:val="00B053D9"/>
    <w:rsid w:val="00B06556"/>
    <w:rsid w:val="00B07368"/>
    <w:rsid w:val="00B11F31"/>
    <w:rsid w:val="00B12C14"/>
    <w:rsid w:val="00B14C89"/>
    <w:rsid w:val="00B16F92"/>
    <w:rsid w:val="00B21E7A"/>
    <w:rsid w:val="00B21EA3"/>
    <w:rsid w:val="00B30072"/>
    <w:rsid w:val="00B31E11"/>
    <w:rsid w:val="00B3388D"/>
    <w:rsid w:val="00B345D9"/>
    <w:rsid w:val="00B34DF8"/>
    <w:rsid w:val="00B372BF"/>
    <w:rsid w:val="00B42940"/>
    <w:rsid w:val="00B43883"/>
    <w:rsid w:val="00B43D0A"/>
    <w:rsid w:val="00B43FEF"/>
    <w:rsid w:val="00B44303"/>
    <w:rsid w:val="00B44E06"/>
    <w:rsid w:val="00B47D07"/>
    <w:rsid w:val="00B507A0"/>
    <w:rsid w:val="00B5144B"/>
    <w:rsid w:val="00B5170B"/>
    <w:rsid w:val="00B53992"/>
    <w:rsid w:val="00B53D6E"/>
    <w:rsid w:val="00B56DF0"/>
    <w:rsid w:val="00B6337E"/>
    <w:rsid w:val="00B63DBF"/>
    <w:rsid w:val="00B64873"/>
    <w:rsid w:val="00B651E3"/>
    <w:rsid w:val="00B6620C"/>
    <w:rsid w:val="00B67FEA"/>
    <w:rsid w:val="00B710D2"/>
    <w:rsid w:val="00B7113C"/>
    <w:rsid w:val="00B712CC"/>
    <w:rsid w:val="00B723DF"/>
    <w:rsid w:val="00B731DE"/>
    <w:rsid w:val="00B74252"/>
    <w:rsid w:val="00B753FC"/>
    <w:rsid w:val="00B75E73"/>
    <w:rsid w:val="00B76132"/>
    <w:rsid w:val="00B77533"/>
    <w:rsid w:val="00B85149"/>
    <w:rsid w:val="00B85A12"/>
    <w:rsid w:val="00B86498"/>
    <w:rsid w:val="00B871F2"/>
    <w:rsid w:val="00B87E22"/>
    <w:rsid w:val="00B9063F"/>
    <w:rsid w:val="00B93F1B"/>
    <w:rsid w:val="00B945D4"/>
    <w:rsid w:val="00B94BAD"/>
    <w:rsid w:val="00BA084B"/>
    <w:rsid w:val="00BA0B3A"/>
    <w:rsid w:val="00BA55C7"/>
    <w:rsid w:val="00BA5870"/>
    <w:rsid w:val="00BA679F"/>
    <w:rsid w:val="00BB0399"/>
    <w:rsid w:val="00BB0EFB"/>
    <w:rsid w:val="00BB29C8"/>
    <w:rsid w:val="00BB3223"/>
    <w:rsid w:val="00BB3B1B"/>
    <w:rsid w:val="00BB4344"/>
    <w:rsid w:val="00BB5074"/>
    <w:rsid w:val="00BC25C1"/>
    <w:rsid w:val="00BC308B"/>
    <w:rsid w:val="00BC3B27"/>
    <w:rsid w:val="00BC4C10"/>
    <w:rsid w:val="00BC4C9B"/>
    <w:rsid w:val="00BC5D6C"/>
    <w:rsid w:val="00BC7BEA"/>
    <w:rsid w:val="00BD209D"/>
    <w:rsid w:val="00BD4BBB"/>
    <w:rsid w:val="00BE08C4"/>
    <w:rsid w:val="00BE0BE8"/>
    <w:rsid w:val="00BE467F"/>
    <w:rsid w:val="00BE4DAD"/>
    <w:rsid w:val="00BE5E4B"/>
    <w:rsid w:val="00BE6C2B"/>
    <w:rsid w:val="00BE716C"/>
    <w:rsid w:val="00BE7D73"/>
    <w:rsid w:val="00BF1AB9"/>
    <w:rsid w:val="00BF29E1"/>
    <w:rsid w:val="00BF2F12"/>
    <w:rsid w:val="00BF328B"/>
    <w:rsid w:val="00BF3A82"/>
    <w:rsid w:val="00BF3ADC"/>
    <w:rsid w:val="00BF4C9A"/>
    <w:rsid w:val="00BF58CF"/>
    <w:rsid w:val="00BF7554"/>
    <w:rsid w:val="00BF7790"/>
    <w:rsid w:val="00C0339F"/>
    <w:rsid w:val="00C039E9"/>
    <w:rsid w:val="00C042A6"/>
    <w:rsid w:val="00C07331"/>
    <w:rsid w:val="00C10955"/>
    <w:rsid w:val="00C128B5"/>
    <w:rsid w:val="00C13C70"/>
    <w:rsid w:val="00C15006"/>
    <w:rsid w:val="00C16D3F"/>
    <w:rsid w:val="00C16F89"/>
    <w:rsid w:val="00C20A34"/>
    <w:rsid w:val="00C22BC5"/>
    <w:rsid w:val="00C22CEA"/>
    <w:rsid w:val="00C24103"/>
    <w:rsid w:val="00C3073F"/>
    <w:rsid w:val="00C31877"/>
    <w:rsid w:val="00C31885"/>
    <w:rsid w:val="00C325D1"/>
    <w:rsid w:val="00C347A8"/>
    <w:rsid w:val="00C35F80"/>
    <w:rsid w:val="00C37101"/>
    <w:rsid w:val="00C4191F"/>
    <w:rsid w:val="00C4222C"/>
    <w:rsid w:val="00C42BB6"/>
    <w:rsid w:val="00C43515"/>
    <w:rsid w:val="00C46BC0"/>
    <w:rsid w:val="00C50F36"/>
    <w:rsid w:val="00C53B91"/>
    <w:rsid w:val="00C53E3A"/>
    <w:rsid w:val="00C5460D"/>
    <w:rsid w:val="00C5610C"/>
    <w:rsid w:val="00C60629"/>
    <w:rsid w:val="00C60694"/>
    <w:rsid w:val="00C620D3"/>
    <w:rsid w:val="00C62687"/>
    <w:rsid w:val="00C63D62"/>
    <w:rsid w:val="00C64195"/>
    <w:rsid w:val="00C64773"/>
    <w:rsid w:val="00C72BBA"/>
    <w:rsid w:val="00C73A21"/>
    <w:rsid w:val="00C76728"/>
    <w:rsid w:val="00C80771"/>
    <w:rsid w:val="00C836EC"/>
    <w:rsid w:val="00C83BB4"/>
    <w:rsid w:val="00C844F7"/>
    <w:rsid w:val="00C84D0E"/>
    <w:rsid w:val="00C859C7"/>
    <w:rsid w:val="00C8680A"/>
    <w:rsid w:val="00C87B56"/>
    <w:rsid w:val="00C87D7F"/>
    <w:rsid w:val="00C909D3"/>
    <w:rsid w:val="00C91002"/>
    <w:rsid w:val="00C91F78"/>
    <w:rsid w:val="00C93462"/>
    <w:rsid w:val="00C9375C"/>
    <w:rsid w:val="00C96EAD"/>
    <w:rsid w:val="00C97042"/>
    <w:rsid w:val="00C979F3"/>
    <w:rsid w:val="00CA0EED"/>
    <w:rsid w:val="00CA2318"/>
    <w:rsid w:val="00CA2794"/>
    <w:rsid w:val="00CA32A9"/>
    <w:rsid w:val="00CB1215"/>
    <w:rsid w:val="00CB1C21"/>
    <w:rsid w:val="00CB1FB4"/>
    <w:rsid w:val="00CB322C"/>
    <w:rsid w:val="00CB630A"/>
    <w:rsid w:val="00CB65EF"/>
    <w:rsid w:val="00CB6DBB"/>
    <w:rsid w:val="00CB7903"/>
    <w:rsid w:val="00CC03E3"/>
    <w:rsid w:val="00CC0D0A"/>
    <w:rsid w:val="00CC0FBB"/>
    <w:rsid w:val="00CC1B7D"/>
    <w:rsid w:val="00CC2F73"/>
    <w:rsid w:val="00CC41DA"/>
    <w:rsid w:val="00CC4CE1"/>
    <w:rsid w:val="00CC5AB4"/>
    <w:rsid w:val="00CC6C4E"/>
    <w:rsid w:val="00CC6EA3"/>
    <w:rsid w:val="00CD31AC"/>
    <w:rsid w:val="00CD397A"/>
    <w:rsid w:val="00CD6700"/>
    <w:rsid w:val="00CD6C71"/>
    <w:rsid w:val="00CE0E91"/>
    <w:rsid w:val="00CE1F32"/>
    <w:rsid w:val="00CE313B"/>
    <w:rsid w:val="00CE496A"/>
    <w:rsid w:val="00CE5D2E"/>
    <w:rsid w:val="00CF0ECB"/>
    <w:rsid w:val="00CF1D5A"/>
    <w:rsid w:val="00CF2D75"/>
    <w:rsid w:val="00D00CB1"/>
    <w:rsid w:val="00D01CEF"/>
    <w:rsid w:val="00D02A61"/>
    <w:rsid w:val="00D038F3"/>
    <w:rsid w:val="00D0526A"/>
    <w:rsid w:val="00D060D7"/>
    <w:rsid w:val="00D06225"/>
    <w:rsid w:val="00D06537"/>
    <w:rsid w:val="00D075C8"/>
    <w:rsid w:val="00D1367B"/>
    <w:rsid w:val="00D13DB2"/>
    <w:rsid w:val="00D14F5B"/>
    <w:rsid w:val="00D15973"/>
    <w:rsid w:val="00D17713"/>
    <w:rsid w:val="00D17CB6"/>
    <w:rsid w:val="00D200CF"/>
    <w:rsid w:val="00D20FFB"/>
    <w:rsid w:val="00D260F8"/>
    <w:rsid w:val="00D26D78"/>
    <w:rsid w:val="00D32E6E"/>
    <w:rsid w:val="00D350D0"/>
    <w:rsid w:val="00D41050"/>
    <w:rsid w:val="00D41699"/>
    <w:rsid w:val="00D42DF4"/>
    <w:rsid w:val="00D438A0"/>
    <w:rsid w:val="00D43A30"/>
    <w:rsid w:val="00D445FA"/>
    <w:rsid w:val="00D4503A"/>
    <w:rsid w:val="00D4520B"/>
    <w:rsid w:val="00D46B21"/>
    <w:rsid w:val="00D4777B"/>
    <w:rsid w:val="00D52764"/>
    <w:rsid w:val="00D54752"/>
    <w:rsid w:val="00D56B8F"/>
    <w:rsid w:val="00D5791A"/>
    <w:rsid w:val="00D60DC5"/>
    <w:rsid w:val="00D623EB"/>
    <w:rsid w:val="00D637FE"/>
    <w:rsid w:val="00D66D1C"/>
    <w:rsid w:val="00D67BB2"/>
    <w:rsid w:val="00D70AB4"/>
    <w:rsid w:val="00D70DBD"/>
    <w:rsid w:val="00D72133"/>
    <w:rsid w:val="00D73299"/>
    <w:rsid w:val="00D75FCF"/>
    <w:rsid w:val="00D7605F"/>
    <w:rsid w:val="00D76B66"/>
    <w:rsid w:val="00D773D0"/>
    <w:rsid w:val="00D77DC0"/>
    <w:rsid w:val="00D80073"/>
    <w:rsid w:val="00D8119D"/>
    <w:rsid w:val="00D811FA"/>
    <w:rsid w:val="00D81A8E"/>
    <w:rsid w:val="00D8329D"/>
    <w:rsid w:val="00D85ED0"/>
    <w:rsid w:val="00D86A3A"/>
    <w:rsid w:val="00D90957"/>
    <w:rsid w:val="00D90EBF"/>
    <w:rsid w:val="00D91EF5"/>
    <w:rsid w:val="00D9611D"/>
    <w:rsid w:val="00D97463"/>
    <w:rsid w:val="00D9773D"/>
    <w:rsid w:val="00D97C6C"/>
    <w:rsid w:val="00DA658C"/>
    <w:rsid w:val="00DA6F34"/>
    <w:rsid w:val="00DB17B0"/>
    <w:rsid w:val="00DB3AAA"/>
    <w:rsid w:val="00DB5405"/>
    <w:rsid w:val="00DC1618"/>
    <w:rsid w:val="00DC3046"/>
    <w:rsid w:val="00DC3253"/>
    <w:rsid w:val="00DC5FA6"/>
    <w:rsid w:val="00DC646D"/>
    <w:rsid w:val="00DC6760"/>
    <w:rsid w:val="00DD38FF"/>
    <w:rsid w:val="00DD4B3A"/>
    <w:rsid w:val="00DD60C4"/>
    <w:rsid w:val="00DD6A21"/>
    <w:rsid w:val="00DE5657"/>
    <w:rsid w:val="00DE7AA5"/>
    <w:rsid w:val="00DE7B47"/>
    <w:rsid w:val="00DF0316"/>
    <w:rsid w:val="00DF0BF2"/>
    <w:rsid w:val="00DF11D0"/>
    <w:rsid w:val="00DF4473"/>
    <w:rsid w:val="00DF519C"/>
    <w:rsid w:val="00DF57DB"/>
    <w:rsid w:val="00E00339"/>
    <w:rsid w:val="00E014FE"/>
    <w:rsid w:val="00E01CBD"/>
    <w:rsid w:val="00E04238"/>
    <w:rsid w:val="00E12E0B"/>
    <w:rsid w:val="00E1539A"/>
    <w:rsid w:val="00E1624D"/>
    <w:rsid w:val="00E206EA"/>
    <w:rsid w:val="00E20875"/>
    <w:rsid w:val="00E22C4B"/>
    <w:rsid w:val="00E230B4"/>
    <w:rsid w:val="00E24CCA"/>
    <w:rsid w:val="00E25E62"/>
    <w:rsid w:val="00E25F82"/>
    <w:rsid w:val="00E2669F"/>
    <w:rsid w:val="00E2702D"/>
    <w:rsid w:val="00E30182"/>
    <w:rsid w:val="00E3229A"/>
    <w:rsid w:val="00E33D16"/>
    <w:rsid w:val="00E34520"/>
    <w:rsid w:val="00E36364"/>
    <w:rsid w:val="00E41451"/>
    <w:rsid w:val="00E415B8"/>
    <w:rsid w:val="00E427EE"/>
    <w:rsid w:val="00E45817"/>
    <w:rsid w:val="00E45BFB"/>
    <w:rsid w:val="00E4638C"/>
    <w:rsid w:val="00E46F93"/>
    <w:rsid w:val="00E47084"/>
    <w:rsid w:val="00E47A3B"/>
    <w:rsid w:val="00E560A6"/>
    <w:rsid w:val="00E6068D"/>
    <w:rsid w:val="00E609C4"/>
    <w:rsid w:val="00E61C32"/>
    <w:rsid w:val="00E629D1"/>
    <w:rsid w:val="00E6557B"/>
    <w:rsid w:val="00E66945"/>
    <w:rsid w:val="00E70C45"/>
    <w:rsid w:val="00E7213A"/>
    <w:rsid w:val="00E73382"/>
    <w:rsid w:val="00E75502"/>
    <w:rsid w:val="00E75ABE"/>
    <w:rsid w:val="00E7646B"/>
    <w:rsid w:val="00E77860"/>
    <w:rsid w:val="00E77F8B"/>
    <w:rsid w:val="00E8014F"/>
    <w:rsid w:val="00E81560"/>
    <w:rsid w:val="00E83789"/>
    <w:rsid w:val="00E83838"/>
    <w:rsid w:val="00E850BA"/>
    <w:rsid w:val="00E8562C"/>
    <w:rsid w:val="00E859A2"/>
    <w:rsid w:val="00E86556"/>
    <w:rsid w:val="00E907EA"/>
    <w:rsid w:val="00E91310"/>
    <w:rsid w:val="00E92FA6"/>
    <w:rsid w:val="00E9477E"/>
    <w:rsid w:val="00E958D7"/>
    <w:rsid w:val="00E95B7E"/>
    <w:rsid w:val="00E9694D"/>
    <w:rsid w:val="00EA1AF6"/>
    <w:rsid w:val="00EA2EEB"/>
    <w:rsid w:val="00EA342A"/>
    <w:rsid w:val="00EA5D5D"/>
    <w:rsid w:val="00EA692F"/>
    <w:rsid w:val="00EB37A8"/>
    <w:rsid w:val="00EB3B15"/>
    <w:rsid w:val="00EB40B0"/>
    <w:rsid w:val="00EB4443"/>
    <w:rsid w:val="00EB532B"/>
    <w:rsid w:val="00EB5C34"/>
    <w:rsid w:val="00EC097B"/>
    <w:rsid w:val="00EC16F8"/>
    <w:rsid w:val="00EC1C7C"/>
    <w:rsid w:val="00EC336E"/>
    <w:rsid w:val="00EC4AEF"/>
    <w:rsid w:val="00EC7BBB"/>
    <w:rsid w:val="00ED249E"/>
    <w:rsid w:val="00ED2C08"/>
    <w:rsid w:val="00ED428E"/>
    <w:rsid w:val="00ED560D"/>
    <w:rsid w:val="00ED6B98"/>
    <w:rsid w:val="00ED6C94"/>
    <w:rsid w:val="00EE1040"/>
    <w:rsid w:val="00EE58ED"/>
    <w:rsid w:val="00EE5B40"/>
    <w:rsid w:val="00EE67F7"/>
    <w:rsid w:val="00EE7685"/>
    <w:rsid w:val="00EF029E"/>
    <w:rsid w:val="00EF0EA0"/>
    <w:rsid w:val="00EF35D0"/>
    <w:rsid w:val="00EF4385"/>
    <w:rsid w:val="00EF4396"/>
    <w:rsid w:val="00EF4C89"/>
    <w:rsid w:val="00EF4EBE"/>
    <w:rsid w:val="00EF5F9F"/>
    <w:rsid w:val="00EF64BD"/>
    <w:rsid w:val="00EF688D"/>
    <w:rsid w:val="00F00EB5"/>
    <w:rsid w:val="00F04897"/>
    <w:rsid w:val="00F05050"/>
    <w:rsid w:val="00F050F6"/>
    <w:rsid w:val="00F122FF"/>
    <w:rsid w:val="00F12FA6"/>
    <w:rsid w:val="00F141DF"/>
    <w:rsid w:val="00F15307"/>
    <w:rsid w:val="00F16041"/>
    <w:rsid w:val="00F17A7A"/>
    <w:rsid w:val="00F2130D"/>
    <w:rsid w:val="00F22538"/>
    <w:rsid w:val="00F25611"/>
    <w:rsid w:val="00F273E2"/>
    <w:rsid w:val="00F303CA"/>
    <w:rsid w:val="00F30A87"/>
    <w:rsid w:val="00F31DA3"/>
    <w:rsid w:val="00F3371D"/>
    <w:rsid w:val="00F33DBC"/>
    <w:rsid w:val="00F406A9"/>
    <w:rsid w:val="00F40BF4"/>
    <w:rsid w:val="00F41942"/>
    <w:rsid w:val="00F43BA6"/>
    <w:rsid w:val="00F43D8C"/>
    <w:rsid w:val="00F46882"/>
    <w:rsid w:val="00F513A5"/>
    <w:rsid w:val="00F5227C"/>
    <w:rsid w:val="00F52DF8"/>
    <w:rsid w:val="00F54C78"/>
    <w:rsid w:val="00F57850"/>
    <w:rsid w:val="00F6011C"/>
    <w:rsid w:val="00F61778"/>
    <w:rsid w:val="00F643DA"/>
    <w:rsid w:val="00F64763"/>
    <w:rsid w:val="00F656AF"/>
    <w:rsid w:val="00F65C61"/>
    <w:rsid w:val="00F6667B"/>
    <w:rsid w:val="00F67A1C"/>
    <w:rsid w:val="00F7027C"/>
    <w:rsid w:val="00F70333"/>
    <w:rsid w:val="00F73106"/>
    <w:rsid w:val="00F7494E"/>
    <w:rsid w:val="00F74B06"/>
    <w:rsid w:val="00F800CB"/>
    <w:rsid w:val="00F80AFA"/>
    <w:rsid w:val="00F8155F"/>
    <w:rsid w:val="00F82889"/>
    <w:rsid w:val="00F82D92"/>
    <w:rsid w:val="00F860A4"/>
    <w:rsid w:val="00F86357"/>
    <w:rsid w:val="00F87BF8"/>
    <w:rsid w:val="00F91CC1"/>
    <w:rsid w:val="00F93C02"/>
    <w:rsid w:val="00F95C7C"/>
    <w:rsid w:val="00F96126"/>
    <w:rsid w:val="00FA08BA"/>
    <w:rsid w:val="00FA1228"/>
    <w:rsid w:val="00FA13BE"/>
    <w:rsid w:val="00FA4229"/>
    <w:rsid w:val="00FA65D1"/>
    <w:rsid w:val="00FA6CA0"/>
    <w:rsid w:val="00FA701F"/>
    <w:rsid w:val="00FA7CEA"/>
    <w:rsid w:val="00FA7D40"/>
    <w:rsid w:val="00FA7FF2"/>
    <w:rsid w:val="00FB01B3"/>
    <w:rsid w:val="00FB06F3"/>
    <w:rsid w:val="00FB49ED"/>
    <w:rsid w:val="00FB5013"/>
    <w:rsid w:val="00FB6A28"/>
    <w:rsid w:val="00FC1241"/>
    <w:rsid w:val="00FC1311"/>
    <w:rsid w:val="00FC1F82"/>
    <w:rsid w:val="00FC260C"/>
    <w:rsid w:val="00FC662C"/>
    <w:rsid w:val="00FC7B75"/>
    <w:rsid w:val="00FC7FB2"/>
    <w:rsid w:val="00FD2F99"/>
    <w:rsid w:val="00FD3B61"/>
    <w:rsid w:val="00FD5E0B"/>
    <w:rsid w:val="00FD6BB7"/>
    <w:rsid w:val="00FE317E"/>
    <w:rsid w:val="00FE4B51"/>
    <w:rsid w:val="00FE752E"/>
    <w:rsid w:val="00FE7DFE"/>
    <w:rsid w:val="00FF06F1"/>
    <w:rsid w:val="00FF2C7A"/>
    <w:rsid w:val="00FF486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78EE6"/>
  <w15:docId w15:val="{3A5DA09F-BFB4-4848-9451-EF5E8F8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DD6A21"/>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D6A21"/>
    <w:pPr>
      <w:keepNext/>
      <w:keepLines/>
      <w:spacing w:before="200" w:after="0"/>
      <w:outlineLvl w:val="1"/>
    </w:pPr>
    <w:rPr>
      <w:rFonts w:eastAsiaTheme="majorEastAsia" w:cstheme="majorBidi"/>
      <w:bCs/>
      <w:i/>
      <w:sz w:val="28"/>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639C"/>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uiPriority w:val="34"/>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DD6A21"/>
    <w:rPr>
      <w:rFonts w:eastAsiaTheme="majorEastAsia" w:cstheme="majorBidi"/>
      <w:b/>
      <w:bCs/>
      <w:sz w:val="36"/>
      <w:szCs w:val="28"/>
    </w:rPr>
  </w:style>
  <w:style w:type="character" w:customStyle="1" w:styleId="Heading2Char">
    <w:name w:val="Heading 2 Char"/>
    <w:basedOn w:val="DefaultParagraphFont"/>
    <w:link w:val="Heading2"/>
    <w:uiPriority w:val="9"/>
    <w:rsid w:val="00DD6A21"/>
    <w:rPr>
      <w:rFonts w:eastAsiaTheme="majorEastAsia" w:cstheme="majorBidi"/>
      <w:bCs/>
      <w:i/>
      <w:sz w:val="28"/>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639C"/>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UnresolvedMention">
    <w:name w:val="Unresolved Mention"/>
    <w:basedOn w:val="DefaultParagraphFont"/>
    <w:uiPriority w:val="99"/>
    <w:semiHidden/>
    <w:unhideWhenUsed/>
    <w:rsid w:val="00F9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692461976">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49027890">
      <w:bodyDiv w:val="1"/>
      <w:marLeft w:val="0"/>
      <w:marRight w:val="0"/>
      <w:marTop w:val="0"/>
      <w:marBottom w:val="0"/>
      <w:divBdr>
        <w:top w:val="none" w:sz="0" w:space="0" w:color="auto"/>
        <w:left w:val="none" w:sz="0" w:space="0" w:color="auto"/>
        <w:bottom w:val="none" w:sz="0" w:space="0" w:color="auto"/>
        <w:right w:val="none" w:sz="0" w:space="0" w:color="auto"/>
      </w:divBdr>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05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5579615048118987"/>
          <c:y val="5.1614065659825306E-2"/>
          <c:w val="0.48232820329277021"/>
          <c:h val="0.78279495288498768"/>
        </c:manualLayout>
      </c:layout>
      <c:pieChart>
        <c:varyColors val="1"/>
        <c:ser>
          <c:idx val="0"/>
          <c:order val="0"/>
          <c:tx>
            <c:strRef>
              <c:f>Sheet1!$B$1</c:f>
              <c:strCache>
                <c:ptCount val="1"/>
                <c:pt idx="0">
                  <c:v>  2,023  </c:v>
                </c:pt>
              </c:strCache>
            </c:strRef>
          </c:tx>
          <c:spPr>
            <a:ln>
              <a:solidFill>
                <a:schemeClr val="tx1"/>
              </a:solidFill>
            </a:ln>
          </c:spPr>
          <c:dPt>
            <c:idx val="0"/>
            <c:bubble3D val="0"/>
            <c:spPr>
              <a:solidFill>
                <a:schemeClr val="accent1">
                  <a:shade val="50000"/>
                </a:schemeClr>
              </a:solidFill>
              <a:ln w="3175">
                <a:solidFill>
                  <a:schemeClr val="tx1">
                    <a:lumMod val="50000"/>
                    <a:lumOff val="50000"/>
                  </a:schemeClr>
                </a:solidFill>
              </a:ln>
              <a:effectLst/>
            </c:spPr>
            <c:extLst>
              <c:ext xmlns:c16="http://schemas.microsoft.com/office/drawing/2014/chart" uri="{C3380CC4-5D6E-409C-BE32-E72D297353CC}">
                <c16:uniqueId val="{00000001-ED29-4537-8016-AAA72727FCAA}"/>
              </c:ext>
            </c:extLst>
          </c:dPt>
          <c:dPt>
            <c:idx val="1"/>
            <c:bubble3D val="0"/>
            <c:spPr>
              <a:solidFill>
                <a:schemeClr val="accent1">
                  <a:shade val="70000"/>
                </a:schemeClr>
              </a:solidFill>
              <a:ln>
                <a:solidFill>
                  <a:schemeClr val="tx1"/>
                </a:solidFill>
              </a:ln>
              <a:effectLst/>
            </c:spPr>
            <c:extLst>
              <c:ext xmlns:c16="http://schemas.microsoft.com/office/drawing/2014/chart" uri="{C3380CC4-5D6E-409C-BE32-E72D297353CC}">
                <c16:uniqueId val="{00000003-ED29-4537-8016-AAA72727FCAA}"/>
              </c:ext>
            </c:extLst>
          </c:dPt>
          <c:dPt>
            <c:idx val="2"/>
            <c:bubble3D val="0"/>
            <c:spPr>
              <a:solidFill>
                <a:schemeClr val="accent1">
                  <a:shade val="90000"/>
                </a:schemeClr>
              </a:solidFill>
              <a:ln>
                <a:solidFill>
                  <a:schemeClr val="tx1"/>
                </a:solidFill>
              </a:ln>
              <a:effectLst/>
            </c:spPr>
            <c:extLst>
              <c:ext xmlns:c16="http://schemas.microsoft.com/office/drawing/2014/chart" uri="{C3380CC4-5D6E-409C-BE32-E72D297353CC}">
                <c16:uniqueId val="{00000005-ED29-4537-8016-AAA72727FCAA}"/>
              </c:ext>
            </c:extLst>
          </c:dPt>
          <c:dPt>
            <c:idx val="3"/>
            <c:bubble3D val="0"/>
            <c:spPr>
              <a:solidFill>
                <a:schemeClr val="accent1">
                  <a:tint val="90000"/>
                </a:schemeClr>
              </a:solidFill>
              <a:ln>
                <a:solidFill>
                  <a:schemeClr val="tx1"/>
                </a:solidFill>
              </a:ln>
              <a:effectLst/>
            </c:spPr>
            <c:extLst>
              <c:ext xmlns:c16="http://schemas.microsoft.com/office/drawing/2014/chart" uri="{C3380CC4-5D6E-409C-BE32-E72D297353CC}">
                <c16:uniqueId val="{00000007-ED29-4537-8016-AAA72727FCAA}"/>
              </c:ext>
            </c:extLst>
          </c:dPt>
          <c:dPt>
            <c:idx val="4"/>
            <c:bubble3D val="0"/>
            <c:spPr>
              <a:solidFill>
                <a:schemeClr val="accent1">
                  <a:tint val="70000"/>
                </a:schemeClr>
              </a:solidFill>
              <a:ln>
                <a:solidFill>
                  <a:schemeClr val="tx1"/>
                </a:solidFill>
              </a:ln>
              <a:effectLst/>
            </c:spPr>
            <c:extLst>
              <c:ext xmlns:c16="http://schemas.microsoft.com/office/drawing/2014/chart" uri="{C3380CC4-5D6E-409C-BE32-E72D297353CC}">
                <c16:uniqueId val="{00000009-ED29-4537-8016-AAA72727FCAA}"/>
              </c:ext>
            </c:extLst>
          </c:dPt>
          <c:dPt>
            <c:idx val="5"/>
            <c:bubble3D val="0"/>
            <c:spPr>
              <a:solidFill>
                <a:schemeClr val="accent1">
                  <a:tint val="50000"/>
                </a:schemeClr>
              </a:solidFill>
              <a:ln>
                <a:solidFill>
                  <a:schemeClr val="tx1"/>
                </a:solidFill>
              </a:ln>
              <a:effectLst/>
            </c:spPr>
            <c:extLst>
              <c:ext xmlns:c16="http://schemas.microsoft.com/office/drawing/2014/chart" uri="{C3380CC4-5D6E-409C-BE32-E72D297353CC}">
                <c16:uniqueId val="{0000000B-ED29-4537-8016-AAA72727FCAA}"/>
              </c:ext>
            </c:extLst>
          </c:dPt>
          <c:dPt>
            <c:idx val="6"/>
            <c:bubble3D val="0"/>
            <c:spPr>
              <a:solidFill>
                <a:schemeClr val="accent1">
                  <a:tint val="30000"/>
                </a:schemeClr>
              </a:solidFill>
              <a:ln>
                <a:solidFill>
                  <a:schemeClr val="tx1"/>
                </a:solidFill>
              </a:ln>
              <a:effectLst/>
            </c:spPr>
            <c:extLst>
              <c:ext xmlns:c16="http://schemas.microsoft.com/office/drawing/2014/chart" uri="{C3380CC4-5D6E-409C-BE32-E72D297353CC}">
                <c16:uniqueId val="{0000000D-ED29-4537-8016-AAA72727FCAA}"/>
              </c:ext>
            </c:extLst>
          </c:dPt>
          <c:dPt>
            <c:idx val="7"/>
            <c:bubble3D val="0"/>
            <c:spPr>
              <a:solidFill>
                <a:schemeClr val="accent1">
                  <a:tint val="10000"/>
                </a:schemeClr>
              </a:solidFill>
              <a:ln>
                <a:solidFill>
                  <a:schemeClr val="tx1"/>
                </a:solidFill>
              </a:ln>
              <a:effectLst/>
            </c:spPr>
            <c:extLst>
              <c:ext xmlns:c16="http://schemas.microsoft.com/office/drawing/2014/chart" uri="{C3380CC4-5D6E-409C-BE32-E72D297353CC}">
                <c16:uniqueId val="{0000000F-ED29-4537-8016-AAA72727FCAA}"/>
              </c:ext>
            </c:extLst>
          </c:dPt>
          <c:dLbls>
            <c:dLbl>
              <c:idx val="0"/>
              <c:layout>
                <c:manualLayout>
                  <c:x val="-1.4870460292854631E-2"/>
                  <c:y val="-0.13129033819543046"/>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3951790902278017"/>
                      <c:h val="0.20854470547738907"/>
                    </c:manualLayout>
                  </c15:layout>
                </c:ext>
                <c:ext xmlns:c16="http://schemas.microsoft.com/office/drawing/2014/chart" uri="{C3380CC4-5D6E-409C-BE32-E72D297353CC}">
                  <c16:uniqueId val="{00000001-ED29-4537-8016-AAA72727FCAA}"/>
                </c:ext>
              </c:extLst>
            </c:dLbl>
            <c:dLbl>
              <c:idx val="1"/>
              <c:layout>
                <c:manualLayout>
                  <c:x val="0.26679486950489884"/>
                  <c:y val="-5.411234456348819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273811112593978"/>
                      <c:h val="0.23844122456004474"/>
                    </c:manualLayout>
                  </c15:layout>
                </c:ext>
                <c:ext xmlns:c16="http://schemas.microsoft.com/office/drawing/2014/chart" uri="{C3380CC4-5D6E-409C-BE32-E72D297353CC}">
                  <c16:uniqueId val="{00000003-ED29-4537-8016-AAA72727FCAA}"/>
                </c:ext>
              </c:extLst>
            </c:dLbl>
            <c:dLbl>
              <c:idx val="2"/>
              <c:layout>
                <c:manualLayout>
                  <c:x val="1.6486840709448475E-2"/>
                  <c:y val="3.382061873413364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884646994883217"/>
                      <c:h val="0.1920571403984338"/>
                    </c:manualLayout>
                  </c15:layout>
                </c:ext>
                <c:ext xmlns:c16="http://schemas.microsoft.com/office/drawing/2014/chart" uri="{C3380CC4-5D6E-409C-BE32-E72D297353CC}">
                  <c16:uniqueId val="{00000005-ED29-4537-8016-AAA72727FCAA}"/>
                </c:ext>
              </c:extLst>
            </c:dLbl>
            <c:dLbl>
              <c:idx val="3"/>
              <c:layout>
                <c:manualLayout>
                  <c:x val="1.7109986414670788E-7"/>
                  <c:y val="3.163159932877242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637477029843232"/>
                      <c:h val="0.23135568607202789"/>
                    </c:manualLayout>
                  </c15:layout>
                </c:ext>
                <c:ext xmlns:c16="http://schemas.microsoft.com/office/drawing/2014/chart" uri="{C3380CC4-5D6E-409C-BE32-E72D297353CC}">
                  <c16:uniqueId val="{00000007-ED29-4537-8016-AAA72727FCAA}"/>
                </c:ext>
              </c:extLst>
            </c:dLbl>
            <c:dLbl>
              <c:idx val="4"/>
              <c:layout>
                <c:manualLayout>
                  <c:x val="-6.6318307343263966E-4"/>
                  <c:y val="0"/>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2188846342056004"/>
                      <c:h val="0.25108160148014286"/>
                    </c:manualLayout>
                  </c15:layout>
                </c:ext>
                <c:ext xmlns:c16="http://schemas.microsoft.com/office/drawing/2014/chart" uri="{C3380CC4-5D6E-409C-BE32-E72D297353CC}">
                  <c16:uniqueId val="{00000009-ED29-4537-8016-AAA72727FCAA}"/>
                </c:ext>
              </c:extLst>
            </c:dLbl>
            <c:dLbl>
              <c:idx val="5"/>
              <c:layout>
                <c:manualLayout>
                  <c:x val="-4.9988069673109051E-2"/>
                  <c:y val="-0.13361462501613541"/>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789429730374611"/>
                      <c:h val="0.19364969235402951"/>
                    </c:manualLayout>
                  </c15:layout>
                </c:ext>
                <c:ext xmlns:c16="http://schemas.microsoft.com/office/drawing/2014/chart" uri="{C3380CC4-5D6E-409C-BE32-E72D297353CC}">
                  <c16:uniqueId val="{0000000B-ED29-4537-8016-AAA72727FCAA}"/>
                </c:ext>
              </c:extLst>
            </c:dLbl>
            <c:dLbl>
              <c:idx val="6"/>
              <c:layout>
                <c:manualLayout>
                  <c:x val="-2.0815106445027706E-3"/>
                  <c:y val="-0.1172112323049782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194968053235769"/>
                      <c:h val="0.12767361559313281"/>
                    </c:manualLayout>
                  </c15:layout>
                </c:ext>
                <c:ext xmlns:c16="http://schemas.microsoft.com/office/drawing/2014/chart" uri="{C3380CC4-5D6E-409C-BE32-E72D297353CC}">
                  <c16:uniqueId val="{0000000D-ED29-4537-8016-AAA72727FCAA}"/>
                </c:ext>
              </c:extLst>
            </c:dLbl>
            <c:dLbl>
              <c:idx val="7"/>
              <c:layout>
                <c:manualLayout>
                  <c:x val="-1.3888888888888895E-2"/>
                  <c:y val="-7.9830043666066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83967629046367"/>
                      <c:h val="0.19127620258230052"/>
                    </c:manualLayout>
                  </c15:layout>
                </c:ext>
                <c:ext xmlns:c16="http://schemas.microsoft.com/office/drawing/2014/chart" uri="{C3380CC4-5D6E-409C-BE32-E72D297353CC}">
                  <c16:uniqueId val="{0000000F-ED29-4537-8016-AAA72727FC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Medical, Surgical Instr.</c:v>
                </c:pt>
                <c:pt idx="1">
                  <c:v>Orthoped., Artif. Body Parts</c:v>
                </c:pt>
                <c:pt idx="2">
                  <c:v>Phys., Chem. Analysis</c:v>
                </c:pt>
                <c:pt idx="3">
                  <c:v>Measuring Instr.</c:v>
                </c:pt>
                <c:pt idx="4">
                  <c:v>Testing devices</c:v>
                </c:pt>
                <c:pt idx="5">
                  <c:v>Other</c:v>
                </c:pt>
              </c:strCache>
            </c:strRef>
          </c:cat>
          <c:val>
            <c:numRef>
              <c:f>Sheet1!$B$2:$B$7</c:f>
              <c:numCache>
                <c:formatCode>_(* #,##0_);_(* \(#,##0\);_(* "-"??_);_(@_)</c:formatCode>
                <c:ptCount val="6"/>
                <c:pt idx="0">
                  <c:v>1706648932</c:v>
                </c:pt>
                <c:pt idx="1">
                  <c:v>858505608</c:v>
                </c:pt>
                <c:pt idx="2">
                  <c:v>358902110</c:v>
                </c:pt>
                <c:pt idx="3">
                  <c:v>331173842</c:v>
                </c:pt>
                <c:pt idx="4">
                  <c:v>142393733</c:v>
                </c:pt>
                <c:pt idx="5">
                  <c:v>822158696</c:v>
                </c:pt>
              </c:numCache>
            </c:numRef>
          </c:val>
          <c:extLst>
            <c:ext xmlns:c16="http://schemas.microsoft.com/office/drawing/2014/chart" uri="{C3380CC4-5D6E-409C-BE32-E72D297353CC}">
              <c16:uniqueId val="{00000012-ED29-4537-8016-AAA72727FCAA}"/>
            </c:ext>
          </c:extLst>
        </c:ser>
        <c:ser>
          <c:idx val="1"/>
          <c:order val="1"/>
          <c:tx>
            <c:strRef>
              <c:f>Sheet1!$C$1</c:f>
              <c:strCache>
                <c:ptCount val="1"/>
                <c:pt idx="0">
                  <c:v>2HS Group: 90</c:v>
                </c:pt>
              </c:strCache>
            </c:strRef>
          </c:tx>
          <c:dPt>
            <c:idx val="0"/>
            <c:bubble3D val="0"/>
            <c:spPr>
              <a:solidFill>
                <a:schemeClr val="accent1">
                  <a:shade val="50000"/>
                </a:schemeClr>
              </a:solidFill>
              <a:ln>
                <a:noFill/>
              </a:ln>
              <a:effectLst/>
            </c:spPr>
            <c:extLst>
              <c:ext xmlns:c16="http://schemas.microsoft.com/office/drawing/2014/chart" uri="{C3380CC4-5D6E-409C-BE32-E72D297353CC}">
                <c16:uniqueId val="{00000011-8653-4BC6-B418-13FCA0597174}"/>
              </c:ext>
            </c:extLst>
          </c:dPt>
          <c:dPt>
            <c:idx val="1"/>
            <c:bubble3D val="0"/>
            <c:spPr>
              <a:solidFill>
                <a:schemeClr val="accent1">
                  <a:shade val="70000"/>
                </a:schemeClr>
              </a:solidFill>
              <a:ln>
                <a:noFill/>
              </a:ln>
              <a:effectLst/>
            </c:spPr>
            <c:extLst>
              <c:ext xmlns:c16="http://schemas.microsoft.com/office/drawing/2014/chart" uri="{C3380CC4-5D6E-409C-BE32-E72D297353CC}">
                <c16:uniqueId val="{00000013-8653-4BC6-B418-13FCA0597174}"/>
              </c:ext>
            </c:extLst>
          </c:dPt>
          <c:dPt>
            <c:idx val="2"/>
            <c:bubble3D val="0"/>
            <c:spPr>
              <a:solidFill>
                <a:schemeClr val="accent1">
                  <a:shade val="90000"/>
                </a:schemeClr>
              </a:solidFill>
              <a:ln>
                <a:noFill/>
              </a:ln>
              <a:effectLst/>
            </c:spPr>
            <c:extLst>
              <c:ext xmlns:c16="http://schemas.microsoft.com/office/drawing/2014/chart" uri="{C3380CC4-5D6E-409C-BE32-E72D297353CC}">
                <c16:uniqueId val="{00000015-8653-4BC6-B418-13FCA0597174}"/>
              </c:ext>
            </c:extLst>
          </c:dPt>
          <c:dPt>
            <c:idx val="3"/>
            <c:bubble3D val="0"/>
            <c:spPr>
              <a:solidFill>
                <a:schemeClr val="accent1">
                  <a:tint val="90000"/>
                </a:schemeClr>
              </a:solidFill>
              <a:ln>
                <a:noFill/>
              </a:ln>
              <a:effectLst/>
            </c:spPr>
            <c:extLst>
              <c:ext xmlns:c16="http://schemas.microsoft.com/office/drawing/2014/chart" uri="{C3380CC4-5D6E-409C-BE32-E72D297353CC}">
                <c16:uniqueId val="{00000017-8653-4BC6-B418-13FCA0597174}"/>
              </c:ext>
            </c:extLst>
          </c:dPt>
          <c:dPt>
            <c:idx val="4"/>
            <c:bubble3D val="0"/>
            <c:spPr>
              <a:solidFill>
                <a:schemeClr val="accent1">
                  <a:tint val="70000"/>
                </a:schemeClr>
              </a:solidFill>
              <a:ln>
                <a:noFill/>
              </a:ln>
              <a:effectLst/>
            </c:spPr>
            <c:extLst>
              <c:ext xmlns:c16="http://schemas.microsoft.com/office/drawing/2014/chart" uri="{C3380CC4-5D6E-409C-BE32-E72D297353CC}">
                <c16:uniqueId val="{00000019-8653-4BC6-B418-13FCA0597174}"/>
              </c:ext>
            </c:extLst>
          </c:dPt>
          <c:dPt>
            <c:idx val="5"/>
            <c:bubble3D val="0"/>
            <c:spPr>
              <a:solidFill>
                <a:schemeClr val="accent1">
                  <a:tint val="50000"/>
                </a:schemeClr>
              </a:solidFill>
              <a:ln>
                <a:noFill/>
              </a:ln>
              <a:effectLst/>
            </c:spPr>
            <c:extLst>
              <c:ext xmlns:c16="http://schemas.microsoft.com/office/drawing/2014/chart" uri="{C3380CC4-5D6E-409C-BE32-E72D297353CC}">
                <c16:uniqueId val="{0000001B-8653-4BC6-B418-13FCA0597174}"/>
              </c:ext>
            </c:extLst>
          </c:dPt>
          <c:cat>
            <c:strRef>
              <c:f>Sheet1!$A$2:$A$7</c:f>
              <c:strCache>
                <c:ptCount val="6"/>
                <c:pt idx="0">
                  <c:v>Medical, Surgical Instr.</c:v>
                </c:pt>
                <c:pt idx="1">
                  <c:v>Orthoped., Artif. Body Parts</c:v>
                </c:pt>
                <c:pt idx="2">
                  <c:v>Phys., Chem. Analysis</c:v>
                </c:pt>
                <c:pt idx="3">
                  <c:v>Measuring Instr.</c:v>
                </c:pt>
                <c:pt idx="4">
                  <c:v>Testing devices</c:v>
                </c:pt>
                <c:pt idx="5">
                  <c:v>Other</c:v>
                </c:pt>
              </c:strCache>
            </c:strRef>
          </c:cat>
          <c:val>
            <c:numRef>
              <c:f>Sheet1!$C$2:$C$7</c:f>
              <c:numCache>
                <c:formatCode>General</c:formatCode>
                <c:ptCount val="6"/>
              </c:numCache>
            </c:numRef>
          </c:val>
          <c:extLst>
            <c:ext xmlns:c16="http://schemas.microsoft.com/office/drawing/2014/chart" uri="{C3380CC4-5D6E-409C-BE32-E72D297353CC}">
              <c16:uniqueId val="{00000010-6DD2-4CC8-869E-A2F2B76CAA2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F4D-CB18-4770-8543-9DBB6AD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Minnesota Annual Export Statistics, 2022</vt:lpstr>
    </vt:vector>
  </TitlesOfParts>
  <Company>MN DEED</Company>
  <LinksUpToDate>false</LinksUpToDate>
  <CharactersWithSpaces>5010</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Annual Export Statistics, 2022</dc:title>
  <dc:subject>Minnesota Annual Export Statistics, 2022</dc:subject>
  <dc:creator>Economic Analysis Unit (T. Ho-Kim)</dc:creator>
  <cp:keywords/>
  <dc:description>Prepared March 2023</dc:description>
  <cp:lastModifiedBy>Ho-Kim, Thu-Mai (DEED)</cp:lastModifiedBy>
  <cp:revision>2</cp:revision>
  <cp:lastPrinted>2019-03-11T18:11:00Z</cp:lastPrinted>
  <dcterms:created xsi:type="dcterms:W3CDTF">2024-05-02T20:43:00Z</dcterms:created>
  <dcterms:modified xsi:type="dcterms:W3CDTF">2024-05-02T20:43:00Z</dcterms:modified>
</cp:coreProperties>
</file>