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2797" w14:textId="3EE36AFC" w:rsidR="008A3741" w:rsidRDefault="00D52CFB" w:rsidP="00AB6F70">
      <w:r>
        <w:br/>
      </w:r>
      <w:r w:rsidR="00721A9D">
        <w:rPr>
          <w:noProof/>
        </w:rPr>
        <w:drawing>
          <wp:inline distT="0" distB="0" distL="0" distR="0" wp14:anchorId="358C20A9" wp14:editId="06694792">
            <wp:extent cx="7029450" cy="1586506"/>
            <wp:effectExtent l="0" t="0" r="0" b="0"/>
            <wp:docPr id="3" name="Picture 3" descr="A picture containing text&#10;&#10;Minnesota Manufacturing Business Conditions Survey. Contact Alicia-Cordes-Mayo at 763-406-9965 for more inform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Minnesota Manufacturing Business Conditions Survey. Contact Alicia-Cordes-Mayo at 763-406-9965 for more information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361" cy="161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38F97" w14:textId="2F801BEE" w:rsidR="008B388C" w:rsidRPr="00D60273" w:rsidRDefault="001873F4" w:rsidP="00E55E81">
      <w:pPr>
        <w:pStyle w:val="Heading1"/>
        <w:jc w:val="center"/>
        <w:rPr>
          <w:b/>
          <w:sz w:val="28"/>
          <w:szCs w:val="28"/>
        </w:rPr>
        <w:sectPr w:rsidR="008B388C" w:rsidRPr="00D60273" w:rsidSect="0070375F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>Manufact</w:t>
      </w:r>
      <w:r w:rsidR="00A7507C">
        <w:rPr>
          <w:b/>
          <w:sz w:val="28"/>
          <w:szCs w:val="28"/>
        </w:rPr>
        <w:t xml:space="preserve">urers </w:t>
      </w:r>
      <w:r w:rsidR="005A3847">
        <w:rPr>
          <w:b/>
          <w:sz w:val="28"/>
          <w:szCs w:val="28"/>
        </w:rPr>
        <w:t xml:space="preserve">Expect </w:t>
      </w:r>
      <w:r w:rsidR="00E40D08">
        <w:rPr>
          <w:b/>
          <w:sz w:val="28"/>
          <w:szCs w:val="28"/>
        </w:rPr>
        <w:t>Continued Labor Tightness in 2024</w:t>
      </w:r>
      <w:r w:rsidR="00180F16">
        <w:rPr>
          <w:b/>
          <w:sz w:val="28"/>
          <w:szCs w:val="28"/>
        </w:rPr>
        <w:br/>
      </w:r>
    </w:p>
    <w:p w14:paraId="626009E2" w14:textId="0D049304" w:rsidR="00C067E2" w:rsidRPr="00014AD2" w:rsidRDefault="00266F95" w:rsidP="00C067E2">
      <w:pPr>
        <w:spacing w:after="0" w:line="240" w:lineRule="auto"/>
      </w:pPr>
      <w:r w:rsidRPr="00D361E1">
        <w:t xml:space="preserve">A random sample survey of Minnesota manufacturers conducted </w:t>
      </w:r>
      <w:r w:rsidR="00E06AA3">
        <w:t>in</w:t>
      </w:r>
      <w:r w:rsidRPr="00D361E1">
        <w:t xml:space="preserve"> November-</w:t>
      </w:r>
      <w:r w:rsidR="00860D34">
        <w:t xml:space="preserve">December </w:t>
      </w:r>
      <w:r w:rsidR="00F30929">
        <w:t xml:space="preserve">of </w:t>
      </w:r>
      <w:r w:rsidR="00860D34">
        <w:t>202</w:t>
      </w:r>
      <w:r w:rsidR="00662C1A">
        <w:t>3</w:t>
      </w:r>
      <w:r w:rsidRPr="00D361E1">
        <w:t xml:space="preserve"> by the Minnesota Department of Employment and Economic Development and the Federal Reserve Bank of Minneapolis reports that Minnesota manufacturers </w:t>
      </w:r>
      <w:r w:rsidR="001E5A34" w:rsidRPr="00D361E1">
        <w:t>expect</w:t>
      </w:r>
      <w:r w:rsidR="00C36DA7">
        <w:t xml:space="preserve"> tight labor availability and increased wages and benefits in</w:t>
      </w:r>
      <w:r w:rsidR="007E6DBA">
        <w:t xml:space="preserve"> </w:t>
      </w:r>
      <w:r w:rsidR="000E1E86">
        <w:t>2024</w:t>
      </w:r>
      <w:r w:rsidRPr="00D361E1">
        <w:t xml:space="preserve">. </w:t>
      </w:r>
      <w:r w:rsidR="00C36DA7">
        <w:t>Other</w:t>
      </w:r>
      <w:r w:rsidR="000E1E86">
        <w:t xml:space="preserve"> results show that </w:t>
      </w:r>
      <w:r w:rsidR="00E06AA3">
        <w:t xml:space="preserve">around </w:t>
      </w:r>
      <w:r w:rsidR="000E1E86">
        <w:t>60%</w:t>
      </w:r>
      <w:r w:rsidR="00DB159E" w:rsidRPr="00014AD2">
        <w:t xml:space="preserve"> </w:t>
      </w:r>
      <w:r w:rsidR="00E06AA3">
        <w:t xml:space="preserve">of manufacturers </w:t>
      </w:r>
      <w:r w:rsidR="00DB159E" w:rsidRPr="00014AD2">
        <w:t>expect</w:t>
      </w:r>
      <w:r w:rsidR="00CD106C" w:rsidRPr="00014AD2">
        <w:t xml:space="preserve"> </w:t>
      </w:r>
      <w:r w:rsidR="005A3847" w:rsidRPr="00014AD2">
        <w:t>unchanged production</w:t>
      </w:r>
      <w:r w:rsidR="00E06AA3">
        <w:t>,</w:t>
      </w:r>
      <w:r w:rsidR="005A3847" w:rsidRPr="00014AD2">
        <w:t xml:space="preserve"> </w:t>
      </w:r>
      <w:r w:rsidR="00014AD2" w:rsidRPr="00014AD2">
        <w:t>employment level</w:t>
      </w:r>
      <w:r w:rsidR="00E06AA3">
        <w:t xml:space="preserve"> and labor availability</w:t>
      </w:r>
      <w:r w:rsidR="00C927EB" w:rsidRPr="00014AD2">
        <w:t>.</w:t>
      </w:r>
    </w:p>
    <w:p w14:paraId="79D6C7B4" w14:textId="10948434" w:rsidR="00D304C7" w:rsidRPr="00D304C7" w:rsidRDefault="003F62BE" w:rsidP="003F62BE">
      <w:pPr>
        <w:spacing w:after="0" w:line="240" w:lineRule="auto"/>
      </w:pPr>
      <w:r>
        <w:br/>
      </w:r>
      <w:r w:rsidR="001873F4">
        <w:rPr>
          <w:rStyle w:val="Heading2Char"/>
          <w:b/>
        </w:rPr>
        <w:t>The Manufacturing Industry in 202</w:t>
      </w:r>
      <w:r w:rsidR="00662C1A">
        <w:rPr>
          <w:rStyle w:val="Heading2Char"/>
          <w:b/>
        </w:rPr>
        <w:t>3</w:t>
      </w:r>
      <w:r w:rsidR="00855892" w:rsidRPr="003F62BE">
        <w:rPr>
          <w:rStyle w:val="Heading2Char"/>
        </w:rPr>
        <w:br/>
      </w:r>
      <w:r w:rsidR="00937AC5" w:rsidRPr="00D361E1">
        <w:t>Compared to 202</w:t>
      </w:r>
      <w:r w:rsidR="009A0E36">
        <w:t>2</w:t>
      </w:r>
      <w:r w:rsidR="00937AC5" w:rsidRPr="00D361E1">
        <w:t xml:space="preserve">, </w:t>
      </w:r>
      <w:r w:rsidR="000E1E86">
        <w:t xml:space="preserve">respondents experienced </w:t>
      </w:r>
      <w:r w:rsidR="00AF1833">
        <w:t>d</w:t>
      </w:r>
      <w:r w:rsidR="00F05B94">
        <w:t>eclining</w:t>
      </w:r>
      <w:r w:rsidR="009A0E36">
        <w:t xml:space="preserve"> </w:t>
      </w:r>
      <w:r w:rsidR="00AF1833">
        <w:t xml:space="preserve">or unchanged </w:t>
      </w:r>
      <w:r w:rsidR="005A3847" w:rsidRPr="00D361E1">
        <w:t>conditions</w:t>
      </w:r>
      <w:r w:rsidR="006449F7" w:rsidRPr="00D361E1">
        <w:t xml:space="preserve">. </w:t>
      </w:r>
      <w:r w:rsidR="00F05B94" w:rsidRPr="00D361E1">
        <w:t>Most diffusion ind</w:t>
      </w:r>
      <w:r w:rsidR="00F62F57">
        <w:t>ex</w:t>
      </w:r>
      <w:r w:rsidR="00F05B94" w:rsidRPr="00D361E1">
        <w:t>es</w:t>
      </w:r>
      <w:r w:rsidR="00F05B94">
        <w:t>*</w:t>
      </w:r>
      <w:r w:rsidR="00F05B94" w:rsidRPr="00D361E1">
        <w:t xml:space="preserve"> were </w:t>
      </w:r>
      <w:r w:rsidR="00F05B94">
        <w:t>below</w:t>
      </w:r>
      <w:r w:rsidR="00F05B94" w:rsidRPr="00D361E1">
        <w:t xml:space="preserve"> 50, indicating </w:t>
      </w:r>
      <w:r w:rsidR="00F05B94">
        <w:t>contraction</w:t>
      </w:r>
      <w:r w:rsidR="007E38D6">
        <w:t xml:space="preserve">, particularly </w:t>
      </w:r>
      <w:r w:rsidR="00AF1833">
        <w:t xml:space="preserve">for </w:t>
      </w:r>
      <w:r w:rsidR="007E38D6">
        <w:t>profits</w:t>
      </w:r>
      <w:r w:rsidR="00AF1833">
        <w:t>,</w:t>
      </w:r>
      <w:r w:rsidR="007E38D6">
        <w:t xml:space="preserve"> labor availability</w:t>
      </w:r>
      <w:r w:rsidR="00AF1833">
        <w:t xml:space="preserve"> and number of orders (</w:t>
      </w:r>
      <w:r w:rsidR="00DF526E">
        <w:t>s</w:t>
      </w:r>
      <w:r w:rsidR="00AF1833">
        <w:t xml:space="preserve">ee </w:t>
      </w:r>
      <w:r w:rsidR="00BB3024">
        <w:t>C</w:t>
      </w:r>
      <w:r w:rsidR="00AF1833">
        <w:t xml:space="preserve">hart 1). </w:t>
      </w:r>
      <w:r w:rsidR="00FB2673">
        <w:t>Fifty</w:t>
      </w:r>
      <w:r w:rsidR="00AF1833">
        <w:t>-</w:t>
      </w:r>
      <w:r w:rsidR="00FB2673">
        <w:t>six percent</w:t>
      </w:r>
      <w:r w:rsidR="00C36DA7">
        <w:t xml:space="preserve"> of respondents indicated they experienced unchanged productivity while 51%</w:t>
      </w:r>
      <w:r w:rsidR="00C36DA7" w:rsidRPr="00D361E1">
        <w:t xml:space="preserve"> </w:t>
      </w:r>
      <w:r w:rsidR="00C36DA7">
        <w:t>reported the same</w:t>
      </w:r>
      <w:r w:rsidR="00C36DA7" w:rsidRPr="00D361E1">
        <w:t xml:space="preserve"> producti</w:t>
      </w:r>
      <w:r w:rsidR="00C36DA7">
        <w:t>on and employment levels</w:t>
      </w:r>
      <w:r w:rsidR="00C36DA7" w:rsidRPr="00D361E1">
        <w:t xml:space="preserve">. </w:t>
      </w:r>
      <w:r w:rsidR="00C36DA7">
        <w:t xml:space="preserve"> Only a third of respondents indicated an increase in investment, resulting in a diffusion </w:t>
      </w:r>
      <w:r w:rsidR="00F05B94" w:rsidRPr="00D361E1">
        <w:t xml:space="preserve">index of </w:t>
      </w:r>
      <w:r w:rsidR="00F05B94">
        <w:t xml:space="preserve">53, </w:t>
      </w:r>
      <w:r w:rsidR="00F05B94" w:rsidRPr="00D361E1">
        <w:t xml:space="preserve">suggesting </w:t>
      </w:r>
      <w:r w:rsidR="00F05B94">
        <w:t>modest expansion</w:t>
      </w:r>
      <w:r w:rsidR="00E06AA3">
        <w:t>.</w:t>
      </w:r>
      <w:r w:rsidR="00E40D08">
        <w:t xml:space="preserve"> </w:t>
      </w:r>
      <w:r w:rsidR="00E06AA3">
        <w:t xml:space="preserve"> </w:t>
      </w:r>
      <w:r w:rsidR="00AF1833">
        <w:t>Increasing selling prices</w:t>
      </w:r>
      <w:r w:rsidR="00AF1833" w:rsidRPr="00D361E1">
        <w:t xml:space="preserve"> </w:t>
      </w:r>
      <w:r w:rsidR="00AF1833">
        <w:t xml:space="preserve">produced a diffusion </w:t>
      </w:r>
      <w:r w:rsidR="00AF1833" w:rsidRPr="00D361E1">
        <w:t xml:space="preserve">index of </w:t>
      </w:r>
      <w:r w:rsidR="00AF1833">
        <w:t>74, indicating concern for inflation</w:t>
      </w:r>
      <w:r w:rsidR="00DF526E">
        <w:t xml:space="preserve"> (see </w:t>
      </w:r>
      <w:r w:rsidR="00BB3024">
        <w:t>C</w:t>
      </w:r>
      <w:r w:rsidR="00F30929">
        <w:t>hart</w:t>
      </w:r>
      <w:r w:rsidR="00DF526E">
        <w:t xml:space="preserve"> 1)</w:t>
      </w:r>
      <w:r w:rsidR="00AF1833">
        <w:t>.</w:t>
      </w:r>
      <w:r w:rsidR="00AF1833">
        <w:br/>
      </w:r>
    </w:p>
    <w:p w14:paraId="4A11052A" w14:textId="4CF6C858" w:rsidR="00AB6F70" w:rsidRDefault="00855A77" w:rsidP="003F62BE">
      <w:pPr>
        <w:spacing w:after="0" w:line="240" w:lineRule="auto"/>
      </w:pPr>
      <w:r>
        <w:rPr>
          <w:noProof/>
        </w:rPr>
        <w:drawing>
          <wp:inline distT="0" distB="0" distL="0" distR="0" wp14:anchorId="3270C5D1" wp14:editId="38B37398">
            <wp:extent cx="3145155" cy="1909268"/>
            <wp:effectExtent l="0" t="0" r="17145" b="15240"/>
            <wp:docPr id="1" name="Chart 1" descr="Chart1: Economic Performance for Minnesota Manufacturing Businesses, 2023.&#10;Chart indicating contraction for orders (diffusion index=37), contraction for production level (diffusion index=44), contraction for employment level  (diffusion index: 45), contraction for labor availability (diffusion index=36); mild expansion for investment (diffusion index= 53), expansion for selling prices (diffusion index=74), contraction for profits (diffusion index=33), contraction for productivity (diffusion index= 48) and contraction for exports (diffusion index=44).">
              <a:extLst xmlns:a="http://schemas.openxmlformats.org/drawingml/2006/main">
                <a:ext uri="{FF2B5EF4-FFF2-40B4-BE49-F238E27FC236}">
                  <a16:creationId xmlns:a16="http://schemas.microsoft.com/office/drawing/2014/main" id="{453668DD-5FA4-5935-7904-AF7A14838C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215A7">
        <w:t xml:space="preserve"> </w:t>
      </w:r>
    </w:p>
    <w:p w14:paraId="10495EA6" w14:textId="307AEA24" w:rsidR="0071048E" w:rsidRPr="00A31D9F" w:rsidRDefault="00A31D9F" w:rsidP="00A31D9F">
      <w:pPr>
        <w:rPr>
          <w:rStyle w:val="Heading2Char"/>
          <w:b/>
        </w:rPr>
      </w:pPr>
      <w:r>
        <w:rPr>
          <w:sz w:val="14"/>
          <w:szCs w:val="14"/>
        </w:rPr>
        <w:t>*</w:t>
      </w:r>
      <w:r w:rsidRPr="00A31D9F">
        <w:rPr>
          <w:sz w:val="14"/>
          <w:szCs w:val="14"/>
        </w:rPr>
        <w:t>A diffusion index greater than 50 indicates expansion, lower than 50 indicates contraction.</w:t>
      </w:r>
    </w:p>
    <w:p w14:paraId="3657B649" w14:textId="51D7557E" w:rsidR="00D11E9C" w:rsidRPr="0078741E" w:rsidRDefault="00A7507C" w:rsidP="00D11E9C">
      <w:r w:rsidRPr="00FF5EB2">
        <w:rPr>
          <w:rStyle w:val="Heading2Char"/>
          <w:b/>
        </w:rPr>
        <w:t>Outlook for the Manufacturing Industry</w:t>
      </w:r>
      <w:r w:rsidR="003368D3" w:rsidRPr="00FF5EB2">
        <w:rPr>
          <w:rStyle w:val="Heading2Char"/>
          <w:b/>
        </w:rPr>
        <w:br/>
      </w:r>
      <w:r w:rsidR="00E40D08" w:rsidRPr="00E40D08">
        <w:t xml:space="preserve">Labor market tightness continued into 2023 and the  trend is expected </w:t>
      </w:r>
      <w:r w:rsidR="00D11E9C">
        <w:t xml:space="preserve">to linger </w:t>
      </w:r>
      <w:r w:rsidR="00E40D08" w:rsidRPr="00E40D08">
        <w:t>for 2024</w:t>
      </w:r>
      <w:r w:rsidR="00D11E9C">
        <w:t>. N</w:t>
      </w:r>
      <w:r w:rsidR="00D11E9C" w:rsidRPr="0078741E">
        <w:t>early 26% of respondents expect a decline</w:t>
      </w:r>
      <w:r w:rsidR="00D11E9C">
        <w:t xml:space="preserve"> in labor availability</w:t>
      </w:r>
      <w:r w:rsidR="00D11E9C" w:rsidRPr="0078741E">
        <w:t>. The diffusion index</w:t>
      </w:r>
      <w:r w:rsidR="00F62F57">
        <w:t>*</w:t>
      </w:r>
      <w:r w:rsidR="00D11E9C" w:rsidRPr="0078741E">
        <w:t xml:space="preserve"> for this metric i</w:t>
      </w:r>
      <w:r w:rsidR="00D11E9C">
        <w:t>s</w:t>
      </w:r>
      <w:r w:rsidR="00D11E9C" w:rsidRPr="0078741E">
        <w:t xml:space="preserve"> 44, </w:t>
      </w:r>
      <w:r w:rsidR="00FB2673">
        <w:t xml:space="preserve">below the threshold of 50, </w:t>
      </w:r>
      <w:r w:rsidR="00D11E9C" w:rsidRPr="0078741E">
        <w:t>indicating contraction.</w:t>
      </w:r>
      <w:r w:rsidR="00D11E9C">
        <w:t xml:space="preserve"> Consequently, </w:t>
      </w:r>
      <w:r w:rsidR="00FB2673">
        <w:t>more than 60</w:t>
      </w:r>
      <w:r w:rsidR="00D11E9C">
        <w:t>%</w:t>
      </w:r>
      <w:r w:rsidR="00D11E9C" w:rsidRPr="0078741E">
        <w:t xml:space="preserve"> of respondents </w:t>
      </w:r>
      <w:r w:rsidR="00D11E9C">
        <w:t>predict</w:t>
      </w:r>
      <w:r w:rsidR="00D11E9C" w:rsidRPr="0078741E">
        <w:t xml:space="preserve"> wages to </w:t>
      </w:r>
      <w:r w:rsidR="00F62F57">
        <w:t xml:space="preserve">increase </w:t>
      </w:r>
      <w:r w:rsidR="00FB2673">
        <w:t>at least 3% to attract and retain workers</w:t>
      </w:r>
      <w:r w:rsidR="00DF526E">
        <w:t xml:space="preserve"> </w:t>
      </w:r>
      <w:r w:rsidR="00F30929">
        <w:t>(</w:t>
      </w:r>
      <w:r w:rsidR="00DF526E">
        <w:t>see Table 1)</w:t>
      </w:r>
      <w:r w:rsidR="00D11E9C">
        <w:t>.</w:t>
      </w:r>
    </w:p>
    <w:p w14:paraId="110C52DA" w14:textId="3BC77644" w:rsidR="00085F89" w:rsidRPr="0078741E" w:rsidRDefault="00EE3CA8" w:rsidP="00A66699">
      <w:r>
        <w:t>Results</w:t>
      </w:r>
      <w:r w:rsidR="00E32536">
        <w:t xml:space="preserve"> for </w:t>
      </w:r>
      <w:r w:rsidR="00D11E9C">
        <w:t>other</w:t>
      </w:r>
      <w:r w:rsidR="00E32536">
        <w:t xml:space="preserve"> metrics </w:t>
      </w:r>
      <w:r w:rsidR="00F30929">
        <w:t>show</w:t>
      </w:r>
      <w:r w:rsidR="00E32536">
        <w:t xml:space="preserve"> </w:t>
      </w:r>
      <w:r>
        <w:t xml:space="preserve">unchanged and </w:t>
      </w:r>
      <w:r w:rsidR="00F30929">
        <w:t>mildly</w:t>
      </w:r>
      <w:r>
        <w:t xml:space="preserve"> improved conditions </w:t>
      </w:r>
      <w:r w:rsidR="00F62F57">
        <w:t>suggesting</w:t>
      </w:r>
      <w:r>
        <w:t xml:space="preserve"> that </w:t>
      </w:r>
      <w:r w:rsidR="00D11E9C">
        <w:t>manufacturers</w:t>
      </w:r>
      <w:r w:rsidR="00E32536">
        <w:t xml:space="preserve"> are </w:t>
      </w:r>
      <w:r w:rsidR="00D11E9C">
        <w:t xml:space="preserve"> </w:t>
      </w:r>
      <w:r w:rsidR="00F30929">
        <w:t xml:space="preserve">slightly </w:t>
      </w:r>
      <w:r w:rsidR="00E32536">
        <w:t xml:space="preserve">hopeful for 2024. Productivity, profits, production level and number of orders </w:t>
      </w:r>
      <w:r w:rsidR="00CA1016">
        <w:t>show</w:t>
      </w:r>
      <w:r w:rsidR="00E32536">
        <w:t xml:space="preserve"> </w:t>
      </w:r>
      <w:r w:rsidR="00F62F57">
        <w:t xml:space="preserve">diffusion </w:t>
      </w:r>
      <w:r w:rsidR="00E32536">
        <w:t xml:space="preserve">indexes slightly above the threshold of 50, indicating </w:t>
      </w:r>
      <w:r w:rsidR="00D11E9C">
        <w:t>s</w:t>
      </w:r>
      <w:r w:rsidR="00F30929">
        <w:t>hy</w:t>
      </w:r>
      <w:r w:rsidR="00E32536">
        <w:t xml:space="preserve"> expansion. Employment level is mostly expected to remain unchanged</w:t>
      </w:r>
      <w:r w:rsidR="00415EA7">
        <w:t xml:space="preserve"> with</w:t>
      </w:r>
      <w:r w:rsidR="00E32536">
        <w:t xml:space="preserve"> a diffusion index of 50</w:t>
      </w:r>
      <w:r w:rsidR="00DF526E">
        <w:t xml:space="preserve"> (see chart 2)</w:t>
      </w:r>
      <w:r w:rsidR="00503243">
        <w:t>.</w:t>
      </w:r>
    </w:p>
    <w:p w14:paraId="3C0F6910" w14:textId="1AC2E833" w:rsidR="00CB586B" w:rsidRPr="007D36A3" w:rsidRDefault="00DF475B" w:rsidP="00A66699">
      <w:pPr>
        <w:rPr>
          <w:rStyle w:val="Heading2Char"/>
          <w:b/>
        </w:rPr>
      </w:pPr>
      <w:r>
        <w:rPr>
          <w:noProof/>
        </w:rPr>
        <w:drawing>
          <wp:inline distT="0" distB="0" distL="0" distR="0" wp14:anchorId="2E90988F" wp14:editId="2238E988">
            <wp:extent cx="3145155" cy="1909268"/>
            <wp:effectExtent l="0" t="0" r="17145" b="15240"/>
            <wp:docPr id="2" name="Chart 2" descr="Chart 2: Outlook Economic Performance for Minnesota's Manufacturing Businesses - 2024.&#10;Chart indicating mild expansion  for orders (diffusion index=51), mild expansion for production level (diffusion index=53), unchanged conditions for for employment level  (diffusion index: 50), contraction for labor availability (diffusion index=44); contraction for investment (diffusion index= 46), expansion for selling prices (diffusion index=60), mild expansion for profits (diffusion index=56), mild expansion for productivity (diffusion index= 57) and contraction for exports (diffusion index=47).">
              <a:extLst xmlns:a="http://schemas.openxmlformats.org/drawingml/2006/main">
                <a:ext uri="{FF2B5EF4-FFF2-40B4-BE49-F238E27FC236}">
                  <a16:creationId xmlns:a16="http://schemas.microsoft.com/office/drawing/2014/main" id="{453668DD-5FA4-5935-7904-AF7A14838C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D36A3"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="007D36A3">
        <w:rPr>
          <w:sz w:val="14"/>
          <w:szCs w:val="14"/>
        </w:rPr>
        <w:t>*</w:t>
      </w:r>
      <w:r w:rsidR="007D36A3" w:rsidRPr="00A31D9F">
        <w:rPr>
          <w:sz w:val="14"/>
          <w:szCs w:val="14"/>
        </w:rPr>
        <w:t>A diffusion index greater than 50 indicates expansion, lower than 50 indicates contraction.</w:t>
      </w:r>
    </w:p>
    <w:p w14:paraId="2CA0982E" w14:textId="27F98FBC" w:rsidR="000824B7" w:rsidRDefault="00A66699" w:rsidP="003B5595">
      <w:r w:rsidRPr="00D60273">
        <w:rPr>
          <w:rStyle w:val="Heading2Char"/>
          <w:b/>
        </w:rPr>
        <w:t>Outlook on the State Economy</w:t>
      </w:r>
      <w:r w:rsidR="00E7356E" w:rsidRPr="00D60273">
        <w:rPr>
          <w:rStyle w:val="Heading2Char"/>
          <w:b/>
        </w:rPr>
        <w:br/>
      </w:r>
      <w:r w:rsidRPr="00D361E1">
        <w:t>M</w:t>
      </w:r>
      <w:r w:rsidR="00795376" w:rsidRPr="00D361E1">
        <w:t>anufacture</w:t>
      </w:r>
      <w:r w:rsidR="000547A3" w:rsidRPr="00D361E1">
        <w:t xml:space="preserve">rs </w:t>
      </w:r>
      <w:r w:rsidR="00503243">
        <w:t>are less optimistic about the outlook for the state’s economy</w:t>
      </w:r>
      <w:r w:rsidR="00A66C22" w:rsidRPr="00D361E1">
        <w:t>.</w:t>
      </w:r>
      <w:r w:rsidR="00082B96">
        <w:t xml:space="preserve"> In particular, 50% </w:t>
      </w:r>
      <w:r w:rsidR="00F842B5">
        <w:t>anticipate</w:t>
      </w:r>
      <w:r w:rsidR="000824B7">
        <w:t xml:space="preserve"> a decline in consumer spending</w:t>
      </w:r>
      <w:r w:rsidR="006A04E5" w:rsidRPr="00D361E1">
        <w:t xml:space="preserve">. The diffusion index for </w:t>
      </w:r>
      <w:r w:rsidR="006A04E5" w:rsidRPr="00D361E1">
        <w:lastRenderedPageBreak/>
        <w:t>this metric (</w:t>
      </w:r>
      <w:r w:rsidR="000824B7">
        <w:t>29</w:t>
      </w:r>
      <w:r w:rsidR="006A04E5" w:rsidRPr="00D361E1">
        <w:t xml:space="preserve">) is </w:t>
      </w:r>
      <w:r w:rsidR="00061628">
        <w:t xml:space="preserve">significantly </w:t>
      </w:r>
      <w:r w:rsidR="006A04E5" w:rsidRPr="00D361E1">
        <w:t xml:space="preserve">below </w:t>
      </w:r>
      <w:r w:rsidR="00F30929">
        <w:t xml:space="preserve">the threshold of </w:t>
      </w:r>
      <w:r w:rsidR="006A04E5" w:rsidRPr="00D361E1">
        <w:t>50</w:t>
      </w:r>
      <w:r w:rsidR="00F30929">
        <w:t>,</w:t>
      </w:r>
      <w:r w:rsidR="006A04E5" w:rsidRPr="00D361E1">
        <w:t xml:space="preserve"> suggesting contraction and is the lowest among diffusion indexes for the economy outlook. </w:t>
      </w:r>
      <w:r w:rsidR="000824B7">
        <w:t xml:space="preserve">Respondents were almost equally divided between those who expect unchanged corporate profits (43%) and those </w:t>
      </w:r>
      <w:r w:rsidR="00F30929">
        <w:t>who</w:t>
      </w:r>
      <w:r w:rsidR="000824B7">
        <w:t xml:space="preserve"> anticipate a decline (44%)</w:t>
      </w:r>
      <w:r w:rsidR="00257BB5">
        <w:t xml:space="preserve"> (see Table 1).</w:t>
      </w:r>
      <w:r w:rsidR="003B5595">
        <w:t xml:space="preserve"> </w:t>
      </w:r>
      <w:r w:rsidR="00082B96">
        <w:br/>
      </w:r>
      <w:r w:rsidR="00082B96">
        <w:br/>
      </w:r>
      <w:r w:rsidR="00257BB5">
        <w:rPr>
          <w:rFonts w:eastAsiaTheme="majorEastAsia" w:cstheme="majorBidi"/>
        </w:rPr>
        <w:t>About</w:t>
      </w:r>
      <w:r w:rsidR="000824B7">
        <w:rPr>
          <w:rFonts w:eastAsiaTheme="majorEastAsia" w:cstheme="majorBidi"/>
        </w:rPr>
        <w:t xml:space="preserve"> the effect of current interest rates</w:t>
      </w:r>
      <w:r w:rsidR="003B5595">
        <w:rPr>
          <w:rFonts w:eastAsiaTheme="majorEastAsia" w:cstheme="majorBidi"/>
        </w:rPr>
        <w:t xml:space="preserve">, </w:t>
      </w:r>
      <w:r w:rsidR="000824B7">
        <w:rPr>
          <w:rFonts w:eastAsiaTheme="majorEastAsia" w:cstheme="majorBidi"/>
        </w:rPr>
        <w:t>51</w:t>
      </w:r>
      <w:r w:rsidR="003B5595">
        <w:rPr>
          <w:rFonts w:eastAsiaTheme="majorEastAsia" w:cstheme="majorBidi"/>
        </w:rPr>
        <w:t>% of respondents indicated th</w:t>
      </w:r>
      <w:r w:rsidR="000824B7">
        <w:rPr>
          <w:rFonts w:eastAsiaTheme="majorEastAsia" w:cstheme="majorBidi"/>
        </w:rPr>
        <w:t xml:space="preserve">ey expect a contraction in capital investment while </w:t>
      </w:r>
      <w:r w:rsidR="00575487">
        <w:rPr>
          <w:rFonts w:eastAsiaTheme="majorEastAsia" w:cstheme="majorBidi"/>
        </w:rPr>
        <w:t>48</w:t>
      </w:r>
      <w:r w:rsidR="000824B7">
        <w:rPr>
          <w:rFonts w:eastAsiaTheme="majorEastAsia" w:cstheme="majorBidi"/>
        </w:rPr>
        <w:t>% anticipate a decline in savings</w:t>
      </w:r>
      <w:r w:rsidR="003B5595">
        <w:rPr>
          <w:rFonts w:eastAsiaTheme="majorEastAsia" w:cstheme="majorBidi"/>
        </w:rPr>
        <w:t>.</w:t>
      </w:r>
      <w:r w:rsidR="003B5595">
        <w:t xml:space="preserve"> </w:t>
      </w:r>
    </w:p>
    <w:p w14:paraId="67B84B1C" w14:textId="13E36FA2" w:rsidR="0070287B" w:rsidRPr="009F5499" w:rsidRDefault="00B90819" w:rsidP="003B5595">
      <w:pPr>
        <w:sectPr w:rsidR="0070287B" w:rsidRPr="009F5499" w:rsidSect="009B07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eastAsiaTheme="majorEastAsia" w:cstheme="majorBidi"/>
        </w:rPr>
        <w:t xml:space="preserve">A new question inquired </w:t>
      </w:r>
      <w:r w:rsidR="00082B96">
        <w:rPr>
          <w:rFonts w:eastAsiaTheme="majorEastAsia" w:cstheme="majorBidi"/>
        </w:rPr>
        <w:t xml:space="preserve"> about the use of AI. </w:t>
      </w:r>
      <w:r w:rsidR="00AD02C1">
        <w:rPr>
          <w:rFonts w:eastAsiaTheme="majorEastAsia" w:cstheme="majorBidi"/>
        </w:rPr>
        <w:t>Nearly</w:t>
      </w:r>
      <w:r w:rsidR="00082B96">
        <w:rPr>
          <w:rFonts w:eastAsiaTheme="majorEastAsia" w:cstheme="majorBidi"/>
        </w:rPr>
        <w:t xml:space="preserve"> 70% </w:t>
      </w:r>
      <w:r w:rsidR="00AD02C1">
        <w:rPr>
          <w:rFonts w:eastAsiaTheme="majorEastAsia" w:cstheme="majorBidi"/>
        </w:rPr>
        <w:t xml:space="preserve">of </w:t>
      </w:r>
      <w:r w:rsidR="00655F3E">
        <w:rPr>
          <w:rFonts w:eastAsiaTheme="majorEastAsia" w:cstheme="majorBidi"/>
        </w:rPr>
        <w:t>respondents</w:t>
      </w:r>
      <w:r w:rsidR="00AD02C1">
        <w:rPr>
          <w:rFonts w:eastAsiaTheme="majorEastAsia" w:cstheme="majorBidi"/>
        </w:rPr>
        <w:t xml:space="preserve"> specified</w:t>
      </w:r>
      <w:r w:rsidR="00082B96">
        <w:rPr>
          <w:rFonts w:eastAsiaTheme="majorEastAsia" w:cstheme="majorBidi"/>
        </w:rPr>
        <w:t xml:space="preserve"> that  they don’t have systems and tools in place while 13% indicated it cannot be trusted.</w:t>
      </w:r>
      <w:r w:rsidR="003762CC">
        <w:rPr>
          <w:rFonts w:eastAsiaTheme="majorEastAsia" w:cstheme="majorBidi"/>
        </w:rPr>
        <w:t xml:space="preserve"> Nonetheless,</w:t>
      </w:r>
      <w:r w:rsidR="008E0A05">
        <w:rPr>
          <w:rFonts w:eastAsiaTheme="majorEastAsia" w:cstheme="majorBidi"/>
        </w:rPr>
        <w:t xml:space="preserve"> c</w:t>
      </w:r>
      <w:r w:rsidR="00664726">
        <w:rPr>
          <w:rFonts w:eastAsiaTheme="majorEastAsia" w:cstheme="majorBidi"/>
        </w:rPr>
        <w:t xml:space="preserve">omments </w:t>
      </w:r>
      <w:r w:rsidR="008E0A05">
        <w:rPr>
          <w:rFonts w:eastAsiaTheme="majorEastAsia" w:cstheme="majorBidi"/>
        </w:rPr>
        <w:t>indicated</w:t>
      </w:r>
      <w:r w:rsidR="00664726">
        <w:rPr>
          <w:rFonts w:eastAsiaTheme="majorEastAsia" w:cstheme="majorBidi"/>
        </w:rPr>
        <w:t xml:space="preserve"> that manufacturers are </w:t>
      </w:r>
      <w:r w:rsidR="00D11E9C">
        <w:rPr>
          <w:rFonts w:eastAsiaTheme="majorEastAsia" w:cstheme="majorBidi"/>
        </w:rPr>
        <w:t>investigati</w:t>
      </w:r>
      <w:r w:rsidR="00F30929">
        <w:rPr>
          <w:rFonts w:eastAsiaTheme="majorEastAsia" w:cstheme="majorBidi"/>
        </w:rPr>
        <w:t>ng</w:t>
      </w:r>
      <w:r w:rsidR="00664726">
        <w:rPr>
          <w:rFonts w:eastAsiaTheme="majorEastAsia" w:cstheme="majorBidi"/>
        </w:rPr>
        <w:t xml:space="preserve"> A</w:t>
      </w:r>
      <w:r w:rsidR="00D11E9C">
        <w:rPr>
          <w:rFonts w:eastAsiaTheme="majorEastAsia" w:cstheme="majorBidi"/>
        </w:rPr>
        <w:t>I</w:t>
      </w:r>
      <w:r w:rsidR="0072120D">
        <w:rPr>
          <w:rFonts w:eastAsiaTheme="majorEastAsia" w:cstheme="majorBidi"/>
        </w:rPr>
        <w:t xml:space="preserve"> options</w:t>
      </w:r>
      <w:r w:rsidR="00664726">
        <w:rPr>
          <w:rFonts w:eastAsiaTheme="majorEastAsia" w:cstheme="majorBidi"/>
        </w:rPr>
        <w:t>.</w:t>
      </w:r>
    </w:p>
    <w:p w14:paraId="625CC051" w14:textId="6EBA5960" w:rsidR="00F069A3" w:rsidRDefault="00B90819" w:rsidP="00EE216E">
      <w:pPr>
        <w:pStyle w:val="Title"/>
        <w:rPr>
          <w:b/>
          <w:color w:val="2E74B5" w:themeColor="accent1" w:themeShade="BF"/>
          <w:sz w:val="22"/>
          <w:szCs w:val="22"/>
        </w:rPr>
      </w:pPr>
      <w:r>
        <w:rPr>
          <w:b/>
          <w:color w:val="2E74B5" w:themeColor="accent1" w:themeShade="BF"/>
          <w:sz w:val="22"/>
          <w:szCs w:val="22"/>
        </w:rPr>
        <w:br/>
      </w:r>
      <w:r w:rsidR="00DF526E">
        <w:rPr>
          <w:b/>
          <w:color w:val="2E74B5" w:themeColor="accent1" w:themeShade="BF"/>
          <w:sz w:val="22"/>
          <w:szCs w:val="22"/>
        </w:rPr>
        <w:t xml:space="preserve">Table 1- </w:t>
      </w:r>
      <w:r w:rsidR="00F069A3">
        <w:rPr>
          <w:b/>
          <w:color w:val="2E74B5" w:themeColor="accent1" w:themeShade="BF"/>
          <w:sz w:val="22"/>
          <w:szCs w:val="22"/>
        </w:rPr>
        <w:t>Minnesota 202</w:t>
      </w:r>
      <w:r w:rsidR="00855A77">
        <w:rPr>
          <w:b/>
          <w:color w:val="2E74B5" w:themeColor="accent1" w:themeShade="BF"/>
          <w:sz w:val="22"/>
          <w:szCs w:val="22"/>
        </w:rPr>
        <w:t>3</w:t>
      </w:r>
      <w:r w:rsidR="00F069A3">
        <w:rPr>
          <w:b/>
          <w:color w:val="2E74B5" w:themeColor="accent1" w:themeShade="BF"/>
          <w:sz w:val="22"/>
          <w:szCs w:val="22"/>
        </w:rPr>
        <w:t xml:space="preserve"> Manufacturing Business </w:t>
      </w:r>
      <w:r w:rsidR="00F069A3" w:rsidRPr="00D60273">
        <w:rPr>
          <w:b/>
          <w:color w:val="2E74B5" w:themeColor="accent1" w:themeShade="BF"/>
          <w:sz w:val="22"/>
          <w:szCs w:val="22"/>
        </w:rPr>
        <w:t>Condition Survey Results</w:t>
      </w:r>
    </w:p>
    <w:tbl>
      <w:tblPr>
        <w:tblStyle w:val="PlainTable5"/>
        <w:tblW w:w="10800" w:type="dxa"/>
        <w:jc w:val="center"/>
        <w:tblLayout w:type="fixed"/>
        <w:tblLook w:val="0620" w:firstRow="1" w:lastRow="0" w:firstColumn="0" w:lastColumn="0" w:noHBand="1" w:noVBand="1"/>
        <w:tblCaption w:val="Business Comparison Indicators: 2014-2015"/>
        <w:tblDescription w:val="Table coparing business indicators between 2014 and 2015."/>
      </w:tblPr>
      <w:tblGrid>
        <w:gridCol w:w="3775"/>
        <w:gridCol w:w="1405"/>
        <w:gridCol w:w="1405"/>
        <w:gridCol w:w="1405"/>
        <w:gridCol w:w="1405"/>
        <w:gridCol w:w="1405"/>
      </w:tblGrid>
      <w:tr w:rsidR="00F7064F" w:rsidRPr="00623BC4" w14:paraId="35654438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68F7DDE2" w14:textId="15F0E100" w:rsidR="00F7064F" w:rsidRPr="000A28AD" w:rsidRDefault="00F7064F" w:rsidP="00855A77">
            <w:pP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Compared to 2022, in 2023, your location’s</w:t>
            </w: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08080A89" w14:textId="77777777" w:rsidR="00F7064F" w:rsidRPr="000A28AD" w:rsidRDefault="00F7064F" w:rsidP="00855A7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3788DEAB" w14:textId="77777777" w:rsidR="00F7064F" w:rsidRPr="000A28AD" w:rsidRDefault="00F7064F" w:rsidP="00855A7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14:paraId="18D3291B" w14:textId="77777777" w:rsidR="00F7064F" w:rsidRPr="000A28AD" w:rsidRDefault="00F7064F" w:rsidP="00855A7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0A28AD"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F81EC8D" w14:textId="0695DD7C" w:rsidR="00F7064F" w:rsidRPr="00A45FA5" w:rsidRDefault="00F7064F" w:rsidP="00855A77">
            <w:pPr>
              <w:jc w:val="center"/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A45FA5"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Diffusion Index </w:t>
            </w:r>
            <w:r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2023</w:t>
            </w: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6A0D73B" w14:textId="4E96E11E" w:rsidR="00F7064F" w:rsidRPr="000A28AD" w:rsidRDefault="00F7064F" w:rsidP="00855A77">
            <w:pPr>
              <w:jc w:val="center"/>
              <w:rPr>
                <w:rFonts w:eastAsia="Times New Roman" w:cs="Times New Roman"/>
                <w:b/>
                <w:bCs/>
                <w:i w:val="0"/>
                <w:color w:val="000000"/>
                <w:sz w:val="18"/>
                <w:szCs w:val="18"/>
              </w:rPr>
            </w:pPr>
            <w:r w:rsidRPr="00A45FA5"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 xml:space="preserve">Diffusion Index </w:t>
            </w:r>
            <w:r>
              <w:rPr>
                <w:rFonts w:eastAsia="Times New Roman" w:cs="Times New Roman"/>
                <w:b/>
                <w:bCs/>
                <w:i w:val="0"/>
                <w:iCs w:val="0"/>
                <w:color w:val="000000"/>
                <w:sz w:val="18"/>
                <w:szCs w:val="18"/>
              </w:rPr>
              <w:t>2022</w:t>
            </w:r>
            <w:r>
              <w:rPr>
                <w:rFonts w:asciiTheme="minorHAnsi" w:eastAsia="Times New Roman" w:hAnsiTheme="minorHAnsi" w:cs="Times New Roman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7064F" w:rsidRPr="00F842B5" w14:paraId="7E9AFCD6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6E36D" w14:textId="77777777" w:rsidR="00F7064F" w:rsidRPr="00F842B5" w:rsidRDefault="00F7064F" w:rsidP="00855A77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Number of orders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F803A" w14:textId="1F152425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28%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6EA50" w14:textId="09C0DE8A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18%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7F694" w14:textId="1B26A484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54%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50F3" w14:textId="7EAD6893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37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8BD" w14:textId="7DA5E560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64</w:t>
            </w:r>
          </w:p>
        </w:tc>
      </w:tr>
      <w:tr w:rsidR="00F7064F" w:rsidRPr="00F842B5" w14:paraId="12AD5AAC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2A8A9" w14:textId="77777777" w:rsidR="00F7064F" w:rsidRPr="00F842B5" w:rsidRDefault="00F7064F" w:rsidP="00855A77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Product/service production level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D2C3F" w14:textId="3DE1BE8A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18%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71FFC" w14:textId="70700C54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51%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3021B" w14:textId="3062DE7F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31%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FCFA" w14:textId="4DCA7DF8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65C3" w14:textId="605D9BDE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64</w:t>
            </w:r>
          </w:p>
        </w:tc>
      </w:tr>
      <w:tr w:rsidR="00F7064F" w:rsidRPr="00F842B5" w14:paraId="24FFE7CD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C38DA" w14:textId="77777777" w:rsidR="00F7064F" w:rsidRPr="00F842B5" w:rsidRDefault="00F7064F" w:rsidP="00855A77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Employment level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DB7CB" w14:textId="3C49D30F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19%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0D437" w14:textId="716F23E5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51%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A2A5A" w14:textId="3C23D429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29%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D2E0" w14:textId="1C1AC471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9687" w14:textId="02318791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57</w:t>
            </w:r>
          </w:p>
        </w:tc>
      </w:tr>
      <w:tr w:rsidR="00F7064F" w:rsidRPr="00F842B5" w14:paraId="011EFCF4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63B70" w14:textId="18AF17E2" w:rsidR="00F7064F" w:rsidRPr="00F842B5" w:rsidRDefault="00F7064F" w:rsidP="00855A77">
            <w:pPr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8"/>
                <w:szCs w:val="18"/>
              </w:rPr>
              <w:t>Labor availability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031891" w14:textId="328E36E7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13%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26D8F" w14:textId="4D4F3DFF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45%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1DC97" w14:textId="45E04D94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42%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7E4C" w14:textId="10F741D7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36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743B" w14:textId="5A965CC3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n/a</w:t>
            </w:r>
          </w:p>
        </w:tc>
      </w:tr>
      <w:tr w:rsidR="00F7064F" w:rsidRPr="00F842B5" w14:paraId="2F760F4E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C72D3" w14:textId="77777777" w:rsidR="00F7064F" w:rsidRPr="00F842B5" w:rsidRDefault="00F7064F" w:rsidP="00855A77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Investment in plant/equipment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DC9D7" w14:textId="0247645D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32%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517FE" w14:textId="03B20D30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41%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651C6" w14:textId="751653A1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27%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011" w14:textId="5023EF34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53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E5E" w14:textId="412A7914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65</w:t>
            </w:r>
          </w:p>
        </w:tc>
      </w:tr>
      <w:tr w:rsidR="00F7064F" w:rsidRPr="00F842B5" w14:paraId="1CAAD292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5FD9F" w14:textId="007E8A1C" w:rsidR="00F7064F" w:rsidRPr="00F842B5" w:rsidRDefault="00F7064F" w:rsidP="00855A77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Selling prices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FB83F" w14:textId="272764CA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59%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C098D" w14:textId="4E4F0C8F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30%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736B2" w14:textId="5C9EC551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12%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BC46" w14:textId="14AFEE6B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74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C685" w14:textId="1573BEF9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89</w:t>
            </w:r>
          </w:p>
        </w:tc>
      </w:tr>
      <w:tr w:rsidR="00F7064F" w:rsidRPr="00F842B5" w14:paraId="45B94BA2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CE2A2" w14:textId="77777777" w:rsidR="00F7064F" w:rsidRPr="00F842B5" w:rsidRDefault="00F7064F" w:rsidP="00855A77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Profits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F5883" w14:textId="6F69428A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17%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37680" w14:textId="6107B9C1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31%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5EF55" w14:textId="15EDD811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52%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799" w14:textId="2BD8B7FD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33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A6B4" w14:textId="1472249C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49</w:t>
            </w:r>
          </w:p>
        </w:tc>
      </w:tr>
      <w:tr w:rsidR="00F7064F" w:rsidRPr="00F842B5" w14:paraId="4000D0F1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75101" w14:textId="77777777" w:rsidR="00F7064F" w:rsidRPr="00F842B5" w:rsidRDefault="00F7064F" w:rsidP="00855A77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Productivity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B7451" w14:textId="78F4D2C2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20%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A496D" w14:textId="1BB7C3E5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56%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FBA21" w14:textId="658CED31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24%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94B4" w14:textId="0B1DFEB8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3625" w14:textId="79F33974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53</w:t>
            </w:r>
          </w:p>
        </w:tc>
      </w:tr>
      <w:tr w:rsidR="00F7064F" w:rsidRPr="00F842B5" w14:paraId="2F2FA89E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C71F5" w14:textId="77777777" w:rsidR="00F7064F" w:rsidRPr="00F842B5" w:rsidRDefault="00F7064F" w:rsidP="00855A77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Exports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CBDFD" w14:textId="18C1886D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5%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161A8" w14:textId="0F44C0F2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77%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C6691" w14:textId="40611C75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18%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D9E" w14:textId="171F5439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E05A" w14:textId="02F00D9B" w:rsidR="00F7064F" w:rsidRPr="00F842B5" w:rsidRDefault="00F7064F" w:rsidP="00855A7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46</w:t>
            </w:r>
          </w:p>
        </w:tc>
      </w:tr>
    </w:tbl>
    <w:p w14:paraId="159B563A" w14:textId="4B25669F" w:rsidR="003B2FD3" w:rsidRPr="00DF526E" w:rsidRDefault="003B2FD3" w:rsidP="00EE216E">
      <w:pPr>
        <w:spacing w:after="0" w:line="240" w:lineRule="auto"/>
        <w:rPr>
          <w:rFonts w:cstheme="minorHAnsi"/>
          <w:color w:val="FF0000"/>
          <w:sz w:val="10"/>
          <w:szCs w:val="10"/>
        </w:rPr>
      </w:pPr>
    </w:p>
    <w:tbl>
      <w:tblPr>
        <w:tblStyle w:val="PlainTable4"/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mparison Worker's Indicators, 2014-2015"/>
        <w:tblDescription w:val="Table comparing workers indicators 2014-2014-2015"/>
      </w:tblPr>
      <w:tblGrid>
        <w:gridCol w:w="2880"/>
        <w:gridCol w:w="902"/>
        <w:gridCol w:w="1334"/>
        <w:gridCol w:w="1350"/>
        <w:gridCol w:w="1350"/>
        <w:gridCol w:w="1350"/>
        <w:gridCol w:w="1629"/>
      </w:tblGrid>
      <w:tr w:rsidR="003B2FD3" w:rsidRPr="00F842B5" w14:paraId="68C5AA2A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BDD6EE" w:themeFill="accent1" w:themeFillTint="66"/>
            <w:noWrap/>
            <w:hideMark/>
          </w:tcPr>
          <w:p w14:paraId="03479FC7" w14:textId="34799A27" w:rsidR="003B2FD3" w:rsidRPr="00F842B5" w:rsidRDefault="003B2FD3" w:rsidP="00AF53F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Labor indicators in 202</w:t>
            </w:r>
            <w:r w:rsidR="00AA42E2"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, compared to 202</w:t>
            </w:r>
            <w:r w:rsidR="00AA42E2"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2" w:type="dxa"/>
            <w:shd w:val="clear" w:color="auto" w:fill="BDD6EE" w:themeFill="accent1" w:themeFillTint="66"/>
            <w:noWrap/>
            <w:hideMark/>
          </w:tcPr>
          <w:p w14:paraId="6DC94B50" w14:textId="77777777" w:rsidR="003B2FD3" w:rsidRPr="00F842B5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Decrease</w:t>
            </w:r>
          </w:p>
        </w:tc>
        <w:tc>
          <w:tcPr>
            <w:tcW w:w="1334" w:type="dxa"/>
            <w:shd w:val="clear" w:color="auto" w:fill="BDD6EE" w:themeFill="accent1" w:themeFillTint="66"/>
            <w:noWrap/>
            <w:hideMark/>
          </w:tcPr>
          <w:p w14:paraId="5E5B3AD8" w14:textId="6CF0610B" w:rsidR="003B2FD3" w:rsidRPr="00F842B5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514988"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shd w:val="clear" w:color="auto" w:fill="BDD6EE" w:themeFill="accent1" w:themeFillTint="66"/>
            <w:noWrap/>
            <w:hideMark/>
          </w:tcPr>
          <w:p w14:paraId="6CED47E8" w14:textId="77777777" w:rsidR="003B2FD3" w:rsidRPr="00F842B5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1-2%</w:t>
            </w:r>
          </w:p>
        </w:tc>
        <w:tc>
          <w:tcPr>
            <w:tcW w:w="1350" w:type="dxa"/>
            <w:shd w:val="clear" w:color="auto" w:fill="BDD6EE" w:themeFill="accent1" w:themeFillTint="66"/>
            <w:noWrap/>
            <w:hideMark/>
          </w:tcPr>
          <w:p w14:paraId="65EC8E82" w14:textId="77777777" w:rsidR="003B2FD3" w:rsidRPr="00F842B5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3-5%</w:t>
            </w:r>
          </w:p>
        </w:tc>
        <w:tc>
          <w:tcPr>
            <w:tcW w:w="1350" w:type="dxa"/>
            <w:shd w:val="clear" w:color="auto" w:fill="BDD6EE" w:themeFill="accent1" w:themeFillTint="66"/>
            <w:noWrap/>
            <w:hideMark/>
          </w:tcPr>
          <w:p w14:paraId="3F23FB8D" w14:textId="77777777" w:rsidR="003B2FD3" w:rsidRPr="00F842B5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6-9%</w:t>
            </w:r>
          </w:p>
        </w:tc>
        <w:tc>
          <w:tcPr>
            <w:tcW w:w="1629" w:type="dxa"/>
            <w:shd w:val="clear" w:color="auto" w:fill="BDD6EE" w:themeFill="accent1" w:themeFillTint="66"/>
            <w:noWrap/>
            <w:hideMark/>
          </w:tcPr>
          <w:p w14:paraId="62762065" w14:textId="77777777" w:rsidR="003B2FD3" w:rsidRPr="00F842B5" w:rsidRDefault="003B2FD3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&gt;10%</w:t>
            </w:r>
          </w:p>
        </w:tc>
      </w:tr>
      <w:tr w:rsidR="003B2FD3" w:rsidRPr="00F842B5" w14:paraId="7B3CB87E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14:paraId="021E078B" w14:textId="77777777" w:rsidR="003B2FD3" w:rsidRPr="00F842B5" w:rsidRDefault="003B2FD3" w:rsidP="00AF53F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color w:val="000000"/>
                <w:sz w:val="18"/>
                <w:szCs w:val="18"/>
              </w:rPr>
              <w:t>Wages per worker</w:t>
            </w:r>
          </w:p>
        </w:tc>
        <w:tc>
          <w:tcPr>
            <w:tcW w:w="902" w:type="dxa"/>
            <w:noWrap/>
            <w:hideMark/>
          </w:tcPr>
          <w:p w14:paraId="551423C1" w14:textId="45001143" w:rsidR="003B2FD3" w:rsidRPr="00F842B5" w:rsidRDefault="00AA42E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2</w:t>
            </w:r>
            <w:r w:rsidR="003B2FD3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  <w:tc>
          <w:tcPr>
            <w:tcW w:w="1334" w:type="dxa"/>
            <w:noWrap/>
            <w:hideMark/>
          </w:tcPr>
          <w:p w14:paraId="00AC8F2B" w14:textId="40050CD3" w:rsidR="003B2FD3" w:rsidRPr="00F842B5" w:rsidRDefault="00AA42E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13</w:t>
            </w:r>
            <w:r w:rsidR="003B2FD3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76FD05E3" w14:textId="04EFA2B3" w:rsidR="003B2FD3" w:rsidRPr="00F842B5" w:rsidRDefault="00AA42E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10</w:t>
            </w:r>
            <w:r w:rsidR="003B2FD3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63D7C82E" w14:textId="010B906D" w:rsidR="003B2FD3" w:rsidRPr="00F842B5" w:rsidRDefault="00AA42E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49</w:t>
            </w:r>
            <w:r w:rsidR="003B2FD3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682775AF" w14:textId="0D2858AB" w:rsidR="003B2FD3" w:rsidRPr="00F842B5" w:rsidRDefault="00AA42E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19</w:t>
            </w:r>
            <w:r w:rsidR="003B2FD3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  <w:tc>
          <w:tcPr>
            <w:tcW w:w="1629" w:type="dxa"/>
            <w:noWrap/>
            <w:hideMark/>
          </w:tcPr>
          <w:p w14:paraId="4CDAA6C5" w14:textId="5FDE5081" w:rsidR="003B2FD3" w:rsidRPr="00F842B5" w:rsidRDefault="00AA42E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7</w:t>
            </w:r>
            <w:r w:rsidR="003B2FD3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</w:tr>
      <w:tr w:rsidR="003B2FD3" w:rsidRPr="00F842B5" w14:paraId="0E89ED39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14:paraId="637EAD50" w14:textId="77777777" w:rsidR="003B2FD3" w:rsidRPr="00F842B5" w:rsidRDefault="003B2FD3" w:rsidP="00AF53F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color w:val="000000"/>
                <w:sz w:val="18"/>
                <w:szCs w:val="18"/>
              </w:rPr>
              <w:t>Benefits per worker</w:t>
            </w:r>
          </w:p>
        </w:tc>
        <w:tc>
          <w:tcPr>
            <w:tcW w:w="902" w:type="dxa"/>
            <w:noWrap/>
            <w:hideMark/>
          </w:tcPr>
          <w:p w14:paraId="0DCBB380" w14:textId="6EC345C8" w:rsidR="003B2FD3" w:rsidRPr="00F842B5" w:rsidRDefault="00AA42E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6</w:t>
            </w:r>
            <w:r w:rsidR="003B2FD3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  <w:tc>
          <w:tcPr>
            <w:tcW w:w="1334" w:type="dxa"/>
            <w:noWrap/>
            <w:hideMark/>
          </w:tcPr>
          <w:p w14:paraId="5AB1FC62" w14:textId="73B45315" w:rsidR="003B2FD3" w:rsidRPr="00F842B5" w:rsidRDefault="00AA42E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22</w:t>
            </w:r>
            <w:r w:rsidR="003B2FD3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792C0EFE" w14:textId="39BB17DA" w:rsidR="003B2FD3" w:rsidRPr="00F842B5" w:rsidRDefault="00AA42E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13</w:t>
            </w:r>
            <w:r w:rsidR="003B2FD3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2A482CD9" w14:textId="581EB77C" w:rsidR="003B2FD3" w:rsidRPr="00F842B5" w:rsidRDefault="00AA42E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30</w:t>
            </w:r>
            <w:r w:rsidR="003B2FD3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2DED3D00" w14:textId="087F401C" w:rsidR="003B2FD3" w:rsidRPr="00F842B5" w:rsidRDefault="00AA42E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21</w:t>
            </w:r>
            <w:r w:rsidR="003B2FD3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  <w:tc>
          <w:tcPr>
            <w:tcW w:w="1629" w:type="dxa"/>
            <w:noWrap/>
            <w:hideMark/>
          </w:tcPr>
          <w:p w14:paraId="0149FD60" w14:textId="14CB3A41" w:rsidR="003B2FD3" w:rsidRPr="00F842B5" w:rsidRDefault="00AA42E2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9</w:t>
            </w:r>
            <w:r w:rsidR="003B2FD3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</w:tr>
    </w:tbl>
    <w:p w14:paraId="2275FB5A" w14:textId="0FF95977" w:rsidR="00F069A3" w:rsidRPr="00DF526E" w:rsidRDefault="00F069A3" w:rsidP="00DF526E">
      <w:pPr>
        <w:pStyle w:val="Title"/>
        <w:rPr>
          <w:rFonts w:asciiTheme="minorHAnsi" w:hAnsiTheme="minorHAnsi" w:cstheme="minorHAnsi"/>
          <w:b/>
          <w:color w:val="2E74B5" w:themeColor="accent1" w:themeShade="BF"/>
          <w:sz w:val="10"/>
          <w:szCs w:val="10"/>
        </w:rPr>
      </w:pPr>
    </w:p>
    <w:tbl>
      <w:tblPr>
        <w:tblStyle w:val="PlainTable5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  <w:tblCaption w:val="Business Comparison Indicators: 2014-2015"/>
        <w:tblDescription w:val="Table coparing business indicators between 2014 and 2015."/>
      </w:tblPr>
      <w:tblGrid>
        <w:gridCol w:w="3870"/>
        <w:gridCol w:w="1386"/>
        <w:gridCol w:w="1386"/>
        <w:gridCol w:w="1386"/>
        <w:gridCol w:w="1386"/>
        <w:gridCol w:w="1386"/>
      </w:tblGrid>
      <w:tr w:rsidR="00F7064F" w:rsidRPr="00F842B5" w14:paraId="6898B03E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70" w:type="dxa"/>
            <w:shd w:val="clear" w:color="auto" w:fill="BDD6EE" w:themeFill="accent1" w:themeFillTint="66"/>
            <w:noWrap/>
            <w:hideMark/>
          </w:tcPr>
          <w:p w14:paraId="068C3330" w14:textId="036F2440" w:rsidR="00F7064F" w:rsidRPr="00F842B5" w:rsidRDefault="00F7064F" w:rsidP="00AA42E2">
            <w:pPr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  <w:t>Compared to 202</w:t>
            </w:r>
            <w:r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  <w:t>3</w:t>
            </w:r>
            <w:r w:rsidRPr="00F842B5"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  <w:t>, in 202</w:t>
            </w:r>
            <w:r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  <w:t>4</w:t>
            </w:r>
            <w:r w:rsidRPr="00F842B5"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  <w:t>, you expect your location’s:</w:t>
            </w:r>
          </w:p>
        </w:tc>
        <w:tc>
          <w:tcPr>
            <w:tcW w:w="1386" w:type="dxa"/>
            <w:shd w:val="clear" w:color="auto" w:fill="BDD6EE" w:themeFill="accent1" w:themeFillTint="66"/>
            <w:noWrap/>
            <w:hideMark/>
          </w:tcPr>
          <w:p w14:paraId="4B946B04" w14:textId="77777777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386" w:type="dxa"/>
            <w:shd w:val="clear" w:color="auto" w:fill="BDD6EE" w:themeFill="accent1" w:themeFillTint="66"/>
            <w:noWrap/>
            <w:hideMark/>
          </w:tcPr>
          <w:p w14:paraId="17DA433C" w14:textId="77777777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386" w:type="dxa"/>
            <w:shd w:val="clear" w:color="auto" w:fill="BDD6EE" w:themeFill="accent1" w:themeFillTint="66"/>
            <w:noWrap/>
            <w:hideMark/>
          </w:tcPr>
          <w:p w14:paraId="2B5212EA" w14:textId="77777777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386" w:type="dxa"/>
            <w:shd w:val="clear" w:color="auto" w:fill="BDD6EE" w:themeFill="accent1" w:themeFillTint="66"/>
          </w:tcPr>
          <w:p w14:paraId="06AC64BE" w14:textId="5D2DEFDE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sz w:val="18"/>
                <w:szCs w:val="18"/>
              </w:rPr>
              <w:t>Diffusion Index 2023</w:t>
            </w:r>
            <w:r w:rsidRPr="00F842B5"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86" w:type="dxa"/>
            <w:shd w:val="clear" w:color="auto" w:fill="BDD6EE" w:themeFill="accent1" w:themeFillTint="66"/>
          </w:tcPr>
          <w:p w14:paraId="7A479EAB" w14:textId="373CB58E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sz w:val="18"/>
                <w:szCs w:val="18"/>
              </w:rPr>
              <w:t>Diffusion Index 2022</w:t>
            </w:r>
            <w:r w:rsidRPr="00F842B5"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7064F" w:rsidRPr="00F842B5" w14:paraId="32933681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70" w:type="dxa"/>
            <w:noWrap/>
            <w:hideMark/>
          </w:tcPr>
          <w:p w14:paraId="44AE2286" w14:textId="77777777" w:rsidR="00F7064F" w:rsidRPr="00F842B5" w:rsidRDefault="00F7064F" w:rsidP="00AA42E2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Number of orders</w:t>
            </w:r>
          </w:p>
        </w:tc>
        <w:tc>
          <w:tcPr>
            <w:tcW w:w="1386" w:type="dxa"/>
            <w:noWrap/>
            <w:hideMark/>
          </w:tcPr>
          <w:p w14:paraId="676F4D03" w14:textId="54F0F7E0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31%</w:t>
            </w:r>
          </w:p>
        </w:tc>
        <w:tc>
          <w:tcPr>
            <w:tcW w:w="1386" w:type="dxa"/>
            <w:noWrap/>
            <w:hideMark/>
          </w:tcPr>
          <w:p w14:paraId="33EA603B" w14:textId="41636681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40%</w:t>
            </w:r>
          </w:p>
        </w:tc>
        <w:tc>
          <w:tcPr>
            <w:tcW w:w="1386" w:type="dxa"/>
            <w:noWrap/>
            <w:hideMark/>
          </w:tcPr>
          <w:p w14:paraId="417A7FBD" w14:textId="0EA406F9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29%</w:t>
            </w:r>
          </w:p>
        </w:tc>
        <w:tc>
          <w:tcPr>
            <w:tcW w:w="1386" w:type="dxa"/>
          </w:tcPr>
          <w:p w14:paraId="13835A5E" w14:textId="41899A0C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51</w:t>
            </w:r>
          </w:p>
        </w:tc>
        <w:tc>
          <w:tcPr>
            <w:tcW w:w="1386" w:type="dxa"/>
          </w:tcPr>
          <w:p w14:paraId="758C2973" w14:textId="1D3E272B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56</w:t>
            </w:r>
          </w:p>
        </w:tc>
      </w:tr>
      <w:tr w:rsidR="00F7064F" w:rsidRPr="00F842B5" w14:paraId="3BE5FFBA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70" w:type="dxa"/>
            <w:noWrap/>
            <w:hideMark/>
          </w:tcPr>
          <w:p w14:paraId="549EB2B4" w14:textId="77777777" w:rsidR="00F7064F" w:rsidRPr="00F842B5" w:rsidRDefault="00F7064F" w:rsidP="00AA42E2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Product/service production level</w:t>
            </w:r>
          </w:p>
        </w:tc>
        <w:tc>
          <w:tcPr>
            <w:tcW w:w="1386" w:type="dxa"/>
            <w:noWrap/>
            <w:hideMark/>
          </w:tcPr>
          <w:p w14:paraId="673A73F0" w14:textId="7B2C822C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23%</w:t>
            </w:r>
          </w:p>
        </w:tc>
        <w:tc>
          <w:tcPr>
            <w:tcW w:w="1386" w:type="dxa"/>
            <w:noWrap/>
            <w:hideMark/>
          </w:tcPr>
          <w:p w14:paraId="487EA224" w14:textId="693E3227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60%</w:t>
            </w:r>
          </w:p>
        </w:tc>
        <w:tc>
          <w:tcPr>
            <w:tcW w:w="1386" w:type="dxa"/>
            <w:noWrap/>
            <w:hideMark/>
          </w:tcPr>
          <w:p w14:paraId="3D1F24C2" w14:textId="130B7E81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17%</w:t>
            </w:r>
          </w:p>
        </w:tc>
        <w:tc>
          <w:tcPr>
            <w:tcW w:w="1386" w:type="dxa"/>
          </w:tcPr>
          <w:p w14:paraId="6ED1EC9B" w14:textId="0CE6784A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53</w:t>
            </w:r>
          </w:p>
        </w:tc>
        <w:tc>
          <w:tcPr>
            <w:tcW w:w="1386" w:type="dxa"/>
          </w:tcPr>
          <w:p w14:paraId="4B754F35" w14:textId="74716500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61</w:t>
            </w:r>
          </w:p>
        </w:tc>
      </w:tr>
      <w:tr w:rsidR="00F7064F" w:rsidRPr="00F842B5" w14:paraId="6C2E4F21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70" w:type="dxa"/>
            <w:noWrap/>
            <w:hideMark/>
          </w:tcPr>
          <w:p w14:paraId="01904FAD" w14:textId="77777777" w:rsidR="00F7064F" w:rsidRPr="00F842B5" w:rsidRDefault="00F7064F" w:rsidP="00AA42E2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Employment level</w:t>
            </w:r>
          </w:p>
        </w:tc>
        <w:tc>
          <w:tcPr>
            <w:tcW w:w="1386" w:type="dxa"/>
            <w:noWrap/>
            <w:hideMark/>
          </w:tcPr>
          <w:p w14:paraId="184D4FCE" w14:textId="2993EA4C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20%</w:t>
            </w:r>
          </w:p>
        </w:tc>
        <w:tc>
          <w:tcPr>
            <w:tcW w:w="1386" w:type="dxa"/>
            <w:noWrap/>
            <w:hideMark/>
          </w:tcPr>
          <w:p w14:paraId="68FB4EE7" w14:textId="7633263F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59%</w:t>
            </w:r>
          </w:p>
        </w:tc>
        <w:tc>
          <w:tcPr>
            <w:tcW w:w="1386" w:type="dxa"/>
            <w:noWrap/>
            <w:hideMark/>
          </w:tcPr>
          <w:p w14:paraId="0C0EDAB0" w14:textId="3056FC92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21%</w:t>
            </w:r>
          </w:p>
        </w:tc>
        <w:tc>
          <w:tcPr>
            <w:tcW w:w="1386" w:type="dxa"/>
          </w:tcPr>
          <w:p w14:paraId="30E836CE" w14:textId="4C639CC8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50</w:t>
            </w:r>
          </w:p>
        </w:tc>
        <w:tc>
          <w:tcPr>
            <w:tcW w:w="1386" w:type="dxa"/>
          </w:tcPr>
          <w:p w14:paraId="53C0C9CB" w14:textId="3D3C9CAC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62</w:t>
            </w:r>
          </w:p>
        </w:tc>
      </w:tr>
      <w:tr w:rsidR="00F7064F" w:rsidRPr="00F842B5" w14:paraId="7AA4F848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70" w:type="dxa"/>
            <w:noWrap/>
          </w:tcPr>
          <w:p w14:paraId="21AC7FA2" w14:textId="748D808E" w:rsidR="00F7064F" w:rsidRPr="00F842B5" w:rsidRDefault="00F7064F" w:rsidP="00AA42E2">
            <w:pPr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color w:val="000000"/>
                <w:sz w:val="18"/>
                <w:szCs w:val="18"/>
              </w:rPr>
              <w:t>Labor Availability</w:t>
            </w:r>
          </w:p>
        </w:tc>
        <w:tc>
          <w:tcPr>
            <w:tcW w:w="1386" w:type="dxa"/>
            <w:noWrap/>
          </w:tcPr>
          <w:p w14:paraId="71A93A2C" w14:textId="3A0D2CF4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14%</w:t>
            </w:r>
          </w:p>
        </w:tc>
        <w:tc>
          <w:tcPr>
            <w:tcW w:w="1386" w:type="dxa"/>
            <w:noWrap/>
          </w:tcPr>
          <w:p w14:paraId="04299F67" w14:textId="01DB689E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60%</w:t>
            </w:r>
          </w:p>
        </w:tc>
        <w:tc>
          <w:tcPr>
            <w:tcW w:w="1386" w:type="dxa"/>
            <w:noWrap/>
          </w:tcPr>
          <w:p w14:paraId="4BD4D7CF" w14:textId="29A97D8F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26%</w:t>
            </w:r>
          </w:p>
        </w:tc>
        <w:tc>
          <w:tcPr>
            <w:tcW w:w="1386" w:type="dxa"/>
          </w:tcPr>
          <w:p w14:paraId="3F67EC2D" w14:textId="342B57F4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44</w:t>
            </w:r>
          </w:p>
        </w:tc>
        <w:tc>
          <w:tcPr>
            <w:tcW w:w="1386" w:type="dxa"/>
          </w:tcPr>
          <w:p w14:paraId="10DC5B3C" w14:textId="275DB305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n/a</w:t>
            </w:r>
          </w:p>
        </w:tc>
      </w:tr>
      <w:tr w:rsidR="00F7064F" w:rsidRPr="00F842B5" w14:paraId="1017B902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70" w:type="dxa"/>
            <w:noWrap/>
            <w:hideMark/>
          </w:tcPr>
          <w:p w14:paraId="479E9348" w14:textId="77777777" w:rsidR="00F7064F" w:rsidRPr="00F842B5" w:rsidRDefault="00F7064F" w:rsidP="00AA42E2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Investment in plant/equipment</w:t>
            </w:r>
          </w:p>
        </w:tc>
        <w:tc>
          <w:tcPr>
            <w:tcW w:w="1386" w:type="dxa"/>
            <w:noWrap/>
            <w:hideMark/>
          </w:tcPr>
          <w:p w14:paraId="29851962" w14:textId="22AB3EED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19%</w:t>
            </w:r>
          </w:p>
        </w:tc>
        <w:tc>
          <w:tcPr>
            <w:tcW w:w="1386" w:type="dxa"/>
            <w:noWrap/>
            <w:hideMark/>
          </w:tcPr>
          <w:p w14:paraId="722B917A" w14:textId="0D4F27F4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54%</w:t>
            </w:r>
          </w:p>
        </w:tc>
        <w:tc>
          <w:tcPr>
            <w:tcW w:w="1386" w:type="dxa"/>
            <w:noWrap/>
            <w:hideMark/>
          </w:tcPr>
          <w:p w14:paraId="0C78DD19" w14:textId="49A9106E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27%</w:t>
            </w:r>
          </w:p>
        </w:tc>
        <w:tc>
          <w:tcPr>
            <w:tcW w:w="1386" w:type="dxa"/>
          </w:tcPr>
          <w:p w14:paraId="13C6D197" w14:textId="2F16FC9C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46</w:t>
            </w:r>
          </w:p>
        </w:tc>
        <w:tc>
          <w:tcPr>
            <w:tcW w:w="1386" w:type="dxa"/>
          </w:tcPr>
          <w:p w14:paraId="76CD4C47" w14:textId="59534D12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54</w:t>
            </w:r>
          </w:p>
        </w:tc>
      </w:tr>
      <w:tr w:rsidR="00F7064F" w:rsidRPr="00F842B5" w14:paraId="60355EF4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70" w:type="dxa"/>
            <w:noWrap/>
            <w:hideMark/>
          </w:tcPr>
          <w:p w14:paraId="79214E13" w14:textId="6C5C3759" w:rsidR="00F7064F" w:rsidRPr="00F842B5" w:rsidRDefault="00F7064F" w:rsidP="00AA42E2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Selling prices</w:t>
            </w:r>
          </w:p>
        </w:tc>
        <w:tc>
          <w:tcPr>
            <w:tcW w:w="1386" w:type="dxa"/>
            <w:noWrap/>
            <w:hideMark/>
          </w:tcPr>
          <w:p w14:paraId="0DBD32A1" w14:textId="5829A68F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36%</w:t>
            </w:r>
          </w:p>
        </w:tc>
        <w:tc>
          <w:tcPr>
            <w:tcW w:w="1386" w:type="dxa"/>
            <w:noWrap/>
            <w:hideMark/>
          </w:tcPr>
          <w:p w14:paraId="2E4C0A8E" w14:textId="5EB24054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48%</w:t>
            </w:r>
          </w:p>
        </w:tc>
        <w:tc>
          <w:tcPr>
            <w:tcW w:w="1386" w:type="dxa"/>
            <w:noWrap/>
            <w:hideMark/>
          </w:tcPr>
          <w:p w14:paraId="363DA8AD" w14:textId="557D3F13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16%</w:t>
            </w:r>
          </w:p>
        </w:tc>
        <w:tc>
          <w:tcPr>
            <w:tcW w:w="1386" w:type="dxa"/>
          </w:tcPr>
          <w:p w14:paraId="767CCC70" w14:textId="492C0D3B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60</w:t>
            </w:r>
          </w:p>
        </w:tc>
        <w:tc>
          <w:tcPr>
            <w:tcW w:w="1386" w:type="dxa"/>
          </w:tcPr>
          <w:p w14:paraId="0061F5BC" w14:textId="6BC09C87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74</w:t>
            </w:r>
          </w:p>
        </w:tc>
      </w:tr>
      <w:tr w:rsidR="00F7064F" w:rsidRPr="00F842B5" w14:paraId="0A59BB46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70" w:type="dxa"/>
            <w:noWrap/>
            <w:hideMark/>
          </w:tcPr>
          <w:p w14:paraId="7A889F50" w14:textId="77777777" w:rsidR="00F7064F" w:rsidRPr="00F842B5" w:rsidRDefault="00F7064F" w:rsidP="00AA42E2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Profits</w:t>
            </w:r>
          </w:p>
        </w:tc>
        <w:tc>
          <w:tcPr>
            <w:tcW w:w="1386" w:type="dxa"/>
            <w:noWrap/>
            <w:hideMark/>
          </w:tcPr>
          <w:p w14:paraId="6654B6BF" w14:textId="5D83FBC9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35%</w:t>
            </w:r>
          </w:p>
        </w:tc>
        <w:tc>
          <w:tcPr>
            <w:tcW w:w="1386" w:type="dxa"/>
            <w:noWrap/>
            <w:hideMark/>
          </w:tcPr>
          <w:p w14:paraId="5AF3B2CC" w14:textId="00FE2141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42%</w:t>
            </w:r>
          </w:p>
        </w:tc>
        <w:tc>
          <w:tcPr>
            <w:tcW w:w="1386" w:type="dxa"/>
            <w:noWrap/>
            <w:hideMark/>
          </w:tcPr>
          <w:p w14:paraId="521F2E26" w14:textId="4DD94365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24%</w:t>
            </w:r>
          </w:p>
        </w:tc>
        <w:tc>
          <w:tcPr>
            <w:tcW w:w="1386" w:type="dxa"/>
          </w:tcPr>
          <w:p w14:paraId="113A532E" w14:textId="595EEF38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56</w:t>
            </w:r>
          </w:p>
        </w:tc>
        <w:tc>
          <w:tcPr>
            <w:tcW w:w="1386" w:type="dxa"/>
          </w:tcPr>
          <w:p w14:paraId="728C0D40" w14:textId="5741E3F3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53</w:t>
            </w:r>
          </w:p>
        </w:tc>
      </w:tr>
      <w:tr w:rsidR="00F7064F" w:rsidRPr="00F842B5" w14:paraId="70EC1370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70" w:type="dxa"/>
            <w:noWrap/>
            <w:hideMark/>
          </w:tcPr>
          <w:p w14:paraId="2F7225C0" w14:textId="77777777" w:rsidR="00F7064F" w:rsidRPr="00F842B5" w:rsidRDefault="00F7064F" w:rsidP="00AA42E2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Productivity</w:t>
            </w:r>
          </w:p>
        </w:tc>
        <w:tc>
          <w:tcPr>
            <w:tcW w:w="1386" w:type="dxa"/>
            <w:noWrap/>
            <w:hideMark/>
          </w:tcPr>
          <w:p w14:paraId="491F0EDE" w14:textId="219069A6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28%</w:t>
            </w:r>
          </w:p>
        </w:tc>
        <w:tc>
          <w:tcPr>
            <w:tcW w:w="1386" w:type="dxa"/>
            <w:noWrap/>
            <w:hideMark/>
          </w:tcPr>
          <w:p w14:paraId="478A2580" w14:textId="5A79631A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58%</w:t>
            </w:r>
          </w:p>
        </w:tc>
        <w:tc>
          <w:tcPr>
            <w:tcW w:w="1386" w:type="dxa"/>
            <w:noWrap/>
            <w:hideMark/>
          </w:tcPr>
          <w:p w14:paraId="19CD8AF3" w14:textId="74903649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14%</w:t>
            </w:r>
          </w:p>
        </w:tc>
        <w:tc>
          <w:tcPr>
            <w:tcW w:w="1386" w:type="dxa"/>
          </w:tcPr>
          <w:p w14:paraId="7D5851E2" w14:textId="2B161418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57</w:t>
            </w:r>
          </w:p>
        </w:tc>
        <w:tc>
          <w:tcPr>
            <w:tcW w:w="1386" w:type="dxa"/>
          </w:tcPr>
          <w:p w14:paraId="51A04E1A" w14:textId="15D2B354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65</w:t>
            </w:r>
          </w:p>
        </w:tc>
      </w:tr>
      <w:tr w:rsidR="00F7064F" w:rsidRPr="00F842B5" w14:paraId="481674C3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70" w:type="dxa"/>
            <w:noWrap/>
            <w:hideMark/>
          </w:tcPr>
          <w:p w14:paraId="2BB299B6" w14:textId="77777777" w:rsidR="00F7064F" w:rsidRPr="00F842B5" w:rsidRDefault="00F7064F" w:rsidP="00AA42E2">
            <w:pPr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color w:val="000000"/>
                <w:sz w:val="18"/>
                <w:szCs w:val="18"/>
              </w:rPr>
              <w:t>Exports</w:t>
            </w:r>
          </w:p>
        </w:tc>
        <w:tc>
          <w:tcPr>
            <w:tcW w:w="1386" w:type="dxa"/>
            <w:noWrap/>
            <w:hideMark/>
          </w:tcPr>
          <w:p w14:paraId="7DBFB5DA" w14:textId="5B7F95EA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7%</w:t>
            </w:r>
          </w:p>
        </w:tc>
        <w:tc>
          <w:tcPr>
            <w:tcW w:w="1386" w:type="dxa"/>
            <w:noWrap/>
            <w:hideMark/>
          </w:tcPr>
          <w:p w14:paraId="3EB06B20" w14:textId="4CCBC680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79%</w:t>
            </w:r>
          </w:p>
        </w:tc>
        <w:tc>
          <w:tcPr>
            <w:tcW w:w="1386" w:type="dxa"/>
            <w:noWrap/>
            <w:hideMark/>
          </w:tcPr>
          <w:p w14:paraId="110A7914" w14:textId="3121565C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14%</w:t>
            </w:r>
          </w:p>
        </w:tc>
        <w:tc>
          <w:tcPr>
            <w:tcW w:w="1386" w:type="dxa"/>
          </w:tcPr>
          <w:p w14:paraId="59D3AE8F" w14:textId="6BBA394B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47</w:t>
            </w:r>
          </w:p>
        </w:tc>
        <w:tc>
          <w:tcPr>
            <w:tcW w:w="1386" w:type="dxa"/>
          </w:tcPr>
          <w:p w14:paraId="0FA41291" w14:textId="4F364D05" w:rsidR="00F7064F" w:rsidRPr="00F842B5" w:rsidRDefault="00F7064F" w:rsidP="00AA42E2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51</w:t>
            </w:r>
          </w:p>
        </w:tc>
      </w:tr>
    </w:tbl>
    <w:p w14:paraId="6BE9E1E6" w14:textId="68EC892D" w:rsidR="00C50ABC" w:rsidRPr="00DF526E" w:rsidRDefault="00C50ABC" w:rsidP="00EE216E">
      <w:pPr>
        <w:spacing w:after="0" w:line="240" w:lineRule="auto"/>
        <w:rPr>
          <w:rFonts w:cstheme="minorHAnsi"/>
          <w:color w:val="FF0000"/>
          <w:sz w:val="10"/>
          <w:szCs w:val="10"/>
        </w:rPr>
      </w:pPr>
    </w:p>
    <w:tbl>
      <w:tblPr>
        <w:tblStyle w:val="PlainTable4"/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omparison Worker's Indicators, 2014-2015"/>
        <w:tblDescription w:val="Table comparing workers indicators 2014-2014-2015"/>
      </w:tblPr>
      <w:tblGrid>
        <w:gridCol w:w="2880"/>
        <w:gridCol w:w="902"/>
        <w:gridCol w:w="1334"/>
        <w:gridCol w:w="1350"/>
        <w:gridCol w:w="1350"/>
        <w:gridCol w:w="1350"/>
        <w:gridCol w:w="1629"/>
      </w:tblGrid>
      <w:tr w:rsidR="00C50ABC" w:rsidRPr="00F842B5" w14:paraId="03B6EB44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BDD6EE" w:themeFill="accent1" w:themeFillTint="66"/>
            <w:noWrap/>
            <w:hideMark/>
          </w:tcPr>
          <w:p w14:paraId="71958813" w14:textId="26010B08" w:rsidR="00C50ABC" w:rsidRPr="00F842B5" w:rsidRDefault="00C50ABC" w:rsidP="00AF53F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Expected labor indicators in 202</w:t>
            </w:r>
            <w:r w:rsidR="00E40F71"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  <w:r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, compared to 202</w:t>
            </w:r>
            <w:r w:rsidR="00E40F71"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  <w:r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02" w:type="dxa"/>
            <w:shd w:val="clear" w:color="auto" w:fill="BDD6EE" w:themeFill="accent1" w:themeFillTint="66"/>
            <w:noWrap/>
            <w:hideMark/>
          </w:tcPr>
          <w:p w14:paraId="10922D67" w14:textId="77777777" w:rsidR="00C50ABC" w:rsidRPr="00F842B5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Decrease</w:t>
            </w:r>
          </w:p>
        </w:tc>
        <w:tc>
          <w:tcPr>
            <w:tcW w:w="1334" w:type="dxa"/>
            <w:shd w:val="clear" w:color="auto" w:fill="BDD6EE" w:themeFill="accent1" w:themeFillTint="66"/>
            <w:noWrap/>
            <w:hideMark/>
          </w:tcPr>
          <w:p w14:paraId="52E47C7E" w14:textId="6430CD1B" w:rsidR="00C50ABC" w:rsidRPr="00F842B5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  <w:r w:rsidR="0046490E"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0" w:type="dxa"/>
            <w:shd w:val="clear" w:color="auto" w:fill="BDD6EE" w:themeFill="accent1" w:themeFillTint="66"/>
            <w:noWrap/>
            <w:hideMark/>
          </w:tcPr>
          <w:p w14:paraId="2288D0D5" w14:textId="77777777" w:rsidR="00C50ABC" w:rsidRPr="00F842B5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1-2%</w:t>
            </w:r>
          </w:p>
        </w:tc>
        <w:tc>
          <w:tcPr>
            <w:tcW w:w="1350" w:type="dxa"/>
            <w:shd w:val="clear" w:color="auto" w:fill="BDD6EE" w:themeFill="accent1" w:themeFillTint="66"/>
            <w:noWrap/>
            <w:hideMark/>
          </w:tcPr>
          <w:p w14:paraId="75C033CC" w14:textId="77777777" w:rsidR="00C50ABC" w:rsidRPr="00F842B5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3-5%</w:t>
            </w:r>
          </w:p>
        </w:tc>
        <w:tc>
          <w:tcPr>
            <w:tcW w:w="1350" w:type="dxa"/>
            <w:shd w:val="clear" w:color="auto" w:fill="BDD6EE" w:themeFill="accent1" w:themeFillTint="66"/>
            <w:noWrap/>
            <w:hideMark/>
          </w:tcPr>
          <w:p w14:paraId="699010B1" w14:textId="77777777" w:rsidR="00C50ABC" w:rsidRPr="00F842B5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6-9%</w:t>
            </w:r>
          </w:p>
        </w:tc>
        <w:tc>
          <w:tcPr>
            <w:tcW w:w="1629" w:type="dxa"/>
            <w:shd w:val="clear" w:color="auto" w:fill="BDD6EE" w:themeFill="accent1" w:themeFillTint="66"/>
            <w:noWrap/>
            <w:hideMark/>
          </w:tcPr>
          <w:p w14:paraId="56DD529B" w14:textId="77777777" w:rsidR="00C50ABC" w:rsidRPr="00F842B5" w:rsidRDefault="00C50ABC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color w:val="000000"/>
                <w:sz w:val="18"/>
                <w:szCs w:val="18"/>
              </w:rPr>
              <w:t>&gt;10%</w:t>
            </w:r>
          </w:p>
        </w:tc>
      </w:tr>
      <w:tr w:rsidR="00C50ABC" w:rsidRPr="00F842B5" w14:paraId="0C33A105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14:paraId="1B6C32D9" w14:textId="77777777" w:rsidR="00C50ABC" w:rsidRPr="00F842B5" w:rsidRDefault="00C50ABC" w:rsidP="00AF53F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color w:val="000000"/>
                <w:sz w:val="18"/>
                <w:szCs w:val="18"/>
              </w:rPr>
              <w:t>Wages per worker</w:t>
            </w:r>
          </w:p>
        </w:tc>
        <w:tc>
          <w:tcPr>
            <w:tcW w:w="902" w:type="dxa"/>
            <w:noWrap/>
            <w:hideMark/>
          </w:tcPr>
          <w:p w14:paraId="20E76994" w14:textId="463D81E2" w:rsidR="00C50ABC" w:rsidRPr="00F842B5" w:rsidRDefault="00DC7F57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3</w:t>
            </w:r>
            <w:r w:rsidR="00C50ABC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  <w:tc>
          <w:tcPr>
            <w:tcW w:w="1334" w:type="dxa"/>
            <w:noWrap/>
            <w:hideMark/>
          </w:tcPr>
          <w:p w14:paraId="68CA15D3" w14:textId="3767B866" w:rsidR="00C50ABC" w:rsidRPr="00F842B5" w:rsidRDefault="00DC7F57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12</w:t>
            </w:r>
            <w:r w:rsidR="00C50ABC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2BB42F4C" w14:textId="789EE432" w:rsidR="00C50ABC" w:rsidRPr="00F842B5" w:rsidRDefault="00DC7F57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22</w:t>
            </w:r>
            <w:r w:rsidR="00C50ABC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3A8742D0" w14:textId="17565FF0" w:rsidR="00C50ABC" w:rsidRPr="00F842B5" w:rsidRDefault="00DC7F57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54</w:t>
            </w:r>
            <w:r w:rsidR="00C50ABC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721AF4FC" w14:textId="67AB3D79" w:rsidR="00C50ABC" w:rsidRPr="00F842B5" w:rsidRDefault="00DC7F57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8</w:t>
            </w:r>
            <w:r w:rsidR="00C50ABC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  <w:tc>
          <w:tcPr>
            <w:tcW w:w="1629" w:type="dxa"/>
            <w:noWrap/>
            <w:hideMark/>
          </w:tcPr>
          <w:p w14:paraId="0F355612" w14:textId="2F624025" w:rsidR="00C50ABC" w:rsidRPr="00F842B5" w:rsidRDefault="00DC7F57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1</w:t>
            </w:r>
            <w:r w:rsidR="00C50ABC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</w:tr>
      <w:tr w:rsidR="00C50ABC" w:rsidRPr="00F842B5" w14:paraId="5FC86306" w14:textId="77777777" w:rsidTr="00217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noWrap/>
            <w:hideMark/>
          </w:tcPr>
          <w:p w14:paraId="33B5044D" w14:textId="77777777" w:rsidR="00C50ABC" w:rsidRPr="00F842B5" w:rsidRDefault="00C50ABC" w:rsidP="00AF53F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color w:val="000000"/>
                <w:sz w:val="18"/>
                <w:szCs w:val="18"/>
              </w:rPr>
              <w:t>Benefits per worker</w:t>
            </w:r>
          </w:p>
        </w:tc>
        <w:tc>
          <w:tcPr>
            <w:tcW w:w="902" w:type="dxa"/>
            <w:noWrap/>
            <w:hideMark/>
          </w:tcPr>
          <w:p w14:paraId="4272BC63" w14:textId="6743A893" w:rsidR="00C50ABC" w:rsidRPr="00F842B5" w:rsidRDefault="00DC7F57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3</w:t>
            </w:r>
            <w:r w:rsidR="00C50ABC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  <w:tc>
          <w:tcPr>
            <w:tcW w:w="1334" w:type="dxa"/>
            <w:noWrap/>
            <w:hideMark/>
          </w:tcPr>
          <w:p w14:paraId="46B20791" w14:textId="07C9AD99" w:rsidR="00C50ABC" w:rsidRPr="00F842B5" w:rsidRDefault="00DC7F57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27</w:t>
            </w:r>
            <w:r w:rsidR="00C50ABC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36D92B34" w14:textId="56B33AB7" w:rsidR="00C50ABC" w:rsidRPr="00F842B5" w:rsidRDefault="00DC7F57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17</w:t>
            </w:r>
            <w:r w:rsidR="00C50ABC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445B4873" w14:textId="1DB1B313" w:rsidR="00C50ABC" w:rsidRPr="00F842B5" w:rsidRDefault="00DC7F57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34</w:t>
            </w:r>
            <w:r w:rsidR="00C50ABC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7CF74674" w14:textId="5109F5CF" w:rsidR="00C50ABC" w:rsidRPr="00F842B5" w:rsidRDefault="00DC7F57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13</w:t>
            </w:r>
            <w:r w:rsidR="00C50ABC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  <w:tc>
          <w:tcPr>
            <w:tcW w:w="1629" w:type="dxa"/>
            <w:noWrap/>
            <w:hideMark/>
          </w:tcPr>
          <w:p w14:paraId="3556D8D0" w14:textId="0627EDC1" w:rsidR="00C50ABC" w:rsidRPr="00F842B5" w:rsidRDefault="00DC7F57" w:rsidP="00AF53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F842B5">
              <w:rPr>
                <w:rFonts w:eastAsia="Times New Roman" w:cstheme="minorHAnsi"/>
                <w:b w:val="0"/>
                <w:sz w:val="18"/>
                <w:szCs w:val="18"/>
              </w:rPr>
              <w:t>6</w:t>
            </w:r>
            <w:r w:rsidR="00C50ABC" w:rsidRPr="00F842B5">
              <w:rPr>
                <w:rFonts w:eastAsia="Times New Roman" w:cstheme="minorHAnsi"/>
                <w:b w:val="0"/>
                <w:sz w:val="18"/>
                <w:szCs w:val="18"/>
              </w:rPr>
              <w:t>%</w:t>
            </w:r>
          </w:p>
        </w:tc>
      </w:tr>
    </w:tbl>
    <w:p w14:paraId="129B799F" w14:textId="3DAAF2E1" w:rsidR="00C50ABC" w:rsidRPr="00DF526E" w:rsidRDefault="00C50ABC" w:rsidP="00DF526E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PlainTable5"/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  <w:tblCaption w:val="Business Comparison Indicators: 2014-2015"/>
        <w:tblDescription w:val="Table coparing business indicators between 2014 and 2015."/>
      </w:tblPr>
      <w:tblGrid>
        <w:gridCol w:w="3865"/>
        <w:gridCol w:w="1388"/>
        <w:gridCol w:w="1388"/>
        <w:gridCol w:w="1388"/>
        <w:gridCol w:w="1388"/>
        <w:gridCol w:w="1388"/>
      </w:tblGrid>
      <w:tr w:rsidR="00F7064F" w:rsidRPr="00F842B5" w14:paraId="144EEAC0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65" w:type="dxa"/>
            <w:shd w:val="clear" w:color="auto" w:fill="BDD6EE" w:themeFill="accent1" w:themeFillTint="66"/>
            <w:noWrap/>
            <w:hideMark/>
          </w:tcPr>
          <w:p w14:paraId="701FF91E" w14:textId="54C6B35D" w:rsidR="00F7064F" w:rsidRPr="00F842B5" w:rsidRDefault="00F7064F" w:rsidP="00C7708C">
            <w:pPr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  <w:t>What is your outlook on the following state economic indicators next year:</w:t>
            </w:r>
          </w:p>
        </w:tc>
        <w:tc>
          <w:tcPr>
            <w:tcW w:w="1388" w:type="dxa"/>
            <w:shd w:val="clear" w:color="auto" w:fill="BDD6EE" w:themeFill="accent1" w:themeFillTint="66"/>
            <w:noWrap/>
            <w:hideMark/>
          </w:tcPr>
          <w:p w14:paraId="15A4F84D" w14:textId="77777777" w:rsidR="00F7064F" w:rsidRPr="00F842B5" w:rsidRDefault="00F7064F" w:rsidP="00C770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  <w:t>Up</w:t>
            </w:r>
          </w:p>
        </w:tc>
        <w:tc>
          <w:tcPr>
            <w:tcW w:w="1388" w:type="dxa"/>
            <w:shd w:val="clear" w:color="auto" w:fill="BDD6EE" w:themeFill="accent1" w:themeFillTint="66"/>
            <w:noWrap/>
            <w:hideMark/>
          </w:tcPr>
          <w:p w14:paraId="74D653F2" w14:textId="77777777" w:rsidR="00F7064F" w:rsidRPr="00F842B5" w:rsidRDefault="00F7064F" w:rsidP="00C770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  <w:t>Same</w:t>
            </w:r>
          </w:p>
        </w:tc>
        <w:tc>
          <w:tcPr>
            <w:tcW w:w="1388" w:type="dxa"/>
            <w:shd w:val="clear" w:color="auto" w:fill="BDD6EE" w:themeFill="accent1" w:themeFillTint="66"/>
            <w:noWrap/>
            <w:hideMark/>
          </w:tcPr>
          <w:p w14:paraId="5D5F7109" w14:textId="36479AD4" w:rsidR="00F7064F" w:rsidRPr="00F842B5" w:rsidRDefault="00F7064F" w:rsidP="00C770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1388" w:type="dxa"/>
            <w:shd w:val="clear" w:color="auto" w:fill="BDD6EE" w:themeFill="accent1" w:themeFillTint="66"/>
          </w:tcPr>
          <w:p w14:paraId="31804581" w14:textId="495413D7" w:rsidR="00F7064F" w:rsidRPr="00F842B5" w:rsidRDefault="00F7064F" w:rsidP="00C770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sz w:val="18"/>
                <w:szCs w:val="18"/>
              </w:rPr>
              <w:t>Diffusion Index 2023</w:t>
            </w:r>
            <w:r w:rsidRPr="00F842B5"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88" w:type="dxa"/>
            <w:shd w:val="clear" w:color="auto" w:fill="BDD6EE" w:themeFill="accent1" w:themeFillTint="66"/>
          </w:tcPr>
          <w:p w14:paraId="340E9718" w14:textId="7BE9BB8D" w:rsidR="00F7064F" w:rsidRPr="00F842B5" w:rsidRDefault="00F7064F" w:rsidP="00C7708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  <w:color w:val="000000"/>
                <w:sz w:val="18"/>
                <w:szCs w:val="18"/>
              </w:rPr>
              <w:t>Diffusion Index 2022</w:t>
            </w:r>
            <w:r w:rsidRPr="00F842B5">
              <w:rPr>
                <w:rFonts w:asciiTheme="minorHAnsi" w:eastAsia="Times New Roman" w:hAnsiTheme="minorHAnsi" w:cstheme="minorHAnsi"/>
                <w:b/>
                <w:bCs/>
                <w:i w:val="0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F7064F" w:rsidRPr="00F842B5" w14:paraId="0B7A71D1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65" w:type="dxa"/>
            <w:noWrap/>
            <w:hideMark/>
          </w:tcPr>
          <w:p w14:paraId="32907C20" w14:textId="0C291889" w:rsidR="00F7064F" w:rsidRPr="00F842B5" w:rsidRDefault="00F7064F" w:rsidP="00C7708C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Business investment</w:t>
            </w:r>
          </w:p>
        </w:tc>
        <w:tc>
          <w:tcPr>
            <w:tcW w:w="1388" w:type="dxa"/>
            <w:noWrap/>
            <w:hideMark/>
          </w:tcPr>
          <w:p w14:paraId="6BF6B030" w14:textId="159677FD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16%</w:t>
            </w:r>
          </w:p>
        </w:tc>
        <w:tc>
          <w:tcPr>
            <w:tcW w:w="1388" w:type="dxa"/>
            <w:noWrap/>
            <w:hideMark/>
          </w:tcPr>
          <w:p w14:paraId="71D21619" w14:textId="512FE69F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48%</w:t>
            </w:r>
          </w:p>
        </w:tc>
        <w:tc>
          <w:tcPr>
            <w:tcW w:w="1388" w:type="dxa"/>
            <w:noWrap/>
            <w:hideMark/>
          </w:tcPr>
          <w:p w14:paraId="23A6B63E" w14:textId="1D57E296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36%</w:t>
            </w:r>
          </w:p>
        </w:tc>
        <w:tc>
          <w:tcPr>
            <w:tcW w:w="1388" w:type="dxa"/>
          </w:tcPr>
          <w:p w14:paraId="4DAA376C" w14:textId="3CE5DFB6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40</w:t>
            </w:r>
          </w:p>
        </w:tc>
        <w:tc>
          <w:tcPr>
            <w:tcW w:w="1388" w:type="dxa"/>
          </w:tcPr>
          <w:p w14:paraId="2FD76E89" w14:textId="426450B8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44</w:t>
            </w:r>
          </w:p>
        </w:tc>
      </w:tr>
      <w:tr w:rsidR="00F7064F" w:rsidRPr="00F842B5" w14:paraId="1B168122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65" w:type="dxa"/>
            <w:noWrap/>
            <w:hideMark/>
          </w:tcPr>
          <w:p w14:paraId="736D13E6" w14:textId="3E8CCD22" w:rsidR="00F7064F" w:rsidRPr="00F842B5" w:rsidRDefault="00F7064F" w:rsidP="00C7708C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Employment</w:t>
            </w:r>
          </w:p>
        </w:tc>
        <w:tc>
          <w:tcPr>
            <w:tcW w:w="1388" w:type="dxa"/>
            <w:noWrap/>
            <w:hideMark/>
          </w:tcPr>
          <w:p w14:paraId="3AA14881" w14:textId="51E300AE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16%</w:t>
            </w:r>
          </w:p>
        </w:tc>
        <w:tc>
          <w:tcPr>
            <w:tcW w:w="1388" w:type="dxa"/>
            <w:noWrap/>
            <w:hideMark/>
          </w:tcPr>
          <w:p w14:paraId="586750B5" w14:textId="2117A358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52%</w:t>
            </w:r>
          </w:p>
        </w:tc>
        <w:tc>
          <w:tcPr>
            <w:tcW w:w="1388" w:type="dxa"/>
            <w:noWrap/>
            <w:hideMark/>
          </w:tcPr>
          <w:p w14:paraId="0E901369" w14:textId="5C759B86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32%</w:t>
            </w:r>
          </w:p>
        </w:tc>
        <w:tc>
          <w:tcPr>
            <w:tcW w:w="1388" w:type="dxa"/>
          </w:tcPr>
          <w:p w14:paraId="48456CF3" w14:textId="6F1BF057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42</w:t>
            </w:r>
          </w:p>
        </w:tc>
        <w:tc>
          <w:tcPr>
            <w:tcW w:w="1388" w:type="dxa"/>
          </w:tcPr>
          <w:p w14:paraId="16C6E736" w14:textId="1D796DD9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47</w:t>
            </w:r>
          </w:p>
        </w:tc>
      </w:tr>
      <w:tr w:rsidR="00F7064F" w:rsidRPr="00F842B5" w14:paraId="6FFD5DF3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65" w:type="dxa"/>
            <w:noWrap/>
            <w:hideMark/>
          </w:tcPr>
          <w:p w14:paraId="4964B378" w14:textId="6C142D71" w:rsidR="00F7064F" w:rsidRPr="00F842B5" w:rsidRDefault="00F7064F" w:rsidP="00C7708C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Consumer spending</w:t>
            </w:r>
          </w:p>
        </w:tc>
        <w:tc>
          <w:tcPr>
            <w:tcW w:w="1388" w:type="dxa"/>
            <w:noWrap/>
            <w:hideMark/>
          </w:tcPr>
          <w:p w14:paraId="3745CC53" w14:textId="1DE0376A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8%</w:t>
            </w:r>
          </w:p>
        </w:tc>
        <w:tc>
          <w:tcPr>
            <w:tcW w:w="1388" w:type="dxa"/>
            <w:noWrap/>
            <w:hideMark/>
          </w:tcPr>
          <w:p w14:paraId="0BBC5BCE" w14:textId="393666C5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42%</w:t>
            </w:r>
          </w:p>
        </w:tc>
        <w:tc>
          <w:tcPr>
            <w:tcW w:w="1388" w:type="dxa"/>
            <w:noWrap/>
            <w:hideMark/>
          </w:tcPr>
          <w:p w14:paraId="541AA488" w14:textId="74372E16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50%</w:t>
            </w:r>
          </w:p>
        </w:tc>
        <w:tc>
          <w:tcPr>
            <w:tcW w:w="1388" w:type="dxa"/>
          </w:tcPr>
          <w:p w14:paraId="1D26E62D" w14:textId="280A1B80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29</w:t>
            </w:r>
          </w:p>
        </w:tc>
        <w:tc>
          <w:tcPr>
            <w:tcW w:w="1388" w:type="dxa"/>
          </w:tcPr>
          <w:p w14:paraId="1E33E8D6" w14:textId="5677F0DA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31</w:t>
            </w:r>
          </w:p>
        </w:tc>
      </w:tr>
      <w:tr w:rsidR="00F7064F" w:rsidRPr="00F842B5" w14:paraId="6DB09DA5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65" w:type="dxa"/>
            <w:noWrap/>
            <w:hideMark/>
          </w:tcPr>
          <w:p w14:paraId="660A28EA" w14:textId="5DACDED2" w:rsidR="00F7064F" w:rsidRPr="00F842B5" w:rsidRDefault="00F7064F" w:rsidP="00C7708C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Inflation</w:t>
            </w:r>
          </w:p>
        </w:tc>
        <w:tc>
          <w:tcPr>
            <w:tcW w:w="1388" w:type="dxa"/>
            <w:noWrap/>
            <w:hideMark/>
          </w:tcPr>
          <w:p w14:paraId="2ED079BE" w14:textId="5B37E4A6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52%</w:t>
            </w:r>
          </w:p>
        </w:tc>
        <w:tc>
          <w:tcPr>
            <w:tcW w:w="1388" w:type="dxa"/>
            <w:noWrap/>
            <w:hideMark/>
          </w:tcPr>
          <w:p w14:paraId="0EDB349C" w14:textId="62B944A1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32%</w:t>
            </w:r>
          </w:p>
        </w:tc>
        <w:tc>
          <w:tcPr>
            <w:tcW w:w="1388" w:type="dxa"/>
            <w:noWrap/>
            <w:hideMark/>
          </w:tcPr>
          <w:p w14:paraId="0A7DFC33" w14:textId="7E970C62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16%</w:t>
            </w:r>
          </w:p>
        </w:tc>
        <w:tc>
          <w:tcPr>
            <w:tcW w:w="1388" w:type="dxa"/>
          </w:tcPr>
          <w:p w14:paraId="1E40D47F" w14:textId="6A6409B4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68</w:t>
            </w:r>
          </w:p>
        </w:tc>
        <w:tc>
          <w:tcPr>
            <w:tcW w:w="1388" w:type="dxa"/>
          </w:tcPr>
          <w:p w14:paraId="4517FB8B" w14:textId="525FBEED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82</w:t>
            </w:r>
          </w:p>
        </w:tc>
      </w:tr>
      <w:tr w:rsidR="00F7064F" w:rsidRPr="00F842B5" w14:paraId="4BED9D0E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65" w:type="dxa"/>
            <w:noWrap/>
          </w:tcPr>
          <w:p w14:paraId="62E54C0B" w14:textId="261D6A0E" w:rsidR="00F7064F" w:rsidRPr="00F842B5" w:rsidRDefault="00F7064F" w:rsidP="00C7708C">
            <w:pPr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Economic Growth</w:t>
            </w:r>
          </w:p>
        </w:tc>
        <w:tc>
          <w:tcPr>
            <w:tcW w:w="1388" w:type="dxa"/>
            <w:noWrap/>
          </w:tcPr>
          <w:p w14:paraId="11A31A57" w14:textId="6F7E001E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10%</w:t>
            </w:r>
          </w:p>
        </w:tc>
        <w:tc>
          <w:tcPr>
            <w:tcW w:w="1388" w:type="dxa"/>
            <w:noWrap/>
          </w:tcPr>
          <w:p w14:paraId="39363500" w14:textId="34EBA9CB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45%</w:t>
            </w:r>
          </w:p>
        </w:tc>
        <w:tc>
          <w:tcPr>
            <w:tcW w:w="1388" w:type="dxa"/>
            <w:noWrap/>
          </w:tcPr>
          <w:p w14:paraId="6F9C2015" w14:textId="05DC132B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45%</w:t>
            </w:r>
          </w:p>
        </w:tc>
        <w:tc>
          <w:tcPr>
            <w:tcW w:w="1388" w:type="dxa"/>
          </w:tcPr>
          <w:p w14:paraId="5387B2B9" w14:textId="0BD606E9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33</w:t>
            </w:r>
          </w:p>
        </w:tc>
        <w:tc>
          <w:tcPr>
            <w:tcW w:w="1388" w:type="dxa"/>
          </w:tcPr>
          <w:p w14:paraId="30A5EE65" w14:textId="2CD3DB68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-</w:t>
            </w:r>
          </w:p>
        </w:tc>
      </w:tr>
      <w:tr w:rsidR="00F7064F" w:rsidRPr="00F842B5" w14:paraId="7DA6B354" w14:textId="77777777" w:rsidTr="00F7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  <w:jc w:val="center"/>
        </w:trPr>
        <w:tc>
          <w:tcPr>
            <w:tcW w:w="3865" w:type="dxa"/>
            <w:noWrap/>
            <w:hideMark/>
          </w:tcPr>
          <w:p w14:paraId="2B9CB535" w14:textId="6E8951F1" w:rsidR="00F7064F" w:rsidRPr="00F842B5" w:rsidRDefault="00F7064F" w:rsidP="00C7708C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Corporate profits</w:t>
            </w:r>
          </w:p>
        </w:tc>
        <w:tc>
          <w:tcPr>
            <w:tcW w:w="1388" w:type="dxa"/>
            <w:noWrap/>
            <w:hideMark/>
          </w:tcPr>
          <w:p w14:paraId="35E08C3E" w14:textId="00255993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13%</w:t>
            </w:r>
          </w:p>
        </w:tc>
        <w:tc>
          <w:tcPr>
            <w:tcW w:w="1388" w:type="dxa"/>
            <w:noWrap/>
            <w:hideMark/>
          </w:tcPr>
          <w:p w14:paraId="02710623" w14:textId="34E6029F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43%</w:t>
            </w:r>
          </w:p>
        </w:tc>
        <w:tc>
          <w:tcPr>
            <w:tcW w:w="1388" w:type="dxa"/>
            <w:noWrap/>
            <w:hideMark/>
          </w:tcPr>
          <w:p w14:paraId="45051780" w14:textId="3C73306F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44%</w:t>
            </w:r>
          </w:p>
        </w:tc>
        <w:tc>
          <w:tcPr>
            <w:tcW w:w="1388" w:type="dxa"/>
          </w:tcPr>
          <w:p w14:paraId="6F635879" w14:textId="22B37FBB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35</w:t>
            </w:r>
          </w:p>
        </w:tc>
        <w:tc>
          <w:tcPr>
            <w:tcW w:w="1388" w:type="dxa"/>
          </w:tcPr>
          <w:p w14:paraId="6141569C" w14:textId="3E2C5ADF" w:rsidR="00F7064F" w:rsidRPr="00F842B5" w:rsidRDefault="00F7064F" w:rsidP="00110EBA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iCs w:val="0"/>
                <w:sz w:val="18"/>
                <w:szCs w:val="18"/>
              </w:rPr>
              <w:t>33</w:t>
            </w:r>
          </w:p>
        </w:tc>
      </w:tr>
    </w:tbl>
    <w:p w14:paraId="2830D502" w14:textId="0650BD04" w:rsidR="00EE216E" w:rsidRPr="00F30929" w:rsidRDefault="00DF526E" w:rsidP="00EE216E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>
        <w:rPr>
          <w:rFonts w:cstheme="minorHAnsi"/>
          <w:sz w:val="16"/>
          <w:szCs w:val="16"/>
        </w:rPr>
        <w:br/>
      </w:r>
      <w:r w:rsidR="00EE216E" w:rsidRPr="00F30929">
        <w:rPr>
          <w:rFonts w:cstheme="minorHAnsi"/>
          <w:sz w:val="16"/>
          <w:szCs w:val="16"/>
        </w:rPr>
        <w:t xml:space="preserve">*A diffusion index greater than 50 indicates expansion, lower than 50 indicates contraction. </w:t>
      </w:r>
      <w:r w:rsidR="00EE216E" w:rsidRPr="00F30929">
        <w:rPr>
          <w:rFonts w:cstheme="minorHAnsi"/>
          <w:sz w:val="16"/>
          <w:szCs w:val="16"/>
        </w:rPr>
        <w:br/>
      </w:r>
    </w:p>
    <w:p w14:paraId="62FC1588" w14:textId="299CFADD" w:rsidR="00B90819" w:rsidRPr="00F842B5" w:rsidRDefault="008E0A05" w:rsidP="00082B96">
      <w:pPr>
        <w:spacing w:before="120" w:after="120" w:line="240" w:lineRule="auto"/>
        <w:rPr>
          <w:rFonts w:cstheme="minorHAnsi"/>
          <w:i/>
          <w:iCs/>
          <w:color w:val="2E74B5" w:themeColor="accent1" w:themeShade="BF"/>
        </w:rPr>
      </w:pPr>
      <w:r>
        <w:rPr>
          <w:rFonts w:cstheme="minorHAnsi"/>
          <w:i/>
          <w:iCs/>
          <w:color w:val="2E74B5" w:themeColor="accent1" w:themeShade="BF"/>
        </w:rPr>
        <w:br/>
      </w:r>
      <w:r w:rsidR="00DF526E">
        <w:rPr>
          <w:rFonts w:cstheme="minorHAnsi"/>
          <w:i/>
          <w:iCs/>
          <w:color w:val="2E74B5" w:themeColor="accent1" w:themeShade="BF"/>
        </w:rPr>
        <w:br/>
      </w:r>
      <w:r w:rsidR="00DF526E">
        <w:rPr>
          <w:rFonts w:cstheme="minorHAnsi"/>
          <w:i/>
          <w:iCs/>
          <w:color w:val="2E74B5" w:themeColor="accent1" w:themeShade="BF"/>
        </w:rPr>
        <w:br/>
      </w:r>
      <w:r w:rsidR="00DF526E">
        <w:rPr>
          <w:rFonts w:cstheme="minorHAnsi"/>
          <w:i/>
          <w:iCs/>
          <w:color w:val="2E74B5" w:themeColor="accent1" w:themeShade="BF"/>
        </w:rPr>
        <w:br/>
      </w:r>
      <w:r w:rsidR="00082B96" w:rsidRPr="00F842B5">
        <w:rPr>
          <w:rFonts w:cstheme="minorHAnsi"/>
          <w:i/>
          <w:iCs/>
          <w:color w:val="2E74B5" w:themeColor="accent1" w:themeShade="BF"/>
        </w:rPr>
        <w:t>(Continuation)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80"/>
        <w:gridCol w:w="911"/>
        <w:gridCol w:w="911"/>
        <w:gridCol w:w="911"/>
        <w:gridCol w:w="1272"/>
      </w:tblGrid>
      <w:tr w:rsidR="00110EBA" w:rsidRPr="00F842B5" w14:paraId="709669C8" w14:textId="15A1DF27" w:rsidTr="00F7064F">
        <w:trPr>
          <w:trHeight w:val="251"/>
        </w:trPr>
        <w:tc>
          <w:tcPr>
            <w:tcW w:w="32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57FFE7D" w14:textId="26F5BA71" w:rsidR="00110EBA" w:rsidRPr="00F842B5" w:rsidRDefault="00110EBA" w:rsidP="002178EF">
            <w:pPr>
              <w:spacing w:before="120" w:line="12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842B5">
              <w:rPr>
                <w:rFonts w:cstheme="minorHAnsi"/>
                <w:b/>
                <w:bCs/>
                <w:sz w:val="18"/>
                <w:szCs w:val="18"/>
              </w:rPr>
              <w:t>Expected impact of current interest rates</w:t>
            </w: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A52ABD2" w14:textId="7954E973" w:rsidR="00110EBA" w:rsidRPr="00F842B5" w:rsidRDefault="00110EBA" w:rsidP="00110EBA">
            <w:pPr>
              <w:spacing w:before="120" w:line="120" w:lineRule="auto"/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F842B5">
              <w:rPr>
                <w:rFonts w:cstheme="minorHAnsi"/>
                <w:b/>
                <w:bCs/>
                <w:sz w:val="18"/>
                <w:szCs w:val="18"/>
                <w:u w:val="single"/>
              </w:rPr>
              <w:t>Up</w:t>
            </w: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2B344B3F" w14:textId="51578FB9" w:rsidR="00110EBA" w:rsidRPr="00F842B5" w:rsidRDefault="00110EBA" w:rsidP="00110EBA">
            <w:pPr>
              <w:spacing w:before="120" w:line="120" w:lineRule="auto"/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F842B5">
              <w:rPr>
                <w:rFonts w:cstheme="minorHAnsi"/>
                <w:b/>
                <w:bCs/>
                <w:sz w:val="18"/>
                <w:szCs w:val="18"/>
                <w:u w:val="single"/>
              </w:rPr>
              <w:t>Same</w:t>
            </w:r>
          </w:p>
        </w:tc>
        <w:tc>
          <w:tcPr>
            <w:tcW w:w="9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371C5952" w14:textId="6086906B" w:rsidR="00110EBA" w:rsidRPr="00F842B5" w:rsidRDefault="00110EBA" w:rsidP="00110EBA">
            <w:pPr>
              <w:spacing w:before="120" w:line="120" w:lineRule="auto"/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F842B5">
              <w:rPr>
                <w:rFonts w:cstheme="minorHAnsi"/>
                <w:b/>
                <w:bCs/>
                <w:sz w:val="18"/>
                <w:szCs w:val="18"/>
                <w:u w:val="single"/>
              </w:rPr>
              <w:t>Down</w:t>
            </w:r>
          </w:p>
        </w:tc>
        <w:tc>
          <w:tcPr>
            <w:tcW w:w="127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FA8905" w14:textId="785878B6" w:rsidR="00110EBA" w:rsidRPr="00F842B5" w:rsidRDefault="00110EBA" w:rsidP="00110EBA">
            <w:pPr>
              <w:spacing w:before="120" w:line="120" w:lineRule="auto"/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F842B5">
              <w:rPr>
                <w:rFonts w:cstheme="minorHAnsi"/>
                <w:b/>
                <w:bCs/>
                <w:sz w:val="18"/>
                <w:szCs w:val="18"/>
                <w:u w:val="single"/>
              </w:rPr>
              <w:t>Diffusion</w:t>
            </w:r>
          </w:p>
        </w:tc>
      </w:tr>
      <w:tr w:rsidR="00110EBA" w:rsidRPr="00F842B5" w14:paraId="54AFEF13" w14:textId="77777777" w:rsidTr="00F7064F">
        <w:trPr>
          <w:trHeight w:val="260"/>
        </w:trPr>
        <w:tc>
          <w:tcPr>
            <w:tcW w:w="3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812377F" w14:textId="3CEBE8F7" w:rsidR="00110EBA" w:rsidRPr="00F842B5" w:rsidRDefault="00110EBA" w:rsidP="002178EF">
            <w:pPr>
              <w:spacing w:before="120" w:line="12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F842B5">
              <w:rPr>
                <w:rFonts w:cstheme="minorHAnsi"/>
                <w:b/>
                <w:bCs/>
                <w:sz w:val="18"/>
                <w:szCs w:val="18"/>
              </w:rPr>
              <w:t>on your businesses in 2024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DE7D7F4" w14:textId="5F2A6AED" w:rsidR="00110EBA" w:rsidRPr="00F842B5" w:rsidRDefault="00110EBA" w:rsidP="00110EBA">
            <w:pPr>
              <w:spacing w:before="120" w:line="120" w:lineRule="auto"/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2549D28" w14:textId="215B945E" w:rsidR="00110EBA" w:rsidRPr="00F842B5" w:rsidRDefault="00110EBA" w:rsidP="00110EBA">
            <w:pPr>
              <w:spacing w:before="120" w:line="120" w:lineRule="auto"/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31DE87E" w14:textId="1373E78C" w:rsidR="00110EBA" w:rsidRPr="00F842B5" w:rsidRDefault="00110EBA" w:rsidP="00110EBA">
            <w:pPr>
              <w:spacing w:before="120" w:line="120" w:lineRule="auto"/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6CDEE5" w14:textId="2B18507E" w:rsidR="00110EBA" w:rsidRPr="00F842B5" w:rsidRDefault="00110EBA" w:rsidP="00110EBA">
            <w:pPr>
              <w:spacing w:before="120" w:line="120" w:lineRule="auto"/>
              <w:jc w:val="center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F842B5">
              <w:rPr>
                <w:rFonts w:cstheme="minorHAnsi"/>
                <w:b/>
                <w:bCs/>
                <w:sz w:val="18"/>
                <w:szCs w:val="18"/>
                <w:u w:val="single"/>
              </w:rPr>
              <w:t>Index 2023</w:t>
            </w:r>
            <w:r w:rsidR="00383319" w:rsidRPr="00F842B5">
              <w:rPr>
                <w:rFonts w:cstheme="minorHAnsi"/>
                <w:b/>
                <w:bCs/>
                <w:sz w:val="18"/>
                <w:szCs w:val="18"/>
                <w:u w:val="single"/>
              </w:rPr>
              <w:t>*</w:t>
            </w:r>
          </w:p>
        </w:tc>
      </w:tr>
      <w:tr w:rsidR="00110EBA" w:rsidRPr="00F842B5" w14:paraId="187B8560" w14:textId="0F678B51" w:rsidTr="00F7064F">
        <w:trPr>
          <w:trHeight w:val="247"/>
        </w:trPr>
        <w:tc>
          <w:tcPr>
            <w:tcW w:w="3280" w:type="dxa"/>
            <w:noWrap/>
            <w:vAlign w:val="center"/>
          </w:tcPr>
          <w:p w14:paraId="55651D55" w14:textId="79E346E6" w:rsidR="00110EBA" w:rsidRPr="00F842B5" w:rsidRDefault="00BE7D37" w:rsidP="002178EF">
            <w:pPr>
              <w:spacing w:before="120" w:line="120" w:lineRule="auto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Capital investment</w:t>
            </w:r>
          </w:p>
        </w:tc>
        <w:tc>
          <w:tcPr>
            <w:tcW w:w="911" w:type="dxa"/>
            <w:noWrap/>
            <w:vAlign w:val="center"/>
          </w:tcPr>
          <w:p w14:paraId="23233380" w14:textId="04F63392" w:rsidR="00110EBA" w:rsidRPr="00F842B5" w:rsidRDefault="00414477" w:rsidP="00E30A4D">
            <w:pPr>
              <w:spacing w:before="12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7%</w:t>
            </w:r>
          </w:p>
        </w:tc>
        <w:tc>
          <w:tcPr>
            <w:tcW w:w="911" w:type="dxa"/>
          </w:tcPr>
          <w:p w14:paraId="39CEA2BB" w14:textId="4F49A81A" w:rsidR="00110EBA" w:rsidRPr="00F842B5" w:rsidRDefault="00414477" w:rsidP="00E30A4D">
            <w:pPr>
              <w:spacing w:before="12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42%</w:t>
            </w:r>
          </w:p>
        </w:tc>
        <w:tc>
          <w:tcPr>
            <w:tcW w:w="911" w:type="dxa"/>
          </w:tcPr>
          <w:p w14:paraId="45B7E975" w14:textId="70E42B5E" w:rsidR="00110EBA" w:rsidRPr="00F842B5" w:rsidRDefault="00414477" w:rsidP="00E30A4D">
            <w:pPr>
              <w:spacing w:before="12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51%</w:t>
            </w:r>
          </w:p>
        </w:tc>
        <w:tc>
          <w:tcPr>
            <w:tcW w:w="1272" w:type="dxa"/>
          </w:tcPr>
          <w:p w14:paraId="125857B4" w14:textId="4CFCD823" w:rsidR="00110EBA" w:rsidRPr="00F842B5" w:rsidRDefault="00414477" w:rsidP="00E30A4D">
            <w:pPr>
              <w:spacing w:before="12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110EBA" w:rsidRPr="00F842B5" w14:paraId="5AA25555" w14:textId="62294D7C" w:rsidTr="00F7064F">
        <w:trPr>
          <w:trHeight w:val="247"/>
        </w:trPr>
        <w:tc>
          <w:tcPr>
            <w:tcW w:w="3280" w:type="dxa"/>
            <w:noWrap/>
            <w:vAlign w:val="center"/>
          </w:tcPr>
          <w:p w14:paraId="55B87F7A" w14:textId="67C1D524" w:rsidR="00110EBA" w:rsidRPr="00F842B5" w:rsidRDefault="00BE7D37" w:rsidP="002178EF">
            <w:pPr>
              <w:spacing w:before="120" w:line="120" w:lineRule="auto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Hiring</w:t>
            </w:r>
          </w:p>
        </w:tc>
        <w:tc>
          <w:tcPr>
            <w:tcW w:w="911" w:type="dxa"/>
            <w:noWrap/>
            <w:vAlign w:val="center"/>
          </w:tcPr>
          <w:p w14:paraId="21FF4FBA" w14:textId="514C69B7" w:rsidR="00110EBA" w:rsidRPr="00F842B5" w:rsidRDefault="00414477" w:rsidP="00E30A4D">
            <w:pPr>
              <w:spacing w:before="12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6%</w:t>
            </w:r>
          </w:p>
        </w:tc>
        <w:tc>
          <w:tcPr>
            <w:tcW w:w="911" w:type="dxa"/>
          </w:tcPr>
          <w:p w14:paraId="589E767B" w14:textId="299F2594" w:rsidR="00110EBA" w:rsidRPr="00F842B5" w:rsidRDefault="00414477" w:rsidP="00E30A4D">
            <w:pPr>
              <w:spacing w:before="12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58%</w:t>
            </w:r>
          </w:p>
        </w:tc>
        <w:tc>
          <w:tcPr>
            <w:tcW w:w="911" w:type="dxa"/>
          </w:tcPr>
          <w:p w14:paraId="53038DAD" w14:textId="390CF112" w:rsidR="00110EBA" w:rsidRPr="00F842B5" w:rsidRDefault="00414477" w:rsidP="00E30A4D">
            <w:pPr>
              <w:spacing w:before="12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37%</w:t>
            </w:r>
          </w:p>
        </w:tc>
        <w:tc>
          <w:tcPr>
            <w:tcW w:w="1272" w:type="dxa"/>
          </w:tcPr>
          <w:p w14:paraId="658E779E" w14:textId="675EFC74" w:rsidR="00110EBA" w:rsidRPr="00F842B5" w:rsidRDefault="00414477" w:rsidP="00E30A4D">
            <w:pPr>
              <w:spacing w:before="12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35</w:t>
            </w:r>
          </w:p>
        </w:tc>
      </w:tr>
      <w:tr w:rsidR="00110EBA" w:rsidRPr="00F842B5" w14:paraId="4EC5E333" w14:textId="258FE5FB" w:rsidTr="00F7064F">
        <w:trPr>
          <w:trHeight w:val="247"/>
        </w:trPr>
        <w:tc>
          <w:tcPr>
            <w:tcW w:w="3280" w:type="dxa"/>
            <w:noWrap/>
            <w:vAlign w:val="center"/>
          </w:tcPr>
          <w:p w14:paraId="20B071A7" w14:textId="0D13EFD9" w:rsidR="00110EBA" w:rsidRPr="00F842B5" w:rsidRDefault="00BE7D37" w:rsidP="002178EF">
            <w:pPr>
              <w:spacing w:before="120" w:line="120" w:lineRule="auto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Savings</w:t>
            </w:r>
          </w:p>
        </w:tc>
        <w:tc>
          <w:tcPr>
            <w:tcW w:w="911" w:type="dxa"/>
            <w:noWrap/>
            <w:vAlign w:val="center"/>
          </w:tcPr>
          <w:p w14:paraId="2C04C9FE" w14:textId="0A73A584" w:rsidR="00110EBA" w:rsidRPr="00F842B5" w:rsidRDefault="00414477" w:rsidP="00E30A4D">
            <w:pPr>
              <w:spacing w:before="12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7%</w:t>
            </w:r>
          </w:p>
        </w:tc>
        <w:tc>
          <w:tcPr>
            <w:tcW w:w="911" w:type="dxa"/>
          </w:tcPr>
          <w:p w14:paraId="36ED2663" w14:textId="2C228177" w:rsidR="00110EBA" w:rsidRPr="00F842B5" w:rsidRDefault="00414477" w:rsidP="00E30A4D">
            <w:pPr>
              <w:spacing w:before="12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44%</w:t>
            </w:r>
          </w:p>
        </w:tc>
        <w:tc>
          <w:tcPr>
            <w:tcW w:w="911" w:type="dxa"/>
          </w:tcPr>
          <w:p w14:paraId="38A39EB3" w14:textId="1B42AACE" w:rsidR="00110EBA" w:rsidRPr="00F842B5" w:rsidRDefault="00414477" w:rsidP="00E30A4D">
            <w:pPr>
              <w:spacing w:before="12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48%</w:t>
            </w:r>
          </w:p>
        </w:tc>
        <w:tc>
          <w:tcPr>
            <w:tcW w:w="1272" w:type="dxa"/>
          </w:tcPr>
          <w:p w14:paraId="1C769225" w14:textId="41980273" w:rsidR="00110EBA" w:rsidRPr="00F842B5" w:rsidRDefault="00414477" w:rsidP="00E30A4D">
            <w:pPr>
              <w:spacing w:before="12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110EBA" w:rsidRPr="00F842B5" w14:paraId="675ABEED" w14:textId="0BD1659E" w:rsidTr="00F7064F">
        <w:trPr>
          <w:trHeight w:val="247"/>
        </w:trPr>
        <w:tc>
          <w:tcPr>
            <w:tcW w:w="3280" w:type="dxa"/>
            <w:noWrap/>
            <w:vAlign w:val="center"/>
          </w:tcPr>
          <w:p w14:paraId="18A9F1C6" w14:textId="6EDF3913" w:rsidR="00110EBA" w:rsidRPr="00F842B5" w:rsidRDefault="00BE7D37" w:rsidP="002178EF">
            <w:pPr>
              <w:spacing w:before="120" w:line="120" w:lineRule="auto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Inventory</w:t>
            </w:r>
          </w:p>
        </w:tc>
        <w:tc>
          <w:tcPr>
            <w:tcW w:w="911" w:type="dxa"/>
            <w:noWrap/>
            <w:vAlign w:val="center"/>
          </w:tcPr>
          <w:p w14:paraId="4AACEF07" w14:textId="7668250C" w:rsidR="00110EBA" w:rsidRPr="00F842B5" w:rsidRDefault="00414477" w:rsidP="00E30A4D">
            <w:pPr>
              <w:spacing w:before="12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6%</w:t>
            </w:r>
          </w:p>
        </w:tc>
        <w:tc>
          <w:tcPr>
            <w:tcW w:w="911" w:type="dxa"/>
          </w:tcPr>
          <w:p w14:paraId="1BEE821E" w14:textId="63A4615E" w:rsidR="00110EBA" w:rsidRPr="00F842B5" w:rsidRDefault="00414477" w:rsidP="00E30A4D">
            <w:pPr>
              <w:spacing w:before="12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50%</w:t>
            </w:r>
          </w:p>
        </w:tc>
        <w:tc>
          <w:tcPr>
            <w:tcW w:w="911" w:type="dxa"/>
          </w:tcPr>
          <w:p w14:paraId="7E994A38" w14:textId="4A9E9579" w:rsidR="00110EBA" w:rsidRPr="00F842B5" w:rsidRDefault="00414477" w:rsidP="00E30A4D">
            <w:pPr>
              <w:spacing w:before="12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44%</w:t>
            </w:r>
          </w:p>
        </w:tc>
        <w:tc>
          <w:tcPr>
            <w:tcW w:w="1272" w:type="dxa"/>
          </w:tcPr>
          <w:p w14:paraId="7B341F82" w14:textId="2165F035" w:rsidR="00110EBA" w:rsidRPr="00F842B5" w:rsidRDefault="00414477" w:rsidP="00E30A4D">
            <w:pPr>
              <w:spacing w:before="12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110EBA" w:rsidRPr="00F842B5" w14:paraId="139C9986" w14:textId="19A9B883" w:rsidTr="00F7064F">
        <w:trPr>
          <w:trHeight w:val="247"/>
        </w:trPr>
        <w:tc>
          <w:tcPr>
            <w:tcW w:w="3280" w:type="dxa"/>
            <w:noWrap/>
            <w:vAlign w:val="center"/>
          </w:tcPr>
          <w:p w14:paraId="1F5B6CB5" w14:textId="133C4C23" w:rsidR="00110EBA" w:rsidRPr="00F842B5" w:rsidRDefault="00BE7D37" w:rsidP="002178EF">
            <w:pPr>
              <w:spacing w:before="120" w:line="120" w:lineRule="auto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Pricing to consumers</w:t>
            </w:r>
          </w:p>
        </w:tc>
        <w:tc>
          <w:tcPr>
            <w:tcW w:w="911" w:type="dxa"/>
            <w:noWrap/>
            <w:vAlign w:val="center"/>
          </w:tcPr>
          <w:p w14:paraId="116610BB" w14:textId="0F4E9C26" w:rsidR="00110EBA" w:rsidRPr="00F842B5" w:rsidRDefault="00414477" w:rsidP="00E30A4D">
            <w:pPr>
              <w:spacing w:before="12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50%</w:t>
            </w:r>
          </w:p>
        </w:tc>
        <w:tc>
          <w:tcPr>
            <w:tcW w:w="911" w:type="dxa"/>
          </w:tcPr>
          <w:p w14:paraId="042640F5" w14:textId="38827D5D" w:rsidR="00110EBA" w:rsidRPr="00F842B5" w:rsidRDefault="00414477" w:rsidP="00E30A4D">
            <w:pPr>
              <w:spacing w:before="12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43%</w:t>
            </w:r>
          </w:p>
        </w:tc>
        <w:tc>
          <w:tcPr>
            <w:tcW w:w="911" w:type="dxa"/>
          </w:tcPr>
          <w:p w14:paraId="6591480E" w14:textId="6401B1FA" w:rsidR="00110EBA" w:rsidRPr="00F842B5" w:rsidRDefault="00414477" w:rsidP="00E30A4D">
            <w:pPr>
              <w:spacing w:before="12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7%</w:t>
            </w:r>
          </w:p>
        </w:tc>
        <w:tc>
          <w:tcPr>
            <w:tcW w:w="1272" w:type="dxa"/>
          </w:tcPr>
          <w:p w14:paraId="1F183DDA" w14:textId="0D569A51" w:rsidR="00110EBA" w:rsidRPr="00F842B5" w:rsidRDefault="00414477" w:rsidP="00E30A4D">
            <w:pPr>
              <w:spacing w:before="120" w:line="12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72</w:t>
            </w:r>
          </w:p>
        </w:tc>
      </w:tr>
    </w:tbl>
    <w:p w14:paraId="2AE0C829" w14:textId="5FAD64BA" w:rsidR="00383319" w:rsidRPr="00F30929" w:rsidRDefault="00257BB5" w:rsidP="00383319">
      <w:pPr>
        <w:pStyle w:val="Title"/>
        <w:spacing w:after="80"/>
        <w:rPr>
          <w:rFonts w:asciiTheme="minorHAnsi" w:hAnsiTheme="minorHAnsi" w:cstheme="minorHAnsi"/>
          <w:sz w:val="16"/>
          <w:szCs w:val="16"/>
        </w:rPr>
      </w:pPr>
      <w:r w:rsidRPr="00F30929">
        <w:rPr>
          <w:rFonts w:asciiTheme="minorHAnsi" w:hAnsiTheme="minorHAnsi" w:cstheme="minorHAnsi"/>
          <w:i/>
          <w:iCs/>
          <w:sz w:val="16"/>
          <w:szCs w:val="16"/>
        </w:rPr>
        <w:t>*</w:t>
      </w:r>
      <w:r w:rsidRPr="00F30929">
        <w:rPr>
          <w:rFonts w:asciiTheme="minorHAnsi" w:hAnsiTheme="minorHAnsi" w:cstheme="minorHAnsi"/>
          <w:sz w:val="16"/>
          <w:szCs w:val="16"/>
        </w:rPr>
        <w:t xml:space="preserve">A diffusion index greater than 50 indicates expansion, lower than 50 indicates contraction. </w:t>
      </w:r>
    </w:p>
    <w:tbl>
      <w:tblPr>
        <w:tblStyle w:val="PlainTable5"/>
        <w:tblW w:w="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Business Comparison Indicators: 2014-2015"/>
        <w:tblDescription w:val="Table coparing business indicators between 2014 and 2015."/>
      </w:tblPr>
      <w:tblGrid>
        <w:gridCol w:w="4135"/>
        <w:gridCol w:w="1620"/>
      </w:tblGrid>
      <w:tr w:rsidR="00BE7D37" w:rsidRPr="00F842B5" w14:paraId="722A6215" w14:textId="43E5F3C5" w:rsidTr="00DD6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4135" w:type="dxa"/>
            <w:tcBorders>
              <w:bottom w:val="single" w:sz="4" w:space="0" w:color="auto"/>
            </w:tcBorders>
            <w:shd w:val="clear" w:color="auto" w:fill="BDD6EE" w:themeFill="accent1" w:themeFillTint="66"/>
            <w:noWrap/>
          </w:tcPr>
          <w:p w14:paraId="5C7F9B26" w14:textId="2CE0E338" w:rsidR="00BE7D37" w:rsidRPr="00F842B5" w:rsidRDefault="00BE7D37" w:rsidP="00AF53F7">
            <w:pPr>
              <w:rPr>
                <w:rFonts w:asciiTheme="minorHAnsi" w:eastAsia="Times New Roman" w:hAnsiTheme="minorHAnsi" w:cstheme="minorHAnsi"/>
                <w:b/>
                <w:bCs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b/>
                <w:bCs/>
                <w:i w:val="0"/>
                <w:sz w:val="18"/>
                <w:szCs w:val="18"/>
              </w:rPr>
              <w:t>Does your company use or plan to use AI?</w:t>
            </w:r>
          </w:p>
        </w:tc>
        <w:tc>
          <w:tcPr>
            <w:tcW w:w="1620" w:type="dxa"/>
            <w:shd w:val="clear" w:color="auto" w:fill="BDD6EE" w:themeFill="accent1" w:themeFillTint="66"/>
            <w:noWrap/>
          </w:tcPr>
          <w:p w14:paraId="266FF1CC" w14:textId="02C8BA40" w:rsidR="00BE7D37" w:rsidRPr="00F842B5" w:rsidRDefault="00BE7D37" w:rsidP="00AF53F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b/>
                <w:bCs/>
                <w:i w:val="0"/>
                <w:sz w:val="18"/>
                <w:szCs w:val="18"/>
              </w:rPr>
              <w:t>Percent</w:t>
            </w:r>
          </w:p>
        </w:tc>
      </w:tr>
      <w:tr w:rsidR="00BE7D37" w:rsidRPr="00F842B5" w14:paraId="0F15E780" w14:textId="2376E200" w:rsidTr="00DD6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4135" w:type="dxa"/>
            <w:tcBorders>
              <w:bottom w:val="single" w:sz="4" w:space="0" w:color="auto"/>
            </w:tcBorders>
            <w:noWrap/>
          </w:tcPr>
          <w:p w14:paraId="5F01C154" w14:textId="5DA6B8AF" w:rsidR="00BE7D37" w:rsidRPr="00F842B5" w:rsidRDefault="00414477" w:rsidP="00AF53F7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Yes, to enhance human-robot operations</w:t>
            </w:r>
          </w:p>
        </w:tc>
        <w:tc>
          <w:tcPr>
            <w:tcW w:w="1620" w:type="dxa"/>
            <w:noWrap/>
          </w:tcPr>
          <w:p w14:paraId="61629D8A" w14:textId="348F84ED" w:rsidR="00BE7D37" w:rsidRPr="00F842B5" w:rsidRDefault="00414477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9%</w:t>
            </w:r>
          </w:p>
        </w:tc>
      </w:tr>
      <w:tr w:rsidR="00BE7D37" w:rsidRPr="00F842B5" w14:paraId="4A368BE9" w14:textId="0ED857F7" w:rsidTr="00DD6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4135" w:type="dxa"/>
            <w:tcBorders>
              <w:bottom w:val="single" w:sz="4" w:space="0" w:color="auto"/>
            </w:tcBorders>
            <w:noWrap/>
          </w:tcPr>
          <w:p w14:paraId="565EC243" w14:textId="569737B2" w:rsidR="00BE7D37" w:rsidRPr="00F842B5" w:rsidRDefault="00414477" w:rsidP="00414477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Yes, for testing</w:t>
            </w:r>
          </w:p>
        </w:tc>
        <w:tc>
          <w:tcPr>
            <w:tcW w:w="1620" w:type="dxa"/>
            <w:noWrap/>
          </w:tcPr>
          <w:p w14:paraId="0C4F56FD" w14:textId="67378A32" w:rsidR="00BE7D37" w:rsidRPr="00F842B5" w:rsidRDefault="00414477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7%</w:t>
            </w:r>
          </w:p>
        </w:tc>
      </w:tr>
      <w:tr w:rsidR="00BE7D37" w:rsidRPr="00F842B5" w14:paraId="01AFA295" w14:textId="297C095D" w:rsidTr="00DD6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4135" w:type="dxa"/>
            <w:tcBorders>
              <w:bottom w:val="single" w:sz="4" w:space="0" w:color="auto"/>
            </w:tcBorders>
            <w:noWrap/>
          </w:tcPr>
          <w:p w14:paraId="29A24090" w14:textId="53F93818" w:rsidR="00BE7D37" w:rsidRPr="00F842B5" w:rsidRDefault="00414477" w:rsidP="00AF53F7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Yes, to improve product development</w:t>
            </w:r>
          </w:p>
        </w:tc>
        <w:tc>
          <w:tcPr>
            <w:tcW w:w="1620" w:type="dxa"/>
            <w:noWrap/>
          </w:tcPr>
          <w:p w14:paraId="5093A2C3" w14:textId="25DD2859" w:rsidR="00BE7D37" w:rsidRPr="00F842B5" w:rsidRDefault="00414477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3%</w:t>
            </w:r>
          </w:p>
        </w:tc>
      </w:tr>
      <w:tr w:rsidR="00BE7D37" w:rsidRPr="00F842B5" w14:paraId="5C41EA55" w14:textId="46906665" w:rsidTr="00DD6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4135" w:type="dxa"/>
            <w:tcBorders>
              <w:bottom w:val="single" w:sz="4" w:space="0" w:color="auto"/>
            </w:tcBorders>
            <w:noWrap/>
          </w:tcPr>
          <w:p w14:paraId="49FCD34B" w14:textId="1642808B" w:rsidR="00BE7D37" w:rsidRPr="00F842B5" w:rsidRDefault="00414477" w:rsidP="00414477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Yes, for warehouse and logistics</w:t>
            </w:r>
          </w:p>
        </w:tc>
        <w:tc>
          <w:tcPr>
            <w:tcW w:w="1620" w:type="dxa"/>
            <w:noWrap/>
          </w:tcPr>
          <w:p w14:paraId="0342C1B0" w14:textId="4AA3C8B9" w:rsidR="00BE7D37" w:rsidRPr="00F842B5" w:rsidRDefault="00414477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3%</w:t>
            </w:r>
          </w:p>
        </w:tc>
      </w:tr>
      <w:tr w:rsidR="00BE7D37" w:rsidRPr="00F842B5" w14:paraId="147BE035" w14:textId="3A9DDB58" w:rsidTr="00DD6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4135" w:type="dxa"/>
            <w:tcBorders>
              <w:bottom w:val="single" w:sz="4" w:space="0" w:color="auto"/>
            </w:tcBorders>
            <w:noWrap/>
          </w:tcPr>
          <w:p w14:paraId="67C7B14B" w14:textId="036298AD" w:rsidR="00BE7D37" w:rsidRPr="00F842B5" w:rsidRDefault="00414477" w:rsidP="00AF53F7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No, there are no systems and/or tools in place</w:t>
            </w:r>
          </w:p>
        </w:tc>
        <w:tc>
          <w:tcPr>
            <w:tcW w:w="1620" w:type="dxa"/>
            <w:noWrap/>
          </w:tcPr>
          <w:p w14:paraId="72E97218" w14:textId="79EDBACF" w:rsidR="00BE7D37" w:rsidRPr="00F842B5" w:rsidRDefault="00414477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69%</w:t>
            </w:r>
          </w:p>
        </w:tc>
      </w:tr>
      <w:tr w:rsidR="00BE7D37" w:rsidRPr="00F842B5" w14:paraId="56B3A81E" w14:textId="445B089B" w:rsidTr="00DD6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4135" w:type="dxa"/>
            <w:tcBorders>
              <w:bottom w:val="single" w:sz="4" w:space="0" w:color="auto"/>
            </w:tcBorders>
            <w:noWrap/>
          </w:tcPr>
          <w:p w14:paraId="6F5513F0" w14:textId="07AD4F1E" w:rsidR="00BE7D37" w:rsidRPr="00F842B5" w:rsidRDefault="00414477" w:rsidP="00AF53F7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No, it is too expensive</w:t>
            </w:r>
          </w:p>
        </w:tc>
        <w:tc>
          <w:tcPr>
            <w:tcW w:w="1620" w:type="dxa"/>
            <w:noWrap/>
          </w:tcPr>
          <w:p w14:paraId="2DEAD15B" w14:textId="28F30627" w:rsidR="00BE7D37" w:rsidRPr="00F842B5" w:rsidRDefault="00414477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8%</w:t>
            </w:r>
          </w:p>
        </w:tc>
      </w:tr>
      <w:tr w:rsidR="00BE7D37" w:rsidRPr="00F842B5" w14:paraId="73B3067B" w14:textId="2CA0974B" w:rsidTr="00DD6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Header/>
        </w:trPr>
        <w:tc>
          <w:tcPr>
            <w:tcW w:w="4135" w:type="dxa"/>
            <w:tcBorders>
              <w:bottom w:val="single" w:sz="4" w:space="0" w:color="auto"/>
            </w:tcBorders>
            <w:noWrap/>
          </w:tcPr>
          <w:p w14:paraId="17E2213A" w14:textId="631565CC" w:rsidR="00BE7D37" w:rsidRPr="00F842B5" w:rsidRDefault="00414477" w:rsidP="00AF53F7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No, it cannot be trusted</w:t>
            </w:r>
          </w:p>
        </w:tc>
        <w:tc>
          <w:tcPr>
            <w:tcW w:w="1620" w:type="dxa"/>
            <w:noWrap/>
          </w:tcPr>
          <w:p w14:paraId="592175DA" w14:textId="0807AC0E" w:rsidR="00BE7D37" w:rsidRPr="00F842B5" w:rsidRDefault="00414477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13%</w:t>
            </w:r>
          </w:p>
        </w:tc>
      </w:tr>
      <w:tr w:rsidR="00BE7D37" w:rsidRPr="00F842B5" w14:paraId="080AB8DB" w14:textId="483C4E21" w:rsidTr="00DD6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  <w:tblHeader/>
        </w:trPr>
        <w:tc>
          <w:tcPr>
            <w:tcW w:w="4135" w:type="dxa"/>
            <w:tcBorders>
              <w:bottom w:val="single" w:sz="4" w:space="0" w:color="auto"/>
            </w:tcBorders>
            <w:noWrap/>
          </w:tcPr>
          <w:p w14:paraId="6E9842FD" w14:textId="0EC4F460" w:rsidR="00BE7D37" w:rsidRPr="00F842B5" w:rsidRDefault="00414477" w:rsidP="00AF53F7">
            <w:pPr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Other**</w:t>
            </w:r>
          </w:p>
        </w:tc>
        <w:tc>
          <w:tcPr>
            <w:tcW w:w="1620" w:type="dxa"/>
            <w:noWrap/>
          </w:tcPr>
          <w:p w14:paraId="624EE742" w14:textId="3DD07304" w:rsidR="00BE7D37" w:rsidRPr="00F842B5" w:rsidRDefault="00414477" w:rsidP="00AF53F7">
            <w:pPr>
              <w:jc w:val="center"/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</w:pPr>
            <w:r w:rsidRPr="00F842B5">
              <w:rPr>
                <w:rFonts w:asciiTheme="minorHAnsi" w:eastAsia="Times New Roman" w:hAnsiTheme="minorHAnsi" w:cstheme="minorHAnsi"/>
                <w:i w:val="0"/>
                <w:sz w:val="18"/>
                <w:szCs w:val="18"/>
              </w:rPr>
              <w:t>7%</w:t>
            </w:r>
          </w:p>
        </w:tc>
      </w:tr>
    </w:tbl>
    <w:p w14:paraId="751AE583" w14:textId="77777777" w:rsidR="00383319" w:rsidRPr="00F842B5" w:rsidRDefault="00383319" w:rsidP="00383319">
      <w:pPr>
        <w:spacing w:after="0" w:line="240" w:lineRule="auto"/>
        <w:rPr>
          <w:rFonts w:cstheme="minorHAnsi"/>
          <w:sz w:val="16"/>
          <w:szCs w:val="16"/>
        </w:rPr>
      </w:pPr>
      <w:r w:rsidRPr="00F842B5">
        <w:rPr>
          <w:rFonts w:cstheme="minorHAnsi"/>
          <w:sz w:val="16"/>
          <w:szCs w:val="16"/>
        </w:rPr>
        <w:t>Note: Totals might not add to 100% because of multiple choice responses.</w:t>
      </w:r>
    </w:p>
    <w:p w14:paraId="555059D3" w14:textId="092B60D9" w:rsidR="006F3359" w:rsidRPr="00F842B5" w:rsidRDefault="00417D5F" w:rsidP="00162FEF">
      <w:pPr>
        <w:spacing w:after="0" w:line="240" w:lineRule="auto"/>
        <w:rPr>
          <w:rFonts w:cstheme="minorHAnsi"/>
          <w:sz w:val="16"/>
          <w:szCs w:val="16"/>
        </w:rPr>
      </w:pPr>
      <w:r w:rsidRPr="00F842B5">
        <w:rPr>
          <w:rFonts w:cstheme="minorHAnsi"/>
          <w:sz w:val="16"/>
          <w:szCs w:val="16"/>
        </w:rPr>
        <w:t>** Other includes</w:t>
      </w:r>
      <w:r w:rsidR="00414477" w:rsidRPr="00F842B5">
        <w:rPr>
          <w:rFonts w:cstheme="minorHAnsi"/>
          <w:sz w:val="16"/>
          <w:szCs w:val="16"/>
        </w:rPr>
        <w:t xml:space="preserve">: "We want customer contact ..it is important!!!; </w:t>
      </w:r>
      <w:r w:rsidR="00414477" w:rsidRPr="00F842B5">
        <w:rPr>
          <w:rFonts w:cstheme="minorHAnsi"/>
          <w:sz w:val="16"/>
          <w:szCs w:val="16"/>
        </w:rPr>
        <w:br/>
        <w:t>"Not currently using, but plan to. Don't know which applications will be the best value yet."</w:t>
      </w:r>
      <w:r w:rsidRPr="00F842B5">
        <w:rPr>
          <w:rFonts w:cstheme="minorHAnsi"/>
          <w:sz w:val="16"/>
          <w:szCs w:val="16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1620"/>
      </w:tblGrid>
      <w:tr w:rsidR="00A50BF3" w:rsidRPr="00F842B5" w14:paraId="403E5DAD" w14:textId="77777777" w:rsidTr="00DD6084">
        <w:tc>
          <w:tcPr>
            <w:tcW w:w="4135" w:type="dxa"/>
            <w:shd w:val="clear" w:color="auto" w:fill="BDD6EE" w:themeFill="accent1" w:themeFillTint="66"/>
          </w:tcPr>
          <w:p w14:paraId="7FA89F45" w14:textId="4DE07D4F" w:rsidR="00A50BF3" w:rsidRPr="00F842B5" w:rsidRDefault="00A50BF3" w:rsidP="00162FE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42B5">
              <w:rPr>
                <w:rFonts w:cstheme="minorHAnsi"/>
                <w:b/>
                <w:bCs/>
                <w:sz w:val="18"/>
                <w:szCs w:val="18"/>
              </w:rPr>
              <w:t>Business Ownership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14:paraId="02F3061E" w14:textId="602F1A54" w:rsidR="00A50BF3" w:rsidRPr="00F842B5" w:rsidRDefault="00A50BF3" w:rsidP="00A50BF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842B5">
              <w:rPr>
                <w:rFonts w:cstheme="minorHAnsi"/>
                <w:b/>
                <w:bCs/>
                <w:sz w:val="18"/>
                <w:szCs w:val="18"/>
              </w:rPr>
              <w:t>Percent</w:t>
            </w:r>
          </w:p>
        </w:tc>
      </w:tr>
      <w:tr w:rsidR="00A50BF3" w:rsidRPr="00F842B5" w14:paraId="4E874E79" w14:textId="77777777" w:rsidTr="00DD6084">
        <w:tc>
          <w:tcPr>
            <w:tcW w:w="4135" w:type="dxa"/>
          </w:tcPr>
          <w:p w14:paraId="339C9935" w14:textId="53356B23" w:rsidR="00A50BF3" w:rsidRPr="00F842B5" w:rsidRDefault="00A50BF3" w:rsidP="00162FEF">
            <w:pPr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 xml:space="preserve">Minority-owned </w:t>
            </w:r>
          </w:p>
        </w:tc>
        <w:tc>
          <w:tcPr>
            <w:tcW w:w="1620" w:type="dxa"/>
          </w:tcPr>
          <w:p w14:paraId="19AE4B31" w14:textId="1DFC1FDA" w:rsidR="00A50BF3" w:rsidRPr="00F842B5" w:rsidRDefault="00CB1A9E" w:rsidP="00743C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4</w:t>
            </w:r>
            <w:r w:rsidR="00A50BF3" w:rsidRPr="00F842B5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A50BF3" w:rsidRPr="00F842B5" w14:paraId="560FB257" w14:textId="77777777" w:rsidTr="00DD6084">
        <w:tc>
          <w:tcPr>
            <w:tcW w:w="4135" w:type="dxa"/>
          </w:tcPr>
          <w:p w14:paraId="37DA5039" w14:textId="527A9C86" w:rsidR="00A50BF3" w:rsidRPr="00F842B5" w:rsidRDefault="00A50BF3" w:rsidP="00162FEF">
            <w:pPr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Veteran-owned</w:t>
            </w:r>
          </w:p>
        </w:tc>
        <w:tc>
          <w:tcPr>
            <w:tcW w:w="1620" w:type="dxa"/>
          </w:tcPr>
          <w:p w14:paraId="4D44737F" w14:textId="07475FD2" w:rsidR="00A50BF3" w:rsidRPr="00F842B5" w:rsidRDefault="00CB1A9E" w:rsidP="00743C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7</w:t>
            </w:r>
            <w:r w:rsidR="00A50BF3" w:rsidRPr="00F842B5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A50BF3" w:rsidRPr="00F842B5" w14:paraId="5AD001D4" w14:textId="77777777" w:rsidTr="00DD6084">
        <w:tc>
          <w:tcPr>
            <w:tcW w:w="4135" w:type="dxa"/>
          </w:tcPr>
          <w:p w14:paraId="3339A054" w14:textId="2476557F" w:rsidR="00A50BF3" w:rsidRPr="00F842B5" w:rsidRDefault="00A50BF3" w:rsidP="00162FEF">
            <w:pPr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Women-owned</w:t>
            </w:r>
          </w:p>
        </w:tc>
        <w:tc>
          <w:tcPr>
            <w:tcW w:w="1620" w:type="dxa"/>
          </w:tcPr>
          <w:p w14:paraId="44C87F7F" w14:textId="534B5549" w:rsidR="00A50BF3" w:rsidRPr="00F842B5" w:rsidRDefault="00A50BF3" w:rsidP="00743C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1</w:t>
            </w:r>
            <w:r w:rsidR="00CB1A9E" w:rsidRPr="00F842B5">
              <w:rPr>
                <w:rFonts w:cstheme="minorHAnsi"/>
                <w:sz w:val="18"/>
                <w:szCs w:val="18"/>
              </w:rPr>
              <w:t>1</w:t>
            </w:r>
            <w:r w:rsidRPr="00F842B5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A50BF3" w:rsidRPr="00F842B5" w14:paraId="67A97C0A" w14:textId="77777777" w:rsidTr="00DD6084">
        <w:tc>
          <w:tcPr>
            <w:tcW w:w="4135" w:type="dxa"/>
          </w:tcPr>
          <w:p w14:paraId="78E301EC" w14:textId="599BEC53" w:rsidR="00A50BF3" w:rsidRPr="00F842B5" w:rsidRDefault="00A50BF3" w:rsidP="00162FEF">
            <w:pPr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Prefer not to answer</w:t>
            </w:r>
          </w:p>
        </w:tc>
        <w:tc>
          <w:tcPr>
            <w:tcW w:w="1620" w:type="dxa"/>
          </w:tcPr>
          <w:p w14:paraId="37CDA7C2" w14:textId="6BCF6101" w:rsidR="00A50BF3" w:rsidRPr="00F842B5" w:rsidRDefault="00743C82" w:rsidP="00743C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1</w:t>
            </w:r>
            <w:r w:rsidR="00CB1A9E" w:rsidRPr="00F842B5">
              <w:rPr>
                <w:rFonts w:cstheme="minorHAnsi"/>
                <w:sz w:val="18"/>
                <w:szCs w:val="18"/>
              </w:rPr>
              <w:t>5</w:t>
            </w:r>
            <w:r w:rsidRPr="00F842B5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A50BF3" w:rsidRPr="00F842B5" w14:paraId="2DF56E74" w14:textId="77777777" w:rsidTr="00DD6084">
        <w:tc>
          <w:tcPr>
            <w:tcW w:w="4135" w:type="dxa"/>
          </w:tcPr>
          <w:p w14:paraId="6C087F2B" w14:textId="7B97A5AC" w:rsidR="00A50BF3" w:rsidRPr="00F842B5" w:rsidRDefault="00743C82" w:rsidP="00162FEF">
            <w:pPr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None of the above</w:t>
            </w:r>
          </w:p>
        </w:tc>
        <w:tc>
          <w:tcPr>
            <w:tcW w:w="1620" w:type="dxa"/>
          </w:tcPr>
          <w:p w14:paraId="1D039846" w14:textId="7D183BCE" w:rsidR="00A50BF3" w:rsidRPr="00F842B5" w:rsidRDefault="00743C82" w:rsidP="00743C8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842B5">
              <w:rPr>
                <w:rFonts w:cstheme="minorHAnsi"/>
                <w:sz w:val="18"/>
                <w:szCs w:val="18"/>
              </w:rPr>
              <w:t>6</w:t>
            </w:r>
            <w:r w:rsidR="00CB1A9E" w:rsidRPr="00F842B5">
              <w:rPr>
                <w:rFonts w:cstheme="minorHAnsi"/>
                <w:sz w:val="18"/>
                <w:szCs w:val="18"/>
              </w:rPr>
              <w:t>7</w:t>
            </w:r>
            <w:r w:rsidRPr="00F842B5">
              <w:rPr>
                <w:rFonts w:cstheme="minorHAnsi"/>
                <w:sz w:val="18"/>
                <w:szCs w:val="18"/>
              </w:rPr>
              <w:t>%</w:t>
            </w:r>
          </w:p>
        </w:tc>
      </w:tr>
    </w:tbl>
    <w:p w14:paraId="2B8D0A7A" w14:textId="45E7080C" w:rsidR="00383319" w:rsidRPr="00383319" w:rsidRDefault="00383319" w:rsidP="00383319">
      <w:pPr>
        <w:spacing w:after="0" w:line="240" w:lineRule="auto"/>
        <w:rPr>
          <w:sz w:val="16"/>
          <w:szCs w:val="16"/>
        </w:rPr>
      </w:pPr>
      <w:r w:rsidRPr="00383319">
        <w:rPr>
          <w:sz w:val="16"/>
          <w:szCs w:val="16"/>
        </w:rPr>
        <w:t>Note: Totals might not add to 100% because of multiple choice responses.</w:t>
      </w:r>
    </w:p>
    <w:p w14:paraId="4F6087E3" w14:textId="21145257" w:rsidR="00383319" w:rsidRDefault="00383319" w:rsidP="00E009AD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br/>
      </w:r>
    </w:p>
    <w:p w14:paraId="781E3235" w14:textId="6D34B074" w:rsidR="0051765D" w:rsidRPr="00CB1A9E" w:rsidRDefault="00F62F57" w:rsidP="00162FEF">
      <w:pPr>
        <w:spacing w:after="0" w:line="240" w:lineRule="auto"/>
        <w:sectPr w:rsidR="0051765D" w:rsidRPr="00CB1A9E" w:rsidSect="00892CAA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  <w:color w:val="2E74B5" w:themeColor="accent1" w:themeShade="BF"/>
        </w:rPr>
        <w:t xml:space="preserve">Selected Manufacturing </w:t>
      </w:r>
      <w:r w:rsidR="00491368" w:rsidRPr="00CB1A9E">
        <w:rPr>
          <w:b/>
          <w:bCs/>
          <w:color w:val="2E74B5" w:themeColor="accent1" w:themeShade="BF"/>
        </w:rPr>
        <w:t>Comments</w:t>
      </w:r>
      <w:r w:rsidR="00491368" w:rsidRPr="00491368">
        <w:rPr>
          <w:b/>
          <w:bCs/>
          <w:color w:val="2E74B5" w:themeColor="accent1" w:themeShade="BF"/>
          <w:sz w:val="24"/>
          <w:szCs w:val="24"/>
        </w:rPr>
        <w:br/>
      </w:r>
      <w:r w:rsidR="00491368">
        <w:t xml:space="preserve">Respondents were asked to provide additional </w:t>
      </w:r>
      <w:r w:rsidR="00AD02C1">
        <w:t>commen</w:t>
      </w:r>
      <w:r w:rsidR="003762CC">
        <w:t>ts</w:t>
      </w:r>
      <w:r w:rsidR="00491368">
        <w:t xml:space="preserve">. </w:t>
      </w:r>
      <w:r w:rsidR="00BD5C80">
        <w:t>S</w:t>
      </w:r>
      <w:r w:rsidR="00415EA7">
        <w:t>elected comments</w:t>
      </w:r>
      <w:r w:rsidR="00491368">
        <w:t xml:space="preserve"> are </w:t>
      </w:r>
      <w:r w:rsidR="003762CC">
        <w:t>provided</w:t>
      </w:r>
      <w:r w:rsidR="00491368">
        <w:t xml:space="preserve"> below </w:t>
      </w:r>
      <w:r w:rsidR="00491368" w:rsidRPr="00491368">
        <w:rPr>
          <w:i/>
          <w:iCs/>
        </w:rPr>
        <w:t>verbatim</w:t>
      </w:r>
      <w:r w:rsidR="00491368">
        <w:t xml:space="preserve"> by category:</w:t>
      </w:r>
      <w:r w:rsidR="00157B6A">
        <w:br/>
      </w:r>
    </w:p>
    <w:p w14:paraId="22446D9F" w14:textId="24C5AD5C" w:rsidR="003312D1" w:rsidRPr="003312D1" w:rsidRDefault="003312D1" w:rsidP="00162FEF">
      <w:pPr>
        <w:spacing w:after="0" w:line="240" w:lineRule="auto"/>
        <w:rPr>
          <w:i/>
          <w:iCs/>
        </w:rPr>
      </w:pPr>
      <w:r w:rsidRPr="00734E9C">
        <w:rPr>
          <w:b/>
          <w:bCs/>
          <w:color w:val="2E74B5" w:themeColor="accent1" w:themeShade="BF"/>
        </w:rPr>
        <w:t>In</w:t>
      </w:r>
      <w:r>
        <w:rPr>
          <w:b/>
          <w:bCs/>
          <w:color w:val="2E74B5" w:themeColor="accent1" w:themeShade="BF"/>
        </w:rPr>
        <w:t>flation</w:t>
      </w:r>
      <w:r>
        <w:rPr>
          <w:b/>
          <w:bCs/>
          <w:color w:val="2E74B5" w:themeColor="accent1" w:themeShade="BF"/>
        </w:rPr>
        <w:br/>
      </w:r>
      <w:r w:rsidRPr="00291F79">
        <w:rPr>
          <w:i/>
          <w:iCs/>
        </w:rPr>
        <w:t>“</w:t>
      </w:r>
      <w:r>
        <w:rPr>
          <w:i/>
          <w:iCs/>
        </w:rPr>
        <w:t>Increasing inflation and increasing local and federal taxes are really putting pressure on consumer spending</w:t>
      </w:r>
      <w:r w:rsidRPr="00291F79">
        <w:rPr>
          <w:i/>
          <w:iCs/>
        </w:rPr>
        <w:t>.”</w:t>
      </w:r>
    </w:p>
    <w:p w14:paraId="24C53CBF" w14:textId="160E37D3" w:rsidR="003312D1" w:rsidRDefault="003312D1" w:rsidP="00162FEF">
      <w:pPr>
        <w:spacing w:after="0" w:line="240" w:lineRule="auto"/>
        <w:rPr>
          <w:b/>
          <w:bCs/>
          <w:color w:val="2E74B5" w:themeColor="accent1" w:themeShade="BF"/>
        </w:rPr>
      </w:pPr>
    </w:p>
    <w:p w14:paraId="3A806601" w14:textId="34AACC4B" w:rsidR="00EE216E" w:rsidRPr="00EE216E" w:rsidRDefault="0015684F" w:rsidP="00162FEF">
      <w:pPr>
        <w:spacing w:after="0" w:line="240" w:lineRule="auto"/>
        <w:rPr>
          <w:i/>
          <w:iCs/>
        </w:rPr>
      </w:pPr>
      <w:r>
        <w:rPr>
          <w:i/>
          <w:iCs/>
        </w:rPr>
        <w:t>“</w:t>
      </w:r>
      <w:r w:rsidR="00EE216E" w:rsidRPr="00EE216E">
        <w:rPr>
          <w:i/>
          <w:iCs/>
        </w:rPr>
        <w:t>Delays in reacting to “transitory inflation</w:t>
      </w:r>
      <w:r w:rsidR="00AD02C1">
        <w:rPr>
          <w:i/>
          <w:iCs/>
        </w:rPr>
        <w:t>”</w:t>
      </w:r>
      <w:r w:rsidR="00EE216E">
        <w:rPr>
          <w:i/>
          <w:iCs/>
        </w:rPr>
        <w:t xml:space="preserve"> required tight monetary policy that is now hampering economic growth.</w:t>
      </w:r>
      <w:r w:rsidR="00EE216E" w:rsidRPr="00EE216E">
        <w:rPr>
          <w:i/>
          <w:iCs/>
        </w:rPr>
        <w:t>”</w:t>
      </w:r>
      <w:r w:rsidR="00EE216E">
        <w:rPr>
          <w:i/>
          <w:iCs/>
        </w:rPr>
        <w:br/>
      </w:r>
      <w:r w:rsidR="00EE216E" w:rsidRPr="00EE216E">
        <w:rPr>
          <w:i/>
          <w:iCs/>
        </w:rPr>
        <w:t xml:space="preserve"> </w:t>
      </w:r>
    </w:p>
    <w:p w14:paraId="62013168" w14:textId="362E2EC6" w:rsidR="006E4CAD" w:rsidRDefault="006E4CAD" w:rsidP="00162FEF">
      <w:pPr>
        <w:spacing w:after="0" w:line="240" w:lineRule="auto"/>
        <w:rPr>
          <w:i/>
          <w:iCs/>
        </w:rPr>
      </w:pPr>
      <w:r w:rsidRPr="00CB1A9E">
        <w:rPr>
          <w:b/>
          <w:bCs/>
          <w:color w:val="2E74B5" w:themeColor="accent1" w:themeShade="BF"/>
        </w:rPr>
        <w:t>Labor force shortages</w:t>
      </w:r>
      <w:r w:rsidR="0051765D" w:rsidRPr="00CB1A9E">
        <w:rPr>
          <w:b/>
          <w:bCs/>
          <w:color w:val="2E74B5" w:themeColor="accent1" w:themeShade="BF"/>
        </w:rPr>
        <w:t xml:space="preserve"> and benefits cost</w:t>
      </w:r>
      <w:r>
        <w:rPr>
          <w:b/>
          <w:bCs/>
          <w:color w:val="2E74B5" w:themeColor="accent1" w:themeShade="BF"/>
        </w:rPr>
        <w:br/>
      </w:r>
      <w:r w:rsidRPr="006E4CAD">
        <w:rPr>
          <w:i/>
          <w:iCs/>
        </w:rPr>
        <w:t>“</w:t>
      </w:r>
      <w:r w:rsidR="00CB1A9E">
        <w:rPr>
          <w:i/>
          <w:iCs/>
        </w:rPr>
        <w:t>I would like to know where all the able-bodied workers went to</w:t>
      </w:r>
      <w:r>
        <w:rPr>
          <w:i/>
          <w:iCs/>
        </w:rPr>
        <w:t>.</w:t>
      </w:r>
      <w:r w:rsidR="00CB1A9E">
        <w:rPr>
          <w:i/>
          <w:iCs/>
        </w:rPr>
        <w:t xml:space="preserve"> Being a small business, we can’t get anyone to </w:t>
      </w:r>
      <w:proofErr w:type="gramStart"/>
      <w:r w:rsidR="00CB1A9E">
        <w:rPr>
          <w:i/>
          <w:iCs/>
        </w:rPr>
        <w:t>fill  vacancies</w:t>
      </w:r>
      <w:proofErr w:type="gramEnd"/>
      <w:r w:rsidR="00CB1A9E">
        <w:rPr>
          <w:i/>
          <w:iCs/>
        </w:rPr>
        <w:t xml:space="preserve"> because they either expect a much higher wage or don’t want to work full time.</w:t>
      </w:r>
      <w:r>
        <w:rPr>
          <w:i/>
          <w:iCs/>
        </w:rPr>
        <w:t>”</w:t>
      </w:r>
    </w:p>
    <w:p w14:paraId="414B8C64" w14:textId="0A559E04" w:rsidR="00157B6A" w:rsidRDefault="00157B6A" w:rsidP="00162FEF">
      <w:pPr>
        <w:spacing w:after="0" w:line="240" w:lineRule="auto"/>
        <w:rPr>
          <w:i/>
          <w:iCs/>
        </w:rPr>
      </w:pPr>
    </w:p>
    <w:p w14:paraId="759BE4ED" w14:textId="53375659" w:rsidR="002D383B" w:rsidRPr="00B624A4" w:rsidRDefault="002D383B" w:rsidP="00162FEF">
      <w:pPr>
        <w:spacing w:after="0" w:line="240" w:lineRule="auto"/>
        <w:rPr>
          <w:i/>
          <w:iCs/>
        </w:rPr>
      </w:pPr>
      <w:r w:rsidRPr="00B624A4">
        <w:rPr>
          <w:i/>
          <w:iCs/>
        </w:rPr>
        <w:t>“We need bodies .. fix immigration process for those here and coming!”</w:t>
      </w:r>
    </w:p>
    <w:p w14:paraId="4329216C" w14:textId="316CFE38" w:rsidR="008C1E38" w:rsidRPr="00CB1A9E" w:rsidRDefault="00B624A4" w:rsidP="00162FEF">
      <w:pPr>
        <w:spacing w:after="0" w:line="240" w:lineRule="auto"/>
        <w:rPr>
          <w:b/>
          <w:bCs/>
        </w:rPr>
      </w:pPr>
      <w:r>
        <w:rPr>
          <w:b/>
          <w:bCs/>
          <w:color w:val="2E74B5" w:themeColor="accent1" w:themeShade="BF"/>
        </w:rPr>
        <w:br/>
      </w:r>
      <w:r w:rsidR="00CB1A9E" w:rsidRPr="00CB1A9E">
        <w:rPr>
          <w:b/>
          <w:bCs/>
          <w:color w:val="2E74B5" w:themeColor="accent1" w:themeShade="BF"/>
        </w:rPr>
        <w:t>Decline in number of orders</w:t>
      </w:r>
    </w:p>
    <w:p w14:paraId="73C24902" w14:textId="1B41B470" w:rsidR="00075B86" w:rsidRPr="00B624A4" w:rsidRDefault="008C1E38" w:rsidP="00192A22">
      <w:pPr>
        <w:spacing w:after="0" w:line="240" w:lineRule="auto"/>
        <w:rPr>
          <w:b/>
          <w:bCs/>
          <w:i/>
          <w:iCs/>
          <w:color w:val="2E74B5" w:themeColor="accent1" w:themeShade="BF"/>
        </w:rPr>
      </w:pPr>
      <w:r>
        <w:rPr>
          <w:i/>
          <w:iCs/>
        </w:rPr>
        <w:t>“</w:t>
      </w:r>
      <w:r w:rsidR="00157B6A">
        <w:rPr>
          <w:i/>
          <w:iCs/>
        </w:rPr>
        <w:t>Orders in Q4 are off 25%. Q1 for 2024 looks b</w:t>
      </w:r>
      <w:r w:rsidR="000514D1">
        <w:rPr>
          <w:i/>
          <w:iCs/>
        </w:rPr>
        <w:t>l</w:t>
      </w:r>
      <w:r w:rsidR="00157B6A">
        <w:rPr>
          <w:i/>
          <w:iCs/>
        </w:rPr>
        <w:t>eak. We plan to hold on onto out staff even with lower orders in hopes of Q3 (2023) recovery</w:t>
      </w:r>
      <w:r>
        <w:rPr>
          <w:i/>
          <w:iCs/>
        </w:rPr>
        <w:t>.</w:t>
      </w:r>
      <w:r w:rsidR="00157B6A">
        <w:rPr>
          <w:i/>
          <w:iCs/>
        </w:rPr>
        <w:t xml:space="preserve"> Will not be spending on anything extra (capital, maintenance) unless </w:t>
      </w:r>
      <w:proofErr w:type="gramStart"/>
      <w:r w:rsidR="00157B6A">
        <w:rPr>
          <w:i/>
          <w:iCs/>
        </w:rPr>
        <w:t>absolutely essential</w:t>
      </w:r>
      <w:proofErr w:type="gramEnd"/>
      <w:r w:rsidR="00157B6A">
        <w:rPr>
          <w:i/>
          <w:iCs/>
        </w:rPr>
        <w:t>.</w:t>
      </w:r>
      <w:r>
        <w:rPr>
          <w:i/>
          <w:iCs/>
        </w:rPr>
        <w:t>”</w:t>
      </w:r>
    </w:p>
    <w:p w14:paraId="3979026E" w14:textId="1A54F577" w:rsidR="00075B86" w:rsidRPr="00EE216E" w:rsidRDefault="00075B86" w:rsidP="00162FEF">
      <w:pPr>
        <w:spacing w:after="0" w:line="240" w:lineRule="auto"/>
        <w:rPr>
          <w:b/>
          <w:bCs/>
          <w:color w:val="2E74B5" w:themeColor="accent1" w:themeShade="BF"/>
        </w:rPr>
        <w:sectPr w:rsidR="00075B86" w:rsidRPr="00EE216E" w:rsidSect="005176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8287AF6" w14:textId="1B0D0E1B" w:rsidR="00383319" w:rsidRPr="00383319" w:rsidRDefault="00383319" w:rsidP="00383319">
      <w:pPr>
        <w:spacing w:after="0" w:line="240" w:lineRule="auto"/>
        <w:rPr>
          <w:i/>
          <w:iCs/>
          <w:color w:val="2E74B5" w:themeColor="accent1" w:themeShade="BF"/>
          <w:sz w:val="16"/>
          <w:szCs w:val="16"/>
        </w:rPr>
      </w:pPr>
      <w:r w:rsidRPr="00383319">
        <w:rPr>
          <w:i/>
          <w:iCs/>
          <w:color w:val="2E74B5" w:themeColor="accent1" w:themeShade="BF"/>
          <w:sz w:val="16"/>
          <w:szCs w:val="16"/>
        </w:rPr>
        <w:t xml:space="preserve">Notes: </w:t>
      </w:r>
      <w:r w:rsidRPr="00383319">
        <w:rPr>
          <w:i/>
          <w:iCs/>
          <w:color w:val="2E74B5" w:themeColor="accent1" w:themeShade="BF"/>
          <w:sz w:val="16"/>
          <w:szCs w:val="16"/>
        </w:rPr>
        <w:br/>
        <w:t xml:space="preserve">Based on responses from 252 Minnesota manufacturing firms, for a response rate of 25.2%. </w:t>
      </w:r>
      <w:r w:rsidR="002D38B2" w:rsidRPr="002D38B2">
        <w:rPr>
          <w:i/>
          <w:iCs/>
          <w:color w:val="2E74B5" w:themeColor="accent1" w:themeShade="BF"/>
          <w:sz w:val="16"/>
          <w:szCs w:val="16"/>
        </w:rPr>
        <w:t>The sampling error is plus or minus 5.</w:t>
      </w:r>
      <w:r w:rsidR="002D38B2">
        <w:rPr>
          <w:i/>
          <w:iCs/>
          <w:color w:val="2E74B5" w:themeColor="accent1" w:themeShade="BF"/>
          <w:sz w:val="16"/>
          <w:szCs w:val="16"/>
        </w:rPr>
        <w:t>3</w:t>
      </w:r>
      <w:r w:rsidR="002D38B2" w:rsidRPr="002D38B2">
        <w:rPr>
          <w:i/>
          <w:iCs/>
          <w:color w:val="2E74B5" w:themeColor="accent1" w:themeShade="BF"/>
          <w:sz w:val="16"/>
          <w:szCs w:val="16"/>
        </w:rPr>
        <w:t>% at a 95% confidence level</w:t>
      </w:r>
      <w:r w:rsidR="002D38B2">
        <w:rPr>
          <w:i/>
          <w:iCs/>
          <w:color w:val="2E74B5" w:themeColor="accent1" w:themeShade="BF"/>
          <w:sz w:val="16"/>
          <w:szCs w:val="16"/>
        </w:rPr>
        <w:t>.</w:t>
      </w:r>
    </w:p>
    <w:p w14:paraId="71062360" w14:textId="453220D1" w:rsidR="00AD02C1" w:rsidRPr="00383319" w:rsidRDefault="0051765D" w:rsidP="00162FEF">
      <w:pPr>
        <w:spacing w:after="0" w:line="240" w:lineRule="auto"/>
        <w:rPr>
          <w:i/>
          <w:iCs/>
          <w:color w:val="2E74B5" w:themeColor="accent1" w:themeShade="BF"/>
          <w:sz w:val="16"/>
          <w:szCs w:val="16"/>
        </w:rPr>
      </w:pPr>
      <w:r w:rsidRPr="00383319">
        <w:rPr>
          <w:i/>
          <w:iCs/>
          <w:color w:val="2E74B5" w:themeColor="accent1" w:themeShade="BF"/>
          <w:sz w:val="16"/>
          <w:szCs w:val="16"/>
        </w:rPr>
        <w:t>Prepared by the Economic Analysis Unit, Minnesota Department of Employment and Economic Development, January 202</w:t>
      </w:r>
      <w:r w:rsidR="00AD02C1">
        <w:rPr>
          <w:i/>
          <w:iCs/>
          <w:color w:val="2E74B5" w:themeColor="accent1" w:themeShade="BF"/>
          <w:sz w:val="16"/>
          <w:szCs w:val="16"/>
        </w:rPr>
        <w:t>4</w:t>
      </w:r>
      <w:r w:rsidRPr="00383319">
        <w:rPr>
          <w:i/>
          <w:iCs/>
          <w:color w:val="2E74B5" w:themeColor="accent1" w:themeShade="BF"/>
          <w:sz w:val="16"/>
          <w:szCs w:val="16"/>
        </w:rPr>
        <w:t>.</w:t>
      </w:r>
    </w:p>
    <w:sectPr w:rsidR="00AD02C1" w:rsidRPr="00383319" w:rsidSect="00BE1B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273A" w14:textId="77777777" w:rsidR="009A4C3F" w:rsidRDefault="009A4C3F" w:rsidP="00722892">
      <w:pPr>
        <w:spacing w:after="0" w:line="240" w:lineRule="auto"/>
      </w:pPr>
      <w:r>
        <w:separator/>
      </w:r>
    </w:p>
  </w:endnote>
  <w:endnote w:type="continuationSeparator" w:id="0">
    <w:p w14:paraId="5046A3B6" w14:textId="77777777" w:rsidR="009A4C3F" w:rsidRDefault="009A4C3F" w:rsidP="0072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821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A977B" w14:textId="3EC0ED30" w:rsidR="00417D5F" w:rsidRDefault="00417D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3795EA" w14:textId="77777777" w:rsidR="00417D5F" w:rsidRDefault="00417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2413" w14:textId="77777777" w:rsidR="009A4C3F" w:rsidRDefault="009A4C3F" w:rsidP="00722892">
      <w:pPr>
        <w:spacing w:after="0" w:line="240" w:lineRule="auto"/>
      </w:pPr>
      <w:r>
        <w:separator/>
      </w:r>
    </w:p>
  </w:footnote>
  <w:footnote w:type="continuationSeparator" w:id="0">
    <w:p w14:paraId="3CE5FC93" w14:textId="77777777" w:rsidR="009A4C3F" w:rsidRDefault="009A4C3F" w:rsidP="0072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92C"/>
    <w:multiLevelType w:val="hybridMultilevel"/>
    <w:tmpl w:val="4F46C5A4"/>
    <w:lvl w:ilvl="0" w:tplc="7EC498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4002"/>
    <w:multiLevelType w:val="hybridMultilevel"/>
    <w:tmpl w:val="90360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2B2C"/>
    <w:multiLevelType w:val="hybridMultilevel"/>
    <w:tmpl w:val="725470E6"/>
    <w:lvl w:ilvl="0" w:tplc="BD004B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7D2"/>
    <w:multiLevelType w:val="hybridMultilevel"/>
    <w:tmpl w:val="85CC5548"/>
    <w:lvl w:ilvl="0" w:tplc="44607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0DA1"/>
    <w:multiLevelType w:val="hybridMultilevel"/>
    <w:tmpl w:val="B8CE587E"/>
    <w:lvl w:ilvl="0" w:tplc="C19634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2D4075"/>
    <w:multiLevelType w:val="hybridMultilevel"/>
    <w:tmpl w:val="77DE0E20"/>
    <w:lvl w:ilvl="0" w:tplc="FEC443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A73C2"/>
    <w:multiLevelType w:val="hybridMultilevel"/>
    <w:tmpl w:val="C54C98A6"/>
    <w:lvl w:ilvl="0" w:tplc="710E8D2E">
      <w:start w:val="1"/>
      <w:numFmt w:val="decimal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3AAD4C75"/>
    <w:multiLevelType w:val="hybridMultilevel"/>
    <w:tmpl w:val="D97AB74E"/>
    <w:lvl w:ilvl="0" w:tplc="593A9BF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229547C"/>
    <w:multiLevelType w:val="hybridMultilevel"/>
    <w:tmpl w:val="63AE7CF0"/>
    <w:lvl w:ilvl="0" w:tplc="16A4D16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C3162D5"/>
    <w:multiLevelType w:val="hybridMultilevel"/>
    <w:tmpl w:val="2B5E2D2E"/>
    <w:lvl w:ilvl="0" w:tplc="18A02B50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FFF4843"/>
    <w:multiLevelType w:val="hybridMultilevel"/>
    <w:tmpl w:val="CA0CEBC6"/>
    <w:lvl w:ilvl="0" w:tplc="EC82D616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2053310011">
    <w:abstractNumId w:val="10"/>
  </w:num>
  <w:num w:numId="2" w16cid:durableId="488139020">
    <w:abstractNumId w:val="5"/>
  </w:num>
  <w:num w:numId="3" w16cid:durableId="1856767724">
    <w:abstractNumId w:val="0"/>
  </w:num>
  <w:num w:numId="4" w16cid:durableId="844051788">
    <w:abstractNumId w:val="4"/>
  </w:num>
  <w:num w:numId="5" w16cid:durableId="903565800">
    <w:abstractNumId w:val="6"/>
  </w:num>
  <w:num w:numId="6" w16cid:durableId="1079719224">
    <w:abstractNumId w:val="7"/>
  </w:num>
  <w:num w:numId="7" w16cid:durableId="2128866">
    <w:abstractNumId w:val="9"/>
  </w:num>
  <w:num w:numId="8" w16cid:durableId="1765952083">
    <w:abstractNumId w:val="8"/>
  </w:num>
  <w:num w:numId="9" w16cid:durableId="1107584255">
    <w:abstractNumId w:val="1"/>
  </w:num>
  <w:num w:numId="10" w16cid:durableId="611980086">
    <w:abstractNumId w:val="2"/>
  </w:num>
  <w:num w:numId="11" w16cid:durableId="827863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FA"/>
    <w:rsid w:val="000017A0"/>
    <w:rsid w:val="000055EB"/>
    <w:rsid w:val="00006BCD"/>
    <w:rsid w:val="000102FA"/>
    <w:rsid w:val="00014AD2"/>
    <w:rsid w:val="0001635B"/>
    <w:rsid w:val="00020BB4"/>
    <w:rsid w:val="00023BB3"/>
    <w:rsid w:val="000251AA"/>
    <w:rsid w:val="00043367"/>
    <w:rsid w:val="0004396B"/>
    <w:rsid w:val="00044954"/>
    <w:rsid w:val="000514D1"/>
    <w:rsid w:val="000530CD"/>
    <w:rsid w:val="0005336B"/>
    <w:rsid w:val="000547A3"/>
    <w:rsid w:val="00061628"/>
    <w:rsid w:val="000631E3"/>
    <w:rsid w:val="00064F89"/>
    <w:rsid w:val="000653D5"/>
    <w:rsid w:val="000715D1"/>
    <w:rsid w:val="00075B86"/>
    <w:rsid w:val="000824B7"/>
    <w:rsid w:val="00082B96"/>
    <w:rsid w:val="000838C0"/>
    <w:rsid w:val="00085CB5"/>
    <w:rsid w:val="00085F89"/>
    <w:rsid w:val="00093843"/>
    <w:rsid w:val="00096E85"/>
    <w:rsid w:val="00097993"/>
    <w:rsid w:val="000A0BC3"/>
    <w:rsid w:val="000A28AD"/>
    <w:rsid w:val="000A65D8"/>
    <w:rsid w:val="000B4D88"/>
    <w:rsid w:val="000B68D5"/>
    <w:rsid w:val="000B7992"/>
    <w:rsid w:val="000C04EE"/>
    <w:rsid w:val="000C0B66"/>
    <w:rsid w:val="000C107F"/>
    <w:rsid w:val="000C1BCF"/>
    <w:rsid w:val="000C4230"/>
    <w:rsid w:val="000D53DE"/>
    <w:rsid w:val="000E1E86"/>
    <w:rsid w:val="000E746C"/>
    <w:rsid w:val="000F3FB7"/>
    <w:rsid w:val="000F78D5"/>
    <w:rsid w:val="00100C21"/>
    <w:rsid w:val="00101B46"/>
    <w:rsid w:val="00110EBA"/>
    <w:rsid w:val="001141C4"/>
    <w:rsid w:val="001215A7"/>
    <w:rsid w:val="00126400"/>
    <w:rsid w:val="00130B1B"/>
    <w:rsid w:val="0013508B"/>
    <w:rsid w:val="00141598"/>
    <w:rsid w:val="001429B3"/>
    <w:rsid w:val="00144626"/>
    <w:rsid w:val="0015193C"/>
    <w:rsid w:val="001541B5"/>
    <w:rsid w:val="0015684F"/>
    <w:rsid w:val="00157B6A"/>
    <w:rsid w:val="00157FEC"/>
    <w:rsid w:val="00162FEF"/>
    <w:rsid w:val="00170768"/>
    <w:rsid w:val="00174C4B"/>
    <w:rsid w:val="00174D79"/>
    <w:rsid w:val="00180F16"/>
    <w:rsid w:val="00181E11"/>
    <w:rsid w:val="001873F4"/>
    <w:rsid w:val="00190F03"/>
    <w:rsid w:val="00192A22"/>
    <w:rsid w:val="00196671"/>
    <w:rsid w:val="001A1D64"/>
    <w:rsid w:val="001A70BD"/>
    <w:rsid w:val="001B733E"/>
    <w:rsid w:val="001D0139"/>
    <w:rsid w:val="001D19AD"/>
    <w:rsid w:val="001D1D2A"/>
    <w:rsid w:val="001D489B"/>
    <w:rsid w:val="001D7C7A"/>
    <w:rsid w:val="001E2293"/>
    <w:rsid w:val="001E385C"/>
    <w:rsid w:val="001E5A34"/>
    <w:rsid w:val="001E5E26"/>
    <w:rsid w:val="001F0C8E"/>
    <w:rsid w:val="001F26CC"/>
    <w:rsid w:val="001F4C74"/>
    <w:rsid w:val="001F7133"/>
    <w:rsid w:val="00200309"/>
    <w:rsid w:val="002054F5"/>
    <w:rsid w:val="002178EF"/>
    <w:rsid w:val="00225875"/>
    <w:rsid w:val="0023223B"/>
    <w:rsid w:val="00235D13"/>
    <w:rsid w:val="00236C0B"/>
    <w:rsid w:val="00243472"/>
    <w:rsid w:val="002439E6"/>
    <w:rsid w:val="0024440C"/>
    <w:rsid w:val="00244841"/>
    <w:rsid w:val="00245A31"/>
    <w:rsid w:val="0025036B"/>
    <w:rsid w:val="002557E3"/>
    <w:rsid w:val="00257BB5"/>
    <w:rsid w:val="00263477"/>
    <w:rsid w:val="00266F95"/>
    <w:rsid w:val="002727C4"/>
    <w:rsid w:val="00273A9B"/>
    <w:rsid w:val="00273DC2"/>
    <w:rsid w:val="00280798"/>
    <w:rsid w:val="00286A99"/>
    <w:rsid w:val="00291F79"/>
    <w:rsid w:val="002934A2"/>
    <w:rsid w:val="00293720"/>
    <w:rsid w:val="00294C47"/>
    <w:rsid w:val="00297604"/>
    <w:rsid w:val="002A39E0"/>
    <w:rsid w:val="002A419E"/>
    <w:rsid w:val="002A4627"/>
    <w:rsid w:val="002A54B0"/>
    <w:rsid w:val="002C0DF7"/>
    <w:rsid w:val="002C1301"/>
    <w:rsid w:val="002C48DC"/>
    <w:rsid w:val="002C5461"/>
    <w:rsid w:val="002C784F"/>
    <w:rsid w:val="002D0924"/>
    <w:rsid w:val="002D20C8"/>
    <w:rsid w:val="002D322B"/>
    <w:rsid w:val="002D383B"/>
    <w:rsid w:val="002D38B2"/>
    <w:rsid w:val="002D42D6"/>
    <w:rsid w:val="002D6E69"/>
    <w:rsid w:val="002E0F6D"/>
    <w:rsid w:val="002E4C76"/>
    <w:rsid w:val="002E60AC"/>
    <w:rsid w:val="002F1C66"/>
    <w:rsid w:val="002F2803"/>
    <w:rsid w:val="003058BA"/>
    <w:rsid w:val="00311D39"/>
    <w:rsid w:val="00322627"/>
    <w:rsid w:val="003312D1"/>
    <w:rsid w:val="003368D3"/>
    <w:rsid w:val="00337ABD"/>
    <w:rsid w:val="00342F1E"/>
    <w:rsid w:val="00346D0D"/>
    <w:rsid w:val="00351D1F"/>
    <w:rsid w:val="003549BF"/>
    <w:rsid w:val="00364C1F"/>
    <w:rsid w:val="00365391"/>
    <w:rsid w:val="00367060"/>
    <w:rsid w:val="003673A3"/>
    <w:rsid w:val="00373ED3"/>
    <w:rsid w:val="00374DDE"/>
    <w:rsid w:val="003762CC"/>
    <w:rsid w:val="003774CD"/>
    <w:rsid w:val="003809EF"/>
    <w:rsid w:val="00381CAE"/>
    <w:rsid w:val="00383319"/>
    <w:rsid w:val="003844D4"/>
    <w:rsid w:val="00391C69"/>
    <w:rsid w:val="003942C0"/>
    <w:rsid w:val="00394DB6"/>
    <w:rsid w:val="003A2A40"/>
    <w:rsid w:val="003A615D"/>
    <w:rsid w:val="003A656A"/>
    <w:rsid w:val="003B032B"/>
    <w:rsid w:val="003B28DB"/>
    <w:rsid w:val="003B2FD3"/>
    <w:rsid w:val="003B5595"/>
    <w:rsid w:val="003B59F7"/>
    <w:rsid w:val="003B5D7E"/>
    <w:rsid w:val="003C059D"/>
    <w:rsid w:val="003C1F68"/>
    <w:rsid w:val="003E0958"/>
    <w:rsid w:val="003E3664"/>
    <w:rsid w:val="003E50F2"/>
    <w:rsid w:val="003E5789"/>
    <w:rsid w:val="003F1728"/>
    <w:rsid w:val="003F33BB"/>
    <w:rsid w:val="003F4C3D"/>
    <w:rsid w:val="003F5F27"/>
    <w:rsid w:val="003F62BE"/>
    <w:rsid w:val="003F67FA"/>
    <w:rsid w:val="00411327"/>
    <w:rsid w:val="00413D79"/>
    <w:rsid w:val="00414477"/>
    <w:rsid w:val="00415EA7"/>
    <w:rsid w:val="0041750B"/>
    <w:rsid w:val="00417D5F"/>
    <w:rsid w:val="004262DB"/>
    <w:rsid w:val="0042686B"/>
    <w:rsid w:val="00427A28"/>
    <w:rsid w:val="0043194C"/>
    <w:rsid w:val="004340B0"/>
    <w:rsid w:val="00444F06"/>
    <w:rsid w:val="004569DA"/>
    <w:rsid w:val="00457917"/>
    <w:rsid w:val="004609C7"/>
    <w:rsid w:val="0046490E"/>
    <w:rsid w:val="004662B5"/>
    <w:rsid w:val="0047340A"/>
    <w:rsid w:val="00483587"/>
    <w:rsid w:val="00486CB2"/>
    <w:rsid w:val="00490F2E"/>
    <w:rsid w:val="00491368"/>
    <w:rsid w:val="00492659"/>
    <w:rsid w:val="0049334A"/>
    <w:rsid w:val="004A770C"/>
    <w:rsid w:val="004B002E"/>
    <w:rsid w:val="004B3D02"/>
    <w:rsid w:val="004B46A0"/>
    <w:rsid w:val="004C194A"/>
    <w:rsid w:val="004C508D"/>
    <w:rsid w:val="004C79A8"/>
    <w:rsid w:val="004D5B1E"/>
    <w:rsid w:val="004E068C"/>
    <w:rsid w:val="004E12F2"/>
    <w:rsid w:val="004E3C39"/>
    <w:rsid w:val="004F502B"/>
    <w:rsid w:val="004F7A42"/>
    <w:rsid w:val="00500E37"/>
    <w:rsid w:val="00502B55"/>
    <w:rsid w:val="00503243"/>
    <w:rsid w:val="00503CFE"/>
    <w:rsid w:val="0051195F"/>
    <w:rsid w:val="00514988"/>
    <w:rsid w:val="0051765D"/>
    <w:rsid w:val="005252B0"/>
    <w:rsid w:val="00531B2D"/>
    <w:rsid w:val="00550643"/>
    <w:rsid w:val="00553572"/>
    <w:rsid w:val="005554E5"/>
    <w:rsid w:val="0055748C"/>
    <w:rsid w:val="00565C48"/>
    <w:rsid w:val="00567732"/>
    <w:rsid w:val="00575487"/>
    <w:rsid w:val="005764D5"/>
    <w:rsid w:val="00584451"/>
    <w:rsid w:val="00584FAB"/>
    <w:rsid w:val="005A24D4"/>
    <w:rsid w:val="005A2834"/>
    <w:rsid w:val="005A3847"/>
    <w:rsid w:val="005A45F6"/>
    <w:rsid w:val="005B3CE6"/>
    <w:rsid w:val="005B6565"/>
    <w:rsid w:val="005B6BED"/>
    <w:rsid w:val="005C5C85"/>
    <w:rsid w:val="005C75EA"/>
    <w:rsid w:val="005D05C5"/>
    <w:rsid w:val="005D072B"/>
    <w:rsid w:val="005D393F"/>
    <w:rsid w:val="005D442B"/>
    <w:rsid w:val="005E3C4C"/>
    <w:rsid w:val="005E7101"/>
    <w:rsid w:val="005F0E3F"/>
    <w:rsid w:val="005F2F5A"/>
    <w:rsid w:val="005F3E68"/>
    <w:rsid w:val="00607DC1"/>
    <w:rsid w:val="006179E9"/>
    <w:rsid w:val="00626719"/>
    <w:rsid w:val="00627309"/>
    <w:rsid w:val="006301CA"/>
    <w:rsid w:val="006309E6"/>
    <w:rsid w:val="006327BB"/>
    <w:rsid w:val="00633C3B"/>
    <w:rsid w:val="0063644F"/>
    <w:rsid w:val="00644828"/>
    <w:rsid w:val="006449F7"/>
    <w:rsid w:val="00645D18"/>
    <w:rsid w:val="00646650"/>
    <w:rsid w:val="00646763"/>
    <w:rsid w:val="0065167F"/>
    <w:rsid w:val="00655F3E"/>
    <w:rsid w:val="006572AC"/>
    <w:rsid w:val="0065730A"/>
    <w:rsid w:val="00662C1A"/>
    <w:rsid w:val="00663DCC"/>
    <w:rsid w:val="00664466"/>
    <w:rsid w:val="00664726"/>
    <w:rsid w:val="006659C8"/>
    <w:rsid w:val="00667728"/>
    <w:rsid w:val="00671474"/>
    <w:rsid w:val="00671D12"/>
    <w:rsid w:val="00691A35"/>
    <w:rsid w:val="00692DDC"/>
    <w:rsid w:val="006A04E5"/>
    <w:rsid w:val="006A1085"/>
    <w:rsid w:val="006A387C"/>
    <w:rsid w:val="006A44DF"/>
    <w:rsid w:val="006A75FE"/>
    <w:rsid w:val="006B0B3E"/>
    <w:rsid w:val="006B28F7"/>
    <w:rsid w:val="006B3637"/>
    <w:rsid w:val="006B4564"/>
    <w:rsid w:val="006B6F5E"/>
    <w:rsid w:val="006C6700"/>
    <w:rsid w:val="006D3884"/>
    <w:rsid w:val="006D3B3F"/>
    <w:rsid w:val="006E2A3A"/>
    <w:rsid w:val="006E4CAD"/>
    <w:rsid w:val="006F1E4A"/>
    <w:rsid w:val="006F3359"/>
    <w:rsid w:val="006F3F19"/>
    <w:rsid w:val="006F7EFC"/>
    <w:rsid w:val="00700745"/>
    <w:rsid w:val="0070287B"/>
    <w:rsid w:val="00702D96"/>
    <w:rsid w:val="0070375F"/>
    <w:rsid w:val="0070546F"/>
    <w:rsid w:val="007075DF"/>
    <w:rsid w:val="0071048E"/>
    <w:rsid w:val="007145B2"/>
    <w:rsid w:val="007171B2"/>
    <w:rsid w:val="007178EA"/>
    <w:rsid w:val="0072120D"/>
    <w:rsid w:val="00721A9D"/>
    <w:rsid w:val="00722892"/>
    <w:rsid w:val="007242DF"/>
    <w:rsid w:val="00726C57"/>
    <w:rsid w:val="0073212E"/>
    <w:rsid w:val="007339B7"/>
    <w:rsid w:val="00734E9C"/>
    <w:rsid w:val="00742BA0"/>
    <w:rsid w:val="00743632"/>
    <w:rsid w:val="00743C82"/>
    <w:rsid w:val="0075193C"/>
    <w:rsid w:val="00752148"/>
    <w:rsid w:val="007530EC"/>
    <w:rsid w:val="00756DD3"/>
    <w:rsid w:val="007579D5"/>
    <w:rsid w:val="00762DAF"/>
    <w:rsid w:val="00765F50"/>
    <w:rsid w:val="00771521"/>
    <w:rsid w:val="00772584"/>
    <w:rsid w:val="007850A1"/>
    <w:rsid w:val="00786854"/>
    <w:rsid w:val="0078741E"/>
    <w:rsid w:val="007874B0"/>
    <w:rsid w:val="00795376"/>
    <w:rsid w:val="00797604"/>
    <w:rsid w:val="007B16BB"/>
    <w:rsid w:val="007B45A1"/>
    <w:rsid w:val="007C3754"/>
    <w:rsid w:val="007C629F"/>
    <w:rsid w:val="007C7D80"/>
    <w:rsid w:val="007D36A3"/>
    <w:rsid w:val="007D7CFA"/>
    <w:rsid w:val="007E2463"/>
    <w:rsid w:val="007E38D6"/>
    <w:rsid w:val="007E6DBA"/>
    <w:rsid w:val="007F04CE"/>
    <w:rsid w:val="007F61A9"/>
    <w:rsid w:val="00804275"/>
    <w:rsid w:val="008051D0"/>
    <w:rsid w:val="00810157"/>
    <w:rsid w:val="00811679"/>
    <w:rsid w:val="00814ED5"/>
    <w:rsid w:val="00814F86"/>
    <w:rsid w:val="0081729C"/>
    <w:rsid w:val="00820241"/>
    <w:rsid w:val="00825F3C"/>
    <w:rsid w:val="00830CF4"/>
    <w:rsid w:val="00831B82"/>
    <w:rsid w:val="00832344"/>
    <w:rsid w:val="00835E20"/>
    <w:rsid w:val="00836269"/>
    <w:rsid w:val="00836305"/>
    <w:rsid w:val="008374CB"/>
    <w:rsid w:val="008417ED"/>
    <w:rsid w:val="0084477A"/>
    <w:rsid w:val="0084634F"/>
    <w:rsid w:val="008505F9"/>
    <w:rsid w:val="00853F8F"/>
    <w:rsid w:val="00855892"/>
    <w:rsid w:val="00855A77"/>
    <w:rsid w:val="00860D34"/>
    <w:rsid w:val="00866AE5"/>
    <w:rsid w:val="00872472"/>
    <w:rsid w:val="0087386F"/>
    <w:rsid w:val="00873CE5"/>
    <w:rsid w:val="00875E22"/>
    <w:rsid w:val="00877E6A"/>
    <w:rsid w:val="00881A20"/>
    <w:rsid w:val="00881C43"/>
    <w:rsid w:val="00886856"/>
    <w:rsid w:val="008917AD"/>
    <w:rsid w:val="0089194E"/>
    <w:rsid w:val="00892CAA"/>
    <w:rsid w:val="008959F9"/>
    <w:rsid w:val="008A3741"/>
    <w:rsid w:val="008A3B5D"/>
    <w:rsid w:val="008A7B58"/>
    <w:rsid w:val="008B00D4"/>
    <w:rsid w:val="008B2E6E"/>
    <w:rsid w:val="008B388C"/>
    <w:rsid w:val="008B5D54"/>
    <w:rsid w:val="008C0851"/>
    <w:rsid w:val="008C1810"/>
    <w:rsid w:val="008C1E38"/>
    <w:rsid w:val="008C6664"/>
    <w:rsid w:val="008C6794"/>
    <w:rsid w:val="008C7C93"/>
    <w:rsid w:val="008D3F64"/>
    <w:rsid w:val="008D6DDD"/>
    <w:rsid w:val="008E015A"/>
    <w:rsid w:val="008E0A05"/>
    <w:rsid w:val="008E68C2"/>
    <w:rsid w:val="008E7E58"/>
    <w:rsid w:val="008F3959"/>
    <w:rsid w:val="008F3AB3"/>
    <w:rsid w:val="00902FE2"/>
    <w:rsid w:val="00930B60"/>
    <w:rsid w:val="0093264D"/>
    <w:rsid w:val="0093302A"/>
    <w:rsid w:val="00933559"/>
    <w:rsid w:val="00937AC5"/>
    <w:rsid w:val="009409C2"/>
    <w:rsid w:val="00941384"/>
    <w:rsid w:val="0094164D"/>
    <w:rsid w:val="009468D5"/>
    <w:rsid w:val="00955E99"/>
    <w:rsid w:val="0095690F"/>
    <w:rsid w:val="00961887"/>
    <w:rsid w:val="00961CE3"/>
    <w:rsid w:val="00962FBB"/>
    <w:rsid w:val="00965C6D"/>
    <w:rsid w:val="009713A3"/>
    <w:rsid w:val="00972D5C"/>
    <w:rsid w:val="009768AE"/>
    <w:rsid w:val="00977109"/>
    <w:rsid w:val="0098094E"/>
    <w:rsid w:val="00995CB9"/>
    <w:rsid w:val="009969EB"/>
    <w:rsid w:val="009A0736"/>
    <w:rsid w:val="009A0E36"/>
    <w:rsid w:val="009A1D8F"/>
    <w:rsid w:val="009A1F63"/>
    <w:rsid w:val="009A4C3F"/>
    <w:rsid w:val="009A7E27"/>
    <w:rsid w:val="009B07B0"/>
    <w:rsid w:val="009B3DF5"/>
    <w:rsid w:val="009B617F"/>
    <w:rsid w:val="009B70AB"/>
    <w:rsid w:val="009B7995"/>
    <w:rsid w:val="009B7A08"/>
    <w:rsid w:val="009C0451"/>
    <w:rsid w:val="009C245E"/>
    <w:rsid w:val="009C2E72"/>
    <w:rsid w:val="009D2102"/>
    <w:rsid w:val="009D6A9C"/>
    <w:rsid w:val="009D720D"/>
    <w:rsid w:val="009E4192"/>
    <w:rsid w:val="009E438F"/>
    <w:rsid w:val="009E5174"/>
    <w:rsid w:val="009E53CB"/>
    <w:rsid w:val="009F13ED"/>
    <w:rsid w:val="009F1D58"/>
    <w:rsid w:val="009F26AA"/>
    <w:rsid w:val="009F5499"/>
    <w:rsid w:val="009F568F"/>
    <w:rsid w:val="009F5AAB"/>
    <w:rsid w:val="009F7D57"/>
    <w:rsid w:val="00A02317"/>
    <w:rsid w:val="00A075E0"/>
    <w:rsid w:val="00A121AF"/>
    <w:rsid w:val="00A257DB"/>
    <w:rsid w:val="00A2646F"/>
    <w:rsid w:val="00A31665"/>
    <w:rsid w:val="00A31D9F"/>
    <w:rsid w:val="00A32042"/>
    <w:rsid w:val="00A41AC1"/>
    <w:rsid w:val="00A43276"/>
    <w:rsid w:val="00A447BD"/>
    <w:rsid w:val="00A448E3"/>
    <w:rsid w:val="00A45FA5"/>
    <w:rsid w:val="00A47279"/>
    <w:rsid w:val="00A50BF3"/>
    <w:rsid w:val="00A516F3"/>
    <w:rsid w:val="00A55309"/>
    <w:rsid w:val="00A5586F"/>
    <w:rsid w:val="00A561F7"/>
    <w:rsid w:val="00A60C3F"/>
    <w:rsid w:val="00A66699"/>
    <w:rsid w:val="00A66C22"/>
    <w:rsid w:val="00A67406"/>
    <w:rsid w:val="00A70BA3"/>
    <w:rsid w:val="00A71C3F"/>
    <w:rsid w:val="00A7507C"/>
    <w:rsid w:val="00A774BE"/>
    <w:rsid w:val="00A81232"/>
    <w:rsid w:val="00A908BB"/>
    <w:rsid w:val="00A94D17"/>
    <w:rsid w:val="00A979C6"/>
    <w:rsid w:val="00A97C01"/>
    <w:rsid w:val="00AA42E2"/>
    <w:rsid w:val="00AA4804"/>
    <w:rsid w:val="00AA4D66"/>
    <w:rsid w:val="00AA7E23"/>
    <w:rsid w:val="00AB54BD"/>
    <w:rsid w:val="00AB5A0D"/>
    <w:rsid w:val="00AB6F70"/>
    <w:rsid w:val="00AC6BEA"/>
    <w:rsid w:val="00AD02C1"/>
    <w:rsid w:val="00AD38E8"/>
    <w:rsid w:val="00AD5C32"/>
    <w:rsid w:val="00AE0EFF"/>
    <w:rsid w:val="00AE2D5B"/>
    <w:rsid w:val="00AE5AA1"/>
    <w:rsid w:val="00AF1833"/>
    <w:rsid w:val="00AF49FA"/>
    <w:rsid w:val="00B056BB"/>
    <w:rsid w:val="00B17A37"/>
    <w:rsid w:val="00B22064"/>
    <w:rsid w:val="00B22FAE"/>
    <w:rsid w:val="00B31C93"/>
    <w:rsid w:val="00B3350B"/>
    <w:rsid w:val="00B354AB"/>
    <w:rsid w:val="00B4100B"/>
    <w:rsid w:val="00B42CDA"/>
    <w:rsid w:val="00B5399B"/>
    <w:rsid w:val="00B624A4"/>
    <w:rsid w:val="00B76A86"/>
    <w:rsid w:val="00B76C4D"/>
    <w:rsid w:val="00B81B7A"/>
    <w:rsid w:val="00B84C71"/>
    <w:rsid w:val="00B86180"/>
    <w:rsid w:val="00B86E7E"/>
    <w:rsid w:val="00B87284"/>
    <w:rsid w:val="00B90819"/>
    <w:rsid w:val="00B93533"/>
    <w:rsid w:val="00BA015F"/>
    <w:rsid w:val="00BA5968"/>
    <w:rsid w:val="00BB3024"/>
    <w:rsid w:val="00BB4D26"/>
    <w:rsid w:val="00BC0C4D"/>
    <w:rsid w:val="00BC4B7A"/>
    <w:rsid w:val="00BC5DD8"/>
    <w:rsid w:val="00BD5061"/>
    <w:rsid w:val="00BD5C80"/>
    <w:rsid w:val="00BE1B88"/>
    <w:rsid w:val="00BE474F"/>
    <w:rsid w:val="00BE7561"/>
    <w:rsid w:val="00BE7D37"/>
    <w:rsid w:val="00BF2600"/>
    <w:rsid w:val="00C016FB"/>
    <w:rsid w:val="00C02858"/>
    <w:rsid w:val="00C0363D"/>
    <w:rsid w:val="00C04F76"/>
    <w:rsid w:val="00C067E2"/>
    <w:rsid w:val="00C10313"/>
    <w:rsid w:val="00C1258E"/>
    <w:rsid w:val="00C1455B"/>
    <w:rsid w:val="00C163DF"/>
    <w:rsid w:val="00C1728F"/>
    <w:rsid w:val="00C2607A"/>
    <w:rsid w:val="00C27D1B"/>
    <w:rsid w:val="00C310C5"/>
    <w:rsid w:val="00C31EB6"/>
    <w:rsid w:val="00C33B94"/>
    <w:rsid w:val="00C33C45"/>
    <w:rsid w:val="00C34B1A"/>
    <w:rsid w:val="00C35CB2"/>
    <w:rsid w:val="00C36DA7"/>
    <w:rsid w:val="00C36ED7"/>
    <w:rsid w:val="00C37A2C"/>
    <w:rsid w:val="00C4627B"/>
    <w:rsid w:val="00C46B75"/>
    <w:rsid w:val="00C47D27"/>
    <w:rsid w:val="00C50ABC"/>
    <w:rsid w:val="00C5553E"/>
    <w:rsid w:val="00C570D5"/>
    <w:rsid w:val="00C6136E"/>
    <w:rsid w:val="00C62FD9"/>
    <w:rsid w:val="00C633BF"/>
    <w:rsid w:val="00C707A3"/>
    <w:rsid w:val="00C74624"/>
    <w:rsid w:val="00C74737"/>
    <w:rsid w:val="00C7708C"/>
    <w:rsid w:val="00C80C65"/>
    <w:rsid w:val="00C82881"/>
    <w:rsid w:val="00C90B12"/>
    <w:rsid w:val="00C927EB"/>
    <w:rsid w:val="00CA1016"/>
    <w:rsid w:val="00CA167D"/>
    <w:rsid w:val="00CA4F8E"/>
    <w:rsid w:val="00CA5832"/>
    <w:rsid w:val="00CA6491"/>
    <w:rsid w:val="00CB1A9E"/>
    <w:rsid w:val="00CB586B"/>
    <w:rsid w:val="00CC2FD0"/>
    <w:rsid w:val="00CD106C"/>
    <w:rsid w:val="00CE1510"/>
    <w:rsid w:val="00CE28CD"/>
    <w:rsid w:val="00CE3E64"/>
    <w:rsid w:val="00CE70D6"/>
    <w:rsid w:val="00CF0F48"/>
    <w:rsid w:val="00CF304A"/>
    <w:rsid w:val="00CF5F34"/>
    <w:rsid w:val="00D016CA"/>
    <w:rsid w:val="00D056A9"/>
    <w:rsid w:val="00D06AFE"/>
    <w:rsid w:val="00D101D6"/>
    <w:rsid w:val="00D11E9C"/>
    <w:rsid w:val="00D12E13"/>
    <w:rsid w:val="00D12EE2"/>
    <w:rsid w:val="00D16F71"/>
    <w:rsid w:val="00D21E21"/>
    <w:rsid w:val="00D304C7"/>
    <w:rsid w:val="00D33609"/>
    <w:rsid w:val="00D361E1"/>
    <w:rsid w:val="00D3621B"/>
    <w:rsid w:val="00D40EDB"/>
    <w:rsid w:val="00D43D4F"/>
    <w:rsid w:val="00D47417"/>
    <w:rsid w:val="00D50991"/>
    <w:rsid w:val="00D52CFB"/>
    <w:rsid w:val="00D53E18"/>
    <w:rsid w:val="00D57F6C"/>
    <w:rsid w:val="00D60273"/>
    <w:rsid w:val="00D606DD"/>
    <w:rsid w:val="00D656A2"/>
    <w:rsid w:val="00D82690"/>
    <w:rsid w:val="00D939BA"/>
    <w:rsid w:val="00DA18EA"/>
    <w:rsid w:val="00DB159E"/>
    <w:rsid w:val="00DB1BE2"/>
    <w:rsid w:val="00DC0856"/>
    <w:rsid w:val="00DC7F57"/>
    <w:rsid w:val="00DD0D08"/>
    <w:rsid w:val="00DD1D04"/>
    <w:rsid w:val="00DD39EC"/>
    <w:rsid w:val="00DD6084"/>
    <w:rsid w:val="00DE60D0"/>
    <w:rsid w:val="00DE7AC6"/>
    <w:rsid w:val="00DF475B"/>
    <w:rsid w:val="00DF526E"/>
    <w:rsid w:val="00E009AD"/>
    <w:rsid w:val="00E06AA3"/>
    <w:rsid w:val="00E168E6"/>
    <w:rsid w:val="00E2110F"/>
    <w:rsid w:val="00E30A4D"/>
    <w:rsid w:val="00E32536"/>
    <w:rsid w:val="00E40D08"/>
    <w:rsid w:val="00E40F71"/>
    <w:rsid w:val="00E43901"/>
    <w:rsid w:val="00E5009B"/>
    <w:rsid w:val="00E50B04"/>
    <w:rsid w:val="00E5354B"/>
    <w:rsid w:val="00E55E81"/>
    <w:rsid w:val="00E647F4"/>
    <w:rsid w:val="00E66525"/>
    <w:rsid w:val="00E66A72"/>
    <w:rsid w:val="00E6747E"/>
    <w:rsid w:val="00E7356E"/>
    <w:rsid w:val="00E83520"/>
    <w:rsid w:val="00E841AC"/>
    <w:rsid w:val="00E8710E"/>
    <w:rsid w:val="00E91C23"/>
    <w:rsid w:val="00EA2AE1"/>
    <w:rsid w:val="00EC4760"/>
    <w:rsid w:val="00EC6FBE"/>
    <w:rsid w:val="00EE216E"/>
    <w:rsid w:val="00EE271E"/>
    <w:rsid w:val="00EE2D4D"/>
    <w:rsid w:val="00EE3CA8"/>
    <w:rsid w:val="00EE6084"/>
    <w:rsid w:val="00EF2617"/>
    <w:rsid w:val="00EF4AC7"/>
    <w:rsid w:val="00EF6469"/>
    <w:rsid w:val="00F05B94"/>
    <w:rsid w:val="00F0687F"/>
    <w:rsid w:val="00F069A3"/>
    <w:rsid w:val="00F10ED0"/>
    <w:rsid w:val="00F15348"/>
    <w:rsid w:val="00F267EF"/>
    <w:rsid w:val="00F30929"/>
    <w:rsid w:val="00F332C2"/>
    <w:rsid w:val="00F573FD"/>
    <w:rsid w:val="00F60B34"/>
    <w:rsid w:val="00F61F1A"/>
    <w:rsid w:val="00F62F57"/>
    <w:rsid w:val="00F62FD1"/>
    <w:rsid w:val="00F648C0"/>
    <w:rsid w:val="00F65394"/>
    <w:rsid w:val="00F6539A"/>
    <w:rsid w:val="00F7064F"/>
    <w:rsid w:val="00F76D55"/>
    <w:rsid w:val="00F82F8E"/>
    <w:rsid w:val="00F842B5"/>
    <w:rsid w:val="00F86309"/>
    <w:rsid w:val="00F97D05"/>
    <w:rsid w:val="00FA15BD"/>
    <w:rsid w:val="00FB2673"/>
    <w:rsid w:val="00FB3065"/>
    <w:rsid w:val="00FB474B"/>
    <w:rsid w:val="00FC11C8"/>
    <w:rsid w:val="00FD40A7"/>
    <w:rsid w:val="00FD429A"/>
    <w:rsid w:val="00FD4BBE"/>
    <w:rsid w:val="00FD5052"/>
    <w:rsid w:val="00FD51F6"/>
    <w:rsid w:val="00FE0621"/>
    <w:rsid w:val="00FE2083"/>
    <w:rsid w:val="00FF5EB2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D48E"/>
  <w15:chartTrackingRefBased/>
  <w15:docId w15:val="{1B52D937-C38F-41B4-9481-0129100F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319"/>
  </w:style>
  <w:style w:type="paragraph" w:styleId="Heading1">
    <w:name w:val="heading 1"/>
    <w:basedOn w:val="Normal"/>
    <w:next w:val="Normal"/>
    <w:link w:val="Heading1Char"/>
    <w:uiPriority w:val="9"/>
    <w:qFormat/>
    <w:rsid w:val="00AB6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A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F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07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8558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14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969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6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B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F61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5">
    <w:name w:val="Plain Table 5"/>
    <w:basedOn w:val="TableNormal"/>
    <w:uiPriority w:val="45"/>
    <w:rsid w:val="00A97C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7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80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9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8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28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289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A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5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D5F"/>
  </w:style>
  <w:style w:type="paragraph" w:styleId="Footer">
    <w:name w:val="footer"/>
    <w:basedOn w:val="Normal"/>
    <w:link w:val="FooterChar"/>
    <w:uiPriority w:val="99"/>
    <w:unhideWhenUsed/>
    <w:rsid w:val="0041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D5F"/>
  </w:style>
  <w:style w:type="character" w:customStyle="1" w:styleId="Heading4Char">
    <w:name w:val="Heading 4 Char"/>
    <w:basedOn w:val="DefaultParagraphFont"/>
    <w:link w:val="Heading4"/>
    <w:uiPriority w:val="9"/>
    <w:rsid w:val="003A2A4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900" b="1" i="0" baseline="0">
                <a:effectLst/>
              </a:rPr>
              <a:t>Chart 1: Economic Performance for Minnesota's Manufacturing Businesses  - 2023</a:t>
            </a:r>
          </a:p>
        </c:rich>
      </c:tx>
      <c:layout>
        <c:manualLayout>
          <c:xMode val="edge"/>
          <c:yMode val="edge"/>
          <c:x val="0.20565822670106879"/>
          <c:y val="4.62958597241213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374827639445679"/>
          <c:y val="0.19212962962962962"/>
          <c:w val="0.81114308987238659"/>
          <c:h val="0.668534741540540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'Diffusion Indexes'!$B$1</c:f>
              <c:strCache>
                <c:ptCount val="1"/>
                <c:pt idx="0">
                  <c:v>Diffusion Index </c:v>
                </c:pt>
              </c:strCache>
            </c:strRef>
          </c:tx>
          <c:spPr>
            <a:solidFill>
              <a:srgbClr val="003865"/>
            </a:solidFill>
            <a:ln>
              <a:solidFill>
                <a:schemeClr val="tx2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'Diffusion Indexes'!$A$2:$A$10</c:f>
              <c:strCache>
                <c:ptCount val="9"/>
                <c:pt idx="0">
                  <c:v>Orders</c:v>
                </c:pt>
                <c:pt idx="1">
                  <c:v>Product-
level</c:v>
                </c:pt>
                <c:pt idx="2">
                  <c:v>Emp.-
level</c:v>
                </c:pt>
                <c:pt idx="3">
                  <c:v>Labor 
availa.</c:v>
                </c:pt>
                <c:pt idx="4">
                  <c:v>Invest-
ment</c:v>
                </c:pt>
                <c:pt idx="5">
                  <c:v>Selling
prices</c:v>
                </c:pt>
                <c:pt idx="6">
                  <c:v>Profits
</c:v>
                </c:pt>
                <c:pt idx="7">
                  <c:v>Pro-
ductivity</c:v>
                </c:pt>
                <c:pt idx="8">
                  <c:v>Exports</c:v>
                </c:pt>
              </c:strCache>
            </c:strRef>
          </c:cat>
          <c:val>
            <c:numRef>
              <c:f>'Diffusion Indexes'!$B$2:$B$10</c:f>
              <c:numCache>
                <c:formatCode>0</c:formatCode>
                <c:ptCount val="9"/>
                <c:pt idx="0">
                  <c:v>37</c:v>
                </c:pt>
                <c:pt idx="1">
                  <c:v>44</c:v>
                </c:pt>
                <c:pt idx="2">
                  <c:v>45</c:v>
                </c:pt>
                <c:pt idx="3">
                  <c:v>36</c:v>
                </c:pt>
                <c:pt idx="4">
                  <c:v>53</c:v>
                </c:pt>
                <c:pt idx="5">
                  <c:v>74</c:v>
                </c:pt>
                <c:pt idx="6">
                  <c:v>33</c:v>
                </c:pt>
                <c:pt idx="7">
                  <c:v>48</c:v>
                </c:pt>
                <c:pt idx="8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73-4F74-9500-05B0E7C85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5"/>
        <c:axId val="593427568"/>
        <c:axId val="593431176"/>
      </c:barChart>
      <c:lineChart>
        <c:grouping val="standard"/>
        <c:varyColors val="0"/>
        <c:ser>
          <c:idx val="1"/>
          <c:order val="1"/>
          <c:tx>
            <c:strRef>
              <c:f>'Diffusion Indexes'!$C$1</c:f>
              <c:strCache>
                <c:ptCount val="1"/>
                <c:pt idx="0">
                  <c:v>Vertical Line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'Diffusion Indexes'!$A$2:$A$10</c:f>
              <c:strCache>
                <c:ptCount val="9"/>
                <c:pt idx="0">
                  <c:v>Orders</c:v>
                </c:pt>
                <c:pt idx="1">
                  <c:v>Product-
level</c:v>
                </c:pt>
                <c:pt idx="2">
                  <c:v>Emp.-
level</c:v>
                </c:pt>
                <c:pt idx="3">
                  <c:v>Labor 
availa.</c:v>
                </c:pt>
                <c:pt idx="4">
                  <c:v>Invest-
ment</c:v>
                </c:pt>
                <c:pt idx="5">
                  <c:v>Selling
prices</c:v>
                </c:pt>
                <c:pt idx="6">
                  <c:v>Profits
</c:v>
                </c:pt>
                <c:pt idx="7">
                  <c:v>Pro-
ductivity</c:v>
                </c:pt>
                <c:pt idx="8">
                  <c:v>Exports</c:v>
                </c:pt>
              </c:strCache>
            </c:strRef>
          </c:cat>
          <c:val>
            <c:numRef>
              <c:f>'Diffusion Indexes'!$C$2:$C$10</c:f>
              <c:numCache>
                <c:formatCode>0</c:formatCode>
                <c:ptCount val="9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E73-4F74-9500-05B0E7C85D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3427568"/>
        <c:axId val="593431176"/>
      </c:lineChart>
      <c:catAx>
        <c:axId val="59342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431176"/>
        <c:crosses val="autoZero"/>
        <c:auto val="1"/>
        <c:lblAlgn val="ctr"/>
        <c:lblOffset val="100"/>
        <c:noMultiLvlLbl val="0"/>
      </c:catAx>
      <c:valAx>
        <c:axId val="593431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Difussion</a:t>
                </a:r>
                <a:r>
                  <a:rPr lang="en-US" baseline="0"/>
                  <a:t> Index*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42756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900" b="1" i="0" baseline="0">
                <a:effectLst/>
              </a:rPr>
              <a:t> Chart 2: Outlook Economic Performance for Minnesota's Manufacturing Businesses  - 2024</a:t>
            </a:r>
          </a:p>
        </c:rich>
      </c:tx>
      <c:layout>
        <c:manualLayout>
          <c:xMode val="edge"/>
          <c:yMode val="edge"/>
          <c:x val="0.16931661555630803"/>
          <c:y val="4.62958597241213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374827639445679"/>
          <c:y val="0.19212962962962962"/>
          <c:w val="0.81114308987238659"/>
          <c:h val="0.668534741540540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'Diffusion Indexes'!$B$1</c:f>
              <c:strCache>
                <c:ptCount val="1"/>
                <c:pt idx="0">
                  <c:v>Diffusion Index </c:v>
                </c:pt>
              </c:strCache>
            </c:strRef>
          </c:tx>
          <c:spPr>
            <a:solidFill>
              <a:srgbClr val="003865"/>
            </a:solidFill>
            <a:ln>
              <a:solidFill>
                <a:schemeClr val="tx2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'Diffusion Indexes'!$A$2:$A$10</c:f>
              <c:strCache>
                <c:ptCount val="9"/>
                <c:pt idx="0">
                  <c:v>Orders</c:v>
                </c:pt>
                <c:pt idx="1">
                  <c:v>Product-
level</c:v>
                </c:pt>
                <c:pt idx="2">
                  <c:v>Emp.-
level</c:v>
                </c:pt>
                <c:pt idx="3">
                  <c:v>Labor 
availa.</c:v>
                </c:pt>
                <c:pt idx="4">
                  <c:v>Invest-
ment</c:v>
                </c:pt>
                <c:pt idx="5">
                  <c:v>Selling
prices</c:v>
                </c:pt>
                <c:pt idx="6">
                  <c:v>Profits
</c:v>
                </c:pt>
                <c:pt idx="7">
                  <c:v>Pro-
ductivity</c:v>
                </c:pt>
                <c:pt idx="8">
                  <c:v>Exports</c:v>
                </c:pt>
              </c:strCache>
            </c:strRef>
          </c:cat>
          <c:val>
            <c:numRef>
              <c:f>'Diffusion Indexes'!$B$2:$B$10</c:f>
              <c:numCache>
                <c:formatCode>0</c:formatCode>
                <c:ptCount val="9"/>
                <c:pt idx="0">
                  <c:v>51</c:v>
                </c:pt>
                <c:pt idx="1">
                  <c:v>53</c:v>
                </c:pt>
                <c:pt idx="2">
                  <c:v>50</c:v>
                </c:pt>
                <c:pt idx="3">
                  <c:v>44</c:v>
                </c:pt>
                <c:pt idx="4">
                  <c:v>46</c:v>
                </c:pt>
                <c:pt idx="5">
                  <c:v>60</c:v>
                </c:pt>
                <c:pt idx="6">
                  <c:v>56</c:v>
                </c:pt>
                <c:pt idx="7">
                  <c:v>57</c:v>
                </c:pt>
                <c:pt idx="8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45-4D76-902F-AB977B469C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5"/>
        <c:axId val="593427568"/>
        <c:axId val="593431176"/>
      </c:barChart>
      <c:lineChart>
        <c:grouping val="standard"/>
        <c:varyColors val="0"/>
        <c:ser>
          <c:idx val="1"/>
          <c:order val="1"/>
          <c:tx>
            <c:strRef>
              <c:f>'Diffusion Indexes'!$C$1</c:f>
              <c:strCache>
                <c:ptCount val="1"/>
                <c:pt idx="0">
                  <c:v>Vertical Line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'Diffusion Indexes'!$A$2:$A$10</c:f>
              <c:strCache>
                <c:ptCount val="9"/>
                <c:pt idx="0">
                  <c:v>Orders</c:v>
                </c:pt>
                <c:pt idx="1">
                  <c:v>Product-
level</c:v>
                </c:pt>
                <c:pt idx="2">
                  <c:v>Emp.-
level</c:v>
                </c:pt>
                <c:pt idx="3">
                  <c:v>Labor 
availa.</c:v>
                </c:pt>
                <c:pt idx="4">
                  <c:v>Invest-
ment</c:v>
                </c:pt>
                <c:pt idx="5">
                  <c:v>Selling
prices</c:v>
                </c:pt>
                <c:pt idx="6">
                  <c:v>Profits
</c:v>
                </c:pt>
                <c:pt idx="7">
                  <c:v>Pro-
ductivity</c:v>
                </c:pt>
                <c:pt idx="8">
                  <c:v>Exports</c:v>
                </c:pt>
              </c:strCache>
            </c:strRef>
          </c:cat>
          <c:val>
            <c:numRef>
              <c:f>'Diffusion Indexes'!$C$2:$C$10</c:f>
              <c:numCache>
                <c:formatCode>0</c:formatCode>
                <c:ptCount val="9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245-4D76-902F-AB977B469C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3427568"/>
        <c:axId val="593431176"/>
      </c:lineChart>
      <c:catAx>
        <c:axId val="59342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431176"/>
        <c:crosses val="autoZero"/>
        <c:auto val="1"/>
        <c:lblAlgn val="ctr"/>
        <c:lblOffset val="100"/>
        <c:noMultiLvlLbl val="0"/>
      </c:catAx>
      <c:valAx>
        <c:axId val="593431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Difussion</a:t>
                </a:r>
                <a:r>
                  <a:rPr lang="en-US" baseline="0"/>
                  <a:t> Index*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42756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5E1E-698F-4F45-92E1-3A91BBF6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Olson</dc:creator>
  <cp:keywords/>
  <dc:description/>
  <cp:lastModifiedBy>White, Deanne (DEED)</cp:lastModifiedBy>
  <cp:revision>2</cp:revision>
  <cp:lastPrinted>2023-12-20T22:24:00Z</cp:lastPrinted>
  <dcterms:created xsi:type="dcterms:W3CDTF">2024-02-02T19:50:00Z</dcterms:created>
  <dcterms:modified xsi:type="dcterms:W3CDTF">2024-02-02T19:50:00Z</dcterms:modified>
</cp:coreProperties>
</file>