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081E" w14:textId="0ABF1001" w:rsidR="00A30328" w:rsidRPr="00913ED2" w:rsidRDefault="00A30328" w:rsidP="00913ED2">
      <w:pPr>
        <w:tabs>
          <w:tab w:val="left" w:pos="360"/>
          <w:tab w:val="left" w:pos="6660"/>
        </w:tabs>
        <w:spacing w:after="240"/>
        <w:jc w:val="center"/>
      </w:pPr>
      <w:r w:rsidRPr="00913ED2">
        <w:rPr>
          <w:noProof/>
        </w:rPr>
        <mc:AlternateContent>
          <mc:Choice Requires="wps">
            <w:drawing>
              <wp:anchor distT="0" distB="0" distL="114300" distR="114300" simplePos="0" relativeHeight="251656704" behindDoc="0" locked="0" layoutInCell="1" allowOverlap="1" wp14:anchorId="3957BDA5" wp14:editId="1C403CA8">
                <wp:simplePos x="0" y="0"/>
                <wp:positionH relativeFrom="margin">
                  <wp:align>left</wp:align>
                </wp:positionH>
                <wp:positionV relativeFrom="paragraph">
                  <wp:posOffset>1112520</wp:posOffset>
                </wp:positionV>
                <wp:extent cx="6472362" cy="419100"/>
                <wp:effectExtent l="0" t="0" r="0" b="0"/>
                <wp:wrapNone/>
                <wp:docPr id="2" name="Text Box 2" descr="Text box&#10;&#10;Data on Minnesota Exports for Second Quarter 2023 – Published August 2023&#10;For More Information: Alicia Cordes-Mayo (alicia.cordes-mayo@state.mn.us, 763-406-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362"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0058" w14:textId="24868743"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D11965">
                              <w:rPr>
                                <w:rStyle w:val="Emphasis"/>
                                <w:b/>
                              </w:rPr>
                              <w:t>Second</w:t>
                            </w:r>
                            <w:r w:rsidR="007818E5">
                              <w:rPr>
                                <w:rStyle w:val="Emphasis"/>
                                <w:b/>
                              </w:rPr>
                              <w:t xml:space="preserve"> Quarter </w:t>
                            </w:r>
                            <w:r w:rsidR="00D4733E">
                              <w:rPr>
                                <w:rStyle w:val="Emphasis"/>
                                <w:b/>
                              </w:rPr>
                              <w:t>202</w:t>
                            </w:r>
                            <w:r w:rsidR="004A5841">
                              <w:rPr>
                                <w:rStyle w:val="Emphasis"/>
                                <w:b/>
                              </w:rPr>
                              <w:t>3</w:t>
                            </w:r>
                            <w:r w:rsidR="00A43E28">
                              <w:rPr>
                                <w:rStyle w:val="Emphasis"/>
                                <w:b/>
                              </w:rPr>
                              <w:t xml:space="preserve"> – Published </w:t>
                            </w:r>
                            <w:r w:rsidR="00D11965">
                              <w:rPr>
                                <w:rStyle w:val="Emphasis"/>
                                <w:b/>
                              </w:rPr>
                              <w:t>August</w:t>
                            </w:r>
                            <w:r w:rsidR="0000470B">
                              <w:rPr>
                                <w:rStyle w:val="Emphasis"/>
                                <w:b/>
                              </w:rPr>
                              <w:t xml:space="preserve"> </w:t>
                            </w:r>
                            <w:r w:rsidR="00D4733E">
                              <w:rPr>
                                <w:rStyle w:val="Emphasis"/>
                                <w:b/>
                              </w:rPr>
                              <w:t>202</w:t>
                            </w:r>
                            <w:r w:rsidR="004A5841">
                              <w:rPr>
                                <w:rStyle w:val="Emphasis"/>
                                <w:b/>
                              </w:rPr>
                              <w:t>3</w:t>
                            </w:r>
                          </w:p>
                          <w:p w14:paraId="34B91C04" w14:textId="42D225B0" w:rsidR="007F1C4A" w:rsidRPr="00B577E0" w:rsidRDefault="00FE15EB" w:rsidP="0094395B">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7BDA5" id="_x0000_t202" coordsize="21600,21600" o:spt="202" path="m,l,21600r21600,l21600,xe">
                <v:stroke joinstyle="miter"/>
                <v:path gradientshapeok="t" o:connecttype="rect"/>
              </v:shapetype>
              <v:shape id="Text Box 2" o:spid="_x0000_s1026" type="#_x0000_t202" alt="Text box&#10;&#10;Data on Minnesota Exports for Second Quarter 2023 – Published August 2023&#10;For More Information: Alicia Cordes-Mayo (alicia.cordes-mayo@state.mn.us, 763-406-9965)" style="position:absolute;left:0;text-align:left;margin-left:0;margin-top:87.6pt;width:509.65pt;height:3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4b4QEAAKEDAAAOAAAAZHJzL2Uyb0RvYy54bWysU9tu2zAMfR+wfxD0vvgyL12NOEXXosOA&#10;7gJ0/QBZlmxjtqhRSuzs60fJaZptb8VeBImkD885pDdX8ziwvULXg6l4tko5U0ZC05u24o/f7968&#10;58x5YRoxgFEVPyjHr7avX20mW6ocOhgahYxAjCsnW/HOe1smiZOdGoVbgVWGkhpwFJ6e2CYNionQ&#10;xyHJ03SdTICNRZDKOYreLkm+jfhaK+m/au2UZ0PFiZuPJ8azDmey3YiyRWG7Xh5piBewGEVvqOkJ&#10;6lZ4wXbY/wM19hLBgfYrCWMCWvdSRQ2kJkv/UvPQCauiFjLH2ZNN7v/Byi/7B/sNmZ8/wEwDjCKc&#10;vQf5wzEDN50wrbpGhKlToqHGWbAsmawrj58Gq13pAkg9fYaGhix2HiLQrHEMrpBORug0gMPJdDV7&#10;Jim4Li7yt+ucM0m5IrvM0jiVRJRPX1t0/qOCkYVLxZGGGtHF/t75wEaUTyWhmYG7fhjiYAfzR4AK&#10;QySyD4QX6n6uZ6oOKmpoDqQDYdkT2mu6dIC/OJtoRyrufu4EKs6GT4a8uMyKIixVfBTvLnJ64Hmm&#10;Ps8IIwmq4p6z5Xrjl0XcWezbjjot7hu4Jv90H6U9szrypj2Iio87Gxbt/B2rnv+s7W8AAAD//wMA&#10;UEsDBBQABgAIAAAAIQDlrdx73gAAAAkBAAAPAAAAZHJzL2Rvd25yZXYueG1sTI/BTsMwEETvSP0H&#10;aytxo+uEltIQp0IgrkUtFImbG2+TiHgdxW4T/r7uCY6zs5p5k69H24oz9b5xrCCZSRDEpTMNVwo+&#10;P97uHkH4oNno1jEp+CUP62Jyk+vMuIG3dN6FSsQQ9plWUIfQZYi+rMlqP3MdcfSOrrc6RNlXaHo9&#10;xHDbYirlA1rdcGyodUcvNZU/u5NVsN8cv7/m8r16tYtucKNEtitU6nY6Pj+BCDSGv2e44kd0KCLT&#10;wZ3YeNEqiENCvC4XKYirLZPVPYiDgnSepIBFjv8XFBcAAAD//wMAUEsBAi0AFAAGAAgAAAAhALaD&#10;OJL+AAAA4QEAABMAAAAAAAAAAAAAAAAAAAAAAFtDb250ZW50X1R5cGVzXS54bWxQSwECLQAUAAYA&#10;CAAAACEAOP0h/9YAAACUAQAACwAAAAAAAAAAAAAAAAAvAQAAX3JlbHMvLnJlbHNQSwECLQAUAAYA&#10;CAAAACEAOCquG+EBAAChAwAADgAAAAAAAAAAAAAAAAAuAgAAZHJzL2Uyb0RvYy54bWxQSwECLQAU&#10;AAYACAAAACEA5a3ce94AAAAJAQAADwAAAAAAAAAAAAAAAAA7BAAAZHJzL2Rvd25yZXYueG1sUEsF&#10;BgAAAAAEAAQA8wAAAEYFAAAAAA==&#10;" filled="f" stroked="f">
                <v:textbox>
                  <w:txbxContent>
                    <w:p w14:paraId="482B0058" w14:textId="24868743" w:rsidR="007F1C4A" w:rsidRPr="00B577E0" w:rsidRDefault="007F1C4A" w:rsidP="007F1C4A">
                      <w:pPr>
                        <w:pStyle w:val="NoSpacing"/>
                        <w:jc w:val="center"/>
                        <w:rPr>
                          <w:rStyle w:val="Emphasis"/>
                          <w:b/>
                        </w:rPr>
                      </w:pPr>
                      <w:r w:rsidRPr="00B577E0">
                        <w:rPr>
                          <w:rStyle w:val="Emphasis"/>
                          <w:b/>
                        </w:rPr>
                        <w:t>Dat</w:t>
                      </w:r>
                      <w:r w:rsidR="00B85149">
                        <w:rPr>
                          <w:rStyle w:val="Emphasis"/>
                          <w:b/>
                        </w:rPr>
                        <w:t>a</w:t>
                      </w:r>
                      <w:r w:rsidR="00856B05">
                        <w:rPr>
                          <w:rStyle w:val="Emphasis"/>
                          <w:b/>
                        </w:rPr>
                        <w:t xml:space="preserve"> on Minnesota Exports for </w:t>
                      </w:r>
                      <w:r w:rsidR="00D11965">
                        <w:rPr>
                          <w:rStyle w:val="Emphasis"/>
                          <w:b/>
                        </w:rPr>
                        <w:t>Second</w:t>
                      </w:r>
                      <w:r w:rsidR="007818E5">
                        <w:rPr>
                          <w:rStyle w:val="Emphasis"/>
                          <w:b/>
                        </w:rPr>
                        <w:t xml:space="preserve"> Quarter </w:t>
                      </w:r>
                      <w:r w:rsidR="00D4733E">
                        <w:rPr>
                          <w:rStyle w:val="Emphasis"/>
                          <w:b/>
                        </w:rPr>
                        <w:t>202</w:t>
                      </w:r>
                      <w:r w:rsidR="004A5841">
                        <w:rPr>
                          <w:rStyle w:val="Emphasis"/>
                          <w:b/>
                        </w:rPr>
                        <w:t>3</w:t>
                      </w:r>
                      <w:r w:rsidR="00A43E28">
                        <w:rPr>
                          <w:rStyle w:val="Emphasis"/>
                          <w:b/>
                        </w:rPr>
                        <w:t xml:space="preserve"> – Published </w:t>
                      </w:r>
                      <w:r w:rsidR="00D11965">
                        <w:rPr>
                          <w:rStyle w:val="Emphasis"/>
                          <w:b/>
                        </w:rPr>
                        <w:t>August</w:t>
                      </w:r>
                      <w:r w:rsidR="0000470B">
                        <w:rPr>
                          <w:rStyle w:val="Emphasis"/>
                          <w:b/>
                        </w:rPr>
                        <w:t xml:space="preserve"> </w:t>
                      </w:r>
                      <w:r w:rsidR="00D4733E">
                        <w:rPr>
                          <w:rStyle w:val="Emphasis"/>
                          <w:b/>
                        </w:rPr>
                        <w:t>202</w:t>
                      </w:r>
                      <w:r w:rsidR="004A5841">
                        <w:rPr>
                          <w:rStyle w:val="Emphasis"/>
                          <w:b/>
                        </w:rPr>
                        <w:t>3</w:t>
                      </w:r>
                    </w:p>
                    <w:p w14:paraId="34B91C04" w14:textId="42D225B0" w:rsidR="007F1C4A" w:rsidRPr="00B577E0" w:rsidRDefault="00FE15EB" w:rsidP="0094395B">
                      <w:pPr>
                        <w:pStyle w:val="NoSpacing"/>
                        <w:jc w:val="center"/>
                        <w:rPr>
                          <w:rStyle w:val="Emphasis"/>
                          <w:b/>
                        </w:rPr>
                      </w:pPr>
                      <w:r>
                        <w:rPr>
                          <w:rStyle w:val="Emphasis"/>
                          <w:b/>
                        </w:rPr>
                        <w:t>For More Information</w:t>
                      </w:r>
                      <w:r w:rsidRPr="007818E5">
                        <w:rPr>
                          <w:rStyle w:val="Emphasis"/>
                        </w:rPr>
                        <w:t xml:space="preserve">: </w:t>
                      </w:r>
                      <w:r w:rsidRPr="00690C1B">
                        <w:rPr>
                          <w:rStyle w:val="Strong"/>
                          <w:i/>
                          <w:iCs/>
                        </w:rPr>
                        <w:t>Alicia Cordes-Mayo (</w:t>
                      </w:r>
                      <w:r w:rsidRPr="00690C1B">
                        <w:rPr>
                          <w:b/>
                          <w:bCs/>
                          <w:i/>
                          <w:iCs/>
                        </w:rPr>
                        <w:t>alicia.cordes-mayo@state.mn.us, 763-406-9965)</w:t>
                      </w:r>
                    </w:p>
                  </w:txbxContent>
                </v:textbox>
                <w10:wrap anchorx="margin"/>
              </v:shape>
            </w:pict>
          </mc:Fallback>
        </mc:AlternateContent>
      </w:r>
      <w:r w:rsidR="00D11965" w:rsidRPr="00913ED2">
        <w:rPr>
          <w:noProof/>
        </w:rPr>
        <w:drawing>
          <wp:inline distT="0" distB="0" distL="0" distR="0" wp14:anchorId="5ED5A7BD" wp14:editId="7B6C5B6D">
            <wp:extent cx="6321829" cy="1105593"/>
            <wp:effectExtent l="0" t="0" r="3175" b="0"/>
            <wp:docPr id="6" name="Picture 6" descr="Banner: Minnesota Export Statistics, 2nd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nner: Minnesota Export Statistics, 2nd Quarter"/>
                    <pic:cNvPicPr/>
                  </pic:nvPicPr>
                  <pic:blipFill>
                    <a:blip r:embed="rId8">
                      <a:extLst>
                        <a:ext uri="{28A0092B-C50C-407E-A947-70E740481C1C}">
                          <a14:useLocalDpi xmlns:a14="http://schemas.microsoft.com/office/drawing/2010/main" val="0"/>
                        </a:ext>
                      </a:extLst>
                    </a:blip>
                    <a:stretch>
                      <a:fillRect/>
                    </a:stretch>
                  </pic:blipFill>
                  <pic:spPr>
                    <a:xfrm>
                      <a:off x="0" y="0"/>
                      <a:ext cx="6321829" cy="1105593"/>
                    </a:xfrm>
                    <a:prstGeom prst="rect">
                      <a:avLst/>
                    </a:prstGeom>
                  </pic:spPr>
                </pic:pic>
              </a:graphicData>
            </a:graphic>
          </wp:inline>
        </w:drawing>
      </w:r>
    </w:p>
    <w:p w14:paraId="4EAE8978" w14:textId="57D94662" w:rsidR="00CE313B" w:rsidRPr="00913ED2" w:rsidRDefault="00CE313B" w:rsidP="007F1C4A">
      <w:pPr>
        <w:tabs>
          <w:tab w:val="left" w:pos="360"/>
          <w:tab w:val="left" w:pos="6660"/>
        </w:tabs>
        <w:spacing w:after="240"/>
        <w:jc w:val="center"/>
        <w:sectPr w:rsidR="00CE313B" w:rsidRPr="00913ED2" w:rsidSect="00FE15EB">
          <w:headerReference w:type="even" r:id="rId9"/>
          <w:headerReference w:type="default" r:id="rId10"/>
          <w:footerReference w:type="even" r:id="rId11"/>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p>
    <w:p w14:paraId="18DCA261" w14:textId="3ECEB6C4" w:rsidR="00641D3B" w:rsidRPr="00913ED2" w:rsidRDefault="00FA433D" w:rsidP="00913ED2">
      <w:pPr>
        <w:pStyle w:val="Heading1"/>
        <w:spacing w:before="720"/>
        <w:rPr>
          <w:rFonts w:asciiTheme="minorHAnsi" w:hAnsiTheme="minorHAnsi"/>
          <w:color w:val="auto"/>
          <w:sz w:val="36"/>
          <w:szCs w:val="30"/>
        </w:rPr>
        <w:sectPr w:rsidR="00641D3B" w:rsidRPr="00913ED2"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r w:rsidRPr="00913ED2">
        <w:rPr>
          <w:rFonts w:asciiTheme="minorHAnsi" w:hAnsiTheme="minorHAnsi"/>
          <w:color w:val="auto"/>
          <w:sz w:val="36"/>
          <w:szCs w:val="30"/>
        </w:rPr>
        <w:t>Bright Spots of Growth Despite State Exports Sliding 9%</w:t>
      </w:r>
    </w:p>
    <w:p w14:paraId="2DB69746" w14:textId="0B81C48B" w:rsidR="00F20245" w:rsidRPr="00913ED2" w:rsidRDefault="007F1C4A" w:rsidP="00044ED9">
      <w:pPr>
        <w:pStyle w:val="ListParagraph"/>
        <w:numPr>
          <w:ilvl w:val="0"/>
          <w:numId w:val="9"/>
        </w:numPr>
        <w:spacing w:before="60" w:after="0"/>
      </w:pPr>
      <w:r w:rsidRPr="00913ED2">
        <w:t>Minnesota exports</w:t>
      </w:r>
      <w:r w:rsidR="00F20245" w:rsidRPr="00913ED2">
        <w:t xml:space="preserve"> of goods</w:t>
      </w:r>
      <w:r w:rsidRPr="00913ED2">
        <w:t xml:space="preserve"> (incl</w:t>
      </w:r>
      <w:r w:rsidR="004C6288" w:rsidRPr="00913ED2">
        <w:t>uding</w:t>
      </w:r>
      <w:r w:rsidRPr="00913ED2">
        <w:t xml:space="preserve"> agricultural, </w:t>
      </w:r>
      <w:proofErr w:type="gramStart"/>
      <w:r w:rsidRPr="00913ED2">
        <w:t>mining</w:t>
      </w:r>
      <w:proofErr w:type="gramEnd"/>
      <w:r w:rsidRPr="00913ED2">
        <w:t xml:space="preserve"> and manufact</w:t>
      </w:r>
      <w:r w:rsidR="00A02A94" w:rsidRPr="00913ED2">
        <w:t>ured products) wer</w:t>
      </w:r>
      <w:r w:rsidR="00E92FA6" w:rsidRPr="00913ED2">
        <w:t>e</w:t>
      </w:r>
      <w:r w:rsidR="00F20245" w:rsidRPr="00913ED2">
        <w:t xml:space="preserve"> valued at</w:t>
      </w:r>
      <w:r w:rsidR="00E92FA6" w:rsidRPr="00913ED2">
        <w:t xml:space="preserve"> $</w:t>
      </w:r>
      <w:r w:rsidR="00D4733E" w:rsidRPr="00913ED2">
        <w:t>6.</w:t>
      </w:r>
      <w:r w:rsidR="002D1E09" w:rsidRPr="00913ED2">
        <w:t>1</w:t>
      </w:r>
      <w:r w:rsidR="00C23DAA" w:rsidRPr="00913ED2">
        <w:t xml:space="preserve"> billion</w:t>
      </w:r>
      <w:r w:rsidR="00DB304D" w:rsidRPr="00913ED2">
        <w:t xml:space="preserve"> in the </w:t>
      </w:r>
      <w:r w:rsidR="002D1E09" w:rsidRPr="00913ED2">
        <w:t>second</w:t>
      </w:r>
      <w:r w:rsidR="00DB304D" w:rsidRPr="00913ED2">
        <w:t xml:space="preserve"> quarter of </w:t>
      </w:r>
      <w:r w:rsidR="00D4733E" w:rsidRPr="00913ED2">
        <w:t>202</w:t>
      </w:r>
      <w:r w:rsidR="004C6288" w:rsidRPr="00913ED2">
        <w:t>3</w:t>
      </w:r>
      <w:r w:rsidR="00DB304D" w:rsidRPr="00913ED2">
        <w:t xml:space="preserve">, </w:t>
      </w:r>
      <w:r w:rsidR="00F75C80" w:rsidRPr="00913ED2">
        <w:t xml:space="preserve">representing a </w:t>
      </w:r>
      <w:r w:rsidR="002D1E09" w:rsidRPr="00913ED2">
        <w:t>drop</w:t>
      </w:r>
      <w:r w:rsidR="00D4733E" w:rsidRPr="00913ED2">
        <w:t xml:space="preserve"> </w:t>
      </w:r>
      <w:r w:rsidR="00F75C80" w:rsidRPr="00913ED2">
        <w:t>of</w:t>
      </w:r>
      <w:r w:rsidR="004C6288" w:rsidRPr="00913ED2">
        <w:t xml:space="preserve"> 9</w:t>
      </w:r>
      <w:r w:rsidR="007818E5" w:rsidRPr="00913ED2">
        <w:t>%</w:t>
      </w:r>
      <w:r w:rsidR="00B5144B" w:rsidRPr="00913ED2">
        <w:t xml:space="preserve"> (or</w:t>
      </w:r>
      <w:r w:rsidR="0087384F" w:rsidRPr="00913ED2">
        <w:t xml:space="preserve"> </w:t>
      </w:r>
      <w:r w:rsidR="002D1E09" w:rsidRPr="00913ED2">
        <w:t>down</w:t>
      </w:r>
      <w:r w:rsidR="00B5144B" w:rsidRPr="00913ED2">
        <w:t xml:space="preserve"> $</w:t>
      </w:r>
      <w:r w:rsidR="004C6288" w:rsidRPr="00913ED2">
        <w:t>5</w:t>
      </w:r>
      <w:r w:rsidR="002D1E09" w:rsidRPr="00913ED2">
        <w:t>78</w:t>
      </w:r>
      <w:r w:rsidR="00C23DAA" w:rsidRPr="00913ED2">
        <w:t xml:space="preserve"> million</w:t>
      </w:r>
      <w:r w:rsidRPr="00913ED2">
        <w:t xml:space="preserve">) </w:t>
      </w:r>
      <w:r w:rsidR="00FA433D" w:rsidRPr="00913ED2">
        <w:t>over</w:t>
      </w:r>
      <w:r w:rsidR="00DB304D" w:rsidRPr="00913ED2">
        <w:t xml:space="preserve"> </w:t>
      </w:r>
      <w:r w:rsidRPr="00913ED2">
        <w:t xml:space="preserve">the </w:t>
      </w:r>
      <w:r w:rsidR="002D1E09" w:rsidRPr="00913ED2">
        <w:t>second</w:t>
      </w:r>
      <w:r w:rsidRPr="00913ED2">
        <w:t xml:space="preserve"> qu</w:t>
      </w:r>
      <w:r w:rsidR="00DB304D" w:rsidRPr="00913ED2">
        <w:t>arter</w:t>
      </w:r>
      <w:r w:rsidR="00957BCF" w:rsidRPr="00913ED2">
        <w:t xml:space="preserve"> of </w:t>
      </w:r>
      <w:r w:rsidR="004C6288" w:rsidRPr="00913ED2">
        <w:t>2022</w:t>
      </w:r>
      <w:r w:rsidR="00B85149" w:rsidRPr="00913ED2">
        <w:t xml:space="preserve">. </w:t>
      </w:r>
      <w:r w:rsidR="002E53C6" w:rsidRPr="00913ED2">
        <w:t xml:space="preserve">This </w:t>
      </w:r>
      <w:r w:rsidR="006064E9" w:rsidRPr="00913ED2">
        <w:t>wa</w:t>
      </w:r>
      <w:r w:rsidR="002E53C6" w:rsidRPr="00913ED2">
        <w:t xml:space="preserve">s </w:t>
      </w:r>
      <w:r w:rsidR="00EF3CF4" w:rsidRPr="00913ED2">
        <w:t xml:space="preserve">the </w:t>
      </w:r>
      <w:r w:rsidR="002D1E09" w:rsidRPr="00913ED2">
        <w:t xml:space="preserve">first </w:t>
      </w:r>
      <w:r w:rsidR="00EF3CF4" w:rsidRPr="00913ED2">
        <w:t xml:space="preserve">quarterly </w:t>
      </w:r>
      <w:r w:rsidR="002D1E09" w:rsidRPr="00913ED2">
        <w:t>decline after eight</w:t>
      </w:r>
      <w:r w:rsidR="002E53C6" w:rsidRPr="00913ED2">
        <w:t xml:space="preserve"> quarter</w:t>
      </w:r>
      <w:r w:rsidR="002D1E09" w:rsidRPr="00913ED2">
        <w:t>s</w:t>
      </w:r>
      <w:r w:rsidR="002E53C6" w:rsidRPr="00913ED2">
        <w:t xml:space="preserve"> of export growth.</w:t>
      </w:r>
      <w:r w:rsidR="00EF3CF4" w:rsidRPr="00913ED2">
        <w:t xml:space="preserve"> For the year to date, state exports are unchanged between 202</w:t>
      </w:r>
      <w:r w:rsidR="001E7619">
        <w:t>2</w:t>
      </w:r>
      <w:r w:rsidR="00EF3CF4" w:rsidRPr="00913ED2">
        <w:t xml:space="preserve"> and 202</w:t>
      </w:r>
      <w:r w:rsidR="001E7619">
        <w:t>3</w:t>
      </w:r>
      <w:r w:rsidR="00EF3CF4" w:rsidRPr="00913ED2">
        <w:t>.</w:t>
      </w:r>
    </w:p>
    <w:p w14:paraId="05F91CDF" w14:textId="0AB2C967" w:rsidR="00846556" w:rsidRPr="00913ED2" w:rsidRDefault="00C97041" w:rsidP="00846556">
      <w:pPr>
        <w:pStyle w:val="ListParagraph"/>
        <w:numPr>
          <w:ilvl w:val="0"/>
          <w:numId w:val="9"/>
        </w:numPr>
        <w:spacing w:after="0"/>
      </w:pPr>
      <w:r w:rsidRPr="00913ED2">
        <w:t>U.S. exports</w:t>
      </w:r>
      <w:r w:rsidR="00742415" w:rsidRPr="00913ED2">
        <w:t xml:space="preserve"> of goods</w:t>
      </w:r>
      <w:r w:rsidR="00C23DAA" w:rsidRPr="00913ED2">
        <w:t xml:space="preserve"> </w:t>
      </w:r>
      <w:r w:rsidR="002D1E09" w:rsidRPr="00913ED2">
        <w:t>fell</w:t>
      </w:r>
      <w:r w:rsidR="00AE3C57" w:rsidRPr="00913ED2">
        <w:t xml:space="preserve"> </w:t>
      </w:r>
      <w:r w:rsidR="004C6288" w:rsidRPr="00913ED2">
        <w:t>7</w:t>
      </w:r>
      <w:r w:rsidR="007818E5" w:rsidRPr="00913ED2">
        <w:t>%</w:t>
      </w:r>
      <w:r w:rsidR="00521967" w:rsidRPr="00913ED2">
        <w:t xml:space="preserve"> during </w:t>
      </w:r>
      <w:r w:rsidR="007216E3" w:rsidRPr="00913ED2">
        <w:t xml:space="preserve">the </w:t>
      </w:r>
      <w:r w:rsidR="002D1E09" w:rsidRPr="00913ED2">
        <w:t>second</w:t>
      </w:r>
      <w:r w:rsidR="007216E3" w:rsidRPr="00913ED2">
        <w:t xml:space="preserve"> quarter</w:t>
      </w:r>
      <w:r w:rsidR="00D4733E" w:rsidRPr="00913ED2">
        <w:t xml:space="preserve">, </w:t>
      </w:r>
      <w:r w:rsidR="00FA433D" w:rsidRPr="00913ED2">
        <w:t>as</w:t>
      </w:r>
      <w:r w:rsidR="00D4733E" w:rsidRPr="00913ED2">
        <w:t xml:space="preserve"> </w:t>
      </w:r>
      <w:r w:rsidR="00EF3CF4" w:rsidRPr="00913ED2">
        <w:t>exports declin</w:t>
      </w:r>
      <w:r w:rsidR="00FA433D" w:rsidRPr="00913ED2">
        <w:t>ed</w:t>
      </w:r>
      <w:r w:rsidR="00EF3CF4" w:rsidRPr="00913ED2">
        <w:t xml:space="preserve"> from 2</w:t>
      </w:r>
      <w:r w:rsidR="00FA433D" w:rsidRPr="00913ED2">
        <w:t>9</w:t>
      </w:r>
      <w:r w:rsidR="00AE3C57" w:rsidRPr="00913ED2">
        <w:t xml:space="preserve"> </w:t>
      </w:r>
      <w:r w:rsidR="001625A3" w:rsidRPr="00913ED2">
        <w:t>states</w:t>
      </w:r>
      <w:r w:rsidR="0087384F" w:rsidRPr="00913ED2">
        <w:t xml:space="preserve"> </w:t>
      </w:r>
      <w:r w:rsidR="00EF3CF4" w:rsidRPr="00913ED2">
        <w:t>between</w:t>
      </w:r>
      <w:r w:rsidR="00AE3C57" w:rsidRPr="00913ED2">
        <w:t xml:space="preserve"> the</w:t>
      </w:r>
      <w:r w:rsidR="00EF3CF4" w:rsidRPr="00913ED2">
        <w:t xml:space="preserve"> s</w:t>
      </w:r>
      <w:r w:rsidR="002D1E09" w:rsidRPr="00913ED2">
        <w:t>econd</w:t>
      </w:r>
      <w:r w:rsidR="00AE3C57" w:rsidRPr="00913ED2">
        <w:t xml:space="preserve"> quarter</w:t>
      </w:r>
      <w:r w:rsidR="00EF3CF4" w:rsidRPr="00913ED2">
        <w:t>s</w:t>
      </w:r>
      <w:r w:rsidR="00AE3C57" w:rsidRPr="00913ED2">
        <w:t xml:space="preserve"> of</w:t>
      </w:r>
      <w:r w:rsidR="00EF3CF4" w:rsidRPr="00913ED2">
        <w:t xml:space="preserve"> 202</w:t>
      </w:r>
      <w:r w:rsidR="001E7619">
        <w:t>2</w:t>
      </w:r>
      <w:r w:rsidR="00EF3CF4" w:rsidRPr="00913ED2">
        <w:t xml:space="preserve"> and</w:t>
      </w:r>
      <w:r w:rsidR="00AE3C57" w:rsidRPr="00913ED2">
        <w:t xml:space="preserve"> </w:t>
      </w:r>
      <w:r w:rsidR="004C6288" w:rsidRPr="00913ED2">
        <w:t>202</w:t>
      </w:r>
      <w:r w:rsidR="001E7619">
        <w:t>3</w:t>
      </w:r>
      <w:r w:rsidR="007216E3" w:rsidRPr="00913ED2">
        <w:t>.</w:t>
      </w:r>
    </w:p>
    <w:p w14:paraId="4F080C91" w14:textId="77777777" w:rsidR="00846556" w:rsidRPr="00913ED2" w:rsidRDefault="00692D3B" w:rsidP="00846556">
      <w:pPr>
        <w:pStyle w:val="ListParagraph"/>
        <w:numPr>
          <w:ilvl w:val="0"/>
          <w:numId w:val="9"/>
        </w:numPr>
        <w:spacing w:after="0"/>
      </w:pPr>
      <w:r w:rsidRPr="00913ED2">
        <w:t>Minnesota</w:t>
      </w:r>
      <w:r w:rsidR="007216E3" w:rsidRPr="00913ED2">
        <w:t>’s</w:t>
      </w:r>
      <w:r w:rsidRPr="00913ED2">
        <w:t xml:space="preserve"> manufactured</w:t>
      </w:r>
      <w:r w:rsidR="001F7EBF" w:rsidRPr="00913ED2">
        <w:t xml:space="preserve"> exports</w:t>
      </w:r>
      <w:r w:rsidR="00DD736C" w:rsidRPr="00913ED2">
        <w:t xml:space="preserve"> </w:t>
      </w:r>
      <w:r w:rsidR="00EF3CF4" w:rsidRPr="00913ED2">
        <w:t>slipped by 10%</w:t>
      </w:r>
      <w:r w:rsidR="00C97041" w:rsidRPr="00913ED2">
        <w:t xml:space="preserve"> to </w:t>
      </w:r>
      <w:r w:rsidR="00956763" w:rsidRPr="00913ED2">
        <w:t>$</w:t>
      </w:r>
      <w:r w:rsidR="00EF3CF4" w:rsidRPr="00913ED2">
        <w:t>5.4</w:t>
      </w:r>
      <w:r w:rsidR="004A3CC9" w:rsidRPr="00913ED2">
        <w:t xml:space="preserve"> billion</w:t>
      </w:r>
      <w:r w:rsidRPr="00913ED2">
        <w:t xml:space="preserve"> </w:t>
      </w:r>
      <w:r w:rsidR="007F1C4A" w:rsidRPr="00913ED2">
        <w:t xml:space="preserve">in the </w:t>
      </w:r>
      <w:r w:rsidR="00EF3CF4" w:rsidRPr="00913ED2">
        <w:t>s</w:t>
      </w:r>
      <w:r w:rsidR="002D1E09" w:rsidRPr="00913ED2">
        <w:t>econd</w:t>
      </w:r>
      <w:r w:rsidR="007F1C4A" w:rsidRPr="00913ED2">
        <w:t xml:space="preserve"> quarter of </w:t>
      </w:r>
      <w:r w:rsidR="004C6288" w:rsidRPr="00913ED2">
        <w:t>2023</w:t>
      </w:r>
      <w:r w:rsidR="00DE2EE4" w:rsidRPr="00913ED2">
        <w:t>, while</w:t>
      </w:r>
      <w:r w:rsidR="00C23DAA" w:rsidRPr="00913ED2">
        <w:t xml:space="preserve"> </w:t>
      </w:r>
      <w:r w:rsidR="00E42787" w:rsidRPr="00913ED2">
        <w:t>U.S</w:t>
      </w:r>
      <w:r w:rsidR="00742415" w:rsidRPr="00913ED2">
        <w:t xml:space="preserve">. manufactured exports </w:t>
      </w:r>
      <w:r w:rsidR="00EF3CF4" w:rsidRPr="00913ED2">
        <w:t>fell</w:t>
      </w:r>
      <w:r w:rsidR="00B72D64" w:rsidRPr="00913ED2">
        <w:t xml:space="preserve"> </w:t>
      </w:r>
      <w:r w:rsidR="00EF3CF4" w:rsidRPr="00913ED2">
        <w:t>3</w:t>
      </w:r>
      <w:r w:rsidR="007818E5" w:rsidRPr="00913ED2">
        <w:t>%</w:t>
      </w:r>
      <w:r w:rsidR="002E53C6" w:rsidRPr="00913ED2">
        <w:t>.</w:t>
      </w:r>
      <w:r w:rsidR="00846556" w:rsidRPr="00913ED2">
        <w:t xml:space="preserve">  </w:t>
      </w:r>
      <w:r w:rsidR="002E53C6" w:rsidRPr="00913ED2">
        <w:br w:type="column"/>
      </w:r>
    </w:p>
    <w:p w14:paraId="03CA25DA" w14:textId="6410DE5A" w:rsidR="007F1C4A" w:rsidRPr="00913ED2" w:rsidRDefault="007F1C4A" w:rsidP="00913ED2">
      <w:pPr>
        <w:pStyle w:val="Heading3"/>
        <w:spacing w:before="0" w:after="120"/>
        <w:rPr>
          <w:rStyle w:val="Heading4Char"/>
          <w:rFonts w:eastAsiaTheme="minorEastAsia" w:cstheme="minorBidi"/>
          <w:iCs w:val="0"/>
          <w:color w:val="auto"/>
          <w:szCs w:val="24"/>
        </w:rPr>
      </w:pPr>
      <w:r w:rsidRPr="00913ED2">
        <w:rPr>
          <w:color w:val="auto"/>
          <w:sz w:val="24"/>
          <w:szCs w:val="24"/>
        </w:rPr>
        <w:t xml:space="preserve">Figure </w:t>
      </w:r>
      <w:r w:rsidRPr="00913ED2">
        <w:rPr>
          <w:color w:val="auto"/>
          <w:sz w:val="24"/>
          <w:szCs w:val="24"/>
        </w:rPr>
        <w:fldChar w:fldCharType="begin"/>
      </w:r>
      <w:r w:rsidRPr="00913ED2">
        <w:rPr>
          <w:color w:val="auto"/>
          <w:sz w:val="24"/>
          <w:szCs w:val="24"/>
        </w:rPr>
        <w:instrText xml:space="preserve"> SEQ Figure \* ARABIC </w:instrText>
      </w:r>
      <w:r w:rsidRPr="00913ED2">
        <w:rPr>
          <w:color w:val="auto"/>
          <w:sz w:val="24"/>
          <w:szCs w:val="24"/>
        </w:rPr>
        <w:fldChar w:fldCharType="separate"/>
      </w:r>
      <w:r w:rsidR="00C430F8" w:rsidRPr="00913ED2">
        <w:rPr>
          <w:color w:val="auto"/>
          <w:sz w:val="24"/>
          <w:szCs w:val="24"/>
        </w:rPr>
        <w:t>1</w:t>
      </w:r>
      <w:r w:rsidRPr="00913ED2">
        <w:rPr>
          <w:color w:val="auto"/>
          <w:sz w:val="24"/>
          <w:szCs w:val="24"/>
        </w:rPr>
        <w:fldChar w:fldCharType="end"/>
      </w:r>
      <w:r w:rsidR="00A52415" w:rsidRPr="00913ED2">
        <w:rPr>
          <w:color w:val="auto"/>
          <w:sz w:val="24"/>
          <w:szCs w:val="24"/>
        </w:rPr>
        <w:t>.</w:t>
      </w:r>
      <w:r w:rsidR="00F72892" w:rsidRPr="00913ED2">
        <w:rPr>
          <w:color w:val="auto"/>
          <w:sz w:val="24"/>
          <w:szCs w:val="24"/>
        </w:rPr>
        <w:t xml:space="preserve"> </w:t>
      </w:r>
      <w:r w:rsidR="002E53C6" w:rsidRPr="00913ED2">
        <w:rPr>
          <w:color w:val="auto"/>
          <w:sz w:val="24"/>
          <w:szCs w:val="24"/>
        </w:rPr>
        <w:t>Exports</w:t>
      </w:r>
      <w:r w:rsidR="00EF3CF4" w:rsidRPr="00913ED2">
        <w:rPr>
          <w:color w:val="auto"/>
          <w:sz w:val="24"/>
          <w:szCs w:val="24"/>
        </w:rPr>
        <w:t xml:space="preserve"> Decline</w:t>
      </w:r>
      <w:r w:rsidR="00FA433D" w:rsidRPr="00913ED2">
        <w:rPr>
          <w:color w:val="auto"/>
          <w:sz w:val="24"/>
          <w:szCs w:val="24"/>
        </w:rPr>
        <w:t>d</w:t>
      </w:r>
      <w:r w:rsidR="00EF3CF4" w:rsidRPr="00913ED2">
        <w:rPr>
          <w:color w:val="auto"/>
          <w:sz w:val="24"/>
          <w:szCs w:val="24"/>
        </w:rPr>
        <w:t xml:space="preserve"> </w:t>
      </w:r>
      <w:r w:rsidR="002E53C6" w:rsidRPr="00913ED2">
        <w:rPr>
          <w:color w:val="auto"/>
          <w:sz w:val="24"/>
          <w:szCs w:val="24"/>
        </w:rPr>
        <w:t xml:space="preserve">from </w:t>
      </w:r>
      <w:r w:rsidR="00EF3CF4" w:rsidRPr="00913ED2">
        <w:rPr>
          <w:color w:val="auto"/>
          <w:sz w:val="24"/>
          <w:szCs w:val="24"/>
        </w:rPr>
        <w:t>2</w:t>
      </w:r>
      <w:r w:rsidR="00FA433D" w:rsidRPr="00913ED2">
        <w:rPr>
          <w:color w:val="auto"/>
          <w:sz w:val="24"/>
          <w:szCs w:val="24"/>
        </w:rPr>
        <w:t>9</w:t>
      </w:r>
      <w:r w:rsidR="00F72892" w:rsidRPr="00913ED2">
        <w:rPr>
          <w:color w:val="auto"/>
          <w:sz w:val="24"/>
          <w:szCs w:val="24"/>
        </w:rPr>
        <w:t xml:space="preserve"> States</w:t>
      </w:r>
    </w:p>
    <w:p w14:paraId="5316D7DA" w14:textId="4D9D6DB2" w:rsidR="004F6D22" w:rsidRPr="00913ED2" w:rsidRDefault="004F6D22" w:rsidP="00D4733E">
      <w:pPr>
        <w:spacing w:after="0" w:line="271" w:lineRule="auto"/>
        <w:rPr>
          <w:rStyle w:val="Heading4Char"/>
          <w:rFonts w:eastAsiaTheme="minorEastAsia" w:cstheme="minorBidi"/>
          <w:bCs w:val="0"/>
          <w:i w:val="0"/>
          <w:iCs w:val="0"/>
          <w:color w:val="auto"/>
          <w:sz w:val="22"/>
        </w:rPr>
      </w:pPr>
      <w:r w:rsidRPr="00913ED2">
        <w:rPr>
          <w:noProof/>
        </w:rPr>
        <mc:AlternateContent>
          <mc:Choice Requires="wps">
            <w:drawing>
              <wp:anchor distT="0" distB="0" distL="114300" distR="114300" simplePos="0" relativeHeight="251658752" behindDoc="0" locked="0" layoutInCell="1" allowOverlap="1" wp14:anchorId="24E76B40" wp14:editId="460987B6">
                <wp:simplePos x="0" y="0"/>
                <wp:positionH relativeFrom="margin">
                  <wp:posOffset>6049846</wp:posOffset>
                </wp:positionH>
                <wp:positionV relativeFrom="paragraph">
                  <wp:posOffset>1415740</wp:posOffset>
                </wp:positionV>
                <wp:extent cx="780415" cy="435610"/>
                <wp:effectExtent l="0" t="0" r="0" b="2540"/>
                <wp:wrapNone/>
                <wp:docPr id="307" name="Text Box 2" descr="highlight text box&#10;MN: -9%&#10;U.S.: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435610"/>
                        </a:xfrm>
                        <a:prstGeom prst="rect">
                          <a:avLst/>
                        </a:prstGeom>
                        <a:noFill/>
                        <a:ln w="9525">
                          <a:noFill/>
                          <a:miter lim="800000"/>
                          <a:headEnd/>
                          <a:tailEnd/>
                        </a:ln>
                      </wps:spPr>
                      <wps:txbx>
                        <w:txbxContent>
                          <w:p w14:paraId="60A296D5" w14:textId="578AB14F"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4F5EFC">
                              <w:rPr>
                                <w:b/>
                                <w:i/>
                                <w:szCs w:val="24"/>
                              </w:rPr>
                              <w:t>-</w:t>
                            </w:r>
                            <w:r w:rsidR="00E24645" w:rsidRPr="00044ED9">
                              <w:rPr>
                                <w:b/>
                                <w:i/>
                                <w:szCs w:val="24"/>
                              </w:rPr>
                              <w:t>9</w:t>
                            </w:r>
                            <w:r w:rsidRPr="00044ED9">
                              <w:rPr>
                                <w:b/>
                                <w:i/>
                                <w:szCs w:val="24"/>
                              </w:rPr>
                              <w:t>%</w:t>
                            </w:r>
                          </w:p>
                          <w:p w14:paraId="588145EA" w14:textId="4F88C940" w:rsidR="007F1C4A" w:rsidRPr="00044ED9" w:rsidRDefault="00293DCF" w:rsidP="007F1C4A">
                            <w:pPr>
                              <w:spacing w:after="0"/>
                              <w:rPr>
                                <w:b/>
                                <w:i/>
                                <w:szCs w:val="24"/>
                              </w:rPr>
                            </w:pPr>
                            <w:r w:rsidRPr="00044ED9">
                              <w:rPr>
                                <w:b/>
                                <w:i/>
                                <w:szCs w:val="24"/>
                              </w:rPr>
                              <w:t xml:space="preserve">U.S.: </w:t>
                            </w:r>
                            <w:r w:rsidR="004F5EFC">
                              <w:rPr>
                                <w:b/>
                                <w:i/>
                                <w:szCs w:val="24"/>
                              </w:rPr>
                              <w:t>-</w:t>
                            </w:r>
                            <w:r w:rsidR="00E24645" w:rsidRPr="00044ED9">
                              <w:rPr>
                                <w:b/>
                                <w:i/>
                                <w:szCs w:val="24"/>
                              </w:rPr>
                              <w:t>7</w:t>
                            </w:r>
                            <w:r w:rsidR="007F1C4A" w:rsidRPr="00044ED9">
                              <w:rPr>
                                <w:b/>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6B40" id="_x0000_s1027" type="#_x0000_t202" alt="highlight text box&#10;MN: -9%&#10;U.S.: -7%&#10;" style="position:absolute;margin-left:476.35pt;margin-top:111.5pt;width:61.45pt;height:3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o+wEAANMDAAAOAAAAZHJzL2Uyb0RvYy54bWysU11v2yAUfZ+0/4B4X2xnTptacaquXadJ&#10;3YfU7gdgjGM04DIgsbNfvwt202h7q+YHdOH6Hu4597C5HrUiB+G8BFPTYpFTIgyHVppdTX883b9b&#10;U+IDMy1TYERNj8LT6+3bN5vBVmIJPahWOIIgxleDrWkfgq2yzPNeaOYXYIXBZAdOs4Bbt8taxwZE&#10;1ypb5vlFNoBrrQMuvMfTuylJtwm/6wQP37rOi0BUTbG3kFaX1iau2XbDqp1jtpd8boO9ogvNpMFL&#10;T1B3LDCyd/IfKC25Aw9dWHDQGXSd5CJxQDZF/hebx55ZkbigON6eZPL/D5Z/PTza746E8QOMOMBE&#10;wtsH4D89MXDbM7MTN87B0AvW4sVFlCwbrK/m0ii1r3wEaYYv0OKQ2T5AAho7p6MqyJMgOg7geBJd&#10;jIFwPLxc52WxooRjqny/uijSUDJWPRdb58MnAZrEoKYOZ5rA2eHBh9gMq55/iXcZuJdKpbkqQ4aa&#10;Xq2Wq1RwltEyoO2U1DVd5/GbjBA5fjRtKg5MqinGC5SZSUeeE+MwNiOR7axI1KCB9ogqOJhchq8C&#10;gx7cb0oGdFhN/a89c4IS9dmgkldFWUZLpk25ulzixp1nmvMMMxyhahoomcLbkGw8Ub5BxTuZ1Hjp&#10;ZG4ZnZNEml0erXm+T3+9vMXtHwAAAP//AwBQSwMEFAAGAAgAAAAhAF6Grb7fAAAADAEAAA8AAABk&#10;cnMvZG93bnJldi54bWxMj8FOwzAMhu9IvENkJG4sWaEdLU0nBOIKYrBJ3LLGaysap2qytbw93gmO&#10;tj/9/v5yPbtenHAMnScNy4UCgVR721Gj4fPj5eYeRIiGrOk9oYYfDLCuLi9KU1g/0TueNrERHEKh&#10;MBraGIdCylC36ExY+AGJbwc/OhN5HBtpRzNxuOtlolQmnemIP7RmwKcW6+/N0WnYvh6+dnfqrXl2&#10;6TD5WUlyudT6+mp+fAARcY5/MJz1WR0qdtr7I9kgeg15mqwY1ZAkt1zqTKhVmoHY8ypfZiCrUv4v&#10;Uf0CAAD//wMAUEsBAi0AFAAGAAgAAAAhALaDOJL+AAAA4QEAABMAAAAAAAAAAAAAAAAAAAAAAFtD&#10;b250ZW50X1R5cGVzXS54bWxQSwECLQAUAAYACAAAACEAOP0h/9YAAACUAQAACwAAAAAAAAAAAAAA&#10;AAAvAQAAX3JlbHMvLnJlbHNQSwECLQAUAAYACAAAACEAN/k/KPsBAADTAwAADgAAAAAAAAAAAAAA&#10;AAAuAgAAZHJzL2Uyb0RvYy54bWxQSwECLQAUAAYACAAAACEAXoatvt8AAAAMAQAADwAAAAAAAAAA&#10;AAAAAABVBAAAZHJzL2Rvd25yZXYueG1sUEsFBgAAAAAEAAQA8wAAAGEFAAAAAA==&#10;" filled="f" stroked="f">
                <v:textbox>
                  <w:txbxContent>
                    <w:p w14:paraId="60A296D5" w14:textId="578AB14F"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4F5EFC">
                        <w:rPr>
                          <w:b/>
                          <w:i/>
                          <w:szCs w:val="24"/>
                        </w:rPr>
                        <w:t>-</w:t>
                      </w:r>
                      <w:r w:rsidR="00E24645" w:rsidRPr="00044ED9">
                        <w:rPr>
                          <w:b/>
                          <w:i/>
                          <w:szCs w:val="24"/>
                        </w:rPr>
                        <w:t>9</w:t>
                      </w:r>
                      <w:r w:rsidRPr="00044ED9">
                        <w:rPr>
                          <w:b/>
                          <w:i/>
                          <w:szCs w:val="24"/>
                        </w:rPr>
                        <w:t>%</w:t>
                      </w:r>
                    </w:p>
                    <w:p w14:paraId="588145EA" w14:textId="4F88C940" w:rsidR="007F1C4A" w:rsidRPr="00044ED9" w:rsidRDefault="00293DCF" w:rsidP="007F1C4A">
                      <w:pPr>
                        <w:spacing w:after="0"/>
                        <w:rPr>
                          <w:b/>
                          <w:i/>
                          <w:szCs w:val="24"/>
                        </w:rPr>
                      </w:pPr>
                      <w:r w:rsidRPr="00044ED9">
                        <w:rPr>
                          <w:b/>
                          <w:i/>
                          <w:szCs w:val="24"/>
                        </w:rPr>
                        <w:t xml:space="preserve">U.S.: </w:t>
                      </w:r>
                      <w:r w:rsidR="004F5EFC">
                        <w:rPr>
                          <w:b/>
                          <w:i/>
                          <w:szCs w:val="24"/>
                        </w:rPr>
                        <w:t>-</w:t>
                      </w:r>
                      <w:r w:rsidR="00E24645" w:rsidRPr="00044ED9">
                        <w:rPr>
                          <w:b/>
                          <w:i/>
                          <w:szCs w:val="24"/>
                        </w:rPr>
                        <w:t>7</w:t>
                      </w:r>
                      <w:r w:rsidR="007F1C4A" w:rsidRPr="00044ED9">
                        <w:rPr>
                          <w:b/>
                          <w:i/>
                          <w:szCs w:val="24"/>
                        </w:rPr>
                        <w:t>%</w:t>
                      </w:r>
                    </w:p>
                  </w:txbxContent>
                </v:textbox>
                <w10:wrap anchorx="margin"/>
              </v:shape>
            </w:pict>
          </mc:Fallback>
        </mc:AlternateContent>
      </w:r>
      <w:r w:rsidR="004F5EFC" w:rsidRPr="00913ED2">
        <w:rPr>
          <w:noProof/>
        </w:rPr>
        <w:drawing>
          <wp:inline distT="0" distB="0" distL="0" distR="0" wp14:anchorId="6024B124" wp14:editId="56E4059A">
            <wp:extent cx="3103245" cy="1695450"/>
            <wp:effectExtent l="0" t="0" r="1905" b="0"/>
            <wp:docPr id="8" name="Picture 8" descr="Figure 1 US State Export map trends by state&#10;&#10;State Percent Change 2022-Q2 to 2023-Q2&#10;Minnesota -9%&#10;United States -7%&#10;Alabama 5%&#10;Alaska -4%&#10;Arizona 15%&#10;Arkansas -7%&#10;California -8%&#10;Colorado 2%&#10;Connecticut 3%&#10;Delaware -10%&#10;Dist of Columbia 4%&#10;Florida -4%&#10;Georgia 6%&#10;Hawaii -10%&#10;Idaho 0%&#10;Illinois -5%&#10;Indiana 13%&#10;Iowa -7%&#10;Kansas -5%&#10;Kentucky 15%&#10;Louisiana -26%&#10;Maine -16%&#10;Maryland 2%&#10;Massachusetts 15%&#10;Michigan 1%&#10;Mississippi -21%&#10;Missouri 2%&#10;Montana 2%&#10;Nebraska -17%&#10;Nevada 1%&#10;New Hampshire -1%&#10;New Jersey -8%&#10;New Mexico 12%&#10;New York -16%&#10;North Carolina 4%&#10;North Dakota 50%&#10;Ohio 0%&#10;Oklahoma -12%&#10;Oregon -32%&#10;Pennsylvania 4%&#10;Rhode Island 6%&#10;South Carolina 16%&#10;South Dakota -3%&#10;Tennessee -5%&#10;Texas -17%&#10;Utah -4%&#10;Vermont -13%&#10;Virginia -23%&#10;Washington -9%&#10;West Virginia -33%&#10;Wisconsin 1%&#10;Wyoming 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US State Export map trends by state&#10;&#10;State Percent Change 2022-Q2 to 2023-Q2&#10;Minnesota -9%&#10;United States -7%&#10;Alabama 5%&#10;Alaska -4%&#10;Arizona 15%&#10;Arkansas -7%&#10;California -8%&#10;Colorado 2%&#10;Connecticut 3%&#10;Delaware -10%&#10;Dist of Columbia 4%&#10;Florida -4%&#10;Georgia 6%&#10;Hawaii -10%&#10;Idaho 0%&#10;Illinois -5%&#10;Indiana 13%&#10;Iowa -7%&#10;Kansas -5%&#10;Kentucky 15%&#10;Louisiana -26%&#10;Maine -16%&#10;Maryland 2%&#10;Massachusetts 15%&#10;Michigan 1%&#10;Mississippi -21%&#10;Missouri 2%&#10;Montana 2%&#10;Nebraska -17%&#10;Nevada 1%&#10;New Hampshire -1%&#10;New Jersey -8%&#10;New Mexico 12%&#10;New York -16%&#10;North Carolina 4%&#10;North Dakota 50%&#10;Ohio 0%&#10;Oklahoma -12%&#10;Oregon -32%&#10;Pennsylvania 4%&#10;Rhode Island 6%&#10;South Carolina 16%&#10;South Dakota -3%&#10;Tennessee -5%&#10;Texas -17%&#10;Utah -4%&#10;Vermont -13%&#10;Virginia -23%&#10;Washington -9%&#10;West Virginia -33%&#10;Wisconsin 1%&#10;Wyoming 25%&#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882" b="11637"/>
                    <a:stretch/>
                  </pic:blipFill>
                  <pic:spPr bwMode="auto">
                    <a:xfrm>
                      <a:off x="0" y="0"/>
                      <a:ext cx="3103245" cy="1695450"/>
                    </a:xfrm>
                    <a:prstGeom prst="rect">
                      <a:avLst/>
                    </a:prstGeom>
                    <a:noFill/>
                    <a:ln>
                      <a:noFill/>
                    </a:ln>
                    <a:extLst>
                      <a:ext uri="{53640926-AAD7-44D8-BBD7-CCE9431645EC}">
                        <a14:shadowObscured xmlns:a14="http://schemas.microsoft.com/office/drawing/2010/main"/>
                      </a:ext>
                    </a:extLst>
                  </pic:spPr>
                </pic:pic>
              </a:graphicData>
            </a:graphic>
          </wp:inline>
        </w:drawing>
      </w:r>
    </w:p>
    <w:p w14:paraId="0AAEB35D" w14:textId="29FA78A6" w:rsidR="007F1C4A" w:rsidRPr="00913ED2" w:rsidRDefault="007F1C4A" w:rsidP="007F1C4A">
      <w:pPr>
        <w:spacing w:after="0"/>
        <w:rPr>
          <w:i/>
          <w:sz w:val="18"/>
        </w:rPr>
      </w:pPr>
      <w:r w:rsidRPr="00913ED2">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913ED2">
        <w:rPr>
          <w:i/>
          <w:sz w:val="18"/>
        </w:rPr>
        <w:t xml:space="preserve"> Decline     0%   Growth</w:t>
      </w:r>
    </w:p>
    <w:p w14:paraId="6B23B2F3" w14:textId="40E1BED4" w:rsidR="00BE4DAD" w:rsidRPr="00913ED2" w:rsidRDefault="00A52415" w:rsidP="00173D78">
      <w:pPr>
        <w:spacing w:after="0"/>
        <w:rPr>
          <w:rFonts w:ascii="Arial Narrow" w:hAnsi="Arial Narrow"/>
          <w:sz w:val="2"/>
          <w:szCs w:val="2"/>
        </w:rPr>
        <w:sectPr w:rsidR="00BE4DAD" w:rsidRPr="00913ED2" w:rsidSect="00FE15EB">
          <w:footnotePr>
            <w:numRestart w:val="eachSect"/>
          </w:footnotePr>
          <w:endnotePr>
            <w:numFmt w:val="decimal"/>
          </w:endnotePr>
          <w:type w:val="continuous"/>
          <w:pgSz w:w="12240" w:h="15840" w:code="1"/>
          <w:pgMar w:top="864" w:right="1008" w:bottom="864" w:left="1008" w:header="720" w:footer="720" w:gutter="0"/>
          <w:cols w:num="2" w:space="450"/>
          <w:titlePg/>
          <w:docGrid w:linePitch="299"/>
        </w:sectPr>
      </w:pPr>
      <w:r w:rsidRPr="00913ED2">
        <w:rPr>
          <w:rFonts w:ascii="Arial Narrow" w:hAnsi="Arial Narrow"/>
          <w:noProof/>
          <w:sz w:val="2"/>
          <w:szCs w:val="2"/>
        </w:rPr>
        <w:drawing>
          <wp:inline distT="0" distB="0" distL="0" distR="0" wp14:anchorId="5C21AFCD" wp14:editId="0405FC58">
            <wp:extent cx="1066800" cy="152400"/>
            <wp:effectExtent l="0" t="0" r="0" b="0"/>
            <wp:docPr id="7" name="Picture 7" descr="Map color legend. yellow for decline, green f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color legend. yellow for decline, green for growth"/>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53950F02" w14:textId="5ECBE64C" w:rsidR="00E83789" w:rsidRPr="00913ED2" w:rsidRDefault="00CC1EF1" w:rsidP="00913ED2">
      <w:pPr>
        <w:pStyle w:val="Heading2"/>
        <w:spacing w:before="120" w:after="60"/>
        <w:rPr>
          <w:rFonts w:asciiTheme="minorHAnsi" w:hAnsiTheme="minorHAnsi" w:cstheme="minorHAnsi"/>
          <w:i/>
          <w:iCs/>
          <w:color w:val="auto"/>
          <w:sz w:val="28"/>
          <w:szCs w:val="28"/>
        </w:rPr>
      </w:pPr>
      <w:r w:rsidRPr="00913ED2">
        <w:rPr>
          <w:rFonts w:asciiTheme="minorHAnsi" w:hAnsiTheme="minorHAnsi" w:cstheme="minorHAnsi"/>
          <w:i/>
          <w:iCs/>
          <w:color w:val="auto"/>
          <w:sz w:val="28"/>
          <w:szCs w:val="28"/>
        </w:rPr>
        <w:t>Export Gains in Other Regions Help Offset Declines in</w:t>
      </w:r>
      <w:r w:rsidR="00B72D64" w:rsidRPr="00913ED2">
        <w:rPr>
          <w:rFonts w:asciiTheme="minorHAnsi" w:hAnsiTheme="minorHAnsi" w:cstheme="minorHAnsi"/>
          <w:i/>
          <w:iCs/>
          <w:color w:val="auto"/>
          <w:sz w:val="28"/>
          <w:szCs w:val="28"/>
        </w:rPr>
        <w:t xml:space="preserve"> </w:t>
      </w:r>
      <w:r w:rsidRPr="00913ED2">
        <w:rPr>
          <w:rFonts w:asciiTheme="minorHAnsi" w:hAnsiTheme="minorHAnsi" w:cstheme="minorHAnsi"/>
          <w:i/>
          <w:iCs/>
          <w:color w:val="auto"/>
          <w:sz w:val="28"/>
          <w:szCs w:val="28"/>
        </w:rPr>
        <w:t>Canada and Asia</w:t>
      </w:r>
    </w:p>
    <w:p w14:paraId="5E66C5B5" w14:textId="2878BC5C" w:rsidR="008D3756" w:rsidRPr="00913ED2" w:rsidRDefault="00D87BD3" w:rsidP="005A4293">
      <w:pPr>
        <w:pStyle w:val="ListParagraph"/>
        <w:numPr>
          <w:ilvl w:val="0"/>
          <w:numId w:val="10"/>
        </w:numPr>
        <w:spacing w:after="0"/>
      </w:pPr>
      <w:r w:rsidRPr="00913ED2">
        <w:t>Minnesota</w:t>
      </w:r>
      <w:r w:rsidR="00136664" w:rsidRPr="00913ED2">
        <w:t>’s e</w:t>
      </w:r>
      <w:r w:rsidR="000D02DD" w:rsidRPr="00913ED2">
        <w:t xml:space="preserve">xports </w:t>
      </w:r>
      <w:r w:rsidR="00CC1EF1" w:rsidRPr="00913ED2">
        <w:t xml:space="preserve">dropped sharply </w:t>
      </w:r>
      <w:r w:rsidR="00136664" w:rsidRPr="00913ED2">
        <w:t xml:space="preserve">to </w:t>
      </w:r>
      <w:r w:rsidR="005727A5" w:rsidRPr="00913ED2">
        <w:rPr>
          <w:b/>
          <w:bCs/>
        </w:rPr>
        <w:t>North America</w:t>
      </w:r>
      <w:r w:rsidR="00A90983" w:rsidRPr="00913ED2">
        <w:rPr>
          <w:b/>
          <w:bCs/>
        </w:rPr>
        <w:t xml:space="preserve"> </w:t>
      </w:r>
      <w:r w:rsidR="00CC1EF1" w:rsidRPr="00913ED2">
        <w:t>($2.4 billion, down 20%</w:t>
      </w:r>
      <w:r w:rsidR="002C3BBC" w:rsidRPr="00913ED2">
        <w:t>)</w:t>
      </w:r>
      <w:r w:rsidR="00CC1EF1" w:rsidRPr="00913ED2">
        <w:t xml:space="preserve"> </w:t>
      </w:r>
      <w:r w:rsidR="008D3756" w:rsidRPr="00913ED2">
        <w:t xml:space="preserve">with </w:t>
      </w:r>
      <w:r w:rsidR="00FA433D" w:rsidRPr="00913ED2">
        <w:t>slumping</w:t>
      </w:r>
      <w:r w:rsidR="008D3756" w:rsidRPr="00913ED2">
        <w:t xml:space="preserve"> demand in Canada (down 33%) offsetting </w:t>
      </w:r>
      <w:r w:rsidR="00FA433D" w:rsidRPr="00913ED2">
        <w:t>robust</w:t>
      </w:r>
      <w:r w:rsidR="008D3756" w:rsidRPr="00913ED2">
        <w:t xml:space="preserve"> trends in Mexico (up 26%).</w:t>
      </w:r>
    </w:p>
    <w:p w14:paraId="2A777F97" w14:textId="5D540B8D" w:rsidR="00387777" w:rsidRPr="00913ED2" w:rsidRDefault="00FA433D" w:rsidP="005A4293">
      <w:pPr>
        <w:pStyle w:val="ListParagraph"/>
        <w:numPr>
          <w:ilvl w:val="0"/>
          <w:numId w:val="10"/>
        </w:numPr>
        <w:spacing w:after="0"/>
      </w:pPr>
      <w:r w:rsidRPr="00913ED2">
        <w:t>E</w:t>
      </w:r>
      <w:r w:rsidR="008D3756" w:rsidRPr="00913ED2">
        <w:t xml:space="preserve">xports </w:t>
      </w:r>
      <w:r w:rsidRPr="00913ED2">
        <w:t>buckled t</w:t>
      </w:r>
      <w:r w:rsidR="008D3756" w:rsidRPr="00913ED2">
        <w:t xml:space="preserve">o </w:t>
      </w:r>
      <w:r w:rsidR="008D3756" w:rsidRPr="00913ED2">
        <w:rPr>
          <w:b/>
          <w:bCs/>
        </w:rPr>
        <w:t xml:space="preserve">Asia </w:t>
      </w:r>
      <w:r w:rsidR="008D3756" w:rsidRPr="00913ED2">
        <w:t xml:space="preserve">($1.7 billion, down 10%) </w:t>
      </w:r>
      <w:r w:rsidRPr="00913ED2">
        <w:t>as</w:t>
      </w:r>
      <w:r w:rsidR="008D3756" w:rsidRPr="00913ED2">
        <w:t xml:space="preserve"> </w:t>
      </w:r>
      <w:r w:rsidR="00CC1EF1" w:rsidRPr="00913ED2">
        <w:t xml:space="preserve">large </w:t>
      </w:r>
      <w:r w:rsidR="008D3756" w:rsidRPr="00913ED2">
        <w:t xml:space="preserve">export </w:t>
      </w:r>
      <w:r w:rsidR="00CC1EF1" w:rsidRPr="00913ED2">
        <w:t xml:space="preserve">declines to </w:t>
      </w:r>
      <w:r w:rsidR="00CC1EF1" w:rsidRPr="00913ED2">
        <w:rPr>
          <w:b/>
          <w:bCs/>
        </w:rPr>
        <w:t xml:space="preserve">China, Thailand, </w:t>
      </w:r>
      <w:proofErr w:type="gramStart"/>
      <w:r w:rsidR="00CC1EF1" w:rsidRPr="00913ED2">
        <w:rPr>
          <w:b/>
          <w:bCs/>
        </w:rPr>
        <w:t>Taiwan</w:t>
      </w:r>
      <w:proofErr w:type="gramEnd"/>
      <w:r w:rsidR="00CC1EF1" w:rsidRPr="00913ED2">
        <w:rPr>
          <w:b/>
          <w:bCs/>
        </w:rPr>
        <w:t xml:space="preserve"> </w:t>
      </w:r>
      <w:r w:rsidR="00CC1EF1" w:rsidRPr="00913ED2">
        <w:t xml:space="preserve">and </w:t>
      </w:r>
      <w:r w:rsidR="00CC1EF1" w:rsidRPr="00913ED2">
        <w:rPr>
          <w:b/>
          <w:bCs/>
        </w:rPr>
        <w:t>Singapore</w:t>
      </w:r>
      <w:r w:rsidR="008D3756" w:rsidRPr="00913ED2">
        <w:t xml:space="preserve"> </w:t>
      </w:r>
      <w:r w:rsidRPr="00913ED2">
        <w:t>o</w:t>
      </w:r>
      <w:r w:rsidR="008D3756" w:rsidRPr="00913ED2">
        <w:t xml:space="preserve">verwhelmed </w:t>
      </w:r>
      <w:r w:rsidRPr="00913ED2">
        <w:t xml:space="preserve">solid </w:t>
      </w:r>
      <w:r w:rsidR="008D3756" w:rsidRPr="00913ED2">
        <w:t xml:space="preserve">gains to </w:t>
      </w:r>
      <w:r w:rsidR="008D3756" w:rsidRPr="00913ED2">
        <w:rPr>
          <w:b/>
          <w:bCs/>
        </w:rPr>
        <w:t xml:space="preserve">Malaysia </w:t>
      </w:r>
      <w:r w:rsidR="008D3756" w:rsidRPr="00913ED2">
        <w:t xml:space="preserve">and </w:t>
      </w:r>
      <w:r w:rsidR="008D3756" w:rsidRPr="00913ED2">
        <w:rPr>
          <w:b/>
          <w:bCs/>
        </w:rPr>
        <w:t>the Philippines</w:t>
      </w:r>
      <w:r w:rsidR="008D3756" w:rsidRPr="00913ED2">
        <w:t>.</w:t>
      </w:r>
    </w:p>
    <w:p w14:paraId="3B18BE2C" w14:textId="4702B5E5" w:rsidR="00846556" w:rsidRPr="00913ED2" w:rsidRDefault="00846556" w:rsidP="00846556">
      <w:pPr>
        <w:pStyle w:val="ListParagraph"/>
        <w:numPr>
          <w:ilvl w:val="0"/>
          <w:numId w:val="10"/>
        </w:numPr>
        <w:spacing w:before="120" w:after="120"/>
      </w:pPr>
      <w:bookmarkStart w:id="0" w:name="_Hlk71710426"/>
      <w:r w:rsidRPr="00913ED2">
        <w:t xml:space="preserve">Strong growth in other world regions offered brighter outcomes. </w:t>
      </w:r>
      <w:r w:rsidR="00C84427" w:rsidRPr="00913ED2">
        <w:t>E</w:t>
      </w:r>
      <w:r w:rsidR="00B43EF1" w:rsidRPr="00913ED2">
        <w:t>xports</w:t>
      </w:r>
      <w:r w:rsidR="00751E26" w:rsidRPr="00913ED2">
        <w:t xml:space="preserve"> grew </w:t>
      </w:r>
      <w:r w:rsidR="00CC1EF1" w:rsidRPr="00913ED2">
        <w:t xml:space="preserve">strongly </w:t>
      </w:r>
      <w:r w:rsidR="00B43EF1" w:rsidRPr="00913ED2">
        <w:t>to</w:t>
      </w:r>
      <w:r w:rsidR="00C84427" w:rsidRPr="00913ED2">
        <w:t xml:space="preserve"> </w:t>
      </w:r>
      <w:r w:rsidR="001C13C5" w:rsidRPr="00913ED2">
        <w:rPr>
          <w:b/>
        </w:rPr>
        <w:t>Europe</w:t>
      </w:r>
      <w:r w:rsidR="00CC1EF1" w:rsidRPr="00913ED2">
        <w:t xml:space="preserve"> </w:t>
      </w:r>
      <w:r w:rsidR="00A744D1" w:rsidRPr="00913ED2">
        <w:t>(</w:t>
      </w:r>
      <w:r w:rsidR="00387777" w:rsidRPr="00913ED2">
        <w:t>up 1</w:t>
      </w:r>
      <w:r w:rsidR="00CC1EF1" w:rsidRPr="00913ED2">
        <w:t>0</w:t>
      </w:r>
      <w:r w:rsidR="00387777" w:rsidRPr="00913ED2">
        <w:t>%</w:t>
      </w:r>
      <w:r w:rsidR="00B64706" w:rsidRPr="00913ED2">
        <w:t>)</w:t>
      </w:r>
      <w:r w:rsidR="00533107" w:rsidRPr="00913ED2">
        <w:t xml:space="preserve"> – </w:t>
      </w:r>
      <w:r w:rsidR="00AE6B2A" w:rsidRPr="00913ED2">
        <w:t>led</w:t>
      </w:r>
      <w:r w:rsidR="00F555DD" w:rsidRPr="00913ED2">
        <w:t xml:space="preserve"> by</w:t>
      </w:r>
      <w:r w:rsidR="00C57088" w:rsidRPr="00913ED2">
        <w:t xml:space="preserve"> </w:t>
      </w:r>
      <w:r w:rsidR="00D3203E" w:rsidRPr="00913ED2">
        <w:rPr>
          <w:b/>
          <w:bCs/>
        </w:rPr>
        <w:t>the Netherlands</w:t>
      </w:r>
      <w:r w:rsidR="00D3203E" w:rsidRPr="00913ED2">
        <w:t xml:space="preserve"> and</w:t>
      </w:r>
      <w:r w:rsidR="00B64706" w:rsidRPr="00913ED2">
        <w:rPr>
          <w:b/>
          <w:bCs/>
        </w:rPr>
        <w:t xml:space="preserve"> Ireland</w:t>
      </w:r>
      <w:r w:rsidR="00B64706" w:rsidRPr="00913ED2">
        <w:t>;</w:t>
      </w:r>
      <w:r w:rsidR="00C57088" w:rsidRPr="00913ED2">
        <w:t xml:space="preserve"> </w:t>
      </w:r>
      <w:r w:rsidR="00FC7394" w:rsidRPr="00913ED2">
        <w:rPr>
          <w:bCs/>
        </w:rPr>
        <w:t xml:space="preserve">to </w:t>
      </w:r>
      <w:r w:rsidR="00B64706" w:rsidRPr="00913ED2">
        <w:rPr>
          <w:b/>
        </w:rPr>
        <w:t xml:space="preserve">the Caribbean, </w:t>
      </w:r>
      <w:r w:rsidR="00F555DD" w:rsidRPr="00913ED2">
        <w:rPr>
          <w:b/>
        </w:rPr>
        <w:t>Central and South America</w:t>
      </w:r>
      <w:r w:rsidR="00C84427" w:rsidRPr="00913ED2">
        <w:t xml:space="preserve"> </w:t>
      </w:r>
      <w:r w:rsidR="00A744D1" w:rsidRPr="00913ED2">
        <w:t>(</w:t>
      </w:r>
      <w:r w:rsidR="00533107" w:rsidRPr="00913ED2">
        <w:t xml:space="preserve">up </w:t>
      </w:r>
      <w:r w:rsidR="00CC1EF1" w:rsidRPr="00913ED2">
        <w:t>5</w:t>
      </w:r>
      <w:r w:rsidR="00533107" w:rsidRPr="00913ED2">
        <w:t>%</w:t>
      </w:r>
      <w:r w:rsidR="00B64706" w:rsidRPr="00913ED2">
        <w:t>)</w:t>
      </w:r>
      <w:bookmarkEnd w:id="0"/>
      <w:r w:rsidR="00B64706" w:rsidRPr="00913ED2">
        <w:rPr>
          <w:bCs/>
        </w:rPr>
        <w:t>;</w:t>
      </w:r>
      <w:r w:rsidR="00533107" w:rsidRPr="00913ED2">
        <w:rPr>
          <w:bCs/>
        </w:rPr>
        <w:t xml:space="preserve"> </w:t>
      </w:r>
      <w:r w:rsidR="00FC7394" w:rsidRPr="00913ED2">
        <w:rPr>
          <w:bCs/>
        </w:rPr>
        <w:t xml:space="preserve">to the </w:t>
      </w:r>
      <w:r w:rsidR="00FC7394" w:rsidRPr="00913ED2">
        <w:rPr>
          <w:b/>
        </w:rPr>
        <w:t>Australia-Pacific</w:t>
      </w:r>
      <w:r w:rsidR="00FC7394" w:rsidRPr="00913ED2">
        <w:rPr>
          <w:bCs/>
        </w:rPr>
        <w:t xml:space="preserve"> region (</w:t>
      </w:r>
      <w:r w:rsidR="00533107" w:rsidRPr="00913ED2">
        <w:rPr>
          <w:bCs/>
        </w:rPr>
        <w:t>up</w:t>
      </w:r>
      <w:r w:rsidR="00FC7394" w:rsidRPr="00913ED2">
        <w:rPr>
          <w:bCs/>
        </w:rPr>
        <w:t xml:space="preserve"> </w:t>
      </w:r>
      <w:r w:rsidR="00CC1EF1" w:rsidRPr="00913ED2">
        <w:t>2</w:t>
      </w:r>
      <w:r w:rsidR="00533107" w:rsidRPr="00913ED2">
        <w:rPr>
          <w:bCs/>
        </w:rPr>
        <w:t>2</w:t>
      </w:r>
      <w:r w:rsidR="00FC7394" w:rsidRPr="00913ED2">
        <w:rPr>
          <w:bCs/>
        </w:rPr>
        <w:t>%</w:t>
      </w:r>
      <w:r w:rsidR="002C3BBC" w:rsidRPr="00913ED2">
        <w:t xml:space="preserve">) </w:t>
      </w:r>
      <w:r w:rsidR="002C3BBC" w:rsidRPr="00913ED2">
        <w:rPr>
          <w:b/>
          <w:bCs/>
        </w:rPr>
        <w:t xml:space="preserve">– </w:t>
      </w:r>
      <w:r w:rsidR="00CC1EF1" w:rsidRPr="00913ED2">
        <w:t xml:space="preserve">fueled by </w:t>
      </w:r>
      <w:r w:rsidR="00CC1EF1" w:rsidRPr="00913ED2">
        <w:rPr>
          <w:b/>
          <w:bCs/>
        </w:rPr>
        <w:t xml:space="preserve">Australia </w:t>
      </w:r>
      <w:r w:rsidR="00CC1EF1" w:rsidRPr="00913ED2">
        <w:t>(up</w:t>
      </w:r>
      <w:r w:rsidR="002C3BBC" w:rsidRPr="00913ED2">
        <w:t xml:space="preserve"> 27%);</w:t>
      </w:r>
      <w:r w:rsidR="00533107" w:rsidRPr="00913ED2">
        <w:rPr>
          <w:bCs/>
        </w:rPr>
        <w:t xml:space="preserve"> and to</w:t>
      </w:r>
      <w:r w:rsidR="00D3203E" w:rsidRPr="00913ED2">
        <w:t xml:space="preserve"> the</w:t>
      </w:r>
      <w:r w:rsidR="00533107" w:rsidRPr="00913ED2">
        <w:rPr>
          <w:bCs/>
        </w:rPr>
        <w:t xml:space="preserve"> </w:t>
      </w:r>
      <w:r w:rsidR="00CC1EF1" w:rsidRPr="00913ED2">
        <w:rPr>
          <w:b/>
          <w:bCs/>
        </w:rPr>
        <w:t>Middle East</w:t>
      </w:r>
      <w:r w:rsidR="00CC1EF1" w:rsidRPr="00913ED2">
        <w:t xml:space="preserve"> </w:t>
      </w:r>
      <w:r w:rsidR="00533107" w:rsidRPr="00913ED2">
        <w:rPr>
          <w:bCs/>
        </w:rPr>
        <w:t xml:space="preserve">(up </w:t>
      </w:r>
      <w:r w:rsidR="00CC1EF1" w:rsidRPr="00913ED2">
        <w:t>28</w:t>
      </w:r>
      <w:r w:rsidR="00533107" w:rsidRPr="00913ED2">
        <w:t>%</w:t>
      </w:r>
      <w:r w:rsidR="002C3BBC" w:rsidRPr="00913ED2">
        <w:t>)</w:t>
      </w:r>
    </w:p>
    <w:p w14:paraId="481CD972" w14:textId="005E420E" w:rsidR="007C165F" w:rsidRPr="00913ED2" w:rsidRDefault="007C165F" w:rsidP="00913ED2">
      <w:pPr>
        <w:pStyle w:val="Heading3"/>
        <w:spacing w:before="120" w:after="120"/>
        <w:rPr>
          <w:color w:val="auto"/>
          <w:sz w:val="24"/>
          <w:szCs w:val="24"/>
        </w:rPr>
      </w:pPr>
      <w:r w:rsidRPr="00913ED2">
        <w:rPr>
          <w:color w:val="auto"/>
          <w:sz w:val="24"/>
          <w:szCs w:val="24"/>
        </w:rPr>
        <w:t xml:space="preserve">Figure </w:t>
      </w:r>
      <w:r w:rsidR="00E36364" w:rsidRPr="00913ED2">
        <w:rPr>
          <w:color w:val="auto"/>
          <w:sz w:val="24"/>
          <w:szCs w:val="24"/>
        </w:rPr>
        <w:fldChar w:fldCharType="begin"/>
      </w:r>
      <w:r w:rsidR="00E36364" w:rsidRPr="00913ED2">
        <w:rPr>
          <w:color w:val="auto"/>
          <w:sz w:val="24"/>
          <w:szCs w:val="24"/>
        </w:rPr>
        <w:instrText xml:space="preserve"> SEQ Figure \* ARABIC </w:instrText>
      </w:r>
      <w:r w:rsidR="00E36364" w:rsidRPr="00913ED2">
        <w:rPr>
          <w:color w:val="auto"/>
          <w:sz w:val="24"/>
          <w:szCs w:val="24"/>
        </w:rPr>
        <w:fldChar w:fldCharType="separate"/>
      </w:r>
      <w:r w:rsidR="00C430F8" w:rsidRPr="00913ED2">
        <w:rPr>
          <w:color w:val="auto"/>
          <w:sz w:val="24"/>
          <w:szCs w:val="24"/>
        </w:rPr>
        <w:t>2</w:t>
      </w:r>
      <w:r w:rsidR="00E36364" w:rsidRPr="00913ED2">
        <w:rPr>
          <w:color w:val="auto"/>
          <w:sz w:val="24"/>
          <w:szCs w:val="24"/>
        </w:rPr>
        <w:fldChar w:fldCharType="end"/>
      </w:r>
      <w:r w:rsidR="00C84D0E" w:rsidRPr="00913ED2">
        <w:rPr>
          <w:color w:val="auto"/>
          <w:sz w:val="24"/>
          <w:szCs w:val="24"/>
        </w:rPr>
        <w:t xml:space="preserve">. </w:t>
      </w:r>
      <w:r w:rsidR="00A44451" w:rsidRPr="00913ED2">
        <w:rPr>
          <w:color w:val="auto"/>
          <w:sz w:val="24"/>
          <w:szCs w:val="24"/>
        </w:rPr>
        <w:t>Export Trends for</w:t>
      </w:r>
      <w:r w:rsidR="0038665A" w:rsidRPr="00913ED2">
        <w:rPr>
          <w:color w:val="auto"/>
          <w:sz w:val="24"/>
          <w:szCs w:val="24"/>
        </w:rPr>
        <w:t xml:space="preserve"> Minnesota’s Top 10 Markets, </w:t>
      </w:r>
      <w:r w:rsidR="002D1E09" w:rsidRPr="00913ED2">
        <w:rPr>
          <w:color w:val="auto"/>
          <w:sz w:val="24"/>
          <w:szCs w:val="24"/>
        </w:rPr>
        <w:t>Second</w:t>
      </w:r>
      <w:r w:rsidR="00606AB0" w:rsidRPr="00913ED2">
        <w:rPr>
          <w:color w:val="auto"/>
          <w:sz w:val="24"/>
          <w:szCs w:val="24"/>
        </w:rPr>
        <w:t xml:space="preserve"> </w:t>
      </w:r>
      <w:r w:rsidR="00A52415" w:rsidRPr="00913ED2">
        <w:rPr>
          <w:color w:val="auto"/>
          <w:sz w:val="24"/>
          <w:szCs w:val="24"/>
        </w:rPr>
        <w:t xml:space="preserve">Quarter </w:t>
      </w:r>
      <w:r w:rsidR="004C6288" w:rsidRPr="00913ED2">
        <w:rPr>
          <w:color w:val="auto"/>
          <w:sz w:val="24"/>
          <w:szCs w:val="24"/>
        </w:rPr>
        <w:t>2023</w:t>
      </w:r>
    </w:p>
    <w:p w14:paraId="11C01A8F" w14:textId="3F48EDA6" w:rsidR="004F5EFC" w:rsidRPr="00913ED2" w:rsidRDefault="002D1E09" w:rsidP="002D1E09">
      <w:pPr>
        <w:spacing w:after="0"/>
      </w:pPr>
      <w:r w:rsidRPr="00913ED2">
        <w:rPr>
          <w:noProof/>
        </w:rPr>
        <w:drawing>
          <wp:inline distT="0" distB="0" distL="0" distR="0" wp14:anchorId="2A5F0B0F" wp14:editId="646A3206">
            <wp:extent cx="6492240" cy="2105660"/>
            <wp:effectExtent l="0" t="0" r="3810" b="8890"/>
            <wp:docPr id="14" name="Picture 14" descr="MN Exports by top 10 markets, 2023-Q2&#10;Country Exports (millions) Percent Change, 2022-Q2 to 2023-Q2&#10;WORLD  $6,070  -9%&#10;Canada (1)   $1,567  -33%&#10;Mexico (2)   $806  26%&#10;China (3)   $636  -10%&#10;Japan (4)   $267  -4%&#10;Netherlands (5)   $225  33%&#10;Germany (6)   $210  9%&#10;Belgium (7)   $181  9%&#10;Ireland (8)   $179  15%&#10;Korea (9)   $168  -4%&#10;U.K. (10)   $135  -6%&#10;Other  $1,696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N Exports by top 10 markets, 2023-Q2&#10;Country Exports (millions) Percent Change, 2022-Q2 to 2023-Q2&#10;WORLD  $6,070  -9%&#10;Canada (1)   $1,567  -33%&#10;Mexico (2)   $806  26%&#10;China (3)   $636  -10%&#10;Japan (4)   $267  -4%&#10;Netherlands (5)   $225  33%&#10;Germany (6)   $210  9%&#10;Belgium (7)   $181  9%&#10;Ireland (8)   $179  15%&#10;Korea (9)   $168  -4%&#10;U.K. (10)   $135  -6%&#10;Other  $1,696  0%&#10;"/>
                    <pic:cNvPicPr>
                      <a:picLocks noChangeAspect="1" noChangeArrowheads="1"/>
                    </pic:cNvPicPr>
                  </pic:nvPicPr>
                  <pic:blipFill rotWithShape="1">
                    <a:blip r:embed="rId14">
                      <a:extLst>
                        <a:ext uri="{28A0092B-C50C-407E-A947-70E740481C1C}">
                          <a14:useLocalDpi xmlns:a14="http://schemas.microsoft.com/office/drawing/2010/main" val="0"/>
                        </a:ext>
                      </a:extLst>
                    </a:blip>
                    <a:srcRect t="6749"/>
                    <a:stretch/>
                  </pic:blipFill>
                  <pic:spPr bwMode="auto">
                    <a:xfrm>
                      <a:off x="0" y="0"/>
                      <a:ext cx="6492240" cy="2105660"/>
                    </a:xfrm>
                    <a:prstGeom prst="rect">
                      <a:avLst/>
                    </a:prstGeom>
                    <a:noFill/>
                    <a:ln>
                      <a:noFill/>
                    </a:ln>
                    <a:extLst>
                      <a:ext uri="{53640926-AAD7-44D8-BBD7-CCE9431645EC}">
                        <a14:shadowObscured xmlns:a14="http://schemas.microsoft.com/office/drawing/2010/main"/>
                      </a:ext>
                    </a:extLst>
                  </pic:spPr>
                </pic:pic>
              </a:graphicData>
            </a:graphic>
          </wp:inline>
        </w:drawing>
      </w:r>
      <w:r w:rsidR="004F5EFC" w:rsidRPr="00913ED2">
        <w:br w:type="page"/>
      </w:r>
    </w:p>
    <w:p w14:paraId="52D9CF8F" w14:textId="0A37DFD4" w:rsidR="00212FF3" w:rsidRPr="00913ED2" w:rsidRDefault="002C3BBC" w:rsidP="00212FF3">
      <w:pPr>
        <w:pStyle w:val="Heading2"/>
        <w:tabs>
          <w:tab w:val="left" w:pos="360"/>
        </w:tabs>
        <w:spacing w:before="0" w:after="120"/>
        <w:ind w:left="360" w:hanging="360"/>
        <w:rPr>
          <w:rFonts w:asciiTheme="minorHAnsi" w:hAnsiTheme="minorHAnsi"/>
          <w:bCs w:val="0"/>
          <w:i/>
          <w:color w:val="auto"/>
          <w:sz w:val="28"/>
        </w:rPr>
      </w:pPr>
      <w:r w:rsidRPr="00913ED2">
        <w:rPr>
          <w:rFonts w:asciiTheme="minorHAnsi" w:hAnsiTheme="minorHAnsi"/>
          <w:bCs w:val="0"/>
          <w:i/>
          <w:color w:val="auto"/>
          <w:sz w:val="28"/>
        </w:rPr>
        <w:lastRenderedPageBreak/>
        <w:t>Vehicles,</w:t>
      </w:r>
      <w:r w:rsidR="00F10BC5" w:rsidRPr="00913ED2">
        <w:rPr>
          <w:rFonts w:asciiTheme="minorHAnsi" w:hAnsiTheme="minorHAnsi"/>
          <w:bCs w:val="0"/>
          <w:i/>
          <w:color w:val="auto"/>
          <w:sz w:val="28"/>
        </w:rPr>
        <w:t xml:space="preserve"> Optic</w:t>
      </w:r>
      <w:r w:rsidR="00913ED2" w:rsidRPr="00913ED2">
        <w:rPr>
          <w:rFonts w:asciiTheme="minorHAnsi" w:hAnsiTheme="minorHAnsi"/>
          <w:bCs w:val="0"/>
          <w:i/>
          <w:color w:val="auto"/>
          <w:sz w:val="28"/>
        </w:rPr>
        <w:t>/</w:t>
      </w:r>
      <w:r w:rsidR="00F10BC5" w:rsidRPr="00913ED2">
        <w:rPr>
          <w:rFonts w:asciiTheme="minorHAnsi" w:hAnsiTheme="minorHAnsi"/>
          <w:bCs w:val="0"/>
          <w:i/>
          <w:color w:val="auto"/>
          <w:sz w:val="28"/>
        </w:rPr>
        <w:t>Medical</w:t>
      </w:r>
      <w:r w:rsidR="00913ED2" w:rsidRPr="00913ED2">
        <w:rPr>
          <w:rFonts w:asciiTheme="minorHAnsi" w:hAnsiTheme="minorHAnsi"/>
          <w:bCs w:val="0"/>
          <w:i/>
          <w:color w:val="auto"/>
          <w:sz w:val="28"/>
        </w:rPr>
        <w:t>,</w:t>
      </w:r>
      <w:r w:rsidR="00F10BC5" w:rsidRPr="00913ED2">
        <w:rPr>
          <w:rFonts w:asciiTheme="minorHAnsi" w:hAnsiTheme="minorHAnsi"/>
          <w:bCs w:val="0"/>
          <w:i/>
          <w:color w:val="auto"/>
          <w:sz w:val="28"/>
        </w:rPr>
        <w:t xml:space="preserve"> </w:t>
      </w:r>
      <w:r w:rsidRPr="00913ED2">
        <w:rPr>
          <w:rFonts w:asciiTheme="minorHAnsi" w:hAnsiTheme="minorHAnsi"/>
          <w:bCs w:val="0"/>
          <w:i/>
          <w:color w:val="auto"/>
          <w:sz w:val="28"/>
        </w:rPr>
        <w:t>Ores and Aircraft</w:t>
      </w:r>
      <w:r w:rsidR="00913ED2" w:rsidRPr="00913ED2">
        <w:rPr>
          <w:rFonts w:asciiTheme="minorHAnsi" w:hAnsiTheme="minorHAnsi"/>
          <w:bCs w:val="0"/>
          <w:i/>
          <w:color w:val="auto"/>
          <w:sz w:val="28"/>
        </w:rPr>
        <w:t xml:space="preserve"> Products</w:t>
      </w:r>
      <w:r w:rsidR="00212FF3" w:rsidRPr="00913ED2">
        <w:rPr>
          <w:rFonts w:asciiTheme="minorHAnsi" w:hAnsiTheme="minorHAnsi"/>
          <w:bCs w:val="0"/>
          <w:i/>
          <w:color w:val="auto"/>
          <w:sz w:val="28"/>
        </w:rPr>
        <w:t xml:space="preserve"> </w:t>
      </w:r>
      <w:r w:rsidR="00F10BC5" w:rsidRPr="00913ED2">
        <w:rPr>
          <w:rFonts w:asciiTheme="minorHAnsi" w:hAnsiTheme="minorHAnsi"/>
          <w:bCs w:val="0"/>
          <w:i/>
          <w:color w:val="auto"/>
          <w:sz w:val="28"/>
        </w:rPr>
        <w:t xml:space="preserve">Lead in Export </w:t>
      </w:r>
      <w:r w:rsidR="00A513DF" w:rsidRPr="00913ED2">
        <w:rPr>
          <w:rFonts w:asciiTheme="minorHAnsi" w:hAnsiTheme="minorHAnsi"/>
          <w:bCs w:val="0"/>
          <w:i/>
          <w:color w:val="auto"/>
          <w:sz w:val="28"/>
        </w:rPr>
        <w:t>G</w:t>
      </w:r>
      <w:r w:rsidR="00044ED9" w:rsidRPr="00913ED2">
        <w:rPr>
          <w:rFonts w:asciiTheme="minorHAnsi" w:hAnsiTheme="minorHAnsi"/>
          <w:bCs w:val="0"/>
          <w:i/>
          <w:color w:val="auto"/>
          <w:sz w:val="28"/>
        </w:rPr>
        <w:t>ains</w:t>
      </w:r>
    </w:p>
    <w:p w14:paraId="32747C8F" w14:textId="77777777" w:rsidR="00A634F8" w:rsidRPr="00913ED2" w:rsidRDefault="00A634F8" w:rsidP="00212FF3">
      <w:pPr>
        <w:pStyle w:val="NoSpacing"/>
        <w:numPr>
          <w:ilvl w:val="0"/>
          <w:numId w:val="18"/>
        </w:numPr>
        <w:spacing w:line="271" w:lineRule="auto"/>
        <w:rPr>
          <w:b/>
        </w:rPr>
        <w:sectPr w:rsidR="00A634F8" w:rsidRPr="00913ED2" w:rsidSect="00FE15EB">
          <w:footerReference w:type="default" r:id="rId15"/>
          <w:footnotePr>
            <w:numRestart w:val="eachSect"/>
          </w:footnotePr>
          <w:endnotePr>
            <w:numFmt w:val="decimal"/>
          </w:endnotePr>
          <w:type w:val="continuous"/>
          <w:pgSz w:w="12240" w:h="15840" w:code="1"/>
          <w:pgMar w:top="864" w:right="1008" w:bottom="864" w:left="1008" w:header="720" w:footer="720" w:gutter="0"/>
          <w:cols w:space="720"/>
          <w:titlePg/>
          <w:docGrid w:linePitch="299"/>
        </w:sectPr>
      </w:pPr>
    </w:p>
    <w:p w14:paraId="627EA2A1" w14:textId="424667D1" w:rsidR="00A634F8" w:rsidRPr="00913ED2" w:rsidRDefault="002C3BBC" w:rsidP="00CF7317">
      <w:pPr>
        <w:pStyle w:val="NoSpacing"/>
        <w:numPr>
          <w:ilvl w:val="0"/>
          <w:numId w:val="7"/>
        </w:numPr>
        <w:spacing w:line="271" w:lineRule="auto"/>
        <w:ind w:left="360" w:right="-18"/>
      </w:pPr>
      <w:r w:rsidRPr="00913ED2">
        <w:t xml:space="preserve">Exports of some key </w:t>
      </w:r>
      <w:r w:rsidR="00861FE3" w:rsidRPr="00913ED2">
        <w:t xml:space="preserve">products </w:t>
      </w:r>
      <w:r w:rsidR="00BB4A7B" w:rsidRPr="00913ED2">
        <w:t>perform</w:t>
      </w:r>
      <w:r w:rsidR="00212FF3" w:rsidRPr="00913ED2">
        <w:t>ed</w:t>
      </w:r>
      <w:r w:rsidR="00BB4A7B" w:rsidRPr="00913ED2">
        <w:t xml:space="preserve"> strongly </w:t>
      </w:r>
      <w:r w:rsidR="008C3CC2" w:rsidRPr="00913ED2">
        <w:t>in the second quarter</w:t>
      </w:r>
      <w:r w:rsidR="00F10BC5" w:rsidRPr="00913ED2">
        <w:t xml:space="preserve">, </w:t>
      </w:r>
      <w:r w:rsidR="000D566F" w:rsidRPr="00913ED2">
        <w:t xml:space="preserve">and were </w:t>
      </w:r>
      <w:r w:rsidR="00F10BC5" w:rsidRPr="00913ED2">
        <w:t xml:space="preserve">led by </w:t>
      </w:r>
      <w:r w:rsidR="008C3CC2" w:rsidRPr="00913ED2">
        <w:rPr>
          <w:b/>
          <w:bCs/>
        </w:rPr>
        <w:t>vehicles</w:t>
      </w:r>
      <w:r w:rsidR="008C3CC2" w:rsidRPr="00913ED2">
        <w:t xml:space="preserve"> (up 54%), </w:t>
      </w:r>
      <w:r w:rsidR="00BB4A7B" w:rsidRPr="00913ED2">
        <w:rPr>
          <w:b/>
          <w:bCs/>
        </w:rPr>
        <w:t>optic, medical</w:t>
      </w:r>
      <w:r w:rsidR="00BB4A7B" w:rsidRPr="00913ED2">
        <w:t xml:space="preserve"> (up </w:t>
      </w:r>
      <w:r w:rsidR="008C3CC2" w:rsidRPr="00913ED2">
        <w:t>8</w:t>
      </w:r>
      <w:r w:rsidR="00BB4A7B" w:rsidRPr="00913ED2">
        <w:t xml:space="preserve">%), </w:t>
      </w:r>
      <w:r w:rsidR="008C3CC2" w:rsidRPr="00913ED2">
        <w:rPr>
          <w:b/>
          <w:bCs/>
        </w:rPr>
        <w:t xml:space="preserve">ores, slag, ash </w:t>
      </w:r>
      <w:r w:rsidR="008C3CC2" w:rsidRPr="00913ED2">
        <w:t xml:space="preserve">(up 29%), </w:t>
      </w:r>
      <w:r w:rsidR="008C3CC2" w:rsidRPr="00913ED2">
        <w:rPr>
          <w:b/>
          <w:bCs/>
        </w:rPr>
        <w:t>aircraft, spacecraft</w:t>
      </w:r>
      <w:r w:rsidR="0061064A" w:rsidRPr="00913ED2">
        <w:rPr>
          <w:b/>
          <w:bCs/>
        </w:rPr>
        <w:t xml:space="preserve"> </w:t>
      </w:r>
      <w:r w:rsidR="0061064A" w:rsidRPr="00913ED2">
        <w:t xml:space="preserve">(up </w:t>
      </w:r>
      <w:r w:rsidR="008C3CC2" w:rsidRPr="00913ED2">
        <w:t>21</w:t>
      </w:r>
      <w:r w:rsidR="0061064A" w:rsidRPr="00913ED2">
        <w:t>%)</w:t>
      </w:r>
      <w:r w:rsidR="008A202D" w:rsidRPr="00913ED2">
        <w:t xml:space="preserve"> </w:t>
      </w:r>
      <w:r w:rsidR="00952DBF" w:rsidRPr="00913ED2">
        <w:t xml:space="preserve">and </w:t>
      </w:r>
      <w:r w:rsidR="008C3CC2" w:rsidRPr="00913ED2">
        <w:rPr>
          <w:b/>
        </w:rPr>
        <w:t>pharmaceutical goods</w:t>
      </w:r>
      <w:r w:rsidR="0061064A" w:rsidRPr="00913ED2">
        <w:t xml:space="preserve"> (</w:t>
      </w:r>
      <w:r w:rsidR="00D6151B" w:rsidRPr="00913ED2">
        <w:t>up</w:t>
      </w:r>
      <w:r w:rsidR="008C3CC2" w:rsidRPr="00913ED2">
        <w:t xml:space="preserve"> 27</w:t>
      </w:r>
      <w:r w:rsidR="00952DBF" w:rsidRPr="00913ED2">
        <w:t>%</w:t>
      </w:r>
      <w:r w:rsidR="0061064A" w:rsidRPr="00913ED2">
        <w:t>)</w:t>
      </w:r>
      <w:r w:rsidR="000E532F" w:rsidRPr="00913ED2">
        <w:t xml:space="preserve">. </w:t>
      </w:r>
    </w:p>
    <w:p w14:paraId="5D70EAF1" w14:textId="65A4C31C" w:rsidR="00F508B0" w:rsidRPr="00913ED2" w:rsidRDefault="008C3CC2" w:rsidP="00F508B0">
      <w:pPr>
        <w:pStyle w:val="NoSpacing"/>
        <w:numPr>
          <w:ilvl w:val="0"/>
          <w:numId w:val="7"/>
        </w:numPr>
        <w:spacing w:line="271" w:lineRule="auto"/>
        <w:ind w:left="360" w:right="-378"/>
      </w:pPr>
      <w:r w:rsidRPr="00913ED2">
        <w:t xml:space="preserve">In contrast, </w:t>
      </w:r>
      <w:r w:rsidR="000D566F" w:rsidRPr="00913ED2">
        <w:t>global sales of</w:t>
      </w:r>
      <w:r w:rsidRPr="00913ED2">
        <w:t xml:space="preserve"> </w:t>
      </w:r>
      <w:r w:rsidRPr="00913ED2">
        <w:rPr>
          <w:b/>
          <w:bCs/>
        </w:rPr>
        <w:t>mineral fuel, oil</w:t>
      </w:r>
      <w:r w:rsidRPr="00913ED2">
        <w:t xml:space="preserve"> (down 82%), </w:t>
      </w:r>
      <w:r w:rsidRPr="00913ED2">
        <w:rPr>
          <w:b/>
          <w:bCs/>
        </w:rPr>
        <w:t xml:space="preserve">cereals </w:t>
      </w:r>
      <w:r w:rsidRPr="00913ED2">
        <w:t xml:space="preserve">(down 46%), </w:t>
      </w:r>
      <w:r w:rsidRPr="00913ED2">
        <w:rPr>
          <w:b/>
          <w:bCs/>
        </w:rPr>
        <w:t>plastics</w:t>
      </w:r>
      <w:r w:rsidRPr="00913ED2">
        <w:t xml:space="preserve"> (down 17%) and </w:t>
      </w:r>
      <w:r w:rsidRPr="00913ED2">
        <w:rPr>
          <w:b/>
          <w:bCs/>
        </w:rPr>
        <w:t>food by-products</w:t>
      </w:r>
      <w:r w:rsidRPr="00913ED2">
        <w:t xml:space="preserve"> (down 26%)</w:t>
      </w:r>
      <w:r w:rsidR="000D566F" w:rsidRPr="00913ED2">
        <w:t xml:space="preserve"> sank significantly.</w:t>
      </w:r>
    </w:p>
    <w:p w14:paraId="6BA2F72E" w14:textId="365DAD5F" w:rsidR="00E76FF1" w:rsidRPr="00913ED2" w:rsidRDefault="000D566F" w:rsidP="001E7619">
      <w:pPr>
        <w:pStyle w:val="NoSpacing"/>
        <w:numPr>
          <w:ilvl w:val="0"/>
          <w:numId w:val="7"/>
        </w:numPr>
        <w:spacing w:line="271" w:lineRule="auto"/>
        <w:ind w:left="360" w:right="-198"/>
      </w:pPr>
      <w:r w:rsidRPr="00913ED2">
        <w:rPr>
          <w:bCs/>
        </w:rPr>
        <w:t>Export g</w:t>
      </w:r>
      <w:r w:rsidR="00F23A2A" w:rsidRPr="00913ED2">
        <w:rPr>
          <w:bCs/>
        </w:rPr>
        <w:t xml:space="preserve">rowth in </w:t>
      </w:r>
      <w:r w:rsidR="00F23A2A" w:rsidRPr="00913ED2">
        <w:rPr>
          <w:b/>
        </w:rPr>
        <w:t>v</w:t>
      </w:r>
      <w:r w:rsidR="00821BD6" w:rsidRPr="00913ED2">
        <w:rPr>
          <w:b/>
        </w:rPr>
        <w:t>ehicle</w:t>
      </w:r>
      <w:r w:rsidR="001E7619">
        <w:rPr>
          <w:b/>
        </w:rPr>
        <w:t>s</w:t>
      </w:r>
      <w:r w:rsidR="00821BD6" w:rsidRPr="00913ED2">
        <w:rPr>
          <w:bCs/>
        </w:rPr>
        <w:t xml:space="preserve"> w</w:t>
      </w:r>
      <w:r w:rsidR="00F23A2A" w:rsidRPr="00913ED2">
        <w:rPr>
          <w:bCs/>
        </w:rPr>
        <w:t>as</w:t>
      </w:r>
      <w:r w:rsidR="00821BD6" w:rsidRPr="00913ED2">
        <w:rPr>
          <w:bCs/>
        </w:rPr>
        <w:t xml:space="preserve"> driven by </w:t>
      </w:r>
      <w:r w:rsidRPr="00913ED2">
        <w:rPr>
          <w:b/>
        </w:rPr>
        <w:t>Canada</w:t>
      </w:r>
      <w:r w:rsidRPr="00913ED2">
        <w:rPr>
          <w:bCs/>
        </w:rPr>
        <w:t xml:space="preserve"> ($248 million, up 53%); </w:t>
      </w:r>
      <w:r w:rsidR="00821BD6" w:rsidRPr="00913ED2">
        <w:rPr>
          <w:b/>
        </w:rPr>
        <w:t xml:space="preserve">Mexico </w:t>
      </w:r>
      <w:r w:rsidR="00821BD6" w:rsidRPr="00913ED2">
        <w:rPr>
          <w:bCs/>
        </w:rPr>
        <w:t>($13</w:t>
      </w:r>
      <w:r w:rsidR="00F23A2A" w:rsidRPr="00913ED2">
        <w:rPr>
          <w:bCs/>
        </w:rPr>
        <w:t>7</w:t>
      </w:r>
      <w:r w:rsidR="00821BD6" w:rsidRPr="00913ED2">
        <w:rPr>
          <w:bCs/>
        </w:rPr>
        <w:t xml:space="preserve"> million, up </w:t>
      </w:r>
      <w:r w:rsidR="00F23A2A" w:rsidRPr="00913ED2">
        <w:rPr>
          <w:bCs/>
        </w:rPr>
        <w:t>54</w:t>
      </w:r>
      <w:r w:rsidR="00821BD6" w:rsidRPr="00913ED2">
        <w:rPr>
          <w:bCs/>
        </w:rPr>
        <w:t>%</w:t>
      </w:r>
      <w:r w:rsidR="001E7619">
        <w:rPr>
          <w:bCs/>
        </w:rPr>
        <w:t xml:space="preserve">, </w:t>
      </w:r>
      <w:r w:rsidR="00F23A2A" w:rsidRPr="00913ED2">
        <w:t>led by</w:t>
      </w:r>
      <w:r w:rsidR="00821BD6" w:rsidRPr="00913ED2">
        <w:rPr>
          <w:bCs/>
        </w:rPr>
        <w:t xml:space="preserve"> </w:t>
      </w:r>
      <w:r w:rsidR="00821BD6" w:rsidRPr="00913ED2">
        <w:rPr>
          <w:b/>
        </w:rPr>
        <w:t>vehicle parts</w:t>
      </w:r>
      <w:r w:rsidR="001E7619">
        <w:rPr>
          <w:bCs/>
        </w:rPr>
        <w:t>)</w:t>
      </w:r>
      <w:r w:rsidR="005A4293" w:rsidRPr="00913ED2">
        <w:rPr>
          <w:bCs/>
        </w:rPr>
        <w:t>;</w:t>
      </w:r>
      <w:r w:rsidR="00F23A2A" w:rsidRPr="00913ED2">
        <w:t xml:space="preserve"> </w:t>
      </w:r>
      <w:r w:rsidR="00F23A2A" w:rsidRPr="00913ED2">
        <w:rPr>
          <w:bCs/>
        </w:rPr>
        <w:t xml:space="preserve">and </w:t>
      </w:r>
      <w:r w:rsidR="00F23A2A" w:rsidRPr="00913ED2">
        <w:rPr>
          <w:b/>
        </w:rPr>
        <w:t>Ukraine</w:t>
      </w:r>
      <w:r w:rsidR="00F23A2A" w:rsidRPr="00913ED2">
        <w:rPr>
          <w:bCs/>
        </w:rPr>
        <w:t xml:space="preserve"> ($19 million, up from $28,000</w:t>
      </w:r>
      <w:r w:rsidR="001E7619">
        <w:rPr>
          <w:bCs/>
        </w:rPr>
        <w:t>,</w:t>
      </w:r>
      <w:r w:rsidR="00F23A2A" w:rsidRPr="00913ED2">
        <w:rPr>
          <w:bCs/>
        </w:rPr>
        <w:t xml:space="preserve"> </w:t>
      </w:r>
      <w:r w:rsidR="009E312B" w:rsidRPr="00913ED2">
        <w:rPr>
          <w:bCs/>
        </w:rPr>
        <w:t>mainly</w:t>
      </w:r>
      <w:r w:rsidR="00F23A2A" w:rsidRPr="00913ED2">
        <w:rPr>
          <w:bCs/>
        </w:rPr>
        <w:t xml:space="preserve"> </w:t>
      </w:r>
      <w:r w:rsidR="00F23A2A" w:rsidRPr="00913ED2">
        <w:rPr>
          <w:b/>
          <w:bCs/>
        </w:rPr>
        <w:t>tanks, armored vehicles</w:t>
      </w:r>
      <w:r w:rsidR="001E7619">
        <w:t>).</w:t>
      </w:r>
      <w:r w:rsidR="00F508B0" w:rsidRPr="00913ED2">
        <w:rPr>
          <w:rStyle w:val="Heading4Char"/>
          <w:color w:val="auto"/>
        </w:rPr>
        <w:br w:type="column"/>
      </w:r>
      <w:r w:rsidR="00E76FF1" w:rsidRPr="00913ED2">
        <w:rPr>
          <w:rStyle w:val="Heading3Char"/>
          <w:color w:val="auto"/>
          <w:sz w:val="24"/>
          <w:szCs w:val="24"/>
        </w:rPr>
        <w:t xml:space="preserve">Figure </w:t>
      </w:r>
      <w:r w:rsidR="00E76FF1" w:rsidRPr="00913ED2">
        <w:rPr>
          <w:rStyle w:val="Heading3Char"/>
          <w:color w:val="auto"/>
          <w:sz w:val="24"/>
          <w:szCs w:val="24"/>
        </w:rPr>
        <w:fldChar w:fldCharType="begin"/>
      </w:r>
      <w:r w:rsidR="00E76FF1" w:rsidRPr="00913ED2">
        <w:rPr>
          <w:rStyle w:val="Heading3Char"/>
          <w:color w:val="auto"/>
          <w:sz w:val="24"/>
          <w:szCs w:val="24"/>
        </w:rPr>
        <w:instrText xml:space="preserve"> SEQ Figure \* ARABIC </w:instrText>
      </w:r>
      <w:r w:rsidR="00E76FF1" w:rsidRPr="00913ED2">
        <w:rPr>
          <w:rStyle w:val="Heading3Char"/>
          <w:color w:val="auto"/>
          <w:sz w:val="24"/>
          <w:szCs w:val="24"/>
        </w:rPr>
        <w:fldChar w:fldCharType="separate"/>
      </w:r>
      <w:r w:rsidR="00C430F8" w:rsidRPr="00913ED2">
        <w:rPr>
          <w:rStyle w:val="Heading3Char"/>
          <w:color w:val="auto"/>
          <w:sz w:val="24"/>
          <w:szCs w:val="24"/>
        </w:rPr>
        <w:t>3</w:t>
      </w:r>
      <w:r w:rsidR="00E76FF1" w:rsidRPr="00913ED2">
        <w:rPr>
          <w:rStyle w:val="Heading3Char"/>
          <w:color w:val="auto"/>
          <w:sz w:val="24"/>
          <w:szCs w:val="24"/>
        </w:rPr>
        <w:fldChar w:fldCharType="end"/>
      </w:r>
      <w:r w:rsidR="00E76FF1" w:rsidRPr="00913ED2">
        <w:rPr>
          <w:rStyle w:val="Heading3Char"/>
          <w:color w:val="auto"/>
          <w:sz w:val="24"/>
          <w:szCs w:val="24"/>
        </w:rPr>
        <w:t>.</w:t>
      </w:r>
      <w:r w:rsidR="00913ED2" w:rsidRPr="00913ED2">
        <w:rPr>
          <w:rStyle w:val="Heading3Char"/>
          <w:color w:val="auto"/>
          <w:sz w:val="24"/>
          <w:szCs w:val="24"/>
        </w:rPr>
        <w:t xml:space="preserve"> </w:t>
      </w:r>
      <w:r w:rsidR="006330D9" w:rsidRPr="00913ED2">
        <w:rPr>
          <w:rStyle w:val="Heading3Char"/>
          <w:color w:val="auto"/>
          <w:sz w:val="24"/>
          <w:szCs w:val="24"/>
        </w:rPr>
        <w:t>Markets for Aircraft, Spacecraft</w:t>
      </w:r>
    </w:p>
    <w:p w14:paraId="1B43690F" w14:textId="77777777" w:rsidR="00B77999" w:rsidRPr="00913ED2" w:rsidRDefault="00E76FF1" w:rsidP="006330D9">
      <w:pPr>
        <w:spacing w:after="120" w:line="271" w:lineRule="auto"/>
        <w:rPr>
          <w:b/>
        </w:rPr>
      </w:pPr>
      <w:r w:rsidRPr="00913ED2">
        <w:rPr>
          <w:noProof/>
        </w:rPr>
        <w:drawing>
          <wp:inline distT="0" distB="0" distL="0" distR="0" wp14:anchorId="15A22583" wp14:editId="47388ED3">
            <wp:extent cx="3123565" cy="2028825"/>
            <wp:effectExtent l="0" t="0" r="0" b="0"/>
            <wp:docPr id="10" name="Chart 10" descr="Figure 3&#10;MN Markets for Aircraft Spacecraft&#10;Germany 18%&#10;Australia 13%&#10;U.K. 8%&#10;Canada 7%&#10;Japan 5%&#10;Korea 5%&#10;Other 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F1585C" w14:textId="77777777" w:rsidR="00EA50EC" w:rsidRPr="00913ED2" w:rsidRDefault="00EA50EC" w:rsidP="00581831">
      <w:pPr>
        <w:pStyle w:val="NoSpacing"/>
        <w:numPr>
          <w:ilvl w:val="0"/>
          <w:numId w:val="7"/>
        </w:numPr>
        <w:spacing w:line="271" w:lineRule="auto"/>
        <w:ind w:left="360" w:right="-378"/>
        <w:rPr>
          <w:b/>
        </w:rPr>
        <w:sectPr w:rsidR="00EA50EC" w:rsidRPr="00913ED2" w:rsidSect="001E7619">
          <w:footnotePr>
            <w:numRestart w:val="eachSect"/>
          </w:footnotePr>
          <w:endnotePr>
            <w:numFmt w:val="decimal"/>
          </w:endnotePr>
          <w:type w:val="continuous"/>
          <w:pgSz w:w="12240" w:h="15840" w:code="1"/>
          <w:pgMar w:top="864" w:right="1008" w:bottom="864" w:left="1008" w:header="720" w:footer="720" w:gutter="0"/>
          <w:cols w:num="2" w:space="360"/>
          <w:titlePg/>
          <w:docGrid w:linePitch="299"/>
        </w:sectPr>
      </w:pPr>
    </w:p>
    <w:p w14:paraId="51F08C93" w14:textId="1624219B" w:rsidR="00FC6851" w:rsidRPr="00913ED2" w:rsidRDefault="00F508B0" w:rsidP="00821BD6">
      <w:pPr>
        <w:pStyle w:val="ListParagraph"/>
        <w:numPr>
          <w:ilvl w:val="0"/>
          <w:numId w:val="20"/>
        </w:numPr>
        <w:spacing w:after="0" w:line="271" w:lineRule="auto"/>
      </w:pPr>
      <w:r w:rsidRPr="00913ED2">
        <w:rPr>
          <w:b/>
        </w:rPr>
        <w:t xml:space="preserve">Optic, medical </w:t>
      </w:r>
      <w:r w:rsidR="009E312B" w:rsidRPr="00913ED2">
        <w:rPr>
          <w:bCs/>
        </w:rPr>
        <w:t>goods</w:t>
      </w:r>
      <w:r w:rsidRPr="00913ED2">
        <w:rPr>
          <w:b/>
        </w:rPr>
        <w:t xml:space="preserve"> </w:t>
      </w:r>
      <w:r w:rsidR="009E312B" w:rsidRPr="00913ED2">
        <w:t>swelled</w:t>
      </w:r>
      <w:r w:rsidR="00846556" w:rsidRPr="00913ED2">
        <w:t xml:space="preserve"> </w:t>
      </w:r>
      <w:r w:rsidR="009E312B" w:rsidRPr="00913ED2">
        <w:t>in</w:t>
      </w:r>
      <w:r w:rsidR="00846556" w:rsidRPr="00913ED2">
        <w:t xml:space="preserve"> </w:t>
      </w:r>
      <w:r w:rsidR="00846556" w:rsidRPr="00913ED2">
        <w:rPr>
          <w:b/>
          <w:bCs/>
        </w:rPr>
        <w:t>China</w:t>
      </w:r>
      <w:r w:rsidR="00846556" w:rsidRPr="00913ED2">
        <w:t xml:space="preserve"> (up 19%), </w:t>
      </w:r>
      <w:r w:rsidRPr="00913ED2">
        <w:rPr>
          <w:b/>
          <w:bCs/>
        </w:rPr>
        <w:t>Belgium</w:t>
      </w:r>
      <w:r w:rsidRPr="00913ED2">
        <w:t xml:space="preserve"> (</w:t>
      </w:r>
      <w:r w:rsidR="00846556" w:rsidRPr="00913ED2">
        <w:t>4</w:t>
      </w:r>
      <w:r w:rsidRPr="00913ED2">
        <w:t xml:space="preserve">0%), </w:t>
      </w:r>
      <w:r w:rsidR="00846556" w:rsidRPr="00913ED2">
        <w:rPr>
          <w:b/>
          <w:bCs/>
        </w:rPr>
        <w:t>Ireland</w:t>
      </w:r>
      <w:r w:rsidRPr="00913ED2">
        <w:t xml:space="preserve"> (up </w:t>
      </w:r>
      <w:r w:rsidR="00846556" w:rsidRPr="00913ED2">
        <w:t>17</w:t>
      </w:r>
      <w:r w:rsidRPr="00913ED2">
        <w:t xml:space="preserve">%) and </w:t>
      </w:r>
      <w:r w:rsidR="00846556" w:rsidRPr="00913ED2">
        <w:rPr>
          <w:b/>
        </w:rPr>
        <w:t>Korea</w:t>
      </w:r>
      <w:r w:rsidRPr="00913ED2">
        <w:t xml:space="preserve"> (up </w:t>
      </w:r>
      <w:r w:rsidR="00846556" w:rsidRPr="00913ED2">
        <w:t>36</w:t>
      </w:r>
      <w:r w:rsidRPr="00913ED2">
        <w:t>%)</w:t>
      </w:r>
      <w:r w:rsidR="00846556" w:rsidRPr="00913ED2">
        <w:t xml:space="preserve"> </w:t>
      </w:r>
      <w:r w:rsidR="00596618" w:rsidRPr="00913ED2">
        <w:t>but</w:t>
      </w:r>
      <w:r w:rsidRPr="00913ED2">
        <w:t xml:space="preserve"> </w:t>
      </w:r>
      <w:r w:rsidR="00846556" w:rsidRPr="00913ED2">
        <w:t>tumbl</w:t>
      </w:r>
      <w:r w:rsidR="00596618" w:rsidRPr="00913ED2">
        <w:t>ed</w:t>
      </w:r>
      <w:r w:rsidR="00FC6851" w:rsidRPr="00913ED2">
        <w:t xml:space="preserve"> to</w:t>
      </w:r>
      <w:r w:rsidR="00846556" w:rsidRPr="00913ED2">
        <w:t xml:space="preserve"> </w:t>
      </w:r>
      <w:r w:rsidR="00846556" w:rsidRPr="00913ED2">
        <w:rPr>
          <w:b/>
          <w:bCs/>
        </w:rPr>
        <w:t>Taiwan</w:t>
      </w:r>
      <w:r w:rsidR="00FC6851" w:rsidRPr="00913ED2">
        <w:t xml:space="preserve"> (down 41%)</w:t>
      </w:r>
      <w:r w:rsidR="009E312B" w:rsidRPr="00913ED2">
        <w:t>.</w:t>
      </w:r>
      <w:r w:rsidR="00846556" w:rsidRPr="00913ED2">
        <w:t xml:space="preserve"> </w:t>
      </w:r>
      <w:r w:rsidR="00FC6851" w:rsidRPr="00913ED2">
        <w:rPr>
          <w:b/>
          <w:bCs/>
        </w:rPr>
        <w:t>Medical, surgical instruments</w:t>
      </w:r>
      <w:r w:rsidR="00FC6851" w:rsidRPr="00913ED2">
        <w:t xml:space="preserve"> and </w:t>
      </w:r>
      <w:r w:rsidR="00FC6851" w:rsidRPr="00913ED2">
        <w:rPr>
          <w:b/>
          <w:bCs/>
        </w:rPr>
        <w:t>o</w:t>
      </w:r>
      <w:r w:rsidRPr="00913ED2">
        <w:rPr>
          <w:b/>
          <w:bCs/>
        </w:rPr>
        <w:t>rthopedic</w:t>
      </w:r>
      <w:r w:rsidR="009E312B" w:rsidRPr="00913ED2">
        <w:rPr>
          <w:b/>
          <w:bCs/>
        </w:rPr>
        <w:t>, other</w:t>
      </w:r>
      <w:r w:rsidR="00596618" w:rsidRPr="00913ED2">
        <w:rPr>
          <w:b/>
          <w:bCs/>
        </w:rPr>
        <w:t xml:space="preserve"> p</w:t>
      </w:r>
      <w:r w:rsidR="009E312B" w:rsidRPr="00913ED2">
        <w:rPr>
          <w:b/>
          <w:bCs/>
        </w:rPr>
        <w:t>ar</w:t>
      </w:r>
      <w:r w:rsidR="00596618" w:rsidRPr="00913ED2">
        <w:rPr>
          <w:b/>
          <w:bCs/>
        </w:rPr>
        <w:t>t</w:t>
      </w:r>
      <w:r w:rsidRPr="00913ED2">
        <w:rPr>
          <w:b/>
          <w:bCs/>
        </w:rPr>
        <w:t>s</w:t>
      </w:r>
      <w:r w:rsidRPr="00913ED2">
        <w:t xml:space="preserve"> </w:t>
      </w:r>
      <w:r w:rsidR="00FC6851" w:rsidRPr="00913ED2">
        <w:t>boosted</w:t>
      </w:r>
      <w:r w:rsidRPr="00913ED2">
        <w:t xml:space="preserve"> g</w:t>
      </w:r>
      <w:r w:rsidR="009E312B" w:rsidRPr="00913ED2">
        <w:t>ains</w:t>
      </w:r>
      <w:r w:rsidR="00FC6851" w:rsidRPr="00913ED2">
        <w:rPr>
          <w:b/>
        </w:rPr>
        <w:t>.</w:t>
      </w:r>
    </w:p>
    <w:p w14:paraId="69BB1E68" w14:textId="52B1543B" w:rsidR="005953F2" w:rsidRPr="00913ED2" w:rsidRDefault="00DA2D2A" w:rsidP="005953F2">
      <w:pPr>
        <w:pStyle w:val="ListParagraph"/>
        <w:numPr>
          <w:ilvl w:val="0"/>
          <w:numId w:val="20"/>
        </w:numPr>
        <w:spacing w:after="0" w:line="271" w:lineRule="auto"/>
      </w:pPr>
      <w:r w:rsidRPr="00913ED2">
        <w:rPr>
          <w:b/>
        </w:rPr>
        <w:t>O</w:t>
      </w:r>
      <w:r w:rsidR="004D19F5" w:rsidRPr="00913ED2">
        <w:rPr>
          <w:b/>
        </w:rPr>
        <w:t>res, slag, ash</w:t>
      </w:r>
      <w:r w:rsidR="004D19F5" w:rsidRPr="00913ED2">
        <w:rPr>
          <w:bCs/>
        </w:rPr>
        <w:t xml:space="preserve"> (mainly </w:t>
      </w:r>
      <w:r w:rsidR="004D19F5" w:rsidRPr="00913ED2">
        <w:rPr>
          <w:b/>
        </w:rPr>
        <w:t>iron ores</w:t>
      </w:r>
      <w:r w:rsidR="004D19F5" w:rsidRPr="00913ED2">
        <w:rPr>
          <w:bCs/>
        </w:rPr>
        <w:t xml:space="preserve">) </w:t>
      </w:r>
      <w:r w:rsidR="005953F2" w:rsidRPr="00913ED2">
        <w:rPr>
          <w:bCs/>
        </w:rPr>
        <w:t xml:space="preserve">grew strongly to </w:t>
      </w:r>
      <w:r w:rsidR="00FC6851" w:rsidRPr="00913ED2">
        <w:rPr>
          <w:b/>
        </w:rPr>
        <w:t>Canada</w:t>
      </w:r>
      <w:r w:rsidR="005953F2" w:rsidRPr="00913ED2">
        <w:rPr>
          <w:bCs/>
        </w:rPr>
        <w:t xml:space="preserve"> </w:t>
      </w:r>
      <w:r w:rsidRPr="00913ED2">
        <w:rPr>
          <w:bCs/>
        </w:rPr>
        <w:t>(</w:t>
      </w:r>
      <w:r w:rsidR="005953F2" w:rsidRPr="00913ED2">
        <w:rPr>
          <w:bCs/>
        </w:rPr>
        <w:t xml:space="preserve">up 22%) and </w:t>
      </w:r>
      <w:r w:rsidR="00FC6851" w:rsidRPr="00913ED2">
        <w:rPr>
          <w:b/>
        </w:rPr>
        <w:t>Japan</w:t>
      </w:r>
      <w:r w:rsidR="00FC6851" w:rsidRPr="00913ED2">
        <w:rPr>
          <w:bCs/>
        </w:rPr>
        <w:t xml:space="preserve"> </w:t>
      </w:r>
      <w:r w:rsidR="005953F2" w:rsidRPr="00913ED2">
        <w:rPr>
          <w:bCs/>
        </w:rPr>
        <w:t xml:space="preserve">(up 163%). </w:t>
      </w:r>
      <w:r w:rsidR="00821BD6" w:rsidRPr="00913ED2">
        <w:rPr>
          <w:bCs/>
        </w:rPr>
        <w:t xml:space="preserve"> </w:t>
      </w:r>
    </w:p>
    <w:p w14:paraId="2D560DA5" w14:textId="01433B1A" w:rsidR="00821BD6" w:rsidRPr="00913ED2" w:rsidRDefault="004D19F5" w:rsidP="00821BD6">
      <w:pPr>
        <w:pStyle w:val="NoSpacing"/>
        <w:numPr>
          <w:ilvl w:val="0"/>
          <w:numId w:val="7"/>
        </w:numPr>
        <w:spacing w:line="271" w:lineRule="auto"/>
        <w:ind w:left="360" w:right="-378"/>
      </w:pPr>
      <w:r w:rsidRPr="00913ED2">
        <w:rPr>
          <w:bCs/>
        </w:rPr>
        <w:t>T</w:t>
      </w:r>
      <w:r w:rsidR="005953F2" w:rsidRPr="00913ED2">
        <w:rPr>
          <w:bCs/>
        </w:rPr>
        <w:t>op markets for</w:t>
      </w:r>
      <w:r w:rsidR="005953F2" w:rsidRPr="00913ED2">
        <w:rPr>
          <w:b/>
        </w:rPr>
        <w:t xml:space="preserve"> aircraft, spacecraft </w:t>
      </w:r>
      <w:r w:rsidRPr="00913ED2">
        <w:rPr>
          <w:bCs/>
        </w:rPr>
        <w:t>steered growth</w:t>
      </w:r>
      <w:r w:rsidR="005953F2" w:rsidRPr="00913ED2">
        <w:rPr>
          <w:bCs/>
        </w:rPr>
        <w:t>:</w:t>
      </w:r>
      <w:r w:rsidR="005953F2" w:rsidRPr="00913ED2">
        <w:rPr>
          <w:b/>
        </w:rPr>
        <w:t xml:space="preserve"> </w:t>
      </w:r>
      <w:r w:rsidR="00821BD6" w:rsidRPr="00913ED2">
        <w:rPr>
          <w:b/>
        </w:rPr>
        <w:t xml:space="preserve">Germany </w:t>
      </w:r>
      <w:r w:rsidR="00821BD6" w:rsidRPr="00913ED2">
        <w:rPr>
          <w:bCs/>
        </w:rPr>
        <w:t>(</w:t>
      </w:r>
      <w:r w:rsidR="005953F2" w:rsidRPr="00913ED2">
        <w:rPr>
          <w:bCs/>
        </w:rPr>
        <w:t>$28 million, up 177%)</w:t>
      </w:r>
      <w:r w:rsidR="00821BD6" w:rsidRPr="00913ED2">
        <w:rPr>
          <w:bCs/>
        </w:rPr>
        <w:t xml:space="preserve"> and </w:t>
      </w:r>
      <w:r w:rsidR="005953F2" w:rsidRPr="00913ED2">
        <w:rPr>
          <w:b/>
        </w:rPr>
        <w:t>Australia</w:t>
      </w:r>
      <w:r w:rsidR="00821BD6" w:rsidRPr="00913ED2">
        <w:rPr>
          <w:b/>
        </w:rPr>
        <w:t xml:space="preserve"> </w:t>
      </w:r>
      <w:r w:rsidR="00821BD6" w:rsidRPr="00913ED2">
        <w:rPr>
          <w:bCs/>
        </w:rPr>
        <w:t>(</w:t>
      </w:r>
      <w:r w:rsidR="005953F2" w:rsidRPr="00913ED2">
        <w:rPr>
          <w:bCs/>
        </w:rPr>
        <w:t>$21 million, up 212%</w:t>
      </w:r>
      <w:r w:rsidR="00821BD6" w:rsidRPr="00913ED2">
        <w:rPr>
          <w:bCs/>
        </w:rPr>
        <w:t>).</w:t>
      </w:r>
      <w:r w:rsidR="005953F2" w:rsidRPr="00913ED2">
        <w:rPr>
          <w:b/>
        </w:rPr>
        <w:t xml:space="preserve"> Japan</w:t>
      </w:r>
      <w:r w:rsidR="005953F2" w:rsidRPr="00913ED2">
        <w:rPr>
          <w:bCs/>
        </w:rPr>
        <w:t xml:space="preserve"> (up 485%) and </w:t>
      </w:r>
      <w:r w:rsidR="005953F2" w:rsidRPr="00913ED2">
        <w:rPr>
          <w:b/>
        </w:rPr>
        <w:t>Saudi Arabia</w:t>
      </w:r>
      <w:r w:rsidR="005953F2" w:rsidRPr="00913ED2">
        <w:rPr>
          <w:bCs/>
        </w:rPr>
        <w:t xml:space="preserve"> ($4.5 million, up from $19,000) also had notable growth.</w:t>
      </w:r>
      <w:r w:rsidR="00596618" w:rsidRPr="00913ED2">
        <w:rPr>
          <w:bCs/>
        </w:rPr>
        <w:t xml:space="preserve"> </w:t>
      </w:r>
    </w:p>
    <w:p w14:paraId="78F56A9B" w14:textId="179D3C0B" w:rsidR="000D1941" w:rsidRPr="00913ED2" w:rsidRDefault="00407A70" w:rsidP="00821BD6">
      <w:pPr>
        <w:pStyle w:val="ListParagraph"/>
        <w:numPr>
          <w:ilvl w:val="0"/>
          <w:numId w:val="7"/>
        </w:numPr>
        <w:spacing w:after="0" w:line="271" w:lineRule="auto"/>
        <w:ind w:left="360" w:right="-396"/>
      </w:pPr>
      <w:r w:rsidRPr="00913ED2">
        <w:rPr>
          <w:b/>
          <w:bCs/>
        </w:rPr>
        <w:t>Drug</w:t>
      </w:r>
      <w:r w:rsidRPr="00913ED2">
        <w:t xml:space="preserve"> sales (up 86%) surged to account for a third of Minnesota’s</w:t>
      </w:r>
      <w:r w:rsidR="000D1941" w:rsidRPr="00913ED2">
        <w:t xml:space="preserve"> </w:t>
      </w:r>
      <w:r w:rsidR="000D1941" w:rsidRPr="00913ED2">
        <w:rPr>
          <w:b/>
          <w:bCs/>
        </w:rPr>
        <w:t xml:space="preserve">pharmaceutical </w:t>
      </w:r>
      <w:r w:rsidR="000D1941" w:rsidRPr="00913ED2">
        <w:t>exports</w:t>
      </w:r>
      <w:r w:rsidR="00DA2D2A" w:rsidRPr="00913ED2">
        <w:t xml:space="preserve"> and were</w:t>
      </w:r>
      <w:r w:rsidRPr="00913ED2">
        <w:t xml:space="preserve"> largely propelled by</w:t>
      </w:r>
      <w:r w:rsidR="00DA78B5" w:rsidRPr="00913ED2">
        <w:t xml:space="preserve"> </w:t>
      </w:r>
      <w:r w:rsidR="00036760" w:rsidRPr="00913ED2">
        <w:rPr>
          <w:b/>
          <w:bCs/>
        </w:rPr>
        <w:t>Belgium</w:t>
      </w:r>
      <w:r w:rsidRPr="00913ED2">
        <w:t xml:space="preserve">. </w:t>
      </w:r>
      <w:r w:rsidRPr="00913ED2">
        <w:rPr>
          <w:b/>
          <w:bCs/>
        </w:rPr>
        <w:t xml:space="preserve">Blood products </w:t>
      </w:r>
      <w:r w:rsidRPr="00913ED2">
        <w:t>(up 2%) accounted for half of exports, much less than in previous years.</w:t>
      </w:r>
    </w:p>
    <w:p w14:paraId="25C2B00E" w14:textId="3E60B767" w:rsidR="000D566F" w:rsidRPr="00913ED2" w:rsidRDefault="00DA2D2A" w:rsidP="00DA2D2A">
      <w:pPr>
        <w:pStyle w:val="ListParagraph"/>
        <w:numPr>
          <w:ilvl w:val="0"/>
          <w:numId w:val="7"/>
        </w:numPr>
        <w:spacing w:after="0" w:line="271" w:lineRule="auto"/>
        <w:ind w:left="360" w:right="-396"/>
      </w:pPr>
      <w:r w:rsidRPr="00913ED2">
        <w:t xml:space="preserve">High-growth markets for </w:t>
      </w:r>
      <w:r w:rsidR="000D566F" w:rsidRPr="00913ED2">
        <w:rPr>
          <w:b/>
          <w:bCs/>
        </w:rPr>
        <w:t>machinery</w:t>
      </w:r>
      <w:r w:rsidR="000D566F" w:rsidRPr="00913ED2">
        <w:t xml:space="preserve"> </w:t>
      </w:r>
      <w:r w:rsidRPr="00913ED2">
        <w:t xml:space="preserve">– such as </w:t>
      </w:r>
      <w:r w:rsidR="000D566F" w:rsidRPr="00913ED2">
        <w:rPr>
          <w:b/>
          <w:bCs/>
        </w:rPr>
        <w:t>Mexico</w:t>
      </w:r>
      <w:r w:rsidR="00FA3174" w:rsidRPr="00913ED2">
        <w:rPr>
          <w:b/>
          <w:bCs/>
        </w:rPr>
        <w:t xml:space="preserve"> </w:t>
      </w:r>
      <w:r w:rsidR="00FA3174" w:rsidRPr="00913ED2">
        <w:t>(up 33%),</w:t>
      </w:r>
      <w:r w:rsidR="000D566F" w:rsidRPr="00913ED2">
        <w:rPr>
          <w:b/>
          <w:bCs/>
        </w:rPr>
        <w:t xml:space="preserve"> Saudi Arabia</w:t>
      </w:r>
      <w:r w:rsidR="000D566F" w:rsidRPr="00913ED2">
        <w:t xml:space="preserve"> </w:t>
      </w:r>
      <w:r w:rsidR="00FA3174" w:rsidRPr="00913ED2">
        <w:t xml:space="preserve">(up 496%) </w:t>
      </w:r>
      <w:r w:rsidR="000D566F" w:rsidRPr="00913ED2">
        <w:t xml:space="preserve">and </w:t>
      </w:r>
      <w:r w:rsidR="000D566F" w:rsidRPr="00913ED2">
        <w:rPr>
          <w:b/>
          <w:bCs/>
        </w:rPr>
        <w:t>France</w:t>
      </w:r>
      <w:r w:rsidRPr="00913ED2">
        <w:rPr>
          <w:b/>
          <w:bCs/>
        </w:rPr>
        <w:t xml:space="preserve"> </w:t>
      </w:r>
      <w:r w:rsidR="00FA3174" w:rsidRPr="00913ED2">
        <w:t>(up 108%)</w:t>
      </w:r>
      <w:r w:rsidRPr="00913ED2">
        <w:rPr>
          <w:b/>
          <w:bCs/>
        </w:rPr>
        <w:t>–</w:t>
      </w:r>
      <w:r w:rsidR="000D566F" w:rsidRPr="00913ED2">
        <w:t xml:space="preserve"> </w:t>
      </w:r>
      <w:r w:rsidRPr="00913ED2">
        <w:t>balanced</w:t>
      </w:r>
      <w:r w:rsidR="000D566F" w:rsidRPr="00913ED2">
        <w:t xml:space="preserve"> depressed demand in </w:t>
      </w:r>
      <w:r w:rsidR="000D566F" w:rsidRPr="00913ED2">
        <w:rPr>
          <w:b/>
          <w:bCs/>
        </w:rPr>
        <w:t>China</w:t>
      </w:r>
      <w:r w:rsidR="00FA3174" w:rsidRPr="00913ED2">
        <w:t xml:space="preserve"> (down 33%),</w:t>
      </w:r>
      <w:r w:rsidR="000D566F" w:rsidRPr="00913ED2">
        <w:t xml:space="preserve"> </w:t>
      </w:r>
      <w:r w:rsidR="000D566F" w:rsidRPr="00913ED2">
        <w:rPr>
          <w:b/>
          <w:bCs/>
        </w:rPr>
        <w:t>the Czech Republic</w:t>
      </w:r>
      <w:r w:rsidR="000D566F" w:rsidRPr="00913ED2">
        <w:t xml:space="preserve"> </w:t>
      </w:r>
      <w:r w:rsidR="00FA3174" w:rsidRPr="00913ED2">
        <w:t>(down 85%)</w:t>
      </w:r>
      <w:r w:rsidR="00FA3174" w:rsidRPr="00913ED2">
        <w:rPr>
          <w:b/>
          <w:bCs/>
        </w:rPr>
        <w:t xml:space="preserve"> </w:t>
      </w:r>
      <w:r w:rsidR="000D566F" w:rsidRPr="00913ED2">
        <w:t xml:space="preserve">and </w:t>
      </w:r>
      <w:r w:rsidR="000D566F" w:rsidRPr="00913ED2">
        <w:rPr>
          <w:b/>
          <w:bCs/>
        </w:rPr>
        <w:t>the Philippines</w:t>
      </w:r>
      <w:r w:rsidR="00FA3174" w:rsidRPr="00913ED2">
        <w:t xml:space="preserve"> (up 68%). Growth segments included </w:t>
      </w:r>
      <w:r w:rsidR="00FA3174" w:rsidRPr="00913ED2">
        <w:rPr>
          <w:b/>
          <w:bCs/>
        </w:rPr>
        <w:t xml:space="preserve">engine parts; computers and parts; </w:t>
      </w:r>
      <w:r w:rsidR="00FA3174" w:rsidRPr="00913ED2">
        <w:t xml:space="preserve">and </w:t>
      </w:r>
      <w:r w:rsidR="00FA3174" w:rsidRPr="00913ED2">
        <w:rPr>
          <w:b/>
          <w:bCs/>
        </w:rPr>
        <w:t>specialized machinery.</w:t>
      </w:r>
    </w:p>
    <w:p w14:paraId="6FE5CA2C" w14:textId="134774E7" w:rsidR="00821BD6" w:rsidRPr="00913ED2" w:rsidRDefault="00821BD6" w:rsidP="00821BD6">
      <w:pPr>
        <w:pStyle w:val="ListParagraph"/>
        <w:numPr>
          <w:ilvl w:val="0"/>
          <w:numId w:val="7"/>
        </w:numPr>
        <w:spacing w:after="0" w:line="271" w:lineRule="auto"/>
        <w:ind w:left="360" w:right="-396"/>
      </w:pPr>
      <w:r w:rsidRPr="00913ED2">
        <w:t xml:space="preserve">Exports of </w:t>
      </w:r>
      <w:r w:rsidRPr="00913ED2">
        <w:rPr>
          <w:b/>
          <w:bCs/>
        </w:rPr>
        <w:t xml:space="preserve">mineral fuel, oil </w:t>
      </w:r>
      <w:r w:rsidRPr="00913ED2">
        <w:t>plunged, as</w:t>
      </w:r>
      <w:r w:rsidR="00DA2D2A" w:rsidRPr="00913ED2">
        <w:t xml:space="preserve"> sales to</w:t>
      </w:r>
      <w:r w:rsidRPr="00913ED2">
        <w:t xml:space="preserve"> </w:t>
      </w:r>
      <w:r w:rsidRPr="00913ED2">
        <w:rPr>
          <w:b/>
          <w:bCs/>
        </w:rPr>
        <w:t>Canada</w:t>
      </w:r>
      <w:r w:rsidR="006330D9" w:rsidRPr="00913ED2">
        <w:rPr>
          <w:b/>
          <w:bCs/>
        </w:rPr>
        <w:t xml:space="preserve"> </w:t>
      </w:r>
      <w:r w:rsidR="00DA2D2A" w:rsidRPr="00913ED2">
        <w:t>sank (down</w:t>
      </w:r>
      <w:r w:rsidRPr="00913ED2">
        <w:t xml:space="preserve"> $621 million </w:t>
      </w:r>
      <w:r w:rsidR="00DA2D2A" w:rsidRPr="00913ED2">
        <w:t xml:space="preserve">or </w:t>
      </w:r>
      <w:r w:rsidRPr="00913ED2">
        <w:t xml:space="preserve">down 97%). A bump in sales </w:t>
      </w:r>
      <w:r w:rsidR="00FA6845" w:rsidRPr="00913ED2">
        <w:t xml:space="preserve">of </w:t>
      </w:r>
      <w:r w:rsidR="00FA6845" w:rsidRPr="00913ED2">
        <w:rPr>
          <w:b/>
          <w:bCs/>
        </w:rPr>
        <w:t>petroleum oils</w:t>
      </w:r>
      <w:r w:rsidR="00FA6845" w:rsidRPr="00913ED2">
        <w:t xml:space="preserve"> </w:t>
      </w:r>
      <w:r w:rsidRPr="00913ED2">
        <w:t xml:space="preserve">to the </w:t>
      </w:r>
      <w:r w:rsidRPr="00913ED2">
        <w:rPr>
          <w:b/>
          <w:bCs/>
        </w:rPr>
        <w:t>Netherlands</w:t>
      </w:r>
      <w:r w:rsidRPr="00913ED2">
        <w:t xml:space="preserve"> ($92 million, up from none) partially </w:t>
      </w:r>
      <w:r w:rsidR="00DA2D2A" w:rsidRPr="00913ED2">
        <w:t>countered</w:t>
      </w:r>
      <w:r w:rsidRPr="00913ED2">
        <w:t xml:space="preserve"> the loss.</w:t>
      </w:r>
    </w:p>
    <w:p w14:paraId="27143031" w14:textId="118D6FEC" w:rsidR="00AA525C" w:rsidRPr="00913ED2" w:rsidRDefault="00DA2D2A" w:rsidP="00CB38AF">
      <w:pPr>
        <w:pStyle w:val="ListParagraph"/>
        <w:numPr>
          <w:ilvl w:val="0"/>
          <w:numId w:val="7"/>
        </w:numPr>
        <w:spacing w:after="0" w:line="271" w:lineRule="auto"/>
        <w:ind w:left="360" w:right="54"/>
      </w:pPr>
      <w:r w:rsidRPr="00913ED2">
        <w:rPr>
          <w:b/>
          <w:bCs/>
        </w:rPr>
        <w:t xml:space="preserve">Mexico </w:t>
      </w:r>
      <w:r w:rsidRPr="00913ED2">
        <w:t>(</w:t>
      </w:r>
      <w:r w:rsidRPr="00913ED2">
        <w:rPr>
          <w:bCs/>
        </w:rPr>
        <w:t xml:space="preserve">up $86 million) </w:t>
      </w:r>
      <w:r w:rsidR="00821BD6" w:rsidRPr="00913ED2">
        <w:rPr>
          <w:bCs/>
        </w:rPr>
        <w:t>surpas</w:t>
      </w:r>
      <w:r w:rsidRPr="00913ED2">
        <w:rPr>
          <w:bCs/>
        </w:rPr>
        <w:t>sed</w:t>
      </w:r>
      <w:r w:rsidR="00821BD6" w:rsidRPr="00913ED2">
        <w:rPr>
          <w:bCs/>
        </w:rPr>
        <w:t xml:space="preserve"> </w:t>
      </w:r>
      <w:r w:rsidR="00821BD6" w:rsidRPr="00913ED2">
        <w:rPr>
          <w:b/>
        </w:rPr>
        <w:t>Canad</w:t>
      </w:r>
      <w:r w:rsidR="00CB38AF" w:rsidRPr="00913ED2">
        <w:rPr>
          <w:b/>
        </w:rPr>
        <w:t>a</w:t>
      </w:r>
      <w:r w:rsidR="00821BD6" w:rsidRPr="00913ED2">
        <w:rPr>
          <w:bCs/>
        </w:rPr>
        <w:t xml:space="preserve"> (down </w:t>
      </w:r>
      <w:r w:rsidRPr="00913ED2">
        <w:rPr>
          <w:bCs/>
        </w:rPr>
        <w:t>$228 million</w:t>
      </w:r>
      <w:r w:rsidR="00821BD6" w:rsidRPr="00913ED2">
        <w:rPr>
          <w:bCs/>
        </w:rPr>
        <w:t>) as the primary market</w:t>
      </w:r>
      <w:r w:rsidRPr="00913ED2">
        <w:rPr>
          <w:bCs/>
        </w:rPr>
        <w:t xml:space="preserve"> for </w:t>
      </w:r>
      <w:r w:rsidRPr="00913ED2">
        <w:rPr>
          <w:b/>
        </w:rPr>
        <w:t>cereals.</w:t>
      </w:r>
    </w:p>
    <w:p w14:paraId="73FA3A2E" w14:textId="559ADD20" w:rsidR="00596618" w:rsidRPr="00913ED2" w:rsidRDefault="007F1C4A" w:rsidP="00596618">
      <w:pPr>
        <w:pStyle w:val="Heading3"/>
        <w:spacing w:before="120" w:after="120"/>
        <w:rPr>
          <w:color w:val="auto"/>
          <w:sz w:val="24"/>
          <w:szCs w:val="24"/>
        </w:rPr>
      </w:pPr>
      <w:r w:rsidRPr="00913ED2">
        <w:rPr>
          <w:color w:val="auto"/>
          <w:sz w:val="24"/>
          <w:szCs w:val="24"/>
        </w:rPr>
        <w:t>Fi</w:t>
      </w:r>
      <w:r w:rsidR="00A44451" w:rsidRPr="00913ED2">
        <w:rPr>
          <w:color w:val="auto"/>
          <w:sz w:val="24"/>
          <w:szCs w:val="24"/>
        </w:rPr>
        <w:t>gure 4. Export Trends for</w:t>
      </w:r>
      <w:r w:rsidRPr="00913ED2">
        <w:rPr>
          <w:color w:val="auto"/>
          <w:sz w:val="24"/>
          <w:szCs w:val="24"/>
        </w:rPr>
        <w:t xml:space="preserve"> Minnesota’s Top 10 Products, </w:t>
      </w:r>
      <w:r w:rsidR="002D1E09" w:rsidRPr="00913ED2">
        <w:rPr>
          <w:color w:val="auto"/>
          <w:sz w:val="24"/>
          <w:szCs w:val="24"/>
        </w:rPr>
        <w:t>Second</w:t>
      </w:r>
      <w:r w:rsidR="00A52415" w:rsidRPr="00913ED2">
        <w:rPr>
          <w:color w:val="auto"/>
          <w:sz w:val="24"/>
          <w:szCs w:val="24"/>
        </w:rPr>
        <w:t xml:space="preserve"> Quarter </w:t>
      </w:r>
      <w:r w:rsidR="004C6288" w:rsidRPr="00913ED2">
        <w:rPr>
          <w:color w:val="auto"/>
          <w:sz w:val="24"/>
          <w:szCs w:val="24"/>
        </w:rPr>
        <w:t>2023</w:t>
      </w:r>
    </w:p>
    <w:p w14:paraId="185A58F4" w14:textId="5BA7F914" w:rsidR="006330D9" w:rsidRPr="00913ED2" w:rsidRDefault="00596618" w:rsidP="006A4D47">
      <w:pPr>
        <w:spacing w:after="0"/>
      </w:pPr>
      <w:r w:rsidRPr="00913ED2">
        <w:rPr>
          <w:noProof/>
        </w:rPr>
        <w:drawing>
          <wp:inline distT="0" distB="0" distL="0" distR="0" wp14:anchorId="369F4C99" wp14:editId="16D20D66">
            <wp:extent cx="6492240" cy="1785620"/>
            <wp:effectExtent l="0" t="0" r="3810" b="5080"/>
            <wp:docPr id="5" name="Picture 5" descr="MN Exports for top 10 products 2023-Q2&#10;PRODUCT Exports (millions) Percent Change, 2022-Q2 to 2023-Q2&#10;TOTAL  $6,070  -9%&#10;Optic, Medical  $1,043  8%&#10;Machinery  $1,003  1%&#10;Electrical Equipment  $878  -4%&#10;Vehicles  $477  54%&#10;Plastics  $261  -17%&#10;Ores, Slag, Ash  $187  29%&#10;Cereals  $163  -46%&#10;Aircraft, Spacecraft  $156  21%&#10;Food By-Products  $151  -26%&#10;Meat  $133  5%&#10;Other  $1,618  -28%&#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N Exports for top 10 products 2023-Q2&#10;PRODUCT Exports (millions) Percent Change, 2022-Q2 to 2023-Q2&#10;TOTAL  $6,070  -9%&#10;Optic, Medical  $1,043  8%&#10;Machinery  $1,003  1%&#10;Electrical Equipment  $878  -4%&#10;Vehicles  $477  54%&#10;Plastics  $261  -17%&#10;Ores, Slag, Ash  $187  29%&#10;Cereals  $163  -46%&#10;Aircraft, Spacecraft  $156  21%&#10;Food By-Products  $151  -26%&#10;Meat  $133  5%&#10;Other  $1,618  -28%&#10;&#10;"/>
                    <pic:cNvPicPr>
                      <a:picLocks noChangeAspect="1" noChangeArrowheads="1"/>
                    </pic:cNvPicPr>
                  </pic:nvPicPr>
                  <pic:blipFill rotWithShape="1">
                    <a:blip r:embed="rId17">
                      <a:extLst>
                        <a:ext uri="{28A0092B-C50C-407E-A947-70E740481C1C}">
                          <a14:useLocalDpi xmlns:a14="http://schemas.microsoft.com/office/drawing/2010/main" val="0"/>
                        </a:ext>
                      </a:extLst>
                    </a:blip>
                    <a:srcRect t="6016"/>
                    <a:stretch/>
                  </pic:blipFill>
                  <pic:spPr bwMode="auto">
                    <a:xfrm>
                      <a:off x="0" y="0"/>
                      <a:ext cx="6492240" cy="1785620"/>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306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accessed from WISERTrade - State HS Database, based on data collected by the U.S. Census Bureau, Foreign Trade Division. Reports are available on DEED’s website at “Export and Trade Statistics” (http://mn.gov/deed/data/export-stats/). "/>
      </w:tblPr>
      <w:tblGrid>
        <w:gridCol w:w="10255"/>
      </w:tblGrid>
      <w:tr w:rsidR="00913ED2" w:rsidRPr="00913ED2" w14:paraId="4FFE0446" w14:textId="77777777" w:rsidTr="006A4D47">
        <w:trPr>
          <w:trHeight w:val="530"/>
        </w:trPr>
        <w:tc>
          <w:tcPr>
            <w:tcW w:w="10255" w:type="dxa"/>
            <w:shd w:val="clear" w:color="auto" w:fill="C9E5A6"/>
          </w:tcPr>
          <w:p w14:paraId="685640BA" w14:textId="77777777" w:rsidR="006A4D47" w:rsidRPr="00913ED2" w:rsidRDefault="006A4D47" w:rsidP="006A4D47">
            <w:pPr>
              <w:spacing w:before="120" w:after="120" w:line="240" w:lineRule="auto"/>
              <w:rPr>
                <w:rFonts w:ascii="Calibri" w:hAnsi="Calibri" w:cs="Calibri"/>
                <w:sz w:val="20"/>
                <w:szCs w:val="20"/>
              </w:rPr>
            </w:pPr>
            <w:r w:rsidRPr="00913ED2">
              <w:rPr>
                <w:rStyle w:val="Emphasis"/>
                <w:rFonts w:cstheme="minorHAnsi"/>
                <w:sz w:val="20"/>
                <w:szCs w:val="20"/>
              </w:rPr>
              <w:t>Minnesota Export Statistics</w:t>
            </w:r>
            <w:r w:rsidRPr="00913ED2">
              <w:rPr>
                <w:rStyle w:val="Emphasis"/>
                <w:rFonts w:cstheme="minorHAnsi"/>
                <w:i w:val="0"/>
                <w:iCs w:val="0"/>
                <w:sz w:val="20"/>
                <w:szCs w:val="20"/>
              </w:rPr>
              <w:t xml:space="preserve"> </w:t>
            </w:r>
            <w:r w:rsidRPr="00913ED2">
              <w:rPr>
                <w:rStyle w:val="Emphasis"/>
                <w:i w:val="0"/>
                <w:iCs w:val="0"/>
                <w:sz w:val="20"/>
                <w:szCs w:val="20"/>
              </w:rPr>
              <w:t>reports</w:t>
            </w:r>
            <w:r w:rsidRPr="00913ED2">
              <w:rPr>
                <w:rStyle w:val="Emphasis"/>
                <w:sz w:val="20"/>
                <w:szCs w:val="20"/>
              </w:rPr>
              <w:t xml:space="preserve"> t</w:t>
            </w:r>
            <w:r w:rsidRPr="00913ED2">
              <w:rPr>
                <w:rFonts w:cstheme="minorHAnsi"/>
                <w:sz w:val="20"/>
                <w:szCs w:val="20"/>
              </w:rPr>
              <w:t>rack the state’s trends in exports of goods and is prepared for the Minnesota Trade Office by DEED’s Economic Analysis Unit (Thu-Mai Ho-Kim). The quarterly and annual reports primarily cover export data based on the Harmonized Tariff System (Schedule B), collected by the Foreign Trade Division, Census Bureau, U.S. Dept of Commerce and accessed through USA Trade Online (Census Bureau) and Trade Data Monitor (TDM). Historical reports are available on DEED’s website at “Export and Trade Statistics” (</w:t>
            </w:r>
            <w:hyperlink r:id="rId18" w:history="1">
              <w:r w:rsidRPr="00913ED2">
                <w:rPr>
                  <w:rStyle w:val="Hyperlink"/>
                  <w:rFonts w:cstheme="minorHAnsi"/>
                  <w:color w:val="auto"/>
                  <w:sz w:val="20"/>
                  <w:szCs w:val="20"/>
                </w:rPr>
                <w:t>http://mn.gov/deed/data/export-stats/</w:t>
              </w:r>
            </w:hyperlink>
            <w:r w:rsidRPr="00913ED2">
              <w:rPr>
                <w:rFonts w:cstheme="minorHAnsi"/>
                <w:sz w:val="20"/>
                <w:szCs w:val="20"/>
              </w:rPr>
              <w:t xml:space="preserve">).  </w:t>
            </w:r>
          </w:p>
        </w:tc>
      </w:tr>
    </w:tbl>
    <w:p w14:paraId="67779A89" w14:textId="0109015F" w:rsidR="00FE15EB" w:rsidRPr="00913ED2" w:rsidRDefault="00FE15EB" w:rsidP="00F331FC">
      <w:pPr>
        <w:rPr>
          <w:rFonts w:ascii="Times New Roman" w:eastAsia="Times New Roman" w:hAnsi="Times New Roman" w:cs="Times New Roman"/>
          <w:snapToGrid w:val="0"/>
          <w:w w:val="0"/>
          <w:sz w:val="0"/>
          <w:szCs w:val="0"/>
          <w:u w:color="000000"/>
          <w:bdr w:val="none" w:sz="0" w:space="0" w:color="000000"/>
          <w:shd w:val="clear" w:color="000000" w:fill="000000"/>
          <w:lang w:eastAsia="x-none" w:bidi="x-none"/>
        </w:rPr>
      </w:pPr>
    </w:p>
    <w:sectPr w:rsidR="00FE15EB" w:rsidRPr="00913ED2"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DE17" w14:textId="77777777" w:rsidR="00F23F90" w:rsidRDefault="00F23F90">
      <w:r>
        <w:separator/>
      </w:r>
    </w:p>
  </w:endnote>
  <w:endnote w:type="continuationSeparator" w:id="0">
    <w:p w14:paraId="7212421C" w14:textId="77777777" w:rsidR="00F23F90" w:rsidRDefault="00F2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22E678C6"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E1A5" w14:textId="77777777" w:rsidR="00F23F90" w:rsidRDefault="00F23F90">
      <w:r>
        <w:separator/>
      </w:r>
    </w:p>
  </w:footnote>
  <w:footnote w:type="continuationSeparator" w:id="0">
    <w:p w14:paraId="01F5BB3D" w14:textId="77777777" w:rsidR="00F23F90" w:rsidRDefault="00F2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6753"/>
    <w:multiLevelType w:val="hybridMultilevel"/>
    <w:tmpl w:val="31E0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926A3"/>
    <w:multiLevelType w:val="hybridMultilevel"/>
    <w:tmpl w:val="0A60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CB2"/>
    <w:multiLevelType w:val="hybridMultilevel"/>
    <w:tmpl w:val="409A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8B18F3"/>
    <w:multiLevelType w:val="hybridMultilevel"/>
    <w:tmpl w:val="9CD05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D255A"/>
    <w:multiLevelType w:val="hybridMultilevel"/>
    <w:tmpl w:val="2EE4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15109">
    <w:abstractNumId w:val="0"/>
  </w:num>
  <w:num w:numId="2" w16cid:durableId="587809003">
    <w:abstractNumId w:val="14"/>
  </w:num>
  <w:num w:numId="3" w16cid:durableId="315185240">
    <w:abstractNumId w:val="13"/>
  </w:num>
  <w:num w:numId="4" w16cid:durableId="739328196">
    <w:abstractNumId w:val="4"/>
  </w:num>
  <w:num w:numId="5" w16cid:durableId="596596594">
    <w:abstractNumId w:val="1"/>
  </w:num>
  <w:num w:numId="6" w16cid:durableId="1351759869">
    <w:abstractNumId w:val="8"/>
  </w:num>
  <w:num w:numId="7" w16cid:durableId="1845899144">
    <w:abstractNumId w:val="19"/>
  </w:num>
  <w:num w:numId="8" w16cid:durableId="1255089048">
    <w:abstractNumId w:val="17"/>
  </w:num>
  <w:num w:numId="9" w16cid:durableId="812912516">
    <w:abstractNumId w:val="11"/>
  </w:num>
  <w:num w:numId="10" w16cid:durableId="434403191">
    <w:abstractNumId w:val="9"/>
  </w:num>
  <w:num w:numId="11" w16cid:durableId="199321401">
    <w:abstractNumId w:val="7"/>
  </w:num>
  <w:num w:numId="12" w16cid:durableId="1962147869">
    <w:abstractNumId w:val="2"/>
  </w:num>
  <w:num w:numId="13" w16cid:durableId="26877656">
    <w:abstractNumId w:val="18"/>
  </w:num>
  <w:num w:numId="14" w16cid:durableId="1700356944">
    <w:abstractNumId w:val="12"/>
  </w:num>
  <w:num w:numId="15" w16cid:durableId="1203322051">
    <w:abstractNumId w:val="6"/>
  </w:num>
  <w:num w:numId="16" w16cid:durableId="1798253661">
    <w:abstractNumId w:val="3"/>
  </w:num>
  <w:num w:numId="17" w16cid:durableId="136194312">
    <w:abstractNumId w:val="10"/>
  </w:num>
  <w:num w:numId="18" w16cid:durableId="449085045">
    <w:abstractNumId w:val="15"/>
  </w:num>
  <w:num w:numId="19" w16cid:durableId="696664036">
    <w:abstractNumId w:val="16"/>
  </w:num>
  <w:num w:numId="20" w16cid:durableId="4328281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FDB"/>
    <w:rsid w:val="000041CC"/>
    <w:rsid w:val="0000470B"/>
    <w:rsid w:val="000115BA"/>
    <w:rsid w:val="00013717"/>
    <w:rsid w:val="00015A9D"/>
    <w:rsid w:val="00017FE0"/>
    <w:rsid w:val="000218A0"/>
    <w:rsid w:val="00024BB5"/>
    <w:rsid w:val="000350A7"/>
    <w:rsid w:val="00035328"/>
    <w:rsid w:val="00036238"/>
    <w:rsid w:val="00036760"/>
    <w:rsid w:val="00044ED9"/>
    <w:rsid w:val="00046117"/>
    <w:rsid w:val="00051435"/>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455F"/>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B8D"/>
    <w:rsid w:val="000A491B"/>
    <w:rsid w:val="000A4AB3"/>
    <w:rsid w:val="000A5664"/>
    <w:rsid w:val="000A7EF0"/>
    <w:rsid w:val="000B2DF3"/>
    <w:rsid w:val="000B518F"/>
    <w:rsid w:val="000B6338"/>
    <w:rsid w:val="000C1CB0"/>
    <w:rsid w:val="000C2181"/>
    <w:rsid w:val="000C3AE5"/>
    <w:rsid w:val="000D02DD"/>
    <w:rsid w:val="000D1330"/>
    <w:rsid w:val="000D18A9"/>
    <w:rsid w:val="000D1941"/>
    <w:rsid w:val="000D566F"/>
    <w:rsid w:val="000D5D94"/>
    <w:rsid w:val="000D6FAF"/>
    <w:rsid w:val="000E0786"/>
    <w:rsid w:val="000E3376"/>
    <w:rsid w:val="000E532F"/>
    <w:rsid w:val="000E6BD9"/>
    <w:rsid w:val="000E6F54"/>
    <w:rsid w:val="000E7ED0"/>
    <w:rsid w:val="000F0519"/>
    <w:rsid w:val="000F1844"/>
    <w:rsid w:val="000F1B22"/>
    <w:rsid w:val="000F3E1F"/>
    <w:rsid w:val="000F4C5E"/>
    <w:rsid w:val="000F54F2"/>
    <w:rsid w:val="000F5EB1"/>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22BE"/>
    <w:rsid w:val="00145936"/>
    <w:rsid w:val="00147356"/>
    <w:rsid w:val="00147EEF"/>
    <w:rsid w:val="00150201"/>
    <w:rsid w:val="001619F1"/>
    <w:rsid w:val="001625A3"/>
    <w:rsid w:val="00162EF3"/>
    <w:rsid w:val="0016340E"/>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835"/>
    <w:rsid w:val="001B0D71"/>
    <w:rsid w:val="001B1416"/>
    <w:rsid w:val="001B344A"/>
    <w:rsid w:val="001B3687"/>
    <w:rsid w:val="001B4406"/>
    <w:rsid w:val="001B5950"/>
    <w:rsid w:val="001B6B06"/>
    <w:rsid w:val="001C1112"/>
    <w:rsid w:val="001C13C5"/>
    <w:rsid w:val="001C1959"/>
    <w:rsid w:val="001C1A15"/>
    <w:rsid w:val="001C3A93"/>
    <w:rsid w:val="001C6967"/>
    <w:rsid w:val="001D0609"/>
    <w:rsid w:val="001D704D"/>
    <w:rsid w:val="001D767B"/>
    <w:rsid w:val="001E36FD"/>
    <w:rsid w:val="001E4570"/>
    <w:rsid w:val="001E4F28"/>
    <w:rsid w:val="001E53CF"/>
    <w:rsid w:val="001E6B49"/>
    <w:rsid w:val="001E761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231E"/>
    <w:rsid w:val="002127D7"/>
    <w:rsid w:val="00212FF3"/>
    <w:rsid w:val="002158EE"/>
    <w:rsid w:val="00215DA6"/>
    <w:rsid w:val="00216C2D"/>
    <w:rsid w:val="00217960"/>
    <w:rsid w:val="002224AE"/>
    <w:rsid w:val="0022389E"/>
    <w:rsid w:val="00223F46"/>
    <w:rsid w:val="00226A71"/>
    <w:rsid w:val="00230CA2"/>
    <w:rsid w:val="00234444"/>
    <w:rsid w:val="00244370"/>
    <w:rsid w:val="00245025"/>
    <w:rsid w:val="0024609E"/>
    <w:rsid w:val="00250B75"/>
    <w:rsid w:val="002538D5"/>
    <w:rsid w:val="0025565E"/>
    <w:rsid w:val="002607E0"/>
    <w:rsid w:val="00262FF7"/>
    <w:rsid w:val="0026310F"/>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27D6"/>
    <w:rsid w:val="002A2F54"/>
    <w:rsid w:val="002A3F50"/>
    <w:rsid w:val="002A4808"/>
    <w:rsid w:val="002A4B11"/>
    <w:rsid w:val="002A52FC"/>
    <w:rsid w:val="002B1415"/>
    <w:rsid w:val="002B329E"/>
    <w:rsid w:val="002B36A6"/>
    <w:rsid w:val="002B3ACE"/>
    <w:rsid w:val="002B6B53"/>
    <w:rsid w:val="002B6EBF"/>
    <w:rsid w:val="002C0C4E"/>
    <w:rsid w:val="002C164C"/>
    <w:rsid w:val="002C3BBC"/>
    <w:rsid w:val="002C52C4"/>
    <w:rsid w:val="002C6521"/>
    <w:rsid w:val="002D1E09"/>
    <w:rsid w:val="002D2A7E"/>
    <w:rsid w:val="002D2EF5"/>
    <w:rsid w:val="002D63BC"/>
    <w:rsid w:val="002D6A99"/>
    <w:rsid w:val="002D6F33"/>
    <w:rsid w:val="002E27C8"/>
    <w:rsid w:val="002E47BC"/>
    <w:rsid w:val="002E53C6"/>
    <w:rsid w:val="002E54F1"/>
    <w:rsid w:val="002F0687"/>
    <w:rsid w:val="002F1C0E"/>
    <w:rsid w:val="002F1E64"/>
    <w:rsid w:val="002F257A"/>
    <w:rsid w:val="002F285F"/>
    <w:rsid w:val="002F5224"/>
    <w:rsid w:val="002F71B1"/>
    <w:rsid w:val="002F7ABC"/>
    <w:rsid w:val="00301B16"/>
    <w:rsid w:val="003047CE"/>
    <w:rsid w:val="00304E7F"/>
    <w:rsid w:val="0031458A"/>
    <w:rsid w:val="00314865"/>
    <w:rsid w:val="00314EBD"/>
    <w:rsid w:val="00320905"/>
    <w:rsid w:val="00327817"/>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52999"/>
    <w:rsid w:val="003530DA"/>
    <w:rsid w:val="0035427F"/>
    <w:rsid w:val="003575CE"/>
    <w:rsid w:val="00361002"/>
    <w:rsid w:val="003610A2"/>
    <w:rsid w:val="00365F97"/>
    <w:rsid w:val="00370F35"/>
    <w:rsid w:val="00371C8B"/>
    <w:rsid w:val="00372846"/>
    <w:rsid w:val="00373858"/>
    <w:rsid w:val="00373CD5"/>
    <w:rsid w:val="00374F2A"/>
    <w:rsid w:val="00375BF0"/>
    <w:rsid w:val="0037721A"/>
    <w:rsid w:val="0038071A"/>
    <w:rsid w:val="003823B0"/>
    <w:rsid w:val="003833B0"/>
    <w:rsid w:val="00383D01"/>
    <w:rsid w:val="00385E7F"/>
    <w:rsid w:val="0038665A"/>
    <w:rsid w:val="00387777"/>
    <w:rsid w:val="00387942"/>
    <w:rsid w:val="00387E7F"/>
    <w:rsid w:val="00391815"/>
    <w:rsid w:val="00392609"/>
    <w:rsid w:val="0039324F"/>
    <w:rsid w:val="00396483"/>
    <w:rsid w:val="003975D0"/>
    <w:rsid w:val="003A3D11"/>
    <w:rsid w:val="003B0B33"/>
    <w:rsid w:val="003B2771"/>
    <w:rsid w:val="003B3484"/>
    <w:rsid w:val="003B62FF"/>
    <w:rsid w:val="003C316B"/>
    <w:rsid w:val="003C3B88"/>
    <w:rsid w:val="003C3D13"/>
    <w:rsid w:val="003C43EB"/>
    <w:rsid w:val="003C53CE"/>
    <w:rsid w:val="003C57B0"/>
    <w:rsid w:val="003C7165"/>
    <w:rsid w:val="003D044E"/>
    <w:rsid w:val="003D18F7"/>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870"/>
    <w:rsid w:val="00402A86"/>
    <w:rsid w:val="00405F36"/>
    <w:rsid w:val="004061B1"/>
    <w:rsid w:val="00406E6D"/>
    <w:rsid w:val="00407310"/>
    <w:rsid w:val="00407A70"/>
    <w:rsid w:val="00410564"/>
    <w:rsid w:val="00410BBC"/>
    <w:rsid w:val="00412776"/>
    <w:rsid w:val="00412C47"/>
    <w:rsid w:val="00420D04"/>
    <w:rsid w:val="0042279B"/>
    <w:rsid w:val="0042285F"/>
    <w:rsid w:val="00425184"/>
    <w:rsid w:val="00426066"/>
    <w:rsid w:val="00426DC1"/>
    <w:rsid w:val="0043003B"/>
    <w:rsid w:val="004303E8"/>
    <w:rsid w:val="004304CD"/>
    <w:rsid w:val="00433DBF"/>
    <w:rsid w:val="004362B0"/>
    <w:rsid w:val="00437CB6"/>
    <w:rsid w:val="0044214A"/>
    <w:rsid w:val="004430A9"/>
    <w:rsid w:val="00445385"/>
    <w:rsid w:val="00445834"/>
    <w:rsid w:val="00447C35"/>
    <w:rsid w:val="004527A6"/>
    <w:rsid w:val="0045332A"/>
    <w:rsid w:val="004550A2"/>
    <w:rsid w:val="00457D79"/>
    <w:rsid w:val="00464CC9"/>
    <w:rsid w:val="0046665A"/>
    <w:rsid w:val="00466D65"/>
    <w:rsid w:val="0046703D"/>
    <w:rsid w:val="00467FA8"/>
    <w:rsid w:val="0047028E"/>
    <w:rsid w:val="0047084F"/>
    <w:rsid w:val="00470FED"/>
    <w:rsid w:val="004713E0"/>
    <w:rsid w:val="0047151D"/>
    <w:rsid w:val="004736AA"/>
    <w:rsid w:val="00475201"/>
    <w:rsid w:val="00475D79"/>
    <w:rsid w:val="0047760E"/>
    <w:rsid w:val="00480418"/>
    <w:rsid w:val="0048185B"/>
    <w:rsid w:val="00481E39"/>
    <w:rsid w:val="00482FFB"/>
    <w:rsid w:val="00483853"/>
    <w:rsid w:val="00484906"/>
    <w:rsid w:val="004867A4"/>
    <w:rsid w:val="00486B23"/>
    <w:rsid w:val="00487935"/>
    <w:rsid w:val="004900B8"/>
    <w:rsid w:val="004910BF"/>
    <w:rsid w:val="00491AC8"/>
    <w:rsid w:val="00493958"/>
    <w:rsid w:val="00493DF8"/>
    <w:rsid w:val="004944A7"/>
    <w:rsid w:val="004951BC"/>
    <w:rsid w:val="00497570"/>
    <w:rsid w:val="00497998"/>
    <w:rsid w:val="004A0D12"/>
    <w:rsid w:val="004A3CC9"/>
    <w:rsid w:val="004A4223"/>
    <w:rsid w:val="004A43B9"/>
    <w:rsid w:val="004A5841"/>
    <w:rsid w:val="004A5B9A"/>
    <w:rsid w:val="004A6B80"/>
    <w:rsid w:val="004A7FE8"/>
    <w:rsid w:val="004B0B28"/>
    <w:rsid w:val="004B4376"/>
    <w:rsid w:val="004B4BD6"/>
    <w:rsid w:val="004B74F8"/>
    <w:rsid w:val="004B7C0E"/>
    <w:rsid w:val="004C0132"/>
    <w:rsid w:val="004C31E6"/>
    <w:rsid w:val="004C4224"/>
    <w:rsid w:val="004C6288"/>
    <w:rsid w:val="004D0671"/>
    <w:rsid w:val="004D19F5"/>
    <w:rsid w:val="004D1EAB"/>
    <w:rsid w:val="004D6223"/>
    <w:rsid w:val="004E06B6"/>
    <w:rsid w:val="004E1A2B"/>
    <w:rsid w:val="004E1D93"/>
    <w:rsid w:val="004E7051"/>
    <w:rsid w:val="004E7967"/>
    <w:rsid w:val="004F046B"/>
    <w:rsid w:val="004F0B2F"/>
    <w:rsid w:val="004F19B8"/>
    <w:rsid w:val="004F5A09"/>
    <w:rsid w:val="004F5CE6"/>
    <w:rsid w:val="004F5EFC"/>
    <w:rsid w:val="004F6D22"/>
    <w:rsid w:val="004F6DBE"/>
    <w:rsid w:val="004F73D4"/>
    <w:rsid w:val="00500A5C"/>
    <w:rsid w:val="005026CC"/>
    <w:rsid w:val="00503AD1"/>
    <w:rsid w:val="0050449A"/>
    <w:rsid w:val="005078AA"/>
    <w:rsid w:val="005100D1"/>
    <w:rsid w:val="00513720"/>
    <w:rsid w:val="0051607A"/>
    <w:rsid w:val="005205F4"/>
    <w:rsid w:val="00521967"/>
    <w:rsid w:val="00524378"/>
    <w:rsid w:val="005269B7"/>
    <w:rsid w:val="005269D3"/>
    <w:rsid w:val="00530F70"/>
    <w:rsid w:val="005315EA"/>
    <w:rsid w:val="00532FD5"/>
    <w:rsid w:val="00533107"/>
    <w:rsid w:val="00534E9F"/>
    <w:rsid w:val="0053506A"/>
    <w:rsid w:val="0053512A"/>
    <w:rsid w:val="00535508"/>
    <w:rsid w:val="00535D23"/>
    <w:rsid w:val="00536B13"/>
    <w:rsid w:val="00540B35"/>
    <w:rsid w:val="00541FFE"/>
    <w:rsid w:val="00544F1F"/>
    <w:rsid w:val="00545752"/>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1831"/>
    <w:rsid w:val="00582DC9"/>
    <w:rsid w:val="00585250"/>
    <w:rsid w:val="005859C8"/>
    <w:rsid w:val="00587796"/>
    <w:rsid w:val="005940DB"/>
    <w:rsid w:val="005953F2"/>
    <w:rsid w:val="00596618"/>
    <w:rsid w:val="00597ABF"/>
    <w:rsid w:val="005A2AAC"/>
    <w:rsid w:val="005A3C50"/>
    <w:rsid w:val="005A4293"/>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4E9"/>
    <w:rsid w:val="00606AB0"/>
    <w:rsid w:val="00607FAE"/>
    <w:rsid w:val="0061064A"/>
    <w:rsid w:val="006139EC"/>
    <w:rsid w:val="00613CC2"/>
    <w:rsid w:val="00615BC9"/>
    <w:rsid w:val="00615CB4"/>
    <w:rsid w:val="006177AE"/>
    <w:rsid w:val="00620C18"/>
    <w:rsid w:val="00621065"/>
    <w:rsid w:val="00621A4A"/>
    <w:rsid w:val="0062213F"/>
    <w:rsid w:val="00624E22"/>
    <w:rsid w:val="006308E7"/>
    <w:rsid w:val="006330D9"/>
    <w:rsid w:val="006339F5"/>
    <w:rsid w:val="0063551B"/>
    <w:rsid w:val="00635F82"/>
    <w:rsid w:val="00636B6E"/>
    <w:rsid w:val="0063763A"/>
    <w:rsid w:val="00640620"/>
    <w:rsid w:val="00641D3B"/>
    <w:rsid w:val="00646942"/>
    <w:rsid w:val="00647786"/>
    <w:rsid w:val="006519AF"/>
    <w:rsid w:val="00652A9D"/>
    <w:rsid w:val="006549A6"/>
    <w:rsid w:val="0065603B"/>
    <w:rsid w:val="0066058B"/>
    <w:rsid w:val="006618F7"/>
    <w:rsid w:val="00662222"/>
    <w:rsid w:val="00662414"/>
    <w:rsid w:val="00663755"/>
    <w:rsid w:val="00664A69"/>
    <w:rsid w:val="0066595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91D49"/>
    <w:rsid w:val="006922C8"/>
    <w:rsid w:val="00692D3B"/>
    <w:rsid w:val="00693229"/>
    <w:rsid w:val="006951FD"/>
    <w:rsid w:val="00695BB1"/>
    <w:rsid w:val="006964AF"/>
    <w:rsid w:val="006A17BE"/>
    <w:rsid w:val="006A3E64"/>
    <w:rsid w:val="006A4D47"/>
    <w:rsid w:val="006A56E4"/>
    <w:rsid w:val="006B029D"/>
    <w:rsid w:val="006B2D41"/>
    <w:rsid w:val="006B6D8D"/>
    <w:rsid w:val="006C1643"/>
    <w:rsid w:val="006C287C"/>
    <w:rsid w:val="006C3C15"/>
    <w:rsid w:val="006C7D4F"/>
    <w:rsid w:val="006D12B4"/>
    <w:rsid w:val="006D4F41"/>
    <w:rsid w:val="006D6A44"/>
    <w:rsid w:val="006D7A33"/>
    <w:rsid w:val="006E280A"/>
    <w:rsid w:val="006E4BEC"/>
    <w:rsid w:val="006E6792"/>
    <w:rsid w:val="006E75E2"/>
    <w:rsid w:val="006F01B5"/>
    <w:rsid w:val="006F06FC"/>
    <w:rsid w:val="006F4AD5"/>
    <w:rsid w:val="006F4CA7"/>
    <w:rsid w:val="006F5527"/>
    <w:rsid w:val="006F6211"/>
    <w:rsid w:val="00701034"/>
    <w:rsid w:val="00703D62"/>
    <w:rsid w:val="007046F7"/>
    <w:rsid w:val="00707559"/>
    <w:rsid w:val="007076DF"/>
    <w:rsid w:val="00710701"/>
    <w:rsid w:val="00712602"/>
    <w:rsid w:val="007144F6"/>
    <w:rsid w:val="00716311"/>
    <w:rsid w:val="007216E3"/>
    <w:rsid w:val="00723A6D"/>
    <w:rsid w:val="007269AB"/>
    <w:rsid w:val="00731691"/>
    <w:rsid w:val="00732F74"/>
    <w:rsid w:val="007332F9"/>
    <w:rsid w:val="00734ED0"/>
    <w:rsid w:val="00736085"/>
    <w:rsid w:val="00736171"/>
    <w:rsid w:val="00741394"/>
    <w:rsid w:val="007418D9"/>
    <w:rsid w:val="00742173"/>
    <w:rsid w:val="00742415"/>
    <w:rsid w:val="007426DA"/>
    <w:rsid w:val="00743593"/>
    <w:rsid w:val="00743C00"/>
    <w:rsid w:val="00743CDA"/>
    <w:rsid w:val="007441D4"/>
    <w:rsid w:val="00744252"/>
    <w:rsid w:val="00746FD8"/>
    <w:rsid w:val="00750FE0"/>
    <w:rsid w:val="00751E26"/>
    <w:rsid w:val="007548E4"/>
    <w:rsid w:val="0075548A"/>
    <w:rsid w:val="00757335"/>
    <w:rsid w:val="00760360"/>
    <w:rsid w:val="007613E1"/>
    <w:rsid w:val="00761522"/>
    <w:rsid w:val="0076179E"/>
    <w:rsid w:val="00762462"/>
    <w:rsid w:val="00762E9C"/>
    <w:rsid w:val="00764F3A"/>
    <w:rsid w:val="00770689"/>
    <w:rsid w:val="00772951"/>
    <w:rsid w:val="007752C1"/>
    <w:rsid w:val="0077623A"/>
    <w:rsid w:val="007771AD"/>
    <w:rsid w:val="007818E5"/>
    <w:rsid w:val="0078397D"/>
    <w:rsid w:val="00784103"/>
    <w:rsid w:val="00784C0B"/>
    <w:rsid w:val="00784F13"/>
    <w:rsid w:val="00787A9E"/>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2377"/>
    <w:rsid w:val="007D2D9B"/>
    <w:rsid w:val="007D3342"/>
    <w:rsid w:val="007D38E8"/>
    <w:rsid w:val="007D733B"/>
    <w:rsid w:val="007E22C2"/>
    <w:rsid w:val="007E2DB9"/>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62F"/>
    <w:rsid w:val="0080204A"/>
    <w:rsid w:val="008022A8"/>
    <w:rsid w:val="0080286D"/>
    <w:rsid w:val="00811627"/>
    <w:rsid w:val="008117B6"/>
    <w:rsid w:val="00813F99"/>
    <w:rsid w:val="00817E9E"/>
    <w:rsid w:val="00821BD6"/>
    <w:rsid w:val="00824824"/>
    <w:rsid w:val="008274F3"/>
    <w:rsid w:val="0082792B"/>
    <w:rsid w:val="008303A2"/>
    <w:rsid w:val="00831997"/>
    <w:rsid w:val="00831E3F"/>
    <w:rsid w:val="00831F99"/>
    <w:rsid w:val="00833913"/>
    <w:rsid w:val="00835A94"/>
    <w:rsid w:val="00836835"/>
    <w:rsid w:val="00836FB4"/>
    <w:rsid w:val="00837B67"/>
    <w:rsid w:val="00837BEB"/>
    <w:rsid w:val="0084055A"/>
    <w:rsid w:val="00842BCE"/>
    <w:rsid w:val="00846556"/>
    <w:rsid w:val="00851C18"/>
    <w:rsid w:val="0085254B"/>
    <w:rsid w:val="00852D9B"/>
    <w:rsid w:val="00856B05"/>
    <w:rsid w:val="00861FE3"/>
    <w:rsid w:val="00863EF0"/>
    <w:rsid w:val="00864956"/>
    <w:rsid w:val="00864F1C"/>
    <w:rsid w:val="00872803"/>
    <w:rsid w:val="00872BA2"/>
    <w:rsid w:val="0087384F"/>
    <w:rsid w:val="00877E32"/>
    <w:rsid w:val="0088063C"/>
    <w:rsid w:val="00881039"/>
    <w:rsid w:val="00883AAA"/>
    <w:rsid w:val="00890980"/>
    <w:rsid w:val="00890CBC"/>
    <w:rsid w:val="00892EBC"/>
    <w:rsid w:val="00894E39"/>
    <w:rsid w:val="00895418"/>
    <w:rsid w:val="008957D9"/>
    <w:rsid w:val="0089788C"/>
    <w:rsid w:val="00897AF8"/>
    <w:rsid w:val="008A202D"/>
    <w:rsid w:val="008A4157"/>
    <w:rsid w:val="008A5FCC"/>
    <w:rsid w:val="008B4846"/>
    <w:rsid w:val="008B5689"/>
    <w:rsid w:val="008B5DBC"/>
    <w:rsid w:val="008B749E"/>
    <w:rsid w:val="008C09B5"/>
    <w:rsid w:val="008C1F20"/>
    <w:rsid w:val="008C2D17"/>
    <w:rsid w:val="008C3CC2"/>
    <w:rsid w:val="008C3E75"/>
    <w:rsid w:val="008C5F38"/>
    <w:rsid w:val="008C6B0E"/>
    <w:rsid w:val="008C6FC8"/>
    <w:rsid w:val="008C7870"/>
    <w:rsid w:val="008D3756"/>
    <w:rsid w:val="008D4971"/>
    <w:rsid w:val="008D77FD"/>
    <w:rsid w:val="008E16CE"/>
    <w:rsid w:val="008E1E77"/>
    <w:rsid w:val="008E6A92"/>
    <w:rsid w:val="008F1D37"/>
    <w:rsid w:val="008F4BDD"/>
    <w:rsid w:val="008F7897"/>
    <w:rsid w:val="00900302"/>
    <w:rsid w:val="0090296E"/>
    <w:rsid w:val="00902E31"/>
    <w:rsid w:val="0090379A"/>
    <w:rsid w:val="00906C03"/>
    <w:rsid w:val="0091354B"/>
    <w:rsid w:val="00913E49"/>
    <w:rsid w:val="00913ED2"/>
    <w:rsid w:val="009147FF"/>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5B58"/>
    <w:rsid w:val="009A5E1D"/>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162F"/>
    <w:rsid w:val="009D1776"/>
    <w:rsid w:val="009D5976"/>
    <w:rsid w:val="009D5A80"/>
    <w:rsid w:val="009D79AE"/>
    <w:rsid w:val="009E0053"/>
    <w:rsid w:val="009E040A"/>
    <w:rsid w:val="009E2345"/>
    <w:rsid w:val="009E312B"/>
    <w:rsid w:val="009E40AA"/>
    <w:rsid w:val="009E4E40"/>
    <w:rsid w:val="009E710F"/>
    <w:rsid w:val="009F206C"/>
    <w:rsid w:val="00A008E4"/>
    <w:rsid w:val="00A00B50"/>
    <w:rsid w:val="00A00E20"/>
    <w:rsid w:val="00A0253A"/>
    <w:rsid w:val="00A02A94"/>
    <w:rsid w:val="00A03293"/>
    <w:rsid w:val="00A03ADC"/>
    <w:rsid w:val="00A1000D"/>
    <w:rsid w:val="00A10193"/>
    <w:rsid w:val="00A10AC7"/>
    <w:rsid w:val="00A10DF8"/>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105C"/>
    <w:rsid w:val="00A513DF"/>
    <w:rsid w:val="00A52415"/>
    <w:rsid w:val="00A5321A"/>
    <w:rsid w:val="00A57B01"/>
    <w:rsid w:val="00A60B2E"/>
    <w:rsid w:val="00A61566"/>
    <w:rsid w:val="00A6188E"/>
    <w:rsid w:val="00A62E69"/>
    <w:rsid w:val="00A634F8"/>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43AF"/>
    <w:rsid w:val="00A96B58"/>
    <w:rsid w:val="00AA0175"/>
    <w:rsid w:val="00AA0A83"/>
    <w:rsid w:val="00AA25E4"/>
    <w:rsid w:val="00AA3112"/>
    <w:rsid w:val="00AA33FB"/>
    <w:rsid w:val="00AA4C9D"/>
    <w:rsid w:val="00AA525C"/>
    <w:rsid w:val="00AA6162"/>
    <w:rsid w:val="00AA733A"/>
    <w:rsid w:val="00AA78DC"/>
    <w:rsid w:val="00AA7F1A"/>
    <w:rsid w:val="00AB10AA"/>
    <w:rsid w:val="00AB25F9"/>
    <w:rsid w:val="00AB2F51"/>
    <w:rsid w:val="00AB2FDC"/>
    <w:rsid w:val="00AB6229"/>
    <w:rsid w:val="00AC1689"/>
    <w:rsid w:val="00AC1FDD"/>
    <w:rsid w:val="00AC4D72"/>
    <w:rsid w:val="00AC4F4B"/>
    <w:rsid w:val="00AC71A6"/>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48CD"/>
    <w:rsid w:val="00AF5E69"/>
    <w:rsid w:val="00AF5FAD"/>
    <w:rsid w:val="00AF6022"/>
    <w:rsid w:val="00AF7EC8"/>
    <w:rsid w:val="00B015A7"/>
    <w:rsid w:val="00B01F89"/>
    <w:rsid w:val="00B038CC"/>
    <w:rsid w:val="00B051B8"/>
    <w:rsid w:val="00B053D9"/>
    <w:rsid w:val="00B06556"/>
    <w:rsid w:val="00B06B85"/>
    <w:rsid w:val="00B11F31"/>
    <w:rsid w:val="00B12AB1"/>
    <w:rsid w:val="00B12C14"/>
    <w:rsid w:val="00B14090"/>
    <w:rsid w:val="00B15932"/>
    <w:rsid w:val="00B161CF"/>
    <w:rsid w:val="00B16F92"/>
    <w:rsid w:val="00B21E7A"/>
    <w:rsid w:val="00B21EA3"/>
    <w:rsid w:val="00B2296E"/>
    <w:rsid w:val="00B328E5"/>
    <w:rsid w:val="00B3388D"/>
    <w:rsid w:val="00B34168"/>
    <w:rsid w:val="00B345D9"/>
    <w:rsid w:val="00B34DF8"/>
    <w:rsid w:val="00B37B14"/>
    <w:rsid w:val="00B43D0A"/>
    <w:rsid w:val="00B43EF1"/>
    <w:rsid w:val="00B44303"/>
    <w:rsid w:val="00B47091"/>
    <w:rsid w:val="00B47D07"/>
    <w:rsid w:val="00B5144B"/>
    <w:rsid w:val="00B5170B"/>
    <w:rsid w:val="00B52EE1"/>
    <w:rsid w:val="00B53992"/>
    <w:rsid w:val="00B53D6E"/>
    <w:rsid w:val="00B54EA4"/>
    <w:rsid w:val="00B64706"/>
    <w:rsid w:val="00B679D3"/>
    <w:rsid w:val="00B67FEA"/>
    <w:rsid w:val="00B708AD"/>
    <w:rsid w:val="00B710D2"/>
    <w:rsid w:val="00B7113C"/>
    <w:rsid w:val="00B712CC"/>
    <w:rsid w:val="00B723DF"/>
    <w:rsid w:val="00B72D64"/>
    <w:rsid w:val="00B731DE"/>
    <w:rsid w:val="00B734C3"/>
    <w:rsid w:val="00B74252"/>
    <w:rsid w:val="00B7514D"/>
    <w:rsid w:val="00B7627A"/>
    <w:rsid w:val="00B7678B"/>
    <w:rsid w:val="00B77533"/>
    <w:rsid w:val="00B77999"/>
    <w:rsid w:val="00B77B05"/>
    <w:rsid w:val="00B85149"/>
    <w:rsid w:val="00B85A12"/>
    <w:rsid w:val="00B86498"/>
    <w:rsid w:val="00B90481"/>
    <w:rsid w:val="00B9063F"/>
    <w:rsid w:val="00B945D4"/>
    <w:rsid w:val="00B94BAD"/>
    <w:rsid w:val="00BA1325"/>
    <w:rsid w:val="00BA5870"/>
    <w:rsid w:val="00BA679F"/>
    <w:rsid w:val="00BB0399"/>
    <w:rsid w:val="00BB0CBB"/>
    <w:rsid w:val="00BB0EFB"/>
    <w:rsid w:val="00BB3223"/>
    <w:rsid w:val="00BB4344"/>
    <w:rsid w:val="00BB4A7B"/>
    <w:rsid w:val="00BB5D61"/>
    <w:rsid w:val="00BC1307"/>
    <w:rsid w:val="00BC2B27"/>
    <w:rsid w:val="00BC3B27"/>
    <w:rsid w:val="00BC4C9B"/>
    <w:rsid w:val="00BC609B"/>
    <w:rsid w:val="00BC7910"/>
    <w:rsid w:val="00BC7BEA"/>
    <w:rsid w:val="00BD0BD5"/>
    <w:rsid w:val="00BD209D"/>
    <w:rsid w:val="00BD6641"/>
    <w:rsid w:val="00BE467F"/>
    <w:rsid w:val="00BE4DAD"/>
    <w:rsid w:val="00BE5E4B"/>
    <w:rsid w:val="00BE6C2B"/>
    <w:rsid w:val="00BE716C"/>
    <w:rsid w:val="00BE76C8"/>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2CD6"/>
    <w:rsid w:val="00C23063"/>
    <w:rsid w:val="00C23DAA"/>
    <w:rsid w:val="00C24103"/>
    <w:rsid w:val="00C25539"/>
    <w:rsid w:val="00C267D7"/>
    <w:rsid w:val="00C31877"/>
    <w:rsid w:val="00C31885"/>
    <w:rsid w:val="00C34436"/>
    <w:rsid w:val="00C347A8"/>
    <w:rsid w:val="00C4222C"/>
    <w:rsid w:val="00C42806"/>
    <w:rsid w:val="00C42BB6"/>
    <w:rsid w:val="00C430F8"/>
    <w:rsid w:val="00C43515"/>
    <w:rsid w:val="00C46BC0"/>
    <w:rsid w:val="00C53B91"/>
    <w:rsid w:val="00C53EBB"/>
    <w:rsid w:val="00C5610C"/>
    <w:rsid w:val="00C57088"/>
    <w:rsid w:val="00C60694"/>
    <w:rsid w:val="00C6189C"/>
    <w:rsid w:val="00C620D3"/>
    <w:rsid w:val="00C62687"/>
    <w:rsid w:val="00C64195"/>
    <w:rsid w:val="00C64773"/>
    <w:rsid w:val="00C73712"/>
    <w:rsid w:val="00C73A21"/>
    <w:rsid w:val="00C76728"/>
    <w:rsid w:val="00C76F72"/>
    <w:rsid w:val="00C77A75"/>
    <w:rsid w:val="00C80771"/>
    <w:rsid w:val="00C836EC"/>
    <w:rsid w:val="00C84368"/>
    <w:rsid w:val="00C84427"/>
    <w:rsid w:val="00C844F7"/>
    <w:rsid w:val="00C84D0E"/>
    <w:rsid w:val="00C859C7"/>
    <w:rsid w:val="00C8680A"/>
    <w:rsid w:val="00C87B56"/>
    <w:rsid w:val="00C87D7F"/>
    <w:rsid w:val="00C91002"/>
    <w:rsid w:val="00C915E2"/>
    <w:rsid w:val="00C93462"/>
    <w:rsid w:val="00C97041"/>
    <w:rsid w:val="00C97042"/>
    <w:rsid w:val="00C979F3"/>
    <w:rsid w:val="00CA06CE"/>
    <w:rsid w:val="00CA0EED"/>
    <w:rsid w:val="00CA0F8C"/>
    <w:rsid w:val="00CA2794"/>
    <w:rsid w:val="00CB1364"/>
    <w:rsid w:val="00CB3215"/>
    <w:rsid w:val="00CB38A0"/>
    <w:rsid w:val="00CB38AF"/>
    <w:rsid w:val="00CB630A"/>
    <w:rsid w:val="00CB65EF"/>
    <w:rsid w:val="00CB6DBB"/>
    <w:rsid w:val="00CB72F5"/>
    <w:rsid w:val="00CC03E3"/>
    <w:rsid w:val="00CC0D0A"/>
    <w:rsid w:val="00CC1B7D"/>
    <w:rsid w:val="00CC1EF1"/>
    <w:rsid w:val="00CC3D8E"/>
    <w:rsid w:val="00CC41DA"/>
    <w:rsid w:val="00CC5AB4"/>
    <w:rsid w:val="00CC6C4E"/>
    <w:rsid w:val="00CC6EA3"/>
    <w:rsid w:val="00CD49EC"/>
    <w:rsid w:val="00CE313B"/>
    <w:rsid w:val="00CE475C"/>
    <w:rsid w:val="00CE7AEB"/>
    <w:rsid w:val="00CE7E3D"/>
    <w:rsid w:val="00CF0DC4"/>
    <w:rsid w:val="00CF0ECB"/>
    <w:rsid w:val="00CF1D5A"/>
    <w:rsid w:val="00CF3C7B"/>
    <w:rsid w:val="00CF7317"/>
    <w:rsid w:val="00D0254C"/>
    <w:rsid w:val="00D02A61"/>
    <w:rsid w:val="00D02D91"/>
    <w:rsid w:val="00D038F3"/>
    <w:rsid w:val="00D0438E"/>
    <w:rsid w:val="00D06225"/>
    <w:rsid w:val="00D075C8"/>
    <w:rsid w:val="00D10279"/>
    <w:rsid w:val="00D11965"/>
    <w:rsid w:val="00D126B7"/>
    <w:rsid w:val="00D13636"/>
    <w:rsid w:val="00D14F5B"/>
    <w:rsid w:val="00D17713"/>
    <w:rsid w:val="00D17CB6"/>
    <w:rsid w:val="00D20356"/>
    <w:rsid w:val="00D20FFB"/>
    <w:rsid w:val="00D2478F"/>
    <w:rsid w:val="00D260F8"/>
    <w:rsid w:val="00D26D78"/>
    <w:rsid w:val="00D3203E"/>
    <w:rsid w:val="00D3214A"/>
    <w:rsid w:val="00D32E6E"/>
    <w:rsid w:val="00D33037"/>
    <w:rsid w:val="00D350D0"/>
    <w:rsid w:val="00D41699"/>
    <w:rsid w:val="00D445FA"/>
    <w:rsid w:val="00D4503A"/>
    <w:rsid w:val="00D4520B"/>
    <w:rsid w:val="00D4733E"/>
    <w:rsid w:val="00D4777B"/>
    <w:rsid w:val="00D54752"/>
    <w:rsid w:val="00D56B8F"/>
    <w:rsid w:val="00D5791A"/>
    <w:rsid w:val="00D60BDF"/>
    <w:rsid w:val="00D60DC5"/>
    <w:rsid w:val="00D6151B"/>
    <w:rsid w:val="00D61780"/>
    <w:rsid w:val="00D623EB"/>
    <w:rsid w:val="00D637FE"/>
    <w:rsid w:val="00D63F04"/>
    <w:rsid w:val="00D66D1C"/>
    <w:rsid w:val="00D72133"/>
    <w:rsid w:val="00D7221D"/>
    <w:rsid w:val="00D7237B"/>
    <w:rsid w:val="00D7363A"/>
    <w:rsid w:val="00D73FB7"/>
    <w:rsid w:val="00D73FB9"/>
    <w:rsid w:val="00D75FCF"/>
    <w:rsid w:val="00D76B66"/>
    <w:rsid w:val="00D773D0"/>
    <w:rsid w:val="00D77DC0"/>
    <w:rsid w:val="00D80073"/>
    <w:rsid w:val="00D80EB6"/>
    <w:rsid w:val="00D81A8E"/>
    <w:rsid w:val="00D8329D"/>
    <w:rsid w:val="00D83715"/>
    <w:rsid w:val="00D84A3A"/>
    <w:rsid w:val="00D863CC"/>
    <w:rsid w:val="00D87B9A"/>
    <w:rsid w:val="00D87BD3"/>
    <w:rsid w:val="00D90D24"/>
    <w:rsid w:val="00D90EBF"/>
    <w:rsid w:val="00D956BD"/>
    <w:rsid w:val="00D9611D"/>
    <w:rsid w:val="00D97463"/>
    <w:rsid w:val="00D9773D"/>
    <w:rsid w:val="00D97C6C"/>
    <w:rsid w:val="00DA09EB"/>
    <w:rsid w:val="00DA2D2A"/>
    <w:rsid w:val="00DA4B88"/>
    <w:rsid w:val="00DA78B5"/>
    <w:rsid w:val="00DA7EEA"/>
    <w:rsid w:val="00DB304D"/>
    <w:rsid w:val="00DB3AAA"/>
    <w:rsid w:val="00DC04AB"/>
    <w:rsid w:val="00DC2D48"/>
    <w:rsid w:val="00DC3253"/>
    <w:rsid w:val="00DC5381"/>
    <w:rsid w:val="00DC5FA6"/>
    <w:rsid w:val="00DC6760"/>
    <w:rsid w:val="00DD30F7"/>
    <w:rsid w:val="00DD388E"/>
    <w:rsid w:val="00DD60C4"/>
    <w:rsid w:val="00DD736C"/>
    <w:rsid w:val="00DE2EE4"/>
    <w:rsid w:val="00DE5657"/>
    <w:rsid w:val="00DF0316"/>
    <w:rsid w:val="00DF0E5F"/>
    <w:rsid w:val="00DF11D0"/>
    <w:rsid w:val="00DF13E5"/>
    <w:rsid w:val="00DF1972"/>
    <w:rsid w:val="00DF519C"/>
    <w:rsid w:val="00DF57DB"/>
    <w:rsid w:val="00E00339"/>
    <w:rsid w:val="00E014FE"/>
    <w:rsid w:val="00E025F4"/>
    <w:rsid w:val="00E04238"/>
    <w:rsid w:val="00E076E5"/>
    <w:rsid w:val="00E077E1"/>
    <w:rsid w:val="00E10F45"/>
    <w:rsid w:val="00E12E0B"/>
    <w:rsid w:val="00E1539A"/>
    <w:rsid w:val="00E16ECF"/>
    <w:rsid w:val="00E20692"/>
    <w:rsid w:val="00E206EA"/>
    <w:rsid w:val="00E224CF"/>
    <w:rsid w:val="00E230B4"/>
    <w:rsid w:val="00E24645"/>
    <w:rsid w:val="00E24CCA"/>
    <w:rsid w:val="00E254A0"/>
    <w:rsid w:val="00E2702D"/>
    <w:rsid w:val="00E30182"/>
    <w:rsid w:val="00E3229A"/>
    <w:rsid w:val="00E33AF6"/>
    <w:rsid w:val="00E36364"/>
    <w:rsid w:val="00E36A70"/>
    <w:rsid w:val="00E41451"/>
    <w:rsid w:val="00E415B8"/>
    <w:rsid w:val="00E42787"/>
    <w:rsid w:val="00E427EE"/>
    <w:rsid w:val="00E45817"/>
    <w:rsid w:val="00E45BFB"/>
    <w:rsid w:val="00E46F93"/>
    <w:rsid w:val="00E513D0"/>
    <w:rsid w:val="00E6068D"/>
    <w:rsid w:val="00E61C32"/>
    <w:rsid w:val="00E704F7"/>
    <w:rsid w:val="00E70C45"/>
    <w:rsid w:val="00E73382"/>
    <w:rsid w:val="00E75ABE"/>
    <w:rsid w:val="00E7646B"/>
    <w:rsid w:val="00E76542"/>
    <w:rsid w:val="00E76FF1"/>
    <w:rsid w:val="00E77000"/>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0EC"/>
    <w:rsid w:val="00EA5D5D"/>
    <w:rsid w:val="00EA692F"/>
    <w:rsid w:val="00EB37A8"/>
    <w:rsid w:val="00EB40B0"/>
    <w:rsid w:val="00EB4443"/>
    <w:rsid w:val="00EB74BC"/>
    <w:rsid w:val="00EC16F8"/>
    <w:rsid w:val="00EC336E"/>
    <w:rsid w:val="00ED2C08"/>
    <w:rsid w:val="00ED3A64"/>
    <w:rsid w:val="00ED4194"/>
    <w:rsid w:val="00ED560D"/>
    <w:rsid w:val="00ED605B"/>
    <w:rsid w:val="00ED6260"/>
    <w:rsid w:val="00ED6B98"/>
    <w:rsid w:val="00ED6C94"/>
    <w:rsid w:val="00EE1040"/>
    <w:rsid w:val="00EE5B40"/>
    <w:rsid w:val="00EE7685"/>
    <w:rsid w:val="00EF0BF1"/>
    <w:rsid w:val="00EF0EA0"/>
    <w:rsid w:val="00EF35D0"/>
    <w:rsid w:val="00EF3CF4"/>
    <w:rsid w:val="00EF4C89"/>
    <w:rsid w:val="00EF5F9F"/>
    <w:rsid w:val="00EF64BD"/>
    <w:rsid w:val="00F0242A"/>
    <w:rsid w:val="00F05050"/>
    <w:rsid w:val="00F053EF"/>
    <w:rsid w:val="00F10BC5"/>
    <w:rsid w:val="00F12FA6"/>
    <w:rsid w:val="00F141DF"/>
    <w:rsid w:val="00F15307"/>
    <w:rsid w:val="00F16041"/>
    <w:rsid w:val="00F17A7A"/>
    <w:rsid w:val="00F20245"/>
    <w:rsid w:val="00F216B1"/>
    <w:rsid w:val="00F23A2A"/>
    <w:rsid w:val="00F23F90"/>
    <w:rsid w:val="00F25611"/>
    <w:rsid w:val="00F30A87"/>
    <w:rsid w:val="00F31DA3"/>
    <w:rsid w:val="00F331FC"/>
    <w:rsid w:val="00F3371D"/>
    <w:rsid w:val="00F35CBE"/>
    <w:rsid w:val="00F406A9"/>
    <w:rsid w:val="00F40BF4"/>
    <w:rsid w:val="00F41942"/>
    <w:rsid w:val="00F4261F"/>
    <w:rsid w:val="00F43B0B"/>
    <w:rsid w:val="00F43BA6"/>
    <w:rsid w:val="00F508B0"/>
    <w:rsid w:val="00F51C02"/>
    <w:rsid w:val="00F5227C"/>
    <w:rsid w:val="00F54C78"/>
    <w:rsid w:val="00F555DD"/>
    <w:rsid w:val="00F55D28"/>
    <w:rsid w:val="00F566C7"/>
    <w:rsid w:val="00F57850"/>
    <w:rsid w:val="00F626E0"/>
    <w:rsid w:val="00F646A4"/>
    <w:rsid w:val="00F65C61"/>
    <w:rsid w:val="00F6667B"/>
    <w:rsid w:val="00F7027C"/>
    <w:rsid w:val="00F70333"/>
    <w:rsid w:val="00F72892"/>
    <w:rsid w:val="00F729B4"/>
    <w:rsid w:val="00F73106"/>
    <w:rsid w:val="00F73F33"/>
    <w:rsid w:val="00F7494E"/>
    <w:rsid w:val="00F74B06"/>
    <w:rsid w:val="00F75C80"/>
    <w:rsid w:val="00F80AFA"/>
    <w:rsid w:val="00F8155F"/>
    <w:rsid w:val="00F82D92"/>
    <w:rsid w:val="00F860A4"/>
    <w:rsid w:val="00F86357"/>
    <w:rsid w:val="00F90FBA"/>
    <w:rsid w:val="00F93C02"/>
    <w:rsid w:val="00F95C7C"/>
    <w:rsid w:val="00F96297"/>
    <w:rsid w:val="00FA106A"/>
    <w:rsid w:val="00FA13BE"/>
    <w:rsid w:val="00FA1A86"/>
    <w:rsid w:val="00FA1B4B"/>
    <w:rsid w:val="00FA3174"/>
    <w:rsid w:val="00FA384A"/>
    <w:rsid w:val="00FA4229"/>
    <w:rsid w:val="00FA433D"/>
    <w:rsid w:val="00FA4DCD"/>
    <w:rsid w:val="00FA65D1"/>
    <w:rsid w:val="00FA6845"/>
    <w:rsid w:val="00FA6CA0"/>
    <w:rsid w:val="00FA701F"/>
    <w:rsid w:val="00FB01B3"/>
    <w:rsid w:val="00FB5013"/>
    <w:rsid w:val="00FB507A"/>
    <w:rsid w:val="00FB6A28"/>
    <w:rsid w:val="00FB76CD"/>
    <w:rsid w:val="00FC662C"/>
    <w:rsid w:val="00FC6851"/>
    <w:rsid w:val="00FC7394"/>
    <w:rsid w:val="00FD2F99"/>
    <w:rsid w:val="00FD3B61"/>
    <w:rsid w:val="00FD5E0B"/>
    <w:rsid w:val="00FE15EB"/>
    <w:rsid w:val="00FE4B51"/>
    <w:rsid w:val="00FE5772"/>
    <w:rsid w:val="00FE752E"/>
    <w:rsid w:val="00FE7DFE"/>
    <w:rsid w:val="00FF06F1"/>
    <w:rsid w:val="00FF2C7A"/>
    <w:rsid w:val="00FF4869"/>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4BEC"/>
    <w:pPr>
      <w:keepNext/>
      <w:keepLines/>
      <w:spacing w:before="200" w:after="0"/>
      <w:outlineLvl w:val="2"/>
    </w:pPr>
    <w:rPr>
      <w:rFonts w:eastAsiaTheme="majorEastAsia" w:cstheme="majorBidi"/>
      <w:b/>
      <w:bCs/>
      <w:i/>
      <w:color w:val="4F81BD" w:themeColor="accent1"/>
    </w:rPr>
  </w:style>
  <w:style w:type="paragraph" w:styleId="Heading4">
    <w:name w:val="heading 4"/>
    <w:basedOn w:val="Normal"/>
    <w:next w:val="Normal"/>
    <w:link w:val="Heading4Char"/>
    <w:uiPriority w:val="9"/>
    <w:unhideWhenUsed/>
    <w:qFormat/>
    <w:rsid w:val="00CF7317"/>
    <w:pPr>
      <w:keepNext/>
      <w:keepLines/>
      <w:spacing w:before="200" w:after="0"/>
      <w:outlineLvl w:val="3"/>
    </w:pPr>
    <w:rPr>
      <w:rFonts w:eastAsiaTheme="majorEastAsia" w:cstheme="majorBidi"/>
      <w:b/>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4BEC"/>
    <w:rPr>
      <w:rFonts w:eastAsiaTheme="majorEastAsia" w:cstheme="majorBidi"/>
      <w:b/>
      <w:bCs/>
      <w:i/>
      <w:color w:val="4F81BD" w:themeColor="accent1"/>
    </w:rPr>
  </w:style>
  <w:style w:type="character" w:customStyle="1" w:styleId="Heading4Char">
    <w:name w:val="Heading 4 Char"/>
    <w:basedOn w:val="DefaultParagraphFont"/>
    <w:link w:val="Heading4"/>
    <w:uiPriority w:val="9"/>
    <w:rsid w:val="00CF7317"/>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4496168319454595"/>
          <c:y val="9.9288997326038464E-2"/>
          <c:w val="0.5240840026906185"/>
          <c:h val="0.78341946693283071"/>
        </c:manualLayout>
      </c:layout>
      <c:pieChart>
        <c:varyColors val="1"/>
        <c:ser>
          <c:idx val="0"/>
          <c:order val="0"/>
          <c:tx>
            <c:strRef>
              <c:f>Sheet1!$B$1</c:f>
              <c:strCache>
                <c:ptCount val="1"/>
                <c:pt idx="0">
                  <c:v> Exports, 2023-Q2 </c:v>
                </c:pt>
              </c:strCache>
            </c:strRef>
          </c:tx>
          <c:spPr>
            <a:ln>
              <a:solidFill>
                <a:schemeClr val="tx1">
                  <a:lumMod val="50000"/>
                  <a:lumOff val="50000"/>
                </a:schemeClr>
              </a:solidFill>
            </a:ln>
          </c:spPr>
          <c:dPt>
            <c:idx val="0"/>
            <c:bubble3D val="0"/>
            <c:spPr>
              <a:solidFill>
                <a:schemeClr val="accent6">
                  <a:shade val="50000"/>
                </a:schemeClr>
              </a:solidFill>
              <a:ln>
                <a:solidFill>
                  <a:schemeClr val="tx1">
                    <a:lumMod val="50000"/>
                    <a:lumOff val="50000"/>
                  </a:schemeClr>
                </a:solidFill>
              </a:ln>
              <a:effectLst/>
            </c:spPr>
            <c:extLst>
              <c:ext xmlns:c16="http://schemas.microsoft.com/office/drawing/2014/chart" uri="{C3380CC4-5D6E-409C-BE32-E72D297353CC}">
                <c16:uniqueId val="{00000001-1B88-468F-B926-1611BD07E22A}"/>
              </c:ext>
            </c:extLst>
          </c:dPt>
          <c:dPt>
            <c:idx val="1"/>
            <c:bubble3D val="0"/>
            <c:spPr>
              <a:solidFill>
                <a:schemeClr val="accent6">
                  <a:shade val="70000"/>
                </a:schemeClr>
              </a:solidFill>
              <a:ln>
                <a:solidFill>
                  <a:schemeClr val="tx1">
                    <a:lumMod val="50000"/>
                    <a:lumOff val="50000"/>
                  </a:schemeClr>
                </a:solidFill>
              </a:ln>
              <a:effectLst/>
            </c:spPr>
            <c:extLst>
              <c:ext xmlns:c16="http://schemas.microsoft.com/office/drawing/2014/chart" uri="{C3380CC4-5D6E-409C-BE32-E72D297353CC}">
                <c16:uniqueId val="{00000003-1B88-468F-B926-1611BD07E22A}"/>
              </c:ext>
            </c:extLst>
          </c:dPt>
          <c:dPt>
            <c:idx val="2"/>
            <c:bubble3D val="0"/>
            <c:spPr>
              <a:solidFill>
                <a:schemeClr val="accent6">
                  <a:shade val="90000"/>
                </a:schemeClr>
              </a:solidFill>
              <a:ln>
                <a:solidFill>
                  <a:schemeClr val="tx1">
                    <a:lumMod val="50000"/>
                    <a:lumOff val="50000"/>
                  </a:schemeClr>
                </a:solidFill>
              </a:ln>
              <a:effectLst/>
            </c:spPr>
            <c:extLst>
              <c:ext xmlns:c16="http://schemas.microsoft.com/office/drawing/2014/chart" uri="{C3380CC4-5D6E-409C-BE32-E72D297353CC}">
                <c16:uniqueId val="{00000005-1B88-468F-B926-1611BD07E22A}"/>
              </c:ext>
            </c:extLst>
          </c:dPt>
          <c:dPt>
            <c:idx val="3"/>
            <c:bubble3D val="0"/>
            <c:spPr>
              <a:solidFill>
                <a:schemeClr val="accent6">
                  <a:shade val="92000"/>
                </a:schemeClr>
              </a:solidFill>
              <a:ln>
                <a:solidFill>
                  <a:schemeClr val="tx1">
                    <a:lumMod val="50000"/>
                    <a:lumOff val="50000"/>
                  </a:schemeClr>
                </a:solidFill>
              </a:ln>
              <a:effectLst/>
            </c:spPr>
            <c:extLst>
              <c:ext xmlns:c16="http://schemas.microsoft.com/office/drawing/2014/chart" uri="{C3380CC4-5D6E-409C-BE32-E72D297353CC}">
                <c16:uniqueId val="{00000007-1B88-468F-B926-1611BD07E22A}"/>
              </c:ext>
            </c:extLst>
          </c:dPt>
          <c:dPt>
            <c:idx val="4"/>
            <c:bubble3D val="0"/>
            <c:spPr>
              <a:solidFill>
                <a:schemeClr val="accent6">
                  <a:tint val="70000"/>
                </a:schemeClr>
              </a:solidFill>
              <a:ln>
                <a:solidFill>
                  <a:schemeClr val="tx1">
                    <a:lumMod val="50000"/>
                    <a:lumOff val="50000"/>
                  </a:schemeClr>
                </a:solidFill>
              </a:ln>
              <a:effectLst/>
            </c:spPr>
            <c:extLst>
              <c:ext xmlns:c16="http://schemas.microsoft.com/office/drawing/2014/chart" uri="{C3380CC4-5D6E-409C-BE32-E72D297353CC}">
                <c16:uniqueId val="{00000009-1B88-468F-B926-1611BD07E22A}"/>
              </c:ext>
            </c:extLst>
          </c:dPt>
          <c:dPt>
            <c:idx val="5"/>
            <c:bubble3D val="0"/>
            <c:spPr>
              <a:solidFill>
                <a:schemeClr val="accent6">
                  <a:tint val="77000"/>
                </a:schemeClr>
              </a:solidFill>
              <a:ln>
                <a:solidFill>
                  <a:schemeClr val="tx1">
                    <a:lumMod val="50000"/>
                    <a:lumOff val="50000"/>
                  </a:schemeClr>
                </a:solidFill>
              </a:ln>
              <a:effectLst/>
            </c:spPr>
            <c:extLst>
              <c:ext xmlns:c16="http://schemas.microsoft.com/office/drawing/2014/chart" uri="{C3380CC4-5D6E-409C-BE32-E72D297353CC}">
                <c16:uniqueId val="{0000000B-1B88-468F-B926-1611BD07E22A}"/>
              </c:ext>
            </c:extLst>
          </c:dPt>
          <c:dPt>
            <c:idx val="6"/>
            <c:bubble3D val="0"/>
            <c:spPr>
              <a:solidFill>
                <a:schemeClr val="accent6">
                  <a:tint val="30000"/>
                </a:schemeClr>
              </a:solidFill>
              <a:ln>
                <a:solidFill>
                  <a:schemeClr val="tx1">
                    <a:lumMod val="50000"/>
                    <a:lumOff val="50000"/>
                  </a:schemeClr>
                </a:solidFill>
              </a:ln>
              <a:effectLst/>
            </c:spPr>
            <c:extLst>
              <c:ext xmlns:c16="http://schemas.microsoft.com/office/drawing/2014/chart" uri="{C3380CC4-5D6E-409C-BE32-E72D297353CC}">
                <c16:uniqueId val="{0000000D-1B88-468F-B926-1611BD07E22A}"/>
              </c:ext>
            </c:extLst>
          </c:dPt>
          <c:dPt>
            <c:idx val="7"/>
            <c:bubble3D val="0"/>
            <c:spPr>
              <a:solidFill>
                <a:schemeClr val="accent6">
                  <a:tint val="46000"/>
                </a:schemeClr>
              </a:solidFill>
              <a:ln>
                <a:solidFill>
                  <a:schemeClr val="tx1">
                    <a:lumMod val="50000"/>
                    <a:lumOff val="50000"/>
                  </a:schemeClr>
                </a:solidFill>
              </a:ln>
              <a:effectLst/>
            </c:spPr>
            <c:extLst>
              <c:ext xmlns:c16="http://schemas.microsoft.com/office/drawing/2014/chart" uri="{C3380CC4-5D6E-409C-BE32-E72D297353CC}">
                <c16:uniqueId val="{0000000F-1B88-468F-B926-1611BD07E22A}"/>
              </c:ext>
            </c:extLst>
          </c:dPt>
          <c:dPt>
            <c:idx val="8"/>
            <c:bubble3D val="0"/>
            <c:spPr>
              <a:solidFill>
                <a:schemeClr val="accent6">
                  <a:tint val="90000"/>
                </a:schemeClr>
              </a:solidFill>
              <a:ln>
                <a:solidFill>
                  <a:schemeClr val="tx1">
                    <a:lumMod val="50000"/>
                    <a:lumOff val="50000"/>
                  </a:schemeClr>
                </a:solidFill>
              </a:ln>
              <a:effectLst/>
            </c:spPr>
            <c:extLst>
              <c:ext xmlns:c16="http://schemas.microsoft.com/office/drawing/2014/chart" uri="{C3380CC4-5D6E-409C-BE32-E72D297353CC}">
                <c16:uniqueId val="{00000011-1B88-468F-B926-1611BD07E22A}"/>
              </c:ext>
            </c:extLst>
          </c:dPt>
          <c:dLbls>
            <c:dLbl>
              <c:idx val="0"/>
              <c:layout>
                <c:manualLayout>
                  <c:x val="-2.5325477404096349E-2"/>
                  <c:y val="1.2519808263403709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187415618446966"/>
                      <c:h val="0.12504824220916047"/>
                    </c:manualLayout>
                  </c15:layout>
                </c:ext>
                <c:ext xmlns:c16="http://schemas.microsoft.com/office/drawing/2014/chart" uri="{C3380CC4-5D6E-409C-BE32-E72D297353CC}">
                  <c16:uniqueId val="{00000001-1B88-468F-B926-1611BD07E22A}"/>
                </c:ext>
              </c:extLst>
            </c:dLbl>
            <c:dLbl>
              <c:idx val="1"/>
              <c:layout>
                <c:manualLayout>
                  <c:x val="0"/>
                  <c:y val="-7.0903108942368065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319856754833089"/>
                      <c:h val="0.18761697041390951"/>
                    </c:manualLayout>
                  </c15:layout>
                </c:ext>
                <c:ext xmlns:c16="http://schemas.microsoft.com/office/drawing/2014/chart" uri="{C3380CC4-5D6E-409C-BE32-E72D297353CC}">
                  <c16:uniqueId val="{00000003-1B88-468F-B926-1611BD07E22A}"/>
                </c:ext>
              </c:extLst>
            </c:dLbl>
            <c:dLbl>
              <c:idx val="2"/>
              <c:layout>
                <c:manualLayout>
                  <c:x val="-2.0267531414673691E-3"/>
                  <c:y val="-2.2945300851478074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682431720761292"/>
                      <c:h val="7.8597710497455425E-2"/>
                    </c:manualLayout>
                  </c15:layout>
                </c:ext>
                <c:ext xmlns:c16="http://schemas.microsoft.com/office/drawing/2014/chart" uri="{C3380CC4-5D6E-409C-BE32-E72D297353CC}">
                  <c16:uniqueId val="{00000005-1B88-468F-B926-1611BD07E22A}"/>
                </c:ext>
              </c:extLst>
            </c:dLbl>
            <c:dLbl>
              <c:idx val="3"/>
              <c:layout>
                <c:manualLayout>
                  <c:x val="2.1188749281858231E-2"/>
                  <c:y val="-3.2483826845587961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3711464304408583"/>
                      <c:h val="0.1204026961418555"/>
                    </c:manualLayout>
                  </c15:layout>
                </c:ext>
                <c:ext xmlns:c16="http://schemas.microsoft.com/office/drawing/2014/chart" uri="{C3380CC4-5D6E-409C-BE32-E72D297353CC}">
                  <c16:uniqueId val="{00000007-1B88-468F-B926-1611BD07E22A}"/>
                </c:ext>
              </c:extLst>
            </c:dLbl>
            <c:dLbl>
              <c:idx val="4"/>
              <c:layout>
                <c:manualLayout>
                  <c:x val="-1.3784793925485777E-2"/>
                  <c:y val="-2.7348342020627704E-3"/>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5568847367933895"/>
                      <c:h val="0.1003630180030313"/>
                    </c:manualLayout>
                  </c15:layout>
                </c:ext>
                <c:ext xmlns:c16="http://schemas.microsoft.com/office/drawing/2014/chart" uri="{C3380CC4-5D6E-409C-BE32-E72D297353CC}">
                  <c16:uniqueId val="{00000009-1B88-468F-B926-1611BD07E22A}"/>
                </c:ext>
              </c:extLst>
            </c:dLbl>
            <c:dLbl>
              <c:idx val="5"/>
              <c:layout>
                <c:manualLayout>
                  <c:x val="-1.8027729813059952E-2"/>
                  <c:y val="1.7521225339790274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133795022610125"/>
                      <c:h val="7.7315194755585112E-2"/>
                    </c:manualLayout>
                  </c15:layout>
                </c:ext>
                <c:ext xmlns:c16="http://schemas.microsoft.com/office/drawing/2014/chart" uri="{C3380CC4-5D6E-409C-BE32-E72D297353CC}">
                  <c16:uniqueId val="{0000000B-1B88-468F-B926-1611BD07E22A}"/>
                </c:ext>
              </c:extLst>
            </c:dLbl>
            <c:dLbl>
              <c:idx val="6"/>
              <c:layout>
                <c:manualLayout>
                  <c:x val="-2.0265935546058284E-3"/>
                  <c:y val="-3.0976796914470313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1077370902208362"/>
                      <c:h val="0.1054186536542087"/>
                    </c:manualLayout>
                  </c15:layout>
                </c:ext>
                <c:ext xmlns:c16="http://schemas.microsoft.com/office/drawing/2014/chart" uri="{C3380CC4-5D6E-409C-BE32-E72D297353CC}">
                  <c16:uniqueId val="{0000000D-1B88-468F-B926-1611BD07E22A}"/>
                </c:ext>
              </c:extLst>
            </c:dLbl>
            <c:dLbl>
              <c:idx val="7"/>
              <c:layout>
                <c:manualLayout>
                  <c:x val="9.5857444248329919E-3"/>
                  <c:y val="-6.6453735536579059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579817368795663"/>
                      <c:h val="0.10736017152785479"/>
                    </c:manualLayout>
                  </c15:layout>
                </c:ext>
                <c:ext xmlns:c16="http://schemas.microsoft.com/office/drawing/2014/chart" uri="{C3380CC4-5D6E-409C-BE32-E72D297353CC}">
                  <c16:uniqueId val="{0000000F-1B88-468F-B926-1611BD07E22A}"/>
                </c:ext>
              </c:extLst>
            </c:dLbl>
            <c:dLbl>
              <c:idx val="8"/>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22034120734908136"/>
                      <c:h val="0.1104225352112676"/>
                    </c:manualLayout>
                  </c15:layout>
                </c:ext>
                <c:ext xmlns:c16="http://schemas.microsoft.com/office/drawing/2014/chart" uri="{C3380CC4-5D6E-409C-BE32-E72D297353CC}">
                  <c16:uniqueId val="{00000011-1B88-468F-B926-1611BD07E22A}"/>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Sheet1!$A$2:$A$9</c:f>
              <c:strCache>
                <c:ptCount val="8"/>
                <c:pt idx="0">
                  <c:v>Germany</c:v>
                </c:pt>
                <c:pt idx="1">
                  <c:v>Australia</c:v>
                </c:pt>
                <c:pt idx="2">
                  <c:v>U.K.</c:v>
                </c:pt>
                <c:pt idx="3">
                  <c:v>Mexico</c:v>
                </c:pt>
                <c:pt idx="4">
                  <c:v>Canada</c:v>
                </c:pt>
                <c:pt idx="5">
                  <c:v>Japan</c:v>
                </c:pt>
                <c:pt idx="6">
                  <c:v>Korea</c:v>
                </c:pt>
                <c:pt idx="7">
                  <c:v>Other</c:v>
                </c:pt>
              </c:strCache>
            </c:strRef>
          </c:cat>
          <c:val>
            <c:numRef>
              <c:f>Sheet1!$B$2:$B$9</c:f>
              <c:numCache>
                <c:formatCode>#,##0</c:formatCode>
                <c:ptCount val="8"/>
                <c:pt idx="0">
                  <c:v>27601900</c:v>
                </c:pt>
                <c:pt idx="1">
                  <c:v>21304765</c:v>
                </c:pt>
                <c:pt idx="2">
                  <c:v>12157493</c:v>
                </c:pt>
                <c:pt idx="3">
                  <c:v>11241286</c:v>
                </c:pt>
                <c:pt idx="4">
                  <c:v>10773064</c:v>
                </c:pt>
                <c:pt idx="5">
                  <c:v>7914215</c:v>
                </c:pt>
                <c:pt idx="6">
                  <c:v>7530305</c:v>
                </c:pt>
                <c:pt idx="7">
                  <c:v>57817144</c:v>
                </c:pt>
              </c:numCache>
            </c:numRef>
          </c:val>
          <c:extLst>
            <c:ext xmlns:c16="http://schemas.microsoft.com/office/drawing/2014/chart" uri="{C3380CC4-5D6E-409C-BE32-E72D297353CC}">
              <c16:uniqueId val="{00000012-1B88-468F-B926-1611BD07E22A}"/>
            </c:ext>
          </c:extLst>
        </c:ser>
        <c:ser>
          <c:idx val="1"/>
          <c:order val="1"/>
          <c:tx>
            <c:strRef>
              <c:f>Sheet1!$C$1</c:f>
              <c:strCache>
                <c:ptCount val="1"/>
                <c:pt idx="0">
                  <c:v>Product</c:v>
                </c:pt>
              </c:strCache>
            </c:strRef>
          </c:tx>
          <c:dPt>
            <c:idx val="0"/>
            <c:bubble3D val="0"/>
            <c:spPr>
              <a:solidFill>
                <a:schemeClr val="accent6">
                  <a:shade val="45000"/>
                </a:schemeClr>
              </a:solidFill>
              <a:ln>
                <a:noFill/>
              </a:ln>
              <a:effectLst/>
            </c:spPr>
            <c:extLst>
              <c:ext xmlns:c16="http://schemas.microsoft.com/office/drawing/2014/chart" uri="{C3380CC4-5D6E-409C-BE32-E72D297353CC}">
                <c16:uniqueId val="{00000013-1ED2-420E-9CF3-A5B0ADC3624D}"/>
              </c:ext>
            </c:extLst>
          </c:dPt>
          <c:dPt>
            <c:idx val="1"/>
            <c:bubble3D val="0"/>
            <c:spPr>
              <a:solidFill>
                <a:schemeClr val="accent6">
                  <a:shade val="61000"/>
                </a:schemeClr>
              </a:solidFill>
              <a:ln>
                <a:noFill/>
              </a:ln>
              <a:effectLst/>
            </c:spPr>
            <c:extLst>
              <c:ext xmlns:c16="http://schemas.microsoft.com/office/drawing/2014/chart" uri="{C3380CC4-5D6E-409C-BE32-E72D297353CC}">
                <c16:uniqueId val="{00000015-1ED2-420E-9CF3-A5B0ADC3624D}"/>
              </c:ext>
            </c:extLst>
          </c:dPt>
          <c:dPt>
            <c:idx val="2"/>
            <c:bubble3D val="0"/>
            <c:spPr>
              <a:solidFill>
                <a:schemeClr val="accent6">
                  <a:shade val="76000"/>
                </a:schemeClr>
              </a:solidFill>
              <a:ln>
                <a:noFill/>
              </a:ln>
              <a:effectLst/>
            </c:spPr>
            <c:extLst>
              <c:ext xmlns:c16="http://schemas.microsoft.com/office/drawing/2014/chart" uri="{C3380CC4-5D6E-409C-BE32-E72D297353CC}">
                <c16:uniqueId val="{00000017-1ED2-420E-9CF3-A5B0ADC3624D}"/>
              </c:ext>
            </c:extLst>
          </c:dPt>
          <c:dPt>
            <c:idx val="3"/>
            <c:bubble3D val="0"/>
            <c:spPr>
              <a:solidFill>
                <a:schemeClr val="accent6">
                  <a:shade val="92000"/>
                </a:schemeClr>
              </a:solidFill>
              <a:ln>
                <a:noFill/>
              </a:ln>
              <a:effectLst/>
            </c:spPr>
            <c:extLst>
              <c:ext xmlns:c16="http://schemas.microsoft.com/office/drawing/2014/chart" uri="{C3380CC4-5D6E-409C-BE32-E72D297353CC}">
                <c16:uniqueId val="{00000019-1ED2-420E-9CF3-A5B0ADC3624D}"/>
              </c:ext>
            </c:extLst>
          </c:dPt>
          <c:dPt>
            <c:idx val="4"/>
            <c:bubble3D val="0"/>
            <c:spPr>
              <a:solidFill>
                <a:schemeClr val="accent6">
                  <a:tint val="93000"/>
                </a:schemeClr>
              </a:solidFill>
              <a:ln>
                <a:noFill/>
              </a:ln>
              <a:effectLst/>
            </c:spPr>
            <c:extLst>
              <c:ext xmlns:c16="http://schemas.microsoft.com/office/drawing/2014/chart" uri="{C3380CC4-5D6E-409C-BE32-E72D297353CC}">
                <c16:uniqueId val="{0000001B-1ED2-420E-9CF3-A5B0ADC3624D}"/>
              </c:ext>
            </c:extLst>
          </c:dPt>
          <c:dPt>
            <c:idx val="5"/>
            <c:bubble3D val="0"/>
            <c:spPr>
              <a:solidFill>
                <a:schemeClr val="accent6">
                  <a:tint val="77000"/>
                </a:schemeClr>
              </a:solidFill>
              <a:ln>
                <a:noFill/>
              </a:ln>
              <a:effectLst/>
            </c:spPr>
            <c:extLst>
              <c:ext xmlns:c16="http://schemas.microsoft.com/office/drawing/2014/chart" uri="{C3380CC4-5D6E-409C-BE32-E72D297353CC}">
                <c16:uniqueId val="{0000001D-1ED2-420E-9CF3-A5B0ADC3624D}"/>
              </c:ext>
            </c:extLst>
          </c:dPt>
          <c:dPt>
            <c:idx val="6"/>
            <c:bubble3D val="0"/>
            <c:spPr>
              <a:solidFill>
                <a:schemeClr val="accent6">
                  <a:tint val="62000"/>
                </a:schemeClr>
              </a:solidFill>
              <a:ln>
                <a:noFill/>
              </a:ln>
              <a:effectLst/>
            </c:spPr>
            <c:extLst>
              <c:ext xmlns:c16="http://schemas.microsoft.com/office/drawing/2014/chart" uri="{C3380CC4-5D6E-409C-BE32-E72D297353CC}">
                <c16:uniqueId val="{0000001F-1ED2-420E-9CF3-A5B0ADC3624D}"/>
              </c:ext>
            </c:extLst>
          </c:dPt>
          <c:dPt>
            <c:idx val="7"/>
            <c:bubble3D val="0"/>
            <c:spPr>
              <a:solidFill>
                <a:schemeClr val="accent6">
                  <a:tint val="46000"/>
                </a:schemeClr>
              </a:solidFill>
              <a:ln>
                <a:noFill/>
              </a:ln>
              <a:effectLst/>
            </c:spPr>
            <c:extLst>
              <c:ext xmlns:c16="http://schemas.microsoft.com/office/drawing/2014/chart" uri="{C3380CC4-5D6E-409C-BE32-E72D297353CC}">
                <c16:uniqueId val="{00000021-1ED2-420E-9CF3-A5B0ADC3624D}"/>
              </c:ext>
            </c:extLst>
          </c:dPt>
          <c:cat>
            <c:strRef>
              <c:f>Sheet1!$A$2:$A$9</c:f>
              <c:strCache>
                <c:ptCount val="8"/>
                <c:pt idx="0">
                  <c:v>Germany</c:v>
                </c:pt>
                <c:pt idx="1">
                  <c:v>Australia</c:v>
                </c:pt>
                <c:pt idx="2">
                  <c:v>U.K.</c:v>
                </c:pt>
                <c:pt idx="3">
                  <c:v>Mexico</c:v>
                </c:pt>
                <c:pt idx="4">
                  <c:v>Canada</c:v>
                </c:pt>
                <c:pt idx="5">
                  <c:v>Japan</c:v>
                </c:pt>
                <c:pt idx="6">
                  <c:v>Korea</c:v>
                </c:pt>
                <c:pt idx="7">
                  <c:v>Other</c:v>
                </c:pt>
              </c:strCache>
            </c:strRef>
          </c:cat>
          <c:val>
            <c:numRef>
              <c:f>Sheet1!$C$2:$C$9</c:f>
              <c:numCache>
                <c:formatCode>General</c:formatCode>
                <c:ptCount val="8"/>
                <c:pt idx="0">
                  <c:v>0</c:v>
                </c:pt>
              </c:numCache>
            </c:numRef>
          </c:val>
          <c:extLst>
            <c:ext xmlns:c16="http://schemas.microsoft.com/office/drawing/2014/chart" uri="{C3380CC4-5D6E-409C-BE32-E72D297353CC}">
              <c16:uniqueId val="{00000012-B1BC-45EC-A315-229DDDC2EF5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6C44-9FF8-492D-ADB5-283AD1E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Minnesota Quarterly Export Statistics, 2nd Quarter 2023</vt:lpstr>
    </vt:vector>
  </TitlesOfParts>
  <Company>MN DEED</Company>
  <LinksUpToDate>false</LinksUpToDate>
  <CharactersWithSpaces>4375</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2nd Quarter 2023</dc:title>
  <dc:subject>Minnesota Quarterly Export Statistics</dc:subject>
  <dc:creator>Economic Analysis Unit (T. Ho-Kim)</dc:creator>
  <dc:description>2nd Quarter 2023</dc:description>
  <cp:lastModifiedBy>Ho-Kim, Thu-Mai (DEED)</cp:lastModifiedBy>
  <cp:revision>3</cp:revision>
  <cp:lastPrinted>2021-02-10T19:09:00Z</cp:lastPrinted>
  <dcterms:created xsi:type="dcterms:W3CDTF">2023-08-22T14:27:00Z</dcterms:created>
  <dcterms:modified xsi:type="dcterms:W3CDTF">2023-08-22T14:33:00Z</dcterms:modified>
</cp:coreProperties>
</file>