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16C8" w14:textId="1B1D3B5F" w:rsidR="5CB85DE4" w:rsidRDefault="5CB85DE4" w:rsidP="3049160C">
      <w:pPr>
        <w:rPr>
          <w:rFonts w:ascii="Calibri" w:eastAsia="Calibri" w:hAnsi="Calibri" w:cs="Calibri"/>
          <w:color w:val="000000" w:themeColor="text1"/>
        </w:rPr>
      </w:pPr>
      <w:r w:rsidRPr="3049160C">
        <w:rPr>
          <w:rFonts w:ascii="Calibri" w:eastAsia="Calibri" w:hAnsi="Calibri" w:cs="Calibri"/>
          <w:color w:val="000000" w:themeColor="text1"/>
        </w:rPr>
        <w:t>To: Governor Walz</w:t>
      </w:r>
      <w:r>
        <w:br/>
      </w:r>
      <w:r w:rsidRPr="3049160C">
        <w:rPr>
          <w:rFonts w:ascii="Calibri" w:eastAsia="Calibri" w:hAnsi="Calibri" w:cs="Calibri"/>
          <w:color w:val="000000" w:themeColor="text1"/>
        </w:rPr>
        <w:t>From: Deputy Commissioner Vaubel, Department of Agriculture and Deputy Commissioner Warfa, Department of Employment and Economic Development, on behalf of the Committee on the Safety, Health, and Wellbeing of Agricultural and Food Processing Workers</w:t>
      </w:r>
      <w:r>
        <w:br/>
      </w:r>
      <w:r w:rsidRPr="3049160C">
        <w:rPr>
          <w:rFonts w:ascii="Calibri" w:eastAsia="Calibri" w:hAnsi="Calibri" w:cs="Calibri"/>
          <w:color w:val="000000" w:themeColor="text1"/>
        </w:rPr>
        <w:t>Re: Workplan</w:t>
      </w:r>
      <w:r>
        <w:br/>
      </w:r>
      <w:r w:rsidR="18F55E46" w:rsidRPr="3049160C">
        <w:rPr>
          <w:rFonts w:ascii="Calibri" w:eastAsia="Calibri" w:hAnsi="Calibri" w:cs="Calibri"/>
          <w:color w:val="000000" w:themeColor="text1"/>
        </w:rPr>
        <w:t>Date: August 1, 2021</w:t>
      </w:r>
    </w:p>
    <w:p w14:paraId="443D8896" w14:textId="6D44DB94" w:rsidR="28F0961D" w:rsidRDefault="28F0961D" w:rsidP="3049160C">
      <w:pPr>
        <w:pStyle w:val="Heading1"/>
        <w:rPr>
          <w:rFonts w:ascii="Calibri Light" w:hAnsi="Calibri Light"/>
        </w:rPr>
      </w:pPr>
      <w:r>
        <w:t>Workplan of the Governor’s Committee on the Safety, Health and Wellbeing of Agricultural and Food Processing Workers</w:t>
      </w:r>
    </w:p>
    <w:p w14:paraId="318C220A" w14:textId="3FCD9499" w:rsidR="3049160C" w:rsidRDefault="3049160C" w:rsidP="3049160C">
      <w:pPr>
        <w:rPr>
          <w:rFonts w:ascii="Calibri" w:eastAsia="Calibri" w:hAnsi="Calibri" w:cs="Calibri"/>
          <w:color w:val="000000" w:themeColor="text1"/>
        </w:rPr>
      </w:pPr>
    </w:p>
    <w:p w14:paraId="4FF6FFB7" w14:textId="26FCC5C4" w:rsidR="18F55E46" w:rsidRDefault="18F55E46" w:rsidP="3049160C">
      <w:pPr>
        <w:rPr>
          <w:rFonts w:ascii="Calibri" w:eastAsia="Calibri" w:hAnsi="Calibri" w:cs="Calibri"/>
          <w:b/>
          <w:bCs/>
          <w:color w:val="000000" w:themeColor="text1"/>
        </w:rPr>
      </w:pPr>
      <w:r w:rsidRPr="3049160C">
        <w:rPr>
          <w:rFonts w:ascii="Calibri" w:eastAsia="Calibri" w:hAnsi="Calibri" w:cs="Calibri"/>
          <w:b/>
          <w:bCs/>
          <w:color w:val="000000" w:themeColor="text1"/>
        </w:rPr>
        <w:t>Background</w:t>
      </w:r>
    </w:p>
    <w:p w14:paraId="698D10DF" w14:textId="7C0BD547" w:rsidR="6895FCB1" w:rsidRDefault="6895FCB1" w:rsidP="3049160C">
      <w:pPr>
        <w:rPr>
          <w:rFonts w:ascii="Calibri" w:eastAsia="Calibri" w:hAnsi="Calibri" w:cs="Calibri"/>
          <w:color w:val="000000" w:themeColor="text1"/>
        </w:rPr>
      </w:pPr>
      <w:r w:rsidRPr="3049160C">
        <w:rPr>
          <w:rFonts w:ascii="Calibri" w:eastAsia="Calibri" w:hAnsi="Calibri" w:cs="Calibri"/>
          <w:color w:val="000000" w:themeColor="text1"/>
        </w:rPr>
        <w:t>In March 2021, the Governor established via Executive Order 21-14 the Governor’s Committee on the Safety, Health, and Wellbeing of Agricultural and Food Processing Workers</w:t>
      </w:r>
      <w:r w:rsidR="1E1E15E2" w:rsidRPr="3049160C">
        <w:rPr>
          <w:rFonts w:ascii="Calibri" w:eastAsia="Calibri" w:hAnsi="Calibri" w:cs="Calibri"/>
          <w:color w:val="000000" w:themeColor="text1"/>
        </w:rPr>
        <w:t xml:space="preserve"> to address COVID-related and long-term issues related to agricultural and food processing workers in Minnesota</w:t>
      </w:r>
      <w:r w:rsidRPr="3049160C">
        <w:rPr>
          <w:rFonts w:ascii="Calibri" w:eastAsia="Calibri" w:hAnsi="Calibri" w:cs="Calibri"/>
          <w:color w:val="000000" w:themeColor="text1"/>
        </w:rPr>
        <w:t xml:space="preserve">. </w:t>
      </w:r>
      <w:r w:rsidR="7D7EC194" w:rsidRPr="3049160C">
        <w:rPr>
          <w:rFonts w:ascii="Calibri" w:eastAsia="Calibri" w:hAnsi="Calibri" w:cs="Calibri"/>
          <w:color w:val="000000" w:themeColor="text1"/>
        </w:rPr>
        <w:t xml:space="preserve">The committee has 15 members representing state agencies, community groups, labor, employers, </w:t>
      </w:r>
      <w:r w:rsidR="50F70231" w:rsidRPr="3049160C">
        <w:rPr>
          <w:rFonts w:ascii="Calibri" w:eastAsia="Calibri" w:hAnsi="Calibri" w:cs="Calibri"/>
          <w:color w:val="000000" w:themeColor="text1"/>
        </w:rPr>
        <w:t xml:space="preserve">and </w:t>
      </w:r>
      <w:r w:rsidR="7D7EC194" w:rsidRPr="3049160C">
        <w:rPr>
          <w:rFonts w:ascii="Calibri" w:eastAsia="Calibri" w:hAnsi="Calibri" w:cs="Calibri"/>
          <w:color w:val="000000" w:themeColor="text1"/>
        </w:rPr>
        <w:t>public health</w:t>
      </w:r>
      <w:r w:rsidR="0F9292BB" w:rsidRPr="3049160C">
        <w:rPr>
          <w:rFonts w:ascii="Calibri" w:eastAsia="Calibri" w:hAnsi="Calibri" w:cs="Calibri"/>
          <w:color w:val="000000" w:themeColor="text1"/>
        </w:rPr>
        <w:t>.</w:t>
      </w:r>
      <w:r w:rsidR="09B98321" w:rsidRPr="3049160C">
        <w:rPr>
          <w:rFonts w:ascii="Calibri" w:eastAsia="Calibri" w:hAnsi="Calibri" w:cs="Calibri"/>
          <w:color w:val="000000" w:themeColor="text1"/>
        </w:rPr>
        <w:t xml:space="preserve"> The Committee has been meeting since April 2021, and in fulfillment of the direction of</w:t>
      </w:r>
      <w:r w:rsidR="0F9292BB" w:rsidRPr="3049160C">
        <w:rPr>
          <w:rFonts w:ascii="Calibri" w:eastAsia="Calibri" w:hAnsi="Calibri" w:cs="Calibri"/>
          <w:color w:val="000000" w:themeColor="text1"/>
        </w:rPr>
        <w:t xml:space="preserve"> EO 21-14</w:t>
      </w:r>
      <w:r w:rsidR="019DEB06" w:rsidRPr="3049160C">
        <w:rPr>
          <w:rFonts w:ascii="Calibri" w:eastAsia="Calibri" w:hAnsi="Calibri" w:cs="Calibri"/>
          <w:color w:val="000000" w:themeColor="text1"/>
        </w:rPr>
        <w:t>, submits this workplan to the Governor.</w:t>
      </w:r>
      <w:r w:rsidR="0F9292BB" w:rsidRPr="3049160C">
        <w:rPr>
          <w:rFonts w:ascii="Calibri" w:eastAsia="Calibri" w:hAnsi="Calibri" w:cs="Calibri"/>
          <w:color w:val="000000" w:themeColor="text1"/>
        </w:rPr>
        <w:t xml:space="preserve"> </w:t>
      </w:r>
    </w:p>
    <w:p w14:paraId="5542CAC0" w14:textId="1B089BBC" w:rsidR="3049160C" w:rsidRDefault="3049160C" w:rsidP="3049160C"/>
    <w:p w14:paraId="4A055C54" w14:textId="6D6563FE" w:rsidR="66B091FA" w:rsidRDefault="66B091FA" w:rsidP="3049160C">
      <w:pPr>
        <w:rPr>
          <w:b/>
          <w:bCs/>
        </w:rPr>
      </w:pPr>
      <w:r w:rsidRPr="3049160C">
        <w:rPr>
          <w:b/>
          <w:bCs/>
        </w:rPr>
        <w:t>Meeting History</w:t>
      </w:r>
      <w:r w:rsidR="6A52B9A7" w:rsidRPr="3049160C">
        <w:rPr>
          <w:b/>
          <w:bCs/>
        </w:rPr>
        <w:t xml:space="preserve"> &amp; Administration</w:t>
      </w:r>
    </w:p>
    <w:p w14:paraId="39DE14A1" w14:textId="0ECB09E0" w:rsidR="66B091FA" w:rsidRDefault="66B091FA" w:rsidP="3049160C">
      <w:r>
        <w:t xml:space="preserve">All meetings have taken place virtually, beginning with the inaugural meeting on April 27, 2021. The committee has reviewed open meeting laws, established a </w:t>
      </w:r>
      <w:hyperlink r:id="rId5">
        <w:r w:rsidRPr="3049160C">
          <w:rPr>
            <w:rStyle w:val="Hyperlink"/>
          </w:rPr>
          <w:t>public website</w:t>
        </w:r>
      </w:hyperlink>
      <w:r>
        <w:t xml:space="preserve"> and a</w:t>
      </w:r>
      <w:r w:rsidR="0FEFB085">
        <w:t xml:space="preserve"> regu</w:t>
      </w:r>
      <w:r w:rsidR="62F92877">
        <w:t>la</w:t>
      </w:r>
      <w:r w:rsidR="0FEFB085">
        <w:t>r meeting schedule</w:t>
      </w:r>
      <w:r w:rsidR="35A4BF49">
        <w:t xml:space="preserve"> twice a month. </w:t>
      </w:r>
      <w:r w:rsidR="0FEFB085">
        <w:t>The Committee also adopted a nickname and acronym: Agricultural Worker Wellness Committee (AWWC).</w:t>
      </w:r>
    </w:p>
    <w:p w14:paraId="7CFEF4F8" w14:textId="7EB8E57E" w:rsidR="66B091FA" w:rsidRDefault="66B091FA" w:rsidP="3049160C">
      <w:r>
        <w:t>Early meetings provided updates on vaccine distribution</w:t>
      </w:r>
      <w:r w:rsidR="5ADD905C">
        <w:t xml:space="preserve"> and a</w:t>
      </w:r>
      <w:r>
        <w:t>sked for input and feedback on vaccine plans</w:t>
      </w:r>
      <w:r w:rsidR="2352CFAE">
        <w:t>. The committee also r</w:t>
      </w:r>
      <w:r>
        <w:t>eviewed state agency roles and responsibilities</w:t>
      </w:r>
      <w:r w:rsidR="25A0133B">
        <w:t>. Staff at MDA, MDH, and DEED are supporting the committee.</w:t>
      </w:r>
    </w:p>
    <w:p w14:paraId="620B5AA6" w14:textId="1DEABCCC" w:rsidR="3049160C" w:rsidRDefault="3049160C" w:rsidP="3049160C"/>
    <w:p w14:paraId="1E75BDFB" w14:textId="491434A9" w:rsidR="66B091FA" w:rsidRDefault="66B091FA" w:rsidP="3049160C">
      <w:pPr>
        <w:rPr>
          <w:rFonts w:ascii="Calibri" w:eastAsia="Calibri" w:hAnsi="Calibri" w:cs="Calibri"/>
          <w:color w:val="000000" w:themeColor="text1"/>
        </w:rPr>
      </w:pPr>
      <w:r w:rsidRPr="3049160C">
        <w:rPr>
          <w:rFonts w:ascii="Calibri" w:eastAsia="Calibri" w:hAnsi="Calibri" w:cs="Calibri"/>
          <w:b/>
          <w:bCs/>
          <w:color w:val="000000" w:themeColor="text1"/>
        </w:rPr>
        <w:t>Committee Objectives</w:t>
      </w:r>
      <w:r>
        <w:br/>
      </w:r>
      <w:r w:rsidRPr="3049160C">
        <w:rPr>
          <w:rFonts w:ascii="Calibri" w:eastAsia="Calibri" w:hAnsi="Calibri" w:cs="Calibri"/>
          <w:color w:val="000000" w:themeColor="text1"/>
        </w:rPr>
        <w:t>The committee’s overall objective is to, by December 1, 2021, provide recommendations for state policy and legislative changes to relevant state agencies, to be considered for communication to the Governor’s Office for inclusion in budget and policy proposals.</w:t>
      </w:r>
    </w:p>
    <w:p w14:paraId="3065873D" w14:textId="2FE1E29F" w:rsidR="66B091FA" w:rsidRDefault="66B091FA" w:rsidP="3049160C">
      <w:pPr>
        <w:rPr>
          <w:rFonts w:ascii="Calibri" w:eastAsia="Calibri" w:hAnsi="Calibri" w:cs="Calibri"/>
          <w:color w:val="000000" w:themeColor="text1"/>
        </w:rPr>
      </w:pPr>
      <w:r w:rsidRPr="3049160C">
        <w:rPr>
          <w:rFonts w:ascii="Calibri" w:eastAsia="Calibri" w:hAnsi="Calibri" w:cs="Calibri"/>
          <w:color w:val="000000" w:themeColor="text1"/>
        </w:rPr>
        <w:t xml:space="preserve">There are five objectives outlined in the </w:t>
      </w:r>
      <w:hyperlink r:id="rId6">
        <w:r w:rsidRPr="3049160C">
          <w:rPr>
            <w:rStyle w:val="Hyperlink"/>
            <w:rFonts w:ascii="Calibri" w:eastAsia="Calibri" w:hAnsi="Calibri" w:cs="Calibri"/>
          </w:rPr>
          <w:t>Executive Order</w:t>
        </w:r>
      </w:hyperlink>
      <w:r w:rsidRPr="3049160C">
        <w:rPr>
          <w:rFonts w:ascii="Calibri" w:eastAsia="Calibri" w:hAnsi="Calibri" w:cs="Calibri"/>
          <w:color w:val="000000" w:themeColor="text1"/>
        </w:rPr>
        <w:t xml:space="preserve"> paraphrased below: </w:t>
      </w:r>
    </w:p>
    <w:p w14:paraId="5F2D07C5" w14:textId="72ACAE8C" w:rsidR="66B091FA" w:rsidRDefault="66B091FA" w:rsidP="3049160C">
      <w:pPr>
        <w:pStyle w:val="ListParagraph"/>
        <w:numPr>
          <w:ilvl w:val="0"/>
          <w:numId w:val="2"/>
        </w:numPr>
        <w:rPr>
          <w:rFonts w:eastAsiaTheme="minorEastAsia"/>
          <w:color w:val="000000" w:themeColor="text1"/>
        </w:rPr>
      </w:pPr>
      <w:r w:rsidRPr="3049160C">
        <w:rPr>
          <w:rFonts w:ascii="Calibri" w:eastAsia="Calibri" w:hAnsi="Calibri" w:cs="Calibri"/>
          <w:color w:val="000000" w:themeColor="text1"/>
        </w:rPr>
        <w:t>Coordinate resources and outreach in 2021 related to the pandemic</w:t>
      </w:r>
    </w:p>
    <w:p w14:paraId="1D07DD61" w14:textId="1BC90E2A" w:rsidR="66B091FA" w:rsidRDefault="66B091FA" w:rsidP="3049160C">
      <w:pPr>
        <w:pStyle w:val="ListParagraph"/>
        <w:numPr>
          <w:ilvl w:val="0"/>
          <w:numId w:val="2"/>
        </w:numPr>
        <w:rPr>
          <w:rFonts w:eastAsiaTheme="minorEastAsia"/>
          <w:color w:val="000000" w:themeColor="text1"/>
        </w:rPr>
      </w:pPr>
      <w:r w:rsidRPr="3049160C">
        <w:rPr>
          <w:rFonts w:ascii="Calibri" w:eastAsia="Calibri" w:hAnsi="Calibri" w:cs="Calibri"/>
          <w:color w:val="000000" w:themeColor="text1"/>
        </w:rPr>
        <w:t>Support and assist with vaccination, testing, access to health care, etc. for workers</w:t>
      </w:r>
    </w:p>
    <w:p w14:paraId="78FE7A59" w14:textId="1C72B6EA" w:rsidR="66B091FA" w:rsidRDefault="66B091FA" w:rsidP="3049160C">
      <w:pPr>
        <w:pStyle w:val="ListParagraph"/>
        <w:numPr>
          <w:ilvl w:val="0"/>
          <w:numId w:val="2"/>
        </w:numPr>
        <w:rPr>
          <w:rFonts w:eastAsiaTheme="minorEastAsia"/>
          <w:color w:val="000000" w:themeColor="text1"/>
        </w:rPr>
      </w:pPr>
      <w:r w:rsidRPr="3049160C">
        <w:rPr>
          <w:rFonts w:ascii="Calibri" w:eastAsia="Calibri" w:hAnsi="Calibri" w:cs="Calibri"/>
          <w:color w:val="000000" w:themeColor="text1"/>
        </w:rPr>
        <w:t xml:space="preserve">Design a proactive strategy to deploy public, </w:t>
      </w:r>
      <w:proofErr w:type="gramStart"/>
      <w:r w:rsidRPr="3049160C">
        <w:rPr>
          <w:rFonts w:ascii="Calibri" w:eastAsia="Calibri" w:hAnsi="Calibri" w:cs="Calibri"/>
          <w:color w:val="000000" w:themeColor="text1"/>
        </w:rPr>
        <w:t>private</w:t>
      </w:r>
      <w:proofErr w:type="gramEnd"/>
      <w:r w:rsidRPr="3049160C">
        <w:rPr>
          <w:rFonts w:ascii="Calibri" w:eastAsia="Calibri" w:hAnsi="Calibri" w:cs="Calibri"/>
          <w:color w:val="000000" w:themeColor="text1"/>
        </w:rPr>
        <w:t xml:space="preserve"> and nonprofit compliance resources to protect and promote health, safety, and wellbeing. Focus on housing, </w:t>
      </w:r>
      <w:proofErr w:type="gramStart"/>
      <w:r w:rsidRPr="3049160C">
        <w:rPr>
          <w:rFonts w:ascii="Calibri" w:eastAsia="Calibri" w:hAnsi="Calibri" w:cs="Calibri"/>
          <w:color w:val="000000" w:themeColor="text1"/>
        </w:rPr>
        <w:t>transportation</w:t>
      </w:r>
      <w:proofErr w:type="gramEnd"/>
      <w:r w:rsidRPr="3049160C">
        <w:rPr>
          <w:rFonts w:ascii="Calibri" w:eastAsia="Calibri" w:hAnsi="Calibri" w:cs="Calibri"/>
          <w:color w:val="000000" w:themeColor="text1"/>
        </w:rPr>
        <w:t xml:space="preserve"> and workplaces.</w:t>
      </w:r>
    </w:p>
    <w:p w14:paraId="218A4AE2" w14:textId="1993473D" w:rsidR="66B091FA" w:rsidRDefault="66B091FA" w:rsidP="3049160C">
      <w:pPr>
        <w:pStyle w:val="ListParagraph"/>
        <w:numPr>
          <w:ilvl w:val="0"/>
          <w:numId w:val="2"/>
        </w:numPr>
        <w:rPr>
          <w:rFonts w:eastAsiaTheme="minorEastAsia"/>
          <w:color w:val="000000" w:themeColor="text1"/>
        </w:rPr>
      </w:pPr>
      <w:r w:rsidRPr="3049160C">
        <w:rPr>
          <w:rFonts w:ascii="Calibri" w:eastAsia="Calibri" w:hAnsi="Calibri" w:cs="Calibri"/>
          <w:color w:val="000000" w:themeColor="text1"/>
        </w:rPr>
        <w:lastRenderedPageBreak/>
        <w:t>Develop a communications system between agencies, employers, workers, their families and communities, community organizations, advocacy groups, etc.</w:t>
      </w:r>
    </w:p>
    <w:p w14:paraId="6E47160B" w14:textId="1538AD22" w:rsidR="66B091FA" w:rsidRDefault="66B091FA" w:rsidP="3049160C">
      <w:pPr>
        <w:pStyle w:val="ListParagraph"/>
        <w:numPr>
          <w:ilvl w:val="0"/>
          <w:numId w:val="2"/>
        </w:numPr>
        <w:rPr>
          <w:rFonts w:eastAsiaTheme="minorEastAsia"/>
          <w:color w:val="000000" w:themeColor="text1"/>
        </w:rPr>
      </w:pPr>
      <w:r w:rsidRPr="3049160C">
        <w:rPr>
          <w:rFonts w:ascii="Calibri" w:eastAsia="Calibri" w:hAnsi="Calibri" w:cs="Calibri"/>
          <w:color w:val="000000" w:themeColor="text1"/>
        </w:rPr>
        <w:t xml:space="preserve">Provide a forum for all these groups to engage, collect and analyze data and information, coordinate resources and </w:t>
      </w:r>
      <w:proofErr w:type="gramStart"/>
      <w:r w:rsidRPr="3049160C">
        <w:rPr>
          <w:rFonts w:ascii="Calibri" w:eastAsia="Calibri" w:hAnsi="Calibri" w:cs="Calibri"/>
          <w:color w:val="000000" w:themeColor="text1"/>
        </w:rPr>
        <w:t>plan for the future</w:t>
      </w:r>
      <w:proofErr w:type="gramEnd"/>
      <w:r w:rsidRPr="3049160C">
        <w:rPr>
          <w:rFonts w:ascii="Calibri" w:eastAsia="Calibri" w:hAnsi="Calibri" w:cs="Calibri"/>
          <w:color w:val="000000" w:themeColor="text1"/>
        </w:rPr>
        <w:t>.</w:t>
      </w:r>
    </w:p>
    <w:p w14:paraId="21D6C8E7" w14:textId="77781DBB" w:rsidR="3049160C" w:rsidRDefault="3049160C" w:rsidP="3049160C"/>
    <w:p w14:paraId="51780781" w14:textId="05127564" w:rsidR="4F0A8EBE" w:rsidRDefault="4F0A8EBE" w:rsidP="3049160C">
      <w:pPr>
        <w:rPr>
          <w:b/>
          <w:bCs/>
        </w:rPr>
      </w:pPr>
      <w:r w:rsidRPr="3049160C">
        <w:rPr>
          <w:b/>
          <w:bCs/>
        </w:rPr>
        <w:t>Committee Priorities</w:t>
      </w:r>
    </w:p>
    <w:p w14:paraId="40E3AEF7" w14:textId="6781AA70" w:rsidR="4F0A8EBE" w:rsidRDefault="4F0A8EBE" w:rsidP="3049160C">
      <w:pPr>
        <w:rPr>
          <w:rFonts w:ascii="Calibri" w:eastAsia="Calibri" w:hAnsi="Calibri" w:cs="Calibri"/>
          <w:color w:val="000000" w:themeColor="text1"/>
        </w:rPr>
      </w:pPr>
      <w:r>
        <w:t xml:space="preserve">Committee members were surveyed in May 2021 to establish priorities in alignment with the objectives in the EO. </w:t>
      </w:r>
      <w:r w:rsidRPr="3049160C">
        <w:rPr>
          <w:rFonts w:ascii="Calibri" w:eastAsia="Calibri" w:hAnsi="Calibri" w:cs="Calibri"/>
          <w:color w:val="000000" w:themeColor="text1"/>
        </w:rPr>
        <w:t xml:space="preserve">The </w:t>
      </w:r>
      <w:hyperlink r:id="rId7">
        <w:r w:rsidRPr="3049160C">
          <w:rPr>
            <w:rStyle w:val="Hyperlink"/>
            <w:rFonts w:ascii="Calibri" w:eastAsia="Calibri" w:hAnsi="Calibri" w:cs="Calibri"/>
          </w:rPr>
          <w:t>survey results are summarized here</w:t>
        </w:r>
      </w:hyperlink>
      <w:r w:rsidRPr="3049160C">
        <w:rPr>
          <w:rFonts w:ascii="Calibri" w:eastAsia="Calibri" w:hAnsi="Calibri" w:cs="Calibri"/>
          <w:color w:val="000000" w:themeColor="text1"/>
        </w:rPr>
        <w:t xml:space="preserve">, with key themes emerging around: </w:t>
      </w:r>
    </w:p>
    <w:p w14:paraId="672DD9B7" w14:textId="7F71A88A" w:rsidR="4F0A8EBE" w:rsidRDefault="4F0A8EBE" w:rsidP="3049160C">
      <w:pPr>
        <w:pStyle w:val="ListParagraph"/>
        <w:numPr>
          <w:ilvl w:val="0"/>
          <w:numId w:val="1"/>
        </w:numPr>
        <w:rPr>
          <w:rFonts w:eastAsiaTheme="minorEastAsia"/>
          <w:color w:val="000000" w:themeColor="text1"/>
        </w:rPr>
      </w:pPr>
      <w:r w:rsidRPr="3049160C">
        <w:rPr>
          <w:rFonts w:ascii="Calibri" w:eastAsia="Calibri" w:hAnsi="Calibri" w:cs="Calibri"/>
          <w:color w:val="000000" w:themeColor="text1"/>
        </w:rPr>
        <w:t>Data</w:t>
      </w:r>
    </w:p>
    <w:p w14:paraId="4399683F" w14:textId="689B74BE"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Defining agricultural and seasonal worker types</w:t>
      </w:r>
    </w:p>
    <w:p w14:paraId="6F054701" w14:textId="76FFB776"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 xml:space="preserve">Better understanding of who and how many workers </w:t>
      </w:r>
    </w:p>
    <w:p w14:paraId="3D5AFEFC" w14:textId="715EFC4E"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Shared data and information among agencies and organizations</w:t>
      </w:r>
    </w:p>
    <w:p w14:paraId="4AAEB291" w14:textId="225017A8" w:rsidR="4F0A8EBE" w:rsidRDefault="4F0A8EBE" w:rsidP="3049160C">
      <w:pPr>
        <w:pStyle w:val="ListParagraph"/>
        <w:numPr>
          <w:ilvl w:val="0"/>
          <w:numId w:val="1"/>
        </w:numPr>
        <w:rPr>
          <w:rFonts w:eastAsiaTheme="minorEastAsia"/>
          <w:color w:val="000000" w:themeColor="text1"/>
        </w:rPr>
      </w:pPr>
      <w:r w:rsidRPr="3049160C">
        <w:rPr>
          <w:rFonts w:ascii="Calibri" w:eastAsia="Calibri" w:hAnsi="Calibri" w:cs="Calibri"/>
          <w:color w:val="000000" w:themeColor="text1"/>
        </w:rPr>
        <w:t>Housing</w:t>
      </w:r>
    </w:p>
    <w:p w14:paraId="264A6CFD" w14:textId="57E5FD9F"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 xml:space="preserve">Health and safety concerns </w:t>
      </w:r>
    </w:p>
    <w:p w14:paraId="749F2C5D" w14:textId="730242B5"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Overcrowding and the pandemic</w:t>
      </w:r>
    </w:p>
    <w:p w14:paraId="13E2C594" w14:textId="2BBD3855"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 xml:space="preserve">Jurisdiction and enforcement </w:t>
      </w:r>
      <w:proofErr w:type="gramStart"/>
      <w:r w:rsidRPr="3049160C">
        <w:rPr>
          <w:rFonts w:ascii="Calibri" w:eastAsia="Calibri" w:hAnsi="Calibri" w:cs="Calibri"/>
          <w:color w:val="000000" w:themeColor="text1"/>
        </w:rPr>
        <w:t>depends</w:t>
      </w:r>
      <w:proofErr w:type="gramEnd"/>
      <w:r w:rsidRPr="3049160C">
        <w:rPr>
          <w:rFonts w:ascii="Calibri" w:eastAsia="Calibri" w:hAnsi="Calibri" w:cs="Calibri"/>
          <w:color w:val="000000" w:themeColor="text1"/>
        </w:rPr>
        <w:t xml:space="preserve"> on type of housing</w:t>
      </w:r>
    </w:p>
    <w:p w14:paraId="6EC09A1F" w14:textId="641682B9"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 xml:space="preserve">Migrant Labor Camps and employer provided housing </w:t>
      </w:r>
    </w:p>
    <w:p w14:paraId="1D190787" w14:textId="350367B8" w:rsidR="4F0A8EBE" w:rsidRDefault="4F0A8EBE" w:rsidP="3049160C">
      <w:pPr>
        <w:pStyle w:val="ListParagraph"/>
        <w:numPr>
          <w:ilvl w:val="0"/>
          <w:numId w:val="1"/>
        </w:numPr>
        <w:rPr>
          <w:rFonts w:eastAsiaTheme="minorEastAsia"/>
          <w:color w:val="000000" w:themeColor="text1"/>
        </w:rPr>
      </w:pPr>
      <w:r w:rsidRPr="3049160C">
        <w:rPr>
          <w:rFonts w:ascii="Calibri" w:eastAsia="Calibri" w:hAnsi="Calibri" w:cs="Calibri"/>
          <w:color w:val="000000" w:themeColor="text1"/>
        </w:rPr>
        <w:t>Agency coordination and capacity</w:t>
      </w:r>
    </w:p>
    <w:p w14:paraId="2445F138" w14:textId="49CF649B"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Identifying gaps in enforcement and jurisdiction</w:t>
      </w:r>
    </w:p>
    <w:p w14:paraId="721ACD65" w14:textId="00312CDD"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Capacity of current staffing levels</w:t>
      </w:r>
    </w:p>
    <w:p w14:paraId="08A9B7EA" w14:textId="4D6F0BCB" w:rsidR="4F0A8EBE" w:rsidRDefault="4F0A8EBE" w:rsidP="3049160C">
      <w:pPr>
        <w:pStyle w:val="ListParagraph"/>
        <w:numPr>
          <w:ilvl w:val="0"/>
          <w:numId w:val="1"/>
        </w:numPr>
        <w:rPr>
          <w:rFonts w:eastAsiaTheme="minorEastAsia"/>
          <w:color w:val="000000" w:themeColor="text1"/>
        </w:rPr>
      </w:pPr>
      <w:r w:rsidRPr="3049160C">
        <w:rPr>
          <w:rFonts w:ascii="Calibri" w:eastAsia="Calibri" w:hAnsi="Calibri" w:cs="Calibri"/>
          <w:color w:val="000000" w:themeColor="text1"/>
        </w:rPr>
        <w:t>Outreach and communications</w:t>
      </w:r>
    </w:p>
    <w:p w14:paraId="636D1ACC" w14:textId="1989097A"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Difficulty connecting workers to support</w:t>
      </w:r>
    </w:p>
    <w:p w14:paraId="57067C14" w14:textId="6B976440"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Lack of translated materials, relying on “scholarly” written English</w:t>
      </w:r>
    </w:p>
    <w:p w14:paraId="4C6BDF5D" w14:textId="056F6423" w:rsidR="4F0A8EBE" w:rsidRDefault="4F0A8EBE" w:rsidP="3049160C">
      <w:pPr>
        <w:pStyle w:val="ListParagraph"/>
        <w:numPr>
          <w:ilvl w:val="1"/>
          <w:numId w:val="1"/>
        </w:numPr>
        <w:rPr>
          <w:rFonts w:eastAsiaTheme="minorEastAsia"/>
          <w:color w:val="000000" w:themeColor="text1"/>
        </w:rPr>
      </w:pPr>
      <w:r w:rsidRPr="3049160C">
        <w:rPr>
          <w:rFonts w:ascii="Calibri" w:eastAsia="Calibri" w:hAnsi="Calibri" w:cs="Calibri"/>
          <w:color w:val="000000" w:themeColor="text1"/>
        </w:rPr>
        <w:t>Mistrust and unease</w:t>
      </w:r>
    </w:p>
    <w:p w14:paraId="07000A34" w14:textId="0E9A432F" w:rsidR="3049160C" w:rsidRDefault="3049160C" w:rsidP="3049160C"/>
    <w:p w14:paraId="24CCF5F1" w14:textId="7F4FCEDC" w:rsidR="70B2474F" w:rsidRDefault="70B2474F" w:rsidP="3049160C">
      <w:pPr>
        <w:rPr>
          <w:b/>
          <w:bCs/>
        </w:rPr>
      </w:pPr>
      <w:r w:rsidRPr="3049160C">
        <w:rPr>
          <w:b/>
          <w:bCs/>
        </w:rPr>
        <w:t>Next Steps</w:t>
      </w:r>
    </w:p>
    <w:p w14:paraId="1A66DD82" w14:textId="7B946FDB" w:rsidR="7C8548ED" w:rsidRDefault="7C8548ED" w:rsidP="3049160C">
      <w:r>
        <w:t>The Committee will continue with large group meetings on the four priority areas, l</w:t>
      </w:r>
      <w:r w:rsidR="138970C5">
        <w:t>earning from each other about programs/services/gaps/opportunities</w:t>
      </w:r>
      <w:r w:rsidR="3B2A2E1F">
        <w:t xml:space="preserve"> and when needed r</w:t>
      </w:r>
      <w:r w:rsidR="138970C5">
        <w:t xml:space="preserve">equesting experts </w:t>
      </w:r>
      <w:proofErr w:type="gramStart"/>
      <w:r w:rsidR="138970C5">
        <w:t>and</w:t>
      </w:r>
      <w:r w:rsidR="24E8955E">
        <w:t xml:space="preserve"> </w:t>
      </w:r>
      <w:r w:rsidR="138970C5">
        <w:t xml:space="preserve"> organizations</w:t>
      </w:r>
      <w:proofErr w:type="gramEnd"/>
      <w:r w:rsidR="138970C5">
        <w:t xml:space="preserve"> to share ideas and resources</w:t>
      </w:r>
      <w:r w:rsidR="3DD22AA2">
        <w:t xml:space="preserve">. As the COVID-19 pandemic </w:t>
      </w:r>
      <w:r w:rsidR="3E565CC4">
        <w:t xml:space="preserve">evolves, </w:t>
      </w:r>
      <w:r w:rsidR="3DD22AA2">
        <w:t xml:space="preserve">the Committee </w:t>
      </w:r>
      <w:r w:rsidR="10DBA295">
        <w:t>will</w:t>
      </w:r>
      <w:r w:rsidR="598DD3F6">
        <w:t xml:space="preserve"> continue to provide input and recommendations for vaccines while shifting</w:t>
      </w:r>
      <w:r w:rsidR="10DBA295">
        <w:t xml:space="preserve"> focus </w:t>
      </w:r>
      <w:r w:rsidR="08FDFE35">
        <w:t>to</w:t>
      </w:r>
      <w:r w:rsidR="10DBA295">
        <w:t xml:space="preserve"> long-term and structural issues. </w:t>
      </w:r>
      <w:r w:rsidR="6D77DF90">
        <w:t xml:space="preserve">A cross-agency group of staff from MDA, MDH, and DEED will continue staffing the committee and support the </w:t>
      </w:r>
      <w:r w:rsidR="138970C5">
        <w:t>develop</w:t>
      </w:r>
      <w:r w:rsidR="61B3170C">
        <w:t>ment of</w:t>
      </w:r>
      <w:r w:rsidR="138970C5">
        <w:t xml:space="preserve"> policy proposals and recommendations for December 2021</w:t>
      </w:r>
    </w:p>
    <w:p w14:paraId="35B82752" w14:textId="5E27F0CE" w:rsidR="3049160C" w:rsidRDefault="3049160C" w:rsidP="3049160C"/>
    <w:sectPr w:rsidR="3049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501"/>
    <w:multiLevelType w:val="hybridMultilevel"/>
    <w:tmpl w:val="E6001EBA"/>
    <w:lvl w:ilvl="0" w:tplc="06C64EC2">
      <w:start w:val="1"/>
      <w:numFmt w:val="lowerLetter"/>
      <w:lvlText w:val="%1."/>
      <w:lvlJc w:val="left"/>
      <w:pPr>
        <w:ind w:left="720" w:hanging="360"/>
      </w:pPr>
    </w:lvl>
    <w:lvl w:ilvl="1" w:tplc="F012A97E">
      <w:start w:val="1"/>
      <w:numFmt w:val="lowerLetter"/>
      <w:lvlText w:val="%2."/>
      <w:lvlJc w:val="left"/>
      <w:pPr>
        <w:ind w:left="1440" w:hanging="360"/>
      </w:pPr>
    </w:lvl>
    <w:lvl w:ilvl="2" w:tplc="B630FA18">
      <w:start w:val="1"/>
      <w:numFmt w:val="lowerRoman"/>
      <w:lvlText w:val="%3."/>
      <w:lvlJc w:val="right"/>
      <w:pPr>
        <w:ind w:left="2160" w:hanging="180"/>
      </w:pPr>
    </w:lvl>
    <w:lvl w:ilvl="3" w:tplc="F4609BA6">
      <w:start w:val="1"/>
      <w:numFmt w:val="decimal"/>
      <w:lvlText w:val="%4."/>
      <w:lvlJc w:val="left"/>
      <w:pPr>
        <w:ind w:left="2880" w:hanging="360"/>
      </w:pPr>
    </w:lvl>
    <w:lvl w:ilvl="4" w:tplc="9C249578">
      <w:start w:val="1"/>
      <w:numFmt w:val="lowerLetter"/>
      <w:lvlText w:val="%5."/>
      <w:lvlJc w:val="left"/>
      <w:pPr>
        <w:ind w:left="3600" w:hanging="360"/>
      </w:pPr>
    </w:lvl>
    <w:lvl w:ilvl="5" w:tplc="B4C472B6">
      <w:start w:val="1"/>
      <w:numFmt w:val="lowerRoman"/>
      <w:lvlText w:val="%6."/>
      <w:lvlJc w:val="right"/>
      <w:pPr>
        <w:ind w:left="4320" w:hanging="180"/>
      </w:pPr>
    </w:lvl>
    <w:lvl w:ilvl="6" w:tplc="300E1450">
      <w:start w:val="1"/>
      <w:numFmt w:val="decimal"/>
      <w:lvlText w:val="%7."/>
      <w:lvlJc w:val="left"/>
      <w:pPr>
        <w:ind w:left="5040" w:hanging="360"/>
      </w:pPr>
    </w:lvl>
    <w:lvl w:ilvl="7" w:tplc="A2982916">
      <w:start w:val="1"/>
      <w:numFmt w:val="lowerLetter"/>
      <w:lvlText w:val="%8."/>
      <w:lvlJc w:val="left"/>
      <w:pPr>
        <w:ind w:left="5760" w:hanging="360"/>
      </w:pPr>
    </w:lvl>
    <w:lvl w:ilvl="8" w:tplc="B128E5B8">
      <w:start w:val="1"/>
      <w:numFmt w:val="lowerRoman"/>
      <w:lvlText w:val="%9."/>
      <w:lvlJc w:val="right"/>
      <w:pPr>
        <w:ind w:left="6480" w:hanging="180"/>
      </w:pPr>
    </w:lvl>
  </w:abstractNum>
  <w:abstractNum w:abstractNumId="1" w15:restartNumberingAfterBreak="0">
    <w:nsid w:val="7BC4669B"/>
    <w:multiLevelType w:val="hybridMultilevel"/>
    <w:tmpl w:val="2AAA0594"/>
    <w:lvl w:ilvl="0" w:tplc="82706556">
      <w:start w:val="1"/>
      <w:numFmt w:val="bullet"/>
      <w:lvlText w:val=""/>
      <w:lvlJc w:val="left"/>
      <w:pPr>
        <w:ind w:left="720" w:hanging="360"/>
      </w:pPr>
      <w:rPr>
        <w:rFonts w:ascii="Symbol" w:hAnsi="Symbol" w:hint="default"/>
      </w:rPr>
    </w:lvl>
    <w:lvl w:ilvl="1" w:tplc="ED1CDB0C">
      <w:start w:val="1"/>
      <w:numFmt w:val="bullet"/>
      <w:lvlText w:val="o"/>
      <w:lvlJc w:val="left"/>
      <w:pPr>
        <w:ind w:left="1440" w:hanging="360"/>
      </w:pPr>
      <w:rPr>
        <w:rFonts w:ascii="Courier New" w:hAnsi="Courier New" w:hint="default"/>
      </w:rPr>
    </w:lvl>
    <w:lvl w:ilvl="2" w:tplc="078A85D8">
      <w:start w:val="1"/>
      <w:numFmt w:val="bullet"/>
      <w:lvlText w:val=""/>
      <w:lvlJc w:val="left"/>
      <w:pPr>
        <w:ind w:left="2160" w:hanging="360"/>
      </w:pPr>
      <w:rPr>
        <w:rFonts w:ascii="Wingdings" w:hAnsi="Wingdings" w:hint="default"/>
      </w:rPr>
    </w:lvl>
    <w:lvl w:ilvl="3" w:tplc="184EAD18">
      <w:start w:val="1"/>
      <w:numFmt w:val="bullet"/>
      <w:lvlText w:val=""/>
      <w:lvlJc w:val="left"/>
      <w:pPr>
        <w:ind w:left="2880" w:hanging="360"/>
      </w:pPr>
      <w:rPr>
        <w:rFonts w:ascii="Symbol" w:hAnsi="Symbol" w:hint="default"/>
      </w:rPr>
    </w:lvl>
    <w:lvl w:ilvl="4" w:tplc="F7F29C0E">
      <w:start w:val="1"/>
      <w:numFmt w:val="bullet"/>
      <w:lvlText w:val="o"/>
      <w:lvlJc w:val="left"/>
      <w:pPr>
        <w:ind w:left="3600" w:hanging="360"/>
      </w:pPr>
      <w:rPr>
        <w:rFonts w:ascii="Courier New" w:hAnsi="Courier New" w:hint="default"/>
      </w:rPr>
    </w:lvl>
    <w:lvl w:ilvl="5" w:tplc="2A22C2AE">
      <w:start w:val="1"/>
      <w:numFmt w:val="bullet"/>
      <w:lvlText w:val=""/>
      <w:lvlJc w:val="left"/>
      <w:pPr>
        <w:ind w:left="4320" w:hanging="360"/>
      </w:pPr>
      <w:rPr>
        <w:rFonts w:ascii="Wingdings" w:hAnsi="Wingdings" w:hint="default"/>
      </w:rPr>
    </w:lvl>
    <w:lvl w:ilvl="6" w:tplc="47CE0CB2">
      <w:start w:val="1"/>
      <w:numFmt w:val="bullet"/>
      <w:lvlText w:val=""/>
      <w:lvlJc w:val="left"/>
      <w:pPr>
        <w:ind w:left="5040" w:hanging="360"/>
      </w:pPr>
      <w:rPr>
        <w:rFonts w:ascii="Symbol" w:hAnsi="Symbol" w:hint="default"/>
      </w:rPr>
    </w:lvl>
    <w:lvl w:ilvl="7" w:tplc="87C04980">
      <w:start w:val="1"/>
      <w:numFmt w:val="bullet"/>
      <w:lvlText w:val="o"/>
      <w:lvlJc w:val="left"/>
      <w:pPr>
        <w:ind w:left="5760" w:hanging="360"/>
      </w:pPr>
      <w:rPr>
        <w:rFonts w:ascii="Courier New" w:hAnsi="Courier New" w:hint="default"/>
      </w:rPr>
    </w:lvl>
    <w:lvl w:ilvl="8" w:tplc="3F286BC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9F212C"/>
    <w:rsid w:val="003F697D"/>
    <w:rsid w:val="00F2801B"/>
    <w:rsid w:val="015306E4"/>
    <w:rsid w:val="019DEB06"/>
    <w:rsid w:val="03B7FA96"/>
    <w:rsid w:val="04D22E4B"/>
    <w:rsid w:val="06B1BABD"/>
    <w:rsid w:val="08FDFE35"/>
    <w:rsid w:val="09A59F6E"/>
    <w:rsid w:val="09B98321"/>
    <w:rsid w:val="0B416FCF"/>
    <w:rsid w:val="0CDD4030"/>
    <w:rsid w:val="0E80FE17"/>
    <w:rsid w:val="0F6CD384"/>
    <w:rsid w:val="0F9292BB"/>
    <w:rsid w:val="0FD547D3"/>
    <w:rsid w:val="0FEFB085"/>
    <w:rsid w:val="10DBA295"/>
    <w:rsid w:val="1114F221"/>
    <w:rsid w:val="138970C5"/>
    <w:rsid w:val="140DA2E7"/>
    <w:rsid w:val="14D7FBA2"/>
    <w:rsid w:val="16CC3FF1"/>
    <w:rsid w:val="18F55E46"/>
    <w:rsid w:val="19BBC338"/>
    <w:rsid w:val="1C9F212C"/>
    <w:rsid w:val="1E1E15E2"/>
    <w:rsid w:val="219E0DA9"/>
    <w:rsid w:val="2309E402"/>
    <w:rsid w:val="2352CFAE"/>
    <w:rsid w:val="24452D9A"/>
    <w:rsid w:val="24E8955E"/>
    <w:rsid w:val="25A0133B"/>
    <w:rsid w:val="28F0961D"/>
    <w:rsid w:val="2AB46F1E"/>
    <w:rsid w:val="2D5E538C"/>
    <w:rsid w:val="3049160C"/>
    <w:rsid w:val="3123B0A2"/>
    <w:rsid w:val="32D8A960"/>
    <w:rsid w:val="3327F552"/>
    <w:rsid w:val="339E7C4F"/>
    <w:rsid w:val="345B5164"/>
    <w:rsid w:val="35A4BF49"/>
    <w:rsid w:val="37EAC21B"/>
    <w:rsid w:val="3AE3BB45"/>
    <w:rsid w:val="3B2A2E1F"/>
    <w:rsid w:val="3C999FCE"/>
    <w:rsid w:val="3DD22AA2"/>
    <w:rsid w:val="3E392188"/>
    <w:rsid w:val="3E565CC4"/>
    <w:rsid w:val="4139D46C"/>
    <w:rsid w:val="42D5A4CD"/>
    <w:rsid w:val="465C9181"/>
    <w:rsid w:val="4A38A944"/>
    <w:rsid w:val="4DBF95F8"/>
    <w:rsid w:val="4E6F90EC"/>
    <w:rsid w:val="4F0A8EBE"/>
    <w:rsid w:val="50F70231"/>
    <w:rsid w:val="51A731AE"/>
    <w:rsid w:val="53E9E2B0"/>
    <w:rsid w:val="58275ABF"/>
    <w:rsid w:val="5899D450"/>
    <w:rsid w:val="5912BA28"/>
    <w:rsid w:val="598DD3F6"/>
    <w:rsid w:val="5ADD905C"/>
    <w:rsid w:val="5CB85DE4"/>
    <w:rsid w:val="5DBC9165"/>
    <w:rsid w:val="61B3170C"/>
    <w:rsid w:val="62F92877"/>
    <w:rsid w:val="63E4747D"/>
    <w:rsid w:val="66B091FA"/>
    <w:rsid w:val="6773E534"/>
    <w:rsid w:val="6895FCB1"/>
    <w:rsid w:val="699027DB"/>
    <w:rsid w:val="6A52B9A7"/>
    <w:rsid w:val="6D77DF90"/>
    <w:rsid w:val="70B2474F"/>
    <w:rsid w:val="70F91B1A"/>
    <w:rsid w:val="718469BE"/>
    <w:rsid w:val="725EC7E6"/>
    <w:rsid w:val="74BC0A80"/>
    <w:rsid w:val="7720FE32"/>
    <w:rsid w:val="78EBCEEB"/>
    <w:rsid w:val="7A589EF4"/>
    <w:rsid w:val="7A9C66F3"/>
    <w:rsid w:val="7BF46F55"/>
    <w:rsid w:val="7C8548ED"/>
    <w:rsid w:val="7D2F90B4"/>
    <w:rsid w:val="7D7EC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212C"/>
  <w15:chartTrackingRefBased/>
  <w15:docId w15:val="{D5DB1DB1-C51A-4A0A-B848-ACA763FA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gov/deed/assets/summary-survey-results-themes_tcm1045-4832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governor/assets/EO%2021-14%20Final_tcm1055-472838.pdf" TargetMode="External"/><Relationship Id="rId5" Type="http://schemas.openxmlformats.org/officeDocument/2006/relationships/hyperlink" Target="https://mn.gov/deed/programs-services/aww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4</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Maureen (DEED)</dc:creator>
  <cp:keywords/>
  <dc:description/>
  <cp:lastModifiedBy>Zastoupil, Mike (MDH)</cp:lastModifiedBy>
  <cp:revision>2</cp:revision>
  <dcterms:created xsi:type="dcterms:W3CDTF">2021-07-15T13:09:00Z</dcterms:created>
  <dcterms:modified xsi:type="dcterms:W3CDTF">2021-07-15T13:09:00Z</dcterms:modified>
</cp:coreProperties>
</file>