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9779" w14:textId="23359775" w:rsidR="00E04F5C" w:rsidRDefault="006F00EB" w:rsidP="00E04F5C">
      <w:r w:rsidRPr="006F00EB">
        <w:drawing>
          <wp:anchor distT="0" distB="0" distL="114300" distR="114300" simplePos="0" relativeHeight="251658240" behindDoc="0" locked="0" layoutInCell="1" allowOverlap="1" wp14:anchorId="5FDA6730" wp14:editId="26C9AD32">
            <wp:simplePos x="0" y="0"/>
            <wp:positionH relativeFrom="margin">
              <wp:align>right</wp:align>
            </wp:positionH>
            <wp:positionV relativeFrom="paragraph">
              <wp:posOffset>15240</wp:posOffset>
            </wp:positionV>
            <wp:extent cx="3055620" cy="3315059"/>
            <wp:effectExtent l="0" t="0" r="0" b="0"/>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055620" cy="3315059"/>
                    </a:xfrm>
                    <a:prstGeom prst="rect">
                      <a:avLst/>
                    </a:prstGeom>
                  </pic:spPr>
                </pic:pic>
              </a:graphicData>
            </a:graphic>
          </wp:anchor>
        </w:drawing>
      </w:r>
      <w:r w:rsidR="00E04F5C">
        <w:t>For more than 1</w:t>
      </w:r>
      <w:r w:rsidR="00655D5B">
        <w:t>0</w:t>
      </w:r>
      <w:r w:rsidR="00E04F5C">
        <w:t xml:space="preserve"> years, Blandin Foundation worked with </w:t>
      </w:r>
      <w:r w:rsidR="0054443D">
        <w:t>eight</w:t>
      </w:r>
      <w:r w:rsidR="00E04F5C">
        <w:t xml:space="preserve"> cohorts of </w:t>
      </w:r>
      <w:r w:rsidR="0054443D">
        <w:t>BBCs</w:t>
      </w:r>
      <w:r w:rsidR="00E04F5C">
        <w:t xml:space="preserve"> (64</w:t>
      </w:r>
      <w:r w:rsidR="0054443D">
        <w:t xml:space="preserve"> communities</w:t>
      </w:r>
      <w:r w:rsidR="00E04F5C">
        <w:t xml:space="preserve"> in total!) to help them thrive with better broadband. Each community worked with a Blandin Broadband Coach to create and deploy a plan based on their local need</w:t>
      </w:r>
      <w:r w:rsidR="005555E3">
        <w:t>s</w:t>
      </w:r>
      <w:r w:rsidR="00E04F5C">
        <w:t>. The community used that plan to solicit local project grant applications and they decided together which projects to fund. The cohort of communities shared and learned from each other.</w:t>
      </w:r>
    </w:p>
    <w:p w14:paraId="2903F4B2" w14:textId="77777777" w:rsidR="00E04F5C" w:rsidRDefault="00E04F5C" w:rsidP="00E04F5C"/>
    <w:p w14:paraId="17CF0E2F" w14:textId="3BDB336F" w:rsidR="00E04F5C" w:rsidRDefault="00E04F5C" w:rsidP="00E04F5C">
      <w:r>
        <w:t xml:space="preserve">Blandin invested more than $4.2 million in those local broadband projects; </w:t>
      </w:r>
      <w:r w:rsidRPr="00EC2D3E">
        <w:rPr>
          <w:highlight w:val="yellow"/>
        </w:rPr>
        <w:t xml:space="preserve">the local communities </w:t>
      </w:r>
      <w:r w:rsidR="006B29A4" w:rsidRPr="00EC2D3E">
        <w:rPr>
          <w:highlight w:val="yellow"/>
        </w:rPr>
        <w:t xml:space="preserve">required </w:t>
      </w:r>
      <w:r w:rsidRPr="00EC2D3E">
        <w:rPr>
          <w:highlight w:val="yellow"/>
        </w:rPr>
        <w:t xml:space="preserve">matched </w:t>
      </w:r>
      <w:r w:rsidR="00EC2D3E" w:rsidRPr="00EC2D3E">
        <w:rPr>
          <w:highlight w:val="yellow"/>
        </w:rPr>
        <w:t>was</w:t>
      </w:r>
      <w:r w:rsidRPr="00EC2D3E">
        <w:rPr>
          <w:highlight w:val="yellow"/>
        </w:rPr>
        <w:t xml:space="preserve"> $1.5 million</w:t>
      </w:r>
      <w:r w:rsidR="00EC2D3E" w:rsidRPr="00EC2D3E">
        <w:rPr>
          <w:highlight w:val="yellow"/>
        </w:rPr>
        <w:t xml:space="preserve"> – which they greatly exceeded</w:t>
      </w:r>
      <w:r w:rsidRPr="00EC2D3E">
        <w:rPr>
          <w:highlight w:val="yellow"/>
        </w:rPr>
        <w:t>.</w:t>
      </w:r>
      <w:r>
        <w:t xml:space="preserve"> Together they funded more than 400 projects. Examples include Wi-Fi on school buses, teaching small business owners online marketing, getting homebound seniors to use computers to access online medical portals and friends and family around the world. </w:t>
      </w:r>
    </w:p>
    <w:p w14:paraId="7D5FD96B" w14:textId="77777777" w:rsidR="00E04F5C" w:rsidRDefault="00E04F5C" w:rsidP="00E04F5C"/>
    <w:tbl>
      <w:tblPr>
        <w:tblStyle w:val="TableGrid"/>
        <w:tblW w:w="0" w:type="auto"/>
        <w:tblInd w:w="0" w:type="dxa"/>
        <w:tblLook w:val="04A0" w:firstRow="1" w:lastRow="0" w:firstColumn="1" w:lastColumn="0" w:noHBand="0" w:noVBand="1"/>
      </w:tblPr>
      <w:tblGrid>
        <w:gridCol w:w="1575"/>
        <w:gridCol w:w="5263"/>
      </w:tblGrid>
      <w:tr w:rsidR="00E04F5C" w14:paraId="5C126B8C" w14:textId="77777777" w:rsidTr="00E04F5C">
        <w:trPr>
          <w:trHeight w:val="274"/>
        </w:trPr>
        <w:tc>
          <w:tcPr>
            <w:tcW w:w="6838" w:type="dxa"/>
            <w:gridSpan w:val="2"/>
            <w:tcBorders>
              <w:top w:val="single" w:sz="4" w:space="0" w:color="auto"/>
              <w:left w:val="single" w:sz="4" w:space="0" w:color="auto"/>
              <w:bottom w:val="single" w:sz="4" w:space="0" w:color="auto"/>
              <w:right w:val="single" w:sz="4" w:space="0" w:color="auto"/>
            </w:tcBorders>
            <w:hideMark/>
          </w:tcPr>
          <w:p w14:paraId="6124CE7D" w14:textId="77777777" w:rsidR="00E04F5C" w:rsidRDefault="00E04F5C">
            <w:pPr>
              <w:jc w:val="center"/>
            </w:pPr>
            <w:r>
              <w:t>Blandin Broadband by the Numbers</w:t>
            </w:r>
          </w:p>
        </w:tc>
      </w:tr>
      <w:tr w:rsidR="00E04F5C" w14:paraId="794494A8" w14:textId="77777777" w:rsidTr="00E04F5C">
        <w:trPr>
          <w:trHeight w:val="274"/>
        </w:trPr>
        <w:tc>
          <w:tcPr>
            <w:tcW w:w="1575" w:type="dxa"/>
            <w:tcBorders>
              <w:top w:val="single" w:sz="4" w:space="0" w:color="auto"/>
              <w:left w:val="single" w:sz="4" w:space="0" w:color="auto"/>
              <w:bottom w:val="single" w:sz="4" w:space="0" w:color="auto"/>
              <w:right w:val="single" w:sz="4" w:space="0" w:color="auto"/>
            </w:tcBorders>
            <w:hideMark/>
          </w:tcPr>
          <w:p w14:paraId="49B4C767" w14:textId="77777777" w:rsidR="00E04F5C" w:rsidRDefault="00E04F5C">
            <w:r>
              <w:t>$4.2 million</w:t>
            </w:r>
          </w:p>
        </w:tc>
        <w:tc>
          <w:tcPr>
            <w:tcW w:w="5263" w:type="dxa"/>
            <w:tcBorders>
              <w:top w:val="single" w:sz="4" w:space="0" w:color="auto"/>
              <w:left w:val="single" w:sz="4" w:space="0" w:color="auto"/>
              <w:bottom w:val="single" w:sz="4" w:space="0" w:color="auto"/>
              <w:right w:val="single" w:sz="4" w:space="0" w:color="auto"/>
            </w:tcBorders>
            <w:hideMark/>
          </w:tcPr>
          <w:p w14:paraId="3752A9B0" w14:textId="77777777" w:rsidR="00E04F5C" w:rsidRDefault="00E04F5C">
            <w:r>
              <w:t>Investment in local community broadband projects</w:t>
            </w:r>
          </w:p>
        </w:tc>
      </w:tr>
      <w:tr w:rsidR="00E04F5C" w14:paraId="455961FC" w14:textId="77777777" w:rsidTr="00E04F5C">
        <w:trPr>
          <w:trHeight w:val="274"/>
        </w:trPr>
        <w:tc>
          <w:tcPr>
            <w:tcW w:w="1575" w:type="dxa"/>
            <w:tcBorders>
              <w:top w:val="single" w:sz="4" w:space="0" w:color="auto"/>
              <w:left w:val="single" w:sz="4" w:space="0" w:color="auto"/>
              <w:bottom w:val="single" w:sz="4" w:space="0" w:color="auto"/>
              <w:right w:val="single" w:sz="4" w:space="0" w:color="auto"/>
            </w:tcBorders>
            <w:hideMark/>
          </w:tcPr>
          <w:p w14:paraId="5707FB6C" w14:textId="77777777" w:rsidR="00E04F5C" w:rsidRDefault="00E04F5C">
            <w:r>
              <w:t>$1.5 million</w:t>
            </w:r>
          </w:p>
        </w:tc>
        <w:tc>
          <w:tcPr>
            <w:tcW w:w="5263" w:type="dxa"/>
            <w:tcBorders>
              <w:top w:val="single" w:sz="4" w:space="0" w:color="auto"/>
              <w:left w:val="single" w:sz="4" w:space="0" w:color="auto"/>
              <w:bottom w:val="single" w:sz="4" w:space="0" w:color="auto"/>
              <w:right w:val="single" w:sz="4" w:space="0" w:color="auto"/>
            </w:tcBorders>
            <w:hideMark/>
          </w:tcPr>
          <w:p w14:paraId="68454AF4" w14:textId="77777777" w:rsidR="00E04F5C" w:rsidRDefault="00E04F5C">
            <w:r>
              <w:t>Local match leveraged by grants</w:t>
            </w:r>
          </w:p>
        </w:tc>
      </w:tr>
      <w:tr w:rsidR="00E04F5C" w14:paraId="749ABC32" w14:textId="77777777" w:rsidTr="00E04F5C">
        <w:trPr>
          <w:trHeight w:val="265"/>
        </w:trPr>
        <w:tc>
          <w:tcPr>
            <w:tcW w:w="1575" w:type="dxa"/>
            <w:tcBorders>
              <w:top w:val="single" w:sz="4" w:space="0" w:color="auto"/>
              <w:left w:val="single" w:sz="4" w:space="0" w:color="auto"/>
              <w:bottom w:val="single" w:sz="4" w:space="0" w:color="auto"/>
              <w:right w:val="single" w:sz="4" w:space="0" w:color="auto"/>
            </w:tcBorders>
            <w:hideMark/>
          </w:tcPr>
          <w:p w14:paraId="1110D73E" w14:textId="77777777" w:rsidR="00E04F5C" w:rsidRDefault="00E04F5C">
            <w:r>
              <w:t>400+</w:t>
            </w:r>
          </w:p>
        </w:tc>
        <w:tc>
          <w:tcPr>
            <w:tcW w:w="5263" w:type="dxa"/>
            <w:tcBorders>
              <w:top w:val="single" w:sz="4" w:space="0" w:color="auto"/>
              <w:left w:val="single" w:sz="4" w:space="0" w:color="auto"/>
              <w:bottom w:val="single" w:sz="4" w:space="0" w:color="auto"/>
              <w:right w:val="single" w:sz="4" w:space="0" w:color="auto"/>
            </w:tcBorders>
            <w:hideMark/>
          </w:tcPr>
          <w:p w14:paraId="4E1E1F11" w14:textId="77777777" w:rsidR="00E04F5C" w:rsidRDefault="00E04F5C">
            <w:r>
              <w:t>Projects funded</w:t>
            </w:r>
          </w:p>
        </w:tc>
      </w:tr>
      <w:tr w:rsidR="00E04F5C" w14:paraId="3BDF9C67" w14:textId="77777777" w:rsidTr="00E04F5C">
        <w:trPr>
          <w:trHeight w:val="274"/>
        </w:trPr>
        <w:tc>
          <w:tcPr>
            <w:tcW w:w="1575" w:type="dxa"/>
            <w:tcBorders>
              <w:top w:val="single" w:sz="4" w:space="0" w:color="auto"/>
              <w:left w:val="single" w:sz="4" w:space="0" w:color="auto"/>
              <w:bottom w:val="single" w:sz="4" w:space="0" w:color="auto"/>
              <w:right w:val="single" w:sz="4" w:space="0" w:color="auto"/>
            </w:tcBorders>
            <w:hideMark/>
          </w:tcPr>
          <w:p w14:paraId="6F32AF04" w14:textId="77777777" w:rsidR="00E04F5C" w:rsidRDefault="00E04F5C">
            <w:r>
              <w:t>64</w:t>
            </w:r>
          </w:p>
        </w:tc>
        <w:tc>
          <w:tcPr>
            <w:tcW w:w="5263" w:type="dxa"/>
            <w:tcBorders>
              <w:top w:val="single" w:sz="4" w:space="0" w:color="auto"/>
              <w:left w:val="single" w:sz="4" w:space="0" w:color="auto"/>
              <w:bottom w:val="single" w:sz="4" w:space="0" w:color="auto"/>
              <w:right w:val="single" w:sz="4" w:space="0" w:color="auto"/>
            </w:tcBorders>
            <w:hideMark/>
          </w:tcPr>
          <w:p w14:paraId="0671192E" w14:textId="77777777" w:rsidR="00E04F5C" w:rsidRDefault="00E04F5C">
            <w:r>
              <w:t>Participating communities</w:t>
            </w:r>
          </w:p>
        </w:tc>
      </w:tr>
    </w:tbl>
    <w:p w14:paraId="0C7FF915" w14:textId="77777777" w:rsidR="00E04F5C" w:rsidRDefault="00E04F5C" w:rsidP="00E04F5C"/>
    <w:p w14:paraId="2483500E" w14:textId="4841F427" w:rsidR="00E04F5C" w:rsidRDefault="00E04F5C" w:rsidP="00E04F5C">
      <w:r>
        <w:t>But the impact of Blandin is more than the local financial investment. (And their invest</w:t>
      </w:r>
      <w:r w:rsidR="00DF0749">
        <w:t>ment</w:t>
      </w:r>
      <w:r>
        <w:t xml:space="preserve"> is greater than represented because there were grants made that weren’t part of the cohort process</w:t>
      </w:r>
      <w:r w:rsidR="00DF0749">
        <w:t xml:space="preserve"> as well as staff and consultant time</w:t>
      </w:r>
      <w:r w:rsidR="00B91F17">
        <w:t xml:space="preserve"> to make it happen</w:t>
      </w:r>
      <w:r>
        <w:t xml:space="preserve">.)  </w:t>
      </w:r>
      <w:r w:rsidR="00B91F17">
        <w:t>Blandin</w:t>
      </w:r>
      <w:r>
        <w:t xml:space="preserve"> created awareness and a community centered on broadband</w:t>
      </w:r>
      <w:r w:rsidR="00B91F17">
        <w:t xml:space="preserve"> that meant people were watching and engaging in the process of </w:t>
      </w:r>
      <w:r w:rsidR="00445427">
        <w:t>getting better broadband</w:t>
      </w:r>
      <w:r>
        <w:t>. In end of cohort assessments, participants consistently noted that the greatest value was the education and convening that happened within their own communities and cohorts. Blandin hosted an annual conference and maintained a daily blog deciphering the policy and technology of broadband to community leaders who found themselves needed to understand it</w:t>
      </w:r>
      <w:r w:rsidR="00445427">
        <w:t xml:space="preserve"> to expand and enhance the </w:t>
      </w:r>
      <w:r w:rsidR="006A7F6E">
        <w:t xml:space="preserve">conversation and community. </w:t>
      </w:r>
    </w:p>
    <w:p w14:paraId="2AE636F3" w14:textId="77777777" w:rsidR="00BA6F16" w:rsidRPr="00E04F5C" w:rsidRDefault="00BA6F16" w:rsidP="00E04F5C"/>
    <w:sectPr w:rsidR="00BA6F16" w:rsidRPr="00E04F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70EA" w14:textId="77777777" w:rsidR="007F3B87" w:rsidRDefault="007F3B87" w:rsidP="00E04F5C">
      <w:r>
        <w:separator/>
      </w:r>
    </w:p>
  </w:endnote>
  <w:endnote w:type="continuationSeparator" w:id="0">
    <w:p w14:paraId="6ED43F31" w14:textId="77777777" w:rsidR="007F3B87" w:rsidRDefault="007F3B87" w:rsidP="00E0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1A76" w14:textId="77777777" w:rsidR="007F3B87" w:rsidRDefault="007F3B87" w:rsidP="00E04F5C">
      <w:r>
        <w:separator/>
      </w:r>
    </w:p>
  </w:footnote>
  <w:footnote w:type="continuationSeparator" w:id="0">
    <w:p w14:paraId="226755A6" w14:textId="77777777" w:rsidR="007F3B87" w:rsidRDefault="007F3B87" w:rsidP="00E04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FD63" w14:textId="43AF177A" w:rsidR="00E04F5C" w:rsidRPr="00E04F5C" w:rsidRDefault="0054443D" w:rsidP="00E04F5C">
    <w:pPr>
      <w:pStyle w:val="Header"/>
      <w:jc w:val="center"/>
      <w:rPr>
        <w:b/>
        <w:bCs/>
      </w:rPr>
    </w:pPr>
    <w:r>
      <w:rPr>
        <w:b/>
        <w:bCs/>
      </w:rPr>
      <w:t>Blandin Broadband Communities (BBC)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5C"/>
    <w:rsid w:val="001055BE"/>
    <w:rsid w:val="00445427"/>
    <w:rsid w:val="0054443D"/>
    <w:rsid w:val="005555E3"/>
    <w:rsid w:val="00655D5B"/>
    <w:rsid w:val="006A7F6E"/>
    <w:rsid w:val="006B29A4"/>
    <w:rsid w:val="006F00EB"/>
    <w:rsid w:val="007F3B87"/>
    <w:rsid w:val="00B91F17"/>
    <w:rsid w:val="00BA6F16"/>
    <w:rsid w:val="00DF0749"/>
    <w:rsid w:val="00E04F5C"/>
    <w:rsid w:val="00EC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2719"/>
  <w15:chartTrackingRefBased/>
  <w15:docId w15:val="{E1D3336A-0BEE-4DDF-A81D-1DAB8144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F5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F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F5C"/>
    <w:pPr>
      <w:tabs>
        <w:tab w:val="center" w:pos="4680"/>
        <w:tab w:val="right" w:pos="9360"/>
      </w:tabs>
    </w:pPr>
  </w:style>
  <w:style w:type="character" w:customStyle="1" w:styleId="HeaderChar">
    <w:name w:val="Header Char"/>
    <w:basedOn w:val="DefaultParagraphFont"/>
    <w:link w:val="Header"/>
    <w:uiPriority w:val="99"/>
    <w:rsid w:val="00E04F5C"/>
  </w:style>
  <w:style w:type="paragraph" w:styleId="Footer">
    <w:name w:val="footer"/>
    <w:basedOn w:val="Normal"/>
    <w:link w:val="FooterChar"/>
    <w:uiPriority w:val="99"/>
    <w:unhideWhenUsed/>
    <w:rsid w:val="00E04F5C"/>
    <w:pPr>
      <w:tabs>
        <w:tab w:val="center" w:pos="4680"/>
        <w:tab w:val="right" w:pos="9360"/>
      </w:tabs>
    </w:pPr>
  </w:style>
  <w:style w:type="character" w:customStyle="1" w:styleId="FooterChar">
    <w:name w:val="Footer Char"/>
    <w:basedOn w:val="DefaultParagraphFont"/>
    <w:link w:val="Footer"/>
    <w:uiPriority w:val="99"/>
    <w:rsid w:val="00E0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0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557A1-4E03-4567-937D-68908432C847}"/>
</file>

<file path=customXml/itemProps2.xml><?xml version="1.0" encoding="utf-8"?>
<ds:datastoreItem xmlns:ds="http://schemas.openxmlformats.org/officeDocument/2006/customXml" ds:itemID="{F6465541-8990-4388-8CB7-3A8245DCB189}"/>
</file>

<file path=customXml/itemProps3.xml><?xml version="1.0" encoding="utf-8"?>
<ds:datastoreItem xmlns:ds="http://schemas.openxmlformats.org/officeDocument/2006/customXml" ds:itemID="{E5B5D8E8-8644-4FBC-A8E9-3CD36DB36D51}"/>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Treacy</dc:creator>
  <cp:keywords/>
  <dc:description/>
  <cp:lastModifiedBy>Mary Magnuson</cp:lastModifiedBy>
  <cp:revision>6</cp:revision>
  <dcterms:created xsi:type="dcterms:W3CDTF">2023-02-21T19:48:00Z</dcterms:created>
  <dcterms:modified xsi:type="dcterms:W3CDTF">2023-02-21T19:51:00Z</dcterms:modified>
</cp:coreProperties>
</file>