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DF826" w14:textId="77777777" w:rsidR="005979C3" w:rsidRDefault="00D52CFB" w:rsidP="00AB6F70">
      <w:bookmarkStart w:id="0" w:name="_GoBack"/>
      <w:bookmarkEnd w:id="0"/>
      <w:r>
        <w:br/>
      </w:r>
      <w:r w:rsidR="000055EB">
        <w:rPr>
          <w:noProof/>
        </w:rPr>
        <w:drawing>
          <wp:inline distT="0" distB="0" distL="0" distR="0" wp14:anchorId="5B7AB5E2" wp14:editId="0DA090EC">
            <wp:extent cx="6858000" cy="1292860"/>
            <wp:effectExtent l="0" t="0" r="0" b="2540"/>
            <wp:docPr id="3" name="Picture 3" descr="Banner with Minnesota Department of Employment and Economic Development logo  and title &quot;Survey of Minnesota Business Services Firms&quot;" titl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iness Services New Header.png"/>
                    <pic:cNvPicPr/>
                  </pic:nvPicPr>
                  <pic:blipFill>
                    <a:blip r:embed="rId8">
                      <a:extLst>
                        <a:ext uri="{28A0092B-C50C-407E-A947-70E740481C1C}">
                          <a14:useLocalDpi xmlns:a14="http://schemas.microsoft.com/office/drawing/2010/main" val="0"/>
                        </a:ext>
                      </a:extLst>
                    </a:blip>
                    <a:stretch>
                      <a:fillRect/>
                    </a:stretch>
                  </pic:blipFill>
                  <pic:spPr>
                    <a:xfrm>
                      <a:off x="0" y="0"/>
                      <a:ext cx="6858000" cy="1292860"/>
                    </a:xfrm>
                    <a:prstGeom prst="rect">
                      <a:avLst/>
                    </a:prstGeom>
                  </pic:spPr>
                </pic:pic>
              </a:graphicData>
            </a:graphic>
          </wp:inline>
        </w:drawing>
      </w:r>
    </w:p>
    <w:p w14:paraId="7165ADD5" w14:textId="77777777" w:rsidR="008B388C" w:rsidRPr="00D60273" w:rsidRDefault="00AB6F70" w:rsidP="00E55E81">
      <w:pPr>
        <w:pStyle w:val="Heading1"/>
        <w:jc w:val="center"/>
        <w:rPr>
          <w:b/>
          <w:sz w:val="28"/>
          <w:szCs w:val="28"/>
        </w:rPr>
        <w:sectPr w:rsidR="008B388C" w:rsidRPr="00D60273" w:rsidSect="0070375F">
          <w:pgSz w:w="12240" w:h="15840"/>
          <w:pgMar w:top="720" w:right="720" w:bottom="720" w:left="720" w:header="720" w:footer="720" w:gutter="0"/>
          <w:cols w:space="720"/>
          <w:docGrid w:linePitch="360"/>
        </w:sectPr>
      </w:pPr>
      <w:r w:rsidRPr="00D60273">
        <w:rPr>
          <w:b/>
          <w:sz w:val="28"/>
          <w:szCs w:val="28"/>
        </w:rPr>
        <w:t>Minnesot</w:t>
      </w:r>
      <w:r w:rsidR="004A770C" w:rsidRPr="00D60273">
        <w:rPr>
          <w:b/>
          <w:sz w:val="28"/>
          <w:szCs w:val="28"/>
        </w:rPr>
        <w:t>a Business Services Firms</w:t>
      </w:r>
      <w:r w:rsidR="00E55E81" w:rsidRPr="00D60273">
        <w:rPr>
          <w:b/>
          <w:sz w:val="28"/>
          <w:szCs w:val="28"/>
        </w:rPr>
        <w:t xml:space="preserve"> Expect Contraction Next Year </w:t>
      </w:r>
    </w:p>
    <w:p w14:paraId="64CAB119" w14:textId="77777777" w:rsidR="00C067E2" w:rsidRPr="00B42CDA" w:rsidRDefault="00E55E81" w:rsidP="00C067E2">
      <w:pPr>
        <w:spacing w:after="0" w:line="240" w:lineRule="auto"/>
      </w:pPr>
      <w:r w:rsidRPr="00B42CDA">
        <w:t xml:space="preserve">Due to the COVID-19 pandemic, </w:t>
      </w:r>
      <w:r w:rsidR="004A770C" w:rsidRPr="00B42CDA">
        <w:t xml:space="preserve">Minnesota business service firms </w:t>
      </w:r>
      <w:r w:rsidR="00BC5DD8" w:rsidRPr="00B42CDA">
        <w:t>(</w:t>
      </w:r>
      <w:r w:rsidR="004A770C" w:rsidRPr="00B42CDA">
        <w:t>such as engineers, accountants a</w:t>
      </w:r>
      <w:r w:rsidRPr="00B42CDA">
        <w:t>nd architects) expect contractio</w:t>
      </w:r>
      <w:r w:rsidR="00FF76A7">
        <w:t xml:space="preserve">n during the next four quarters, particularly </w:t>
      </w:r>
      <w:r w:rsidRPr="00B42CDA">
        <w:t>for consumer spending and corporate profits</w:t>
      </w:r>
      <w:r w:rsidR="00093843" w:rsidRPr="00B42CDA">
        <w:t xml:space="preserve">. </w:t>
      </w:r>
    </w:p>
    <w:p w14:paraId="4EF8FB80" w14:textId="3FE83200" w:rsidR="00AB6F70" w:rsidRDefault="00C067E2" w:rsidP="003F62BE">
      <w:pPr>
        <w:spacing w:after="0" w:line="240" w:lineRule="auto"/>
      </w:pPr>
      <w:r w:rsidRPr="00B42CDA">
        <w:br/>
      </w:r>
      <w:r w:rsidR="00BC5DD8" w:rsidRPr="00B42CDA">
        <w:t>These results come from a random sample of Minnesota business</w:t>
      </w:r>
      <w:r w:rsidR="006B6F5E">
        <w:t xml:space="preserve"> service firms conducted in August and September</w:t>
      </w:r>
      <w:r w:rsidR="00BC5DD8" w:rsidRPr="00B42CDA">
        <w:t xml:space="preserve"> by the Minnesota Department of Employment and Economic </w:t>
      </w:r>
      <w:r w:rsidR="009B07B0" w:rsidRPr="00B42CDA">
        <w:t>Development and the Federal Reserve Ban</w:t>
      </w:r>
      <w:r w:rsidR="006309E6" w:rsidRPr="00B42CDA">
        <w:t>k in Minne</w:t>
      </w:r>
      <w:r w:rsidR="00D53E18" w:rsidRPr="00B42CDA">
        <w:t>apolis</w:t>
      </w:r>
      <w:r w:rsidR="00CA4F8E" w:rsidRPr="00B42CDA">
        <w:t>.</w:t>
      </w:r>
      <w:r w:rsidR="00CA4F8E" w:rsidRPr="00B42CDA">
        <w:br/>
      </w:r>
      <w:r w:rsidR="003F62BE">
        <w:br/>
      </w:r>
      <w:r w:rsidRPr="00D60273">
        <w:rPr>
          <w:rStyle w:val="Heading2Char"/>
          <w:b/>
        </w:rPr>
        <w:t>Business Services Firms</w:t>
      </w:r>
      <w:r w:rsidR="008D3F64">
        <w:rPr>
          <w:rStyle w:val="Heading2Char"/>
          <w:b/>
        </w:rPr>
        <w:t xml:space="preserve">: </w:t>
      </w:r>
      <w:r w:rsidR="003368D3" w:rsidRPr="00D60273">
        <w:rPr>
          <w:rStyle w:val="Heading2Char"/>
          <w:b/>
        </w:rPr>
        <w:t>Previous Four Quarters</w:t>
      </w:r>
      <w:r w:rsidR="00855892" w:rsidRPr="003F62BE">
        <w:rPr>
          <w:rStyle w:val="Heading2Char"/>
        </w:rPr>
        <w:br/>
      </w:r>
      <w:r w:rsidR="001215A7" w:rsidRPr="00B42CDA">
        <w:t>Mi</w:t>
      </w:r>
      <w:r w:rsidRPr="00B42CDA">
        <w:t>nnesota business services firms</w:t>
      </w:r>
      <w:r w:rsidR="000715D1" w:rsidRPr="00B42CDA">
        <w:t xml:space="preserve"> described</w:t>
      </w:r>
      <w:r w:rsidR="006A387C" w:rsidRPr="00B42CDA">
        <w:t xml:space="preserve"> </w:t>
      </w:r>
      <w:r w:rsidR="00245A31" w:rsidRPr="00B42CDA">
        <w:t>unchanged</w:t>
      </w:r>
      <w:r w:rsidR="006A387C" w:rsidRPr="00B42CDA">
        <w:t xml:space="preserve"> </w:t>
      </w:r>
      <w:r w:rsidR="00AB54BD" w:rsidRPr="00B42CDA">
        <w:t xml:space="preserve">or declining </w:t>
      </w:r>
      <w:r w:rsidR="004E12F2" w:rsidRPr="00B42CDA">
        <w:t>conditions</w:t>
      </w:r>
      <w:r w:rsidR="006449F7" w:rsidRPr="0051195F">
        <w:t xml:space="preserve">. </w:t>
      </w:r>
      <w:r w:rsidR="00413D79" w:rsidRPr="0051195F">
        <w:t xml:space="preserve">Seventy-nine percent </w:t>
      </w:r>
      <w:r w:rsidR="006B6F5E">
        <w:t xml:space="preserve">of respondents </w:t>
      </w:r>
      <w:r w:rsidR="00413D79" w:rsidRPr="00B42CDA">
        <w:t xml:space="preserve">indicated no changes in selling prices and </w:t>
      </w:r>
      <w:r w:rsidR="0051195F">
        <w:t>70%</w:t>
      </w:r>
      <w:r w:rsidR="0063644F" w:rsidRPr="00B42CDA">
        <w:t xml:space="preserve"> experienced stable labor availability</w:t>
      </w:r>
      <w:r w:rsidR="0063644F">
        <w:t>. Additionally, 62</w:t>
      </w:r>
      <w:r w:rsidR="0051195F">
        <w:t>%</w:t>
      </w:r>
      <w:r w:rsidR="00245A31" w:rsidRPr="00B42CDA">
        <w:t xml:space="preserve"> reported unchanged employment level</w:t>
      </w:r>
      <w:r w:rsidR="00FD4BBE">
        <w:t>s</w:t>
      </w:r>
      <w:r w:rsidR="0063644F">
        <w:t xml:space="preserve">. </w:t>
      </w:r>
      <w:r w:rsidR="00AB54BD" w:rsidRPr="00B42CDA">
        <w:t>However, 53</w:t>
      </w:r>
      <w:r w:rsidR="0051195F">
        <w:t>%</w:t>
      </w:r>
      <w:r w:rsidR="00AB54BD" w:rsidRPr="00B42CDA">
        <w:t xml:space="preserve"> indicated </w:t>
      </w:r>
      <w:r w:rsidR="0051195F">
        <w:t xml:space="preserve">decline in sales revenue and 52% </w:t>
      </w:r>
      <w:r w:rsidR="00AB54BD" w:rsidRPr="00B42CDA">
        <w:t>reported a drop in profits</w:t>
      </w:r>
      <w:r w:rsidR="001215A7" w:rsidRPr="00B42CDA">
        <w:t>.</w:t>
      </w:r>
      <w:r w:rsidR="00810157" w:rsidRPr="00B42CDA">
        <w:t xml:space="preserve"> </w:t>
      </w:r>
      <w:r w:rsidR="00AB54BD" w:rsidRPr="00B42CDA">
        <w:t>Declining conditions</w:t>
      </w:r>
      <w:r w:rsidR="00AD5C32" w:rsidRPr="00B42CDA">
        <w:t xml:space="preserve"> were confirmed by </w:t>
      </w:r>
      <w:r w:rsidR="004E12F2" w:rsidRPr="00B42CDA">
        <w:t>diffusion indices</w:t>
      </w:r>
      <w:r w:rsidR="00BE7561" w:rsidRPr="00B42CDA">
        <w:t>,</w:t>
      </w:r>
      <w:r w:rsidR="00AB54BD" w:rsidRPr="00B42CDA">
        <w:t xml:space="preserve"> most of which were below </w:t>
      </w:r>
      <w:r w:rsidR="00AB54BD" w:rsidRPr="0051195F">
        <w:t>50</w:t>
      </w:r>
      <w:r w:rsidR="0051195F">
        <w:t>,</w:t>
      </w:r>
      <w:r w:rsidR="00AB54BD" w:rsidRPr="00B42CDA">
        <w:t xml:space="preserve"> indicating contraction</w:t>
      </w:r>
      <w:r w:rsidR="00AD5C32" w:rsidRPr="00B42CDA">
        <w:t>.</w:t>
      </w:r>
      <w:r w:rsidR="00814F86">
        <w:rPr>
          <w:noProof/>
          <w:color w:val="C00000"/>
        </w:rPr>
        <w:drawing>
          <wp:inline distT="0" distB="0" distL="0" distR="0" wp14:anchorId="63E45DD6" wp14:editId="4AF0CC1C">
            <wp:extent cx="3390900" cy="2352675"/>
            <wp:effectExtent l="0" t="0" r="0" b="0"/>
            <wp:docPr id="1" name="Chart 1" descr="Bart chart showing described unchanged or declining conditions. Sixty-two percent reported unchanged employment level and 70 percent experienced stable labor availability. Additionally, 79 percent indicated no changes in selling prices. However, 53 percent of respondents indicated decline in sales revenue and 52 percent reported a drop in profits. " title="Business Services Firms - Previous Four Quart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215A7">
        <w:t xml:space="preserve"> </w:t>
      </w:r>
    </w:p>
    <w:p w14:paraId="40D53B29" w14:textId="77777777" w:rsidR="00D21E21" w:rsidRPr="00B42CDA" w:rsidRDefault="00810157" w:rsidP="00A66699">
      <w:r>
        <w:br/>
      </w:r>
      <w:r w:rsidR="003368D3">
        <w:rPr>
          <w:rStyle w:val="Heading2Char"/>
        </w:rPr>
        <w:t>Business Services Firms</w:t>
      </w:r>
      <w:r w:rsidR="008D3F64">
        <w:rPr>
          <w:rStyle w:val="Heading2Char"/>
        </w:rPr>
        <w:t>: T</w:t>
      </w:r>
      <w:r w:rsidR="003368D3">
        <w:rPr>
          <w:rStyle w:val="Heading2Char"/>
        </w:rPr>
        <w:t>he Coming Year</w:t>
      </w:r>
      <w:r w:rsidR="003368D3">
        <w:rPr>
          <w:rStyle w:val="Heading2Char"/>
        </w:rPr>
        <w:br/>
      </w:r>
      <w:r w:rsidR="003368D3" w:rsidRPr="00B42CDA">
        <w:lastRenderedPageBreak/>
        <w:t>Minnesota business ser</w:t>
      </w:r>
      <w:r w:rsidR="006327BB" w:rsidRPr="00B42CDA">
        <w:t>vices firms expect</w:t>
      </w:r>
      <w:r w:rsidR="00C633BF" w:rsidRPr="00B42CDA">
        <w:t xml:space="preserve"> unchanged</w:t>
      </w:r>
      <w:r w:rsidR="003368D3" w:rsidRPr="00B42CDA">
        <w:t xml:space="preserve"> </w:t>
      </w:r>
      <w:r w:rsidR="006327BB" w:rsidRPr="00B42CDA">
        <w:t>or declining</w:t>
      </w:r>
      <w:r w:rsidR="00D21E21" w:rsidRPr="00B42CDA">
        <w:t xml:space="preserve"> conditions </w:t>
      </w:r>
      <w:r w:rsidR="003368D3" w:rsidRPr="00B42CDA">
        <w:t>for the coming year</w:t>
      </w:r>
      <w:r w:rsidR="00093843" w:rsidRPr="00B42CDA">
        <w:t xml:space="preserve">. </w:t>
      </w:r>
      <w:r w:rsidR="006327BB" w:rsidRPr="00B42CDA">
        <w:t>Seventy-eight</w:t>
      </w:r>
      <w:r w:rsidR="005D05C5" w:rsidRPr="00B42CDA">
        <w:t xml:space="preserve"> </w:t>
      </w:r>
      <w:r w:rsidR="005D05C5" w:rsidRPr="0051195F">
        <w:t>percent</w:t>
      </w:r>
      <w:r w:rsidR="005D05C5" w:rsidRPr="00B42CDA">
        <w:t xml:space="preserve"> an</w:t>
      </w:r>
      <w:r w:rsidR="00C633BF" w:rsidRPr="00B42CDA">
        <w:t xml:space="preserve">ticipate </w:t>
      </w:r>
      <w:r w:rsidR="000102FA" w:rsidRPr="00B42CDA">
        <w:t>unchanged</w:t>
      </w:r>
      <w:r w:rsidR="005D05C5" w:rsidRPr="00B42CDA">
        <w:t xml:space="preserve"> </w:t>
      </w:r>
      <w:r w:rsidR="00BC0C4D" w:rsidRPr="00B42CDA">
        <w:t>space occupied</w:t>
      </w:r>
      <w:r w:rsidR="000102FA" w:rsidRPr="00B42CDA">
        <w:t xml:space="preserve"> </w:t>
      </w:r>
      <w:r w:rsidR="005D05C5" w:rsidRPr="00B42CDA">
        <w:t xml:space="preserve">and </w:t>
      </w:r>
      <w:r w:rsidR="006327BB" w:rsidRPr="0051195F">
        <w:t>74</w:t>
      </w:r>
      <w:r w:rsidR="0051195F" w:rsidRPr="0051195F">
        <w:t>%</w:t>
      </w:r>
      <w:r w:rsidR="0051195F">
        <w:t xml:space="preserve"> </w:t>
      </w:r>
      <w:r w:rsidR="000102FA" w:rsidRPr="00B42CDA">
        <w:t>ex</w:t>
      </w:r>
      <w:r w:rsidR="006327BB" w:rsidRPr="00B42CDA">
        <w:t xml:space="preserve">pect constant selling prices. </w:t>
      </w:r>
      <w:r w:rsidR="006327BB" w:rsidRPr="0051195F">
        <w:t>Sixty-seven percent</w:t>
      </w:r>
      <w:r w:rsidR="006327BB" w:rsidRPr="00B42CDA">
        <w:t xml:space="preserve"> foresee unchanged labor availability. Nonetheless, nearly half of respondents expect a decline in profits while</w:t>
      </w:r>
      <w:r w:rsidR="0093302A">
        <w:t xml:space="preserve"> 43%</w:t>
      </w:r>
      <w:r w:rsidR="005C5C85">
        <w:t xml:space="preserve"> anticipate a drop</w:t>
      </w:r>
      <w:r w:rsidR="006327BB" w:rsidRPr="00B42CDA">
        <w:t xml:space="preserve"> in sales revenue.</w:t>
      </w:r>
    </w:p>
    <w:p w14:paraId="4F4B6FAE" w14:textId="49D30F74" w:rsidR="003368D3" w:rsidRPr="00B42CDA" w:rsidRDefault="006327BB" w:rsidP="00A66699">
      <w:pPr>
        <w:rPr>
          <w:rStyle w:val="Heading2Char"/>
          <w:color w:val="auto"/>
        </w:rPr>
      </w:pPr>
      <w:r w:rsidRPr="00B42CDA">
        <w:t xml:space="preserve">All diffusion indexes were below </w:t>
      </w:r>
      <w:r w:rsidRPr="0093302A">
        <w:t>50</w:t>
      </w:r>
      <w:r w:rsidR="0093302A">
        <w:t>,</w:t>
      </w:r>
      <w:r w:rsidRPr="00B42CDA">
        <w:t xml:space="preserve"> indicating contraction with profits showing </w:t>
      </w:r>
      <w:r w:rsidR="00F648C0" w:rsidRPr="00B42CDA">
        <w:t>the greatest</w:t>
      </w:r>
      <w:r w:rsidR="00866AE5" w:rsidRPr="00B42CDA">
        <w:t xml:space="preserve"> decline at 34, compared to 62 the year before.</w:t>
      </w:r>
    </w:p>
    <w:p w14:paraId="1C08539C" w14:textId="77777777" w:rsidR="00B86180" w:rsidRPr="00B42CDA" w:rsidRDefault="00A66699" w:rsidP="00E7356E">
      <w:r w:rsidRPr="00D60273">
        <w:rPr>
          <w:rStyle w:val="Heading2Char"/>
          <w:b/>
        </w:rPr>
        <w:t>Outlook on the State Economy</w:t>
      </w:r>
      <w:r w:rsidR="00E7356E" w:rsidRPr="00D60273">
        <w:rPr>
          <w:rStyle w:val="Heading2Char"/>
          <w:b/>
        </w:rPr>
        <w:br/>
      </w:r>
      <w:r w:rsidRPr="00B42CDA">
        <w:t>Mi</w:t>
      </w:r>
      <w:r w:rsidR="006A387C" w:rsidRPr="00B42CDA">
        <w:t>nnesota business services firms</w:t>
      </w:r>
      <w:r w:rsidR="000B7992" w:rsidRPr="00B42CDA">
        <w:t xml:space="preserve"> expect mostly contracting</w:t>
      </w:r>
      <w:r w:rsidR="00D12E13" w:rsidRPr="00B42CDA">
        <w:t xml:space="preserve"> </w:t>
      </w:r>
      <w:r w:rsidR="00AD5C32" w:rsidRPr="00B42CDA">
        <w:t>co</w:t>
      </w:r>
      <w:r w:rsidR="000B7992" w:rsidRPr="00B42CDA">
        <w:t xml:space="preserve">nditions. Fifty-two </w:t>
      </w:r>
      <w:r w:rsidR="000B7992" w:rsidRPr="0093302A">
        <w:t>percent e</w:t>
      </w:r>
      <w:r w:rsidR="000B7992" w:rsidRPr="00B42CDA">
        <w:t xml:space="preserve">xpect </w:t>
      </w:r>
      <w:r w:rsidR="00B42CDA">
        <w:t xml:space="preserve">a </w:t>
      </w:r>
      <w:r w:rsidR="000B7992" w:rsidRPr="00B42CDA">
        <w:t>decline in consumer spending and corporate profits. Additionally, 44</w:t>
      </w:r>
      <w:r w:rsidR="0093302A">
        <w:t>%</w:t>
      </w:r>
      <w:r w:rsidR="000B7992" w:rsidRPr="00B42CDA">
        <w:t xml:space="preserve"> anticipate a drop in employment</w:t>
      </w:r>
      <w:r w:rsidR="00F82F8E" w:rsidRPr="00B42CDA">
        <w:t xml:space="preserve">.  </w:t>
      </w:r>
    </w:p>
    <w:p w14:paraId="067C42A5" w14:textId="77777777" w:rsidR="00B86180" w:rsidRPr="00B42CDA" w:rsidRDefault="002E60AC" w:rsidP="00E7356E">
      <w:r w:rsidRPr="00B42CDA">
        <w:t>Nearly half of respondents indicated they expect unchanged inflation</w:t>
      </w:r>
      <w:r w:rsidR="0093302A">
        <w:t xml:space="preserve"> while a similar percentage (46%</w:t>
      </w:r>
      <w:r w:rsidRPr="00B42CDA">
        <w:t>) expect an increase.</w:t>
      </w:r>
    </w:p>
    <w:p w14:paraId="6815658B" w14:textId="77777777" w:rsidR="00CE28CD" w:rsidRPr="003F62BE" w:rsidRDefault="00F10ED0" w:rsidP="00814ED5">
      <w:r>
        <w:rPr>
          <w:noProof/>
          <w:color w:val="C00000"/>
        </w:rPr>
        <w:drawing>
          <wp:inline distT="0" distB="0" distL="0" distR="0" wp14:anchorId="12D32132" wp14:editId="48AD3888">
            <wp:extent cx="3063240" cy="2369820"/>
            <wp:effectExtent l="0" t="0" r="3810" b="0"/>
            <wp:docPr id="5" name="Chart 5" descr="Bart chart showing contracting conditions. Fifty-two percent expect a decline in consumer spending and corporate profits. Additionally, 44 percent anticipate a drop in employment." title="Outlook on Economic Performace for The coming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E568C7" w14:textId="77777777" w:rsidR="002E60AC" w:rsidRPr="00B42CDA" w:rsidRDefault="002E60AC" w:rsidP="002E60AC">
      <w:pPr>
        <w:rPr>
          <w:rFonts w:asciiTheme="majorHAnsi" w:eastAsiaTheme="majorEastAsia" w:hAnsiTheme="majorHAnsi" w:cstheme="majorBidi"/>
          <w:sz w:val="26"/>
          <w:szCs w:val="26"/>
        </w:rPr>
      </w:pPr>
      <w:r w:rsidRPr="00B42CDA">
        <w:t xml:space="preserve">Most diffusion indexes were lower than 50 indicating contraction with consumer spending at the lowest with 31, compared to 56 the previous year. Only mergers and acquisitions had a diffusion index of </w:t>
      </w:r>
      <w:r w:rsidRPr="0093302A">
        <w:t>55</w:t>
      </w:r>
      <w:r w:rsidR="0093302A">
        <w:t>,</w:t>
      </w:r>
      <w:r w:rsidRPr="00B42CDA">
        <w:t xml:space="preserve"> indicating expansion.  </w:t>
      </w:r>
    </w:p>
    <w:p w14:paraId="56F1679E" w14:textId="77777777" w:rsidR="00B86180" w:rsidRDefault="00B86180" w:rsidP="00814ED5">
      <w:pPr>
        <w:rPr>
          <w:rFonts w:asciiTheme="majorHAnsi" w:eastAsiaTheme="majorEastAsia" w:hAnsiTheme="majorHAnsi" w:cstheme="majorBidi"/>
          <w:color w:val="1F4D78" w:themeColor="accent1" w:themeShade="7F"/>
          <w:sz w:val="24"/>
          <w:szCs w:val="24"/>
        </w:rPr>
        <w:sectPr w:rsidR="00B86180" w:rsidSect="009B07B0">
          <w:type w:val="continuous"/>
          <w:pgSz w:w="12240" w:h="15840"/>
          <w:pgMar w:top="720" w:right="720" w:bottom="720" w:left="720" w:header="720" w:footer="720" w:gutter="0"/>
          <w:cols w:num="2" w:space="720"/>
          <w:docGrid w:linePitch="360"/>
        </w:sectPr>
      </w:pPr>
    </w:p>
    <w:p w14:paraId="062103A0" w14:textId="77777777" w:rsidR="009969EB" w:rsidRDefault="009969EB" w:rsidP="009B3DF5">
      <w:pPr>
        <w:spacing w:line="240" w:lineRule="auto"/>
        <w:rPr>
          <w:rFonts w:asciiTheme="majorHAnsi" w:eastAsiaTheme="majorEastAsia" w:hAnsiTheme="majorHAnsi" w:cstheme="majorBidi"/>
          <w:color w:val="1F4D78" w:themeColor="accent1" w:themeShade="7F"/>
          <w:sz w:val="24"/>
          <w:szCs w:val="24"/>
        </w:rPr>
        <w:sectPr w:rsidR="009969EB" w:rsidSect="009B07B0">
          <w:type w:val="continuous"/>
          <w:pgSz w:w="12240" w:h="15840"/>
          <w:pgMar w:top="720" w:right="720" w:bottom="720" w:left="720" w:header="720" w:footer="720" w:gutter="0"/>
          <w:cols w:num="2" w:space="720"/>
          <w:docGrid w:linePitch="360"/>
        </w:sectPr>
      </w:pPr>
    </w:p>
    <w:p w14:paraId="3B94C1D4" w14:textId="77777777" w:rsidR="007F61A9" w:rsidRPr="00D60273" w:rsidRDefault="00825F3C" w:rsidP="00D60273">
      <w:pPr>
        <w:pStyle w:val="Title"/>
        <w:ind w:left="180"/>
        <w:jc w:val="both"/>
        <w:rPr>
          <w:b/>
          <w:color w:val="2E74B5" w:themeColor="accent1" w:themeShade="BF"/>
          <w:sz w:val="22"/>
          <w:szCs w:val="22"/>
        </w:rPr>
      </w:pPr>
      <w:r w:rsidRPr="00D60273">
        <w:rPr>
          <w:b/>
          <w:color w:val="2E74B5" w:themeColor="accent1" w:themeShade="BF"/>
          <w:sz w:val="22"/>
          <w:szCs w:val="22"/>
        </w:rPr>
        <w:t xml:space="preserve">Table 1. </w:t>
      </w:r>
      <w:r w:rsidR="00F86309" w:rsidRPr="00D60273">
        <w:rPr>
          <w:b/>
          <w:color w:val="2E74B5" w:themeColor="accent1" w:themeShade="BF"/>
          <w:sz w:val="22"/>
          <w:szCs w:val="22"/>
        </w:rPr>
        <w:t>Minnesota 2020</w:t>
      </w:r>
      <w:r w:rsidR="009969EB" w:rsidRPr="00D60273">
        <w:rPr>
          <w:b/>
          <w:color w:val="2E74B5" w:themeColor="accent1" w:themeShade="BF"/>
          <w:sz w:val="22"/>
          <w:szCs w:val="22"/>
        </w:rPr>
        <w:t xml:space="preserve"> Business </w:t>
      </w:r>
      <w:r w:rsidR="00EC6FBE">
        <w:rPr>
          <w:b/>
          <w:color w:val="2E74B5" w:themeColor="accent1" w:themeShade="BF"/>
          <w:sz w:val="22"/>
          <w:szCs w:val="22"/>
        </w:rPr>
        <w:t xml:space="preserve">Services </w:t>
      </w:r>
      <w:r w:rsidR="003F5F27">
        <w:rPr>
          <w:b/>
          <w:color w:val="2E74B5" w:themeColor="accent1" w:themeShade="BF"/>
          <w:sz w:val="22"/>
          <w:szCs w:val="22"/>
        </w:rPr>
        <w:t xml:space="preserve">Firms </w:t>
      </w:r>
      <w:r w:rsidR="009969EB" w:rsidRPr="00D60273">
        <w:rPr>
          <w:b/>
          <w:color w:val="2E74B5" w:themeColor="accent1" w:themeShade="BF"/>
          <w:sz w:val="22"/>
          <w:szCs w:val="22"/>
        </w:rPr>
        <w:t>Condition Survey Results</w:t>
      </w:r>
      <w:r w:rsidR="009713A3" w:rsidRPr="00D60273">
        <w:rPr>
          <w:b/>
          <w:color w:val="2E74B5" w:themeColor="accent1" w:themeShade="BF"/>
          <w:sz w:val="22"/>
          <w:szCs w:val="22"/>
          <w:vertAlign w:val="superscript"/>
        </w:rPr>
        <w:t>1</w:t>
      </w:r>
    </w:p>
    <w:tbl>
      <w:tblPr>
        <w:tblStyle w:val="PlainTable5"/>
        <w:tblW w:w="10525"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Business Comparison Indicators: 2020"/>
        <w:tblDescription w:val="Minnesota business services firms described unchanged or declining conditions. Seventy-nine percent of respondents indicated no changes in selling prices and 70 percent experienced stable labor availability. Additionally, 62 percent reported unchanged employment level. However, 53 percent indicated decline in sales revenue and 52 percent reported a drop in profits. Declining conditions were confirmed by diffusion indices, most of which were below 50 indicating contraction."/>
      </w:tblPr>
      <w:tblGrid>
        <w:gridCol w:w="3897"/>
        <w:gridCol w:w="1338"/>
        <w:gridCol w:w="1338"/>
        <w:gridCol w:w="1338"/>
        <w:gridCol w:w="1338"/>
        <w:gridCol w:w="1276"/>
      </w:tblGrid>
      <w:tr w:rsidR="001D0139" w:rsidRPr="00623BC4" w14:paraId="46FE4E2E"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top w:val="single" w:sz="4" w:space="0" w:color="auto"/>
              <w:bottom w:val="single" w:sz="4" w:space="0" w:color="auto"/>
              <w:right w:val="nil"/>
            </w:tcBorders>
            <w:shd w:val="clear" w:color="auto" w:fill="BDD6EE" w:themeFill="accent1" w:themeFillTint="66"/>
            <w:noWrap/>
            <w:hideMark/>
          </w:tcPr>
          <w:p w14:paraId="54DCBE67" w14:textId="77777777" w:rsidR="00A97C01" w:rsidRPr="000A28AD" w:rsidRDefault="00722892" w:rsidP="00541E4C">
            <w:pP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lastRenderedPageBreak/>
              <w:t>Business i</w:t>
            </w:r>
            <w:r w:rsidR="0043194C">
              <w:rPr>
                <w:rFonts w:asciiTheme="minorHAnsi" w:eastAsia="Times New Roman" w:hAnsiTheme="minorHAnsi" w:cs="Times New Roman"/>
                <w:b/>
                <w:bCs/>
                <w:i w:val="0"/>
                <w:color w:val="000000"/>
                <w:sz w:val="18"/>
                <w:szCs w:val="18"/>
              </w:rPr>
              <w:t>ndicators in the last 4 quarters</w:t>
            </w:r>
            <w:r w:rsidR="007B16BB" w:rsidRPr="000A28AD">
              <w:rPr>
                <w:rFonts w:asciiTheme="minorHAnsi" w:eastAsia="Times New Roman" w:hAnsiTheme="minorHAnsi" w:cs="Times New Roman"/>
                <w:b/>
                <w:bCs/>
                <w:i w:val="0"/>
                <w:color w:val="000000"/>
                <w:sz w:val="18"/>
                <w:szCs w:val="18"/>
              </w:rPr>
              <w:t>:</w:t>
            </w:r>
          </w:p>
        </w:tc>
        <w:tc>
          <w:tcPr>
            <w:tcW w:w="1338" w:type="dxa"/>
            <w:tcBorders>
              <w:top w:val="single" w:sz="4" w:space="0" w:color="auto"/>
              <w:left w:val="nil"/>
              <w:bottom w:val="single" w:sz="4" w:space="0" w:color="auto"/>
            </w:tcBorders>
            <w:shd w:val="clear" w:color="auto" w:fill="BDD6EE" w:themeFill="accent1" w:themeFillTint="66"/>
            <w:noWrap/>
            <w:hideMark/>
          </w:tcPr>
          <w:p w14:paraId="33814DD6" w14:textId="77777777" w:rsidR="00A97C01" w:rsidRPr="000A28AD" w:rsidRDefault="00A97C01" w:rsidP="00541E4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Up</w:t>
            </w:r>
          </w:p>
        </w:tc>
        <w:tc>
          <w:tcPr>
            <w:tcW w:w="1338" w:type="dxa"/>
            <w:tcBorders>
              <w:top w:val="single" w:sz="4" w:space="0" w:color="auto"/>
              <w:bottom w:val="single" w:sz="4" w:space="0" w:color="auto"/>
            </w:tcBorders>
            <w:shd w:val="clear" w:color="auto" w:fill="BDD6EE" w:themeFill="accent1" w:themeFillTint="66"/>
            <w:noWrap/>
            <w:hideMark/>
          </w:tcPr>
          <w:p w14:paraId="0293CB1C" w14:textId="77777777" w:rsidR="00A97C01" w:rsidRPr="000A28AD" w:rsidRDefault="00A97C01" w:rsidP="00541E4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Same</w:t>
            </w:r>
          </w:p>
        </w:tc>
        <w:tc>
          <w:tcPr>
            <w:tcW w:w="1338" w:type="dxa"/>
            <w:tcBorders>
              <w:top w:val="single" w:sz="4" w:space="0" w:color="auto"/>
              <w:bottom w:val="single" w:sz="4" w:space="0" w:color="auto"/>
            </w:tcBorders>
            <w:shd w:val="clear" w:color="auto" w:fill="BDD6EE" w:themeFill="accent1" w:themeFillTint="66"/>
            <w:noWrap/>
            <w:hideMark/>
          </w:tcPr>
          <w:p w14:paraId="7AE3A5C5" w14:textId="77777777" w:rsidR="00A97C01" w:rsidRPr="000A28AD" w:rsidRDefault="00A97C01" w:rsidP="00541E4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Down</w:t>
            </w:r>
          </w:p>
        </w:tc>
        <w:tc>
          <w:tcPr>
            <w:tcW w:w="1338" w:type="dxa"/>
            <w:tcBorders>
              <w:top w:val="single" w:sz="4" w:space="0" w:color="auto"/>
              <w:bottom w:val="single" w:sz="4" w:space="0" w:color="auto"/>
            </w:tcBorders>
            <w:shd w:val="clear" w:color="auto" w:fill="BDD6EE" w:themeFill="accent1" w:themeFillTint="66"/>
            <w:noWrap/>
            <w:hideMark/>
          </w:tcPr>
          <w:p w14:paraId="0A5B640B" w14:textId="77777777" w:rsidR="00A97C01" w:rsidRPr="000A28AD" w:rsidRDefault="00A97C01" w:rsidP="00367060">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Diffusion Index</w:t>
            </w:r>
            <w:r w:rsidR="000631E3">
              <w:rPr>
                <w:rFonts w:asciiTheme="minorHAnsi" w:eastAsia="Times New Roman" w:hAnsiTheme="minorHAnsi" w:cs="Times New Roman"/>
                <w:b/>
                <w:bCs/>
                <w:i w:val="0"/>
                <w:color w:val="000000"/>
                <w:sz w:val="18"/>
                <w:szCs w:val="18"/>
              </w:rPr>
              <w:t xml:space="preserve"> 2020</w:t>
            </w:r>
            <w:r w:rsidR="008E7E58" w:rsidRPr="008D6DDD">
              <w:rPr>
                <w:rFonts w:asciiTheme="minorHAnsi" w:eastAsia="Times New Roman" w:hAnsiTheme="minorHAnsi" w:cs="Times New Roman"/>
                <w:b/>
                <w:bCs/>
                <w:i w:val="0"/>
                <w:color w:val="000000"/>
                <w:sz w:val="18"/>
                <w:szCs w:val="18"/>
                <w:vertAlign w:val="superscript"/>
              </w:rPr>
              <w:t>(</w:t>
            </w:r>
            <w:r w:rsidR="00C80C65" w:rsidRPr="000A28AD">
              <w:rPr>
                <w:rFonts w:asciiTheme="minorHAnsi" w:eastAsia="Times New Roman" w:hAnsiTheme="minorHAnsi" w:cs="Times New Roman"/>
                <w:b/>
                <w:bCs/>
                <w:i w:val="0"/>
                <w:color w:val="000000"/>
                <w:sz w:val="18"/>
                <w:szCs w:val="18"/>
                <w:vertAlign w:val="superscript"/>
              </w:rPr>
              <w:t>2)</w:t>
            </w:r>
          </w:p>
        </w:tc>
        <w:tc>
          <w:tcPr>
            <w:tcW w:w="1276" w:type="dxa"/>
            <w:tcBorders>
              <w:top w:val="single" w:sz="4" w:space="0" w:color="auto"/>
              <w:bottom w:val="single" w:sz="4" w:space="0" w:color="auto"/>
            </w:tcBorders>
            <w:shd w:val="clear" w:color="auto" w:fill="BDD6EE" w:themeFill="accent1" w:themeFillTint="66"/>
            <w:noWrap/>
            <w:hideMark/>
          </w:tcPr>
          <w:p w14:paraId="6F19AC92" w14:textId="77777777" w:rsidR="00A97C01" w:rsidRPr="000A28AD" w:rsidRDefault="0089194E" w:rsidP="00541E4C">
            <w:pPr>
              <w:jc w:val="center"/>
              <w:rPr>
                <w:rFonts w:asciiTheme="minorHAnsi" w:eastAsia="Times New Roman" w:hAnsiTheme="minorHAnsi" w:cs="Times New Roman"/>
                <w:b/>
                <w:bCs/>
                <w:i w:val="0"/>
                <w:color w:val="000000"/>
                <w:sz w:val="18"/>
                <w:szCs w:val="18"/>
              </w:rPr>
            </w:pPr>
            <w:r>
              <w:rPr>
                <w:rFonts w:asciiTheme="minorHAnsi" w:eastAsia="Times New Roman" w:hAnsiTheme="minorHAnsi" w:cs="Times New Roman"/>
                <w:b/>
                <w:bCs/>
                <w:i w:val="0"/>
                <w:color w:val="000000"/>
                <w:sz w:val="18"/>
                <w:szCs w:val="18"/>
              </w:rPr>
              <w:t>D</w:t>
            </w:r>
            <w:r w:rsidR="000631E3">
              <w:rPr>
                <w:rFonts w:asciiTheme="minorHAnsi" w:eastAsia="Times New Roman" w:hAnsiTheme="minorHAnsi" w:cs="Times New Roman"/>
                <w:b/>
                <w:bCs/>
                <w:i w:val="0"/>
                <w:color w:val="000000"/>
                <w:sz w:val="18"/>
                <w:szCs w:val="18"/>
              </w:rPr>
              <w:t>iffusion Index 2019</w:t>
            </w:r>
            <w:r>
              <w:rPr>
                <w:rFonts w:asciiTheme="minorHAnsi" w:eastAsia="Times New Roman" w:hAnsiTheme="minorHAnsi" w:cs="Times New Roman"/>
                <w:b/>
                <w:bCs/>
                <w:i w:val="0"/>
                <w:color w:val="000000"/>
                <w:sz w:val="18"/>
                <w:szCs w:val="18"/>
                <w:vertAlign w:val="superscript"/>
              </w:rPr>
              <w:t>(</w:t>
            </w:r>
            <w:r w:rsidR="00C80C65" w:rsidRPr="000A28AD">
              <w:rPr>
                <w:rFonts w:asciiTheme="minorHAnsi" w:eastAsia="Times New Roman" w:hAnsiTheme="minorHAnsi" w:cs="Times New Roman"/>
                <w:b/>
                <w:bCs/>
                <w:i w:val="0"/>
                <w:color w:val="000000"/>
                <w:sz w:val="18"/>
                <w:szCs w:val="18"/>
                <w:vertAlign w:val="superscript"/>
              </w:rPr>
              <w:t>2)</w:t>
            </w:r>
          </w:p>
        </w:tc>
      </w:tr>
      <w:tr w:rsidR="001D0139" w:rsidRPr="00C2294E" w14:paraId="3F6EB042"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top w:val="single" w:sz="4" w:space="0" w:color="auto"/>
              <w:bottom w:val="none" w:sz="0" w:space="0" w:color="auto"/>
              <w:right w:val="nil"/>
            </w:tcBorders>
            <w:noWrap/>
            <w:hideMark/>
          </w:tcPr>
          <w:p w14:paraId="250A1F57" w14:textId="77777777" w:rsidR="00A97C01" w:rsidRPr="000A28AD" w:rsidRDefault="0043194C" w:rsidP="00541E4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Sales revenue</w:t>
            </w:r>
          </w:p>
        </w:tc>
        <w:tc>
          <w:tcPr>
            <w:tcW w:w="1338" w:type="dxa"/>
            <w:tcBorders>
              <w:top w:val="single" w:sz="4" w:space="0" w:color="auto"/>
              <w:left w:val="nil"/>
              <w:bottom w:val="none" w:sz="0" w:space="0" w:color="auto"/>
            </w:tcBorders>
            <w:noWrap/>
            <w:hideMark/>
          </w:tcPr>
          <w:p w14:paraId="10612446"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21</w:t>
            </w:r>
            <w:r w:rsidR="00A97C01" w:rsidRPr="000A28AD">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14:paraId="79B958D5"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26</w:t>
            </w:r>
            <w:r w:rsidR="00A97C01" w:rsidRPr="000A28AD">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14:paraId="5691E78D"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53</w:t>
            </w:r>
            <w:r w:rsidR="00A97C01" w:rsidRPr="000A28AD">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14:paraId="366CF5F3"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34</w:t>
            </w:r>
          </w:p>
        </w:tc>
        <w:tc>
          <w:tcPr>
            <w:tcW w:w="1276" w:type="dxa"/>
            <w:tcBorders>
              <w:top w:val="single" w:sz="4" w:space="0" w:color="auto"/>
              <w:bottom w:val="none" w:sz="0" w:space="0" w:color="auto"/>
            </w:tcBorders>
            <w:noWrap/>
            <w:hideMark/>
          </w:tcPr>
          <w:p w14:paraId="0D242A12"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62</w:t>
            </w:r>
          </w:p>
        </w:tc>
      </w:tr>
      <w:tr w:rsidR="001D0139" w:rsidRPr="00C2294E" w14:paraId="1A997F47"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146CA4E7" w14:textId="77777777" w:rsidR="00A97C01" w:rsidRPr="000A28AD" w:rsidRDefault="0043194C" w:rsidP="00541E4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Profits</w:t>
            </w:r>
          </w:p>
        </w:tc>
        <w:tc>
          <w:tcPr>
            <w:tcW w:w="1338" w:type="dxa"/>
            <w:tcBorders>
              <w:left w:val="nil"/>
              <w:bottom w:val="none" w:sz="0" w:space="0" w:color="auto"/>
            </w:tcBorders>
            <w:noWrap/>
            <w:hideMark/>
          </w:tcPr>
          <w:p w14:paraId="26FEEBFD"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18</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1CB019FC"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29</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2AE1A08E"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52</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2CD9306B"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33</w:t>
            </w:r>
          </w:p>
        </w:tc>
        <w:tc>
          <w:tcPr>
            <w:tcW w:w="1276" w:type="dxa"/>
            <w:tcBorders>
              <w:bottom w:val="none" w:sz="0" w:space="0" w:color="auto"/>
            </w:tcBorders>
            <w:noWrap/>
            <w:hideMark/>
          </w:tcPr>
          <w:p w14:paraId="232341A1" w14:textId="77777777" w:rsidR="00A97C01" w:rsidRPr="000A28AD" w:rsidRDefault="0063644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w:t>
            </w:r>
            <w:r w:rsidR="000631E3">
              <w:rPr>
                <w:rFonts w:asciiTheme="minorHAnsi" w:eastAsia="Times New Roman" w:hAnsiTheme="minorHAnsi" w:cs="Times New Roman"/>
                <w:i w:val="0"/>
                <w:color w:val="000000"/>
                <w:sz w:val="18"/>
                <w:szCs w:val="18"/>
              </w:rPr>
              <w:t>7</w:t>
            </w:r>
          </w:p>
        </w:tc>
      </w:tr>
      <w:tr w:rsidR="001D0139" w:rsidRPr="00C2294E" w14:paraId="6D94AEFA"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0DB48CB4" w14:textId="77777777" w:rsidR="00A97C01" w:rsidRPr="000A28AD" w:rsidRDefault="009A1D8F" w:rsidP="00541E4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Productivity</w:t>
            </w:r>
          </w:p>
        </w:tc>
        <w:tc>
          <w:tcPr>
            <w:tcW w:w="1338" w:type="dxa"/>
            <w:tcBorders>
              <w:left w:val="nil"/>
              <w:bottom w:val="none" w:sz="0" w:space="0" w:color="auto"/>
            </w:tcBorders>
            <w:noWrap/>
            <w:hideMark/>
          </w:tcPr>
          <w:p w14:paraId="62869AEC"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14</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0F23F27"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38</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486D98D4"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48</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2F8CD8CE"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33</w:t>
            </w:r>
          </w:p>
        </w:tc>
        <w:tc>
          <w:tcPr>
            <w:tcW w:w="1276" w:type="dxa"/>
            <w:tcBorders>
              <w:bottom w:val="none" w:sz="0" w:space="0" w:color="auto"/>
            </w:tcBorders>
            <w:noWrap/>
            <w:hideMark/>
          </w:tcPr>
          <w:p w14:paraId="49661DDE"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62</w:t>
            </w:r>
          </w:p>
        </w:tc>
      </w:tr>
      <w:tr w:rsidR="001D0139" w:rsidRPr="00C2294E" w14:paraId="63DE6726"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7C09AB25" w14:textId="77777777" w:rsidR="00A97C01" w:rsidRPr="000A28AD" w:rsidRDefault="009A1D8F" w:rsidP="00541E4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Employment level</w:t>
            </w:r>
          </w:p>
        </w:tc>
        <w:tc>
          <w:tcPr>
            <w:tcW w:w="1338" w:type="dxa"/>
            <w:tcBorders>
              <w:left w:val="nil"/>
              <w:bottom w:val="none" w:sz="0" w:space="0" w:color="auto"/>
            </w:tcBorders>
            <w:noWrap/>
            <w:hideMark/>
          </w:tcPr>
          <w:p w14:paraId="19F7B43D"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11</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4ECA3D22" w14:textId="77777777" w:rsidR="00A97C01" w:rsidRPr="000A28AD" w:rsidRDefault="000631E3" w:rsidP="00367060">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62</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3F982B4D"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27</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4BC1FCAB"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42</w:t>
            </w:r>
          </w:p>
        </w:tc>
        <w:tc>
          <w:tcPr>
            <w:tcW w:w="1276" w:type="dxa"/>
            <w:tcBorders>
              <w:bottom w:val="none" w:sz="0" w:space="0" w:color="auto"/>
            </w:tcBorders>
            <w:noWrap/>
            <w:hideMark/>
          </w:tcPr>
          <w:p w14:paraId="6C0701D6"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55</w:t>
            </w:r>
          </w:p>
        </w:tc>
      </w:tr>
      <w:tr w:rsidR="001D0139" w:rsidRPr="00C2294E" w14:paraId="672280E9"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6628191C" w14:textId="77777777" w:rsidR="00A97C01" w:rsidRPr="000A28AD" w:rsidRDefault="009A1D8F" w:rsidP="00541E4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Labor availability</w:t>
            </w:r>
          </w:p>
        </w:tc>
        <w:tc>
          <w:tcPr>
            <w:tcW w:w="1338" w:type="dxa"/>
            <w:tcBorders>
              <w:left w:val="nil"/>
              <w:bottom w:val="none" w:sz="0" w:space="0" w:color="auto"/>
            </w:tcBorders>
            <w:noWrap/>
            <w:hideMark/>
          </w:tcPr>
          <w:p w14:paraId="2B582E20"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8</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70EE4B21"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70</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00C51219"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23</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23540C25"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43</w:t>
            </w:r>
          </w:p>
        </w:tc>
        <w:tc>
          <w:tcPr>
            <w:tcW w:w="1276" w:type="dxa"/>
            <w:tcBorders>
              <w:bottom w:val="none" w:sz="0" w:space="0" w:color="auto"/>
            </w:tcBorders>
            <w:noWrap/>
            <w:hideMark/>
          </w:tcPr>
          <w:p w14:paraId="6A62B0B8" w14:textId="77777777" w:rsidR="00A97C01" w:rsidRPr="000A28AD" w:rsidRDefault="00726C57"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41</w:t>
            </w:r>
          </w:p>
        </w:tc>
      </w:tr>
      <w:tr w:rsidR="001D0139" w:rsidRPr="00C2294E" w14:paraId="78C7AB0C"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31B848C1" w14:textId="77777777" w:rsidR="00A97C01" w:rsidRPr="000A28AD" w:rsidRDefault="009A1D8F" w:rsidP="00541E4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 xml:space="preserve">Selling </w:t>
            </w:r>
            <w:r w:rsidR="00097993">
              <w:rPr>
                <w:rFonts w:asciiTheme="minorHAnsi" w:eastAsia="Times New Roman" w:hAnsiTheme="minorHAnsi" w:cs="Times New Roman"/>
                <w:i w:val="0"/>
                <w:color w:val="000000"/>
                <w:sz w:val="18"/>
                <w:szCs w:val="18"/>
              </w:rPr>
              <w:t>p</w:t>
            </w:r>
            <w:r>
              <w:rPr>
                <w:rFonts w:asciiTheme="minorHAnsi" w:eastAsia="Times New Roman" w:hAnsiTheme="minorHAnsi" w:cs="Times New Roman"/>
                <w:i w:val="0"/>
                <w:color w:val="000000"/>
                <w:sz w:val="18"/>
                <w:szCs w:val="18"/>
              </w:rPr>
              <w:t>rices</w:t>
            </w:r>
          </w:p>
        </w:tc>
        <w:tc>
          <w:tcPr>
            <w:tcW w:w="1338" w:type="dxa"/>
            <w:tcBorders>
              <w:left w:val="nil"/>
              <w:bottom w:val="none" w:sz="0" w:space="0" w:color="auto"/>
            </w:tcBorders>
            <w:noWrap/>
            <w:hideMark/>
          </w:tcPr>
          <w:p w14:paraId="05CBF35A"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7C4371FF"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79</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42794D94"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15</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42A2100A"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46</w:t>
            </w:r>
          </w:p>
        </w:tc>
        <w:tc>
          <w:tcPr>
            <w:tcW w:w="1276" w:type="dxa"/>
            <w:tcBorders>
              <w:bottom w:val="none" w:sz="0" w:space="0" w:color="auto"/>
            </w:tcBorders>
            <w:noWrap/>
            <w:hideMark/>
          </w:tcPr>
          <w:p w14:paraId="5E4E3156"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63</w:t>
            </w:r>
          </w:p>
        </w:tc>
      </w:tr>
      <w:tr w:rsidR="001D0139" w:rsidRPr="00C2294E" w14:paraId="57C15883"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1EF9E066" w14:textId="77777777" w:rsidR="00A97C01" w:rsidRPr="000A28AD" w:rsidRDefault="009A1D8F" w:rsidP="00541E4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 xml:space="preserve">Input </w:t>
            </w:r>
            <w:r w:rsidR="00097993">
              <w:rPr>
                <w:rFonts w:asciiTheme="minorHAnsi" w:eastAsia="Times New Roman" w:hAnsiTheme="minorHAnsi" w:cs="Times New Roman"/>
                <w:i w:val="0"/>
                <w:color w:val="000000"/>
                <w:sz w:val="18"/>
                <w:szCs w:val="18"/>
              </w:rPr>
              <w:t>c</w:t>
            </w:r>
            <w:r>
              <w:rPr>
                <w:rFonts w:asciiTheme="minorHAnsi" w:eastAsia="Times New Roman" w:hAnsiTheme="minorHAnsi" w:cs="Times New Roman"/>
                <w:i w:val="0"/>
                <w:color w:val="000000"/>
                <w:sz w:val="18"/>
                <w:szCs w:val="18"/>
              </w:rPr>
              <w:t>osts</w:t>
            </w:r>
          </w:p>
        </w:tc>
        <w:tc>
          <w:tcPr>
            <w:tcW w:w="1338" w:type="dxa"/>
            <w:tcBorders>
              <w:left w:val="nil"/>
              <w:bottom w:val="none" w:sz="0" w:space="0" w:color="auto"/>
            </w:tcBorders>
            <w:noWrap/>
            <w:hideMark/>
          </w:tcPr>
          <w:p w14:paraId="73227867"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17</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0C71EEF9"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74</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09E97B23"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8</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5D25956D"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55</w:t>
            </w:r>
          </w:p>
        </w:tc>
        <w:tc>
          <w:tcPr>
            <w:tcW w:w="1276" w:type="dxa"/>
            <w:tcBorders>
              <w:bottom w:val="none" w:sz="0" w:space="0" w:color="auto"/>
            </w:tcBorders>
            <w:noWrap/>
            <w:hideMark/>
          </w:tcPr>
          <w:p w14:paraId="05E25AC8"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74</w:t>
            </w:r>
          </w:p>
        </w:tc>
      </w:tr>
      <w:tr w:rsidR="001D0139" w:rsidRPr="00C2294E" w14:paraId="3E41BAF6" w14:textId="77777777" w:rsidTr="009A1D8F">
        <w:trPr>
          <w:cnfStyle w:val="100000000000" w:firstRow="1" w:lastRow="0" w:firstColumn="0" w:lastColumn="0" w:oddVBand="0" w:evenVBand="0" w:oddHBand="0" w:evenHBand="0" w:firstRowFirstColumn="0" w:firstRowLastColumn="0" w:lastRowFirstColumn="0" w:lastRowLastColumn="0"/>
          <w:trHeight w:val="477"/>
          <w:tblHeader/>
          <w:jc w:val="center"/>
        </w:trPr>
        <w:tc>
          <w:tcPr>
            <w:tcW w:w="3897" w:type="dxa"/>
            <w:tcBorders>
              <w:bottom w:val="single" w:sz="4" w:space="0" w:color="auto"/>
              <w:right w:val="nil"/>
            </w:tcBorders>
            <w:noWrap/>
            <w:hideMark/>
          </w:tcPr>
          <w:p w14:paraId="2F6D79B9" w14:textId="77777777" w:rsidR="00A97C01" w:rsidRPr="000A28AD" w:rsidRDefault="00174C4B" w:rsidP="00541E4C">
            <w:pPr>
              <w:rPr>
                <w:rFonts w:asciiTheme="minorHAnsi" w:eastAsia="Times New Roman" w:hAnsiTheme="minorHAnsi" w:cs="Times New Roman"/>
                <w:i w:val="0"/>
                <w:color w:val="000000"/>
                <w:sz w:val="18"/>
                <w:szCs w:val="18"/>
              </w:rPr>
            </w:pPr>
            <w:r w:rsidRPr="00174C4B">
              <w:rPr>
                <w:rFonts w:ascii="Calibri" w:eastAsia="Times New Roman" w:hAnsi="Calibri" w:cs="Times New Roman"/>
                <w:i w:val="0"/>
                <w:color w:val="000000"/>
                <w:sz w:val="18"/>
                <w:szCs w:val="18"/>
              </w:rPr>
              <w:t>Space occupied (</w:t>
            </w:r>
            <w:r w:rsidR="00097993">
              <w:rPr>
                <w:rFonts w:ascii="Calibri" w:eastAsia="Times New Roman" w:hAnsi="Calibri" w:cs="Times New Roman"/>
                <w:i w:val="0"/>
                <w:color w:val="000000"/>
                <w:sz w:val="18"/>
                <w:szCs w:val="18"/>
              </w:rPr>
              <w:t>s</w:t>
            </w:r>
            <w:r w:rsidRPr="00174C4B">
              <w:rPr>
                <w:rFonts w:ascii="Calibri" w:eastAsia="Times New Roman" w:hAnsi="Calibri" w:cs="Times New Roman"/>
                <w:i w:val="0"/>
                <w:color w:val="000000"/>
                <w:sz w:val="18"/>
                <w:szCs w:val="18"/>
              </w:rPr>
              <w:t>quare footage)</w:t>
            </w:r>
            <w:r w:rsidR="009A1D8F">
              <w:rPr>
                <w:rFonts w:asciiTheme="minorHAnsi" w:eastAsia="Times New Roman" w:hAnsiTheme="minorHAnsi" w:cs="Times New Roman"/>
                <w:i w:val="0"/>
                <w:color w:val="000000"/>
                <w:sz w:val="18"/>
                <w:szCs w:val="18"/>
              </w:rPr>
              <w:br/>
              <w:t>Exports (sales for foreign clients)</w:t>
            </w:r>
          </w:p>
        </w:tc>
        <w:tc>
          <w:tcPr>
            <w:tcW w:w="1338" w:type="dxa"/>
            <w:tcBorders>
              <w:left w:val="nil"/>
              <w:bottom w:val="none" w:sz="0" w:space="0" w:color="auto"/>
            </w:tcBorders>
            <w:noWrap/>
            <w:hideMark/>
          </w:tcPr>
          <w:p w14:paraId="15E389C6"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w:t>
            </w:r>
            <w:r w:rsidR="00A97C01" w:rsidRPr="000A28AD">
              <w:rPr>
                <w:rFonts w:asciiTheme="minorHAnsi" w:eastAsia="Times New Roman" w:hAnsiTheme="minorHAnsi" w:cs="Times New Roman"/>
                <w:i w:val="0"/>
                <w:color w:val="000000"/>
                <w:sz w:val="18"/>
                <w:szCs w:val="18"/>
              </w:rPr>
              <w:t>%</w:t>
            </w:r>
            <w:r>
              <w:rPr>
                <w:rFonts w:asciiTheme="minorHAnsi" w:eastAsia="Times New Roman" w:hAnsiTheme="minorHAnsi" w:cs="Times New Roman"/>
                <w:i w:val="0"/>
                <w:color w:val="000000"/>
                <w:sz w:val="18"/>
                <w:szCs w:val="18"/>
              </w:rPr>
              <w:br/>
              <w:t>3</w:t>
            </w:r>
            <w:r w:rsidR="009A1D8F">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5529230E"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84</w:t>
            </w:r>
            <w:r w:rsidR="00A97C01" w:rsidRPr="000A28AD">
              <w:rPr>
                <w:rFonts w:asciiTheme="minorHAnsi" w:eastAsia="Times New Roman" w:hAnsiTheme="minorHAnsi" w:cs="Times New Roman"/>
                <w:i w:val="0"/>
                <w:color w:val="000000"/>
                <w:sz w:val="18"/>
                <w:szCs w:val="18"/>
              </w:rPr>
              <w:t>%</w:t>
            </w:r>
            <w:r>
              <w:rPr>
                <w:rFonts w:asciiTheme="minorHAnsi" w:eastAsia="Times New Roman" w:hAnsiTheme="minorHAnsi" w:cs="Times New Roman"/>
                <w:i w:val="0"/>
                <w:color w:val="000000"/>
                <w:sz w:val="18"/>
                <w:szCs w:val="18"/>
              </w:rPr>
              <w:br/>
              <w:t>84</w:t>
            </w:r>
            <w:r w:rsidR="009A1D8F">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2632BDC8"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13</w:t>
            </w:r>
            <w:r w:rsidR="00A97C01" w:rsidRPr="000A28AD">
              <w:rPr>
                <w:rFonts w:asciiTheme="minorHAnsi" w:eastAsia="Times New Roman" w:hAnsiTheme="minorHAnsi" w:cs="Times New Roman"/>
                <w:i w:val="0"/>
                <w:color w:val="000000"/>
                <w:sz w:val="18"/>
                <w:szCs w:val="18"/>
              </w:rPr>
              <w:t>%</w:t>
            </w:r>
            <w:r>
              <w:rPr>
                <w:rFonts w:asciiTheme="minorHAnsi" w:eastAsia="Times New Roman" w:hAnsiTheme="minorHAnsi" w:cs="Times New Roman"/>
                <w:i w:val="0"/>
                <w:color w:val="000000"/>
                <w:sz w:val="18"/>
                <w:szCs w:val="18"/>
              </w:rPr>
              <w:br/>
              <w:t>13</w:t>
            </w:r>
            <w:r w:rsidR="009A1D8F">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03A77881"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45</w:t>
            </w:r>
            <w:r>
              <w:rPr>
                <w:rFonts w:asciiTheme="minorHAnsi" w:eastAsia="Times New Roman" w:hAnsiTheme="minorHAnsi" w:cs="Times New Roman"/>
                <w:i w:val="0"/>
                <w:color w:val="000000"/>
                <w:sz w:val="18"/>
                <w:szCs w:val="18"/>
              </w:rPr>
              <w:br/>
              <w:t>45</w:t>
            </w:r>
          </w:p>
        </w:tc>
        <w:tc>
          <w:tcPr>
            <w:tcW w:w="1276" w:type="dxa"/>
            <w:tcBorders>
              <w:bottom w:val="none" w:sz="0" w:space="0" w:color="auto"/>
            </w:tcBorders>
            <w:noWrap/>
            <w:hideMark/>
          </w:tcPr>
          <w:p w14:paraId="4AC68DFB" w14:textId="77777777" w:rsidR="00A97C01" w:rsidRPr="000A28AD" w:rsidRDefault="00DD0D08"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51</w:t>
            </w:r>
            <w:r>
              <w:rPr>
                <w:rFonts w:asciiTheme="minorHAnsi" w:eastAsia="Times New Roman" w:hAnsiTheme="minorHAnsi" w:cs="Times New Roman"/>
                <w:i w:val="0"/>
                <w:color w:val="000000"/>
                <w:sz w:val="18"/>
                <w:szCs w:val="18"/>
              </w:rPr>
              <w:br/>
              <w:t>50</w:t>
            </w:r>
          </w:p>
        </w:tc>
      </w:tr>
    </w:tbl>
    <w:p w14:paraId="7AAE54F7" w14:textId="77777777" w:rsidR="00A97C01" w:rsidRDefault="00A97C01" w:rsidP="009B3DF5">
      <w:pPr>
        <w:spacing w:after="0" w:line="72" w:lineRule="auto"/>
        <w:contextualSpacing/>
      </w:pPr>
    </w:p>
    <w:tbl>
      <w:tblPr>
        <w:tblStyle w:val="PlainTable4"/>
        <w:tblW w:w="1052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Comparison Worker's Indicators"/>
        <w:tblDescription w:val="Table showing labor indicators. Forty-seven percent of respondents indicated no changes for wages per worker while 59 percent specified no changes for benefirs per worker."/>
      </w:tblPr>
      <w:tblGrid>
        <w:gridCol w:w="2880"/>
        <w:gridCol w:w="902"/>
        <w:gridCol w:w="1334"/>
        <w:gridCol w:w="1350"/>
        <w:gridCol w:w="1350"/>
        <w:gridCol w:w="1350"/>
        <w:gridCol w:w="1355"/>
      </w:tblGrid>
      <w:tr w:rsidR="00E647F4" w:rsidRPr="000F78D4" w14:paraId="6DE6352B"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right w:val="nil"/>
            </w:tcBorders>
            <w:shd w:val="clear" w:color="auto" w:fill="BDD6EE" w:themeFill="accent1" w:themeFillTint="66"/>
            <w:noWrap/>
            <w:hideMark/>
          </w:tcPr>
          <w:p w14:paraId="0CFE93A0" w14:textId="77777777" w:rsidR="00A97C01" w:rsidRPr="000A28AD" w:rsidRDefault="00722892"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Labor i</w:t>
            </w:r>
            <w:r w:rsidR="00531B2D" w:rsidRPr="000A28AD">
              <w:rPr>
                <w:rFonts w:ascii="Calibri" w:eastAsia="Times New Roman" w:hAnsi="Calibri" w:cs="Times New Roman"/>
                <w:color w:val="000000"/>
                <w:sz w:val="18"/>
                <w:szCs w:val="18"/>
              </w:rPr>
              <w:t>ndic</w:t>
            </w:r>
            <w:r w:rsidR="0043194C">
              <w:rPr>
                <w:rFonts w:ascii="Calibri" w:eastAsia="Times New Roman" w:hAnsi="Calibri" w:cs="Times New Roman"/>
                <w:color w:val="000000"/>
                <w:sz w:val="18"/>
                <w:szCs w:val="18"/>
              </w:rPr>
              <w:t>ators in the last 4 quarters</w:t>
            </w:r>
          </w:p>
        </w:tc>
        <w:tc>
          <w:tcPr>
            <w:tcW w:w="902" w:type="dxa"/>
            <w:tcBorders>
              <w:top w:val="single" w:sz="4" w:space="0" w:color="auto"/>
              <w:left w:val="nil"/>
              <w:bottom w:val="single" w:sz="4" w:space="0" w:color="auto"/>
            </w:tcBorders>
            <w:shd w:val="clear" w:color="auto" w:fill="BDD6EE" w:themeFill="accent1" w:themeFillTint="66"/>
            <w:noWrap/>
            <w:hideMark/>
          </w:tcPr>
          <w:p w14:paraId="1D721966"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Decrease</w:t>
            </w:r>
          </w:p>
        </w:tc>
        <w:tc>
          <w:tcPr>
            <w:tcW w:w="1334" w:type="dxa"/>
            <w:tcBorders>
              <w:top w:val="single" w:sz="4" w:space="0" w:color="auto"/>
              <w:bottom w:val="single" w:sz="4" w:space="0" w:color="auto"/>
            </w:tcBorders>
            <w:shd w:val="clear" w:color="auto" w:fill="BDD6EE" w:themeFill="accent1" w:themeFillTint="66"/>
            <w:noWrap/>
            <w:hideMark/>
          </w:tcPr>
          <w:p w14:paraId="3D452157"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0</w:t>
            </w:r>
            <w:r w:rsidR="00933559">
              <w:rPr>
                <w:rFonts w:ascii="Calibri" w:eastAsia="Times New Roman" w:hAnsi="Calibri" w:cs="Times New Roman"/>
                <w:color w:val="000000"/>
                <w:sz w:val="18"/>
                <w:szCs w:val="18"/>
              </w:rPr>
              <w:t>%</w:t>
            </w:r>
          </w:p>
        </w:tc>
        <w:tc>
          <w:tcPr>
            <w:tcW w:w="1350" w:type="dxa"/>
            <w:tcBorders>
              <w:top w:val="single" w:sz="4" w:space="0" w:color="auto"/>
              <w:bottom w:val="single" w:sz="4" w:space="0" w:color="auto"/>
            </w:tcBorders>
            <w:shd w:val="clear" w:color="auto" w:fill="BDD6EE" w:themeFill="accent1" w:themeFillTint="66"/>
            <w:noWrap/>
            <w:hideMark/>
          </w:tcPr>
          <w:p w14:paraId="201CE4CB"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1-2%</w:t>
            </w:r>
          </w:p>
        </w:tc>
        <w:tc>
          <w:tcPr>
            <w:tcW w:w="1350" w:type="dxa"/>
            <w:tcBorders>
              <w:top w:val="single" w:sz="4" w:space="0" w:color="auto"/>
              <w:bottom w:val="single" w:sz="4" w:space="0" w:color="auto"/>
            </w:tcBorders>
            <w:shd w:val="clear" w:color="auto" w:fill="BDD6EE" w:themeFill="accent1" w:themeFillTint="66"/>
            <w:noWrap/>
            <w:hideMark/>
          </w:tcPr>
          <w:p w14:paraId="0F81FF97"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3-5%</w:t>
            </w:r>
          </w:p>
        </w:tc>
        <w:tc>
          <w:tcPr>
            <w:tcW w:w="1350" w:type="dxa"/>
            <w:tcBorders>
              <w:top w:val="single" w:sz="4" w:space="0" w:color="auto"/>
              <w:bottom w:val="single" w:sz="4" w:space="0" w:color="auto"/>
            </w:tcBorders>
            <w:shd w:val="clear" w:color="auto" w:fill="BDD6EE" w:themeFill="accent1" w:themeFillTint="66"/>
            <w:noWrap/>
            <w:hideMark/>
          </w:tcPr>
          <w:p w14:paraId="0936EE0B"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6-9%</w:t>
            </w:r>
          </w:p>
        </w:tc>
        <w:tc>
          <w:tcPr>
            <w:tcW w:w="1355" w:type="dxa"/>
            <w:tcBorders>
              <w:top w:val="single" w:sz="4" w:space="0" w:color="auto"/>
              <w:bottom w:val="single" w:sz="4" w:space="0" w:color="auto"/>
            </w:tcBorders>
            <w:shd w:val="clear" w:color="auto" w:fill="BDD6EE" w:themeFill="accent1" w:themeFillTint="66"/>
            <w:noWrap/>
            <w:hideMark/>
          </w:tcPr>
          <w:p w14:paraId="1B56D997"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&gt;10%</w:t>
            </w:r>
          </w:p>
        </w:tc>
      </w:tr>
      <w:tr w:rsidR="001D0139" w:rsidRPr="000F78D4" w14:paraId="71902ECE"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nil"/>
              <w:right w:val="nil"/>
            </w:tcBorders>
            <w:noWrap/>
            <w:hideMark/>
          </w:tcPr>
          <w:p w14:paraId="33929F1E" w14:textId="77777777"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Wages per worker</w:t>
            </w:r>
          </w:p>
        </w:tc>
        <w:tc>
          <w:tcPr>
            <w:tcW w:w="902" w:type="dxa"/>
            <w:tcBorders>
              <w:top w:val="single" w:sz="4" w:space="0" w:color="auto"/>
              <w:left w:val="nil"/>
            </w:tcBorders>
            <w:noWrap/>
            <w:hideMark/>
          </w:tcPr>
          <w:p w14:paraId="1AEF1C57" w14:textId="77777777" w:rsidR="00A97C01" w:rsidRPr="000A28AD" w:rsidRDefault="00391C69"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11</w:t>
            </w:r>
            <w:r w:rsidR="00A97C01" w:rsidRPr="000A28AD">
              <w:rPr>
                <w:rFonts w:ascii="Calibri" w:eastAsia="Times New Roman" w:hAnsi="Calibri" w:cs="Times New Roman"/>
                <w:b w:val="0"/>
                <w:color w:val="000000"/>
                <w:sz w:val="18"/>
                <w:szCs w:val="18"/>
              </w:rPr>
              <w:t>%</w:t>
            </w:r>
          </w:p>
        </w:tc>
        <w:tc>
          <w:tcPr>
            <w:tcW w:w="1334" w:type="dxa"/>
            <w:tcBorders>
              <w:top w:val="single" w:sz="4" w:space="0" w:color="auto"/>
            </w:tcBorders>
            <w:noWrap/>
            <w:hideMark/>
          </w:tcPr>
          <w:p w14:paraId="621EF24C" w14:textId="77777777" w:rsidR="00A97C01" w:rsidRPr="000A28AD" w:rsidRDefault="00391C69"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47</w:t>
            </w:r>
            <w:r w:rsidR="00A97C01" w:rsidRPr="000A28AD">
              <w:rPr>
                <w:rFonts w:ascii="Calibri" w:eastAsia="Times New Roman" w:hAnsi="Calibri" w:cs="Times New Roman"/>
                <w:b w:val="0"/>
                <w:color w:val="000000"/>
                <w:sz w:val="18"/>
                <w:szCs w:val="18"/>
              </w:rPr>
              <w:t>%</w:t>
            </w:r>
          </w:p>
        </w:tc>
        <w:tc>
          <w:tcPr>
            <w:tcW w:w="1350" w:type="dxa"/>
            <w:tcBorders>
              <w:top w:val="single" w:sz="4" w:space="0" w:color="auto"/>
            </w:tcBorders>
            <w:noWrap/>
            <w:hideMark/>
          </w:tcPr>
          <w:p w14:paraId="58422C64" w14:textId="77777777" w:rsidR="00A97C01" w:rsidRPr="000A28AD" w:rsidRDefault="00391C69"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13</w:t>
            </w:r>
            <w:r w:rsidR="00A97C01" w:rsidRPr="000A28AD">
              <w:rPr>
                <w:rFonts w:ascii="Calibri" w:eastAsia="Times New Roman" w:hAnsi="Calibri" w:cs="Times New Roman"/>
                <w:b w:val="0"/>
                <w:color w:val="000000"/>
                <w:sz w:val="18"/>
                <w:szCs w:val="18"/>
              </w:rPr>
              <w:t>%</w:t>
            </w:r>
          </w:p>
        </w:tc>
        <w:tc>
          <w:tcPr>
            <w:tcW w:w="1350" w:type="dxa"/>
            <w:tcBorders>
              <w:top w:val="single" w:sz="4" w:space="0" w:color="auto"/>
            </w:tcBorders>
            <w:noWrap/>
            <w:hideMark/>
          </w:tcPr>
          <w:p w14:paraId="7DADEFE9" w14:textId="77777777" w:rsidR="00A97C01" w:rsidRPr="000A28AD" w:rsidRDefault="00391C69"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19</w:t>
            </w:r>
            <w:r w:rsidR="00A97C01" w:rsidRPr="000A28AD">
              <w:rPr>
                <w:rFonts w:ascii="Calibri" w:eastAsia="Times New Roman" w:hAnsi="Calibri" w:cs="Times New Roman"/>
                <w:b w:val="0"/>
                <w:color w:val="000000"/>
                <w:sz w:val="18"/>
                <w:szCs w:val="18"/>
              </w:rPr>
              <w:t>%</w:t>
            </w:r>
          </w:p>
        </w:tc>
        <w:tc>
          <w:tcPr>
            <w:tcW w:w="1350" w:type="dxa"/>
            <w:tcBorders>
              <w:top w:val="single" w:sz="4" w:space="0" w:color="auto"/>
            </w:tcBorders>
            <w:noWrap/>
            <w:hideMark/>
          </w:tcPr>
          <w:p w14:paraId="14D9B9F4" w14:textId="77777777" w:rsidR="00A97C01" w:rsidRPr="000A28AD" w:rsidRDefault="00391C69"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3</w:t>
            </w:r>
            <w:r w:rsidR="00A97C01" w:rsidRPr="000A28AD">
              <w:rPr>
                <w:rFonts w:ascii="Calibri" w:eastAsia="Times New Roman" w:hAnsi="Calibri" w:cs="Times New Roman"/>
                <w:b w:val="0"/>
                <w:color w:val="000000"/>
                <w:sz w:val="18"/>
                <w:szCs w:val="18"/>
              </w:rPr>
              <w:t>%</w:t>
            </w:r>
          </w:p>
        </w:tc>
        <w:tc>
          <w:tcPr>
            <w:tcW w:w="1355" w:type="dxa"/>
            <w:tcBorders>
              <w:top w:val="single" w:sz="4" w:space="0" w:color="auto"/>
            </w:tcBorders>
            <w:noWrap/>
            <w:hideMark/>
          </w:tcPr>
          <w:p w14:paraId="7FBF864D" w14:textId="77777777" w:rsidR="00A97C01" w:rsidRPr="000A28AD" w:rsidRDefault="00391C69"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6</w:t>
            </w:r>
            <w:r w:rsidR="00A97C01" w:rsidRPr="000A28AD">
              <w:rPr>
                <w:rFonts w:ascii="Calibri" w:eastAsia="Times New Roman" w:hAnsi="Calibri" w:cs="Times New Roman"/>
                <w:b w:val="0"/>
                <w:color w:val="000000"/>
                <w:sz w:val="18"/>
                <w:szCs w:val="18"/>
              </w:rPr>
              <w:t>%</w:t>
            </w:r>
          </w:p>
        </w:tc>
      </w:tr>
      <w:tr w:rsidR="00E647F4" w:rsidRPr="000F78D4" w14:paraId="3CE2A4BC"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nil"/>
              <w:bottom w:val="single" w:sz="4" w:space="0" w:color="auto"/>
              <w:right w:val="nil"/>
            </w:tcBorders>
            <w:noWrap/>
            <w:hideMark/>
          </w:tcPr>
          <w:p w14:paraId="43609856" w14:textId="77777777"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Benefits per worker</w:t>
            </w:r>
          </w:p>
        </w:tc>
        <w:tc>
          <w:tcPr>
            <w:tcW w:w="902" w:type="dxa"/>
            <w:tcBorders>
              <w:left w:val="nil"/>
            </w:tcBorders>
            <w:noWrap/>
            <w:hideMark/>
          </w:tcPr>
          <w:p w14:paraId="6BC0ECB0" w14:textId="77777777" w:rsidR="00A97C01" w:rsidRPr="000A28AD" w:rsidRDefault="00391C69"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11</w:t>
            </w:r>
            <w:r w:rsidR="00A97C01" w:rsidRPr="000A28AD">
              <w:rPr>
                <w:rFonts w:ascii="Calibri" w:eastAsia="Times New Roman" w:hAnsi="Calibri" w:cs="Times New Roman"/>
                <w:b w:val="0"/>
                <w:color w:val="000000"/>
                <w:sz w:val="18"/>
                <w:szCs w:val="18"/>
              </w:rPr>
              <w:t>%</w:t>
            </w:r>
          </w:p>
        </w:tc>
        <w:tc>
          <w:tcPr>
            <w:tcW w:w="1334" w:type="dxa"/>
            <w:noWrap/>
            <w:hideMark/>
          </w:tcPr>
          <w:p w14:paraId="634506C9" w14:textId="77777777" w:rsidR="00A97C01" w:rsidRPr="000A28AD" w:rsidRDefault="00391C69"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59</w:t>
            </w:r>
            <w:r w:rsidR="00A97C01" w:rsidRPr="000A28AD">
              <w:rPr>
                <w:rFonts w:ascii="Calibri" w:eastAsia="Times New Roman" w:hAnsi="Calibri" w:cs="Times New Roman"/>
                <w:b w:val="0"/>
                <w:color w:val="000000"/>
                <w:sz w:val="18"/>
                <w:szCs w:val="18"/>
              </w:rPr>
              <w:t>%</w:t>
            </w:r>
          </w:p>
        </w:tc>
        <w:tc>
          <w:tcPr>
            <w:tcW w:w="1350" w:type="dxa"/>
            <w:noWrap/>
            <w:hideMark/>
          </w:tcPr>
          <w:p w14:paraId="6A2227C1" w14:textId="77777777" w:rsidR="00A97C01" w:rsidRPr="000A28AD" w:rsidRDefault="00391C69"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9</w:t>
            </w:r>
            <w:r w:rsidR="00A97C01" w:rsidRPr="000A28AD">
              <w:rPr>
                <w:rFonts w:ascii="Calibri" w:eastAsia="Times New Roman" w:hAnsi="Calibri" w:cs="Times New Roman"/>
                <w:b w:val="0"/>
                <w:color w:val="000000"/>
                <w:sz w:val="18"/>
                <w:szCs w:val="18"/>
              </w:rPr>
              <w:t>%</w:t>
            </w:r>
          </w:p>
        </w:tc>
        <w:tc>
          <w:tcPr>
            <w:tcW w:w="1350" w:type="dxa"/>
            <w:noWrap/>
            <w:hideMark/>
          </w:tcPr>
          <w:p w14:paraId="3B5C160B" w14:textId="77777777" w:rsidR="00A97C01" w:rsidRPr="000A28AD" w:rsidRDefault="00391C69"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13</w:t>
            </w:r>
            <w:r w:rsidR="00A97C01" w:rsidRPr="000A28AD">
              <w:rPr>
                <w:rFonts w:ascii="Calibri" w:eastAsia="Times New Roman" w:hAnsi="Calibri" w:cs="Times New Roman"/>
                <w:b w:val="0"/>
                <w:color w:val="000000"/>
                <w:sz w:val="18"/>
                <w:szCs w:val="18"/>
              </w:rPr>
              <w:t>%</w:t>
            </w:r>
          </w:p>
        </w:tc>
        <w:tc>
          <w:tcPr>
            <w:tcW w:w="1350" w:type="dxa"/>
            <w:noWrap/>
            <w:hideMark/>
          </w:tcPr>
          <w:p w14:paraId="56C6724C" w14:textId="77777777" w:rsidR="00A97C01" w:rsidRPr="000A28AD" w:rsidRDefault="00391C69"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3</w:t>
            </w:r>
            <w:r w:rsidR="00A97C01" w:rsidRPr="000A28AD">
              <w:rPr>
                <w:rFonts w:ascii="Calibri" w:eastAsia="Times New Roman" w:hAnsi="Calibri" w:cs="Times New Roman"/>
                <w:b w:val="0"/>
                <w:color w:val="000000"/>
                <w:sz w:val="18"/>
                <w:szCs w:val="18"/>
              </w:rPr>
              <w:t>%</w:t>
            </w:r>
          </w:p>
        </w:tc>
        <w:tc>
          <w:tcPr>
            <w:tcW w:w="1355" w:type="dxa"/>
            <w:noWrap/>
            <w:hideMark/>
          </w:tcPr>
          <w:p w14:paraId="161BA055" w14:textId="77777777" w:rsidR="00A97C01" w:rsidRPr="000A28AD" w:rsidRDefault="00391C69"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4</w:t>
            </w:r>
            <w:r w:rsidR="00A97C01" w:rsidRPr="000A28AD">
              <w:rPr>
                <w:rFonts w:ascii="Calibri" w:eastAsia="Times New Roman" w:hAnsi="Calibri" w:cs="Times New Roman"/>
                <w:b w:val="0"/>
                <w:color w:val="000000"/>
                <w:sz w:val="18"/>
                <w:szCs w:val="18"/>
              </w:rPr>
              <w:t>%</w:t>
            </w:r>
          </w:p>
        </w:tc>
      </w:tr>
    </w:tbl>
    <w:p w14:paraId="5DD6A18D" w14:textId="77777777" w:rsidR="00A97C01" w:rsidRDefault="00A97C01" w:rsidP="009B3DF5">
      <w:pPr>
        <w:spacing w:after="0" w:line="72" w:lineRule="auto"/>
      </w:pPr>
    </w:p>
    <w:tbl>
      <w:tblPr>
        <w:tblStyle w:val="PlainTable4"/>
        <w:tblW w:w="10530" w:type="dxa"/>
        <w:jc w:val="center"/>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Caption w:val="Business Expectations for 2020"/>
        <w:tblDescription w:val="Minnesota business services firms expect unchanged or declining conditions for the coming year. Seventy-eight percent anticipate unchanged space occupied and 74 expect constant selling prices. Sixty-seven percent foresee unchanged labor availability. Nonetheless, nearly half of respondents expect a decline in profits while 43 percent anticipate a decline in sales revenue. All diffusion indexes were below 50 indicating contraction with profits showing the greatest decline at 34, compared to 62 the year before.&#10;"/>
      </w:tblPr>
      <w:tblGrid>
        <w:gridCol w:w="3775"/>
        <w:gridCol w:w="1440"/>
        <w:gridCol w:w="1350"/>
        <w:gridCol w:w="1260"/>
        <w:gridCol w:w="1350"/>
        <w:gridCol w:w="1355"/>
      </w:tblGrid>
      <w:tr w:rsidR="00A97C01" w:rsidRPr="000A28AD" w14:paraId="79AB7EA9"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bottom w:val="single" w:sz="4" w:space="0" w:color="auto"/>
            </w:tcBorders>
            <w:shd w:val="clear" w:color="auto" w:fill="BDD6EE" w:themeFill="accent1" w:themeFillTint="66"/>
            <w:noWrap/>
            <w:hideMark/>
          </w:tcPr>
          <w:p w14:paraId="0E009596" w14:textId="77777777" w:rsidR="00A97C01" w:rsidRPr="000A28AD" w:rsidRDefault="00722892"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Expected business i</w:t>
            </w:r>
            <w:r w:rsidR="00584451">
              <w:rPr>
                <w:rFonts w:ascii="Calibri" w:eastAsia="Times New Roman" w:hAnsi="Calibri" w:cs="Times New Roman"/>
                <w:color w:val="000000"/>
                <w:sz w:val="18"/>
                <w:szCs w:val="18"/>
              </w:rPr>
              <w:t>ndicators during the next four quarters</w:t>
            </w:r>
          </w:p>
        </w:tc>
        <w:tc>
          <w:tcPr>
            <w:tcW w:w="1440" w:type="dxa"/>
            <w:tcBorders>
              <w:top w:val="single" w:sz="4" w:space="0" w:color="auto"/>
              <w:bottom w:val="single" w:sz="4" w:space="0" w:color="auto"/>
            </w:tcBorders>
            <w:shd w:val="clear" w:color="auto" w:fill="BDD6EE" w:themeFill="accent1" w:themeFillTint="66"/>
            <w:noWrap/>
            <w:hideMark/>
          </w:tcPr>
          <w:p w14:paraId="47775C88"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Up</w:t>
            </w:r>
          </w:p>
        </w:tc>
        <w:tc>
          <w:tcPr>
            <w:tcW w:w="1350" w:type="dxa"/>
            <w:tcBorders>
              <w:top w:val="single" w:sz="4" w:space="0" w:color="auto"/>
              <w:bottom w:val="single" w:sz="4" w:space="0" w:color="auto"/>
            </w:tcBorders>
            <w:shd w:val="clear" w:color="auto" w:fill="BDD6EE" w:themeFill="accent1" w:themeFillTint="66"/>
            <w:noWrap/>
            <w:hideMark/>
          </w:tcPr>
          <w:p w14:paraId="49259A5B"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Same</w:t>
            </w:r>
          </w:p>
        </w:tc>
        <w:tc>
          <w:tcPr>
            <w:tcW w:w="1260" w:type="dxa"/>
            <w:tcBorders>
              <w:top w:val="single" w:sz="4" w:space="0" w:color="auto"/>
              <w:bottom w:val="single" w:sz="4" w:space="0" w:color="auto"/>
            </w:tcBorders>
            <w:shd w:val="clear" w:color="auto" w:fill="BDD6EE" w:themeFill="accent1" w:themeFillTint="66"/>
            <w:noWrap/>
            <w:hideMark/>
          </w:tcPr>
          <w:p w14:paraId="429F83CE"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Down</w:t>
            </w:r>
          </w:p>
        </w:tc>
        <w:tc>
          <w:tcPr>
            <w:tcW w:w="1350" w:type="dxa"/>
            <w:tcBorders>
              <w:top w:val="single" w:sz="4" w:space="0" w:color="auto"/>
              <w:bottom w:val="single" w:sz="4" w:space="0" w:color="auto"/>
            </w:tcBorders>
            <w:shd w:val="clear" w:color="auto" w:fill="BDD6EE" w:themeFill="accent1" w:themeFillTint="66"/>
            <w:noWrap/>
            <w:hideMark/>
          </w:tcPr>
          <w:p w14:paraId="7C903B24" w14:textId="77777777" w:rsidR="00A97C01" w:rsidRPr="000A28AD" w:rsidRDefault="00391C69"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Diffusion Index 2020</w:t>
            </w:r>
            <w:r w:rsidR="00AE0EFF" w:rsidRPr="000A28AD">
              <w:rPr>
                <w:rFonts w:ascii="Calibri" w:eastAsia="Times New Roman" w:hAnsi="Calibri" w:cs="Times New Roman"/>
                <w:color w:val="000000"/>
                <w:sz w:val="18"/>
                <w:szCs w:val="18"/>
                <w:vertAlign w:val="superscript"/>
              </w:rPr>
              <w:t>(2)</w:t>
            </w:r>
          </w:p>
        </w:tc>
        <w:tc>
          <w:tcPr>
            <w:tcW w:w="1355" w:type="dxa"/>
            <w:tcBorders>
              <w:top w:val="single" w:sz="4" w:space="0" w:color="auto"/>
              <w:bottom w:val="single" w:sz="4" w:space="0" w:color="auto"/>
            </w:tcBorders>
            <w:shd w:val="clear" w:color="auto" w:fill="BDD6EE" w:themeFill="accent1" w:themeFillTint="66"/>
            <w:noWrap/>
            <w:hideMark/>
          </w:tcPr>
          <w:p w14:paraId="4439D4F4" w14:textId="77777777" w:rsidR="00A97C01" w:rsidRPr="000A28AD" w:rsidRDefault="00391C69"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Diffusion Index 2019</w:t>
            </w:r>
            <w:r w:rsidR="00AE0EFF" w:rsidRPr="000A28AD">
              <w:rPr>
                <w:rFonts w:ascii="Calibri" w:eastAsia="Times New Roman" w:hAnsi="Calibri" w:cs="Times New Roman"/>
                <w:color w:val="000000"/>
                <w:sz w:val="18"/>
                <w:szCs w:val="18"/>
                <w:vertAlign w:val="superscript"/>
              </w:rPr>
              <w:t>(2)</w:t>
            </w:r>
          </w:p>
        </w:tc>
      </w:tr>
      <w:tr w:rsidR="00391C69" w:rsidRPr="000A28AD" w14:paraId="129E9FB4"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tcBorders>
            <w:noWrap/>
            <w:hideMark/>
          </w:tcPr>
          <w:p w14:paraId="43271A6C" w14:textId="77777777"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Sales revenue</w:t>
            </w:r>
          </w:p>
        </w:tc>
        <w:tc>
          <w:tcPr>
            <w:tcW w:w="1440" w:type="dxa"/>
            <w:tcBorders>
              <w:top w:val="single" w:sz="4" w:space="0" w:color="auto"/>
            </w:tcBorders>
            <w:noWrap/>
            <w:hideMark/>
          </w:tcPr>
          <w:p w14:paraId="4E2D72FB"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19</w:t>
            </w:r>
            <w:r w:rsidRPr="000A28AD">
              <w:rPr>
                <w:rFonts w:ascii="Calibri" w:eastAsia="Times New Roman" w:hAnsi="Calibri" w:cs="Times New Roman"/>
                <w:color w:val="000000"/>
                <w:sz w:val="18"/>
                <w:szCs w:val="18"/>
              </w:rPr>
              <w:t>%</w:t>
            </w:r>
          </w:p>
        </w:tc>
        <w:tc>
          <w:tcPr>
            <w:tcW w:w="1350" w:type="dxa"/>
            <w:tcBorders>
              <w:top w:val="single" w:sz="4" w:space="0" w:color="auto"/>
            </w:tcBorders>
            <w:noWrap/>
            <w:hideMark/>
          </w:tcPr>
          <w:p w14:paraId="40A0E78B"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38</w:t>
            </w:r>
            <w:r w:rsidRPr="000A28AD">
              <w:rPr>
                <w:rFonts w:ascii="Calibri" w:eastAsia="Times New Roman" w:hAnsi="Calibri" w:cs="Times New Roman"/>
                <w:color w:val="000000"/>
                <w:sz w:val="18"/>
                <w:szCs w:val="18"/>
              </w:rPr>
              <w:t>%</w:t>
            </w:r>
          </w:p>
        </w:tc>
        <w:tc>
          <w:tcPr>
            <w:tcW w:w="1260" w:type="dxa"/>
            <w:tcBorders>
              <w:top w:val="single" w:sz="4" w:space="0" w:color="auto"/>
            </w:tcBorders>
            <w:noWrap/>
            <w:hideMark/>
          </w:tcPr>
          <w:p w14:paraId="77DF8999"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43</w:t>
            </w:r>
            <w:r w:rsidRPr="000A28AD">
              <w:rPr>
                <w:rFonts w:ascii="Calibri" w:eastAsia="Times New Roman" w:hAnsi="Calibri" w:cs="Times New Roman"/>
                <w:color w:val="000000"/>
                <w:sz w:val="18"/>
                <w:szCs w:val="18"/>
              </w:rPr>
              <w:t>%</w:t>
            </w:r>
          </w:p>
        </w:tc>
        <w:tc>
          <w:tcPr>
            <w:tcW w:w="1350" w:type="dxa"/>
            <w:tcBorders>
              <w:top w:val="single" w:sz="4" w:space="0" w:color="auto"/>
            </w:tcBorders>
            <w:noWrap/>
            <w:hideMark/>
          </w:tcPr>
          <w:p w14:paraId="55AEA512"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38</w:t>
            </w:r>
          </w:p>
        </w:tc>
        <w:tc>
          <w:tcPr>
            <w:tcW w:w="1355" w:type="dxa"/>
            <w:tcBorders>
              <w:top w:val="single" w:sz="4" w:space="0" w:color="auto"/>
            </w:tcBorders>
            <w:noWrap/>
            <w:hideMark/>
          </w:tcPr>
          <w:p w14:paraId="27FF925C"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66</w:t>
            </w:r>
          </w:p>
        </w:tc>
      </w:tr>
      <w:tr w:rsidR="00391C69" w:rsidRPr="000A28AD" w14:paraId="22D6CDD3"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6A616C6B" w14:textId="77777777"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Profits</w:t>
            </w:r>
          </w:p>
        </w:tc>
        <w:tc>
          <w:tcPr>
            <w:tcW w:w="1440" w:type="dxa"/>
            <w:noWrap/>
            <w:hideMark/>
          </w:tcPr>
          <w:p w14:paraId="36892F45"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17</w:t>
            </w:r>
            <w:r w:rsidRPr="000A28AD">
              <w:rPr>
                <w:rFonts w:ascii="Calibri" w:eastAsia="Times New Roman" w:hAnsi="Calibri" w:cs="Times New Roman"/>
                <w:color w:val="000000"/>
                <w:sz w:val="18"/>
                <w:szCs w:val="18"/>
              </w:rPr>
              <w:t>%</w:t>
            </w:r>
          </w:p>
        </w:tc>
        <w:tc>
          <w:tcPr>
            <w:tcW w:w="1350" w:type="dxa"/>
            <w:noWrap/>
            <w:hideMark/>
          </w:tcPr>
          <w:p w14:paraId="47E74135"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34</w:t>
            </w:r>
            <w:r w:rsidRPr="000A28AD">
              <w:rPr>
                <w:rFonts w:ascii="Calibri" w:eastAsia="Times New Roman" w:hAnsi="Calibri" w:cs="Times New Roman"/>
                <w:color w:val="000000"/>
                <w:sz w:val="18"/>
                <w:szCs w:val="18"/>
              </w:rPr>
              <w:t>%</w:t>
            </w:r>
          </w:p>
        </w:tc>
        <w:tc>
          <w:tcPr>
            <w:tcW w:w="1260" w:type="dxa"/>
            <w:noWrap/>
            <w:hideMark/>
          </w:tcPr>
          <w:p w14:paraId="0DBD719D"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49</w:t>
            </w:r>
            <w:r w:rsidRPr="000A28AD">
              <w:rPr>
                <w:rFonts w:ascii="Calibri" w:eastAsia="Times New Roman" w:hAnsi="Calibri" w:cs="Times New Roman"/>
                <w:color w:val="000000"/>
                <w:sz w:val="18"/>
                <w:szCs w:val="18"/>
              </w:rPr>
              <w:t>%</w:t>
            </w:r>
          </w:p>
        </w:tc>
        <w:tc>
          <w:tcPr>
            <w:tcW w:w="1350" w:type="dxa"/>
            <w:noWrap/>
            <w:hideMark/>
          </w:tcPr>
          <w:p w14:paraId="37BC41F8"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34</w:t>
            </w:r>
          </w:p>
        </w:tc>
        <w:tc>
          <w:tcPr>
            <w:tcW w:w="1355" w:type="dxa"/>
            <w:noWrap/>
            <w:hideMark/>
          </w:tcPr>
          <w:p w14:paraId="4C3B87D5"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p>
        </w:tc>
      </w:tr>
      <w:tr w:rsidR="00391C69" w:rsidRPr="000A28AD" w14:paraId="31DAEC76"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25A2CA28" w14:textId="77777777"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Productivity</w:t>
            </w:r>
          </w:p>
        </w:tc>
        <w:tc>
          <w:tcPr>
            <w:tcW w:w="1440" w:type="dxa"/>
            <w:noWrap/>
            <w:hideMark/>
          </w:tcPr>
          <w:p w14:paraId="71322457"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16</w:t>
            </w:r>
            <w:r w:rsidRPr="000A28AD">
              <w:rPr>
                <w:rFonts w:ascii="Calibri" w:eastAsia="Times New Roman" w:hAnsi="Calibri" w:cs="Times New Roman"/>
                <w:color w:val="000000"/>
                <w:sz w:val="18"/>
                <w:szCs w:val="18"/>
              </w:rPr>
              <w:t>%</w:t>
            </w:r>
          </w:p>
        </w:tc>
        <w:tc>
          <w:tcPr>
            <w:tcW w:w="1350" w:type="dxa"/>
            <w:noWrap/>
            <w:hideMark/>
          </w:tcPr>
          <w:p w14:paraId="2BA90635"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48</w:t>
            </w:r>
            <w:r w:rsidRPr="000A28AD">
              <w:rPr>
                <w:rFonts w:ascii="Calibri" w:eastAsia="Times New Roman" w:hAnsi="Calibri" w:cs="Times New Roman"/>
                <w:color w:val="000000"/>
                <w:sz w:val="18"/>
                <w:szCs w:val="18"/>
              </w:rPr>
              <w:t>%</w:t>
            </w:r>
          </w:p>
        </w:tc>
        <w:tc>
          <w:tcPr>
            <w:tcW w:w="1260" w:type="dxa"/>
            <w:noWrap/>
            <w:hideMark/>
          </w:tcPr>
          <w:p w14:paraId="0E5FE89D"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36</w:t>
            </w:r>
            <w:r w:rsidRPr="000A28AD">
              <w:rPr>
                <w:rFonts w:ascii="Calibri" w:eastAsia="Times New Roman" w:hAnsi="Calibri" w:cs="Times New Roman"/>
                <w:color w:val="000000"/>
                <w:sz w:val="18"/>
                <w:szCs w:val="18"/>
              </w:rPr>
              <w:t>%</w:t>
            </w:r>
          </w:p>
        </w:tc>
        <w:tc>
          <w:tcPr>
            <w:tcW w:w="1350" w:type="dxa"/>
            <w:noWrap/>
            <w:hideMark/>
          </w:tcPr>
          <w:p w14:paraId="106B7BD8"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40</w:t>
            </w:r>
          </w:p>
        </w:tc>
        <w:tc>
          <w:tcPr>
            <w:tcW w:w="1355" w:type="dxa"/>
            <w:noWrap/>
            <w:hideMark/>
          </w:tcPr>
          <w:p w14:paraId="067AD8C7"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67</w:t>
            </w:r>
          </w:p>
        </w:tc>
      </w:tr>
      <w:tr w:rsidR="00391C69" w:rsidRPr="000A28AD" w14:paraId="3991C054"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36AE3E1D" w14:textId="77777777"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Employment level</w:t>
            </w:r>
          </w:p>
        </w:tc>
        <w:tc>
          <w:tcPr>
            <w:tcW w:w="1440" w:type="dxa"/>
            <w:noWrap/>
            <w:hideMark/>
          </w:tcPr>
          <w:p w14:paraId="5591B0CE"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Pr="000A28AD">
              <w:rPr>
                <w:rFonts w:ascii="Calibri" w:eastAsia="Times New Roman" w:hAnsi="Calibri" w:cs="Times New Roman"/>
                <w:color w:val="000000"/>
                <w:sz w:val="18"/>
                <w:szCs w:val="18"/>
              </w:rPr>
              <w:t>%</w:t>
            </w:r>
          </w:p>
        </w:tc>
        <w:tc>
          <w:tcPr>
            <w:tcW w:w="1350" w:type="dxa"/>
            <w:noWrap/>
            <w:hideMark/>
          </w:tcPr>
          <w:p w14:paraId="5138B99C"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65</w:t>
            </w:r>
            <w:r w:rsidRPr="000A28AD">
              <w:rPr>
                <w:rFonts w:ascii="Calibri" w:eastAsia="Times New Roman" w:hAnsi="Calibri" w:cs="Times New Roman"/>
                <w:color w:val="000000"/>
                <w:sz w:val="18"/>
                <w:szCs w:val="18"/>
              </w:rPr>
              <w:t>%</w:t>
            </w:r>
          </w:p>
        </w:tc>
        <w:tc>
          <w:tcPr>
            <w:tcW w:w="1260" w:type="dxa"/>
            <w:noWrap/>
            <w:hideMark/>
          </w:tcPr>
          <w:p w14:paraId="0835694C"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25</w:t>
            </w:r>
            <w:r w:rsidRPr="000A28AD">
              <w:rPr>
                <w:rFonts w:ascii="Calibri" w:eastAsia="Times New Roman" w:hAnsi="Calibri" w:cs="Times New Roman"/>
                <w:color w:val="000000"/>
                <w:sz w:val="18"/>
                <w:szCs w:val="18"/>
              </w:rPr>
              <w:t>%</w:t>
            </w:r>
          </w:p>
        </w:tc>
        <w:tc>
          <w:tcPr>
            <w:tcW w:w="1350" w:type="dxa"/>
            <w:noWrap/>
            <w:hideMark/>
          </w:tcPr>
          <w:p w14:paraId="04153100"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43</w:t>
            </w:r>
          </w:p>
        </w:tc>
        <w:tc>
          <w:tcPr>
            <w:tcW w:w="1355" w:type="dxa"/>
            <w:noWrap/>
            <w:hideMark/>
          </w:tcPr>
          <w:p w14:paraId="3C057CCE"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p>
        </w:tc>
      </w:tr>
      <w:tr w:rsidR="00391C69" w:rsidRPr="000A28AD" w14:paraId="1889850F"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278C3A06" w14:textId="77777777"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Labor availability</w:t>
            </w:r>
          </w:p>
        </w:tc>
        <w:tc>
          <w:tcPr>
            <w:tcW w:w="1440" w:type="dxa"/>
            <w:noWrap/>
            <w:hideMark/>
          </w:tcPr>
          <w:p w14:paraId="499AB40C"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Pr="000A28AD">
              <w:rPr>
                <w:rFonts w:ascii="Calibri" w:eastAsia="Times New Roman" w:hAnsi="Calibri" w:cs="Times New Roman"/>
                <w:color w:val="000000"/>
                <w:sz w:val="18"/>
                <w:szCs w:val="18"/>
              </w:rPr>
              <w:t>%</w:t>
            </w:r>
          </w:p>
        </w:tc>
        <w:tc>
          <w:tcPr>
            <w:tcW w:w="1350" w:type="dxa"/>
            <w:noWrap/>
            <w:hideMark/>
          </w:tcPr>
          <w:p w14:paraId="4EFA0F38"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67</w:t>
            </w:r>
            <w:r w:rsidRPr="000A28AD">
              <w:rPr>
                <w:rFonts w:ascii="Calibri" w:eastAsia="Times New Roman" w:hAnsi="Calibri" w:cs="Times New Roman"/>
                <w:color w:val="000000"/>
                <w:sz w:val="18"/>
                <w:szCs w:val="18"/>
              </w:rPr>
              <w:t>%</w:t>
            </w:r>
          </w:p>
        </w:tc>
        <w:tc>
          <w:tcPr>
            <w:tcW w:w="1260" w:type="dxa"/>
            <w:noWrap/>
            <w:hideMark/>
          </w:tcPr>
          <w:p w14:paraId="6A26AF88"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19</w:t>
            </w:r>
            <w:r w:rsidRPr="000A28AD">
              <w:rPr>
                <w:rFonts w:ascii="Calibri" w:eastAsia="Times New Roman" w:hAnsi="Calibri" w:cs="Times New Roman"/>
                <w:color w:val="000000"/>
                <w:sz w:val="18"/>
                <w:szCs w:val="18"/>
              </w:rPr>
              <w:t>%</w:t>
            </w:r>
          </w:p>
        </w:tc>
        <w:tc>
          <w:tcPr>
            <w:tcW w:w="1350" w:type="dxa"/>
            <w:noWrap/>
            <w:hideMark/>
          </w:tcPr>
          <w:p w14:paraId="6928EC97"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48</w:t>
            </w:r>
          </w:p>
        </w:tc>
        <w:tc>
          <w:tcPr>
            <w:tcW w:w="1355" w:type="dxa"/>
            <w:noWrap/>
            <w:hideMark/>
          </w:tcPr>
          <w:p w14:paraId="6209442E"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47</w:t>
            </w:r>
          </w:p>
        </w:tc>
      </w:tr>
      <w:tr w:rsidR="00391C69" w:rsidRPr="000A28AD" w14:paraId="0F2FEDFB"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6EC25CF3" w14:textId="77777777"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Selling prices</w:t>
            </w:r>
            <w:r>
              <w:rPr>
                <w:rFonts w:ascii="Calibri" w:eastAsia="Times New Roman" w:hAnsi="Calibri" w:cs="Times New Roman"/>
                <w:b w:val="0"/>
                <w:color w:val="000000"/>
                <w:sz w:val="18"/>
                <w:szCs w:val="18"/>
              </w:rPr>
              <w:br/>
              <w:t xml:space="preserve">Input </w:t>
            </w:r>
            <w:r w:rsidR="00097993">
              <w:rPr>
                <w:rFonts w:ascii="Calibri" w:eastAsia="Times New Roman" w:hAnsi="Calibri" w:cs="Times New Roman"/>
                <w:b w:val="0"/>
                <w:color w:val="000000"/>
                <w:sz w:val="18"/>
                <w:szCs w:val="18"/>
              </w:rPr>
              <w:t>c</w:t>
            </w:r>
            <w:r>
              <w:rPr>
                <w:rFonts w:ascii="Calibri" w:eastAsia="Times New Roman" w:hAnsi="Calibri" w:cs="Times New Roman"/>
                <w:b w:val="0"/>
                <w:color w:val="000000"/>
                <w:sz w:val="18"/>
                <w:szCs w:val="18"/>
              </w:rPr>
              <w:t>ost</w:t>
            </w:r>
            <w:r w:rsidR="00FA15BD">
              <w:rPr>
                <w:rFonts w:ascii="Calibri" w:eastAsia="Times New Roman" w:hAnsi="Calibri" w:cs="Times New Roman"/>
                <w:b w:val="0"/>
                <w:color w:val="000000"/>
                <w:sz w:val="18"/>
                <w:szCs w:val="18"/>
              </w:rPr>
              <w:t>s</w:t>
            </w:r>
          </w:p>
        </w:tc>
        <w:tc>
          <w:tcPr>
            <w:tcW w:w="1440" w:type="dxa"/>
            <w:noWrap/>
            <w:hideMark/>
          </w:tcPr>
          <w:p w14:paraId="3174C193"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r w:rsidRPr="000A28AD">
              <w:rPr>
                <w:rFonts w:ascii="Calibri" w:eastAsia="Times New Roman" w:hAnsi="Calibri" w:cs="Times New Roman"/>
                <w:color w:val="000000"/>
                <w:sz w:val="18"/>
                <w:szCs w:val="18"/>
              </w:rPr>
              <w:t>%</w:t>
            </w:r>
            <w:r>
              <w:rPr>
                <w:rFonts w:ascii="Calibri" w:eastAsia="Times New Roman" w:hAnsi="Calibri" w:cs="Times New Roman"/>
                <w:color w:val="000000"/>
                <w:sz w:val="18"/>
                <w:szCs w:val="18"/>
              </w:rPr>
              <w:br/>
              <w:t>22%</w:t>
            </w:r>
          </w:p>
        </w:tc>
        <w:tc>
          <w:tcPr>
            <w:tcW w:w="1350" w:type="dxa"/>
            <w:noWrap/>
            <w:hideMark/>
          </w:tcPr>
          <w:p w14:paraId="6733026F"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74</w:t>
            </w:r>
            <w:r w:rsidRPr="000A28AD">
              <w:rPr>
                <w:rFonts w:ascii="Calibri" w:eastAsia="Times New Roman" w:hAnsi="Calibri" w:cs="Times New Roman"/>
                <w:color w:val="000000"/>
                <w:sz w:val="18"/>
                <w:szCs w:val="18"/>
              </w:rPr>
              <w:t>%</w:t>
            </w:r>
            <w:r>
              <w:rPr>
                <w:rFonts w:ascii="Calibri" w:eastAsia="Times New Roman" w:hAnsi="Calibri" w:cs="Times New Roman"/>
                <w:color w:val="000000"/>
                <w:sz w:val="18"/>
                <w:szCs w:val="18"/>
              </w:rPr>
              <w:br/>
              <w:t>68%</w:t>
            </w:r>
          </w:p>
        </w:tc>
        <w:tc>
          <w:tcPr>
            <w:tcW w:w="1260" w:type="dxa"/>
            <w:noWrap/>
            <w:hideMark/>
          </w:tcPr>
          <w:p w14:paraId="2AF15AF4"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17</w:t>
            </w:r>
            <w:r w:rsidRPr="000A28AD">
              <w:rPr>
                <w:rFonts w:ascii="Calibri" w:eastAsia="Times New Roman" w:hAnsi="Calibri" w:cs="Times New Roman"/>
                <w:color w:val="000000"/>
                <w:sz w:val="18"/>
                <w:szCs w:val="18"/>
              </w:rPr>
              <w:t>%</w:t>
            </w:r>
            <w:r>
              <w:rPr>
                <w:rFonts w:ascii="Calibri" w:eastAsia="Times New Roman" w:hAnsi="Calibri" w:cs="Times New Roman"/>
                <w:color w:val="000000"/>
                <w:sz w:val="18"/>
                <w:szCs w:val="18"/>
              </w:rPr>
              <w:br/>
              <w:t>10%</w:t>
            </w:r>
          </w:p>
        </w:tc>
        <w:tc>
          <w:tcPr>
            <w:tcW w:w="1350" w:type="dxa"/>
            <w:noWrap/>
            <w:hideMark/>
          </w:tcPr>
          <w:p w14:paraId="083B1B6F"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46</w:t>
            </w:r>
            <w:r>
              <w:rPr>
                <w:rFonts w:ascii="Calibri" w:eastAsia="Times New Roman" w:hAnsi="Calibri" w:cs="Times New Roman"/>
                <w:color w:val="000000"/>
                <w:sz w:val="18"/>
                <w:szCs w:val="18"/>
              </w:rPr>
              <w:br/>
              <w:t>56</w:t>
            </w:r>
          </w:p>
        </w:tc>
        <w:tc>
          <w:tcPr>
            <w:tcW w:w="1355" w:type="dxa"/>
            <w:noWrap/>
            <w:hideMark/>
          </w:tcPr>
          <w:p w14:paraId="5E982E2A"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60</w:t>
            </w:r>
            <w:r>
              <w:rPr>
                <w:rFonts w:ascii="Calibri" w:eastAsia="Times New Roman" w:hAnsi="Calibri" w:cs="Times New Roman"/>
                <w:color w:val="000000"/>
                <w:sz w:val="18"/>
                <w:szCs w:val="18"/>
              </w:rPr>
              <w:br/>
              <w:t>67</w:t>
            </w:r>
          </w:p>
        </w:tc>
      </w:tr>
      <w:tr w:rsidR="00391C69" w:rsidRPr="000A28AD" w14:paraId="4E681614"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3CC97F2A" w14:textId="77777777"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Space occupied (</w:t>
            </w:r>
            <w:r w:rsidR="00097993">
              <w:rPr>
                <w:rFonts w:ascii="Calibri" w:eastAsia="Times New Roman" w:hAnsi="Calibri" w:cs="Times New Roman"/>
                <w:b w:val="0"/>
                <w:color w:val="000000"/>
                <w:sz w:val="18"/>
                <w:szCs w:val="18"/>
              </w:rPr>
              <w:t>s</w:t>
            </w:r>
            <w:r>
              <w:rPr>
                <w:rFonts w:ascii="Calibri" w:eastAsia="Times New Roman" w:hAnsi="Calibri" w:cs="Times New Roman"/>
                <w:b w:val="0"/>
                <w:color w:val="000000"/>
                <w:sz w:val="18"/>
                <w:szCs w:val="18"/>
              </w:rPr>
              <w:t>quare footage)</w:t>
            </w:r>
          </w:p>
        </w:tc>
        <w:tc>
          <w:tcPr>
            <w:tcW w:w="1440" w:type="dxa"/>
            <w:noWrap/>
            <w:hideMark/>
          </w:tcPr>
          <w:p w14:paraId="192044F4"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Pr="000A28AD">
              <w:rPr>
                <w:rFonts w:ascii="Calibri" w:eastAsia="Times New Roman" w:hAnsi="Calibri" w:cs="Times New Roman"/>
                <w:color w:val="000000"/>
                <w:sz w:val="18"/>
                <w:szCs w:val="18"/>
              </w:rPr>
              <w:t>%</w:t>
            </w:r>
          </w:p>
        </w:tc>
        <w:tc>
          <w:tcPr>
            <w:tcW w:w="1350" w:type="dxa"/>
            <w:noWrap/>
            <w:hideMark/>
          </w:tcPr>
          <w:p w14:paraId="0601FE30"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78</w:t>
            </w:r>
            <w:r w:rsidRPr="000A28AD">
              <w:rPr>
                <w:rFonts w:ascii="Calibri" w:eastAsia="Times New Roman" w:hAnsi="Calibri" w:cs="Times New Roman"/>
                <w:color w:val="000000"/>
                <w:sz w:val="18"/>
                <w:szCs w:val="18"/>
              </w:rPr>
              <w:t>%</w:t>
            </w:r>
          </w:p>
        </w:tc>
        <w:tc>
          <w:tcPr>
            <w:tcW w:w="1260" w:type="dxa"/>
            <w:noWrap/>
            <w:hideMark/>
          </w:tcPr>
          <w:p w14:paraId="15813E19"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19</w:t>
            </w:r>
            <w:r w:rsidRPr="000A28AD">
              <w:rPr>
                <w:rFonts w:ascii="Calibri" w:eastAsia="Times New Roman" w:hAnsi="Calibri" w:cs="Times New Roman"/>
                <w:color w:val="000000"/>
                <w:sz w:val="18"/>
                <w:szCs w:val="18"/>
              </w:rPr>
              <w:t>%</w:t>
            </w:r>
          </w:p>
        </w:tc>
        <w:tc>
          <w:tcPr>
            <w:tcW w:w="1350" w:type="dxa"/>
            <w:noWrap/>
            <w:hideMark/>
          </w:tcPr>
          <w:p w14:paraId="1A380393"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42</w:t>
            </w:r>
          </w:p>
        </w:tc>
        <w:tc>
          <w:tcPr>
            <w:tcW w:w="1355" w:type="dxa"/>
            <w:noWrap/>
            <w:hideMark/>
          </w:tcPr>
          <w:p w14:paraId="71EDE49C"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53</w:t>
            </w:r>
          </w:p>
        </w:tc>
      </w:tr>
      <w:tr w:rsidR="00391C69" w:rsidRPr="000A28AD" w14:paraId="3EA5E442"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0A23DC34" w14:textId="77777777" w:rsidR="00391C69" w:rsidRPr="00174C4B" w:rsidRDefault="00391C69" w:rsidP="00391C69">
            <w:pPr>
              <w:rPr>
                <w:rFonts w:ascii="Calibri" w:eastAsia="Times New Roman" w:hAnsi="Calibri" w:cs="Times New Roman"/>
                <w:b w:val="0"/>
                <w:color w:val="000000"/>
                <w:sz w:val="18"/>
                <w:szCs w:val="18"/>
              </w:rPr>
            </w:pPr>
            <w:r w:rsidRPr="00174C4B">
              <w:rPr>
                <w:rFonts w:eastAsia="Times New Roman" w:cs="Times New Roman"/>
                <w:b w:val="0"/>
                <w:color w:val="000000"/>
                <w:sz w:val="18"/>
                <w:szCs w:val="18"/>
              </w:rPr>
              <w:t>Exports (sales for foreign clients)</w:t>
            </w:r>
          </w:p>
        </w:tc>
        <w:tc>
          <w:tcPr>
            <w:tcW w:w="1440" w:type="dxa"/>
            <w:noWrap/>
            <w:hideMark/>
          </w:tcPr>
          <w:p w14:paraId="1CC36FB0"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Pr="000A28AD">
              <w:rPr>
                <w:rFonts w:ascii="Calibri" w:eastAsia="Times New Roman" w:hAnsi="Calibri" w:cs="Times New Roman"/>
                <w:color w:val="000000"/>
                <w:sz w:val="18"/>
                <w:szCs w:val="18"/>
              </w:rPr>
              <w:t>%</w:t>
            </w:r>
          </w:p>
        </w:tc>
        <w:tc>
          <w:tcPr>
            <w:tcW w:w="1350" w:type="dxa"/>
            <w:noWrap/>
            <w:hideMark/>
          </w:tcPr>
          <w:p w14:paraId="10A080A4"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84</w:t>
            </w:r>
            <w:r w:rsidRPr="000A28AD">
              <w:rPr>
                <w:rFonts w:ascii="Calibri" w:eastAsia="Times New Roman" w:hAnsi="Calibri" w:cs="Times New Roman"/>
                <w:color w:val="000000"/>
                <w:sz w:val="18"/>
                <w:szCs w:val="18"/>
              </w:rPr>
              <w:t>%</w:t>
            </w:r>
          </w:p>
        </w:tc>
        <w:tc>
          <w:tcPr>
            <w:tcW w:w="1260" w:type="dxa"/>
            <w:noWrap/>
            <w:hideMark/>
          </w:tcPr>
          <w:p w14:paraId="7873D4EA"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r w:rsidRPr="000A28AD">
              <w:rPr>
                <w:rFonts w:ascii="Calibri" w:eastAsia="Times New Roman" w:hAnsi="Calibri" w:cs="Times New Roman"/>
                <w:color w:val="000000"/>
                <w:sz w:val="18"/>
                <w:szCs w:val="18"/>
              </w:rPr>
              <w:t>%</w:t>
            </w:r>
          </w:p>
        </w:tc>
        <w:tc>
          <w:tcPr>
            <w:tcW w:w="1350" w:type="dxa"/>
            <w:noWrap/>
            <w:hideMark/>
          </w:tcPr>
          <w:p w14:paraId="0EBBFDD6"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46</w:t>
            </w:r>
          </w:p>
        </w:tc>
        <w:tc>
          <w:tcPr>
            <w:tcW w:w="1355" w:type="dxa"/>
            <w:noWrap/>
            <w:hideMark/>
          </w:tcPr>
          <w:p w14:paraId="5D05B2B6"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50</w:t>
            </w:r>
          </w:p>
        </w:tc>
      </w:tr>
    </w:tbl>
    <w:p w14:paraId="7D328047" w14:textId="77777777" w:rsidR="00A97C01" w:rsidRPr="000A28AD" w:rsidRDefault="00A97C01" w:rsidP="009B3DF5">
      <w:pPr>
        <w:spacing w:after="0" w:line="72" w:lineRule="auto"/>
        <w:rPr>
          <w:sz w:val="18"/>
          <w:szCs w:val="18"/>
        </w:rPr>
      </w:pPr>
    </w:p>
    <w:tbl>
      <w:tblPr>
        <w:tblStyle w:val="PlainTable4"/>
        <w:tblW w:w="10526"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Indicators for Labor Indicators Expectations Following Year"/>
        <w:tblDescription w:val="Table showing that 42 percent of respondents expecting no changes in wages per worker. Sixty-three percent expect no changes in benefits per worker."/>
      </w:tblPr>
      <w:tblGrid>
        <w:gridCol w:w="2885"/>
        <w:gridCol w:w="902"/>
        <w:gridCol w:w="1334"/>
        <w:gridCol w:w="1440"/>
        <w:gridCol w:w="1170"/>
        <w:gridCol w:w="1350"/>
        <w:gridCol w:w="1445"/>
      </w:tblGrid>
      <w:tr w:rsidR="00E647F4" w:rsidRPr="00C2294E" w14:paraId="119FC42D"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2885" w:type="dxa"/>
            <w:tcBorders>
              <w:top w:val="single" w:sz="4" w:space="0" w:color="auto"/>
              <w:bottom w:val="single" w:sz="4" w:space="0" w:color="auto"/>
            </w:tcBorders>
            <w:shd w:val="clear" w:color="auto" w:fill="BDD6EE" w:themeFill="accent1" w:themeFillTint="66"/>
            <w:noWrap/>
            <w:hideMark/>
          </w:tcPr>
          <w:p w14:paraId="15702EDD" w14:textId="77777777" w:rsidR="00A97C01" w:rsidRPr="000A28AD" w:rsidRDefault="000A28AD" w:rsidP="000A28A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Expected l</w:t>
            </w:r>
            <w:r w:rsidR="00722892" w:rsidRPr="000A28AD">
              <w:rPr>
                <w:rFonts w:ascii="Calibri" w:eastAsia="Times New Roman" w:hAnsi="Calibri" w:cs="Times New Roman"/>
                <w:color w:val="000000"/>
                <w:sz w:val="18"/>
                <w:szCs w:val="18"/>
              </w:rPr>
              <w:t>abor i</w:t>
            </w:r>
            <w:r w:rsidR="0023223B">
              <w:rPr>
                <w:rFonts w:ascii="Calibri" w:eastAsia="Times New Roman" w:hAnsi="Calibri" w:cs="Times New Roman"/>
                <w:color w:val="000000"/>
                <w:sz w:val="18"/>
                <w:szCs w:val="18"/>
              </w:rPr>
              <w:t>ndi</w:t>
            </w:r>
            <w:r w:rsidR="00391C69">
              <w:rPr>
                <w:rFonts w:ascii="Calibri" w:eastAsia="Times New Roman" w:hAnsi="Calibri" w:cs="Times New Roman"/>
                <w:color w:val="000000"/>
                <w:sz w:val="18"/>
                <w:szCs w:val="18"/>
              </w:rPr>
              <w:t>cators during next four quarters</w:t>
            </w:r>
            <w:r w:rsidR="00531B2D" w:rsidRPr="000A28AD">
              <w:rPr>
                <w:rFonts w:ascii="Calibri" w:eastAsia="Times New Roman" w:hAnsi="Calibri" w:cs="Times New Roman"/>
                <w:color w:val="000000"/>
                <w:sz w:val="18"/>
                <w:szCs w:val="18"/>
              </w:rPr>
              <w:t>:</w:t>
            </w:r>
          </w:p>
        </w:tc>
        <w:tc>
          <w:tcPr>
            <w:tcW w:w="902" w:type="dxa"/>
            <w:tcBorders>
              <w:top w:val="single" w:sz="4" w:space="0" w:color="auto"/>
              <w:bottom w:val="single" w:sz="4" w:space="0" w:color="auto"/>
            </w:tcBorders>
            <w:shd w:val="clear" w:color="auto" w:fill="BDD6EE" w:themeFill="accent1" w:themeFillTint="66"/>
            <w:noWrap/>
            <w:hideMark/>
          </w:tcPr>
          <w:p w14:paraId="0BC28C8F"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Decrease</w:t>
            </w:r>
          </w:p>
        </w:tc>
        <w:tc>
          <w:tcPr>
            <w:tcW w:w="1334" w:type="dxa"/>
            <w:tcBorders>
              <w:top w:val="single" w:sz="4" w:space="0" w:color="auto"/>
              <w:bottom w:val="single" w:sz="4" w:space="0" w:color="auto"/>
            </w:tcBorders>
            <w:shd w:val="clear" w:color="auto" w:fill="BDD6EE" w:themeFill="accent1" w:themeFillTint="66"/>
            <w:noWrap/>
            <w:hideMark/>
          </w:tcPr>
          <w:p w14:paraId="41970D3C"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0</w:t>
            </w:r>
          </w:p>
        </w:tc>
        <w:tc>
          <w:tcPr>
            <w:tcW w:w="1440" w:type="dxa"/>
            <w:tcBorders>
              <w:top w:val="single" w:sz="4" w:space="0" w:color="auto"/>
              <w:bottom w:val="single" w:sz="4" w:space="0" w:color="auto"/>
            </w:tcBorders>
            <w:shd w:val="clear" w:color="auto" w:fill="BDD6EE" w:themeFill="accent1" w:themeFillTint="66"/>
            <w:noWrap/>
            <w:hideMark/>
          </w:tcPr>
          <w:p w14:paraId="5AE394FB"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1-2%</w:t>
            </w:r>
          </w:p>
        </w:tc>
        <w:tc>
          <w:tcPr>
            <w:tcW w:w="1170" w:type="dxa"/>
            <w:tcBorders>
              <w:top w:val="single" w:sz="4" w:space="0" w:color="auto"/>
              <w:bottom w:val="single" w:sz="4" w:space="0" w:color="auto"/>
            </w:tcBorders>
            <w:shd w:val="clear" w:color="auto" w:fill="BDD6EE" w:themeFill="accent1" w:themeFillTint="66"/>
            <w:noWrap/>
            <w:hideMark/>
          </w:tcPr>
          <w:p w14:paraId="67D74762"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3-5%</w:t>
            </w:r>
          </w:p>
        </w:tc>
        <w:tc>
          <w:tcPr>
            <w:tcW w:w="1350" w:type="dxa"/>
            <w:tcBorders>
              <w:top w:val="single" w:sz="4" w:space="0" w:color="auto"/>
              <w:bottom w:val="single" w:sz="4" w:space="0" w:color="auto"/>
            </w:tcBorders>
            <w:shd w:val="clear" w:color="auto" w:fill="BDD6EE" w:themeFill="accent1" w:themeFillTint="66"/>
            <w:noWrap/>
            <w:hideMark/>
          </w:tcPr>
          <w:p w14:paraId="48DA7183"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6-9%</w:t>
            </w:r>
          </w:p>
        </w:tc>
        <w:tc>
          <w:tcPr>
            <w:tcW w:w="1445" w:type="dxa"/>
            <w:tcBorders>
              <w:top w:val="single" w:sz="4" w:space="0" w:color="auto"/>
              <w:bottom w:val="single" w:sz="4" w:space="0" w:color="auto"/>
            </w:tcBorders>
            <w:shd w:val="clear" w:color="auto" w:fill="BDD6EE" w:themeFill="accent1" w:themeFillTint="66"/>
            <w:noWrap/>
            <w:hideMark/>
          </w:tcPr>
          <w:p w14:paraId="7F41928A"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&gt;10%</w:t>
            </w:r>
          </w:p>
        </w:tc>
      </w:tr>
      <w:tr w:rsidR="00E647F4" w:rsidRPr="00C2294E" w14:paraId="1B51C37E" w14:textId="77777777" w:rsidTr="000A28AD">
        <w:trPr>
          <w:trHeight w:val="144"/>
          <w:jc w:val="center"/>
        </w:trPr>
        <w:tc>
          <w:tcPr>
            <w:tcW w:w="2885" w:type="dxa"/>
            <w:tcBorders>
              <w:top w:val="single" w:sz="4" w:space="0" w:color="auto"/>
            </w:tcBorders>
            <w:noWrap/>
            <w:hideMark/>
          </w:tcPr>
          <w:p w14:paraId="3935B88E" w14:textId="77777777" w:rsidR="00A97C01" w:rsidRPr="000A28AD" w:rsidRDefault="00A97C01"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Wages per worker</w:t>
            </w:r>
          </w:p>
        </w:tc>
        <w:tc>
          <w:tcPr>
            <w:tcW w:w="902" w:type="dxa"/>
            <w:tcBorders>
              <w:top w:val="single" w:sz="4" w:space="0" w:color="auto"/>
            </w:tcBorders>
            <w:noWrap/>
            <w:hideMark/>
          </w:tcPr>
          <w:p w14:paraId="5CF600FE" w14:textId="77777777" w:rsidR="00A97C01" w:rsidRPr="000A28AD" w:rsidRDefault="00391C6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A97C01" w:rsidRPr="000A28AD">
              <w:rPr>
                <w:rFonts w:ascii="Calibri" w:eastAsia="Times New Roman" w:hAnsi="Calibri" w:cs="Times New Roman"/>
                <w:color w:val="000000"/>
                <w:sz w:val="18"/>
                <w:szCs w:val="18"/>
              </w:rPr>
              <w:t>%</w:t>
            </w:r>
          </w:p>
        </w:tc>
        <w:tc>
          <w:tcPr>
            <w:tcW w:w="1334" w:type="dxa"/>
            <w:tcBorders>
              <w:top w:val="single" w:sz="4" w:space="0" w:color="auto"/>
            </w:tcBorders>
            <w:noWrap/>
            <w:hideMark/>
          </w:tcPr>
          <w:p w14:paraId="6490EF35" w14:textId="77777777" w:rsidR="00A97C01" w:rsidRPr="000A28AD" w:rsidRDefault="00391C69"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42</w:t>
            </w:r>
            <w:r w:rsidR="00A97C01" w:rsidRPr="000A28AD">
              <w:rPr>
                <w:rFonts w:ascii="Calibri" w:eastAsia="Times New Roman" w:hAnsi="Calibri" w:cs="Times New Roman"/>
                <w:color w:val="000000"/>
                <w:sz w:val="18"/>
                <w:szCs w:val="18"/>
              </w:rPr>
              <w:t>%</w:t>
            </w:r>
          </w:p>
        </w:tc>
        <w:tc>
          <w:tcPr>
            <w:tcW w:w="1440" w:type="dxa"/>
            <w:tcBorders>
              <w:top w:val="single" w:sz="4" w:space="0" w:color="auto"/>
            </w:tcBorders>
            <w:noWrap/>
            <w:hideMark/>
          </w:tcPr>
          <w:p w14:paraId="2735A36A" w14:textId="77777777" w:rsidR="00A97C01" w:rsidRPr="000A28AD" w:rsidRDefault="00391C69"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19</w:t>
            </w:r>
            <w:r w:rsidR="00A97C01" w:rsidRPr="000A28AD">
              <w:rPr>
                <w:rFonts w:ascii="Calibri" w:eastAsia="Times New Roman" w:hAnsi="Calibri" w:cs="Times New Roman"/>
                <w:color w:val="000000"/>
                <w:sz w:val="18"/>
                <w:szCs w:val="18"/>
              </w:rPr>
              <w:t>%</w:t>
            </w:r>
          </w:p>
        </w:tc>
        <w:tc>
          <w:tcPr>
            <w:tcW w:w="1170" w:type="dxa"/>
            <w:tcBorders>
              <w:top w:val="single" w:sz="4" w:space="0" w:color="auto"/>
            </w:tcBorders>
            <w:noWrap/>
            <w:hideMark/>
          </w:tcPr>
          <w:p w14:paraId="4FCAE735" w14:textId="77777777" w:rsidR="00A97C01" w:rsidRPr="000A28AD" w:rsidRDefault="00391C69"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22</w:t>
            </w:r>
            <w:r w:rsidR="00A97C01" w:rsidRPr="000A28AD">
              <w:rPr>
                <w:rFonts w:ascii="Calibri" w:eastAsia="Times New Roman" w:hAnsi="Calibri" w:cs="Times New Roman"/>
                <w:color w:val="000000"/>
                <w:sz w:val="18"/>
                <w:szCs w:val="18"/>
              </w:rPr>
              <w:t>%</w:t>
            </w:r>
          </w:p>
        </w:tc>
        <w:tc>
          <w:tcPr>
            <w:tcW w:w="1350" w:type="dxa"/>
            <w:tcBorders>
              <w:top w:val="single" w:sz="4" w:space="0" w:color="auto"/>
            </w:tcBorders>
            <w:noWrap/>
            <w:hideMark/>
          </w:tcPr>
          <w:p w14:paraId="3614C3F5" w14:textId="77777777" w:rsidR="00A97C01" w:rsidRPr="000A28AD" w:rsidRDefault="00391C69"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A97C01" w:rsidRPr="000A28AD">
              <w:rPr>
                <w:rFonts w:ascii="Calibri" w:eastAsia="Times New Roman" w:hAnsi="Calibri" w:cs="Times New Roman"/>
                <w:color w:val="000000"/>
                <w:sz w:val="18"/>
                <w:szCs w:val="18"/>
              </w:rPr>
              <w:t>%</w:t>
            </w:r>
          </w:p>
        </w:tc>
        <w:tc>
          <w:tcPr>
            <w:tcW w:w="1445" w:type="dxa"/>
            <w:tcBorders>
              <w:top w:val="single" w:sz="4" w:space="0" w:color="auto"/>
            </w:tcBorders>
            <w:noWrap/>
            <w:hideMark/>
          </w:tcPr>
          <w:p w14:paraId="55AE5077" w14:textId="77777777" w:rsidR="00A97C01" w:rsidRPr="000A28AD" w:rsidRDefault="00391C69"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A97C01" w:rsidRPr="000A28AD">
              <w:rPr>
                <w:rFonts w:ascii="Calibri" w:eastAsia="Times New Roman" w:hAnsi="Calibri" w:cs="Times New Roman"/>
                <w:color w:val="000000"/>
                <w:sz w:val="18"/>
                <w:szCs w:val="18"/>
              </w:rPr>
              <w:t>%</w:t>
            </w:r>
          </w:p>
        </w:tc>
      </w:tr>
      <w:tr w:rsidR="00E647F4" w:rsidRPr="00C2294E" w14:paraId="3183BFF8" w14:textId="77777777" w:rsidTr="000A28AD">
        <w:trPr>
          <w:trHeight w:val="144"/>
          <w:jc w:val="center"/>
        </w:trPr>
        <w:tc>
          <w:tcPr>
            <w:tcW w:w="2885" w:type="dxa"/>
            <w:noWrap/>
            <w:hideMark/>
          </w:tcPr>
          <w:p w14:paraId="2AC57F95" w14:textId="77777777" w:rsidR="00A97C01" w:rsidRPr="000A28AD" w:rsidRDefault="00A97C01"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Benefits per worker</w:t>
            </w:r>
          </w:p>
        </w:tc>
        <w:tc>
          <w:tcPr>
            <w:tcW w:w="902" w:type="dxa"/>
            <w:noWrap/>
            <w:hideMark/>
          </w:tcPr>
          <w:p w14:paraId="75BC438E" w14:textId="77777777" w:rsidR="00A97C01" w:rsidRPr="000A28AD" w:rsidRDefault="00391C69"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A97C01" w:rsidRPr="000A28AD">
              <w:rPr>
                <w:rFonts w:ascii="Calibri" w:eastAsia="Times New Roman" w:hAnsi="Calibri" w:cs="Times New Roman"/>
                <w:color w:val="000000"/>
                <w:sz w:val="18"/>
                <w:szCs w:val="18"/>
              </w:rPr>
              <w:t>%</w:t>
            </w:r>
          </w:p>
        </w:tc>
        <w:tc>
          <w:tcPr>
            <w:tcW w:w="1334" w:type="dxa"/>
            <w:noWrap/>
            <w:hideMark/>
          </w:tcPr>
          <w:p w14:paraId="527882EA" w14:textId="77777777" w:rsidR="00A97C01" w:rsidRPr="000A28AD" w:rsidRDefault="00391C69"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63</w:t>
            </w:r>
            <w:r w:rsidR="00A97C01" w:rsidRPr="000A28AD">
              <w:rPr>
                <w:rFonts w:ascii="Calibri" w:eastAsia="Times New Roman" w:hAnsi="Calibri" w:cs="Times New Roman"/>
                <w:color w:val="000000"/>
                <w:sz w:val="18"/>
                <w:szCs w:val="18"/>
              </w:rPr>
              <w:t>%</w:t>
            </w:r>
          </w:p>
        </w:tc>
        <w:tc>
          <w:tcPr>
            <w:tcW w:w="1440" w:type="dxa"/>
            <w:noWrap/>
            <w:hideMark/>
          </w:tcPr>
          <w:p w14:paraId="74432D3C" w14:textId="77777777" w:rsidR="00A97C01" w:rsidRPr="000A28AD" w:rsidRDefault="008C7C93"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r w:rsidR="00A97C01" w:rsidRPr="000A28AD">
              <w:rPr>
                <w:rFonts w:ascii="Calibri" w:eastAsia="Times New Roman" w:hAnsi="Calibri" w:cs="Times New Roman"/>
                <w:color w:val="000000"/>
                <w:sz w:val="18"/>
                <w:szCs w:val="18"/>
              </w:rPr>
              <w:t>%</w:t>
            </w:r>
          </w:p>
        </w:tc>
        <w:tc>
          <w:tcPr>
            <w:tcW w:w="1170" w:type="dxa"/>
            <w:noWrap/>
            <w:hideMark/>
          </w:tcPr>
          <w:p w14:paraId="502B5C05" w14:textId="77777777" w:rsidR="00A97C01" w:rsidRPr="000A28AD" w:rsidRDefault="00391C69"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r w:rsidR="00A97C01" w:rsidRPr="000A28AD">
              <w:rPr>
                <w:rFonts w:ascii="Calibri" w:eastAsia="Times New Roman" w:hAnsi="Calibri" w:cs="Times New Roman"/>
                <w:color w:val="000000"/>
                <w:sz w:val="18"/>
                <w:szCs w:val="18"/>
              </w:rPr>
              <w:t>%</w:t>
            </w:r>
          </w:p>
        </w:tc>
        <w:tc>
          <w:tcPr>
            <w:tcW w:w="1350" w:type="dxa"/>
            <w:noWrap/>
            <w:hideMark/>
          </w:tcPr>
          <w:p w14:paraId="2A760429" w14:textId="77777777" w:rsidR="00A97C01" w:rsidRPr="000A28AD" w:rsidRDefault="0089194E"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r w:rsidR="00A97C01" w:rsidRPr="000A28AD">
              <w:rPr>
                <w:rFonts w:ascii="Calibri" w:eastAsia="Times New Roman" w:hAnsi="Calibri" w:cs="Times New Roman"/>
                <w:color w:val="000000"/>
                <w:sz w:val="18"/>
                <w:szCs w:val="18"/>
              </w:rPr>
              <w:t>%</w:t>
            </w:r>
          </w:p>
        </w:tc>
        <w:tc>
          <w:tcPr>
            <w:tcW w:w="1445" w:type="dxa"/>
            <w:noWrap/>
            <w:hideMark/>
          </w:tcPr>
          <w:p w14:paraId="0C8A524B" w14:textId="77777777" w:rsidR="00A97C01" w:rsidRPr="000A28AD" w:rsidRDefault="00391C69"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A97C01" w:rsidRPr="000A28AD">
              <w:rPr>
                <w:rFonts w:ascii="Calibri" w:eastAsia="Times New Roman" w:hAnsi="Calibri" w:cs="Times New Roman"/>
                <w:color w:val="000000"/>
                <w:sz w:val="18"/>
                <w:szCs w:val="18"/>
              </w:rPr>
              <w:t>%</w:t>
            </w:r>
          </w:p>
        </w:tc>
      </w:tr>
    </w:tbl>
    <w:p w14:paraId="266853D4" w14:textId="77777777" w:rsidR="00A97C01" w:rsidRDefault="00A97C01" w:rsidP="009B3DF5">
      <w:pPr>
        <w:spacing w:after="0" w:line="72" w:lineRule="auto"/>
      </w:pPr>
    </w:p>
    <w:tbl>
      <w:tblPr>
        <w:tblStyle w:val="PlainTable4"/>
        <w:tblW w:w="10540"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Economic outlook for the next year"/>
        <w:tblDescription w:val="Minnesota business services firms expect mostly contracting conditions. Fifty-two percent expect a decline in consumer spending and corporate profits. Additionally, 44 percent anticipate a drop in employment.  &#10;Nearly half of respondents indicated they expect unchanged inflation while a similar percentage (46 percent) expect an increase.&#10;"/>
      </w:tblPr>
      <w:tblGrid>
        <w:gridCol w:w="3875"/>
        <w:gridCol w:w="1252"/>
        <w:gridCol w:w="1293"/>
        <w:gridCol w:w="1561"/>
        <w:gridCol w:w="1204"/>
        <w:gridCol w:w="1355"/>
      </w:tblGrid>
      <w:tr w:rsidR="001D0139" w:rsidRPr="00623BC4" w14:paraId="3227209F" w14:textId="77777777" w:rsidTr="00B86180">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75" w:type="dxa"/>
            <w:tcBorders>
              <w:top w:val="single" w:sz="4" w:space="0" w:color="auto"/>
              <w:bottom w:val="single" w:sz="4" w:space="0" w:color="auto"/>
            </w:tcBorders>
            <w:shd w:val="clear" w:color="auto" w:fill="BDD6EE" w:themeFill="accent1" w:themeFillTint="66"/>
            <w:noWrap/>
            <w:hideMark/>
          </w:tcPr>
          <w:p w14:paraId="0B64B17A" w14:textId="77777777" w:rsidR="00A97C01" w:rsidRPr="000A28AD" w:rsidRDefault="00531B2D"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Expected</w:t>
            </w:r>
            <w:r w:rsidR="00BE474F" w:rsidRPr="000A28AD">
              <w:rPr>
                <w:rFonts w:ascii="Calibri" w:eastAsia="Times New Roman" w:hAnsi="Calibri" w:cs="Times New Roman"/>
                <w:color w:val="000000"/>
                <w:sz w:val="18"/>
                <w:szCs w:val="18"/>
              </w:rPr>
              <w:t xml:space="preserve"> outlook on the following state economic indicators during the next year: </w:t>
            </w:r>
          </w:p>
        </w:tc>
        <w:tc>
          <w:tcPr>
            <w:tcW w:w="1252" w:type="dxa"/>
            <w:tcBorders>
              <w:top w:val="single" w:sz="4" w:space="0" w:color="auto"/>
              <w:bottom w:val="single" w:sz="4" w:space="0" w:color="auto"/>
            </w:tcBorders>
            <w:shd w:val="clear" w:color="auto" w:fill="BDD6EE" w:themeFill="accent1" w:themeFillTint="66"/>
            <w:noWrap/>
            <w:hideMark/>
          </w:tcPr>
          <w:p w14:paraId="30F95769"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Up</w:t>
            </w:r>
          </w:p>
        </w:tc>
        <w:tc>
          <w:tcPr>
            <w:tcW w:w="1293" w:type="dxa"/>
            <w:tcBorders>
              <w:top w:val="single" w:sz="4" w:space="0" w:color="auto"/>
              <w:bottom w:val="single" w:sz="4" w:space="0" w:color="auto"/>
            </w:tcBorders>
            <w:shd w:val="clear" w:color="auto" w:fill="BDD6EE" w:themeFill="accent1" w:themeFillTint="66"/>
            <w:noWrap/>
            <w:hideMark/>
          </w:tcPr>
          <w:p w14:paraId="689B128F"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Same</w:t>
            </w:r>
          </w:p>
        </w:tc>
        <w:tc>
          <w:tcPr>
            <w:tcW w:w="1561" w:type="dxa"/>
            <w:tcBorders>
              <w:top w:val="single" w:sz="4" w:space="0" w:color="auto"/>
              <w:bottom w:val="single" w:sz="4" w:space="0" w:color="auto"/>
            </w:tcBorders>
            <w:shd w:val="clear" w:color="auto" w:fill="BDD6EE" w:themeFill="accent1" w:themeFillTint="66"/>
            <w:noWrap/>
            <w:hideMark/>
          </w:tcPr>
          <w:p w14:paraId="2023F9BA"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Down</w:t>
            </w:r>
          </w:p>
        </w:tc>
        <w:tc>
          <w:tcPr>
            <w:tcW w:w="1204" w:type="dxa"/>
            <w:tcBorders>
              <w:top w:val="single" w:sz="4" w:space="0" w:color="auto"/>
              <w:bottom w:val="single" w:sz="4" w:space="0" w:color="auto"/>
            </w:tcBorders>
            <w:shd w:val="clear" w:color="auto" w:fill="BDD6EE" w:themeFill="accent1" w:themeFillTint="66"/>
            <w:noWrap/>
            <w:hideMark/>
          </w:tcPr>
          <w:p w14:paraId="1F301F20" w14:textId="77777777" w:rsidR="00A97C01" w:rsidRPr="000A28AD" w:rsidRDefault="00391C69"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Diffusion Index 2020</w:t>
            </w:r>
            <w:r w:rsidR="00AE0EFF" w:rsidRPr="000A28AD">
              <w:rPr>
                <w:rFonts w:ascii="Calibri" w:eastAsia="Times New Roman" w:hAnsi="Calibri" w:cs="Times New Roman"/>
                <w:color w:val="000000"/>
                <w:sz w:val="18"/>
                <w:szCs w:val="18"/>
                <w:vertAlign w:val="superscript"/>
              </w:rPr>
              <w:t>(2)</w:t>
            </w:r>
          </w:p>
        </w:tc>
        <w:tc>
          <w:tcPr>
            <w:tcW w:w="1355" w:type="dxa"/>
            <w:tcBorders>
              <w:top w:val="single" w:sz="4" w:space="0" w:color="auto"/>
              <w:bottom w:val="single" w:sz="4" w:space="0" w:color="auto"/>
            </w:tcBorders>
            <w:shd w:val="clear" w:color="auto" w:fill="BDD6EE" w:themeFill="accent1" w:themeFillTint="66"/>
            <w:noWrap/>
            <w:hideMark/>
          </w:tcPr>
          <w:p w14:paraId="1426DE34" w14:textId="77777777" w:rsidR="00A97C01" w:rsidRPr="000A28AD" w:rsidRDefault="00AE0EFF"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 xml:space="preserve">Diffusion </w:t>
            </w:r>
            <w:r w:rsidR="00391C69">
              <w:rPr>
                <w:rFonts w:ascii="Calibri" w:eastAsia="Times New Roman" w:hAnsi="Calibri" w:cs="Times New Roman"/>
                <w:color w:val="000000"/>
                <w:sz w:val="18"/>
                <w:szCs w:val="18"/>
              </w:rPr>
              <w:t>Index 2019</w:t>
            </w:r>
            <w:r w:rsidRPr="000A28AD">
              <w:rPr>
                <w:rFonts w:ascii="Calibri" w:eastAsia="Times New Roman" w:hAnsi="Calibri" w:cs="Times New Roman"/>
                <w:color w:val="000000"/>
                <w:sz w:val="18"/>
                <w:szCs w:val="18"/>
                <w:vertAlign w:val="superscript"/>
              </w:rPr>
              <w:t>(2)</w:t>
            </w:r>
          </w:p>
        </w:tc>
      </w:tr>
      <w:tr w:rsidR="00391C69" w:rsidRPr="00623BC4" w14:paraId="1F4F650A" w14:textId="77777777" w:rsidTr="00B86180">
        <w:trPr>
          <w:trHeight w:val="144"/>
          <w:jc w:val="center"/>
        </w:trPr>
        <w:tc>
          <w:tcPr>
            <w:tcW w:w="3875" w:type="dxa"/>
            <w:tcBorders>
              <w:top w:val="single" w:sz="4" w:space="0" w:color="auto"/>
            </w:tcBorders>
            <w:noWrap/>
            <w:hideMark/>
          </w:tcPr>
          <w:p w14:paraId="221B424A" w14:textId="77777777" w:rsidR="00391C69" w:rsidRPr="000A28AD" w:rsidRDefault="00391C69" w:rsidP="00391C6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Employment</w:t>
            </w:r>
          </w:p>
        </w:tc>
        <w:tc>
          <w:tcPr>
            <w:tcW w:w="1252" w:type="dxa"/>
            <w:tcBorders>
              <w:top w:val="single" w:sz="4" w:space="0" w:color="auto"/>
            </w:tcBorders>
            <w:noWrap/>
            <w:hideMark/>
          </w:tcPr>
          <w:p w14:paraId="0ACAD226" w14:textId="77777777" w:rsidR="00391C69" w:rsidRPr="000A28AD" w:rsidRDefault="00391C6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22</w:t>
            </w:r>
            <w:r w:rsidRPr="000A28AD">
              <w:rPr>
                <w:rFonts w:ascii="Calibri" w:eastAsia="Times New Roman" w:hAnsi="Calibri" w:cs="Times New Roman"/>
                <w:color w:val="000000"/>
                <w:sz w:val="18"/>
                <w:szCs w:val="18"/>
              </w:rPr>
              <w:t>%</w:t>
            </w:r>
          </w:p>
        </w:tc>
        <w:tc>
          <w:tcPr>
            <w:tcW w:w="1293" w:type="dxa"/>
            <w:tcBorders>
              <w:top w:val="single" w:sz="4" w:space="0" w:color="auto"/>
            </w:tcBorders>
            <w:noWrap/>
            <w:hideMark/>
          </w:tcPr>
          <w:p w14:paraId="21ECB74D" w14:textId="77777777" w:rsidR="00391C69" w:rsidRPr="000A28AD" w:rsidRDefault="00391C6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34</w:t>
            </w:r>
            <w:r w:rsidRPr="000A28AD">
              <w:rPr>
                <w:rFonts w:ascii="Calibri" w:eastAsia="Times New Roman" w:hAnsi="Calibri" w:cs="Times New Roman"/>
                <w:color w:val="000000"/>
                <w:sz w:val="18"/>
                <w:szCs w:val="18"/>
              </w:rPr>
              <w:t>%</w:t>
            </w:r>
          </w:p>
        </w:tc>
        <w:tc>
          <w:tcPr>
            <w:tcW w:w="1561" w:type="dxa"/>
            <w:tcBorders>
              <w:top w:val="single" w:sz="4" w:space="0" w:color="auto"/>
            </w:tcBorders>
            <w:noWrap/>
            <w:hideMark/>
          </w:tcPr>
          <w:p w14:paraId="1140C0FE" w14:textId="77777777" w:rsidR="00391C69" w:rsidRPr="000A28AD" w:rsidRDefault="00391C6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44</w:t>
            </w:r>
            <w:r w:rsidRPr="000A28AD">
              <w:rPr>
                <w:rFonts w:ascii="Calibri" w:eastAsia="Times New Roman" w:hAnsi="Calibri" w:cs="Times New Roman"/>
                <w:color w:val="000000"/>
                <w:sz w:val="18"/>
                <w:szCs w:val="18"/>
              </w:rPr>
              <w:t>%</w:t>
            </w:r>
          </w:p>
        </w:tc>
        <w:tc>
          <w:tcPr>
            <w:tcW w:w="1204" w:type="dxa"/>
            <w:tcBorders>
              <w:top w:val="single" w:sz="4" w:space="0" w:color="auto"/>
            </w:tcBorders>
            <w:noWrap/>
            <w:hideMark/>
          </w:tcPr>
          <w:p w14:paraId="7C3896B4" w14:textId="77777777" w:rsidR="00391C69" w:rsidRPr="000A28AD" w:rsidRDefault="00391C6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39</w:t>
            </w:r>
          </w:p>
        </w:tc>
        <w:tc>
          <w:tcPr>
            <w:tcW w:w="1355" w:type="dxa"/>
            <w:tcBorders>
              <w:top w:val="single" w:sz="4" w:space="0" w:color="auto"/>
            </w:tcBorders>
            <w:noWrap/>
            <w:hideMark/>
          </w:tcPr>
          <w:p w14:paraId="21FA6DB4" w14:textId="77777777" w:rsidR="00391C69" w:rsidRPr="000A28AD" w:rsidRDefault="00391C6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63</w:t>
            </w:r>
          </w:p>
        </w:tc>
      </w:tr>
      <w:tr w:rsidR="00391C69" w:rsidRPr="00623BC4" w14:paraId="58796AA0" w14:textId="77777777" w:rsidTr="00B86180">
        <w:trPr>
          <w:trHeight w:val="144"/>
          <w:jc w:val="center"/>
        </w:trPr>
        <w:tc>
          <w:tcPr>
            <w:tcW w:w="3875" w:type="dxa"/>
            <w:noWrap/>
            <w:hideMark/>
          </w:tcPr>
          <w:p w14:paraId="43E3F185" w14:textId="77777777" w:rsidR="00391C69" w:rsidRPr="000A28AD" w:rsidRDefault="00391C69" w:rsidP="00391C6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Consumer spending</w:t>
            </w:r>
          </w:p>
        </w:tc>
        <w:tc>
          <w:tcPr>
            <w:tcW w:w="1252" w:type="dxa"/>
            <w:noWrap/>
            <w:hideMark/>
          </w:tcPr>
          <w:p w14:paraId="1AB560B2" w14:textId="77777777" w:rsidR="00391C69" w:rsidRPr="000A28AD" w:rsidRDefault="00391C6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Pr="000A28AD">
              <w:rPr>
                <w:rFonts w:ascii="Calibri" w:eastAsia="Times New Roman" w:hAnsi="Calibri" w:cs="Times New Roman"/>
                <w:color w:val="000000"/>
                <w:sz w:val="18"/>
                <w:szCs w:val="18"/>
              </w:rPr>
              <w:t>%</w:t>
            </w:r>
          </w:p>
        </w:tc>
        <w:tc>
          <w:tcPr>
            <w:tcW w:w="1293" w:type="dxa"/>
            <w:noWrap/>
            <w:hideMark/>
          </w:tcPr>
          <w:p w14:paraId="3B4B5D4A" w14:textId="77777777" w:rsidR="00391C69" w:rsidRPr="000A28AD" w:rsidRDefault="00391C6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34</w:t>
            </w:r>
            <w:r w:rsidRPr="000A28AD">
              <w:rPr>
                <w:rFonts w:ascii="Calibri" w:eastAsia="Times New Roman" w:hAnsi="Calibri" w:cs="Times New Roman"/>
                <w:color w:val="000000"/>
                <w:sz w:val="18"/>
                <w:szCs w:val="18"/>
              </w:rPr>
              <w:t>%</w:t>
            </w:r>
          </w:p>
        </w:tc>
        <w:tc>
          <w:tcPr>
            <w:tcW w:w="1561" w:type="dxa"/>
            <w:noWrap/>
            <w:hideMark/>
          </w:tcPr>
          <w:p w14:paraId="5546A471" w14:textId="77777777" w:rsidR="00391C69" w:rsidRPr="000A28AD" w:rsidRDefault="00391C6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52</w:t>
            </w:r>
            <w:r w:rsidRPr="000A28AD">
              <w:rPr>
                <w:rFonts w:ascii="Calibri" w:eastAsia="Times New Roman" w:hAnsi="Calibri" w:cs="Times New Roman"/>
                <w:color w:val="000000"/>
                <w:sz w:val="18"/>
                <w:szCs w:val="18"/>
              </w:rPr>
              <w:t>%</w:t>
            </w:r>
          </w:p>
        </w:tc>
        <w:tc>
          <w:tcPr>
            <w:tcW w:w="1204" w:type="dxa"/>
            <w:noWrap/>
            <w:hideMark/>
          </w:tcPr>
          <w:p w14:paraId="121F649C" w14:textId="77777777" w:rsidR="00391C69" w:rsidRPr="000A28AD" w:rsidRDefault="00391C6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31</w:t>
            </w:r>
          </w:p>
        </w:tc>
        <w:tc>
          <w:tcPr>
            <w:tcW w:w="1355" w:type="dxa"/>
            <w:noWrap/>
            <w:hideMark/>
          </w:tcPr>
          <w:p w14:paraId="59637B2E" w14:textId="77777777" w:rsidR="00391C69" w:rsidRPr="000A28AD" w:rsidRDefault="00391C6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56</w:t>
            </w:r>
          </w:p>
        </w:tc>
      </w:tr>
      <w:tr w:rsidR="00391C69" w:rsidRPr="00623BC4" w14:paraId="00D154FA" w14:textId="77777777" w:rsidTr="00B86180">
        <w:trPr>
          <w:trHeight w:val="144"/>
          <w:jc w:val="center"/>
        </w:trPr>
        <w:tc>
          <w:tcPr>
            <w:tcW w:w="3875" w:type="dxa"/>
            <w:noWrap/>
            <w:hideMark/>
          </w:tcPr>
          <w:p w14:paraId="44FC70F0" w14:textId="77777777" w:rsidR="00391C69" w:rsidRPr="000A28AD" w:rsidRDefault="00391C69" w:rsidP="00391C6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Inflation</w:t>
            </w:r>
          </w:p>
        </w:tc>
        <w:tc>
          <w:tcPr>
            <w:tcW w:w="1252" w:type="dxa"/>
            <w:noWrap/>
            <w:hideMark/>
          </w:tcPr>
          <w:p w14:paraId="238587D9" w14:textId="77777777" w:rsidR="00391C69" w:rsidRPr="000A28AD" w:rsidRDefault="00F6539A"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46</w:t>
            </w:r>
            <w:r w:rsidR="00391C69" w:rsidRPr="000A28AD">
              <w:rPr>
                <w:rFonts w:ascii="Calibri" w:eastAsia="Times New Roman" w:hAnsi="Calibri" w:cs="Times New Roman"/>
                <w:color w:val="000000"/>
                <w:sz w:val="18"/>
                <w:szCs w:val="18"/>
              </w:rPr>
              <w:t>%</w:t>
            </w:r>
          </w:p>
        </w:tc>
        <w:tc>
          <w:tcPr>
            <w:tcW w:w="1293" w:type="dxa"/>
            <w:noWrap/>
            <w:hideMark/>
          </w:tcPr>
          <w:p w14:paraId="54B94F72" w14:textId="77777777" w:rsidR="00391C69" w:rsidRPr="000A28AD" w:rsidRDefault="00F6539A"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49</w:t>
            </w:r>
            <w:r w:rsidR="00391C69" w:rsidRPr="000A28AD">
              <w:rPr>
                <w:rFonts w:ascii="Calibri" w:eastAsia="Times New Roman" w:hAnsi="Calibri" w:cs="Times New Roman"/>
                <w:color w:val="000000"/>
                <w:sz w:val="18"/>
                <w:szCs w:val="18"/>
              </w:rPr>
              <w:t>%</w:t>
            </w:r>
          </w:p>
        </w:tc>
        <w:tc>
          <w:tcPr>
            <w:tcW w:w="1561" w:type="dxa"/>
            <w:noWrap/>
            <w:hideMark/>
          </w:tcPr>
          <w:p w14:paraId="6429AA6B" w14:textId="77777777" w:rsidR="00391C69" w:rsidRPr="000A28AD" w:rsidRDefault="00F6539A"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00391C69" w:rsidRPr="000A28AD">
              <w:rPr>
                <w:rFonts w:ascii="Calibri" w:eastAsia="Times New Roman" w:hAnsi="Calibri" w:cs="Times New Roman"/>
                <w:color w:val="000000"/>
                <w:sz w:val="18"/>
                <w:szCs w:val="18"/>
              </w:rPr>
              <w:t>%</w:t>
            </w:r>
          </w:p>
        </w:tc>
        <w:tc>
          <w:tcPr>
            <w:tcW w:w="1204" w:type="dxa"/>
            <w:noWrap/>
            <w:hideMark/>
          </w:tcPr>
          <w:p w14:paraId="2D7BBB31" w14:textId="77777777" w:rsidR="00391C69" w:rsidRPr="000A28AD" w:rsidRDefault="00F6539A"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70</w:t>
            </w:r>
          </w:p>
        </w:tc>
        <w:tc>
          <w:tcPr>
            <w:tcW w:w="1355" w:type="dxa"/>
            <w:noWrap/>
            <w:hideMark/>
          </w:tcPr>
          <w:p w14:paraId="7EC904FD" w14:textId="77777777" w:rsidR="00391C69" w:rsidRPr="000A28AD" w:rsidRDefault="00391C6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w:t>
            </w:r>
          </w:p>
        </w:tc>
      </w:tr>
      <w:tr w:rsidR="00391C69" w:rsidRPr="00623BC4" w14:paraId="6D089F04" w14:textId="77777777" w:rsidTr="00B86180">
        <w:trPr>
          <w:trHeight w:val="144"/>
          <w:jc w:val="center"/>
        </w:trPr>
        <w:tc>
          <w:tcPr>
            <w:tcW w:w="3875" w:type="dxa"/>
            <w:noWrap/>
            <w:hideMark/>
          </w:tcPr>
          <w:p w14:paraId="79B5A00E" w14:textId="77777777" w:rsidR="00391C69" w:rsidRPr="000A28AD" w:rsidRDefault="00391C69" w:rsidP="00391C6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Corporate profits</w:t>
            </w:r>
          </w:p>
        </w:tc>
        <w:tc>
          <w:tcPr>
            <w:tcW w:w="1252" w:type="dxa"/>
            <w:noWrap/>
            <w:hideMark/>
          </w:tcPr>
          <w:p w14:paraId="47CA43DB" w14:textId="77777777" w:rsidR="00391C69" w:rsidRPr="000A28AD" w:rsidRDefault="00F6539A"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20</w:t>
            </w:r>
            <w:r w:rsidR="00391C69" w:rsidRPr="000A28AD">
              <w:rPr>
                <w:rFonts w:ascii="Calibri" w:eastAsia="Times New Roman" w:hAnsi="Calibri" w:cs="Times New Roman"/>
                <w:color w:val="000000"/>
                <w:sz w:val="18"/>
                <w:szCs w:val="18"/>
              </w:rPr>
              <w:t>%</w:t>
            </w:r>
          </w:p>
        </w:tc>
        <w:tc>
          <w:tcPr>
            <w:tcW w:w="1293" w:type="dxa"/>
            <w:noWrap/>
            <w:hideMark/>
          </w:tcPr>
          <w:p w14:paraId="3599F6DC" w14:textId="77777777" w:rsidR="00391C69" w:rsidRPr="000A28AD" w:rsidRDefault="00F6539A"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28</w:t>
            </w:r>
            <w:r w:rsidR="00391C69" w:rsidRPr="000A28AD">
              <w:rPr>
                <w:rFonts w:ascii="Calibri" w:eastAsia="Times New Roman" w:hAnsi="Calibri" w:cs="Times New Roman"/>
                <w:color w:val="000000"/>
                <w:sz w:val="18"/>
                <w:szCs w:val="18"/>
              </w:rPr>
              <w:t>%</w:t>
            </w:r>
          </w:p>
        </w:tc>
        <w:tc>
          <w:tcPr>
            <w:tcW w:w="1561" w:type="dxa"/>
            <w:noWrap/>
            <w:hideMark/>
          </w:tcPr>
          <w:p w14:paraId="6EA028A4" w14:textId="77777777" w:rsidR="00391C69" w:rsidRPr="000A28AD" w:rsidRDefault="00F6539A"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52</w:t>
            </w:r>
            <w:r w:rsidR="00391C69" w:rsidRPr="000A28AD">
              <w:rPr>
                <w:rFonts w:ascii="Calibri" w:eastAsia="Times New Roman" w:hAnsi="Calibri" w:cs="Times New Roman"/>
                <w:color w:val="000000"/>
                <w:sz w:val="18"/>
                <w:szCs w:val="18"/>
              </w:rPr>
              <w:t>%</w:t>
            </w:r>
          </w:p>
        </w:tc>
        <w:tc>
          <w:tcPr>
            <w:tcW w:w="1204" w:type="dxa"/>
            <w:noWrap/>
            <w:hideMark/>
          </w:tcPr>
          <w:p w14:paraId="114409CD" w14:textId="77777777" w:rsidR="00391C69" w:rsidRPr="000A28AD" w:rsidRDefault="00F6539A"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34</w:t>
            </w:r>
          </w:p>
        </w:tc>
        <w:tc>
          <w:tcPr>
            <w:tcW w:w="1355" w:type="dxa"/>
            <w:noWrap/>
            <w:hideMark/>
          </w:tcPr>
          <w:p w14:paraId="7A38B870" w14:textId="77777777" w:rsidR="00391C69" w:rsidRPr="000A28AD" w:rsidRDefault="00391C6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60</w:t>
            </w:r>
          </w:p>
        </w:tc>
      </w:tr>
      <w:tr w:rsidR="00391C69" w:rsidRPr="00623BC4" w14:paraId="5BF4739D" w14:textId="77777777" w:rsidTr="00B86180">
        <w:trPr>
          <w:trHeight w:val="144"/>
          <w:jc w:val="center"/>
        </w:trPr>
        <w:tc>
          <w:tcPr>
            <w:tcW w:w="3875" w:type="dxa"/>
            <w:noWrap/>
            <w:hideMark/>
          </w:tcPr>
          <w:p w14:paraId="7EC93FE1" w14:textId="77777777" w:rsidR="00391C69" w:rsidRPr="000A28AD" w:rsidRDefault="00391C69" w:rsidP="00391C6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Mergers and </w:t>
            </w:r>
            <w:r w:rsidR="00097993">
              <w:rPr>
                <w:rFonts w:ascii="Calibri" w:eastAsia="Times New Roman" w:hAnsi="Calibri" w:cs="Times New Roman"/>
                <w:color w:val="000000"/>
                <w:sz w:val="18"/>
                <w:szCs w:val="18"/>
              </w:rPr>
              <w:t>a</w:t>
            </w:r>
            <w:r>
              <w:rPr>
                <w:rFonts w:ascii="Calibri" w:eastAsia="Times New Roman" w:hAnsi="Calibri" w:cs="Times New Roman"/>
                <w:color w:val="000000"/>
                <w:sz w:val="18"/>
                <w:szCs w:val="18"/>
              </w:rPr>
              <w:t>cquisitions</w:t>
            </w:r>
          </w:p>
        </w:tc>
        <w:tc>
          <w:tcPr>
            <w:tcW w:w="1252" w:type="dxa"/>
            <w:noWrap/>
            <w:hideMark/>
          </w:tcPr>
          <w:p w14:paraId="09A49C71" w14:textId="77777777" w:rsidR="00391C69" w:rsidRPr="000A28AD" w:rsidRDefault="00F6539A"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34</w:t>
            </w:r>
            <w:r w:rsidR="00391C69" w:rsidRPr="000A28AD">
              <w:rPr>
                <w:rFonts w:ascii="Calibri" w:eastAsia="Times New Roman" w:hAnsi="Calibri" w:cs="Times New Roman"/>
                <w:color w:val="000000"/>
                <w:sz w:val="18"/>
                <w:szCs w:val="18"/>
              </w:rPr>
              <w:t>%</w:t>
            </w:r>
          </w:p>
        </w:tc>
        <w:tc>
          <w:tcPr>
            <w:tcW w:w="1293" w:type="dxa"/>
            <w:noWrap/>
            <w:hideMark/>
          </w:tcPr>
          <w:p w14:paraId="0B125EB7" w14:textId="77777777" w:rsidR="00391C69" w:rsidRPr="000A28AD" w:rsidRDefault="00F6539A"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42</w:t>
            </w:r>
            <w:r w:rsidR="00391C69" w:rsidRPr="000A28AD">
              <w:rPr>
                <w:rFonts w:ascii="Calibri" w:eastAsia="Times New Roman" w:hAnsi="Calibri" w:cs="Times New Roman"/>
                <w:color w:val="000000"/>
                <w:sz w:val="18"/>
                <w:szCs w:val="18"/>
              </w:rPr>
              <w:t>%</w:t>
            </w:r>
          </w:p>
        </w:tc>
        <w:tc>
          <w:tcPr>
            <w:tcW w:w="1561" w:type="dxa"/>
            <w:noWrap/>
            <w:hideMark/>
          </w:tcPr>
          <w:p w14:paraId="5AC846C7" w14:textId="77777777" w:rsidR="00391C69" w:rsidRPr="000A28AD" w:rsidRDefault="00F6539A"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24</w:t>
            </w:r>
            <w:r w:rsidR="00391C69" w:rsidRPr="000A28AD">
              <w:rPr>
                <w:rFonts w:ascii="Calibri" w:eastAsia="Times New Roman" w:hAnsi="Calibri" w:cs="Times New Roman"/>
                <w:color w:val="000000"/>
                <w:sz w:val="18"/>
                <w:szCs w:val="18"/>
              </w:rPr>
              <w:t>%</w:t>
            </w:r>
          </w:p>
        </w:tc>
        <w:tc>
          <w:tcPr>
            <w:tcW w:w="1204" w:type="dxa"/>
            <w:noWrap/>
            <w:hideMark/>
          </w:tcPr>
          <w:p w14:paraId="50503841" w14:textId="77777777" w:rsidR="00391C69" w:rsidRPr="000A28AD" w:rsidRDefault="00F6539A"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55</w:t>
            </w:r>
          </w:p>
        </w:tc>
        <w:tc>
          <w:tcPr>
            <w:tcW w:w="1355" w:type="dxa"/>
            <w:noWrap/>
            <w:hideMark/>
          </w:tcPr>
          <w:p w14:paraId="308AE809" w14:textId="77777777" w:rsidR="00391C69" w:rsidRPr="000A28AD" w:rsidRDefault="00391C6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67</w:t>
            </w:r>
          </w:p>
        </w:tc>
      </w:tr>
    </w:tbl>
    <w:p w14:paraId="4C043FC7" w14:textId="77777777" w:rsidR="00C2607A" w:rsidRDefault="00C2607A" w:rsidP="009B3DF5">
      <w:pPr>
        <w:spacing w:after="0" w:line="72" w:lineRule="auto"/>
      </w:pPr>
    </w:p>
    <w:tbl>
      <w:tblPr>
        <w:tblStyle w:val="PlainTable4"/>
        <w:tblW w:w="10625" w:type="dxa"/>
        <w:jc w:val="center"/>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Caption w:val="Changes in credit conditions"/>
        <w:tblDescription w:val="Table showing that 68 percent of respondents did not experience changes in credit conditions."/>
      </w:tblPr>
      <w:tblGrid>
        <w:gridCol w:w="3870"/>
        <w:gridCol w:w="1440"/>
        <w:gridCol w:w="1350"/>
        <w:gridCol w:w="1260"/>
        <w:gridCol w:w="1350"/>
        <w:gridCol w:w="1355"/>
      </w:tblGrid>
      <w:tr w:rsidR="00C2607A" w:rsidRPr="000A28AD" w14:paraId="16EF31CF" w14:textId="77777777" w:rsidTr="00B86180">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bottom w:val="single" w:sz="4" w:space="0" w:color="auto"/>
            </w:tcBorders>
            <w:shd w:val="clear" w:color="auto" w:fill="BDD6EE" w:themeFill="accent1" w:themeFillTint="66"/>
            <w:noWrap/>
            <w:hideMark/>
          </w:tcPr>
          <w:p w14:paraId="5A0F84CA" w14:textId="77777777" w:rsidR="00C2607A" w:rsidRPr="000A28AD" w:rsidRDefault="00C2607A" w:rsidP="005E4C2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Have changes in credit conditions in the last</w:t>
            </w:r>
            <w:r>
              <w:rPr>
                <w:rFonts w:ascii="Calibri" w:eastAsia="Times New Roman" w:hAnsi="Calibri" w:cs="Times New Roman"/>
                <w:color w:val="000000"/>
                <w:sz w:val="18"/>
                <w:szCs w:val="18"/>
              </w:rPr>
              <w:br/>
              <w:t>4 quarters affected your firm?</w:t>
            </w:r>
            <w:r w:rsidRPr="000A28AD">
              <w:rPr>
                <w:rFonts w:ascii="Calibri" w:eastAsia="Times New Roman" w:hAnsi="Calibri" w:cs="Times New Roman"/>
                <w:color w:val="000000"/>
                <w:sz w:val="18"/>
                <w:szCs w:val="18"/>
              </w:rPr>
              <w:t>:</w:t>
            </w:r>
          </w:p>
        </w:tc>
        <w:tc>
          <w:tcPr>
            <w:tcW w:w="1440" w:type="dxa"/>
            <w:tcBorders>
              <w:top w:val="single" w:sz="4" w:space="0" w:color="auto"/>
              <w:bottom w:val="single" w:sz="4" w:space="0" w:color="auto"/>
            </w:tcBorders>
            <w:shd w:val="clear" w:color="auto" w:fill="BDD6EE" w:themeFill="accent1" w:themeFillTint="66"/>
            <w:noWrap/>
            <w:hideMark/>
          </w:tcPr>
          <w:p w14:paraId="20662EDF" w14:textId="77777777" w:rsidR="00C2607A" w:rsidRPr="000A28AD" w:rsidRDefault="002E4C76" w:rsidP="002E4C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br/>
              <w:t xml:space="preserve">No </w:t>
            </w:r>
            <w:r>
              <w:rPr>
                <w:rFonts w:ascii="Calibri" w:eastAsia="Times New Roman" w:hAnsi="Calibri" w:cs="Times New Roman"/>
                <w:color w:val="000000"/>
                <w:sz w:val="18"/>
                <w:szCs w:val="18"/>
              </w:rPr>
              <w:br/>
              <w:t>Changes</w:t>
            </w:r>
          </w:p>
        </w:tc>
        <w:tc>
          <w:tcPr>
            <w:tcW w:w="1350" w:type="dxa"/>
            <w:tcBorders>
              <w:top w:val="single" w:sz="4" w:space="0" w:color="auto"/>
              <w:bottom w:val="single" w:sz="4" w:space="0" w:color="auto"/>
            </w:tcBorders>
            <w:shd w:val="clear" w:color="auto" w:fill="BDD6EE" w:themeFill="accent1" w:themeFillTint="66"/>
            <w:noWrap/>
            <w:hideMark/>
          </w:tcPr>
          <w:p w14:paraId="0B20F3A9" w14:textId="77777777" w:rsidR="00C2607A" w:rsidRPr="000A28AD" w:rsidRDefault="002E4C76" w:rsidP="002E4C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br/>
              <w:t>Increased Hiring</w:t>
            </w:r>
          </w:p>
        </w:tc>
        <w:tc>
          <w:tcPr>
            <w:tcW w:w="1260" w:type="dxa"/>
            <w:tcBorders>
              <w:top w:val="single" w:sz="4" w:space="0" w:color="auto"/>
              <w:bottom w:val="single" w:sz="4" w:space="0" w:color="auto"/>
            </w:tcBorders>
            <w:shd w:val="clear" w:color="auto" w:fill="BDD6EE" w:themeFill="accent1" w:themeFillTint="66"/>
            <w:noWrap/>
            <w:hideMark/>
          </w:tcPr>
          <w:p w14:paraId="0A305B49" w14:textId="77777777" w:rsidR="00C2607A" w:rsidRDefault="00C2607A" w:rsidP="005E4C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Increased</w:t>
            </w:r>
          </w:p>
          <w:p w14:paraId="7C2ABE88" w14:textId="77777777" w:rsidR="00C2607A" w:rsidRPr="000A28AD" w:rsidRDefault="00C2607A" w:rsidP="005E4C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Cap</w:t>
            </w:r>
            <w:r w:rsidR="002E4C76">
              <w:rPr>
                <w:rFonts w:ascii="Calibri" w:eastAsia="Times New Roman" w:hAnsi="Calibri" w:cs="Times New Roman"/>
                <w:color w:val="000000"/>
                <w:sz w:val="18"/>
                <w:szCs w:val="18"/>
              </w:rPr>
              <w:t>ital</w:t>
            </w:r>
            <w:r>
              <w:rPr>
                <w:rFonts w:ascii="Calibri" w:eastAsia="Times New Roman" w:hAnsi="Calibri" w:cs="Times New Roman"/>
                <w:color w:val="000000"/>
                <w:sz w:val="18"/>
                <w:szCs w:val="18"/>
              </w:rPr>
              <w:t xml:space="preserve"> Expend</w:t>
            </w:r>
            <w:r w:rsidR="002E4C76">
              <w:rPr>
                <w:rFonts w:ascii="Calibri" w:eastAsia="Times New Roman" w:hAnsi="Calibri" w:cs="Times New Roman"/>
                <w:color w:val="000000"/>
                <w:sz w:val="18"/>
                <w:szCs w:val="18"/>
              </w:rPr>
              <w:t>itures</w:t>
            </w:r>
          </w:p>
        </w:tc>
        <w:tc>
          <w:tcPr>
            <w:tcW w:w="1350" w:type="dxa"/>
            <w:tcBorders>
              <w:top w:val="single" w:sz="4" w:space="0" w:color="auto"/>
              <w:bottom w:val="single" w:sz="4" w:space="0" w:color="auto"/>
            </w:tcBorders>
            <w:shd w:val="clear" w:color="auto" w:fill="BDD6EE" w:themeFill="accent1" w:themeFillTint="66"/>
            <w:noWrap/>
            <w:hideMark/>
          </w:tcPr>
          <w:p w14:paraId="0EDC5E65" w14:textId="77777777" w:rsidR="00C2607A" w:rsidRPr="000A28AD" w:rsidRDefault="002E4C76" w:rsidP="005E4C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br/>
              <w:t>Decreased</w:t>
            </w:r>
            <w:r>
              <w:rPr>
                <w:rFonts w:ascii="Calibri" w:eastAsia="Times New Roman" w:hAnsi="Calibri" w:cs="Times New Roman"/>
                <w:color w:val="000000"/>
                <w:sz w:val="18"/>
                <w:szCs w:val="18"/>
              </w:rPr>
              <w:br/>
              <w:t>Hiring</w:t>
            </w:r>
          </w:p>
        </w:tc>
        <w:tc>
          <w:tcPr>
            <w:tcW w:w="1355" w:type="dxa"/>
            <w:tcBorders>
              <w:top w:val="single" w:sz="4" w:space="0" w:color="auto"/>
              <w:bottom w:val="single" w:sz="4" w:space="0" w:color="auto"/>
            </w:tcBorders>
            <w:shd w:val="clear" w:color="auto" w:fill="BDD6EE" w:themeFill="accent1" w:themeFillTint="66"/>
            <w:noWrap/>
            <w:hideMark/>
          </w:tcPr>
          <w:p w14:paraId="371E0D40" w14:textId="77777777" w:rsidR="00C2607A" w:rsidRPr="000A28AD" w:rsidRDefault="00C2607A" w:rsidP="005E4C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Decreased </w:t>
            </w:r>
            <w:r>
              <w:rPr>
                <w:rFonts w:ascii="Calibri" w:eastAsia="Times New Roman" w:hAnsi="Calibri" w:cs="Times New Roman"/>
                <w:color w:val="000000"/>
                <w:sz w:val="18"/>
                <w:szCs w:val="18"/>
              </w:rPr>
              <w:br/>
              <w:t>Cap</w:t>
            </w:r>
            <w:r w:rsidR="002E4C76">
              <w:rPr>
                <w:rFonts w:ascii="Calibri" w:eastAsia="Times New Roman" w:hAnsi="Calibri" w:cs="Times New Roman"/>
                <w:color w:val="000000"/>
                <w:sz w:val="18"/>
                <w:szCs w:val="18"/>
              </w:rPr>
              <w:t>ital</w:t>
            </w:r>
            <w:r>
              <w:rPr>
                <w:rFonts w:ascii="Calibri" w:eastAsia="Times New Roman" w:hAnsi="Calibri" w:cs="Times New Roman"/>
                <w:color w:val="000000"/>
                <w:sz w:val="18"/>
                <w:szCs w:val="18"/>
              </w:rPr>
              <w:t xml:space="preserve"> Expend</w:t>
            </w:r>
            <w:r w:rsidR="002E4C76">
              <w:rPr>
                <w:rFonts w:ascii="Calibri" w:eastAsia="Times New Roman" w:hAnsi="Calibri" w:cs="Times New Roman"/>
                <w:color w:val="000000"/>
                <w:sz w:val="18"/>
                <w:szCs w:val="18"/>
              </w:rPr>
              <w:t>iture</w:t>
            </w:r>
          </w:p>
        </w:tc>
      </w:tr>
      <w:tr w:rsidR="00C2607A" w:rsidRPr="000A28AD" w14:paraId="775A4D5F" w14:textId="77777777" w:rsidTr="00B86180">
        <w:trPr>
          <w:trHeight w:val="144"/>
          <w:jc w:val="center"/>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tcBorders>
            <w:noWrap/>
            <w:hideMark/>
          </w:tcPr>
          <w:p w14:paraId="715698B4" w14:textId="77777777" w:rsidR="00C2607A" w:rsidRPr="000A28AD" w:rsidRDefault="00C2607A" w:rsidP="005E4C28">
            <w:pPr>
              <w:rPr>
                <w:rFonts w:ascii="Calibri" w:eastAsia="Times New Roman" w:hAnsi="Calibri" w:cs="Times New Roman"/>
                <w:b w:val="0"/>
                <w:color w:val="000000"/>
                <w:sz w:val="18"/>
                <w:szCs w:val="18"/>
              </w:rPr>
            </w:pPr>
          </w:p>
        </w:tc>
        <w:tc>
          <w:tcPr>
            <w:tcW w:w="1440" w:type="dxa"/>
            <w:tcBorders>
              <w:top w:val="single" w:sz="4" w:space="0" w:color="auto"/>
            </w:tcBorders>
            <w:noWrap/>
            <w:hideMark/>
          </w:tcPr>
          <w:p w14:paraId="222D2EAC" w14:textId="77777777" w:rsidR="00C2607A" w:rsidRPr="000A28AD" w:rsidRDefault="00875E22" w:rsidP="005E4C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76</w:t>
            </w:r>
            <w:r w:rsidR="00C2607A" w:rsidRPr="000A28AD">
              <w:rPr>
                <w:rFonts w:ascii="Calibri" w:eastAsia="Times New Roman" w:hAnsi="Calibri" w:cs="Times New Roman"/>
                <w:color w:val="000000"/>
                <w:sz w:val="18"/>
                <w:szCs w:val="18"/>
              </w:rPr>
              <w:t>%</w:t>
            </w:r>
          </w:p>
        </w:tc>
        <w:tc>
          <w:tcPr>
            <w:tcW w:w="1350" w:type="dxa"/>
            <w:tcBorders>
              <w:top w:val="single" w:sz="4" w:space="0" w:color="auto"/>
            </w:tcBorders>
            <w:noWrap/>
            <w:hideMark/>
          </w:tcPr>
          <w:p w14:paraId="3A644AEF" w14:textId="77777777" w:rsidR="00C2607A" w:rsidRPr="000A28AD" w:rsidRDefault="00F6539A" w:rsidP="005E4C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C2607A" w:rsidRPr="000A28AD">
              <w:rPr>
                <w:rFonts w:ascii="Calibri" w:eastAsia="Times New Roman" w:hAnsi="Calibri" w:cs="Times New Roman"/>
                <w:color w:val="000000"/>
                <w:sz w:val="18"/>
                <w:szCs w:val="18"/>
              </w:rPr>
              <w:t>%</w:t>
            </w:r>
          </w:p>
        </w:tc>
        <w:tc>
          <w:tcPr>
            <w:tcW w:w="1260" w:type="dxa"/>
            <w:tcBorders>
              <w:top w:val="single" w:sz="4" w:space="0" w:color="auto"/>
            </w:tcBorders>
            <w:noWrap/>
            <w:hideMark/>
          </w:tcPr>
          <w:p w14:paraId="349B937C" w14:textId="77777777" w:rsidR="00C2607A" w:rsidRPr="000A28AD" w:rsidRDefault="00875E22" w:rsidP="005E4C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00C2607A" w:rsidRPr="000A28AD">
              <w:rPr>
                <w:rFonts w:ascii="Calibri" w:eastAsia="Times New Roman" w:hAnsi="Calibri" w:cs="Times New Roman"/>
                <w:color w:val="000000"/>
                <w:sz w:val="18"/>
                <w:szCs w:val="18"/>
              </w:rPr>
              <w:t>%</w:t>
            </w:r>
          </w:p>
        </w:tc>
        <w:tc>
          <w:tcPr>
            <w:tcW w:w="1350" w:type="dxa"/>
            <w:tcBorders>
              <w:top w:val="single" w:sz="4" w:space="0" w:color="auto"/>
            </w:tcBorders>
            <w:noWrap/>
            <w:hideMark/>
          </w:tcPr>
          <w:p w14:paraId="4F75BBA9" w14:textId="77777777" w:rsidR="00C2607A" w:rsidRPr="000A28AD" w:rsidRDefault="00F6539A" w:rsidP="005E4C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875E22">
              <w:rPr>
                <w:rFonts w:ascii="Calibri" w:eastAsia="Times New Roman" w:hAnsi="Calibri" w:cs="Times New Roman"/>
                <w:color w:val="000000"/>
                <w:sz w:val="18"/>
                <w:szCs w:val="18"/>
              </w:rPr>
              <w:t>5</w:t>
            </w:r>
            <w:r w:rsidR="00C2607A">
              <w:rPr>
                <w:rFonts w:ascii="Calibri" w:eastAsia="Times New Roman" w:hAnsi="Calibri" w:cs="Times New Roman"/>
                <w:color w:val="000000"/>
                <w:sz w:val="18"/>
                <w:szCs w:val="18"/>
              </w:rPr>
              <w:t>%</w:t>
            </w:r>
          </w:p>
        </w:tc>
        <w:tc>
          <w:tcPr>
            <w:tcW w:w="1355" w:type="dxa"/>
            <w:tcBorders>
              <w:top w:val="single" w:sz="4" w:space="0" w:color="auto"/>
            </w:tcBorders>
            <w:noWrap/>
            <w:hideMark/>
          </w:tcPr>
          <w:p w14:paraId="72AD2466" w14:textId="77777777" w:rsidR="00C2607A" w:rsidRPr="000A28AD" w:rsidRDefault="00875E22" w:rsidP="005E4C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C2607A">
              <w:rPr>
                <w:rFonts w:ascii="Calibri" w:eastAsia="Times New Roman" w:hAnsi="Calibri" w:cs="Times New Roman"/>
                <w:color w:val="000000"/>
                <w:sz w:val="18"/>
                <w:szCs w:val="18"/>
              </w:rPr>
              <w:t>%</w:t>
            </w:r>
          </w:p>
        </w:tc>
      </w:tr>
    </w:tbl>
    <w:p w14:paraId="5E571A24" w14:textId="77777777" w:rsidR="001F26CC" w:rsidRDefault="001F26CC" w:rsidP="009B3DF5">
      <w:pPr>
        <w:spacing w:after="0" w:line="72" w:lineRule="auto"/>
      </w:pPr>
    </w:p>
    <w:p w14:paraId="4E92AED2" w14:textId="77777777" w:rsidR="00B86180" w:rsidRDefault="00B86180" w:rsidP="00B86180">
      <w:pPr>
        <w:sectPr w:rsidR="00B86180" w:rsidSect="009969EB">
          <w:type w:val="continuous"/>
          <w:pgSz w:w="12240" w:h="15840"/>
          <w:pgMar w:top="720" w:right="720" w:bottom="720" w:left="720" w:header="720" w:footer="720" w:gutter="0"/>
          <w:cols w:space="720"/>
          <w:docGrid w:linePitch="360"/>
        </w:sectPr>
      </w:pPr>
    </w:p>
    <w:p w14:paraId="6C497CA9" w14:textId="77777777" w:rsidR="00B86180" w:rsidRPr="006B6F5E" w:rsidRDefault="002E60AC" w:rsidP="002E60AC">
      <w:r w:rsidRPr="00D60273">
        <w:rPr>
          <w:rStyle w:val="Heading2Char"/>
          <w:b/>
        </w:rPr>
        <w:t xml:space="preserve">Impact of </w:t>
      </w:r>
      <w:r w:rsidRPr="0093302A">
        <w:rPr>
          <w:rStyle w:val="Heading2Char"/>
          <w:b/>
        </w:rPr>
        <w:t>C</w:t>
      </w:r>
      <w:r w:rsidR="0093302A" w:rsidRPr="0093302A">
        <w:rPr>
          <w:rStyle w:val="Heading2Char"/>
          <w:b/>
        </w:rPr>
        <w:t>OVID</w:t>
      </w:r>
      <w:r w:rsidRPr="0093302A">
        <w:rPr>
          <w:rStyle w:val="Heading2Char"/>
          <w:b/>
        </w:rPr>
        <w:t>-19</w:t>
      </w:r>
      <w:r w:rsidRPr="00D60273">
        <w:rPr>
          <w:rStyle w:val="Heading2Char"/>
          <w:b/>
        </w:rPr>
        <w:br/>
      </w:r>
      <w:r>
        <w:t xml:space="preserve">New questions </w:t>
      </w:r>
      <w:r w:rsidRPr="00E83520">
        <w:t>inquired</w:t>
      </w:r>
      <w:r>
        <w:t xml:space="preserve"> about the impact of the COVID-19 pandemic on Minnesota business services firms.</w:t>
      </w:r>
      <w:r w:rsidR="002A4627">
        <w:t xml:space="preserve"> T</w:t>
      </w:r>
      <w:r w:rsidR="00962FBB">
        <w:t xml:space="preserve">he pandemic had </w:t>
      </w:r>
      <w:r w:rsidR="002A4627">
        <w:t xml:space="preserve">a particularly negative effect on revenue and employee productivity. </w:t>
      </w:r>
      <w:r w:rsidR="002A4627" w:rsidRPr="0093302A">
        <w:t>Fifty-seven percent</w:t>
      </w:r>
      <w:r w:rsidR="002A4627">
        <w:t xml:space="preserve"> of respondents experienced a decline in revenue while </w:t>
      </w:r>
      <w:r w:rsidR="00DB1BE2">
        <w:t>half indicated a drop in employee productivity.</w:t>
      </w:r>
    </w:p>
    <w:p w14:paraId="5A405F72" w14:textId="77777777" w:rsidR="006A1085" w:rsidRDefault="002A4627" w:rsidP="002E60AC">
      <w:r>
        <w:t>Forty-three pe</w:t>
      </w:r>
      <w:r w:rsidR="00AD38E8">
        <w:t>rcent</w:t>
      </w:r>
      <w:r w:rsidR="00DB1BE2">
        <w:t xml:space="preserve"> indicated </w:t>
      </w:r>
      <w:r>
        <w:t>they did not furloug</w:t>
      </w:r>
      <w:r w:rsidR="008F3AB3">
        <w:t xml:space="preserve">h employees while </w:t>
      </w:r>
      <w:r w:rsidR="008F3AB3" w:rsidRPr="0093302A">
        <w:t>4</w:t>
      </w:r>
      <w:r w:rsidR="0093302A" w:rsidRPr="0093302A">
        <w:t>4%</w:t>
      </w:r>
      <w:r w:rsidR="008F3AB3">
        <w:t xml:space="preserve"> </w:t>
      </w:r>
      <w:r>
        <w:t>did not</w:t>
      </w:r>
      <w:r w:rsidR="000F78D5">
        <w:t xml:space="preserve"> lay off workers</w:t>
      </w:r>
      <w:r w:rsidR="006A1085">
        <w:t>.</w:t>
      </w:r>
    </w:p>
    <w:p w14:paraId="729A8296" w14:textId="77777777" w:rsidR="00F267EF" w:rsidRDefault="006A1085" w:rsidP="002E60AC">
      <w:r>
        <w:t xml:space="preserve">A significant share of respondents indicated an increase </w:t>
      </w:r>
      <w:r w:rsidR="006B6F5E">
        <w:t xml:space="preserve">of employees working from home, </w:t>
      </w:r>
      <w:r w:rsidR="0093302A">
        <w:t>64%</w:t>
      </w:r>
      <w:r>
        <w:t>.</w:t>
      </w:r>
      <w:r>
        <w:br/>
      </w:r>
      <w:r>
        <w:br/>
      </w:r>
      <w:r w:rsidR="00F267EF">
        <w:lastRenderedPageBreak/>
        <w:t xml:space="preserve">The large majority of respondents indicated they have not </w:t>
      </w:r>
      <w:r w:rsidR="00EE2D4D">
        <w:t>missed loan</w:t>
      </w:r>
      <w:r w:rsidR="0093302A">
        <w:t xml:space="preserve"> payments (56%</w:t>
      </w:r>
      <w:r w:rsidR="00F267EF">
        <w:t xml:space="preserve">) </w:t>
      </w:r>
      <w:r w:rsidR="00EE2D4D">
        <w:t>nor rent paymen</w:t>
      </w:r>
      <w:r w:rsidR="0093302A">
        <w:t>ts (60%</w:t>
      </w:r>
      <w:r w:rsidR="00EE2D4D">
        <w:t>).</w:t>
      </w:r>
    </w:p>
    <w:p w14:paraId="2C909D18" w14:textId="77777777" w:rsidR="00EE2D4D" w:rsidRDefault="000F78D5" w:rsidP="002E60AC">
      <w:r>
        <w:t xml:space="preserve">Forty-four </w:t>
      </w:r>
      <w:r w:rsidRPr="0093302A">
        <w:t>percent</w:t>
      </w:r>
      <w:r>
        <w:t xml:space="preserve"> of respondents indicated no change in cash availability while </w:t>
      </w:r>
      <w:r w:rsidRPr="0093302A">
        <w:t>3</w:t>
      </w:r>
      <w:r w:rsidR="0093302A" w:rsidRPr="0093302A">
        <w:t xml:space="preserve">9% </w:t>
      </w:r>
      <w:r w:rsidRPr="0093302A">
        <w:t>responded</w:t>
      </w:r>
      <w:r>
        <w:t xml:space="preserve"> they had a decrease.</w:t>
      </w:r>
    </w:p>
    <w:p w14:paraId="42E76B13" w14:textId="77777777" w:rsidR="006A1085" w:rsidRDefault="00EE2D4D" w:rsidP="002E60AC">
      <w:pPr>
        <w:sectPr w:rsidR="006A1085" w:rsidSect="00B86180">
          <w:type w:val="continuous"/>
          <w:pgSz w:w="12240" w:h="15840"/>
          <w:pgMar w:top="720" w:right="720" w:bottom="720" w:left="720" w:header="720" w:footer="720" w:gutter="0"/>
          <w:cols w:num="2" w:space="720"/>
          <w:docGrid w:linePitch="360"/>
        </w:sectPr>
      </w:pPr>
      <w:r>
        <w:t>Nearly half of respondents indicated they expect to go back to normal operations in more than six months while almost one-fifth expressed their businesses will not go back to normal</w:t>
      </w:r>
      <w:r w:rsidR="008917AD">
        <w:t>.</w:t>
      </w:r>
      <w:r w:rsidR="00B81B7A">
        <w:br/>
      </w:r>
    </w:p>
    <w:p w14:paraId="43038B13" w14:textId="77777777" w:rsidR="00820241" w:rsidRDefault="00820241" w:rsidP="008917AD">
      <w:pPr>
        <w:spacing w:after="0" w:line="240" w:lineRule="auto"/>
      </w:pPr>
    </w:p>
    <w:p w14:paraId="79FB2334" w14:textId="77777777" w:rsidR="005252B0" w:rsidRDefault="005252B0" w:rsidP="00FE2F3B">
      <w:pPr>
        <w:rPr>
          <w:rFonts w:ascii="Calibri" w:eastAsia="Times New Roman" w:hAnsi="Calibri" w:cs="Times New Roman"/>
          <w:b/>
          <w:bCs/>
          <w:color w:val="000000"/>
          <w:sz w:val="18"/>
          <w:szCs w:val="18"/>
        </w:rPr>
        <w:sectPr w:rsidR="005252B0" w:rsidSect="00B86180">
          <w:type w:val="continuous"/>
          <w:pgSz w:w="12240" w:h="15840"/>
          <w:pgMar w:top="720" w:right="720" w:bottom="720" w:left="720" w:header="720" w:footer="720" w:gutter="0"/>
          <w:cols w:num="2" w:space="720"/>
          <w:docGrid w:linePitch="360"/>
        </w:sectPr>
      </w:pPr>
    </w:p>
    <w:p w14:paraId="328270C9" w14:textId="77777777" w:rsidR="005252B0" w:rsidRPr="00671D12" w:rsidRDefault="005252B0" w:rsidP="00550643">
      <w:pPr>
        <w:spacing w:after="0" w:line="240" w:lineRule="auto"/>
        <w:rPr>
          <w:rFonts w:ascii="Calibri" w:eastAsia="Times New Roman" w:hAnsi="Calibri" w:cs="Times New Roman"/>
          <w:b/>
          <w:bCs/>
          <w:color w:val="000000"/>
        </w:rPr>
        <w:sectPr w:rsidR="005252B0" w:rsidRPr="00671D12" w:rsidSect="00820241">
          <w:type w:val="continuous"/>
          <w:pgSz w:w="12240" w:h="15840"/>
          <w:pgMar w:top="720" w:right="720" w:bottom="720" w:left="720" w:header="720" w:footer="720" w:gutter="0"/>
          <w:cols w:space="720"/>
          <w:docGrid w:linePitch="360"/>
        </w:sectPr>
      </w:pPr>
      <w:r w:rsidRPr="00671D12">
        <w:rPr>
          <w:color w:val="2E74B5" w:themeColor="accent1" w:themeShade="BF"/>
        </w:rPr>
        <w:t xml:space="preserve">Table 2. Impact of COVID-19 on Minnesota Services </w:t>
      </w:r>
      <w:r w:rsidR="00550643" w:rsidRPr="00671D12">
        <w:rPr>
          <w:rFonts w:eastAsia="Times New Roman"/>
          <w:color w:val="2E74B5" w:themeColor="accent1" w:themeShade="BF"/>
        </w:rPr>
        <w:t>Firms</w:t>
      </w:r>
      <w:r w:rsidR="00AD38E8" w:rsidRPr="00AD38E8">
        <w:rPr>
          <w:rFonts w:eastAsia="Times New Roman"/>
          <w:color w:val="2E74B5" w:themeColor="accent1" w:themeShade="BF"/>
          <w:vertAlign w:val="superscript"/>
        </w:rPr>
        <w:t>1</w:t>
      </w:r>
    </w:p>
    <w:tbl>
      <w:tblPr>
        <w:tblStyle w:val="PlainTable4"/>
        <w:tblW w:w="10730"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Impact of COVID-19 on businesses"/>
        <w:tblDescription w:val="Fifty-seven percent of respondents experienced a decline in revenue while half indicated a drop in employee productivity. Forty-three percent indicated they did not furlough employees while 44 four percent did not lay off workers. A significant share of respondents indicated an increase of employees working from home, 64 percent.&#10;&#10;The large majority of respondents indicated they have not missed loan payments (56 percent) nor rent payments (60 percent).&#10;Forty-four percent of respondents indicated no change in cash availability while 39 responded they had a decrease.&#10;Nearly half of respondents indicated they expect to go back to normal operations in more than six months while almost one-fifth expressed their businesses will not go back to normal.&#10; &#10;"/>
      </w:tblPr>
      <w:tblGrid>
        <w:gridCol w:w="4065"/>
        <w:gridCol w:w="1252"/>
        <w:gridCol w:w="1293"/>
        <w:gridCol w:w="1561"/>
        <w:gridCol w:w="1204"/>
        <w:gridCol w:w="1355"/>
      </w:tblGrid>
      <w:tr w:rsidR="00820241" w:rsidRPr="000A28AD" w14:paraId="6DA81802" w14:textId="77777777" w:rsidTr="00671D12">
        <w:trPr>
          <w:cnfStyle w:val="100000000000" w:firstRow="1" w:lastRow="0" w:firstColumn="0" w:lastColumn="0" w:oddVBand="0" w:evenVBand="0" w:oddHBand="0" w:evenHBand="0" w:firstRowFirstColumn="0" w:firstRowLastColumn="0" w:lastRowFirstColumn="0" w:lastRowLastColumn="0"/>
          <w:trHeight w:val="144"/>
          <w:tblHeader/>
          <w:jc w:val="center"/>
        </w:trPr>
        <w:tc>
          <w:tcPr>
            <w:tcW w:w="4065" w:type="dxa"/>
            <w:tcBorders>
              <w:top w:val="single" w:sz="4" w:space="0" w:color="auto"/>
              <w:bottom w:val="single" w:sz="4" w:space="0" w:color="auto"/>
            </w:tcBorders>
            <w:shd w:val="clear" w:color="auto" w:fill="BDD6EE" w:themeFill="accent1" w:themeFillTint="66"/>
            <w:noWrap/>
            <w:hideMark/>
          </w:tcPr>
          <w:p w14:paraId="512DA244" w14:textId="77777777" w:rsidR="00820241" w:rsidRPr="000A28AD" w:rsidRDefault="00820241" w:rsidP="00FE2F3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 of COVID-19 on your business</w:t>
            </w:r>
            <w:r w:rsidRPr="000A28AD">
              <w:rPr>
                <w:rFonts w:ascii="Calibri" w:eastAsia="Times New Roman" w:hAnsi="Calibri" w:cs="Times New Roman"/>
                <w:color w:val="000000"/>
                <w:sz w:val="18"/>
                <w:szCs w:val="18"/>
              </w:rPr>
              <w:t xml:space="preserve">: </w:t>
            </w:r>
          </w:p>
        </w:tc>
        <w:tc>
          <w:tcPr>
            <w:tcW w:w="1252" w:type="dxa"/>
            <w:tcBorders>
              <w:top w:val="single" w:sz="4" w:space="0" w:color="auto"/>
              <w:bottom w:val="single" w:sz="4" w:space="0" w:color="auto"/>
            </w:tcBorders>
            <w:shd w:val="clear" w:color="auto" w:fill="BDD6EE" w:themeFill="accent1" w:themeFillTint="66"/>
            <w:noWrap/>
            <w:hideMark/>
          </w:tcPr>
          <w:p w14:paraId="5EB6DCF9" w14:textId="77777777" w:rsidR="00820241" w:rsidRPr="000A28AD" w:rsidRDefault="00820241"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Increase</w:t>
            </w:r>
          </w:p>
        </w:tc>
        <w:tc>
          <w:tcPr>
            <w:tcW w:w="1293" w:type="dxa"/>
            <w:tcBorders>
              <w:top w:val="single" w:sz="4" w:space="0" w:color="auto"/>
              <w:bottom w:val="single" w:sz="4" w:space="0" w:color="auto"/>
            </w:tcBorders>
            <w:shd w:val="clear" w:color="auto" w:fill="BDD6EE" w:themeFill="accent1" w:themeFillTint="66"/>
            <w:noWrap/>
            <w:hideMark/>
          </w:tcPr>
          <w:p w14:paraId="2848273B" w14:textId="77777777" w:rsidR="00820241" w:rsidRPr="000A28AD" w:rsidRDefault="00820241"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No Change</w:t>
            </w:r>
          </w:p>
        </w:tc>
        <w:tc>
          <w:tcPr>
            <w:tcW w:w="1561" w:type="dxa"/>
            <w:tcBorders>
              <w:top w:val="single" w:sz="4" w:space="0" w:color="auto"/>
              <w:bottom w:val="single" w:sz="4" w:space="0" w:color="auto"/>
            </w:tcBorders>
            <w:shd w:val="clear" w:color="auto" w:fill="BDD6EE" w:themeFill="accent1" w:themeFillTint="66"/>
            <w:noWrap/>
            <w:hideMark/>
          </w:tcPr>
          <w:p w14:paraId="7315D60D" w14:textId="77777777" w:rsidR="00820241" w:rsidRPr="000A28AD" w:rsidRDefault="00820241"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Decrease</w:t>
            </w:r>
          </w:p>
        </w:tc>
        <w:tc>
          <w:tcPr>
            <w:tcW w:w="1204" w:type="dxa"/>
            <w:tcBorders>
              <w:top w:val="single" w:sz="4" w:space="0" w:color="auto"/>
              <w:bottom w:val="single" w:sz="4" w:space="0" w:color="auto"/>
            </w:tcBorders>
            <w:shd w:val="clear" w:color="auto" w:fill="BDD6EE" w:themeFill="accent1" w:themeFillTint="66"/>
            <w:noWrap/>
            <w:hideMark/>
          </w:tcPr>
          <w:p w14:paraId="27C1A5D6" w14:textId="77777777" w:rsidR="00820241" w:rsidRPr="000A28AD" w:rsidRDefault="00820241"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Not Applicable</w:t>
            </w:r>
          </w:p>
        </w:tc>
        <w:tc>
          <w:tcPr>
            <w:tcW w:w="1355" w:type="dxa"/>
            <w:tcBorders>
              <w:top w:val="single" w:sz="4" w:space="0" w:color="auto"/>
              <w:bottom w:val="single" w:sz="4" w:space="0" w:color="auto"/>
            </w:tcBorders>
            <w:shd w:val="clear" w:color="auto" w:fill="BDD6EE" w:themeFill="accent1" w:themeFillTint="66"/>
            <w:noWrap/>
            <w:hideMark/>
          </w:tcPr>
          <w:p w14:paraId="4B03D8FC" w14:textId="77777777" w:rsidR="00820241" w:rsidRPr="000A28AD" w:rsidRDefault="00820241"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Total</w:t>
            </w:r>
          </w:p>
        </w:tc>
      </w:tr>
      <w:tr w:rsidR="00820241" w:rsidRPr="000A28AD" w14:paraId="52D0DB0A" w14:textId="77777777" w:rsidTr="00671D12">
        <w:trPr>
          <w:trHeight w:val="144"/>
          <w:jc w:val="center"/>
        </w:trPr>
        <w:tc>
          <w:tcPr>
            <w:tcW w:w="4065" w:type="dxa"/>
            <w:tcBorders>
              <w:top w:val="single" w:sz="4" w:space="0" w:color="auto"/>
            </w:tcBorders>
            <w:noWrap/>
            <w:hideMark/>
          </w:tcPr>
          <w:p w14:paraId="64ADE41C" w14:textId="77777777" w:rsidR="00820241" w:rsidRPr="000A28AD" w:rsidRDefault="00820241" w:rsidP="00FE2F3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Cash availability</w:t>
            </w:r>
          </w:p>
        </w:tc>
        <w:tc>
          <w:tcPr>
            <w:tcW w:w="1252" w:type="dxa"/>
            <w:tcBorders>
              <w:top w:val="single" w:sz="4" w:space="0" w:color="auto"/>
            </w:tcBorders>
            <w:noWrap/>
            <w:hideMark/>
          </w:tcPr>
          <w:p w14:paraId="7E14E8D9" w14:textId="77777777" w:rsidR="00820241" w:rsidRPr="000A28AD" w:rsidRDefault="00820241"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Pr="000A28AD">
              <w:rPr>
                <w:rFonts w:ascii="Calibri" w:eastAsia="Times New Roman" w:hAnsi="Calibri" w:cs="Times New Roman"/>
                <w:color w:val="000000"/>
                <w:sz w:val="18"/>
                <w:szCs w:val="18"/>
              </w:rPr>
              <w:t>%</w:t>
            </w:r>
          </w:p>
        </w:tc>
        <w:tc>
          <w:tcPr>
            <w:tcW w:w="1293" w:type="dxa"/>
            <w:tcBorders>
              <w:top w:val="single" w:sz="4" w:space="0" w:color="auto"/>
            </w:tcBorders>
            <w:noWrap/>
            <w:hideMark/>
          </w:tcPr>
          <w:p w14:paraId="0335D581" w14:textId="77777777" w:rsidR="00820241" w:rsidRPr="000A28AD" w:rsidRDefault="00820241"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44</w:t>
            </w:r>
            <w:r w:rsidRPr="000A28AD">
              <w:rPr>
                <w:rFonts w:ascii="Calibri" w:eastAsia="Times New Roman" w:hAnsi="Calibri" w:cs="Times New Roman"/>
                <w:color w:val="000000"/>
                <w:sz w:val="18"/>
                <w:szCs w:val="18"/>
              </w:rPr>
              <w:t>%</w:t>
            </w:r>
          </w:p>
        </w:tc>
        <w:tc>
          <w:tcPr>
            <w:tcW w:w="1561" w:type="dxa"/>
            <w:tcBorders>
              <w:top w:val="single" w:sz="4" w:space="0" w:color="auto"/>
            </w:tcBorders>
            <w:noWrap/>
            <w:hideMark/>
          </w:tcPr>
          <w:p w14:paraId="434C7554" w14:textId="77777777" w:rsidR="00820241" w:rsidRPr="000A28AD" w:rsidRDefault="00820241"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39</w:t>
            </w:r>
            <w:r w:rsidRPr="000A28AD">
              <w:rPr>
                <w:rFonts w:ascii="Calibri" w:eastAsia="Times New Roman" w:hAnsi="Calibri" w:cs="Times New Roman"/>
                <w:color w:val="000000"/>
                <w:sz w:val="18"/>
                <w:szCs w:val="18"/>
              </w:rPr>
              <w:t>%</w:t>
            </w:r>
          </w:p>
        </w:tc>
        <w:tc>
          <w:tcPr>
            <w:tcW w:w="1204" w:type="dxa"/>
            <w:tcBorders>
              <w:top w:val="single" w:sz="4" w:space="0" w:color="auto"/>
            </w:tcBorders>
            <w:noWrap/>
            <w:hideMark/>
          </w:tcPr>
          <w:p w14:paraId="673DEB96" w14:textId="77777777" w:rsidR="00820241" w:rsidRPr="000A28AD" w:rsidRDefault="00820241"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p>
        </w:tc>
        <w:tc>
          <w:tcPr>
            <w:tcW w:w="1355" w:type="dxa"/>
            <w:tcBorders>
              <w:top w:val="single" w:sz="4" w:space="0" w:color="auto"/>
            </w:tcBorders>
            <w:noWrap/>
            <w:hideMark/>
          </w:tcPr>
          <w:p w14:paraId="4D83C2B1" w14:textId="77777777" w:rsidR="00820241" w:rsidRPr="000A28AD" w:rsidRDefault="00820241"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p>
        </w:tc>
      </w:tr>
      <w:tr w:rsidR="00820241" w:rsidRPr="000A28AD" w14:paraId="731F496F" w14:textId="77777777" w:rsidTr="00671D12">
        <w:trPr>
          <w:trHeight w:val="144"/>
          <w:jc w:val="center"/>
        </w:trPr>
        <w:tc>
          <w:tcPr>
            <w:tcW w:w="4065" w:type="dxa"/>
            <w:noWrap/>
            <w:hideMark/>
          </w:tcPr>
          <w:p w14:paraId="316FE733" w14:textId="77777777" w:rsidR="00820241" w:rsidRPr="000A28AD" w:rsidRDefault="00820241" w:rsidP="00FE2F3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Revenue</w:t>
            </w:r>
          </w:p>
        </w:tc>
        <w:tc>
          <w:tcPr>
            <w:tcW w:w="1252" w:type="dxa"/>
            <w:noWrap/>
            <w:hideMark/>
          </w:tcPr>
          <w:p w14:paraId="2D055DD4" w14:textId="77777777" w:rsidR="00820241" w:rsidRPr="000A28AD" w:rsidRDefault="00820241"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r w:rsidRPr="000A28AD">
              <w:rPr>
                <w:rFonts w:ascii="Calibri" w:eastAsia="Times New Roman" w:hAnsi="Calibri" w:cs="Times New Roman"/>
                <w:color w:val="000000"/>
                <w:sz w:val="18"/>
                <w:szCs w:val="18"/>
              </w:rPr>
              <w:t>%</w:t>
            </w:r>
          </w:p>
        </w:tc>
        <w:tc>
          <w:tcPr>
            <w:tcW w:w="1293" w:type="dxa"/>
            <w:noWrap/>
            <w:hideMark/>
          </w:tcPr>
          <w:p w14:paraId="41ED60BD" w14:textId="77777777" w:rsidR="00820241" w:rsidRPr="000A28AD" w:rsidRDefault="00820241"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30</w:t>
            </w:r>
            <w:r w:rsidRPr="000A28AD">
              <w:rPr>
                <w:rFonts w:ascii="Calibri" w:eastAsia="Times New Roman" w:hAnsi="Calibri" w:cs="Times New Roman"/>
                <w:color w:val="000000"/>
                <w:sz w:val="18"/>
                <w:szCs w:val="18"/>
              </w:rPr>
              <w:t>%</w:t>
            </w:r>
          </w:p>
        </w:tc>
        <w:tc>
          <w:tcPr>
            <w:tcW w:w="1561" w:type="dxa"/>
            <w:noWrap/>
            <w:hideMark/>
          </w:tcPr>
          <w:p w14:paraId="4AA4FA84" w14:textId="77777777" w:rsidR="00820241" w:rsidRPr="000A28AD" w:rsidRDefault="00820241"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57</w:t>
            </w:r>
            <w:r w:rsidRPr="000A28AD">
              <w:rPr>
                <w:rFonts w:ascii="Calibri" w:eastAsia="Times New Roman" w:hAnsi="Calibri" w:cs="Times New Roman"/>
                <w:color w:val="000000"/>
                <w:sz w:val="18"/>
                <w:szCs w:val="18"/>
              </w:rPr>
              <w:t>%</w:t>
            </w:r>
          </w:p>
        </w:tc>
        <w:tc>
          <w:tcPr>
            <w:tcW w:w="1204" w:type="dxa"/>
            <w:noWrap/>
            <w:hideMark/>
          </w:tcPr>
          <w:p w14:paraId="362B7B36" w14:textId="77777777" w:rsidR="00820241" w:rsidRPr="000A28AD" w:rsidRDefault="00820241"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p>
        </w:tc>
        <w:tc>
          <w:tcPr>
            <w:tcW w:w="1355" w:type="dxa"/>
            <w:noWrap/>
            <w:hideMark/>
          </w:tcPr>
          <w:p w14:paraId="3D22979D" w14:textId="77777777" w:rsidR="00820241" w:rsidRPr="000A28AD" w:rsidRDefault="00820241"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p>
        </w:tc>
      </w:tr>
      <w:tr w:rsidR="00820241" w:rsidRPr="000A28AD" w14:paraId="1975BCC6" w14:textId="77777777" w:rsidTr="00671D12">
        <w:trPr>
          <w:trHeight w:val="144"/>
          <w:jc w:val="center"/>
        </w:trPr>
        <w:tc>
          <w:tcPr>
            <w:tcW w:w="4065" w:type="dxa"/>
            <w:noWrap/>
            <w:hideMark/>
          </w:tcPr>
          <w:p w14:paraId="12511AA4" w14:textId="77777777" w:rsidR="00820241" w:rsidRPr="000A28AD" w:rsidRDefault="00702D96" w:rsidP="00FE2F3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Employee productivity</w:t>
            </w:r>
          </w:p>
        </w:tc>
        <w:tc>
          <w:tcPr>
            <w:tcW w:w="1252" w:type="dxa"/>
            <w:noWrap/>
            <w:hideMark/>
          </w:tcPr>
          <w:p w14:paraId="4C77CE09" w14:textId="77777777" w:rsidR="00820241" w:rsidRPr="000A28AD" w:rsidRDefault="00702D96"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820241" w:rsidRPr="000A28AD">
              <w:rPr>
                <w:rFonts w:ascii="Calibri" w:eastAsia="Times New Roman" w:hAnsi="Calibri" w:cs="Times New Roman"/>
                <w:color w:val="000000"/>
                <w:sz w:val="18"/>
                <w:szCs w:val="18"/>
              </w:rPr>
              <w:t>%</w:t>
            </w:r>
          </w:p>
        </w:tc>
        <w:tc>
          <w:tcPr>
            <w:tcW w:w="1293" w:type="dxa"/>
            <w:noWrap/>
            <w:hideMark/>
          </w:tcPr>
          <w:p w14:paraId="2B27FB8C" w14:textId="77777777" w:rsidR="00820241" w:rsidRPr="000A28AD" w:rsidRDefault="00702D96"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35</w:t>
            </w:r>
            <w:r w:rsidR="00820241" w:rsidRPr="000A28AD">
              <w:rPr>
                <w:rFonts w:ascii="Calibri" w:eastAsia="Times New Roman" w:hAnsi="Calibri" w:cs="Times New Roman"/>
                <w:color w:val="000000"/>
                <w:sz w:val="18"/>
                <w:szCs w:val="18"/>
              </w:rPr>
              <w:t>%</w:t>
            </w:r>
          </w:p>
        </w:tc>
        <w:tc>
          <w:tcPr>
            <w:tcW w:w="1561" w:type="dxa"/>
            <w:noWrap/>
            <w:hideMark/>
          </w:tcPr>
          <w:p w14:paraId="37EA0041" w14:textId="77777777" w:rsidR="00820241" w:rsidRPr="000A28AD" w:rsidRDefault="00702D96"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50</w:t>
            </w:r>
            <w:r w:rsidR="00820241" w:rsidRPr="000A28AD">
              <w:rPr>
                <w:rFonts w:ascii="Calibri" w:eastAsia="Times New Roman" w:hAnsi="Calibri" w:cs="Times New Roman"/>
                <w:color w:val="000000"/>
                <w:sz w:val="18"/>
                <w:szCs w:val="18"/>
              </w:rPr>
              <w:t>%</w:t>
            </w:r>
          </w:p>
        </w:tc>
        <w:tc>
          <w:tcPr>
            <w:tcW w:w="1204" w:type="dxa"/>
            <w:noWrap/>
            <w:hideMark/>
          </w:tcPr>
          <w:p w14:paraId="271881A6" w14:textId="77777777" w:rsidR="00820241" w:rsidRPr="000A28AD" w:rsidRDefault="00702D96"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p>
        </w:tc>
        <w:tc>
          <w:tcPr>
            <w:tcW w:w="1355" w:type="dxa"/>
            <w:noWrap/>
            <w:hideMark/>
          </w:tcPr>
          <w:p w14:paraId="72329472" w14:textId="77777777" w:rsidR="00820241" w:rsidRPr="000A28AD" w:rsidRDefault="00702D96"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p>
        </w:tc>
      </w:tr>
      <w:tr w:rsidR="00820241" w:rsidRPr="000A28AD" w14:paraId="02A58A7D" w14:textId="77777777" w:rsidTr="00671D12">
        <w:trPr>
          <w:trHeight w:val="144"/>
          <w:jc w:val="center"/>
        </w:trPr>
        <w:tc>
          <w:tcPr>
            <w:tcW w:w="4065" w:type="dxa"/>
            <w:noWrap/>
            <w:hideMark/>
          </w:tcPr>
          <w:p w14:paraId="54D7A602" w14:textId="77777777" w:rsidR="00820241" w:rsidRPr="000A28AD" w:rsidRDefault="00702D96" w:rsidP="00FE2F3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Employee furloughs </w:t>
            </w:r>
          </w:p>
        </w:tc>
        <w:tc>
          <w:tcPr>
            <w:tcW w:w="1252" w:type="dxa"/>
            <w:noWrap/>
            <w:hideMark/>
          </w:tcPr>
          <w:p w14:paraId="70088FC3" w14:textId="77777777" w:rsidR="00820241" w:rsidRPr="000A28AD" w:rsidRDefault="00702D96"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16</w:t>
            </w:r>
            <w:r w:rsidR="00820241" w:rsidRPr="000A28AD">
              <w:rPr>
                <w:rFonts w:ascii="Calibri" w:eastAsia="Times New Roman" w:hAnsi="Calibri" w:cs="Times New Roman"/>
                <w:color w:val="000000"/>
                <w:sz w:val="18"/>
                <w:szCs w:val="18"/>
              </w:rPr>
              <w:t>%</w:t>
            </w:r>
          </w:p>
        </w:tc>
        <w:tc>
          <w:tcPr>
            <w:tcW w:w="1293" w:type="dxa"/>
            <w:noWrap/>
            <w:hideMark/>
          </w:tcPr>
          <w:p w14:paraId="13802168" w14:textId="77777777" w:rsidR="00820241" w:rsidRPr="000A28AD" w:rsidRDefault="00702D96"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43</w:t>
            </w:r>
            <w:r w:rsidR="00820241" w:rsidRPr="000A28AD">
              <w:rPr>
                <w:rFonts w:ascii="Calibri" w:eastAsia="Times New Roman" w:hAnsi="Calibri" w:cs="Times New Roman"/>
                <w:color w:val="000000"/>
                <w:sz w:val="18"/>
                <w:szCs w:val="18"/>
              </w:rPr>
              <w:t>%</w:t>
            </w:r>
          </w:p>
        </w:tc>
        <w:tc>
          <w:tcPr>
            <w:tcW w:w="1561" w:type="dxa"/>
            <w:noWrap/>
            <w:hideMark/>
          </w:tcPr>
          <w:p w14:paraId="358E461C" w14:textId="77777777" w:rsidR="00820241" w:rsidRPr="000A28AD" w:rsidRDefault="00702D96"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00820241" w:rsidRPr="000A28AD">
              <w:rPr>
                <w:rFonts w:ascii="Calibri" w:eastAsia="Times New Roman" w:hAnsi="Calibri" w:cs="Times New Roman"/>
                <w:color w:val="000000"/>
                <w:sz w:val="18"/>
                <w:szCs w:val="18"/>
              </w:rPr>
              <w:t>%</w:t>
            </w:r>
          </w:p>
        </w:tc>
        <w:tc>
          <w:tcPr>
            <w:tcW w:w="1204" w:type="dxa"/>
            <w:noWrap/>
            <w:hideMark/>
          </w:tcPr>
          <w:p w14:paraId="2E2463E9" w14:textId="77777777" w:rsidR="00820241" w:rsidRPr="000A28AD" w:rsidRDefault="00702D96"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36%</w:t>
            </w:r>
          </w:p>
        </w:tc>
        <w:tc>
          <w:tcPr>
            <w:tcW w:w="1355" w:type="dxa"/>
            <w:noWrap/>
            <w:hideMark/>
          </w:tcPr>
          <w:p w14:paraId="45199CEA" w14:textId="77777777" w:rsidR="00820241" w:rsidRPr="000A28AD" w:rsidRDefault="00702D96"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p>
        </w:tc>
      </w:tr>
      <w:tr w:rsidR="00820241" w:rsidRPr="000A28AD" w14:paraId="09FA7BE5" w14:textId="77777777" w:rsidTr="00671D12">
        <w:trPr>
          <w:trHeight w:val="144"/>
          <w:jc w:val="center"/>
        </w:trPr>
        <w:tc>
          <w:tcPr>
            <w:tcW w:w="4065" w:type="dxa"/>
            <w:noWrap/>
            <w:hideMark/>
          </w:tcPr>
          <w:p w14:paraId="23BE89D8" w14:textId="77777777" w:rsidR="00820241" w:rsidRDefault="00702D96" w:rsidP="00FE2F3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Employee layoffs</w:t>
            </w:r>
          </w:p>
          <w:p w14:paraId="5FBAF24B" w14:textId="77777777" w:rsidR="00702D96" w:rsidRPr="000A28AD" w:rsidRDefault="00702D96" w:rsidP="00FE2F3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Employees working from home</w:t>
            </w:r>
            <w:r>
              <w:rPr>
                <w:rFonts w:ascii="Calibri" w:eastAsia="Times New Roman" w:hAnsi="Calibri" w:cs="Times New Roman"/>
                <w:color w:val="000000"/>
                <w:sz w:val="18"/>
                <w:szCs w:val="18"/>
              </w:rPr>
              <w:br/>
              <w:t>Missed loan payments</w:t>
            </w:r>
            <w:r w:rsidR="00DD39EC">
              <w:rPr>
                <w:rFonts w:ascii="Calibri" w:eastAsia="Times New Roman" w:hAnsi="Calibri" w:cs="Times New Roman"/>
                <w:color w:val="000000"/>
                <w:sz w:val="18"/>
                <w:szCs w:val="18"/>
              </w:rPr>
              <w:br/>
              <w:t>Missed rent payments</w:t>
            </w:r>
            <w:r w:rsidR="00DD39EC">
              <w:rPr>
                <w:rFonts w:ascii="Calibri" w:eastAsia="Times New Roman" w:hAnsi="Calibri" w:cs="Times New Roman"/>
                <w:color w:val="000000"/>
                <w:sz w:val="18"/>
                <w:szCs w:val="18"/>
              </w:rPr>
              <w:br/>
              <w:t>Requested financial assistance</w:t>
            </w:r>
          </w:p>
        </w:tc>
        <w:tc>
          <w:tcPr>
            <w:tcW w:w="1252" w:type="dxa"/>
            <w:noWrap/>
            <w:hideMark/>
          </w:tcPr>
          <w:p w14:paraId="21EE1B63" w14:textId="77777777" w:rsidR="00820241" w:rsidRDefault="00702D96"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18</w:t>
            </w:r>
            <w:r w:rsidR="00820241" w:rsidRPr="000A28AD">
              <w:rPr>
                <w:rFonts w:ascii="Calibri" w:eastAsia="Times New Roman" w:hAnsi="Calibri" w:cs="Times New Roman"/>
                <w:color w:val="000000"/>
                <w:sz w:val="18"/>
                <w:szCs w:val="18"/>
              </w:rPr>
              <w:t>%</w:t>
            </w:r>
            <w:r>
              <w:rPr>
                <w:rFonts w:ascii="Calibri" w:eastAsia="Times New Roman" w:hAnsi="Calibri" w:cs="Times New Roman"/>
                <w:color w:val="000000"/>
                <w:sz w:val="18"/>
                <w:szCs w:val="18"/>
              </w:rPr>
              <w:br/>
              <w:t>64%</w:t>
            </w:r>
          </w:p>
          <w:p w14:paraId="469D6D45" w14:textId="77777777" w:rsidR="00702D96" w:rsidRPr="000A28AD" w:rsidRDefault="00702D96"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00DD39EC">
              <w:rPr>
                <w:rFonts w:ascii="Calibri" w:eastAsia="Times New Roman" w:hAnsi="Calibri" w:cs="Times New Roman"/>
                <w:color w:val="000000"/>
                <w:sz w:val="18"/>
                <w:szCs w:val="18"/>
              </w:rPr>
              <w:br/>
              <w:t>7%</w:t>
            </w:r>
            <w:r w:rsidR="00DD39EC">
              <w:rPr>
                <w:rFonts w:ascii="Calibri" w:eastAsia="Times New Roman" w:hAnsi="Calibri" w:cs="Times New Roman"/>
                <w:color w:val="000000"/>
                <w:sz w:val="18"/>
                <w:szCs w:val="18"/>
              </w:rPr>
              <w:br/>
              <w:t>41%</w:t>
            </w:r>
          </w:p>
        </w:tc>
        <w:tc>
          <w:tcPr>
            <w:tcW w:w="1293" w:type="dxa"/>
            <w:noWrap/>
            <w:hideMark/>
          </w:tcPr>
          <w:p w14:paraId="2075D4C6" w14:textId="77777777" w:rsidR="00820241" w:rsidRDefault="00702D96"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44</w:t>
            </w:r>
            <w:r w:rsidR="00820241" w:rsidRPr="000A28AD">
              <w:rPr>
                <w:rFonts w:ascii="Calibri" w:eastAsia="Times New Roman" w:hAnsi="Calibri" w:cs="Times New Roman"/>
                <w:color w:val="000000"/>
                <w:sz w:val="18"/>
                <w:szCs w:val="18"/>
              </w:rPr>
              <w:t>%</w:t>
            </w:r>
            <w:r>
              <w:rPr>
                <w:rFonts w:ascii="Calibri" w:eastAsia="Times New Roman" w:hAnsi="Calibri" w:cs="Times New Roman"/>
                <w:color w:val="000000"/>
                <w:sz w:val="18"/>
                <w:szCs w:val="18"/>
              </w:rPr>
              <w:br/>
              <w:t>20%</w:t>
            </w:r>
          </w:p>
          <w:p w14:paraId="63706833" w14:textId="77777777" w:rsidR="00702D96" w:rsidRDefault="00702D96"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56%</w:t>
            </w:r>
          </w:p>
          <w:p w14:paraId="6A5A562D" w14:textId="77777777" w:rsidR="00DD39EC" w:rsidRPr="000A28AD" w:rsidRDefault="00DD39EC"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60%</w:t>
            </w:r>
            <w:r>
              <w:rPr>
                <w:rFonts w:ascii="Calibri" w:eastAsia="Times New Roman" w:hAnsi="Calibri" w:cs="Times New Roman"/>
                <w:color w:val="000000"/>
                <w:sz w:val="18"/>
                <w:szCs w:val="18"/>
              </w:rPr>
              <w:br/>
              <w:t>33%</w:t>
            </w:r>
          </w:p>
        </w:tc>
        <w:tc>
          <w:tcPr>
            <w:tcW w:w="1561" w:type="dxa"/>
            <w:noWrap/>
            <w:hideMark/>
          </w:tcPr>
          <w:p w14:paraId="26A8DA89" w14:textId="77777777" w:rsidR="00820241" w:rsidRDefault="00702D96"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Pr>
                <w:rFonts w:ascii="Calibri" w:eastAsia="Times New Roman" w:hAnsi="Calibri" w:cs="Times New Roman"/>
                <w:color w:val="000000"/>
                <w:sz w:val="18"/>
                <w:szCs w:val="18"/>
              </w:rPr>
              <w:br/>
              <w:t>1%</w:t>
            </w:r>
          </w:p>
          <w:p w14:paraId="36D4799C" w14:textId="77777777" w:rsidR="00DD39EC" w:rsidRPr="000A28AD" w:rsidRDefault="00DD39EC"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Pr>
                <w:rFonts w:ascii="Calibri" w:eastAsia="Times New Roman" w:hAnsi="Calibri" w:cs="Times New Roman"/>
                <w:color w:val="000000"/>
                <w:sz w:val="18"/>
                <w:szCs w:val="18"/>
              </w:rPr>
              <w:br/>
              <w:t>1%</w:t>
            </w:r>
            <w:r>
              <w:rPr>
                <w:rFonts w:ascii="Calibri" w:eastAsia="Times New Roman" w:hAnsi="Calibri" w:cs="Times New Roman"/>
                <w:color w:val="000000"/>
                <w:sz w:val="18"/>
                <w:szCs w:val="18"/>
              </w:rPr>
              <w:br/>
              <w:t>0%</w:t>
            </w:r>
          </w:p>
        </w:tc>
        <w:tc>
          <w:tcPr>
            <w:tcW w:w="1204" w:type="dxa"/>
            <w:noWrap/>
            <w:hideMark/>
          </w:tcPr>
          <w:p w14:paraId="104A2639" w14:textId="77777777" w:rsidR="00820241" w:rsidRDefault="00702D96"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35%</w:t>
            </w:r>
            <w:r>
              <w:rPr>
                <w:rFonts w:ascii="Calibri" w:eastAsia="Times New Roman" w:hAnsi="Calibri" w:cs="Times New Roman"/>
                <w:color w:val="000000"/>
                <w:sz w:val="18"/>
                <w:szCs w:val="18"/>
              </w:rPr>
              <w:br/>
              <w:t>15%</w:t>
            </w:r>
          </w:p>
          <w:p w14:paraId="07A9164D" w14:textId="77777777" w:rsidR="00DD39EC" w:rsidRPr="000A28AD" w:rsidRDefault="00DD39EC"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37%</w:t>
            </w:r>
            <w:r>
              <w:rPr>
                <w:rFonts w:ascii="Calibri" w:eastAsia="Times New Roman" w:hAnsi="Calibri" w:cs="Times New Roman"/>
                <w:color w:val="000000"/>
                <w:sz w:val="18"/>
                <w:szCs w:val="18"/>
              </w:rPr>
              <w:br/>
              <w:t>32%</w:t>
            </w:r>
            <w:r>
              <w:rPr>
                <w:rFonts w:ascii="Calibri" w:eastAsia="Times New Roman" w:hAnsi="Calibri" w:cs="Times New Roman"/>
                <w:color w:val="000000"/>
                <w:sz w:val="18"/>
                <w:szCs w:val="18"/>
              </w:rPr>
              <w:br/>
              <w:t>27%</w:t>
            </w:r>
          </w:p>
        </w:tc>
        <w:tc>
          <w:tcPr>
            <w:tcW w:w="1355" w:type="dxa"/>
            <w:noWrap/>
            <w:hideMark/>
          </w:tcPr>
          <w:p w14:paraId="7CC94749" w14:textId="77777777" w:rsidR="00DD39EC" w:rsidRDefault="00702D96"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r>
              <w:rPr>
                <w:rFonts w:ascii="Calibri" w:eastAsia="Times New Roman" w:hAnsi="Calibri" w:cs="Times New Roman"/>
                <w:color w:val="000000"/>
                <w:sz w:val="18"/>
                <w:szCs w:val="18"/>
              </w:rPr>
              <w:br/>
              <w:t xml:space="preserve">100% </w:t>
            </w:r>
          </w:p>
          <w:p w14:paraId="50C0A804" w14:textId="77777777" w:rsidR="00820241" w:rsidRPr="000A28AD" w:rsidRDefault="00DD39EC" w:rsidP="0065730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r>
              <w:rPr>
                <w:rFonts w:ascii="Calibri" w:eastAsia="Times New Roman" w:hAnsi="Calibri" w:cs="Times New Roman"/>
                <w:color w:val="000000"/>
                <w:sz w:val="18"/>
                <w:szCs w:val="18"/>
              </w:rPr>
              <w:br/>
              <w:t>100%</w:t>
            </w:r>
            <w:r w:rsidR="00702D96">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br/>
              <w:t>100%</w:t>
            </w:r>
            <w:r w:rsidR="00702D96">
              <w:rPr>
                <w:rFonts w:ascii="Calibri" w:eastAsia="Times New Roman" w:hAnsi="Calibri" w:cs="Times New Roman"/>
                <w:color w:val="000000"/>
                <w:sz w:val="18"/>
                <w:szCs w:val="18"/>
              </w:rPr>
              <w:t xml:space="preserve"> </w:t>
            </w:r>
          </w:p>
        </w:tc>
      </w:tr>
    </w:tbl>
    <w:p w14:paraId="696FBCE2" w14:textId="77777777" w:rsidR="008917AD" w:rsidRPr="00500E37" w:rsidRDefault="008917AD" w:rsidP="00500E37">
      <w:pPr>
        <w:spacing w:after="0" w:line="120" w:lineRule="auto"/>
        <w:rPr>
          <w:b/>
        </w:rPr>
      </w:pPr>
    </w:p>
    <w:tbl>
      <w:tblPr>
        <w:tblStyle w:val="PlainTable4"/>
        <w:tblW w:w="10790"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Extectations To Return To Normal Pperations"/>
        <w:tblDescription w:val="Nearly half of respondents indicated they expect to go back to normal operations in more than six months while almost one-fifth expressed their businesses will not go back to normal.&#10; &#10;"/>
      </w:tblPr>
      <w:tblGrid>
        <w:gridCol w:w="1885"/>
        <w:gridCol w:w="1576"/>
        <w:gridCol w:w="898"/>
        <w:gridCol w:w="1273"/>
        <w:gridCol w:w="1374"/>
        <w:gridCol w:w="1118"/>
        <w:gridCol w:w="1288"/>
        <w:gridCol w:w="1378"/>
      </w:tblGrid>
      <w:tr w:rsidR="00F97D05" w:rsidRPr="00500E37" w14:paraId="284CEB9E" w14:textId="77777777" w:rsidTr="00F97D05">
        <w:trPr>
          <w:cnfStyle w:val="100000000000" w:firstRow="1" w:lastRow="0" w:firstColumn="0" w:lastColumn="0" w:oddVBand="0" w:evenVBand="0" w:oddHBand="0" w:evenHBand="0" w:firstRowFirstColumn="0" w:firstRowLastColumn="0" w:lastRowFirstColumn="0" w:lastRowLastColumn="0"/>
          <w:trHeight w:val="144"/>
          <w:tblHeader/>
          <w:jc w:val="center"/>
        </w:trPr>
        <w:tc>
          <w:tcPr>
            <w:tcW w:w="1885" w:type="dxa"/>
            <w:tcBorders>
              <w:top w:val="single" w:sz="4" w:space="0" w:color="auto"/>
              <w:bottom w:val="single" w:sz="4" w:space="0" w:color="auto"/>
            </w:tcBorders>
            <w:shd w:val="clear" w:color="auto" w:fill="BDD6EE" w:themeFill="accent1" w:themeFillTint="66"/>
            <w:noWrap/>
            <w:hideMark/>
          </w:tcPr>
          <w:p w14:paraId="7EAE08E2" w14:textId="77777777" w:rsidR="0073212E" w:rsidRDefault="0073212E" w:rsidP="00FE2F3B">
            <w:pP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Expectations to</w:t>
            </w:r>
            <w:r w:rsidRPr="00500E37">
              <w:rPr>
                <w:rFonts w:ascii="Calibri" w:eastAsia="Times New Roman" w:hAnsi="Calibri" w:cs="Times New Roman"/>
                <w:color w:val="000000"/>
                <w:sz w:val="18"/>
                <w:szCs w:val="18"/>
              </w:rPr>
              <w:br/>
              <w:t>return to normal</w:t>
            </w:r>
          </w:p>
          <w:p w14:paraId="7597BDAF" w14:textId="77777777" w:rsidR="00B42CDA" w:rsidRPr="00500E37" w:rsidRDefault="00B42CDA" w:rsidP="00FE2F3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operations:</w:t>
            </w:r>
          </w:p>
        </w:tc>
        <w:tc>
          <w:tcPr>
            <w:tcW w:w="1576" w:type="dxa"/>
            <w:tcBorders>
              <w:top w:val="single" w:sz="4" w:space="0" w:color="auto"/>
              <w:bottom w:val="single" w:sz="4" w:space="0" w:color="auto"/>
            </w:tcBorders>
            <w:shd w:val="clear" w:color="auto" w:fill="BDD6EE" w:themeFill="accent1" w:themeFillTint="66"/>
          </w:tcPr>
          <w:p w14:paraId="5954DEE1" w14:textId="77777777" w:rsidR="0073212E" w:rsidRPr="00500E37" w:rsidRDefault="00F97D05"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1 Month or</w:t>
            </w:r>
          </w:p>
          <w:p w14:paraId="27F744C4" w14:textId="77777777" w:rsidR="00F97D05" w:rsidRPr="00500E37" w:rsidRDefault="00F97D05"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Less</w:t>
            </w:r>
          </w:p>
        </w:tc>
        <w:tc>
          <w:tcPr>
            <w:tcW w:w="898" w:type="dxa"/>
            <w:tcBorders>
              <w:top w:val="single" w:sz="4" w:space="0" w:color="auto"/>
              <w:bottom w:val="single" w:sz="4" w:space="0" w:color="auto"/>
            </w:tcBorders>
            <w:shd w:val="clear" w:color="auto" w:fill="BDD6EE" w:themeFill="accent1" w:themeFillTint="66"/>
            <w:noWrap/>
            <w:hideMark/>
          </w:tcPr>
          <w:p w14:paraId="5415E3AD" w14:textId="77777777" w:rsidR="0073212E" w:rsidRPr="00500E37" w:rsidRDefault="00F97D05"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2-3</w:t>
            </w:r>
            <w:r w:rsidRPr="00500E37">
              <w:rPr>
                <w:rFonts w:ascii="Calibri" w:eastAsia="Times New Roman" w:hAnsi="Calibri" w:cs="Times New Roman"/>
                <w:color w:val="000000"/>
                <w:sz w:val="18"/>
                <w:szCs w:val="18"/>
              </w:rPr>
              <w:br/>
              <w:t>Months</w:t>
            </w:r>
          </w:p>
        </w:tc>
        <w:tc>
          <w:tcPr>
            <w:tcW w:w="1273" w:type="dxa"/>
            <w:tcBorders>
              <w:top w:val="single" w:sz="4" w:space="0" w:color="auto"/>
              <w:bottom w:val="single" w:sz="4" w:space="0" w:color="auto"/>
            </w:tcBorders>
            <w:shd w:val="clear" w:color="auto" w:fill="BDD6EE" w:themeFill="accent1" w:themeFillTint="66"/>
            <w:noWrap/>
            <w:hideMark/>
          </w:tcPr>
          <w:p w14:paraId="66CC40D5" w14:textId="77777777" w:rsidR="0073212E" w:rsidRPr="00500E37" w:rsidRDefault="00F97D05"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4-6</w:t>
            </w:r>
            <w:r w:rsidRPr="00500E37">
              <w:rPr>
                <w:rFonts w:ascii="Calibri" w:eastAsia="Times New Roman" w:hAnsi="Calibri" w:cs="Times New Roman"/>
                <w:color w:val="000000"/>
                <w:sz w:val="18"/>
                <w:szCs w:val="18"/>
              </w:rPr>
              <w:br/>
              <w:t>Months</w:t>
            </w:r>
          </w:p>
        </w:tc>
        <w:tc>
          <w:tcPr>
            <w:tcW w:w="1374" w:type="dxa"/>
            <w:tcBorders>
              <w:top w:val="single" w:sz="4" w:space="0" w:color="auto"/>
              <w:bottom w:val="single" w:sz="4" w:space="0" w:color="auto"/>
            </w:tcBorders>
            <w:shd w:val="clear" w:color="auto" w:fill="BDD6EE" w:themeFill="accent1" w:themeFillTint="66"/>
            <w:noWrap/>
            <w:hideMark/>
          </w:tcPr>
          <w:p w14:paraId="44E0152D" w14:textId="77777777" w:rsidR="0073212E" w:rsidRPr="00500E37" w:rsidRDefault="00F97D05"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More than 6</w:t>
            </w:r>
            <w:r w:rsidRPr="00500E37">
              <w:rPr>
                <w:rFonts w:ascii="Calibri" w:eastAsia="Times New Roman" w:hAnsi="Calibri" w:cs="Times New Roman"/>
                <w:color w:val="000000"/>
                <w:sz w:val="18"/>
                <w:szCs w:val="18"/>
              </w:rPr>
              <w:br/>
              <w:t>Months</w:t>
            </w:r>
          </w:p>
        </w:tc>
        <w:tc>
          <w:tcPr>
            <w:tcW w:w="1118" w:type="dxa"/>
            <w:tcBorders>
              <w:top w:val="single" w:sz="4" w:space="0" w:color="auto"/>
              <w:bottom w:val="single" w:sz="4" w:space="0" w:color="auto"/>
            </w:tcBorders>
            <w:shd w:val="clear" w:color="auto" w:fill="BDD6EE" w:themeFill="accent1" w:themeFillTint="66"/>
            <w:noWrap/>
            <w:hideMark/>
          </w:tcPr>
          <w:p w14:paraId="63994B78" w14:textId="77777777" w:rsidR="0073212E" w:rsidRPr="00500E37" w:rsidRDefault="00F97D05"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Will Not Go</w:t>
            </w:r>
          </w:p>
          <w:p w14:paraId="0AF1188F" w14:textId="77777777" w:rsidR="00F97D05" w:rsidRPr="00500E37" w:rsidRDefault="00F97D05"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Back to Normal</w:t>
            </w:r>
          </w:p>
        </w:tc>
        <w:tc>
          <w:tcPr>
            <w:tcW w:w="1288" w:type="dxa"/>
            <w:tcBorders>
              <w:top w:val="single" w:sz="4" w:space="0" w:color="auto"/>
              <w:bottom w:val="single" w:sz="4" w:space="0" w:color="auto"/>
            </w:tcBorders>
            <w:shd w:val="clear" w:color="auto" w:fill="BDD6EE" w:themeFill="accent1" w:themeFillTint="66"/>
            <w:noWrap/>
            <w:hideMark/>
          </w:tcPr>
          <w:p w14:paraId="5E47D0E2" w14:textId="77777777" w:rsidR="0073212E" w:rsidRPr="00500E37" w:rsidRDefault="00F97D05" w:rsidP="007E2463">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 xml:space="preserve">Little </w:t>
            </w:r>
            <w:r w:rsidRPr="007E2463">
              <w:rPr>
                <w:rFonts w:ascii="Calibri" w:eastAsia="Times New Roman" w:hAnsi="Calibri" w:cs="Times New Roman"/>
                <w:color w:val="000000"/>
                <w:sz w:val="18"/>
                <w:szCs w:val="18"/>
              </w:rPr>
              <w:t>o</w:t>
            </w:r>
            <w:r w:rsidR="007E2463" w:rsidRPr="007E2463">
              <w:rPr>
                <w:rFonts w:ascii="Calibri" w:eastAsia="Times New Roman" w:hAnsi="Calibri" w:cs="Times New Roman"/>
                <w:color w:val="000000"/>
                <w:sz w:val="18"/>
                <w:szCs w:val="18"/>
              </w:rPr>
              <w:t>r</w:t>
            </w:r>
            <w:r w:rsidR="007E2463">
              <w:rPr>
                <w:rFonts w:ascii="Calibri" w:eastAsia="Times New Roman" w:hAnsi="Calibri" w:cs="Times New Roman"/>
                <w:color w:val="000000"/>
                <w:sz w:val="18"/>
                <w:szCs w:val="18"/>
              </w:rPr>
              <w:t xml:space="preserve"> </w:t>
            </w:r>
            <w:r w:rsidRPr="00500E37">
              <w:rPr>
                <w:rFonts w:ascii="Calibri" w:eastAsia="Times New Roman" w:hAnsi="Calibri" w:cs="Times New Roman"/>
                <w:color w:val="000000"/>
                <w:sz w:val="18"/>
                <w:szCs w:val="18"/>
              </w:rPr>
              <w:t>No</w:t>
            </w:r>
            <w:r w:rsidRPr="00500E37">
              <w:rPr>
                <w:rFonts w:ascii="Calibri" w:eastAsia="Times New Roman" w:hAnsi="Calibri" w:cs="Times New Roman"/>
                <w:color w:val="000000"/>
                <w:sz w:val="18"/>
                <w:szCs w:val="18"/>
              </w:rPr>
              <w:br/>
              <w:t>Effect</w:t>
            </w:r>
          </w:p>
        </w:tc>
        <w:tc>
          <w:tcPr>
            <w:tcW w:w="1378" w:type="dxa"/>
            <w:tcBorders>
              <w:top w:val="single" w:sz="4" w:space="0" w:color="auto"/>
              <w:bottom w:val="single" w:sz="4" w:space="0" w:color="auto"/>
            </w:tcBorders>
            <w:shd w:val="clear" w:color="auto" w:fill="BDD6EE" w:themeFill="accent1" w:themeFillTint="66"/>
            <w:noWrap/>
            <w:hideMark/>
          </w:tcPr>
          <w:p w14:paraId="04254B04" w14:textId="77777777" w:rsidR="0073212E" w:rsidRPr="00500E37" w:rsidRDefault="00F97D05"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Going Out</w:t>
            </w:r>
          </w:p>
          <w:p w14:paraId="25BB94EC" w14:textId="77777777" w:rsidR="00F97D05" w:rsidRPr="00500E37" w:rsidRDefault="00F97D05"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Of Business</w:t>
            </w:r>
          </w:p>
        </w:tc>
      </w:tr>
      <w:tr w:rsidR="00F97D05" w:rsidRPr="00500E37" w14:paraId="5BD99B76" w14:textId="77777777" w:rsidTr="00500E37">
        <w:trPr>
          <w:trHeight w:val="20"/>
          <w:jc w:val="center"/>
        </w:trPr>
        <w:tc>
          <w:tcPr>
            <w:tcW w:w="1885" w:type="dxa"/>
            <w:tcBorders>
              <w:top w:val="single" w:sz="4" w:space="0" w:color="auto"/>
            </w:tcBorders>
            <w:noWrap/>
            <w:hideMark/>
          </w:tcPr>
          <w:p w14:paraId="29F7C39F" w14:textId="77777777" w:rsidR="0073212E" w:rsidRPr="00500E37" w:rsidRDefault="0073212E" w:rsidP="00FE2F3B">
            <w:pPr>
              <w:rPr>
                <w:rFonts w:ascii="Calibri" w:eastAsia="Times New Roman" w:hAnsi="Calibri" w:cs="Times New Roman"/>
                <w:color w:val="000000"/>
                <w:sz w:val="18"/>
                <w:szCs w:val="18"/>
              </w:rPr>
            </w:pPr>
          </w:p>
        </w:tc>
        <w:tc>
          <w:tcPr>
            <w:tcW w:w="1576" w:type="dxa"/>
            <w:tcBorders>
              <w:top w:val="single" w:sz="4" w:space="0" w:color="auto"/>
            </w:tcBorders>
          </w:tcPr>
          <w:p w14:paraId="21187F95" w14:textId="77777777" w:rsidR="0073212E" w:rsidRPr="00500E37" w:rsidRDefault="00F97D05" w:rsidP="00500E37">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0%</w:t>
            </w:r>
          </w:p>
        </w:tc>
        <w:tc>
          <w:tcPr>
            <w:tcW w:w="898" w:type="dxa"/>
            <w:tcBorders>
              <w:top w:val="single" w:sz="4" w:space="0" w:color="auto"/>
            </w:tcBorders>
            <w:noWrap/>
            <w:hideMark/>
          </w:tcPr>
          <w:p w14:paraId="43E34248" w14:textId="77777777" w:rsidR="0073212E" w:rsidRPr="00500E37" w:rsidRDefault="00F97D05" w:rsidP="00F97D05">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2%</w:t>
            </w:r>
          </w:p>
        </w:tc>
        <w:tc>
          <w:tcPr>
            <w:tcW w:w="1273" w:type="dxa"/>
            <w:tcBorders>
              <w:top w:val="single" w:sz="4" w:space="0" w:color="auto"/>
            </w:tcBorders>
            <w:noWrap/>
            <w:hideMark/>
          </w:tcPr>
          <w:p w14:paraId="0072A51E" w14:textId="77777777" w:rsidR="0073212E" w:rsidRPr="00500E37" w:rsidRDefault="00F97D05"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11</w:t>
            </w:r>
            <w:r w:rsidR="0073212E" w:rsidRPr="00500E37">
              <w:rPr>
                <w:rFonts w:ascii="Calibri" w:eastAsia="Times New Roman" w:hAnsi="Calibri" w:cs="Times New Roman"/>
                <w:color w:val="000000"/>
                <w:sz w:val="18"/>
                <w:szCs w:val="18"/>
              </w:rPr>
              <w:t>%</w:t>
            </w:r>
          </w:p>
        </w:tc>
        <w:tc>
          <w:tcPr>
            <w:tcW w:w="1374" w:type="dxa"/>
            <w:tcBorders>
              <w:top w:val="single" w:sz="4" w:space="0" w:color="auto"/>
            </w:tcBorders>
            <w:noWrap/>
            <w:hideMark/>
          </w:tcPr>
          <w:p w14:paraId="49352506" w14:textId="77777777" w:rsidR="0073212E" w:rsidRPr="00500E37" w:rsidRDefault="00F97D05"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48</w:t>
            </w:r>
            <w:r w:rsidR="0073212E" w:rsidRPr="00500E37">
              <w:rPr>
                <w:rFonts w:ascii="Calibri" w:eastAsia="Times New Roman" w:hAnsi="Calibri" w:cs="Times New Roman"/>
                <w:color w:val="000000"/>
                <w:sz w:val="18"/>
                <w:szCs w:val="18"/>
              </w:rPr>
              <w:t>%</w:t>
            </w:r>
          </w:p>
        </w:tc>
        <w:tc>
          <w:tcPr>
            <w:tcW w:w="1118" w:type="dxa"/>
            <w:tcBorders>
              <w:top w:val="single" w:sz="4" w:space="0" w:color="auto"/>
            </w:tcBorders>
            <w:noWrap/>
            <w:hideMark/>
          </w:tcPr>
          <w:p w14:paraId="16DA28B5" w14:textId="77777777" w:rsidR="0073212E" w:rsidRPr="00500E37" w:rsidRDefault="00F97D05"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19</w:t>
            </w:r>
            <w:r w:rsidR="0073212E" w:rsidRPr="00500E37">
              <w:rPr>
                <w:rFonts w:ascii="Calibri" w:eastAsia="Times New Roman" w:hAnsi="Calibri" w:cs="Times New Roman"/>
                <w:color w:val="000000"/>
                <w:sz w:val="18"/>
                <w:szCs w:val="18"/>
              </w:rPr>
              <w:t>%</w:t>
            </w:r>
          </w:p>
        </w:tc>
        <w:tc>
          <w:tcPr>
            <w:tcW w:w="1288" w:type="dxa"/>
            <w:tcBorders>
              <w:top w:val="single" w:sz="4" w:space="0" w:color="auto"/>
            </w:tcBorders>
            <w:noWrap/>
            <w:hideMark/>
          </w:tcPr>
          <w:p w14:paraId="4A58584F" w14:textId="77777777" w:rsidR="0073212E" w:rsidRPr="00500E37" w:rsidRDefault="0073212E"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1</w:t>
            </w:r>
            <w:r w:rsidR="00F97D05" w:rsidRPr="00500E37">
              <w:rPr>
                <w:rFonts w:ascii="Calibri" w:eastAsia="Times New Roman" w:hAnsi="Calibri" w:cs="Times New Roman"/>
                <w:color w:val="000000"/>
                <w:sz w:val="18"/>
                <w:szCs w:val="18"/>
              </w:rPr>
              <w:t>7</w:t>
            </w:r>
            <w:r w:rsidRPr="00500E37">
              <w:rPr>
                <w:rFonts w:ascii="Calibri" w:eastAsia="Times New Roman" w:hAnsi="Calibri" w:cs="Times New Roman"/>
                <w:color w:val="000000"/>
                <w:sz w:val="18"/>
                <w:szCs w:val="18"/>
              </w:rPr>
              <w:t>%</w:t>
            </w:r>
          </w:p>
        </w:tc>
        <w:tc>
          <w:tcPr>
            <w:tcW w:w="1378" w:type="dxa"/>
            <w:tcBorders>
              <w:top w:val="single" w:sz="4" w:space="0" w:color="auto"/>
            </w:tcBorders>
            <w:noWrap/>
            <w:hideMark/>
          </w:tcPr>
          <w:p w14:paraId="3A409D26" w14:textId="77777777" w:rsidR="0073212E" w:rsidRPr="00500E37" w:rsidRDefault="0073212E"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3%</w:t>
            </w:r>
          </w:p>
        </w:tc>
      </w:tr>
    </w:tbl>
    <w:p w14:paraId="462DE3D8" w14:textId="77777777" w:rsidR="0073212E" w:rsidRPr="00500E37" w:rsidRDefault="0073212E" w:rsidP="008917AD">
      <w:pPr>
        <w:spacing w:after="0" w:line="240" w:lineRule="auto"/>
        <w:sectPr w:rsidR="0073212E" w:rsidRPr="00500E37" w:rsidSect="0073212E">
          <w:type w:val="continuous"/>
          <w:pgSz w:w="12240" w:h="15840"/>
          <w:pgMar w:top="720" w:right="720" w:bottom="720" w:left="720" w:header="720" w:footer="720" w:gutter="0"/>
          <w:cols w:space="720"/>
          <w:docGrid w:linePitch="360"/>
        </w:sectPr>
      </w:pPr>
    </w:p>
    <w:p w14:paraId="698AB779" w14:textId="6B6368BC" w:rsidR="00CA5832" w:rsidRDefault="00CA5832" w:rsidP="006B6F5E">
      <w:pPr>
        <w:spacing w:after="0" w:line="240" w:lineRule="auto"/>
      </w:pPr>
      <w:r w:rsidRPr="00CA5832">
        <w:t>Respondents were asked to provide</w:t>
      </w:r>
      <w:r>
        <w:t xml:space="preserve"> comments related to the impact of the pan</w:t>
      </w:r>
      <w:r w:rsidR="008959F9">
        <w:t>demic on their business. Selected</w:t>
      </w:r>
      <w:r>
        <w:t xml:space="preserve"> responses are provided </w:t>
      </w:r>
      <w:r w:rsidRPr="00CA5832">
        <w:rPr>
          <w:i/>
        </w:rPr>
        <w:t>verbatim</w:t>
      </w:r>
      <w:r>
        <w:t>, broken down by type of comment:</w:t>
      </w:r>
      <w:r w:rsidR="00877E6A">
        <w:br/>
      </w:r>
    </w:p>
    <w:p w14:paraId="09AD8D47" w14:textId="77777777" w:rsidR="008959F9" w:rsidRDefault="008959F9" w:rsidP="0065730A">
      <w:pPr>
        <w:pStyle w:val="Heading2"/>
        <w:sectPr w:rsidR="008959F9" w:rsidSect="00877E6A">
          <w:type w:val="continuous"/>
          <w:pgSz w:w="12240" w:h="15840"/>
          <w:pgMar w:top="720" w:right="720" w:bottom="720" w:left="720" w:header="720" w:footer="720" w:gutter="0"/>
          <w:cols w:space="720"/>
          <w:docGrid w:linePitch="360"/>
        </w:sectPr>
      </w:pPr>
    </w:p>
    <w:p w14:paraId="62119AFB" w14:textId="77777777" w:rsidR="00F60B34" w:rsidRDefault="00F60B34" w:rsidP="006B6F5E">
      <w:pPr>
        <w:spacing w:after="0" w:line="240" w:lineRule="auto"/>
      </w:pPr>
    </w:p>
    <w:p w14:paraId="5873863E" w14:textId="5FB5D63A" w:rsidR="00C37A2C" w:rsidRDefault="00C37A2C" w:rsidP="006B6F5E">
      <w:pPr>
        <w:spacing w:after="0" w:line="240" w:lineRule="auto"/>
      </w:pPr>
      <w:r w:rsidRPr="0065730A">
        <w:rPr>
          <w:rStyle w:val="Heading2Char"/>
        </w:rPr>
        <w:t>Hiring:</w:t>
      </w:r>
      <w:r w:rsidRPr="0065730A">
        <w:rPr>
          <w:rStyle w:val="Heading2Char"/>
        </w:rPr>
        <w:br/>
      </w:r>
      <w:r w:rsidRPr="00C37A2C">
        <w:rPr>
          <w:i/>
        </w:rPr>
        <w:t xml:space="preserve">“Health concerns for staff have limited new </w:t>
      </w:r>
      <w:r w:rsidR="009B7A08" w:rsidRPr="009B7A08">
        <w:rPr>
          <w:i/>
        </w:rPr>
        <w:t xml:space="preserve">hiring. </w:t>
      </w:r>
      <w:r w:rsidRPr="009B7A08">
        <w:rPr>
          <w:i/>
        </w:rPr>
        <w:t>We</w:t>
      </w:r>
      <w:r w:rsidRPr="00C37A2C">
        <w:rPr>
          <w:i/>
        </w:rPr>
        <w:t xml:space="preserve"> are concerned about bringing new people </w:t>
      </w:r>
      <w:r w:rsidRPr="009B7A08">
        <w:rPr>
          <w:i/>
        </w:rPr>
        <w:t xml:space="preserve">on </w:t>
      </w:r>
      <w:r w:rsidR="009B7A08" w:rsidRPr="009B7A08">
        <w:rPr>
          <w:i/>
        </w:rPr>
        <w:t xml:space="preserve">board. </w:t>
      </w:r>
      <w:r w:rsidRPr="009B7A08">
        <w:rPr>
          <w:i/>
        </w:rPr>
        <w:t>We</w:t>
      </w:r>
      <w:r w:rsidRPr="00C37A2C">
        <w:rPr>
          <w:i/>
        </w:rPr>
        <w:t xml:space="preserve"> work close together and know each other</w:t>
      </w:r>
      <w:r w:rsidR="00FD4BBE">
        <w:rPr>
          <w:i/>
        </w:rPr>
        <w:t>’</w:t>
      </w:r>
      <w:r w:rsidRPr="00C37A2C">
        <w:rPr>
          <w:i/>
        </w:rPr>
        <w:t xml:space="preserve">s family and </w:t>
      </w:r>
      <w:r w:rsidR="009B7A08" w:rsidRPr="009B7A08">
        <w:rPr>
          <w:i/>
        </w:rPr>
        <w:t xml:space="preserve">lifestyle. </w:t>
      </w:r>
      <w:r w:rsidRPr="009B7A08">
        <w:rPr>
          <w:i/>
        </w:rPr>
        <w:t>We</w:t>
      </w:r>
      <w:r w:rsidRPr="00C37A2C">
        <w:rPr>
          <w:i/>
        </w:rPr>
        <w:t xml:space="preserve"> aren</w:t>
      </w:r>
      <w:r w:rsidR="008D3F64">
        <w:rPr>
          <w:i/>
        </w:rPr>
        <w:t>’</w:t>
      </w:r>
      <w:r w:rsidRPr="00C37A2C">
        <w:rPr>
          <w:i/>
        </w:rPr>
        <w:t>t concerned about COVID-19 among our existing staff, just any new people we hire.”</w:t>
      </w:r>
    </w:p>
    <w:p w14:paraId="62F1EA6A" w14:textId="77777777" w:rsidR="00C37A2C" w:rsidRDefault="00C37A2C" w:rsidP="006B6F5E">
      <w:pPr>
        <w:spacing w:after="0" w:line="240" w:lineRule="auto"/>
      </w:pPr>
    </w:p>
    <w:p w14:paraId="75BAC1F1" w14:textId="77777777" w:rsidR="00CA5832" w:rsidRDefault="003B032B" w:rsidP="006B6F5E">
      <w:pPr>
        <w:spacing w:after="0" w:line="240" w:lineRule="auto"/>
        <w:rPr>
          <w:i/>
        </w:rPr>
      </w:pPr>
      <w:r w:rsidRPr="0065730A">
        <w:rPr>
          <w:rStyle w:val="Heading2Char"/>
        </w:rPr>
        <w:t>Positive impact</w:t>
      </w:r>
      <w:r w:rsidR="00CA5832" w:rsidRPr="0065730A">
        <w:rPr>
          <w:rStyle w:val="Heading2Char"/>
        </w:rPr>
        <w:t>:</w:t>
      </w:r>
      <w:r w:rsidR="00CA5832" w:rsidRPr="0065730A">
        <w:rPr>
          <w:rStyle w:val="Heading2Char"/>
        </w:rPr>
        <w:br/>
      </w:r>
      <w:r w:rsidR="00CA5832">
        <w:rPr>
          <w:i/>
        </w:rPr>
        <w:t>“</w:t>
      </w:r>
      <w:r w:rsidR="00CA5832" w:rsidRPr="00CA5832">
        <w:rPr>
          <w:i/>
        </w:rPr>
        <w:t xml:space="preserve">As a broadband provider, demand for our services has been higher than </w:t>
      </w:r>
      <w:r w:rsidR="009B7A08" w:rsidRPr="009B7A08">
        <w:rPr>
          <w:i/>
        </w:rPr>
        <w:t xml:space="preserve">normal. </w:t>
      </w:r>
      <w:r w:rsidR="00CA5832" w:rsidRPr="009B7A08">
        <w:rPr>
          <w:i/>
        </w:rPr>
        <w:t>Even</w:t>
      </w:r>
      <w:r w:rsidR="00CA5832" w:rsidRPr="00CA5832">
        <w:rPr>
          <w:i/>
        </w:rPr>
        <w:t xml:space="preserve"> so, we</w:t>
      </w:r>
      <w:r w:rsidR="008D3F64">
        <w:rPr>
          <w:i/>
        </w:rPr>
        <w:t>’</w:t>
      </w:r>
      <w:r w:rsidR="00CA5832" w:rsidRPr="00CA5832">
        <w:rPr>
          <w:i/>
        </w:rPr>
        <w:t xml:space="preserve">ve been able to function quite effectively with the majority of our staff transitioned to work </w:t>
      </w:r>
      <w:r w:rsidR="00CA5832" w:rsidRPr="009B7A08">
        <w:rPr>
          <w:i/>
        </w:rPr>
        <w:t xml:space="preserve">from </w:t>
      </w:r>
      <w:r w:rsidR="009B7A08" w:rsidRPr="009B7A08">
        <w:rPr>
          <w:i/>
        </w:rPr>
        <w:t>home.</w:t>
      </w:r>
      <w:r w:rsidR="00CA5832" w:rsidRPr="009B7A08">
        <w:rPr>
          <w:i/>
        </w:rPr>
        <w:t xml:space="preserve"> Operational</w:t>
      </w:r>
      <w:r w:rsidR="00CA5832" w:rsidRPr="00CA5832">
        <w:rPr>
          <w:i/>
        </w:rPr>
        <w:t xml:space="preserve"> costs have increased in some areas of our operation due to offering free distance learning services for unserved students as well as free community wifi hot spots.</w:t>
      </w:r>
      <w:r w:rsidR="00CA5832">
        <w:rPr>
          <w:i/>
        </w:rPr>
        <w:t>”</w:t>
      </w:r>
    </w:p>
    <w:p w14:paraId="18AF27CD" w14:textId="77777777" w:rsidR="00C37A2C" w:rsidRPr="0005336B" w:rsidRDefault="00C37A2C" w:rsidP="006B6F5E">
      <w:pPr>
        <w:spacing w:after="0" w:line="240" w:lineRule="auto"/>
      </w:pPr>
    </w:p>
    <w:p w14:paraId="353844D0" w14:textId="27DA4210" w:rsidR="00F60B34" w:rsidRPr="00C37A2C" w:rsidRDefault="003B032B" w:rsidP="006B6F5E">
      <w:pPr>
        <w:spacing w:after="0" w:line="240" w:lineRule="auto"/>
        <w:rPr>
          <w:i/>
        </w:rPr>
      </w:pPr>
      <w:r w:rsidRPr="0065730A">
        <w:rPr>
          <w:rStyle w:val="Heading2Char"/>
        </w:rPr>
        <w:t>Negative impact</w:t>
      </w:r>
      <w:r w:rsidR="00C37A2C" w:rsidRPr="0065730A">
        <w:rPr>
          <w:rStyle w:val="Heading2Char"/>
        </w:rPr>
        <w:t xml:space="preserve">: </w:t>
      </w:r>
      <w:r w:rsidR="00C37A2C" w:rsidRPr="0065730A">
        <w:rPr>
          <w:rStyle w:val="Heading2Char"/>
        </w:rPr>
        <w:br/>
      </w:r>
      <w:r w:rsidR="00F60B34">
        <w:rPr>
          <w:i/>
        </w:rPr>
        <w:t>“</w:t>
      </w:r>
      <w:r w:rsidR="009B7A08" w:rsidRPr="009B7A08">
        <w:rPr>
          <w:i/>
        </w:rPr>
        <w:t>COVID-19</w:t>
      </w:r>
      <w:r w:rsidR="00F60B34" w:rsidRPr="009B7A08">
        <w:rPr>
          <w:i/>
        </w:rPr>
        <w:t xml:space="preserve"> </w:t>
      </w:r>
      <w:r w:rsidR="00F60B34" w:rsidRPr="00F60B34">
        <w:rPr>
          <w:i/>
        </w:rPr>
        <w:t>has had a disastrous impact on the airline industry</w:t>
      </w:r>
      <w:r w:rsidR="00FD4BBE">
        <w:rPr>
          <w:i/>
        </w:rPr>
        <w:t>…</w:t>
      </w:r>
      <w:r w:rsidR="009B7A08" w:rsidRPr="009B7A08">
        <w:rPr>
          <w:i/>
        </w:rPr>
        <w:t xml:space="preserve"> </w:t>
      </w:r>
      <w:r w:rsidR="00FD4BBE">
        <w:rPr>
          <w:i/>
        </w:rPr>
        <w:t>[</w:t>
      </w:r>
      <w:r w:rsidR="00B354AB">
        <w:rPr>
          <w:i/>
        </w:rPr>
        <w:t>Company name</w:t>
      </w:r>
      <w:r w:rsidR="00FD4BBE">
        <w:rPr>
          <w:i/>
        </w:rPr>
        <w:t>]</w:t>
      </w:r>
      <w:r w:rsidR="00F60B34" w:rsidRPr="00F60B34">
        <w:rPr>
          <w:i/>
        </w:rPr>
        <w:t xml:space="preserve"> is an important client of ours, and the downturn in the airline industry has negatively impacted our revenue and profit.</w:t>
      </w:r>
      <w:r w:rsidR="00F60B34">
        <w:rPr>
          <w:i/>
        </w:rPr>
        <w:t>”</w:t>
      </w:r>
    </w:p>
    <w:p w14:paraId="4AB4B9DA" w14:textId="77777777" w:rsidR="00F60B34" w:rsidRDefault="00F60B34" w:rsidP="006B6F5E">
      <w:pPr>
        <w:spacing w:after="0" w:line="240" w:lineRule="auto"/>
        <w:rPr>
          <w:color w:val="FF0000"/>
          <w:sz w:val="14"/>
          <w:szCs w:val="14"/>
        </w:rPr>
      </w:pPr>
    </w:p>
    <w:p w14:paraId="124AB551" w14:textId="77777777" w:rsidR="00877E6A" w:rsidRPr="00FF76A7" w:rsidRDefault="00877E6A" w:rsidP="006B6F5E">
      <w:pPr>
        <w:spacing w:after="0" w:line="240" w:lineRule="auto"/>
        <w:rPr>
          <w:i/>
        </w:rPr>
      </w:pPr>
      <w:r>
        <w:rPr>
          <w:i/>
        </w:rPr>
        <w:t>“</w:t>
      </w:r>
      <w:r w:rsidRPr="00877E6A">
        <w:rPr>
          <w:i/>
        </w:rPr>
        <w:t xml:space="preserve">My business is 65% </w:t>
      </w:r>
      <w:r w:rsidR="009B7A08" w:rsidRPr="009B7A08">
        <w:rPr>
          <w:i/>
        </w:rPr>
        <w:t>down.</w:t>
      </w:r>
      <w:r w:rsidRPr="009B7A08">
        <w:rPr>
          <w:i/>
        </w:rPr>
        <w:t xml:space="preserve"> It is </w:t>
      </w:r>
      <w:r w:rsidR="009B7A08" w:rsidRPr="009B7A08">
        <w:rPr>
          <w:i/>
        </w:rPr>
        <w:t xml:space="preserve">brutal. </w:t>
      </w:r>
      <w:r w:rsidRPr="009B7A08">
        <w:rPr>
          <w:i/>
        </w:rPr>
        <w:t>I am</w:t>
      </w:r>
      <w:r w:rsidRPr="00877E6A">
        <w:rPr>
          <w:i/>
        </w:rPr>
        <w:t xml:space="preserve"> hanging on by threads</w:t>
      </w:r>
      <w:r w:rsidR="008D3F64">
        <w:rPr>
          <w:i/>
        </w:rPr>
        <w:t>,</w:t>
      </w:r>
      <w:r w:rsidRPr="00877E6A">
        <w:rPr>
          <w:i/>
        </w:rPr>
        <w:t xml:space="preserve"> and I</w:t>
      </w:r>
      <w:r w:rsidR="009B7A08">
        <w:rPr>
          <w:i/>
        </w:rPr>
        <w:t xml:space="preserve"> don't know how much longer I </w:t>
      </w:r>
      <w:r w:rsidRPr="009B7A08">
        <w:rPr>
          <w:i/>
        </w:rPr>
        <w:t xml:space="preserve">will </w:t>
      </w:r>
      <w:r w:rsidR="008D3F64">
        <w:rPr>
          <w:i/>
        </w:rPr>
        <w:t xml:space="preserve">[be able] </w:t>
      </w:r>
      <w:r w:rsidRPr="00877E6A">
        <w:rPr>
          <w:i/>
        </w:rPr>
        <w:t xml:space="preserve">to do </w:t>
      </w:r>
      <w:r w:rsidR="009B7A08" w:rsidRPr="009B7A08">
        <w:rPr>
          <w:i/>
        </w:rPr>
        <w:t xml:space="preserve">this. </w:t>
      </w:r>
      <w:r w:rsidRPr="009B7A08">
        <w:rPr>
          <w:i/>
        </w:rPr>
        <w:t>After</w:t>
      </w:r>
      <w:r w:rsidRPr="00877E6A">
        <w:rPr>
          <w:i/>
        </w:rPr>
        <w:t xml:space="preserve"> 26 years in business it is very sad.</w:t>
      </w:r>
      <w:r>
        <w:rPr>
          <w:i/>
        </w:rPr>
        <w:t>”</w:t>
      </w:r>
    </w:p>
    <w:p w14:paraId="571AA516" w14:textId="77777777" w:rsidR="005B6BED" w:rsidRDefault="005B6BED" w:rsidP="006B6F5E">
      <w:pPr>
        <w:spacing w:after="0" w:line="240" w:lineRule="auto"/>
      </w:pPr>
    </w:p>
    <w:p w14:paraId="343C33D4" w14:textId="77777777" w:rsidR="005B6BED" w:rsidRDefault="005B6BED" w:rsidP="005B6BED">
      <w:pPr>
        <w:spacing w:after="0" w:line="240" w:lineRule="auto"/>
        <w:rPr>
          <w:i/>
        </w:rPr>
      </w:pPr>
      <w:r w:rsidRPr="0065730A">
        <w:rPr>
          <w:rStyle w:val="Heading2Char"/>
        </w:rPr>
        <w:t xml:space="preserve">No impact: </w:t>
      </w:r>
      <w:r w:rsidRPr="0065730A">
        <w:rPr>
          <w:rStyle w:val="Heading2Char"/>
        </w:rPr>
        <w:br/>
      </w:r>
      <w:r w:rsidRPr="003B032B">
        <w:rPr>
          <w:i/>
        </w:rPr>
        <w:t>“We are doing well. Not worse, just different.”</w:t>
      </w:r>
    </w:p>
    <w:p w14:paraId="049D2901" w14:textId="77777777" w:rsidR="004662B5" w:rsidRPr="00877E6A" w:rsidRDefault="004662B5" w:rsidP="006B6F5E">
      <w:pPr>
        <w:spacing w:after="0" w:line="240" w:lineRule="auto"/>
      </w:pPr>
      <w:r>
        <w:br/>
      </w:r>
      <w:r w:rsidRPr="0065730A">
        <w:rPr>
          <w:rStyle w:val="Heading2Char"/>
        </w:rPr>
        <w:t>Supply Chain:</w:t>
      </w:r>
      <w:r w:rsidRPr="0065730A">
        <w:rPr>
          <w:rStyle w:val="Heading2Char"/>
        </w:rPr>
        <w:br/>
      </w:r>
      <w:r w:rsidRPr="004662B5">
        <w:rPr>
          <w:i/>
        </w:rPr>
        <w:t xml:space="preserve">“We are a sales firm in the outdoor recreation industry (hunt, fish, camp) and we have seen an increase in demand for our product, but with a number of domestic suppliers, supply chain interruption has created the biggest challenge to keep up with the demand.  Recreating outdoors we anticipate will continue to see increased participation until a permanent solution to </w:t>
      </w:r>
      <w:r w:rsidR="009B7A08" w:rsidRPr="009B7A08">
        <w:rPr>
          <w:i/>
        </w:rPr>
        <w:t>CO</w:t>
      </w:r>
      <w:r w:rsidRPr="004662B5">
        <w:rPr>
          <w:i/>
        </w:rPr>
        <w:t>VID-19 exists.”</w:t>
      </w:r>
      <w:r>
        <w:br/>
      </w:r>
    </w:p>
    <w:p w14:paraId="1C3ACECD" w14:textId="77777777" w:rsidR="004662B5" w:rsidRPr="008959F9" w:rsidRDefault="00064F89" w:rsidP="008959F9">
      <w:pPr>
        <w:pStyle w:val="Heading2"/>
      </w:pPr>
      <w:r w:rsidRPr="00273DC2">
        <w:t>Uncertainty:</w:t>
      </w:r>
    </w:p>
    <w:p w14:paraId="171C543C" w14:textId="77777777" w:rsidR="00877E6A" w:rsidRDefault="004662B5" w:rsidP="00064F89">
      <w:pPr>
        <w:spacing w:after="0" w:line="240" w:lineRule="auto"/>
        <w:rPr>
          <w:i/>
        </w:rPr>
      </w:pPr>
      <w:r>
        <w:rPr>
          <w:i/>
        </w:rPr>
        <w:t>“</w:t>
      </w:r>
      <w:r w:rsidRPr="004662B5">
        <w:rPr>
          <w:i/>
        </w:rPr>
        <w:t>Uncertainty in the marketplace has limited companies</w:t>
      </w:r>
      <w:r w:rsidR="00877E6A">
        <w:rPr>
          <w:i/>
        </w:rPr>
        <w:t>’</w:t>
      </w:r>
      <w:r w:rsidRPr="004662B5">
        <w:rPr>
          <w:i/>
        </w:rPr>
        <w:t xml:space="preserve"> ability to predict future revenue, </w:t>
      </w:r>
      <w:r w:rsidRPr="009B7A08">
        <w:rPr>
          <w:i/>
        </w:rPr>
        <w:t>and therefor</w:t>
      </w:r>
      <w:r w:rsidR="009B7A08" w:rsidRPr="009B7A08">
        <w:rPr>
          <w:i/>
        </w:rPr>
        <w:t>e</w:t>
      </w:r>
      <w:r w:rsidRPr="009B7A08">
        <w:rPr>
          <w:i/>
        </w:rPr>
        <w:t xml:space="preserve"> </w:t>
      </w:r>
      <w:r w:rsidRPr="004662B5">
        <w:rPr>
          <w:i/>
        </w:rPr>
        <w:t>limits their ability to contract for services.</w:t>
      </w:r>
      <w:r>
        <w:rPr>
          <w:i/>
        </w:rPr>
        <w:t>”</w:t>
      </w:r>
    </w:p>
    <w:p w14:paraId="34D83965" w14:textId="77777777" w:rsidR="00AD38E8" w:rsidRPr="003B032B" w:rsidRDefault="00AD38E8" w:rsidP="006B6F5E">
      <w:pPr>
        <w:spacing w:after="0" w:line="240" w:lineRule="auto"/>
        <w:rPr>
          <w:i/>
          <w:color w:val="FF0000"/>
          <w:sz w:val="14"/>
          <w:szCs w:val="14"/>
        </w:rPr>
      </w:pPr>
    </w:p>
    <w:p w14:paraId="661EA8FD" w14:textId="77777777" w:rsidR="0005336B" w:rsidRDefault="00C37A2C" w:rsidP="0065730A">
      <w:pPr>
        <w:pStyle w:val="Heading2"/>
      </w:pPr>
      <w:r w:rsidRPr="00C74624">
        <w:t>Working from home:</w:t>
      </w:r>
    </w:p>
    <w:p w14:paraId="4145CED2" w14:textId="77777777" w:rsidR="0005336B" w:rsidRDefault="00C74624" w:rsidP="006B6F5E">
      <w:pPr>
        <w:spacing w:after="0" w:line="240" w:lineRule="auto"/>
        <w:rPr>
          <w:i/>
        </w:rPr>
      </w:pPr>
      <w:r>
        <w:rPr>
          <w:i/>
        </w:rPr>
        <w:t>“</w:t>
      </w:r>
      <w:r w:rsidR="00C37A2C" w:rsidRPr="00C74624">
        <w:rPr>
          <w:i/>
        </w:rPr>
        <w:t>Having staff working from home is a challenge to co-ordinate but shows a slight increase in productivity.</w:t>
      </w:r>
      <w:r>
        <w:rPr>
          <w:i/>
        </w:rPr>
        <w:t>”</w:t>
      </w:r>
    </w:p>
    <w:p w14:paraId="2E1C311F" w14:textId="77777777" w:rsidR="00AD38E8" w:rsidRDefault="00AD38E8" w:rsidP="006B6F5E">
      <w:pPr>
        <w:spacing w:after="0" w:line="240" w:lineRule="auto"/>
        <w:rPr>
          <w:color w:val="FF0000"/>
          <w:sz w:val="14"/>
          <w:szCs w:val="14"/>
        </w:rPr>
      </w:pPr>
    </w:p>
    <w:p w14:paraId="0A953C25" w14:textId="77777777" w:rsidR="00AD38E8" w:rsidRPr="0005336B" w:rsidRDefault="0005336B" w:rsidP="006B6F5E">
      <w:pPr>
        <w:spacing w:after="0" w:line="240" w:lineRule="auto"/>
        <w:rPr>
          <w:i/>
        </w:rPr>
      </w:pPr>
      <w:r>
        <w:rPr>
          <w:i/>
        </w:rPr>
        <w:t>“</w:t>
      </w:r>
      <w:r w:rsidRPr="0005336B">
        <w:rPr>
          <w:i/>
        </w:rPr>
        <w:t>Hard on our business and difficult working from home.  People need to communicate in same building</w:t>
      </w:r>
      <w:r>
        <w:rPr>
          <w:i/>
        </w:rPr>
        <w:t>.”</w:t>
      </w:r>
    </w:p>
    <w:p w14:paraId="1A310EAB" w14:textId="77777777" w:rsidR="008959F9" w:rsidRDefault="008959F9" w:rsidP="006B6F5E">
      <w:pPr>
        <w:spacing w:after="0" w:line="240" w:lineRule="auto"/>
        <w:rPr>
          <w:color w:val="FF0000"/>
          <w:sz w:val="14"/>
          <w:szCs w:val="14"/>
        </w:rPr>
        <w:sectPr w:rsidR="008959F9" w:rsidSect="008959F9">
          <w:type w:val="continuous"/>
          <w:pgSz w:w="12240" w:h="15840"/>
          <w:pgMar w:top="720" w:right="720" w:bottom="720" w:left="720" w:header="720" w:footer="720" w:gutter="0"/>
          <w:cols w:num="2" w:space="720"/>
          <w:docGrid w:linePitch="360"/>
        </w:sectPr>
      </w:pPr>
    </w:p>
    <w:p w14:paraId="670C6493" w14:textId="77777777" w:rsidR="008959F9" w:rsidRDefault="008959F9" w:rsidP="006B6F5E">
      <w:pPr>
        <w:spacing w:after="0" w:line="240" w:lineRule="auto"/>
        <w:rPr>
          <w:i/>
        </w:rPr>
      </w:pPr>
    </w:p>
    <w:p w14:paraId="617B4CEB" w14:textId="77777777" w:rsidR="00BE1B88" w:rsidRDefault="00BE1B88" w:rsidP="006B6F5E">
      <w:pPr>
        <w:spacing w:after="0" w:line="240" w:lineRule="auto"/>
        <w:rPr>
          <w:sz w:val="14"/>
          <w:szCs w:val="14"/>
        </w:rPr>
        <w:sectPr w:rsidR="00BE1B88" w:rsidSect="00B86180">
          <w:type w:val="continuous"/>
          <w:pgSz w:w="12240" w:h="15840"/>
          <w:pgMar w:top="720" w:right="720" w:bottom="720" w:left="720" w:header="720" w:footer="720" w:gutter="0"/>
          <w:cols w:num="2" w:space="720"/>
          <w:docGrid w:linePitch="360"/>
        </w:sectPr>
      </w:pPr>
    </w:p>
    <w:p w14:paraId="5242B454" w14:textId="77777777" w:rsidR="00877E6A" w:rsidRDefault="00BE1B88" w:rsidP="006B6F5E">
      <w:pPr>
        <w:spacing w:after="0" w:line="240" w:lineRule="auto"/>
        <w:rPr>
          <w:color w:val="FF0000"/>
          <w:sz w:val="14"/>
          <w:szCs w:val="14"/>
        </w:rPr>
        <w:sectPr w:rsidR="00877E6A" w:rsidSect="00BE1B88">
          <w:type w:val="continuous"/>
          <w:pgSz w:w="12240" w:h="15840"/>
          <w:pgMar w:top="720" w:right="720" w:bottom="720" w:left="720" w:header="720" w:footer="720" w:gutter="0"/>
          <w:cols w:space="720"/>
          <w:docGrid w:linePitch="360"/>
        </w:sectPr>
      </w:pPr>
      <w:r>
        <w:rPr>
          <w:sz w:val="14"/>
          <w:szCs w:val="14"/>
        </w:rPr>
        <w:t>(</w:t>
      </w:r>
      <w:r w:rsidR="00877E6A" w:rsidRPr="00877E6A">
        <w:rPr>
          <w:sz w:val="14"/>
          <w:szCs w:val="14"/>
        </w:rPr>
        <w:t xml:space="preserve">1) </w:t>
      </w:r>
      <w:r w:rsidR="00411327">
        <w:rPr>
          <w:sz w:val="14"/>
          <w:szCs w:val="14"/>
        </w:rPr>
        <w:t xml:space="preserve">Based on responses from </w:t>
      </w:r>
      <w:r w:rsidR="00411327" w:rsidRPr="009B7A08">
        <w:rPr>
          <w:sz w:val="14"/>
          <w:szCs w:val="14"/>
        </w:rPr>
        <w:t>148</w:t>
      </w:r>
      <w:r w:rsidR="00FF76A7" w:rsidRPr="009B7A08">
        <w:rPr>
          <w:sz w:val="14"/>
          <w:szCs w:val="14"/>
        </w:rPr>
        <w:t xml:space="preserve"> </w:t>
      </w:r>
      <w:r w:rsidR="00FF76A7">
        <w:rPr>
          <w:sz w:val="14"/>
          <w:szCs w:val="14"/>
        </w:rPr>
        <w:t>Minnesota</w:t>
      </w:r>
      <w:r w:rsidR="00877E6A" w:rsidRPr="00877E6A">
        <w:rPr>
          <w:sz w:val="14"/>
          <w:szCs w:val="14"/>
        </w:rPr>
        <w:t xml:space="preserve"> busines</w:t>
      </w:r>
      <w:r w:rsidR="000A65D8">
        <w:rPr>
          <w:sz w:val="14"/>
          <w:szCs w:val="14"/>
        </w:rPr>
        <w:t>s service firms</w:t>
      </w:r>
      <w:r w:rsidR="00411327">
        <w:rPr>
          <w:sz w:val="14"/>
          <w:szCs w:val="14"/>
        </w:rPr>
        <w:t>, for a response rate of 12.3</w:t>
      </w:r>
      <w:r w:rsidR="009B7A08">
        <w:rPr>
          <w:sz w:val="14"/>
          <w:szCs w:val="14"/>
        </w:rPr>
        <w:t>%</w:t>
      </w:r>
      <w:r w:rsidR="00877E6A" w:rsidRPr="00877E6A">
        <w:rPr>
          <w:sz w:val="14"/>
          <w:szCs w:val="14"/>
        </w:rPr>
        <w:t>. The samp</w:t>
      </w:r>
      <w:r w:rsidR="00411327">
        <w:rPr>
          <w:sz w:val="14"/>
          <w:szCs w:val="14"/>
        </w:rPr>
        <w:t>ling error is plus or minus 8.0</w:t>
      </w:r>
      <w:r w:rsidR="009B7A08">
        <w:rPr>
          <w:sz w:val="14"/>
          <w:szCs w:val="14"/>
        </w:rPr>
        <w:t xml:space="preserve"> percent at a 95%</w:t>
      </w:r>
      <w:r w:rsidR="00877E6A" w:rsidRPr="00877E6A">
        <w:rPr>
          <w:sz w:val="14"/>
          <w:szCs w:val="14"/>
        </w:rPr>
        <w:t xml:space="preserve"> confidence level. P</w:t>
      </w:r>
      <w:r w:rsidR="009B7A08">
        <w:rPr>
          <w:sz w:val="14"/>
          <w:szCs w:val="14"/>
        </w:rPr>
        <w:t>ercentages might not add to 100$</w:t>
      </w:r>
      <w:r w:rsidR="00877E6A" w:rsidRPr="00877E6A">
        <w:rPr>
          <w:sz w:val="14"/>
          <w:szCs w:val="14"/>
        </w:rPr>
        <w:t xml:space="preserve"> due to rounding. </w:t>
      </w:r>
      <w:r w:rsidR="00877E6A" w:rsidRPr="00877E6A">
        <w:rPr>
          <w:sz w:val="14"/>
          <w:szCs w:val="14"/>
        </w:rPr>
        <w:br/>
        <w:t xml:space="preserve">(2) A diffusion index greater than 50 indicates expansion, lower than 50 indicates contraction. </w:t>
      </w:r>
      <w:r w:rsidR="00877E6A" w:rsidRPr="00877E6A">
        <w:rPr>
          <w:sz w:val="14"/>
          <w:szCs w:val="14"/>
        </w:rPr>
        <w:br/>
        <w:t>Prepar</w:t>
      </w:r>
      <w:r w:rsidR="00411327">
        <w:rPr>
          <w:sz w:val="14"/>
          <w:szCs w:val="14"/>
        </w:rPr>
        <w:t xml:space="preserve">ed by the Economic Analysis </w:t>
      </w:r>
      <w:r w:rsidR="009E4192">
        <w:rPr>
          <w:sz w:val="14"/>
          <w:szCs w:val="14"/>
        </w:rPr>
        <w:t>Unit</w:t>
      </w:r>
      <w:r w:rsidR="00877E6A" w:rsidRPr="00877E6A">
        <w:rPr>
          <w:sz w:val="14"/>
          <w:szCs w:val="14"/>
        </w:rPr>
        <w:t xml:space="preserve">, Minnesota Department of Employment and Economic </w:t>
      </w:r>
      <w:r w:rsidR="00EC6FBE">
        <w:rPr>
          <w:sz w:val="14"/>
          <w:szCs w:val="14"/>
        </w:rPr>
        <w:t>Developmen</w:t>
      </w:r>
      <w:r>
        <w:rPr>
          <w:sz w:val="14"/>
          <w:szCs w:val="14"/>
        </w:rPr>
        <w:t>t, September 2020.</w:t>
      </w:r>
    </w:p>
    <w:p w14:paraId="640CD600" w14:textId="77777777" w:rsidR="008917AD" w:rsidRPr="00500E37" w:rsidRDefault="008917AD" w:rsidP="00BE1B88">
      <w:pPr>
        <w:spacing w:after="0" w:line="240" w:lineRule="auto"/>
      </w:pPr>
    </w:p>
    <w:sectPr w:rsidR="008917AD" w:rsidRPr="00500E37" w:rsidSect="00BE1B8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C0A3F" w14:textId="77777777" w:rsidR="006F1995" w:rsidRDefault="006F1995" w:rsidP="00722892">
      <w:pPr>
        <w:spacing w:after="0" w:line="240" w:lineRule="auto"/>
      </w:pPr>
      <w:r>
        <w:separator/>
      </w:r>
    </w:p>
  </w:endnote>
  <w:endnote w:type="continuationSeparator" w:id="0">
    <w:p w14:paraId="5A2A0688" w14:textId="77777777" w:rsidR="006F1995" w:rsidRDefault="006F1995" w:rsidP="0072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56501" w14:textId="77777777" w:rsidR="006F1995" w:rsidRDefault="006F1995" w:rsidP="00722892">
      <w:pPr>
        <w:spacing w:after="0" w:line="240" w:lineRule="auto"/>
      </w:pPr>
      <w:r>
        <w:separator/>
      </w:r>
    </w:p>
  </w:footnote>
  <w:footnote w:type="continuationSeparator" w:id="0">
    <w:p w14:paraId="7B5ABFF3" w14:textId="77777777" w:rsidR="006F1995" w:rsidRDefault="006F1995" w:rsidP="00722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792C"/>
    <w:multiLevelType w:val="hybridMultilevel"/>
    <w:tmpl w:val="4F46C5A4"/>
    <w:lvl w:ilvl="0" w:tplc="7EC498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54002"/>
    <w:multiLevelType w:val="hybridMultilevel"/>
    <w:tmpl w:val="90360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10DA1"/>
    <w:multiLevelType w:val="hybridMultilevel"/>
    <w:tmpl w:val="B8CE587E"/>
    <w:lvl w:ilvl="0" w:tplc="C196342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2D4075"/>
    <w:multiLevelType w:val="hybridMultilevel"/>
    <w:tmpl w:val="77DE0E20"/>
    <w:lvl w:ilvl="0" w:tplc="FEC4432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A73C2"/>
    <w:multiLevelType w:val="hybridMultilevel"/>
    <w:tmpl w:val="C54C98A6"/>
    <w:lvl w:ilvl="0" w:tplc="710E8D2E">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5" w15:restartNumberingAfterBreak="0">
    <w:nsid w:val="3AAD4C75"/>
    <w:multiLevelType w:val="hybridMultilevel"/>
    <w:tmpl w:val="D97AB74E"/>
    <w:lvl w:ilvl="0" w:tplc="593A9B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229547C"/>
    <w:multiLevelType w:val="hybridMultilevel"/>
    <w:tmpl w:val="63AE7CF0"/>
    <w:lvl w:ilvl="0" w:tplc="16A4D1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C3162D5"/>
    <w:multiLevelType w:val="hybridMultilevel"/>
    <w:tmpl w:val="2B5E2D2E"/>
    <w:lvl w:ilvl="0" w:tplc="18A02B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FFF4843"/>
    <w:multiLevelType w:val="hybridMultilevel"/>
    <w:tmpl w:val="CA0CEBC6"/>
    <w:lvl w:ilvl="0" w:tplc="EC82D616">
      <w:start w:val="1"/>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8"/>
  </w:num>
  <w:num w:numId="2">
    <w:abstractNumId w:val="3"/>
  </w:num>
  <w:num w:numId="3">
    <w:abstractNumId w:val="0"/>
  </w:num>
  <w:num w:numId="4">
    <w:abstractNumId w:val="2"/>
  </w:num>
  <w:num w:numId="5">
    <w:abstractNumId w:val="4"/>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FA"/>
    <w:rsid w:val="000055EB"/>
    <w:rsid w:val="00006BCD"/>
    <w:rsid w:val="000102FA"/>
    <w:rsid w:val="00023BB3"/>
    <w:rsid w:val="00043367"/>
    <w:rsid w:val="000530CD"/>
    <w:rsid w:val="0005336B"/>
    <w:rsid w:val="000631E3"/>
    <w:rsid w:val="00064F89"/>
    <w:rsid w:val="000715D1"/>
    <w:rsid w:val="00085CB5"/>
    <w:rsid w:val="00093843"/>
    <w:rsid w:val="00097993"/>
    <w:rsid w:val="000A0BC3"/>
    <w:rsid w:val="000A28AD"/>
    <w:rsid w:val="000A65D8"/>
    <w:rsid w:val="000B4D88"/>
    <w:rsid w:val="000B68D5"/>
    <w:rsid w:val="000B7992"/>
    <w:rsid w:val="000C04EE"/>
    <w:rsid w:val="000C107F"/>
    <w:rsid w:val="000C1BCF"/>
    <w:rsid w:val="000D1C83"/>
    <w:rsid w:val="000D53DE"/>
    <w:rsid w:val="000E746C"/>
    <w:rsid w:val="000F78D5"/>
    <w:rsid w:val="00100C21"/>
    <w:rsid w:val="001215A7"/>
    <w:rsid w:val="00126400"/>
    <w:rsid w:val="0013508B"/>
    <w:rsid w:val="00157FEC"/>
    <w:rsid w:val="00170768"/>
    <w:rsid w:val="00174C4B"/>
    <w:rsid w:val="00174D79"/>
    <w:rsid w:val="001A1D64"/>
    <w:rsid w:val="001A70BD"/>
    <w:rsid w:val="001D0139"/>
    <w:rsid w:val="001D1D2A"/>
    <w:rsid w:val="001D7C7A"/>
    <w:rsid w:val="001F26CC"/>
    <w:rsid w:val="00200309"/>
    <w:rsid w:val="002054F5"/>
    <w:rsid w:val="00225875"/>
    <w:rsid w:val="0023223B"/>
    <w:rsid w:val="00243472"/>
    <w:rsid w:val="0024440C"/>
    <w:rsid w:val="00245A31"/>
    <w:rsid w:val="0025036B"/>
    <w:rsid w:val="00273A9B"/>
    <w:rsid w:val="00273DC2"/>
    <w:rsid w:val="00280798"/>
    <w:rsid w:val="00286A99"/>
    <w:rsid w:val="002934A2"/>
    <w:rsid w:val="00293720"/>
    <w:rsid w:val="00297604"/>
    <w:rsid w:val="002A39E0"/>
    <w:rsid w:val="002A419E"/>
    <w:rsid w:val="002A4627"/>
    <w:rsid w:val="002A54B0"/>
    <w:rsid w:val="002C1301"/>
    <w:rsid w:val="002C48DC"/>
    <w:rsid w:val="002C5461"/>
    <w:rsid w:val="002C784F"/>
    <w:rsid w:val="002E4C76"/>
    <w:rsid w:val="002E60AC"/>
    <w:rsid w:val="002F1C66"/>
    <w:rsid w:val="003058BA"/>
    <w:rsid w:val="00311D39"/>
    <w:rsid w:val="003368D3"/>
    <w:rsid w:val="00337ABD"/>
    <w:rsid w:val="00346D0D"/>
    <w:rsid w:val="00351D1F"/>
    <w:rsid w:val="003549BF"/>
    <w:rsid w:val="00367060"/>
    <w:rsid w:val="00373ED3"/>
    <w:rsid w:val="003774CD"/>
    <w:rsid w:val="003809EF"/>
    <w:rsid w:val="003844D4"/>
    <w:rsid w:val="00391C69"/>
    <w:rsid w:val="003942C0"/>
    <w:rsid w:val="003B032B"/>
    <w:rsid w:val="003B5D7E"/>
    <w:rsid w:val="003C059D"/>
    <w:rsid w:val="003E0958"/>
    <w:rsid w:val="003E3664"/>
    <w:rsid w:val="003E5789"/>
    <w:rsid w:val="003F33BB"/>
    <w:rsid w:val="003F5F27"/>
    <w:rsid w:val="003F62BE"/>
    <w:rsid w:val="00411327"/>
    <w:rsid w:val="00413D79"/>
    <w:rsid w:val="0041750B"/>
    <w:rsid w:val="004262DB"/>
    <w:rsid w:val="00427A28"/>
    <w:rsid w:val="0043194C"/>
    <w:rsid w:val="00457917"/>
    <w:rsid w:val="004662B5"/>
    <w:rsid w:val="0049334A"/>
    <w:rsid w:val="004A770C"/>
    <w:rsid w:val="004C194A"/>
    <w:rsid w:val="004C508D"/>
    <w:rsid w:val="004D5B1E"/>
    <w:rsid w:val="004E068C"/>
    <w:rsid w:val="004E12F2"/>
    <w:rsid w:val="004E3C39"/>
    <w:rsid w:val="00500E37"/>
    <w:rsid w:val="0051195F"/>
    <w:rsid w:val="005252B0"/>
    <w:rsid w:val="00531B2D"/>
    <w:rsid w:val="00550643"/>
    <w:rsid w:val="00565C48"/>
    <w:rsid w:val="00567732"/>
    <w:rsid w:val="00584451"/>
    <w:rsid w:val="005A24D4"/>
    <w:rsid w:val="005A2834"/>
    <w:rsid w:val="005A45F6"/>
    <w:rsid w:val="005B6565"/>
    <w:rsid w:val="005B6BED"/>
    <w:rsid w:val="005C5C85"/>
    <w:rsid w:val="005D05C5"/>
    <w:rsid w:val="005F0E3F"/>
    <w:rsid w:val="005F3E68"/>
    <w:rsid w:val="00627309"/>
    <w:rsid w:val="006309E6"/>
    <w:rsid w:val="006327BB"/>
    <w:rsid w:val="0063644F"/>
    <w:rsid w:val="006449F7"/>
    <w:rsid w:val="0065167F"/>
    <w:rsid w:val="0065730A"/>
    <w:rsid w:val="00671D12"/>
    <w:rsid w:val="006A1085"/>
    <w:rsid w:val="006A387C"/>
    <w:rsid w:val="006B0B3E"/>
    <w:rsid w:val="006B28F7"/>
    <w:rsid w:val="006B3637"/>
    <w:rsid w:val="006B6F5E"/>
    <w:rsid w:val="006C6700"/>
    <w:rsid w:val="006D3B3F"/>
    <w:rsid w:val="006F1995"/>
    <w:rsid w:val="006F7EFC"/>
    <w:rsid w:val="00702D96"/>
    <w:rsid w:val="0070375F"/>
    <w:rsid w:val="0070546F"/>
    <w:rsid w:val="007075DF"/>
    <w:rsid w:val="007145B2"/>
    <w:rsid w:val="007171B2"/>
    <w:rsid w:val="00722892"/>
    <w:rsid w:val="007242DF"/>
    <w:rsid w:val="00726C57"/>
    <w:rsid w:val="0073212E"/>
    <w:rsid w:val="00742BA0"/>
    <w:rsid w:val="00752148"/>
    <w:rsid w:val="007579D5"/>
    <w:rsid w:val="00765F50"/>
    <w:rsid w:val="00771521"/>
    <w:rsid w:val="007874B0"/>
    <w:rsid w:val="007B16BB"/>
    <w:rsid w:val="007C3754"/>
    <w:rsid w:val="007C629F"/>
    <w:rsid w:val="007D7CFA"/>
    <w:rsid w:val="007E2463"/>
    <w:rsid w:val="007F61A9"/>
    <w:rsid w:val="008051D0"/>
    <w:rsid w:val="00810157"/>
    <w:rsid w:val="00811679"/>
    <w:rsid w:val="00814ED5"/>
    <w:rsid w:val="00814F86"/>
    <w:rsid w:val="00820241"/>
    <w:rsid w:val="00825F3C"/>
    <w:rsid w:val="00831B82"/>
    <w:rsid w:val="00835E20"/>
    <w:rsid w:val="00836269"/>
    <w:rsid w:val="0084634F"/>
    <w:rsid w:val="00853F8F"/>
    <w:rsid w:val="00855892"/>
    <w:rsid w:val="00866AE5"/>
    <w:rsid w:val="00873CE5"/>
    <w:rsid w:val="00875E22"/>
    <w:rsid w:val="00877E6A"/>
    <w:rsid w:val="00881A20"/>
    <w:rsid w:val="00881C43"/>
    <w:rsid w:val="008917AD"/>
    <w:rsid w:val="0089194E"/>
    <w:rsid w:val="008959F9"/>
    <w:rsid w:val="008A3B5D"/>
    <w:rsid w:val="008A7B58"/>
    <w:rsid w:val="008B00D4"/>
    <w:rsid w:val="008B2E6E"/>
    <w:rsid w:val="008B388C"/>
    <w:rsid w:val="008C0851"/>
    <w:rsid w:val="008C6664"/>
    <w:rsid w:val="008C6794"/>
    <w:rsid w:val="008C7C93"/>
    <w:rsid w:val="008D3F64"/>
    <w:rsid w:val="008D6DDD"/>
    <w:rsid w:val="008E015A"/>
    <w:rsid w:val="008E7E58"/>
    <w:rsid w:val="008F3AB3"/>
    <w:rsid w:val="00902FE2"/>
    <w:rsid w:val="0093302A"/>
    <w:rsid w:val="00933559"/>
    <w:rsid w:val="00941384"/>
    <w:rsid w:val="0094164D"/>
    <w:rsid w:val="009468D5"/>
    <w:rsid w:val="00955E99"/>
    <w:rsid w:val="0095690F"/>
    <w:rsid w:val="00961887"/>
    <w:rsid w:val="00962FBB"/>
    <w:rsid w:val="009713A3"/>
    <w:rsid w:val="00972D5C"/>
    <w:rsid w:val="009768AE"/>
    <w:rsid w:val="00995CB9"/>
    <w:rsid w:val="009969EB"/>
    <w:rsid w:val="009A0736"/>
    <w:rsid w:val="009A1D8F"/>
    <w:rsid w:val="009A1F63"/>
    <w:rsid w:val="009A7E27"/>
    <w:rsid w:val="009B07B0"/>
    <w:rsid w:val="009B3DF5"/>
    <w:rsid w:val="009B7995"/>
    <w:rsid w:val="009B7A08"/>
    <w:rsid w:val="009C0451"/>
    <w:rsid w:val="009D2102"/>
    <w:rsid w:val="009D6A9C"/>
    <w:rsid w:val="009D720D"/>
    <w:rsid w:val="009E4192"/>
    <w:rsid w:val="009E438F"/>
    <w:rsid w:val="009F13ED"/>
    <w:rsid w:val="009F26AA"/>
    <w:rsid w:val="009F568F"/>
    <w:rsid w:val="00A121AF"/>
    <w:rsid w:val="00A257DB"/>
    <w:rsid w:val="00A2646F"/>
    <w:rsid w:val="00A31665"/>
    <w:rsid w:val="00A41AC1"/>
    <w:rsid w:val="00A43276"/>
    <w:rsid w:val="00A448E3"/>
    <w:rsid w:val="00A47279"/>
    <w:rsid w:val="00A516F3"/>
    <w:rsid w:val="00A561F7"/>
    <w:rsid w:val="00A66699"/>
    <w:rsid w:val="00A67406"/>
    <w:rsid w:val="00A70BA3"/>
    <w:rsid w:val="00A908BB"/>
    <w:rsid w:val="00A94D17"/>
    <w:rsid w:val="00A979C6"/>
    <w:rsid w:val="00A97C01"/>
    <w:rsid w:val="00AB54BD"/>
    <w:rsid w:val="00AB6F70"/>
    <w:rsid w:val="00AC6BEA"/>
    <w:rsid w:val="00AD38E8"/>
    <w:rsid w:val="00AD5C32"/>
    <w:rsid w:val="00AE0EFF"/>
    <w:rsid w:val="00AE5AA1"/>
    <w:rsid w:val="00B22064"/>
    <w:rsid w:val="00B22FAE"/>
    <w:rsid w:val="00B354AB"/>
    <w:rsid w:val="00B4100B"/>
    <w:rsid w:val="00B42CDA"/>
    <w:rsid w:val="00B5399B"/>
    <w:rsid w:val="00B76A86"/>
    <w:rsid w:val="00B76C4D"/>
    <w:rsid w:val="00B81B7A"/>
    <w:rsid w:val="00B86180"/>
    <w:rsid w:val="00B86E7E"/>
    <w:rsid w:val="00BA5968"/>
    <w:rsid w:val="00BB4D26"/>
    <w:rsid w:val="00BC0C4D"/>
    <w:rsid w:val="00BC5DD8"/>
    <w:rsid w:val="00BD5061"/>
    <w:rsid w:val="00BE1B88"/>
    <w:rsid w:val="00BE474F"/>
    <w:rsid w:val="00BE7561"/>
    <w:rsid w:val="00BF2600"/>
    <w:rsid w:val="00C016FB"/>
    <w:rsid w:val="00C067E2"/>
    <w:rsid w:val="00C1258E"/>
    <w:rsid w:val="00C2607A"/>
    <w:rsid w:val="00C310C5"/>
    <w:rsid w:val="00C33B94"/>
    <w:rsid w:val="00C34B1A"/>
    <w:rsid w:val="00C35CB2"/>
    <w:rsid w:val="00C37A2C"/>
    <w:rsid w:val="00C46B75"/>
    <w:rsid w:val="00C5553E"/>
    <w:rsid w:val="00C570D5"/>
    <w:rsid w:val="00C6136E"/>
    <w:rsid w:val="00C633BF"/>
    <w:rsid w:val="00C707A3"/>
    <w:rsid w:val="00C74624"/>
    <w:rsid w:val="00C74737"/>
    <w:rsid w:val="00C80C65"/>
    <w:rsid w:val="00C82881"/>
    <w:rsid w:val="00CA4F8E"/>
    <w:rsid w:val="00CA5832"/>
    <w:rsid w:val="00CC2FD0"/>
    <w:rsid w:val="00CE1510"/>
    <w:rsid w:val="00CE28CD"/>
    <w:rsid w:val="00CE70D6"/>
    <w:rsid w:val="00CF0F48"/>
    <w:rsid w:val="00D016CA"/>
    <w:rsid w:val="00D056A9"/>
    <w:rsid w:val="00D101D6"/>
    <w:rsid w:val="00D12E13"/>
    <w:rsid w:val="00D12EE2"/>
    <w:rsid w:val="00D21E21"/>
    <w:rsid w:val="00D33609"/>
    <w:rsid w:val="00D3621B"/>
    <w:rsid w:val="00D40EDB"/>
    <w:rsid w:val="00D47417"/>
    <w:rsid w:val="00D52CFB"/>
    <w:rsid w:val="00D53E18"/>
    <w:rsid w:val="00D57F6C"/>
    <w:rsid w:val="00D60273"/>
    <w:rsid w:val="00D656A2"/>
    <w:rsid w:val="00DA18EA"/>
    <w:rsid w:val="00DB1BE2"/>
    <w:rsid w:val="00DD0D08"/>
    <w:rsid w:val="00DD1D04"/>
    <w:rsid w:val="00DD39EC"/>
    <w:rsid w:val="00DE7AC6"/>
    <w:rsid w:val="00E2110F"/>
    <w:rsid w:val="00E50B04"/>
    <w:rsid w:val="00E55E81"/>
    <w:rsid w:val="00E647F4"/>
    <w:rsid w:val="00E66525"/>
    <w:rsid w:val="00E66A72"/>
    <w:rsid w:val="00E7356E"/>
    <w:rsid w:val="00E83520"/>
    <w:rsid w:val="00E841AC"/>
    <w:rsid w:val="00EA2AE1"/>
    <w:rsid w:val="00EC4760"/>
    <w:rsid w:val="00EC6FBE"/>
    <w:rsid w:val="00EE2D4D"/>
    <w:rsid w:val="00EE6084"/>
    <w:rsid w:val="00EF2617"/>
    <w:rsid w:val="00F10ED0"/>
    <w:rsid w:val="00F267EF"/>
    <w:rsid w:val="00F573FD"/>
    <w:rsid w:val="00F60B34"/>
    <w:rsid w:val="00F62FD1"/>
    <w:rsid w:val="00F648C0"/>
    <w:rsid w:val="00F65394"/>
    <w:rsid w:val="00F6539A"/>
    <w:rsid w:val="00F76D55"/>
    <w:rsid w:val="00F82F8E"/>
    <w:rsid w:val="00F86309"/>
    <w:rsid w:val="00F97D05"/>
    <w:rsid w:val="00FA15BD"/>
    <w:rsid w:val="00FB474B"/>
    <w:rsid w:val="00FC11C8"/>
    <w:rsid w:val="00FD40A7"/>
    <w:rsid w:val="00FD4BBE"/>
    <w:rsid w:val="00FD51F6"/>
    <w:rsid w:val="00FE0621"/>
    <w:rsid w:val="00FE2083"/>
    <w:rsid w:val="00FF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1409"/>
  <w15:chartTrackingRefBased/>
  <w15:docId w15:val="{1B52D937-C38F-41B4-9481-0129100F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6F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07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4E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F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07B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55892"/>
    <w:pPr>
      <w:spacing w:after="0" w:line="240" w:lineRule="auto"/>
    </w:pPr>
  </w:style>
  <w:style w:type="character" w:customStyle="1" w:styleId="Heading3Char">
    <w:name w:val="Heading 3 Char"/>
    <w:basedOn w:val="DefaultParagraphFont"/>
    <w:link w:val="Heading3"/>
    <w:uiPriority w:val="9"/>
    <w:rsid w:val="00814ED5"/>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9969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69E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F61A9"/>
    <w:pPr>
      <w:spacing w:after="200" w:line="240" w:lineRule="auto"/>
    </w:pPr>
    <w:rPr>
      <w:i/>
      <w:iCs/>
      <w:color w:val="44546A" w:themeColor="text2"/>
      <w:sz w:val="18"/>
      <w:szCs w:val="18"/>
    </w:rPr>
  </w:style>
  <w:style w:type="table" w:styleId="PlainTable5">
    <w:name w:val="Plain Table 5"/>
    <w:basedOn w:val="TableNormal"/>
    <w:uiPriority w:val="45"/>
    <w:rsid w:val="00A97C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97C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80C65"/>
    <w:pPr>
      <w:ind w:left="720"/>
      <w:contextualSpacing/>
    </w:pPr>
  </w:style>
  <w:style w:type="paragraph" w:styleId="BalloonText">
    <w:name w:val="Balloon Text"/>
    <w:basedOn w:val="Normal"/>
    <w:link w:val="BalloonTextChar"/>
    <w:uiPriority w:val="99"/>
    <w:semiHidden/>
    <w:unhideWhenUsed/>
    <w:rsid w:val="00722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892"/>
    <w:rPr>
      <w:rFonts w:ascii="Segoe UI" w:hAnsi="Segoe UI" w:cs="Segoe UI"/>
      <w:sz w:val="18"/>
      <w:szCs w:val="18"/>
    </w:rPr>
  </w:style>
  <w:style w:type="paragraph" w:styleId="FootnoteText">
    <w:name w:val="footnote text"/>
    <w:basedOn w:val="Normal"/>
    <w:link w:val="FootnoteTextChar"/>
    <w:uiPriority w:val="99"/>
    <w:semiHidden/>
    <w:unhideWhenUsed/>
    <w:rsid w:val="00722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892"/>
    <w:rPr>
      <w:sz w:val="20"/>
      <w:szCs w:val="20"/>
    </w:rPr>
  </w:style>
  <w:style w:type="character" w:styleId="FootnoteReference">
    <w:name w:val="footnote reference"/>
    <w:basedOn w:val="DefaultParagraphFont"/>
    <w:uiPriority w:val="99"/>
    <w:semiHidden/>
    <w:unhideWhenUsed/>
    <w:rsid w:val="00722892"/>
    <w:rPr>
      <w:vertAlign w:val="superscript"/>
    </w:rPr>
  </w:style>
  <w:style w:type="character" w:styleId="CommentReference">
    <w:name w:val="annotation reference"/>
    <w:basedOn w:val="DefaultParagraphFont"/>
    <w:uiPriority w:val="99"/>
    <w:semiHidden/>
    <w:unhideWhenUsed/>
    <w:rsid w:val="00DE7AC6"/>
    <w:rPr>
      <w:sz w:val="16"/>
      <w:szCs w:val="16"/>
    </w:rPr>
  </w:style>
  <w:style w:type="paragraph" w:styleId="CommentText">
    <w:name w:val="annotation text"/>
    <w:basedOn w:val="Normal"/>
    <w:link w:val="CommentTextChar"/>
    <w:uiPriority w:val="99"/>
    <w:semiHidden/>
    <w:unhideWhenUsed/>
    <w:rsid w:val="00DE7AC6"/>
    <w:pPr>
      <w:spacing w:line="240" w:lineRule="auto"/>
    </w:pPr>
    <w:rPr>
      <w:sz w:val="20"/>
      <w:szCs w:val="20"/>
    </w:rPr>
  </w:style>
  <w:style w:type="character" w:customStyle="1" w:styleId="CommentTextChar">
    <w:name w:val="Comment Text Char"/>
    <w:basedOn w:val="DefaultParagraphFont"/>
    <w:link w:val="CommentText"/>
    <w:uiPriority w:val="99"/>
    <w:semiHidden/>
    <w:rsid w:val="00DE7AC6"/>
    <w:rPr>
      <w:sz w:val="20"/>
      <w:szCs w:val="20"/>
    </w:rPr>
  </w:style>
  <w:style w:type="paragraph" w:styleId="CommentSubject">
    <w:name w:val="annotation subject"/>
    <w:basedOn w:val="CommentText"/>
    <w:next w:val="CommentText"/>
    <w:link w:val="CommentSubjectChar"/>
    <w:uiPriority w:val="99"/>
    <w:semiHidden/>
    <w:unhideWhenUsed/>
    <w:rsid w:val="00DE7AC6"/>
    <w:rPr>
      <w:b/>
      <w:bCs/>
    </w:rPr>
  </w:style>
  <w:style w:type="character" w:customStyle="1" w:styleId="CommentSubjectChar">
    <w:name w:val="Comment Subject Char"/>
    <w:basedOn w:val="CommentTextChar"/>
    <w:link w:val="CommentSubject"/>
    <w:uiPriority w:val="99"/>
    <w:semiHidden/>
    <w:rsid w:val="00DE7AC6"/>
    <w:rPr>
      <w:b/>
      <w:bCs/>
      <w:sz w:val="20"/>
      <w:szCs w:val="20"/>
    </w:rPr>
  </w:style>
  <w:style w:type="paragraph" w:styleId="Revision">
    <w:name w:val="Revision"/>
    <w:hidden/>
    <w:uiPriority w:val="99"/>
    <w:semiHidden/>
    <w:rsid w:val="00E83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Arial" pitchFamily="34" charset="0"/>
                <a:cs typeface="Arial" pitchFamily="34" charset="0"/>
              </a:defRPr>
            </a:pPr>
            <a:r>
              <a:rPr lang="en-US" sz="800" b="1" i="0" u="none" strike="noStrike" baseline="0">
                <a:effectLst/>
              </a:rPr>
              <a:t>Economic Performance for Minnesota's Business Services Firms -- </a:t>
            </a:r>
            <a:r>
              <a:rPr lang="en-US" sz="800" b="1" i="0" u="none" strike="noStrike" baseline="0">
                <a:effectLst/>
                <a:latin typeface="Arial" pitchFamily="34" charset="0"/>
                <a:cs typeface="Arial" pitchFamily="34" charset="0"/>
              </a:rPr>
              <a:t>Previous Four Quarters</a:t>
            </a:r>
            <a:endParaRPr lang="en-US" sz="800" b="1" i="0" u="none" strike="noStrike" baseline="0">
              <a:effectLst/>
            </a:endParaRPr>
          </a:p>
        </c:rich>
      </c:tx>
      <c:overlay val="0"/>
    </c:title>
    <c:autoTitleDeleted val="0"/>
    <c:plotArea>
      <c:layout>
        <c:manualLayout>
          <c:layoutTarget val="inner"/>
          <c:xMode val="edge"/>
          <c:yMode val="edge"/>
          <c:x val="8.7771183132705835E-2"/>
          <c:y val="0.23150845996648942"/>
          <c:w val="0.8701994877758924"/>
          <c:h val="0.63870134720985006"/>
        </c:manualLayout>
      </c:layout>
      <c:barChart>
        <c:barDir val="col"/>
        <c:grouping val="clustered"/>
        <c:varyColors val="0"/>
        <c:ser>
          <c:idx val="0"/>
          <c:order val="0"/>
          <c:tx>
            <c:strRef>
              <c:f>Sheet1!$B$1</c:f>
              <c:strCache>
                <c:ptCount val="1"/>
                <c:pt idx="0">
                  <c:v>Up</c:v>
                </c:pt>
              </c:strCache>
            </c:strRef>
          </c:tx>
          <c:spPr>
            <a:ln>
              <a:solidFill>
                <a:schemeClr val="accent1"/>
              </a:solidFill>
            </a:ln>
          </c:spPr>
          <c:invertIfNegative val="0"/>
          <c:cat>
            <c:strRef>
              <c:f>Sheet1!$A$2:$A$10</c:f>
              <c:strCache>
                <c:ptCount val="9"/>
                <c:pt idx="0">
                  <c:v>Sales</c:v>
                </c:pt>
                <c:pt idx="1">
                  <c:v>Profits</c:v>
                </c:pt>
                <c:pt idx="2">
                  <c:v>Produc- tivity</c:v>
                </c:pt>
                <c:pt idx="3">
                  <c:v>Emp.</c:v>
                </c:pt>
                <c:pt idx="4">
                  <c:v>Labor</c:v>
                </c:pt>
                <c:pt idx="5">
                  <c:v>Selling-  Prices</c:v>
                </c:pt>
                <c:pt idx="6">
                  <c:v>Input- Cost</c:v>
                </c:pt>
                <c:pt idx="7">
                  <c:v>Space- occu.</c:v>
                </c:pt>
                <c:pt idx="8">
                  <c:v>Exports</c:v>
                </c:pt>
              </c:strCache>
            </c:strRef>
          </c:cat>
          <c:val>
            <c:numRef>
              <c:f>Sheet1!$B$2:$B$10</c:f>
              <c:numCache>
                <c:formatCode>0%</c:formatCode>
                <c:ptCount val="9"/>
                <c:pt idx="0">
                  <c:v>0.21</c:v>
                </c:pt>
                <c:pt idx="1">
                  <c:v>0.18</c:v>
                </c:pt>
                <c:pt idx="2">
                  <c:v>0.14000000000000001</c:v>
                </c:pt>
                <c:pt idx="3">
                  <c:v>0.11</c:v>
                </c:pt>
                <c:pt idx="4">
                  <c:v>0.08</c:v>
                </c:pt>
                <c:pt idx="5">
                  <c:v>0.06</c:v>
                </c:pt>
                <c:pt idx="6">
                  <c:v>0.17</c:v>
                </c:pt>
                <c:pt idx="7">
                  <c:v>0.03</c:v>
                </c:pt>
                <c:pt idx="8">
                  <c:v>0.03</c:v>
                </c:pt>
              </c:numCache>
            </c:numRef>
          </c:val>
          <c:extLst xmlns:c16r2="http://schemas.microsoft.com/office/drawing/2015/06/chart">
            <c:ext xmlns:c16="http://schemas.microsoft.com/office/drawing/2014/chart" uri="{C3380CC4-5D6E-409C-BE32-E72D297353CC}">
              <c16:uniqueId val="{00000000-C169-4EA5-9EC4-664CA7040B71}"/>
            </c:ext>
          </c:extLst>
        </c:ser>
        <c:ser>
          <c:idx val="1"/>
          <c:order val="1"/>
          <c:tx>
            <c:strRef>
              <c:f>Sheet1!$C$1</c:f>
              <c:strCache>
                <c:ptCount val="1"/>
                <c:pt idx="0">
                  <c:v>Same</c:v>
                </c:pt>
              </c:strCache>
            </c:strRef>
          </c:tx>
          <c:spPr>
            <a:solidFill>
              <a:srgbClr val="92D050"/>
            </a:solidFill>
            <a:ln>
              <a:solidFill>
                <a:schemeClr val="accent1"/>
              </a:solidFill>
            </a:ln>
          </c:spPr>
          <c:invertIfNegative val="0"/>
          <c:cat>
            <c:strRef>
              <c:f>Sheet1!$A$2:$A$10</c:f>
              <c:strCache>
                <c:ptCount val="9"/>
                <c:pt idx="0">
                  <c:v>Sales</c:v>
                </c:pt>
                <c:pt idx="1">
                  <c:v>Profits</c:v>
                </c:pt>
                <c:pt idx="2">
                  <c:v>Produc- tivity</c:v>
                </c:pt>
                <c:pt idx="3">
                  <c:v>Emp.</c:v>
                </c:pt>
                <c:pt idx="4">
                  <c:v>Labor</c:v>
                </c:pt>
                <c:pt idx="5">
                  <c:v>Selling-  Prices</c:v>
                </c:pt>
                <c:pt idx="6">
                  <c:v>Input- Cost</c:v>
                </c:pt>
                <c:pt idx="7">
                  <c:v>Space- occu.</c:v>
                </c:pt>
                <c:pt idx="8">
                  <c:v>Exports</c:v>
                </c:pt>
              </c:strCache>
            </c:strRef>
          </c:cat>
          <c:val>
            <c:numRef>
              <c:f>Sheet1!$C$2:$C$10</c:f>
              <c:numCache>
                <c:formatCode>0%</c:formatCode>
                <c:ptCount val="9"/>
                <c:pt idx="0">
                  <c:v>0.26</c:v>
                </c:pt>
                <c:pt idx="1">
                  <c:v>0.28999999999999998</c:v>
                </c:pt>
                <c:pt idx="2">
                  <c:v>0.38</c:v>
                </c:pt>
                <c:pt idx="3">
                  <c:v>0.62</c:v>
                </c:pt>
                <c:pt idx="4">
                  <c:v>0.7</c:v>
                </c:pt>
                <c:pt idx="5">
                  <c:v>0.79</c:v>
                </c:pt>
                <c:pt idx="6">
                  <c:v>0.74</c:v>
                </c:pt>
                <c:pt idx="7">
                  <c:v>0.84</c:v>
                </c:pt>
                <c:pt idx="8">
                  <c:v>0.84</c:v>
                </c:pt>
              </c:numCache>
            </c:numRef>
          </c:val>
          <c:extLst xmlns:c16r2="http://schemas.microsoft.com/office/drawing/2015/06/chart">
            <c:ext xmlns:c16="http://schemas.microsoft.com/office/drawing/2014/chart" uri="{C3380CC4-5D6E-409C-BE32-E72D297353CC}">
              <c16:uniqueId val="{00000001-C169-4EA5-9EC4-664CA7040B71}"/>
            </c:ext>
          </c:extLst>
        </c:ser>
        <c:ser>
          <c:idx val="2"/>
          <c:order val="2"/>
          <c:tx>
            <c:strRef>
              <c:f>Sheet1!$D$1</c:f>
              <c:strCache>
                <c:ptCount val="1"/>
                <c:pt idx="0">
                  <c:v>Down</c:v>
                </c:pt>
              </c:strCache>
            </c:strRef>
          </c:tx>
          <c:spPr>
            <a:solidFill>
              <a:srgbClr val="FFFF99"/>
            </a:solidFill>
            <a:ln>
              <a:solidFill>
                <a:schemeClr val="accent1"/>
              </a:solidFill>
            </a:ln>
          </c:spPr>
          <c:invertIfNegative val="0"/>
          <c:cat>
            <c:strRef>
              <c:f>Sheet1!$A$2:$A$10</c:f>
              <c:strCache>
                <c:ptCount val="9"/>
                <c:pt idx="0">
                  <c:v>Sales</c:v>
                </c:pt>
                <c:pt idx="1">
                  <c:v>Profits</c:v>
                </c:pt>
                <c:pt idx="2">
                  <c:v>Produc- tivity</c:v>
                </c:pt>
                <c:pt idx="3">
                  <c:v>Emp.</c:v>
                </c:pt>
                <c:pt idx="4">
                  <c:v>Labor</c:v>
                </c:pt>
                <c:pt idx="5">
                  <c:v>Selling-  Prices</c:v>
                </c:pt>
                <c:pt idx="6">
                  <c:v>Input- Cost</c:v>
                </c:pt>
                <c:pt idx="7">
                  <c:v>Space- occu.</c:v>
                </c:pt>
                <c:pt idx="8">
                  <c:v>Exports</c:v>
                </c:pt>
              </c:strCache>
            </c:strRef>
          </c:cat>
          <c:val>
            <c:numRef>
              <c:f>Sheet1!$D$2:$D$10</c:f>
              <c:numCache>
                <c:formatCode>0%</c:formatCode>
                <c:ptCount val="9"/>
                <c:pt idx="0">
                  <c:v>0.53</c:v>
                </c:pt>
                <c:pt idx="1">
                  <c:v>0.52</c:v>
                </c:pt>
                <c:pt idx="2">
                  <c:v>0.48</c:v>
                </c:pt>
                <c:pt idx="3">
                  <c:v>0.27</c:v>
                </c:pt>
                <c:pt idx="4">
                  <c:v>0.23</c:v>
                </c:pt>
                <c:pt idx="5">
                  <c:v>0.15</c:v>
                </c:pt>
                <c:pt idx="6">
                  <c:v>0.08</c:v>
                </c:pt>
                <c:pt idx="7">
                  <c:v>0.13</c:v>
                </c:pt>
                <c:pt idx="8">
                  <c:v>0.13</c:v>
                </c:pt>
              </c:numCache>
            </c:numRef>
          </c:val>
          <c:extLst xmlns:c16r2="http://schemas.microsoft.com/office/drawing/2015/06/chart">
            <c:ext xmlns:c16="http://schemas.microsoft.com/office/drawing/2014/chart" uri="{C3380CC4-5D6E-409C-BE32-E72D297353CC}">
              <c16:uniqueId val="{00000002-C169-4EA5-9EC4-664CA7040B71}"/>
            </c:ext>
          </c:extLst>
        </c:ser>
        <c:dLbls>
          <c:showLegendKey val="0"/>
          <c:showVal val="0"/>
          <c:showCatName val="0"/>
          <c:showSerName val="0"/>
          <c:showPercent val="0"/>
          <c:showBubbleSize val="0"/>
        </c:dLbls>
        <c:gapWidth val="100"/>
        <c:overlap val="-23"/>
        <c:axId val="624910992"/>
        <c:axId val="628606144"/>
      </c:barChart>
      <c:catAx>
        <c:axId val="624910992"/>
        <c:scaling>
          <c:orientation val="minMax"/>
        </c:scaling>
        <c:delete val="0"/>
        <c:axPos val="b"/>
        <c:numFmt formatCode="General" sourceLinked="0"/>
        <c:majorTickMark val="out"/>
        <c:minorTickMark val="none"/>
        <c:tickLblPos val="nextTo"/>
        <c:txPr>
          <a:bodyPr rot="0" vert="horz" anchor="t" anchorCtr="0"/>
          <a:lstStyle/>
          <a:p>
            <a:pPr>
              <a:defRPr sz="650" baseline="0">
                <a:latin typeface="Arial" pitchFamily="34" charset="0"/>
                <a:cs typeface="Arial" pitchFamily="34" charset="0"/>
              </a:defRPr>
            </a:pPr>
            <a:endParaRPr lang="en-US"/>
          </a:p>
        </c:txPr>
        <c:crossAx val="628606144"/>
        <c:crosses val="autoZero"/>
        <c:auto val="0"/>
        <c:lblAlgn val="ctr"/>
        <c:lblOffset val="100"/>
        <c:noMultiLvlLbl val="0"/>
      </c:catAx>
      <c:valAx>
        <c:axId val="628606144"/>
        <c:scaling>
          <c:orientation val="minMax"/>
        </c:scaling>
        <c:delete val="0"/>
        <c:axPos val="l"/>
        <c:majorGridlines/>
        <c:numFmt formatCode="0%" sourceLinked="1"/>
        <c:majorTickMark val="out"/>
        <c:minorTickMark val="none"/>
        <c:tickLblPos val="nextTo"/>
        <c:txPr>
          <a:bodyPr/>
          <a:lstStyle/>
          <a:p>
            <a:pPr>
              <a:defRPr sz="800"/>
            </a:pPr>
            <a:endParaRPr lang="en-US"/>
          </a:p>
        </c:txPr>
        <c:crossAx val="624910992"/>
        <c:crosses val="autoZero"/>
        <c:crossBetween val="between"/>
      </c:valAx>
    </c:plotArea>
    <c:legend>
      <c:legendPos val="t"/>
      <c:layout>
        <c:manualLayout>
          <c:xMode val="edge"/>
          <c:yMode val="edge"/>
          <c:x val="9.5889291928396597E-2"/>
          <c:y val="0.24290010307416027"/>
          <c:w val="0.312383635419754"/>
          <c:h val="7.3936167508604378E-2"/>
        </c:manualLayout>
      </c:layout>
      <c:overlay val="0"/>
      <c:spPr>
        <a:ln>
          <a:solidFill>
            <a:schemeClr val="accent1"/>
          </a:solidFill>
        </a:ln>
      </c:spPr>
      <c:txPr>
        <a:bodyPr/>
        <a:lstStyle/>
        <a:p>
          <a:pPr>
            <a:defRPr sz="7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Arial" pitchFamily="34" charset="0"/>
                <a:cs typeface="Arial" pitchFamily="34" charset="0"/>
              </a:defRPr>
            </a:pPr>
            <a:r>
              <a:rPr lang="en-US" sz="800" b="1" i="0" u="none" strike="noStrike" baseline="0">
                <a:effectLst/>
              </a:rPr>
              <a:t>Outlook on Economic Performance for The Coming Year</a:t>
            </a:r>
          </a:p>
        </c:rich>
      </c:tx>
      <c:overlay val="0"/>
    </c:title>
    <c:autoTitleDeleted val="0"/>
    <c:plotArea>
      <c:layout>
        <c:manualLayout>
          <c:layoutTarget val="inner"/>
          <c:xMode val="edge"/>
          <c:yMode val="edge"/>
          <c:x val="8.7771154091241477E-2"/>
          <c:y val="0.2315086040866052"/>
          <c:w val="0.84062156768714325"/>
          <c:h val="0.63870134720985006"/>
        </c:manualLayout>
      </c:layout>
      <c:barChart>
        <c:barDir val="col"/>
        <c:grouping val="clustered"/>
        <c:varyColors val="0"/>
        <c:ser>
          <c:idx val="0"/>
          <c:order val="0"/>
          <c:tx>
            <c:strRef>
              <c:f>Sheet1!$B$1</c:f>
              <c:strCache>
                <c:ptCount val="1"/>
                <c:pt idx="0">
                  <c:v>Up</c:v>
                </c:pt>
              </c:strCache>
            </c:strRef>
          </c:tx>
          <c:spPr>
            <a:ln>
              <a:solidFill>
                <a:schemeClr val="accent1"/>
              </a:solidFill>
            </a:ln>
          </c:spPr>
          <c:invertIfNegative val="0"/>
          <c:cat>
            <c:strRef>
              <c:f>Sheet1!$A$2:$A$6</c:f>
              <c:strCache>
                <c:ptCount val="5"/>
                <c:pt idx="0">
                  <c:v>Employ- ment</c:v>
                </c:pt>
                <c:pt idx="1">
                  <c:v>Consumer Spending</c:v>
                </c:pt>
                <c:pt idx="2">
                  <c:v>Inflation</c:v>
                </c:pt>
                <c:pt idx="3">
                  <c:v>Profits</c:v>
                </c:pt>
                <c:pt idx="4">
                  <c:v>Merger and Acq.</c:v>
                </c:pt>
              </c:strCache>
            </c:strRef>
          </c:cat>
          <c:val>
            <c:numRef>
              <c:f>Sheet1!$B$2:$B$6</c:f>
              <c:numCache>
                <c:formatCode>0%</c:formatCode>
                <c:ptCount val="5"/>
                <c:pt idx="0">
                  <c:v>0.22</c:v>
                </c:pt>
                <c:pt idx="1">
                  <c:v>0.14000000000000001</c:v>
                </c:pt>
                <c:pt idx="2">
                  <c:v>0.46</c:v>
                </c:pt>
                <c:pt idx="3">
                  <c:v>0.2</c:v>
                </c:pt>
                <c:pt idx="4">
                  <c:v>0.34</c:v>
                </c:pt>
              </c:numCache>
            </c:numRef>
          </c:val>
          <c:extLst xmlns:c16r2="http://schemas.microsoft.com/office/drawing/2015/06/chart">
            <c:ext xmlns:c16="http://schemas.microsoft.com/office/drawing/2014/chart" uri="{C3380CC4-5D6E-409C-BE32-E72D297353CC}">
              <c16:uniqueId val="{00000000-A25D-47D5-87AC-7BEB5745FEAA}"/>
            </c:ext>
          </c:extLst>
        </c:ser>
        <c:ser>
          <c:idx val="1"/>
          <c:order val="1"/>
          <c:tx>
            <c:strRef>
              <c:f>Sheet1!$C$1</c:f>
              <c:strCache>
                <c:ptCount val="1"/>
                <c:pt idx="0">
                  <c:v>Same</c:v>
                </c:pt>
              </c:strCache>
            </c:strRef>
          </c:tx>
          <c:spPr>
            <a:solidFill>
              <a:srgbClr val="92D050"/>
            </a:solidFill>
            <a:ln>
              <a:solidFill>
                <a:schemeClr val="accent1"/>
              </a:solidFill>
            </a:ln>
          </c:spPr>
          <c:invertIfNegative val="0"/>
          <c:cat>
            <c:strRef>
              <c:f>Sheet1!$A$2:$A$6</c:f>
              <c:strCache>
                <c:ptCount val="5"/>
                <c:pt idx="0">
                  <c:v>Employ- ment</c:v>
                </c:pt>
                <c:pt idx="1">
                  <c:v>Consumer Spending</c:v>
                </c:pt>
                <c:pt idx="2">
                  <c:v>Inflation</c:v>
                </c:pt>
                <c:pt idx="3">
                  <c:v>Profits</c:v>
                </c:pt>
                <c:pt idx="4">
                  <c:v>Merger and Acq.</c:v>
                </c:pt>
              </c:strCache>
            </c:strRef>
          </c:cat>
          <c:val>
            <c:numRef>
              <c:f>Sheet1!$C$2:$C$6</c:f>
              <c:numCache>
                <c:formatCode>0%</c:formatCode>
                <c:ptCount val="5"/>
                <c:pt idx="0">
                  <c:v>0.34</c:v>
                </c:pt>
                <c:pt idx="1">
                  <c:v>0.34</c:v>
                </c:pt>
                <c:pt idx="2">
                  <c:v>0.49</c:v>
                </c:pt>
                <c:pt idx="3">
                  <c:v>0.28000000000000003</c:v>
                </c:pt>
                <c:pt idx="4">
                  <c:v>0.42</c:v>
                </c:pt>
              </c:numCache>
            </c:numRef>
          </c:val>
          <c:extLst xmlns:c16r2="http://schemas.microsoft.com/office/drawing/2015/06/chart">
            <c:ext xmlns:c16="http://schemas.microsoft.com/office/drawing/2014/chart" uri="{C3380CC4-5D6E-409C-BE32-E72D297353CC}">
              <c16:uniqueId val="{00000001-A25D-47D5-87AC-7BEB5745FEAA}"/>
            </c:ext>
          </c:extLst>
        </c:ser>
        <c:ser>
          <c:idx val="2"/>
          <c:order val="2"/>
          <c:tx>
            <c:strRef>
              <c:f>Sheet1!$D$1</c:f>
              <c:strCache>
                <c:ptCount val="1"/>
                <c:pt idx="0">
                  <c:v>Down</c:v>
                </c:pt>
              </c:strCache>
            </c:strRef>
          </c:tx>
          <c:spPr>
            <a:solidFill>
              <a:srgbClr val="FFFF99"/>
            </a:solidFill>
            <a:ln>
              <a:solidFill>
                <a:schemeClr val="accent1"/>
              </a:solidFill>
            </a:ln>
          </c:spPr>
          <c:invertIfNegative val="0"/>
          <c:cat>
            <c:strRef>
              <c:f>Sheet1!$A$2:$A$6</c:f>
              <c:strCache>
                <c:ptCount val="5"/>
                <c:pt idx="0">
                  <c:v>Employ- ment</c:v>
                </c:pt>
                <c:pt idx="1">
                  <c:v>Consumer Spending</c:v>
                </c:pt>
                <c:pt idx="2">
                  <c:v>Inflation</c:v>
                </c:pt>
                <c:pt idx="3">
                  <c:v>Profits</c:v>
                </c:pt>
                <c:pt idx="4">
                  <c:v>Merger and Acq.</c:v>
                </c:pt>
              </c:strCache>
            </c:strRef>
          </c:cat>
          <c:val>
            <c:numRef>
              <c:f>Sheet1!$D$2:$D$6</c:f>
              <c:numCache>
                <c:formatCode>0%</c:formatCode>
                <c:ptCount val="5"/>
                <c:pt idx="0">
                  <c:v>0.44</c:v>
                </c:pt>
                <c:pt idx="1">
                  <c:v>0.52</c:v>
                </c:pt>
                <c:pt idx="2">
                  <c:v>0.06</c:v>
                </c:pt>
                <c:pt idx="3">
                  <c:v>0.52</c:v>
                </c:pt>
                <c:pt idx="4">
                  <c:v>0.24</c:v>
                </c:pt>
              </c:numCache>
            </c:numRef>
          </c:val>
          <c:extLst xmlns:c16r2="http://schemas.microsoft.com/office/drawing/2015/06/chart">
            <c:ext xmlns:c16="http://schemas.microsoft.com/office/drawing/2014/chart" uri="{C3380CC4-5D6E-409C-BE32-E72D297353CC}">
              <c16:uniqueId val="{00000002-A25D-47D5-87AC-7BEB5745FEAA}"/>
            </c:ext>
          </c:extLst>
        </c:ser>
        <c:dLbls>
          <c:showLegendKey val="0"/>
          <c:showVal val="0"/>
          <c:showCatName val="0"/>
          <c:showSerName val="0"/>
          <c:showPercent val="0"/>
          <c:showBubbleSize val="0"/>
        </c:dLbls>
        <c:gapWidth val="100"/>
        <c:axId val="624911384"/>
        <c:axId val="628607320"/>
      </c:barChart>
      <c:catAx>
        <c:axId val="624911384"/>
        <c:scaling>
          <c:orientation val="minMax"/>
        </c:scaling>
        <c:delete val="0"/>
        <c:axPos val="b"/>
        <c:numFmt formatCode="General" sourceLinked="0"/>
        <c:majorTickMark val="out"/>
        <c:minorTickMark val="none"/>
        <c:tickLblPos val="nextTo"/>
        <c:txPr>
          <a:bodyPr rot="0" vert="horz"/>
          <a:lstStyle/>
          <a:p>
            <a:pPr>
              <a:defRPr sz="700">
                <a:latin typeface="Arial" pitchFamily="34" charset="0"/>
                <a:cs typeface="Arial" pitchFamily="34" charset="0"/>
              </a:defRPr>
            </a:pPr>
            <a:endParaRPr lang="en-US"/>
          </a:p>
        </c:txPr>
        <c:crossAx val="628607320"/>
        <c:crosses val="autoZero"/>
        <c:auto val="1"/>
        <c:lblAlgn val="ctr"/>
        <c:lblOffset val="100"/>
        <c:noMultiLvlLbl val="0"/>
      </c:catAx>
      <c:valAx>
        <c:axId val="628607320"/>
        <c:scaling>
          <c:orientation val="minMax"/>
        </c:scaling>
        <c:delete val="0"/>
        <c:axPos val="l"/>
        <c:majorGridlines/>
        <c:numFmt formatCode="0%" sourceLinked="1"/>
        <c:majorTickMark val="out"/>
        <c:minorTickMark val="none"/>
        <c:tickLblPos val="nextTo"/>
        <c:txPr>
          <a:bodyPr/>
          <a:lstStyle/>
          <a:p>
            <a:pPr>
              <a:defRPr sz="800"/>
            </a:pPr>
            <a:endParaRPr lang="en-US"/>
          </a:p>
        </c:txPr>
        <c:crossAx val="624911384"/>
        <c:crosses val="autoZero"/>
        <c:crossBetween val="between"/>
      </c:valAx>
    </c:plotArea>
    <c:legend>
      <c:legendPos val="t"/>
      <c:layout>
        <c:manualLayout>
          <c:xMode val="edge"/>
          <c:yMode val="edge"/>
          <c:x val="0.10359847053667232"/>
          <c:y val="0.24176218479019237"/>
          <c:w val="0.312383635419754"/>
          <c:h val="7.3936167508604378E-2"/>
        </c:manualLayout>
      </c:layout>
      <c:overlay val="0"/>
      <c:spPr>
        <a:ln>
          <a:solidFill>
            <a:schemeClr val="accent1"/>
          </a:solidFill>
        </a:ln>
      </c:spPr>
      <c:txPr>
        <a:bodyPr/>
        <a:lstStyle/>
        <a:p>
          <a:pPr>
            <a:defRPr sz="7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7F57D-6E45-4DE6-9770-0E49DEAC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Olson</dc:creator>
  <cp:keywords/>
  <dc:description/>
  <cp:lastModifiedBy>Beatty, Rita (DEED)</cp:lastModifiedBy>
  <cp:revision>2</cp:revision>
  <cp:lastPrinted>2019-07-02T17:16:00Z</cp:lastPrinted>
  <dcterms:created xsi:type="dcterms:W3CDTF">2020-09-21T16:17:00Z</dcterms:created>
  <dcterms:modified xsi:type="dcterms:W3CDTF">2020-09-21T16:17:00Z</dcterms:modified>
</cp:coreProperties>
</file>