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173B280" w14:textId="77777777" w:rsidR="009A66AE" w:rsidRDefault="00100675" w:rsidP="00463AD5">
          <w:pPr>
            <w:pBdr>
              <w:bottom w:val="single" w:sz="6" w:space="1" w:color="auto"/>
            </w:pBdr>
            <w:jc w:val="right"/>
          </w:pPr>
          <w:r>
            <w:rPr>
              <w:noProof/>
              <w:lang w:bidi="ar-SA"/>
            </w:rPr>
            <w:drawing>
              <wp:inline distT="0" distB="0" distL="0" distR="0" wp14:anchorId="1B196F8D" wp14:editId="39D94765">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1E93A454" w14:textId="342DB647" w:rsidR="00C61688" w:rsidRPr="00463AD5" w:rsidRDefault="00B61A38" w:rsidP="00463AD5">
          <w:pPr>
            <w:pStyle w:val="Heading1"/>
          </w:pPr>
          <w:bookmarkStart w:id="0" w:name="_Toc113524008"/>
          <w:r>
            <w:t>Career Pathways Pilot Project (CP3)</w:t>
          </w:r>
          <w:bookmarkEnd w:id="0"/>
        </w:p>
        <w:p w14:paraId="2113FD77" w14:textId="6DCD7FE5" w:rsidR="007124DA" w:rsidRDefault="00B61A38" w:rsidP="005A5A73">
          <w:pPr>
            <w:jc w:val="right"/>
            <w:rPr>
              <w:color w:val="003865" w:themeColor="accent1"/>
              <w:sz w:val="28"/>
              <w:szCs w:val="28"/>
            </w:rPr>
          </w:pPr>
          <w:bookmarkStart w:id="1" w:name="_Toc477437899"/>
          <w:r>
            <w:rPr>
              <w:color w:val="003865" w:themeColor="accent1"/>
              <w:sz w:val="28"/>
              <w:szCs w:val="28"/>
            </w:rPr>
            <w:t>WIOA Governor’s Reserve Funds</w:t>
          </w:r>
        </w:p>
        <w:p w14:paraId="16EF74A2" w14:textId="08E30A80" w:rsidR="005A5A73" w:rsidRPr="005A5A73" w:rsidRDefault="00B61A38" w:rsidP="005A5A73">
          <w:pPr>
            <w:pBdr>
              <w:bottom w:val="single" w:sz="4" w:space="15" w:color="auto"/>
            </w:pBdr>
            <w:jc w:val="right"/>
            <w:rPr>
              <w:color w:val="003865" w:themeColor="accent1"/>
              <w:sz w:val="28"/>
              <w:szCs w:val="28"/>
            </w:rPr>
          </w:pPr>
          <w:r>
            <w:rPr>
              <w:color w:val="003865" w:themeColor="accent1"/>
              <w:sz w:val="28"/>
              <w:szCs w:val="28"/>
            </w:rPr>
            <w:t>0</w:t>
          </w:r>
          <w:r w:rsidR="00CE19AF">
            <w:rPr>
              <w:color w:val="003865" w:themeColor="accent1"/>
              <w:sz w:val="28"/>
              <w:szCs w:val="28"/>
            </w:rPr>
            <w:t>9</w:t>
          </w:r>
          <w:r w:rsidR="005A5A73">
            <w:rPr>
              <w:color w:val="003865" w:themeColor="accent1"/>
              <w:sz w:val="28"/>
              <w:szCs w:val="28"/>
            </w:rPr>
            <w:t>/</w:t>
          </w:r>
          <w:r w:rsidR="00CE19AF">
            <w:rPr>
              <w:color w:val="003865" w:themeColor="accent1"/>
              <w:sz w:val="28"/>
              <w:szCs w:val="28"/>
            </w:rPr>
            <w:t>8</w:t>
          </w:r>
          <w:r w:rsidR="005A5A73">
            <w:rPr>
              <w:color w:val="003865" w:themeColor="accent1"/>
              <w:sz w:val="28"/>
              <w:szCs w:val="28"/>
            </w:rPr>
            <w:t>/</w:t>
          </w:r>
          <w:r>
            <w:rPr>
              <w:color w:val="003865" w:themeColor="accent1"/>
              <w:sz w:val="28"/>
              <w:szCs w:val="28"/>
            </w:rPr>
            <w:t>2022</w:t>
          </w:r>
        </w:p>
        <w:bookmarkEnd w:id="1"/>
        <w:p w14:paraId="7B5A1961" w14:textId="77777777" w:rsidR="00074A30" w:rsidRPr="00074A30" w:rsidRDefault="00074A30" w:rsidP="00074A30">
          <w:pPr>
            <w:sectPr w:rsidR="00074A30" w:rsidRPr="00074A30" w:rsidSect="00B545E5">
              <w:footerReference w:type="default" r:id="rId12"/>
              <w:headerReference w:type="first" r:id="rId13"/>
              <w:pgSz w:w="12240" w:h="15840" w:code="1"/>
              <w:pgMar w:top="1728" w:right="1080" w:bottom="1440" w:left="1080" w:header="0" w:footer="504" w:gutter="0"/>
              <w:cols w:space="720"/>
              <w:vAlign w:val="center"/>
              <w:titlePg/>
              <w:docGrid w:linePitch="326"/>
            </w:sectPr>
          </w:pPr>
        </w:p>
        <w:p w14:paraId="0E7F140C" w14:textId="6B523D71" w:rsidR="00F6052E" w:rsidRPr="00F95D7E" w:rsidRDefault="00B61A38" w:rsidP="00F6052E">
          <w:pPr>
            <w:rPr>
              <w:rStyle w:val="Hyperlink"/>
              <w:color w:val="auto"/>
              <w:u w:val="none"/>
            </w:rPr>
          </w:pPr>
          <w:r>
            <w:lastRenderedPageBreak/>
            <w:t>Department of Employment and Economic Development</w:t>
          </w:r>
          <w:r w:rsidR="00F6052E" w:rsidRPr="0042247B">
            <w:br/>
          </w:r>
          <w:r w:rsidR="00F95D7E">
            <w:t xml:space="preserve">Kay Tracy – Director, </w:t>
          </w:r>
          <w:r>
            <w:t>Office of Youth Development</w:t>
          </w:r>
          <w:r w:rsidR="00F6052E">
            <w:br/>
          </w:r>
          <w:r>
            <w:t>332 Minnesota St. Ste E200</w:t>
          </w:r>
          <w:r w:rsidR="00F6052E" w:rsidRPr="0042247B">
            <w:t xml:space="preserve"> </w:t>
          </w:r>
          <w:r w:rsidR="00F6052E" w:rsidRPr="0042247B">
            <w:br/>
            <w:t>St. Paul, MN</w:t>
          </w:r>
          <w:r w:rsidR="00555B93">
            <w:t xml:space="preserve"> </w:t>
          </w:r>
          <w:r>
            <w:t>55101</w:t>
          </w:r>
          <w:r w:rsidR="00555B93">
            <w:br/>
            <w:t>(P</w:t>
          </w:r>
          <w:r w:rsidR="00F6052E" w:rsidRPr="0042247B">
            <w:t xml:space="preserve">hone) </w:t>
          </w:r>
          <w:r>
            <w:t>651-259-7555</w:t>
          </w:r>
          <w:r w:rsidR="00F6052E" w:rsidRPr="0042247B">
            <w:t xml:space="preserve"> </w:t>
          </w:r>
          <w:r w:rsidR="00F6052E" w:rsidRPr="0042247B">
            <w:br/>
          </w:r>
          <w:hyperlink r:id="rId14" w:history="1">
            <w:r w:rsidRPr="006F2098">
              <w:rPr>
                <w:rStyle w:val="Hyperlink"/>
              </w:rPr>
              <w:t>Kay.Tracy@state.mn.us</w:t>
            </w:r>
          </w:hyperlink>
          <w:r w:rsidR="00F6052E" w:rsidRPr="0013434B">
            <w:rPr>
              <w:rStyle w:val="Hyperlink"/>
            </w:rPr>
            <w:br/>
          </w:r>
          <w:r w:rsidR="00F6052E" w:rsidRPr="0013434B">
            <w:rPr>
              <w:rStyle w:val="Hyperlink"/>
            </w:rPr>
            <w:fldChar w:fldCharType="begin"/>
          </w:r>
          <w:r w:rsidR="00F6052E">
            <w:rPr>
              <w:rStyle w:val="Hyperlink"/>
            </w:rPr>
            <w:instrText>HYPERLINK "http://" \o "MDH website"</w:instrText>
          </w:r>
          <w:r w:rsidR="00F6052E" w:rsidRPr="0013434B">
            <w:rPr>
              <w:rStyle w:val="Hyperlink"/>
            </w:rPr>
            <w:fldChar w:fldCharType="separate"/>
          </w:r>
          <w:r w:rsidR="00F6052E">
            <w:rPr>
              <w:rStyle w:val="Hyperlink"/>
            </w:rPr>
            <w:t>mn.gov/</w:t>
          </w:r>
          <w:r>
            <w:rPr>
              <w:rStyle w:val="Hyperlink"/>
            </w:rPr>
            <w:t>deed/youth</w:t>
          </w:r>
        </w:p>
        <w:p w14:paraId="04CA78F3" w14:textId="5E087090" w:rsidR="00074A30" w:rsidRDefault="00F6052E" w:rsidP="00B61A38">
          <w:pPr>
            <w:rPr>
              <w:rStyle w:val="Emphasis"/>
            </w:rPr>
            <w:sectPr w:rsidR="00074A30" w:rsidSect="00074A30">
              <w:pgSz w:w="12240" w:h="15840" w:code="1"/>
              <w:pgMar w:top="1728" w:right="1080" w:bottom="1440" w:left="1080" w:header="0" w:footer="504" w:gutter="0"/>
              <w:cols w:space="720"/>
              <w:vAlign w:val="center"/>
              <w:titlePg/>
              <w:docGrid w:linePitch="326"/>
            </w:sectPr>
          </w:pPr>
          <w:r w:rsidRPr="0013434B">
            <w:rPr>
              <w:rStyle w:val="Hyperlink"/>
            </w:rPr>
            <w:fldChar w:fldCharType="end"/>
          </w:r>
        </w:p>
        <w:bookmarkStart w:id="2" w:name="_Toc113524009" w:displacedByCustomXml="next"/>
        <w:bookmarkStart w:id="3" w:name="_Toc461105257" w:displacedByCustomXml="next"/>
        <w:sdt>
          <w:sdtPr>
            <w:rPr>
              <w:rFonts w:ascii="Calibri" w:eastAsia="Times New Roman" w:hAnsi="Calibri" w:cs="Times New Roman"/>
              <w:b w:val="0"/>
              <w:bCs/>
              <w:color w:val="auto"/>
              <w:sz w:val="22"/>
              <w:szCs w:val="22"/>
            </w:rPr>
            <w:id w:val="-1936895440"/>
            <w:docPartObj>
              <w:docPartGallery w:val="Table of Contents"/>
              <w:docPartUnique/>
            </w:docPartObj>
          </w:sdtPr>
          <w:sdtEndPr>
            <w:rPr>
              <w:bCs w:val="0"/>
              <w:noProof/>
            </w:rPr>
          </w:sdtEndPr>
          <w:sdtContent>
            <w:p w14:paraId="0088F52F" w14:textId="77777777" w:rsidR="00CE19AF" w:rsidRDefault="00014777" w:rsidP="00014777">
              <w:pPr>
                <w:pStyle w:val="Heading2"/>
                <w:rPr>
                  <w:noProof/>
                </w:rPr>
              </w:pPr>
              <w:r>
                <w:t>Contents</w:t>
              </w:r>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2132A986" w14:textId="33F19C9C" w:rsidR="00CE19AF" w:rsidRDefault="00CE19AF">
              <w:pPr>
                <w:pStyle w:val="TOC1"/>
                <w:tabs>
                  <w:tab w:val="right" w:leader="dot" w:pos="10070"/>
                </w:tabs>
                <w:rPr>
                  <w:rFonts w:asciiTheme="minorHAnsi" w:eastAsiaTheme="minorEastAsia" w:hAnsiTheme="minorHAnsi" w:cstheme="minorBidi"/>
                  <w:noProof/>
                  <w:lang w:bidi="ar-SA"/>
                </w:rPr>
              </w:pPr>
              <w:r w:rsidRPr="00312F00">
                <w:rPr>
                  <w:rStyle w:val="Hyperlink"/>
                  <w:noProof/>
                </w:rPr>
                <w:fldChar w:fldCharType="begin"/>
              </w:r>
              <w:r w:rsidRPr="00312F00">
                <w:rPr>
                  <w:rStyle w:val="Hyperlink"/>
                  <w:noProof/>
                </w:rPr>
                <w:instrText xml:space="preserve"> </w:instrText>
              </w:r>
              <w:r>
                <w:rPr>
                  <w:noProof/>
                </w:rPr>
                <w:instrText>HYPERLINK \l "_Toc113524008"</w:instrText>
              </w:r>
              <w:r w:rsidRPr="00312F00">
                <w:rPr>
                  <w:rStyle w:val="Hyperlink"/>
                  <w:noProof/>
                </w:rPr>
                <w:instrText xml:space="preserve"> </w:instrText>
              </w:r>
              <w:r w:rsidRPr="00312F00">
                <w:rPr>
                  <w:rStyle w:val="Hyperlink"/>
                  <w:noProof/>
                </w:rPr>
              </w:r>
              <w:r w:rsidRPr="00312F00">
                <w:rPr>
                  <w:rStyle w:val="Hyperlink"/>
                  <w:noProof/>
                </w:rPr>
                <w:fldChar w:fldCharType="separate"/>
              </w:r>
              <w:r w:rsidRPr="00312F00">
                <w:rPr>
                  <w:rStyle w:val="Hyperlink"/>
                  <w:noProof/>
                </w:rPr>
                <w:t>Career Pathways Pilot Project (CP3)</w:t>
              </w:r>
              <w:r>
                <w:rPr>
                  <w:noProof/>
                  <w:webHidden/>
                </w:rPr>
                <w:tab/>
              </w:r>
              <w:r>
                <w:rPr>
                  <w:noProof/>
                  <w:webHidden/>
                </w:rPr>
                <w:fldChar w:fldCharType="begin"/>
              </w:r>
              <w:r>
                <w:rPr>
                  <w:noProof/>
                  <w:webHidden/>
                </w:rPr>
                <w:instrText xml:space="preserve"> PAGEREF _Toc113524008 \h </w:instrText>
              </w:r>
              <w:r>
                <w:rPr>
                  <w:noProof/>
                  <w:webHidden/>
                </w:rPr>
              </w:r>
              <w:r>
                <w:rPr>
                  <w:noProof/>
                  <w:webHidden/>
                </w:rPr>
                <w:fldChar w:fldCharType="separate"/>
              </w:r>
              <w:r>
                <w:rPr>
                  <w:noProof/>
                  <w:webHidden/>
                </w:rPr>
                <w:t>1</w:t>
              </w:r>
              <w:r>
                <w:rPr>
                  <w:noProof/>
                  <w:webHidden/>
                </w:rPr>
                <w:fldChar w:fldCharType="end"/>
              </w:r>
              <w:r w:rsidRPr="00312F00">
                <w:rPr>
                  <w:rStyle w:val="Hyperlink"/>
                  <w:noProof/>
                </w:rPr>
                <w:fldChar w:fldCharType="end"/>
              </w:r>
            </w:p>
            <w:p w14:paraId="2F9E3BEB" w14:textId="11571F79" w:rsidR="00CE19AF" w:rsidRDefault="00CE19AF">
              <w:pPr>
                <w:pStyle w:val="TOC2"/>
                <w:tabs>
                  <w:tab w:val="right" w:leader="dot" w:pos="10070"/>
                </w:tabs>
                <w:rPr>
                  <w:rFonts w:asciiTheme="minorHAnsi" w:eastAsiaTheme="minorEastAsia" w:hAnsiTheme="minorHAnsi" w:cstheme="minorBidi"/>
                  <w:noProof/>
                  <w:lang w:bidi="ar-SA"/>
                </w:rPr>
              </w:pPr>
              <w:hyperlink w:anchor="_Toc113524009" w:history="1">
                <w:r w:rsidRPr="00312F00">
                  <w:rPr>
                    <w:rStyle w:val="Hyperlink"/>
                    <w:noProof/>
                  </w:rPr>
                  <w:t>Contents</w:t>
                </w:r>
                <w:r>
                  <w:rPr>
                    <w:noProof/>
                    <w:webHidden/>
                  </w:rPr>
                  <w:tab/>
                </w:r>
                <w:r>
                  <w:rPr>
                    <w:noProof/>
                    <w:webHidden/>
                  </w:rPr>
                  <w:fldChar w:fldCharType="begin"/>
                </w:r>
                <w:r>
                  <w:rPr>
                    <w:noProof/>
                    <w:webHidden/>
                  </w:rPr>
                  <w:instrText xml:space="preserve"> PAGEREF _Toc113524009 \h </w:instrText>
                </w:r>
                <w:r>
                  <w:rPr>
                    <w:noProof/>
                    <w:webHidden/>
                  </w:rPr>
                </w:r>
                <w:r>
                  <w:rPr>
                    <w:noProof/>
                    <w:webHidden/>
                  </w:rPr>
                  <w:fldChar w:fldCharType="separate"/>
                </w:r>
                <w:r>
                  <w:rPr>
                    <w:noProof/>
                    <w:webHidden/>
                  </w:rPr>
                  <w:t>3</w:t>
                </w:r>
                <w:r>
                  <w:rPr>
                    <w:noProof/>
                    <w:webHidden/>
                  </w:rPr>
                  <w:fldChar w:fldCharType="end"/>
                </w:r>
              </w:hyperlink>
            </w:p>
            <w:p w14:paraId="646D7B3A" w14:textId="76B6F20C" w:rsidR="00CE19AF" w:rsidRDefault="00CE19AF">
              <w:pPr>
                <w:pStyle w:val="TOC2"/>
                <w:tabs>
                  <w:tab w:val="right" w:leader="dot" w:pos="10070"/>
                </w:tabs>
                <w:rPr>
                  <w:rFonts w:asciiTheme="minorHAnsi" w:eastAsiaTheme="minorEastAsia" w:hAnsiTheme="minorHAnsi" w:cstheme="minorBidi"/>
                  <w:noProof/>
                  <w:lang w:bidi="ar-SA"/>
                </w:rPr>
              </w:pPr>
              <w:hyperlink w:anchor="_Toc113524010" w:history="1">
                <w:r w:rsidRPr="00312F00">
                  <w:rPr>
                    <w:rStyle w:val="Hyperlink"/>
                    <w:noProof/>
                  </w:rPr>
                  <w:t>Career Pathways Pilot Project (CP3) Overview</w:t>
                </w:r>
                <w:r>
                  <w:rPr>
                    <w:noProof/>
                    <w:webHidden/>
                  </w:rPr>
                  <w:tab/>
                </w:r>
                <w:r>
                  <w:rPr>
                    <w:noProof/>
                    <w:webHidden/>
                  </w:rPr>
                  <w:fldChar w:fldCharType="begin"/>
                </w:r>
                <w:r>
                  <w:rPr>
                    <w:noProof/>
                    <w:webHidden/>
                  </w:rPr>
                  <w:instrText xml:space="preserve"> PAGEREF _Toc113524010 \h </w:instrText>
                </w:r>
                <w:r>
                  <w:rPr>
                    <w:noProof/>
                    <w:webHidden/>
                  </w:rPr>
                </w:r>
                <w:r>
                  <w:rPr>
                    <w:noProof/>
                    <w:webHidden/>
                  </w:rPr>
                  <w:fldChar w:fldCharType="separate"/>
                </w:r>
                <w:r>
                  <w:rPr>
                    <w:noProof/>
                    <w:webHidden/>
                  </w:rPr>
                  <w:t>4</w:t>
                </w:r>
                <w:r>
                  <w:rPr>
                    <w:noProof/>
                    <w:webHidden/>
                  </w:rPr>
                  <w:fldChar w:fldCharType="end"/>
                </w:r>
              </w:hyperlink>
            </w:p>
            <w:p w14:paraId="571D41E3" w14:textId="45A8CF10" w:rsidR="00CE19AF" w:rsidRDefault="00CE19AF">
              <w:pPr>
                <w:pStyle w:val="TOC2"/>
                <w:tabs>
                  <w:tab w:val="right" w:leader="dot" w:pos="10070"/>
                </w:tabs>
                <w:rPr>
                  <w:rFonts w:asciiTheme="minorHAnsi" w:eastAsiaTheme="minorEastAsia" w:hAnsiTheme="minorHAnsi" w:cstheme="minorBidi"/>
                  <w:noProof/>
                  <w:lang w:bidi="ar-SA"/>
                </w:rPr>
              </w:pPr>
              <w:hyperlink w:anchor="_Toc113524011" w:history="1">
                <w:r w:rsidRPr="00312F00">
                  <w:rPr>
                    <w:rStyle w:val="Hyperlink"/>
                    <w:noProof/>
                  </w:rPr>
                  <w:t>COVID-19 Impact</w:t>
                </w:r>
                <w:r>
                  <w:rPr>
                    <w:noProof/>
                    <w:webHidden/>
                  </w:rPr>
                  <w:tab/>
                </w:r>
                <w:r>
                  <w:rPr>
                    <w:noProof/>
                    <w:webHidden/>
                  </w:rPr>
                  <w:fldChar w:fldCharType="begin"/>
                </w:r>
                <w:r>
                  <w:rPr>
                    <w:noProof/>
                    <w:webHidden/>
                  </w:rPr>
                  <w:instrText xml:space="preserve"> PAGEREF _Toc113524011 \h </w:instrText>
                </w:r>
                <w:r>
                  <w:rPr>
                    <w:noProof/>
                    <w:webHidden/>
                  </w:rPr>
                </w:r>
                <w:r>
                  <w:rPr>
                    <w:noProof/>
                    <w:webHidden/>
                  </w:rPr>
                  <w:fldChar w:fldCharType="separate"/>
                </w:r>
                <w:r>
                  <w:rPr>
                    <w:noProof/>
                    <w:webHidden/>
                  </w:rPr>
                  <w:t>4</w:t>
                </w:r>
                <w:r>
                  <w:rPr>
                    <w:noProof/>
                    <w:webHidden/>
                  </w:rPr>
                  <w:fldChar w:fldCharType="end"/>
                </w:r>
              </w:hyperlink>
            </w:p>
            <w:p w14:paraId="18759382" w14:textId="75506B14" w:rsidR="00CE19AF" w:rsidRDefault="00CE19AF">
              <w:pPr>
                <w:pStyle w:val="TOC2"/>
                <w:tabs>
                  <w:tab w:val="right" w:leader="dot" w:pos="10070"/>
                </w:tabs>
                <w:rPr>
                  <w:rFonts w:asciiTheme="minorHAnsi" w:eastAsiaTheme="minorEastAsia" w:hAnsiTheme="minorHAnsi" w:cstheme="minorBidi"/>
                  <w:noProof/>
                  <w:lang w:bidi="ar-SA"/>
                </w:rPr>
              </w:pPr>
              <w:hyperlink w:anchor="_Toc113524012" w:history="1">
                <w:r w:rsidRPr="00312F00">
                  <w:rPr>
                    <w:rStyle w:val="Hyperlink"/>
                    <w:noProof/>
                  </w:rPr>
                  <w:t>Allowable Activities and Expenditures</w:t>
                </w:r>
                <w:r>
                  <w:rPr>
                    <w:noProof/>
                    <w:webHidden/>
                  </w:rPr>
                  <w:tab/>
                </w:r>
                <w:r>
                  <w:rPr>
                    <w:noProof/>
                    <w:webHidden/>
                  </w:rPr>
                  <w:fldChar w:fldCharType="begin"/>
                </w:r>
                <w:r>
                  <w:rPr>
                    <w:noProof/>
                    <w:webHidden/>
                  </w:rPr>
                  <w:instrText xml:space="preserve"> PAGEREF _Toc113524012 \h </w:instrText>
                </w:r>
                <w:r>
                  <w:rPr>
                    <w:noProof/>
                    <w:webHidden/>
                  </w:rPr>
                </w:r>
                <w:r>
                  <w:rPr>
                    <w:noProof/>
                    <w:webHidden/>
                  </w:rPr>
                  <w:fldChar w:fldCharType="separate"/>
                </w:r>
                <w:r>
                  <w:rPr>
                    <w:noProof/>
                    <w:webHidden/>
                  </w:rPr>
                  <w:t>4</w:t>
                </w:r>
                <w:r>
                  <w:rPr>
                    <w:noProof/>
                    <w:webHidden/>
                  </w:rPr>
                  <w:fldChar w:fldCharType="end"/>
                </w:r>
              </w:hyperlink>
            </w:p>
            <w:p w14:paraId="71A8A73C" w14:textId="3DAA8770" w:rsidR="00CE19AF" w:rsidRDefault="00CE19AF">
              <w:pPr>
                <w:pStyle w:val="TOC2"/>
                <w:tabs>
                  <w:tab w:val="right" w:leader="dot" w:pos="10070"/>
                </w:tabs>
                <w:rPr>
                  <w:rFonts w:asciiTheme="minorHAnsi" w:eastAsiaTheme="minorEastAsia" w:hAnsiTheme="minorHAnsi" w:cstheme="minorBidi"/>
                  <w:noProof/>
                  <w:lang w:bidi="ar-SA"/>
                </w:rPr>
              </w:pPr>
              <w:hyperlink w:anchor="_Toc113524013" w:history="1">
                <w:r w:rsidRPr="00312F00">
                  <w:rPr>
                    <w:rStyle w:val="Hyperlink"/>
                    <w:noProof/>
                  </w:rPr>
                  <w:t>Project Descriptions and Success Stories</w:t>
                </w:r>
                <w:r>
                  <w:rPr>
                    <w:noProof/>
                    <w:webHidden/>
                  </w:rPr>
                  <w:tab/>
                </w:r>
                <w:r>
                  <w:rPr>
                    <w:noProof/>
                    <w:webHidden/>
                  </w:rPr>
                  <w:fldChar w:fldCharType="begin"/>
                </w:r>
                <w:r>
                  <w:rPr>
                    <w:noProof/>
                    <w:webHidden/>
                  </w:rPr>
                  <w:instrText xml:space="preserve"> PAGEREF _Toc113524013 \h </w:instrText>
                </w:r>
                <w:r>
                  <w:rPr>
                    <w:noProof/>
                    <w:webHidden/>
                  </w:rPr>
                </w:r>
                <w:r>
                  <w:rPr>
                    <w:noProof/>
                    <w:webHidden/>
                  </w:rPr>
                  <w:fldChar w:fldCharType="separate"/>
                </w:r>
                <w:r>
                  <w:rPr>
                    <w:noProof/>
                    <w:webHidden/>
                  </w:rPr>
                  <w:t>5</w:t>
                </w:r>
                <w:r>
                  <w:rPr>
                    <w:noProof/>
                    <w:webHidden/>
                  </w:rPr>
                  <w:fldChar w:fldCharType="end"/>
                </w:r>
              </w:hyperlink>
            </w:p>
            <w:p w14:paraId="6E248DCC" w14:textId="334401E0" w:rsidR="00CE19AF" w:rsidRDefault="00CE19AF">
              <w:pPr>
                <w:pStyle w:val="TOC2"/>
                <w:tabs>
                  <w:tab w:val="right" w:leader="dot" w:pos="10070"/>
                </w:tabs>
                <w:rPr>
                  <w:rFonts w:asciiTheme="minorHAnsi" w:eastAsiaTheme="minorEastAsia" w:hAnsiTheme="minorHAnsi" w:cstheme="minorBidi"/>
                  <w:noProof/>
                  <w:lang w:bidi="ar-SA"/>
                </w:rPr>
              </w:pPr>
              <w:hyperlink w:anchor="_Toc113524014" w:history="1">
                <w:r w:rsidRPr="00312F00">
                  <w:rPr>
                    <w:rStyle w:val="Hyperlink"/>
                    <w:noProof/>
                  </w:rPr>
                  <w:t>Evaluation of CP3 Project</w:t>
                </w:r>
                <w:r>
                  <w:rPr>
                    <w:noProof/>
                    <w:webHidden/>
                  </w:rPr>
                  <w:tab/>
                </w:r>
                <w:r>
                  <w:rPr>
                    <w:noProof/>
                    <w:webHidden/>
                  </w:rPr>
                  <w:fldChar w:fldCharType="begin"/>
                </w:r>
                <w:r>
                  <w:rPr>
                    <w:noProof/>
                    <w:webHidden/>
                  </w:rPr>
                  <w:instrText xml:space="preserve"> PAGEREF _Toc113524014 \h </w:instrText>
                </w:r>
                <w:r>
                  <w:rPr>
                    <w:noProof/>
                    <w:webHidden/>
                  </w:rPr>
                </w:r>
                <w:r>
                  <w:rPr>
                    <w:noProof/>
                    <w:webHidden/>
                  </w:rPr>
                  <w:fldChar w:fldCharType="separate"/>
                </w:r>
                <w:r>
                  <w:rPr>
                    <w:noProof/>
                    <w:webHidden/>
                  </w:rPr>
                  <w:t>7</w:t>
                </w:r>
                <w:r>
                  <w:rPr>
                    <w:noProof/>
                    <w:webHidden/>
                  </w:rPr>
                  <w:fldChar w:fldCharType="end"/>
                </w:r>
              </w:hyperlink>
            </w:p>
            <w:p w14:paraId="0B60C59F" w14:textId="1AAA772C" w:rsidR="00CE19AF" w:rsidRDefault="00CE19AF">
              <w:pPr>
                <w:pStyle w:val="TOC3"/>
                <w:tabs>
                  <w:tab w:val="right" w:leader="dot" w:pos="10070"/>
                </w:tabs>
                <w:rPr>
                  <w:rFonts w:asciiTheme="minorHAnsi" w:eastAsiaTheme="minorEastAsia" w:hAnsiTheme="minorHAnsi" w:cstheme="minorBidi"/>
                  <w:noProof/>
                  <w:lang w:bidi="ar-SA"/>
                </w:rPr>
              </w:pPr>
              <w:hyperlink w:anchor="_Toc113524015" w:history="1">
                <w:r w:rsidRPr="00312F00">
                  <w:rPr>
                    <w:rStyle w:val="Hyperlink"/>
                    <w:noProof/>
                  </w:rPr>
                  <w:t>Increased Services to Youth</w:t>
                </w:r>
                <w:r>
                  <w:rPr>
                    <w:noProof/>
                    <w:webHidden/>
                  </w:rPr>
                  <w:tab/>
                </w:r>
                <w:r>
                  <w:rPr>
                    <w:noProof/>
                    <w:webHidden/>
                  </w:rPr>
                  <w:fldChar w:fldCharType="begin"/>
                </w:r>
                <w:r>
                  <w:rPr>
                    <w:noProof/>
                    <w:webHidden/>
                  </w:rPr>
                  <w:instrText xml:space="preserve"> PAGEREF _Toc113524015 \h </w:instrText>
                </w:r>
                <w:r>
                  <w:rPr>
                    <w:noProof/>
                    <w:webHidden/>
                  </w:rPr>
                </w:r>
                <w:r>
                  <w:rPr>
                    <w:noProof/>
                    <w:webHidden/>
                  </w:rPr>
                  <w:fldChar w:fldCharType="separate"/>
                </w:r>
                <w:r>
                  <w:rPr>
                    <w:noProof/>
                    <w:webHidden/>
                  </w:rPr>
                  <w:t>7</w:t>
                </w:r>
                <w:r>
                  <w:rPr>
                    <w:noProof/>
                    <w:webHidden/>
                  </w:rPr>
                  <w:fldChar w:fldCharType="end"/>
                </w:r>
              </w:hyperlink>
            </w:p>
            <w:p w14:paraId="1A8A17A4" w14:textId="08B741C4" w:rsidR="00CE19AF" w:rsidRDefault="00CE19AF">
              <w:pPr>
                <w:pStyle w:val="TOC3"/>
                <w:tabs>
                  <w:tab w:val="right" w:leader="dot" w:pos="10070"/>
                </w:tabs>
                <w:rPr>
                  <w:rFonts w:asciiTheme="minorHAnsi" w:eastAsiaTheme="minorEastAsia" w:hAnsiTheme="minorHAnsi" w:cstheme="minorBidi"/>
                  <w:noProof/>
                  <w:lang w:bidi="ar-SA"/>
                </w:rPr>
              </w:pPr>
              <w:hyperlink w:anchor="_Toc113524016" w:history="1">
                <w:r w:rsidRPr="00312F00">
                  <w:rPr>
                    <w:rStyle w:val="Hyperlink"/>
                    <w:noProof/>
                  </w:rPr>
                  <w:t>Increased Business Partnerships</w:t>
                </w:r>
                <w:r>
                  <w:rPr>
                    <w:noProof/>
                    <w:webHidden/>
                  </w:rPr>
                  <w:tab/>
                </w:r>
                <w:r>
                  <w:rPr>
                    <w:noProof/>
                    <w:webHidden/>
                  </w:rPr>
                  <w:fldChar w:fldCharType="begin"/>
                </w:r>
                <w:r>
                  <w:rPr>
                    <w:noProof/>
                    <w:webHidden/>
                  </w:rPr>
                  <w:instrText xml:space="preserve"> PAGEREF _Toc113524016 \h </w:instrText>
                </w:r>
                <w:r>
                  <w:rPr>
                    <w:noProof/>
                    <w:webHidden/>
                  </w:rPr>
                </w:r>
                <w:r>
                  <w:rPr>
                    <w:noProof/>
                    <w:webHidden/>
                  </w:rPr>
                  <w:fldChar w:fldCharType="separate"/>
                </w:r>
                <w:r>
                  <w:rPr>
                    <w:noProof/>
                    <w:webHidden/>
                  </w:rPr>
                  <w:t>7</w:t>
                </w:r>
                <w:r>
                  <w:rPr>
                    <w:noProof/>
                    <w:webHidden/>
                  </w:rPr>
                  <w:fldChar w:fldCharType="end"/>
                </w:r>
              </w:hyperlink>
            </w:p>
            <w:p w14:paraId="3EB9AEDE" w14:textId="7D317835" w:rsidR="00CE19AF" w:rsidRDefault="00CE19AF">
              <w:pPr>
                <w:pStyle w:val="TOC3"/>
                <w:tabs>
                  <w:tab w:val="right" w:leader="dot" w:pos="10070"/>
                </w:tabs>
                <w:rPr>
                  <w:rFonts w:asciiTheme="minorHAnsi" w:eastAsiaTheme="minorEastAsia" w:hAnsiTheme="minorHAnsi" w:cstheme="minorBidi"/>
                  <w:noProof/>
                  <w:lang w:bidi="ar-SA"/>
                </w:rPr>
              </w:pPr>
              <w:hyperlink w:anchor="_Toc113524017" w:history="1">
                <w:r w:rsidRPr="00312F00">
                  <w:rPr>
                    <w:rStyle w:val="Hyperlink"/>
                    <w:noProof/>
                  </w:rPr>
                  <w:t>Increased Partnerships with Tribal Governments</w:t>
                </w:r>
                <w:r>
                  <w:rPr>
                    <w:noProof/>
                    <w:webHidden/>
                  </w:rPr>
                  <w:tab/>
                </w:r>
                <w:r>
                  <w:rPr>
                    <w:noProof/>
                    <w:webHidden/>
                  </w:rPr>
                  <w:fldChar w:fldCharType="begin"/>
                </w:r>
                <w:r>
                  <w:rPr>
                    <w:noProof/>
                    <w:webHidden/>
                  </w:rPr>
                  <w:instrText xml:space="preserve"> PAGEREF _Toc113524017 \h </w:instrText>
                </w:r>
                <w:r>
                  <w:rPr>
                    <w:noProof/>
                    <w:webHidden/>
                  </w:rPr>
                </w:r>
                <w:r>
                  <w:rPr>
                    <w:noProof/>
                    <w:webHidden/>
                  </w:rPr>
                  <w:fldChar w:fldCharType="separate"/>
                </w:r>
                <w:r>
                  <w:rPr>
                    <w:noProof/>
                    <w:webHidden/>
                  </w:rPr>
                  <w:t>8</w:t>
                </w:r>
                <w:r>
                  <w:rPr>
                    <w:noProof/>
                    <w:webHidden/>
                  </w:rPr>
                  <w:fldChar w:fldCharType="end"/>
                </w:r>
              </w:hyperlink>
            </w:p>
            <w:p w14:paraId="74764EA4" w14:textId="7F8D966D" w:rsidR="00CE19AF" w:rsidRDefault="00CE19AF">
              <w:pPr>
                <w:pStyle w:val="TOC2"/>
                <w:tabs>
                  <w:tab w:val="right" w:leader="dot" w:pos="10070"/>
                </w:tabs>
                <w:rPr>
                  <w:rFonts w:asciiTheme="minorHAnsi" w:eastAsiaTheme="minorEastAsia" w:hAnsiTheme="minorHAnsi" w:cstheme="minorBidi"/>
                  <w:noProof/>
                  <w:lang w:bidi="ar-SA"/>
                </w:rPr>
              </w:pPr>
              <w:hyperlink w:anchor="_Toc113524018" w:history="1">
                <w:r w:rsidRPr="00312F00">
                  <w:rPr>
                    <w:rStyle w:val="Hyperlink"/>
                    <w:noProof/>
                  </w:rPr>
                  <w:t>Demographic Summary</w:t>
                </w:r>
                <w:r>
                  <w:rPr>
                    <w:noProof/>
                    <w:webHidden/>
                  </w:rPr>
                  <w:tab/>
                </w:r>
                <w:r>
                  <w:rPr>
                    <w:noProof/>
                    <w:webHidden/>
                  </w:rPr>
                  <w:fldChar w:fldCharType="begin"/>
                </w:r>
                <w:r>
                  <w:rPr>
                    <w:noProof/>
                    <w:webHidden/>
                  </w:rPr>
                  <w:instrText xml:space="preserve"> PAGEREF _Toc113524018 \h </w:instrText>
                </w:r>
                <w:r>
                  <w:rPr>
                    <w:noProof/>
                    <w:webHidden/>
                  </w:rPr>
                </w:r>
                <w:r>
                  <w:rPr>
                    <w:noProof/>
                    <w:webHidden/>
                  </w:rPr>
                  <w:fldChar w:fldCharType="separate"/>
                </w:r>
                <w:r>
                  <w:rPr>
                    <w:noProof/>
                    <w:webHidden/>
                  </w:rPr>
                  <w:t>8</w:t>
                </w:r>
                <w:r>
                  <w:rPr>
                    <w:noProof/>
                    <w:webHidden/>
                  </w:rPr>
                  <w:fldChar w:fldCharType="end"/>
                </w:r>
              </w:hyperlink>
            </w:p>
            <w:p w14:paraId="79B3DB2B" w14:textId="6FAC5977" w:rsidR="00CE19AF" w:rsidRDefault="00CE19AF">
              <w:pPr>
                <w:pStyle w:val="TOC2"/>
                <w:tabs>
                  <w:tab w:val="right" w:leader="dot" w:pos="10070"/>
                </w:tabs>
                <w:rPr>
                  <w:rFonts w:asciiTheme="minorHAnsi" w:eastAsiaTheme="minorEastAsia" w:hAnsiTheme="minorHAnsi" w:cstheme="minorBidi"/>
                  <w:noProof/>
                  <w:lang w:bidi="ar-SA"/>
                </w:rPr>
              </w:pPr>
              <w:hyperlink w:anchor="_Toc113524019" w:history="1">
                <w:r w:rsidRPr="00312F00">
                  <w:rPr>
                    <w:rStyle w:val="Hyperlink"/>
                    <w:noProof/>
                  </w:rPr>
                  <w:t>Program Activities and Performance Outcomes</w:t>
                </w:r>
                <w:r>
                  <w:rPr>
                    <w:noProof/>
                    <w:webHidden/>
                  </w:rPr>
                  <w:tab/>
                </w:r>
                <w:r>
                  <w:rPr>
                    <w:noProof/>
                    <w:webHidden/>
                  </w:rPr>
                  <w:fldChar w:fldCharType="begin"/>
                </w:r>
                <w:r>
                  <w:rPr>
                    <w:noProof/>
                    <w:webHidden/>
                  </w:rPr>
                  <w:instrText xml:space="preserve"> PAGEREF _Toc113524019 \h </w:instrText>
                </w:r>
                <w:r>
                  <w:rPr>
                    <w:noProof/>
                    <w:webHidden/>
                  </w:rPr>
                </w:r>
                <w:r>
                  <w:rPr>
                    <w:noProof/>
                    <w:webHidden/>
                  </w:rPr>
                  <w:fldChar w:fldCharType="separate"/>
                </w:r>
                <w:r>
                  <w:rPr>
                    <w:noProof/>
                    <w:webHidden/>
                  </w:rPr>
                  <w:t>9</w:t>
                </w:r>
                <w:r>
                  <w:rPr>
                    <w:noProof/>
                    <w:webHidden/>
                  </w:rPr>
                  <w:fldChar w:fldCharType="end"/>
                </w:r>
              </w:hyperlink>
            </w:p>
            <w:p w14:paraId="364E026F" w14:textId="4A0EA2D0"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69C02E85" w14:textId="77777777" w:rsidR="00014777" w:rsidRDefault="00014777" w:rsidP="006B0D98">
          <w:pPr>
            <w:rPr>
              <w:rFonts w:eastAsiaTheme="majorEastAsia"/>
            </w:rPr>
          </w:pPr>
          <w:r>
            <w:br w:type="page"/>
          </w:r>
        </w:p>
        <w:p w14:paraId="0CC58820" w14:textId="638BBB50" w:rsidR="00E41BD2" w:rsidRPr="00BA23A4" w:rsidRDefault="00B61A38" w:rsidP="000261E8">
          <w:pPr>
            <w:pStyle w:val="Heading2"/>
          </w:pPr>
          <w:bookmarkStart w:id="4" w:name="_Toc113524010"/>
          <w:bookmarkEnd w:id="3"/>
          <w:r>
            <w:lastRenderedPageBreak/>
            <w:t>Career Pathways Pilot Project (CP3) Overview</w:t>
          </w:r>
          <w:bookmarkEnd w:id="4"/>
        </w:p>
        <w:p w14:paraId="1103E502" w14:textId="1A36CA6C" w:rsidR="005666F2" w:rsidRPr="0034728D" w:rsidRDefault="00B61A38" w:rsidP="0034728D">
          <w:r>
            <w:t>The</w:t>
          </w:r>
          <w:r w:rsidR="00CD1C0C">
            <w:t xml:space="preserve"> Career Pathways Pilot Project (</w:t>
          </w:r>
          <w:r>
            <w:t>CP3</w:t>
          </w:r>
          <w:r w:rsidR="00CD1C0C">
            <w:t>)</w:t>
          </w:r>
          <w:r>
            <w:t xml:space="preserve"> was developed with the support of PY</w:t>
          </w:r>
          <w:r w:rsidR="00CD1C0C">
            <w:t>20</w:t>
          </w:r>
          <w:r>
            <w:t>18 and PY</w:t>
          </w:r>
          <w:r w:rsidR="00CD1C0C">
            <w:t>20</w:t>
          </w:r>
          <w:r>
            <w:t xml:space="preserve">19 WIOA </w:t>
          </w:r>
          <w:r w:rsidR="00CD1C0C">
            <w:t>Y</w:t>
          </w:r>
          <w:r>
            <w:t xml:space="preserve">outh Governor’s Reserve Funds. </w:t>
          </w:r>
          <w:r w:rsidR="00CD1C0C">
            <w:t xml:space="preserve"> A total of </w:t>
          </w:r>
          <w:r>
            <w:t>$500,000</w:t>
          </w:r>
          <w:r w:rsidR="00CD1C0C">
            <w:t xml:space="preserve"> WIOA Youth Set-Aside funding</w:t>
          </w:r>
          <w:r>
            <w:t xml:space="preserve"> was allocated to support Local Workforce Development Boards (LWDBs) to develop and expand </w:t>
          </w:r>
          <w:r w:rsidR="00CD1C0C">
            <w:t>C</w:t>
          </w:r>
          <w:r>
            <w:t xml:space="preserve">areer </w:t>
          </w:r>
          <w:r w:rsidR="00CD1C0C">
            <w:t>P</w:t>
          </w:r>
          <w:r>
            <w:t xml:space="preserve">athways </w:t>
          </w:r>
          <w:r w:rsidR="00CD1C0C">
            <w:t>Sector engagement</w:t>
          </w:r>
          <w:r>
            <w:t>. The CP3 opportunity prioritized LWDBs that focused on</w:t>
          </w:r>
          <w:r w:rsidR="00CD1C0C">
            <w:t xml:space="preserve"> diverse</w:t>
          </w:r>
          <w:r>
            <w:t xml:space="preserve"> career pathways in </w:t>
          </w:r>
          <w:r w:rsidR="00CD1C0C">
            <w:t>Information Technology (IT)</w:t>
          </w:r>
          <w:r>
            <w:t xml:space="preserve">, manufacturing, and healthcare. </w:t>
          </w:r>
          <w:r w:rsidR="00CD1C0C">
            <w:t xml:space="preserve"> </w:t>
          </w:r>
          <w:r>
            <w:t xml:space="preserve">LWDBs applied for up to $250,000 with a </w:t>
          </w:r>
          <w:r w:rsidR="00A97E48">
            <w:t>one-year</w:t>
          </w:r>
          <w:r>
            <w:t xml:space="preserve"> grant period from July 1, </w:t>
          </w:r>
          <w:proofErr w:type="gramStart"/>
          <w:r w:rsidR="00A97E48">
            <w:t>2020</w:t>
          </w:r>
          <w:proofErr w:type="gramEnd"/>
          <w:r>
            <w:t xml:space="preserve"> to June 30, 2021. The State of Minnesota encouraged co-enrollment and</w:t>
          </w:r>
          <w:r w:rsidR="00CD1C0C">
            <w:t xml:space="preserve"> blending and</w:t>
          </w:r>
          <w:r>
            <w:t xml:space="preserve"> braiding of funds with </w:t>
          </w:r>
          <w:r w:rsidR="00A97E48">
            <w:t>Federal WIOA Youth as well as the State-funded Minnesota Youth Program</w:t>
          </w:r>
          <w:r w:rsidR="00CD1C0C">
            <w:t xml:space="preserve"> (MYP)</w:t>
          </w:r>
          <w:r w:rsidR="00A97E48">
            <w:t>. LWDBs were required to partner with at least one community-based organization, local education agency, and employer</w:t>
          </w:r>
          <w:r w:rsidR="00CD1C0C">
            <w:t xml:space="preserve"> willing to hire and engage youth.</w:t>
          </w:r>
          <w:r w:rsidR="00A97E48">
            <w:t xml:space="preserve"> </w:t>
          </w:r>
          <w:r w:rsidR="00CD1C0C">
            <w:t xml:space="preserve"> </w:t>
          </w:r>
          <w:r w:rsidR="00A97E48">
            <w:t>The age requirements of the CP3 project aligned with WIOA Youth</w:t>
          </w:r>
          <w:r w:rsidR="00CD1C0C">
            <w:t xml:space="preserve">: </w:t>
          </w:r>
          <w:r w:rsidR="00A97E48">
            <w:t>16–24-year-old</w:t>
          </w:r>
          <w:r w:rsidR="00CD1C0C">
            <w:t>s</w:t>
          </w:r>
          <w:r w:rsidR="00A97E48">
            <w:t xml:space="preserve"> who are underrepresented in </w:t>
          </w:r>
          <w:r w:rsidR="00CD1C0C">
            <w:t>Minnesota’s</w:t>
          </w:r>
          <w:r w:rsidR="00A97E48">
            <w:t xml:space="preserve"> workforce. </w:t>
          </w:r>
          <w:r w:rsidR="00CD1C0C">
            <w:t xml:space="preserve"> </w:t>
          </w:r>
          <w:r w:rsidR="00A97E48">
            <w:t xml:space="preserve">Funding priorities </w:t>
          </w:r>
          <w:r w:rsidR="00CD1C0C">
            <w:t xml:space="preserve">included </w:t>
          </w:r>
          <w:r w:rsidR="00A97E48">
            <w:t xml:space="preserve">LWDBs that </w:t>
          </w:r>
          <w:r w:rsidR="00CD1C0C">
            <w:t>serving</w:t>
          </w:r>
          <w:r w:rsidR="00A97E48">
            <w:t xml:space="preserve"> youth of color, youth with disabilities, young women, and young veterans. Lastly, LWDBs were required to provide paid work experiences and training opportunities that led to industry recognized credentials in </w:t>
          </w:r>
          <w:r w:rsidR="00CD1C0C">
            <w:t>Information Technology</w:t>
          </w:r>
          <w:r w:rsidR="00A97E48">
            <w:t>, manufacturing, and healthcare industries.</w:t>
          </w:r>
          <w:r w:rsidR="00B86D6F">
            <w:t xml:space="preserve"> </w:t>
          </w:r>
          <w:r w:rsidR="00CD1C0C">
            <w:t xml:space="preserve"> </w:t>
          </w:r>
          <w:r w:rsidR="005454F5">
            <w:t xml:space="preserve"> </w:t>
          </w:r>
        </w:p>
        <w:p w14:paraId="5D7525BD" w14:textId="04CE6244" w:rsidR="007F7097" w:rsidRPr="00E41BD2" w:rsidRDefault="00A97E48" w:rsidP="00B86D6F">
          <w:pPr>
            <w:pStyle w:val="Heading2"/>
          </w:pPr>
          <w:bookmarkStart w:id="5" w:name="_Toc113524011"/>
          <w:r>
            <w:t>COVID-19 Impact</w:t>
          </w:r>
          <w:bookmarkEnd w:id="5"/>
        </w:p>
        <w:p w14:paraId="3E2CAEB2" w14:textId="73C7F68B" w:rsidR="00A06A05" w:rsidRPr="00FD7A7E" w:rsidRDefault="00A97E48" w:rsidP="00A97E48">
          <w:r>
            <w:t xml:space="preserve">The </w:t>
          </w:r>
          <w:r w:rsidR="00B86D6F">
            <w:t xml:space="preserve">CP3 </w:t>
          </w:r>
          <w:r w:rsidR="00CD1C0C">
            <w:t>R</w:t>
          </w:r>
          <w:r w:rsidR="00B86D6F">
            <w:t xml:space="preserve">equest for </w:t>
          </w:r>
          <w:r w:rsidR="00CD1C0C">
            <w:t>Pr</w:t>
          </w:r>
          <w:r w:rsidR="00B86D6F">
            <w:t>oposals</w:t>
          </w:r>
          <w:r w:rsidR="00CD1C0C">
            <w:t xml:space="preserve"> (RFP)</w:t>
          </w:r>
          <w:r w:rsidR="00B86D6F">
            <w:t xml:space="preserve"> was released in February 2020</w:t>
          </w:r>
          <w:r w:rsidR="00CD1C0C">
            <w:t>,</w:t>
          </w:r>
          <w:r w:rsidR="00B86D6F">
            <w:t xml:space="preserve"> with </w:t>
          </w:r>
          <w:r w:rsidR="00CD1C0C">
            <w:t>proposals</w:t>
          </w:r>
          <w:r w:rsidR="00B86D6F">
            <w:t xml:space="preserve"> due at the end of March 2020. </w:t>
          </w:r>
          <w:r w:rsidR="00CD1C0C">
            <w:t xml:space="preserve"> </w:t>
          </w:r>
          <w:r w:rsidR="00B86D6F">
            <w:t xml:space="preserve">The release </w:t>
          </w:r>
          <w:r w:rsidR="00CD1C0C">
            <w:t>date</w:t>
          </w:r>
          <w:r w:rsidR="00B86D6F">
            <w:t xml:space="preserve"> of the RFP and the subsequent awarding of grants coincided directly with the onset of the COVID-19 pandemic. </w:t>
          </w:r>
          <w:r w:rsidR="00CD1C0C">
            <w:t xml:space="preserve"> </w:t>
          </w:r>
          <w:r w:rsidR="00B86D6F">
            <w:t>Shortly after awarding the</w:t>
          </w:r>
          <w:r w:rsidR="00CD1C0C">
            <w:t xml:space="preserve"> CP3</w:t>
          </w:r>
          <w:r w:rsidR="00B86D6F">
            <w:t xml:space="preserve"> grants</w:t>
          </w:r>
          <w:r w:rsidR="00CD1C0C">
            <w:t>,</w:t>
          </w:r>
          <w:r w:rsidR="00B86D6F">
            <w:t xml:space="preserve"> </w:t>
          </w:r>
          <w:r w:rsidR="00CD1C0C">
            <w:t>youth employment programs shifted</w:t>
          </w:r>
          <w:r w:rsidR="00CF78F7">
            <w:t xml:space="preserve"> to online</w:t>
          </w:r>
          <w:r w:rsidR="00CD1C0C">
            <w:t xml:space="preserve"> and virtual</w:t>
          </w:r>
          <w:r w:rsidR="00CF78F7">
            <w:t xml:space="preserve"> formats </w:t>
          </w:r>
          <w:r w:rsidR="00B86D6F">
            <w:t xml:space="preserve">given the various state and federal health-related restrictions. </w:t>
          </w:r>
          <w:r w:rsidR="00CD1C0C">
            <w:t xml:space="preserve"> T</w:t>
          </w:r>
          <w:r w:rsidR="00B86D6F">
            <w:t xml:space="preserve">he </w:t>
          </w:r>
          <w:r w:rsidR="00D44C86">
            <w:t>four</w:t>
          </w:r>
          <w:r w:rsidR="00B86D6F">
            <w:t xml:space="preserve"> </w:t>
          </w:r>
          <w:r w:rsidR="001F7AB6">
            <w:t>LWDBs</w:t>
          </w:r>
          <w:r w:rsidR="00B86D6F">
            <w:t xml:space="preserve"> </w:t>
          </w:r>
          <w:r w:rsidR="005454F5">
            <w:t xml:space="preserve">implementing CP3 projects </w:t>
          </w:r>
          <w:r w:rsidR="00B86D6F">
            <w:t xml:space="preserve">requested extensions on the grants </w:t>
          </w:r>
          <w:r w:rsidR="005454F5">
            <w:t>and</w:t>
          </w:r>
          <w:r w:rsidR="00754D16">
            <w:t xml:space="preserve"> </w:t>
          </w:r>
          <w:r w:rsidR="005454F5">
            <w:t xml:space="preserve">all </w:t>
          </w:r>
          <w:r w:rsidR="00754D16">
            <w:t>contracts were extended</w:t>
          </w:r>
          <w:r w:rsidR="005454F5">
            <w:t xml:space="preserve">.  </w:t>
          </w:r>
          <w:r w:rsidR="00754D16">
            <w:t xml:space="preserve"> </w:t>
          </w:r>
          <w:r w:rsidR="005454F5">
            <w:t>All CP3 funds were fully expended by</w:t>
          </w:r>
          <w:r w:rsidR="0016354C">
            <w:t xml:space="preserve"> June 30, 2022.</w:t>
          </w:r>
        </w:p>
        <w:p w14:paraId="5336B575" w14:textId="3D2FE68C" w:rsidR="00C365CE" w:rsidRDefault="00B86D6F" w:rsidP="00B86D6F">
          <w:pPr>
            <w:pStyle w:val="Heading2"/>
          </w:pPr>
          <w:bookmarkStart w:id="6" w:name="_Toc113524012"/>
          <w:r>
            <w:t>Allowable Activities and Expenditures</w:t>
          </w:r>
          <w:bookmarkEnd w:id="6"/>
        </w:p>
        <w:p w14:paraId="0E5755A6" w14:textId="77777777" w:rsidR="00B86D6F" w:rsidRPr="00F60643" w:rsidRDefault="00B86D6F" w:rsidP="00B86D6F">
          <w:pPr>
            <w:spacing w:after="0"/>
          </w:pPr>
          <w:r>
            <w:t>The following activities are allowable uses of funds under the CP3 program:</w:t>
          </w:r>
        </w:p>
        <w:p w14:paraId="477D7E4C" w14:textId="03128D0D" w:rsidR="00B86D6F" w:rsidRDefault="00B86D6F" w:rsidP="00B86D6F">
          <w:pPr>
            <w:pStyle w:val="ListParagraph"/>
            <w:numPr>
              <w:ilvl w:val="0"/>
              <w:numId w:val="28"/>
            </w:numPr>
            <w:spacing w:before="0" w:after="160" w:line="259" w:lineRule="auto"/>
          </w:pPr>
          <w:r>
            <w:t xml:space="preserve">Wages and/or stipends paid for participation in </w:t>
          </w:r>
          <w:r w:rsidR="005454F5">
            <w:t>paid</w:t>
          </w:r>
          <w:r>
            <w:t xml:space="preserve"> work </w:t>
          </w:r>
          <w:proofErr w:type="gramStart"/>
          <w:r>
            <w:t>experience;</w:t>
          </w:r>
          <w:proofErr w:type="gramEnd"/>
        </w:p>
        <w:p w14:paraId="3462FDE8" w14:textId="4BB7F8AE" w:rsidR="00B86D6F" w:rsidRDefault="00B86D6F" w:rsidP="00B86D6F">
          <w:pPr>
            <w:pStyle w:val="ListParagraph"/>
            <w:numPr>
              <w:ilvl w:val="0"/>
              <w:numId w:val="28"/>
            </w:numPr>
            <w:spacing w:before="0" w:after="160" w:line="259" w:lineRule="auto"/>
          </w:pPr>
          <w:r>
            <w:t xml:space="preserve">Staff time working to identify and develop </w:t>
          </w:r>
          <w:r w:rsidR="005454F5">
            <w:t>the</w:t>
          </w:r>
          <w:r>
            <w:t xml:space="preserve"> work experience opportunity, including staff time spen</w:t>
          </w:r>
          <w:r w:rsidR="005454F5">
            <w:t>t</w:t>
          </w:r>
          <w:r>
            <w:t xml:space="preserve"> working with employers to identify and develop the work experience</w:t>
          </w:r>
          <w:r w:rsidR="005454F5">
            <w:t xml:space="preserve">, including virtual work </w:t>
          </w:r>
          <w:proofErr w:type="gramStart"/>
          <w:r w:rsidR="005454F5">
            <w:t>experiences</w:t>
          </w:r>
          <w:r>
            <w:t>;</w:t>
          </w:r>
          <w:proofErr w:type="gramEnd"/>
        </w:p>
        <w:p w14:paraId="54B36E05" w14:textId="77777777" w:rsidR="00B86D6F" w:rsidRDefault="00B86D6F" w:rsidP="00B86D6F">
          <w:pPr>
            <w:pStyle w:val="ListParagraph"/>
            <w:numPr>
              <w:ilvl w:val="0"/>
              <w:numId w:val="28"/>
            </w:numPr>
            <w:spacing w:before="0" w:after="160" w:line="259" w:lineRule="auto"/>
          </w:pPr>
          <w:r>
            <w:t xml:space="preserve">Staff time recruiting youth for </w:t>
          </w:r>
          <w:proofErr w:type="gramStart"/>
          <w:r>
            <w:t>programming;</w:t>
          </w:r>
          <w:proofErr w:type="gramEnd"/>
        </w:p>
        <w:p w14:paraId="02908D43" w14:textId="77777777" w:rsidR="00B86D6F" w:rsidRDefault="00B86D6F" w:rsidP="00B86D6F">
          <w:pPr>
            <w:pStyle w:val="ListParagraph"/>
            <w:numPr>
              <w:ilvl w:val="0"/>
              <w:numId w:val="28"/>
            </w:numPr>
            <w:spacing w:before="0" w:after="160" w:line="259" w:lineRule="auto"/>
          </w:pPr>
          <w:r>
            <w:t xml:space="preserve">Staff time working with employers to ensure a successful work experience, including staff time spent managing the work </w:t>
          </w:r>
          <w:proofErr w:type="gramStart"/>
          <w:r>
            <w:t>experience;</w:t>
          </w:r>
          <w:proofErr w:type="gramEnd"/>
        </w:p>
        <w:p w14:paraId="7E87F5D7" w14:textId="77777777" w:rsidR="00B86D6F" w:rsidRDefault="00B86D6F" w:rsidP="00B86D6F">
          <w:pPr>
            <w:pStyle w:val="ListParagraph"/>
            <w:numPr>
              <w:ilvl w:val="0"/>
              <w:numId w:val="28"/>
            </w:numPr>
            <w:spacing w:before="0" w:after="160" w:line="259" w:lineRule="auto"/>
          </w:pPr>
          <w:r>
            <w:t xml:space="preserve">Staff time evaluating the work </w:t>
          </w:r>
          <w:proofErr w:type="gramStart"/>
          <w:r>
            <w:t>experience;</w:t>
          </w:r>
          <w:proofErr w:type="gramEnd"/>
        </w:p>
        <w:p w14:paraId="40EF2348" w14:textId="34F9C023" w:rsidR="00B86D6F" w:rsidRDefault="00B86D6F" w:rsidP="00B86D6F">
          <w:pPr>
            <w:pStyle w:val="ListParagraph"/>
            <w:numPr>
              <w:ilvl w:val="0"/>
              <w:numId w:val="28"/>
            </w:numPr>
            <w:spacing w:before="0" w:after="160" w:line="259" w:lineRule="auto"/>
          </w:pPr>
          <w:r>
            <w:t>Participant and employer</w:t>
          </w:r>
          <w:r w:rsidR="005454F5">
            <w:t xml:space="preserve"> (worksite supervisor)</w:t>
          </w:r>
          <w:r>
            <w:t xml:space="preserve"> work experience orientation </w:t>
          </w:r>
          <w:proofErr w:type="gramStart"/>
          <w:r>
            <w:t>sessions;</w:t>
          </w:r>
          <w:proofErr w:type="gramEnd"/>
        </w:p>
        <w:p w14:paraId="31295A66" w14:textId="314F924D" w:rsidR="00B86D6F" w:rsidRPr="00F60643" w:rsidRDefault="00B86D6F" w:rsidP="00B86D6F">
          <w:pPr>
            <w:pStyle w:val="ListParagraph"/>
            <w:numPr>
              <w:ilvl w:val="0"/>
              <w:numId w:val="28"/>
            </w:numPr>
            <w:spacing w:before="0" w:after="160" w:line="259" w:lineRule="auto"/>
            <w:rPr>
              <w:b/>
              <w:bCs/>
              <w:i/>
              <w:iCs/>
            </w:rPr>
          </w:pPr>
          <w:r>
            <w:t xml:space="preserve">Incentive payments directly tied to the successful completion of work experience or education/training. </w:t>
          </w:r>
          <w:r w:rsidRPr="00F60643">
            <w:rPr>
              <w:b/>
              <w:bCs/>
              <w:i/>
              <w:iCs/>
            </w:rPr>
            <w:t xml:space="preserve">Note: </w:t>
          </w:r>
          <w:r w:rsidR="005454F5">
            <w:rPr>
              <w:b/>
              <w:bCs/>
              <w:i/>
              <w:iCs/>
            </w:rPr>
            <w:t xml:space="preserve">LWBD’s </w:t>
          </w:r>
          <w:r w:rsidRPr="00F60643">
            <w:rPr>
              <w:b/>
              <w:bCs/>
              <w:i/>
              <w:iCs/>
            </w:rPr>
            <w:t>must have an incentive policy in place.</w:t>
          </w:r>
        </w:p>
        <w:p w14:paraId="1A7DBB59" w14:textId="77777777" w:rsidR="00B86D6F" w:rsidRDefault="00B86D6F" w:rsidP="00B86D6F">
          <w:pPr>
            <w:pStyle w:val="ListParagraph"/>
            <w:numPr>
              <w:ilvl w:val="0"/>
              <w:numId w:val="28"/>
            </w:numPr>
            <w:spacing w:before="0" w:after="160" w:line="259" w:lineRule="auto"/>
          </w:pPr>
          <w:r>
            <w:t xml:space="preserve">Employability skills and job readiness training to prepare youth for a work </w:t>
          </w:r>
          <w:proofErr w:type="gramStart"/>
          <w:r>
            <w:t>experience;</w:t>
          </w:r>
          <w:proofErr w:type="gramEnd"/>
        </w:p>
        <w:p w14:paraId="6488F2F6" w14:textId="77777777" w:rsidR="00B86D6F" w:rsidRDefault="00B86D6F" w:rsidP="00B86D6F">
          <w:pPr>
            <w:pStyle w:val="ListParagraph"/>
            <w:numPr>
              <w:ilvl w:val="0"/>
              <w:numId w:val="28"/>
            </w:numPr>
            <w:spacing w:before="0" w:after="160" w:line="259" w:lineRule="auto"/>
          </w:pPr>
          <w:r>
            <w:lastRenderedPageBreak/>
            <w:t xml:space="preserve">Supportive services such as gas cards or equipment needed for work </w:t>
          </w:r>
          <w:proofErr w:type="gramStart"/>
          <w:r>
            <w:t>experience;</w:t>
          </w:r>
          <w:proofErr w:type="gramEnd"/>
        </w:p>
        <w:p w14:paraId="74DDB8F5" w14:textId="77777777" w:rsidR="00B86D6F" w:rsidRDefault="00B86D6F" w:rsidP="00B86D6F">
          <w:pPr>
            <w:pStyle w:val="ListParagraph"/>
            <w:numPr>
              <w:ilvl w:val="0"/>
              <w:numId w:val="28"/>
            </w:numPr>
            <w:spacing w:before="0" w:after="160" w:line="259" w:lineRule="auto"/>
          </w:pPr>
          <w:r>
            <w:t xml:space="preserve">Virtual trainings through platforms like Coursera are allowed during the COVID-19 </w:t>
          </w:r>
          <w:proofErr w:type="gramStart"/>
          <w:r>
            <w:t>pandemic;</w:t>
          </w:r>
          <w:proofErr w:type="gramEnd"/>
        </w:p>
        <w:p w14:paraId="2B92555C" w14:textId="1774DD0A" w:rsidR="00B86D6F" w:rsidRDefault="00B86D6F" w:rsidP="00B86D6F">
          <w:pPr>
            <w:pStyle w:val="ListParagraph"/>
            <w:numPr>
              <w:ilvl w:val="0"/>
              <w:numId w:val="28"/>
            </w:numPr>
            <w:spacing w:before="0" w:after="160" w:line="259" w:lineRule="auto"/>
          </w:pPr>
          <w:r>
            <w:t>Activities provided in accordance with the 14 WIOA Youth Program elements.</w:t>
          </w:r>
        </w:p>
        <w:p w14:paraId="5ADA6E6C" w14:textId="77777777" w:rsidR="00B86D6F" w:rsidRDefault="00B86D6F" w:rsidP="00B86D6F">
          <w:pPr>
            <w:spacing w:before="0" w:after="160" w:line="259" w:lineRule="auto"/>
          </w:pPr>
          <w:r>
            <w:t xml:space="preserve">WIOA Youth policies apply to the CP3 project. These policies can be found here: </w:t>
          </w:r>
          <w:hyperlink r:id="rId15" w:history="1">
            <w:r w:rsidRPr="006F2098">
              <w:rPr>
                <w:rStyle w:val="Hyperlink"/>
              </w:rPr>
              <w:t>https://mn.gov/deed/programs-services/office-youth-development/youth-programs/wioa-youth.jsp</w:t>
            </w:r>
          </w:hyperlink>
          <w:r>
            <w:t>.</w:t>
          </w:r>
        </w:p>
        <w:p w14:paraId="61B7A493" w14:textId="77777777" w:rsidR="00B86D6F" w:rsidRDefault="00B86D6F" w:rsidP="00B86D6F">
          <w:pPr>
            <w:pStyle w:val="Heading2"/>
          </w:pPr>
          <w:bookmarkStart w:id="7" w:name="_Toc113524013"/>
          <w:r>
            <w:t>Project Descriptions and Success Stories</w:t>
          </w:r>
          <w:bookmarkEnd w:id="7"/>
        </w:p>
        <w:p w14:paraId="6D6452E1" w14:textId="5BF1016C" w:rsidR="00CF78F7" w:rsidRPr="002F1587" w:rsidRDefault="00AD57FB" w:rsidP="00CF78F7">
          <w:pPr>
            <w:spacing w:line="240" w:lineRule="auto"/>
          </w:pPr>
          <w:r w:rsidRPr="0016354C">
            <w:rPr>
              <w:b/>
              <w:bCs/>
              <w:i/>
              <w:iCs/>
            </w:rPr>
            <w:t xml:space="preserve">Southwest Private Industry Council (Marshal, MN) and </w:t>
          </w:r>
          <w:r w:rsidR="00CF78F7" w:rsidRPr="0016354C">
            <w:rPr>
              <w:b/>
              <w:bCs/>
              <w:i/>
              <w:iCs/>
            </w:rPr>
            <w:t>Minnesota Valley Action Council/South Central Workforce Council (Mankato</w:t>
          </w:r>
          <w:r w:rsidRPr="0016354C">
            <w:rPr>
              <w:b/>
              <w:bCs/>
              <w:i/>
              <w:iCs/>
            </w:rPr>
            <w:t>, MN</w:t>
          </w:r>
          <w:r w:rsidR="00CF78F7" w:rsidRPr="0016354C">
            <w:rPr>
              <w:b/>
              <w:bCs/>
              <w:i/>
              <w:iCs/>
            </w:rPr>
            <w:t>), $250,000</w:t>
          </w:r>
          <w:r w:rsidR="00CF78F7" w:rsidRPr="0016354C">
            <w:t xml:space="preserve"> - The Minnesota Region 5</w:t>
          </w:r>
          <w:r w:rsidR="00792D2F" w:rsidRPr="0016354C">
            <w:t xml:space="preserve"> LWDB</w:t>
          </w:r>
          <w:r w:rsidR="00CF78F7" w:rsidRPr="0016354C">
            <w:t xml:space="preserve"> CP3 project help</w:t>
          </w:r>
          <w:r w:rsidR="00754D16" w:rsidRPr="0016354C">
            <w:t>ed</w:t>
          </w:r>
          <w:r w:rsidR="00CF78F7" w:rsidRPr="0016354C">
            <w:t xml:space="preserve"> eliminate the barriers contributing to economic disparities by supporting youth to 1) complete their high school education, or equivalent 2) provide work readiness skills training to prepare youth for the world of work 3) provide rich labor market information on high-growth, in-demand occupations so youth are aware of real, local career opportunities, and 4) provide hands on learning through training, work experience and career counseling services to help youth identify career goals and the career pathway to that career.  </w:t>
          </w:r>
          <w:r w:rsidR="00584E4A" w:rsidRPr="0016354C">
            <w:t xml:space="preserve">This unique culturally appropriate project served youth from the Lower Sioux Indian Community and local school districts with higher concentrations of youth of color. </w:t>
          </w:r>
          <w:r w:rsidR="00CF78F7" w:rsidRPr="0016354C">
            <w:t>The project provides youth high quality training leading to industry recognized credentials in healthcare, manufacturing, information technology and construction with hands-on work experience opportunities.  Local contact:</w:t>
          </w:r>
          <w:r w:rsidR="002F1587">
            <w:t xml:space="preserve"> South Central WDA Director</w:t>
          </w:r>
          <w:r w:rsidR="00CF78F7" w:rsidRPr="0016354C">
            <w:t xml:space="preserve"> Heather Gleason, </w:t>
          </w:r>
          <w:hyperlink r:id="rId16" w:history="1">
            <w:r w:rsidRPr="0016354C">
              <w:rPr>
                <w:rStyle w:val="Hyperlink"/>
              </w:rPr>
              <w:t>hgleason@workforcecouncil.org</w:t>
            </w:r>
          </w:hyperlink>
          <w:r w:rsidR="002F1587">
            <w:rPr>
              <w:rStyle w:val="Hyperlink"/>
              <w:color w:val="auto"/>
              <w:u w:val="none"/>
            </w:rPr>
            <w:t xml:space="preserve"> and Southwest WDA Director Carrie Bendix, </w:t>
          </w:r>
          <w:hyperlink r:id="rId17" w:history="1">
            <w:r w:rsidR="002F1587" w:rsidRPr="006E48E7">
              <w:rPr>
                <w:rStyle w:val="Hyperlink"/>
              </w:rPr>
              <w:t>cbendix@swmnpic.org</w:t>
            </w:r>
          </w:hyperlink>
          <w:r w:rsidR="002F1587">
            <w:rPr>
              <w:rStyle w:val="Hyperlink"/>
              <w:color w:val="auto"/>
              <w:u w:val="none"/>
            </w:rPr>
            <w:t xml:space="preserve">. </w:t>
          </w:r>
        </w:p>
        <w:p w14:paraId="7CF94DD1" w14:textId="1D4E015F" w:rsidR="00CF78F7" w:rsidRDefault="00CF78F7" w:rsidP="00CF78F7">
          <w:pPr>
            <w:spacing w:line="240" w:lineRule="auto"/>
            <w:rPr>
              <w:b/>
              <w:bCs/>
              <w:sz w:val="24"/>
              <w:szCs w:val="24"/>
            </w:rPr>
          </w:pPr>
          <w:r w:rsidRPr="0016354C">
            <w:rPr>
              <w:b/>
              <w:bCs/>
            </w:rPr>
            <w:t>Success Story:</w:t>
          </w:r>
          <w:r>
            <w:rPr>
              <w:b/>
              <w:bCs/>
              <w:sz w:val="24"/>
              <w:szCs w:val="24"/>
            </w:rPr>
            <w:t xml:space="preserve"> </w:t>
          </w:r>
        </w:p>
        <w:p w14:paraId="1AD2FA15" w14:textId="5E1D1B05" w:rsidR="005C0681" w:rsidRPr="00EE317A" w:rsidRDefault="00CF78F7" w:rsidP="002F1587">
          <w:pPr>
            <w:spacing w:after="0"/>
            <w:ind w:left="720"/>
            <w:rPr>
              <w:i/>
              <w:iCs/>
            </w:rPr>
          </w:pPr>
          <w:r w:rsidRPr="00EE317A">
            <w:rPr>
              <w:i/>
              <w:iCs/>
            </w:rPr>
            <w:t xml:space="preserve">Leaders of the Lower Sioux Indian Community (LSIC) identified several needs for their community. These included a lack of career skills for young adult community members who were not in school as well as deteriorating infrastructure within the Community. Leaders partnered with the Southwest Minnesota Private Industry Council (PIC) and Minnesota West Community and Technical College to provide an opportunity for their members to gain career skills and industry recognized credentials. The </w:t>
          </w:r>
          <w:proofErr w:type="spellStart"/>
          <w:r w:rsidRPr="00EE317A">
            <w:rPr>
              <w:i/>
              <w:iCs/>
            </w:rPr>
            <w:t>Cankuya</w:t>
          </w:r>
          <w:proofErr w:type="spellEnd"/>
          <w:r w:rsidRPr="00EE317A">
            <w:rPr>
              <w:i/>
              <w:iCs/>
            </w:rPr>
            <w:t xml:space="preserve"> (Pathways) Program was developed. In partnership, the programs were designed in cooperation with LSIC rather than for their members. Construction projects within the community were selected to master the curriculum and support the improvement of the Community including sheds and patios for their elders. The LSIC has been awarded a HUD grant in which the goal is to build 10 green homes in the Community. Beginning in October of 2020, </w:t>
          </w:r>
          <w:r>
            <w:rPr>
              <w:i/>
              <w:iCs/>
            </w:rPr>
            <w:t>nine</w:t>
          </w:r>
          <w:r w:rsidRPr="00EE317A">
            <w:rPr>
              <w:i/>
              <w:iCs/>
            </w:rPr>
            <w:t xml:space="preserve"> students fully participated in the education program at the Lower Sioux Community and successfully received a Carpentry Certificate (19 college credits) from Minnesota West Community and Technical College. </w:t>
          </w:r>
          <w:r>
            <w:rPr>
              <w:i/>
              <w:iCs/>
            </w:rPr>
            <w:t>Seven</w:t>
          </w:r>
          <w:r w:rsidRPr="00EE317A">
            <w:rPr>
              <w:i/>
              <w:iCs/>
            </w:rPr>
            <w:t xml:space="preserve"> students graduated with the Carpentry Certificate from Minnesota West Community and Technical College. This project went so well, a Plumbing program is </w:t>
          </w:r>
          <w:r w:rsidR="005454F5">
            <w:rPr>
              <w:i/>
              <w:iCs/>
            </w:rPr>
            <w:t>now</w:t>
          </w:r>
          <w:r w:rsidRPr="00EE317A">
            <w:rPr>
              <w:i/>
              <w:iCs/>
            </w:rPr>
            <w:t xml:space="preserve"> offered. </w:t>
          </w:r>
          <w:r w:rsidR="006169E3">
            <w:rPr>
              <w:i/>
              <w:iCs/>
            </w:rPr>
            <w:br/>
          </w:r>
        </w:p>
        <w:p w14:paraId="3FBB7BA8" w14:textId="4ED0248D" w:rsidR="0016354C" w:rsidRDefault="00CF78F7" w:rsidP="00CF78F7">
          <w:pPr>
            <w:pStyle w:val="NoSpacing"/>
            <w:rPr>
              <w:lang w:bidi="en-US"/>
            </w:rPr>
          </w:pPr>
          <w:r w:rsidRPr="0515EBCB">
            <w:rPr>
              <w:b/>
              <w:bCs/>
              <w:i/>
              <w:iCs/>
            </w:rPr>
            <w:t>Workforce Development, Inc. (Rochester), $190,000</w:t>
          </w:r>
          <w:r w:rsidRPr="0515EBCB">
            <w:rPr>
              <w:i/>
              <w:iCs/>
            </w:rPr>
            <w:t xml:space="preserve"> -</w:t>
          </w:r>
          <w:r>
            <w:t xml:space="preserve"> Youth in Southeast Minnesota receive</w:t>
          </w:r>
          <w:r w:rsidR="00754D16">
            <w:t>d</w:t>
          </w:r>
          <w:r>
            <w:t xml:space="preserve"> intensive, work-based learning experiences from Workforce Development, Inc. through pre-and concurrent work experience skills training, mentoring, partnerships with a wide array of community partners and access to career pathways programming. Those </w:t>
          </w:r>
          <w:r w:rsidR="00754D16">
            <w:t xml:space="preserve">who were </w:t>
          </w:r>
          <w:r>
            <w:t xml:space="preserve">enrolled in the Southeast Minnesota CP3 program </w:t>
          </w:r>
          <w:r w:rsidR="00754D16">
            <w:t>are prepared for a</w:t>
          </w:r>
          <w:r>
            <w:t xml:space="preserve"> stronger future for themselves and their families. Strategies for implementation include</w:t>
          </w:r>
          <w:r w:rsidR="00754D16">
            <w:t>d</w:t>
          </w:r>
          <w:r>
            <w:t xml:space="preserve">: educating community partners </w:t>
          </w:r>
          <w:r>
            <w:lastRenderedPageBreak/>
            <w:t>and education entities about the program; Employer Outreach Specialists connecting with area employers; partnering with educators to develop a core essential skills curriculum; recruiting participants with the support of education entities and local community organizations through word of mouth and current customers; and hosting job club discussions to connect youth with others with similar work experiences.  Local contact:</w:t>
          </w:r>
          <w:r w:rsidR="002F1587">
            <w:t xml:space="preserve"> WDA Director Jinny Rietmann, </w:t>
          </w:r>
          <w:hyperlink r:id="rId18" w:history="1">
            <w:r w:rsidR="002F1587" w:rsidRPr="006E48E7">
              <w:rPr>
                <w:rStyle w:val="Hyperlink"/>
              </w:rPr>
              <w:t>jrietmann@wdimn.org</w:t>
            </w:r>
          </w:hyperlink>
          <w:r w:rsidR="002F1587">
            <w:t xml:space="preserve">. </w:t>
          </w:r>
        </w:p>
        <w:p w14:paraId="66666B1B" w14:textId="77777777" w:rsidR="005454F5" w:rsidRDefault="005454F5" w:rsidP="00CF78F7">
          <w:pPr>
            <w:pStyle w:val="NoSpacing"/>
            <w:rPr>
              <w:b/>
              <w:bCs/>
            </w:rPr>
          </w:pPr>
        </w:p>
        <w:p w14:paraId="3AAC90EE" w14:textId="1A801BE9" w:rsidR="00CF78F7" w:rsidRPr="0016354C" w:rsidRDefault="00CF78F7" w:rsidP="00CF78F7">
          <w:pPr>
            <w:pStyle w:val="NoSpacing"/>
            <w:rPr>
              <w:b/>
              <w:bCs/>
            </w:rPr>
          </w:pPr>
          <w:r w:rsidRPr="0016354C">
            <w:rPr>
              <w:b/>
              <w:bCs/>
            </w:rPr>
            <w:t>Success Story:</w:t>
          </w:r>
        </w:p>
        <w:p w14:paraId="42AE3129" w14:textId="77777777" w:rsidR="00CF78F7" w:rsidRDefault="00CF78F7" w:rsidP="00CF78F7">
          <w:pPr>
            <w:ind w:left="720"/>
            <w:rPr>
              <w:i/>
              <w:iCs/>
            </w:rPr>
          </w:pPr>
          <w:proofErr w:type="spellStart"/>
          <w:r w:rsidRPr="00C86AD2">
            <w:rPr>
              <w:i/>
              <w:iCs/>
            </w:rPr>
            <w:t>Autasha</w:t>
          </w:r>
          <w:proofErr w:type="spellEnd"/>
          <w:r w:rsidRPr="00C86AD2">
            <w:rPr>
              <w:i/>
              <w:iCs/>
            </w:rPr>
            <w:t xml:space="preserve"> began working with WDI she had an 11th grade education and never finished high school. WDI connected her with Hawthorne Adult Education </w:t>
          </w:r>
          <w:proofErr w:type="gramStart"/>
          <w:r w:rsidRPr="00C86AD2">
            <w:rPr>
              <w:i/>
              <w:iCs/>
            </w:rPr>
            <w:t>in order to</w:t>
          </w:r>
          <w:proofErr w:type="gramEnd"/>
          <w:r w:rsidRPr="00C86AD2">
            <w:rPr>
              <w:i/>
              <w:iCs/>
            </w:rPr>
            <w:t xml:space="preserve"> pursue her GED and was able to pay for </w:t>
          </w:r>
          <w:proofErr w:type="spellStart"/>
          <w:r w:rsidRPr="00C86AD2">
            <w:rPr>
              <w:i/>
              <w:iCs/>
            </w:rPr>
            <w:t>Autasha’s</w:t>
          </w:r>
          <w:proofErr w:type="spellEnd"/>
          <w:r w:rsidRPr="00C86AD2">
            <w:rPr>
              <w:i/>
              <w:iCs/>
            </w:rPr>
            <w:t xml:space="preserve"> GED tests. After she earned her GED, WDI worked with </w:t>
          </w:r>
          <w:proofErr w:type="spellStart"/>
          <w:r w:rsidRPr="00C86AD2">
            <w:rPr>
              <w:i/>
              <w:iCs/>
            </w:rPr>
            <w:t>Autasha</w:t>
          </w:r>
          <w:proofErr w:type="spellEnd"/>
          <w:r w:rsidRPr="00C86AD2">
            <w:rPr>
              <w:i/>
              <w:iCs/>
            </w:rPr>
            <w:t xml:space="preserve"> to help her explore her interest in the human services field. No one in her family has ever gone to college, so her youth career planner helped her transition into post-secondary by getting her signed up to take college prep classes at Hawthorne, assisted her with the FAFSA &amp; applying to RCTC, and setting up meetings with the social work program advisor at RCTC.</w:t>
          </w:r>
          <w:r>
            <w:rPr>
              <w:i/>
              <w:iCs/>
            </w:rPr>
            <w:t xml:space="preserve"> </w:t>
          </w:r>
          <w:proofErr w:type="spellStart"/>
          <w:r w:rsidRPr="00C86AD2">
            <w:rPr>
              <w:i/>
              <w:iCs/>
            </w:rPr>
            <w:t>Autasha</w:t>
          </w:r>
          <w:proofErr w:type="spellEnd"/>
          <w:r w:rsidRPr="00C86AD2">
            <w:rPr>
              <w:i/>
              <w:iCs/>
            </w:rPr>
            <w:t xml:space="preserve"> began taking classes for the social work transfer pathway at RCTC part</w:t>
          </w:r>
          <w:r>
            <w:rPr>
              <w:i/>
              <w:iCs/>
            </w:rPr>
            <w:t>-</w:t>
          </w:r>
          <w:r w:rsidRPr="00C86AD2">
            <w:rPr>
              <w:i/>
              <w:iCs/>
            </w:rPr>
            <w:t xml:space="preserve">time </w:t>
          </w:r>
          <w:proofErr w:type="gramStart"/>
          <w:r w:rsidRPr="00C86AD2">
            <w:rPr>
              <w:i/>
              <w:iCs/>
            </w:rPr>
            <w:t>and also</w:t>
          </w:r>
          <w:proofErr w:type="gramEnd"/>
          <w:r w:rsidRPr="00C86AD2">
            <w:rPr>
              <w:i/>
              <w:iCs/>
            </w:rPr>
            <w:t xml:space="preserve"> started a new job as a direct support professional in order to help support herself while she was in school. </w:t>
          </w:r>
          <w:proofErr w:type="spellStart"/>
          <w:r w:rsidRPr="00C86AD2">
            <w:rPr>
              <w:i/>
              <w:iCs/>
            </w:rPr>
            <w:t>Autasha</w:t>
          </w:r>
          <w:proofErr w:type="spellEnd"/>
          <w:r w:rsidRPr="00C86AD2">
            <w:rPr>
              <w:i/>
              <w:iCs/>
            </w:rPr>
            <w:t xml:space="preserve"> was recently promoted to a lead direct support professional</w:t>
          </w:r>
          <w:r>
            <w:rPr>
              <w:i/>
              <w:iCs/>
            </w:rPr>
            <w:t xml:space="preserve"> </w:t>
          </w:r>
          <w:r w:rsidRPr="00C86AD2">
            <w:rPr>
              <w:i/>
              <w:iCs/>
            </w:rPr>
            <w:t>and has paused on her classes due to Covid-19. She is currently working full time plans to return to school part</w:t>
          </w:r>
          <w:r>
            <w:rPr>
              <w:i/>
              <w:iCs/>
            </w:rPr>
            <w:t>-</w:t>
          </w:r>
          <w:r w:rsidRPr="00C86AD2">
            <w:rPr>
              <w:i/>
              <w:iCs/>
            </w:rPr>
            <w:t>time in the fall of 2021 to continue her goal of earning her college degree.</w:t>
          </w:r>
        </w:p>
        <w:p w14:paraId="0ECA2E63" w14:textId="38FA3946" w:rsidR="00CF78F7" w:rsidRPr="0016354C" w:rsidRDefault="00CF78F7" w:rsidP="00CF78F7">
          <w:pPr>
            <w:spacing w:line="240" w:lineRule="auto"/>
          </w:pPr>
          <w:r w:rsidRPr="0016354C">
            <w:rPr>
              <w:b/>
              <w:bCs/>
              <w:i/>
              <w:iCs/>
            </w:rPr>
            <w:t xml:space="preserve">Central Minnesota Jobs and Training Services (Monticello), $60,000 </w:t>
          </w:r>
          <w:r w:rsidRPr="0016354C">
            <w:t xml:space="preserve">- </w:t>
          </w:r>
          <w:r w:rsidR="00754D16" w:rsidRPr="0016354C">
            <w:t>A</w:t>
          </w:r>
          <w:r w:rsidRPr="0016354C">
            <w:t>ddress</w:t>
          </w:r>
          <w:r w:rsidR="00754D16" w:rsidRPr="0016354C">
            <w:t>es</w:t>
          </w:r>
          <w:r w:rsidRPr="0016354C">
            <w:t xml:space="preserve"> economic disparities and higher unemployment rates experienced by youth with disabilities, youth of color, young women, and young veterans within Economic Development Region 7E (Chisago, Isanti, Kanabec, Mille Lacs, and Pine counties)</w:t>
          </w:r>
          <w:r w:rsidR="00754D16" w:rsidRPr="0016354C">
            <w:t>.</w:t>
          </w:r>
          <w:r w:rsidRPr="0016354C">
            <w:t xml:space="preserve"> Central Minnesota Jobs and Training Services, Inc. will provide the Central Minnesota Career Pathways Pilot Program (CM CP3). Starting with assessment and career pathway awareness, this program collaborate</w:t>
          </w:r>
          <w:r w:rsidR="00754D16" w:rsidRPr="0016354C">
            <w:t>d</w:t>
          </w:r>
          <w:r w:rsidRPr="0016354C">
            <w:t xml:space="preserve"> with local employers and education entities to combine work-based learning with classroom training and stackable credentials. The project focus</w:t>
          </w:r>
          <w:r w:rsidR="00754D16" w:rsidRPr="0016354C">
            <w:t>ed</w:t>
          </w:r>
          <w:r w:rsidRPr="0016354C">
            <w:t xml:space="preserve"> on careers in manufacturing, </w:t>
          </w:r>
          <w:proofErr w:type="gramStart"/>
          <w:r w:rsidRPr="0016354C">
            <w:t>healthcare</w:t>
          </w:r>
          <w:proofErr w:type="gramEnd"/>
          <w:r w:rsidRPr="0016354C">
            <w:t xml:space="preserve"> and information technology. Community organizations </w:t>
          </w:r>
          <w:r w:rsidR="00754D16" w:rsidRPr="0016354C">
            <w:t>were</w:t>
          </w:r>
          <w:r w:rsidRPr="0016354C">
            <w:t xml:space="preserve"> engaged to help meet the support service needs of participants.  Local contact: </w:t>
          </w:r>
          <w:r w:rsidR="005454F5">
            <w:t xml:space="preserve"> </w:t>
          </w:r>
          <w:r w:rsidR="002F1587">
            <w:t xml:space="preserve">WDA Director Barbara Chaffee, </w:t>
          </w:r>
          <w:hyperlink r:id="rId19" w:history="1">
            <w:r w:rsidR="002F1587" w:rsidRPr="006E48E7">
              <w:rPr>
                <w:rStyle w:val="Hyperlink"/>
              </w:rPr>
              <w:t>bchaffee@cmjts.org</w:t>
            </w:r>
          </w:hyperlink>
          <w:r w:rsidR="002F1587">
            <w:t xml:space="preserve"> and </w:t>
          </w:r>
          <w:r w:rsidRPr="0016354C">
            <w:t xml:space="preserve">Diana Ristamaki, </w:t>
          </w:r>
          <w:hyperlink r:id="rId20" w:history="1">
            <w:r w:rsidRPr="0016354C">
              <w:rPr>
                <w:rStyle w:val="Hyperlink"/>
                <w:rFonts w:eastAsiaTheme="majorEastAsia"/>
              </w:rPr>
              <w:t>dristamaki@cmjts.org</w:t>
            </w:r>
          </w:hyperlink>
        </w:p>
        <w:p w14:paraId="795074C3" w14:textId="389DBB4D" w:rsidR="00B86D6F" w:rsidRPr="0016354C" w:rsidRDefault="00CF78F7" w:rsidP="00B86D6F">
          <w:pPr>
            <w:rPr>
              <w:b/>
              <w:bCs/>
            </w:rPr>
          </w:pPr>
          <w:r w:rsidRPr="0016354C">
            <w:rPr>
              <w:b/>
              <w:bCs/>
            </w:rPr>
            <w:t>Success Story:</w:t>
          </w:r>
        </w:p>
        <w:p w14:paraId="7D58EA77" w14:textId="371F6DA5" w:rsidR="00CF78F7" w:rsidRDefault="00CF78F7" w:rsidP="00CF78F7">
          <w:pPr>
            <w:ind w:left="720"/>
            <w:rPr>
              <w:i/>
              <w:iCs/>
            </w:rPr>
          </w:pPr>
          <w:proofErr w:type="spellStart"/>
          <w:r w:rsidRPr="007937BD">
            <w:rPr>
              <w:i/>
              <w:iCs/>
            </w:rPr>
            <w:t>Tomisz</w:t>
          </w:r>
          <w:proofErr w:type="spellEnd"/>
          <w:r w:rsidRPr="007937BD">
            <w:rPr>
              <w:i/>
              <w:iCs/>
            </w:rPr>
            <w:t xml:space="preserve"> began working with Youth Employment Specialist Mel in April 2020, while he was a junior at Hutchinson High School.  Over the course of the following 8 months, </w:t>
          </w:r>
          <w:proofErr w:type="spellStart"/>
          <w:r w:rsidRPr="007937BD">
            <w:rPr>
              <w:i/>
              <w:iCs/>
            </w:rPr>
            <w:t>Tomisz</w:t>
          </w:r>
          <w:proofErr w:type="spellEnd"/>
          <w:r w:rsidRPr="007937BD">
            <w:rPr>
              <w:i/>
              <w:iCs/>
            </w:rPr>
            <w:t xml:space="preserve"> and Mel met virtually over Zoom to work on various workplace readiness topics.</w:t>
          </w:r>
          <w:r>
            <w:rPr>
              <w:i/>
              <w:iCs/>
            </w:rPr>
            <w:t xml:space="preserve"> </w:t>
          </w:r>
          <w:r w:rsidRPr="007937BD">
            <w:rPr>
              <w:i/>
              <w:iCs/>
            </w:rPr>
            <w:t xml:space="preserve">Through this career exploration, </w:t>
          </w:r>
          <w:proofErr w:type="spellStart"/>
          <w:r w:rsidRPr="007937BD">
            <w:rPr>
              <w:i/>
              <w:iCs/>
            </w:rPr>
            <w:t>Tomisz</w:t>
          </w:r>
          <w:proofErr w:type="spellEnd"/>
          <w:r w:rsidRPr="007937BD">
            <w:rPr>
              <w:i/>
              <w:iCs/>
            </w:rPr>
            <w:t xml:space="preserve"> narrowed down his career interests to automotive repair and computer programming</w:t>
          </w:r>
          <w:r>
            <w:rPr>
              <w:i/>
              <w:iCs/>
            </w:rPr>
            <w:t>.</w:t>
          </w:r>
          <w:r w:rsidRPr="007937BD">
            <w:rPr>
              <w:i/>
              <w:iCs/>
            </w:rPr>
            <w:t xml:space="preserve"> In November 2020, he enrolled with Youth Employment Specialist Mel in several programs provided by CMJTS, (WIOA ISY, MYP, Y</w:t>
          </w:r>
          <w:r>
            <w:rPr>
              <w:i/>
              <w:iCs/>
            </w:rPr>
            <w:t xml:space="preserve">outh at </w:t>
          </w:r>
          <w:r w:rsidRPr="007937BD">
            <w:rPr>
              <w:i/>
              <w:iCs/>
            </w:rPr>
            <w:t>W</w:t>
          </w:r>
          <w:r>
            <w:rPr>
              <w:i/>
              <w:iCs/>
            </w:rPr>
            <w:t>ork</w:t>
          </w:r>
          <w:r w:rsidRPr="007937BD">
            <w:rPr>
              <w:i/>
              <w:iCs/>
            </w:rPr>
            <w:t xml:space="preserve">, and CP3) and in December 2020, began a paid Work Experience Placement at Car Shop, Inc. in Hutchinson.  Not only did </w:t>
          </w:r>
          <w:proofErr w:type="spellStart"/>
          <w:r w:rsidRPr="007937BD">
            <w:rPr>
              <w:i/>
              <w:iCs/>
            </w:rPr>
            <w:t>Tomisz</w:t>
          </w:r>
          <w:proofErr w:type="spellEnd"/>
          <w:r w:rsidRPr="007937BD">
            <w:rPr>
              <w:i/>
              <w:iCs/>
            </w:rPr>
            <w:t xml:space="preserve"> gain hands-on experience in the automotive repair career field, </w:t>
          </w:r>
          <w:proofErr w:type="gramStart"/>
          <w:r w:rsidRPr="007937BD">
            <w:rPr>
              <w:i/>
              <w:iCs/>
            </w:rPr>
            <w:t>he</w:t>
          </w:r>
          <w:proofErr w:type="gramEnd"/>
          <w:r w:rsidRPr="007937BD">
            <w:rPr>
              <w:i/>
              <w:iCs/>
            </w:rPr>
            <w:t xml:space="preserve"> also earned </w:t>
          </w:r>
          <w:r>
            <w:rPr>
              <w:i/>
              <w:iCs/>
            </w:rPr>
            <w:t>academic</w:t>
          </w:r>
          <w:r w:rsidRPr="007937BD">
            <w:rPr>
              <w:i/>
              <w:iCs/>
            </w:rPr>
            <w:t xml:space="preserve"> credits for his employment there. </w:t>
          </w:r>
          <w:proofErr w:type="spellStart"/>
          <w:r w:rsidRPr="007937BD">
            <w:rPr>
              <w:i/>
              <w:iCs/>
            </w:rPr>
            <w:t>Tomisz</w:t>
          </w:r>
          <w:proofErr w:type="spellEnd"/>
          <w:r w:rsidRPr="007937BD">
            <w:rPr>
              <w:i/>
              <w:iCs/>
            </w:rPr>
            <w:t xml:space="preserve"> successfully completed his Work Experience Placement at Car Shop, Inc. in May 2021 and although he loved the experience and the opportunity, he decided that the automotive repair industry isn’t where his passion lies. </w:t>
          </w:r>
          <w:proofErr w:type="spellStart"/>
          <w:r w:rsidRPr="007937BD">
            <w:rPr>
              <w:i/>
              <w:iCs/>
            </w:rPr>
            <w:t>Tomisz</w:t>
          </w:r>
          <w:proofErr w:type="spellEnd"/>
          <w:r w:rsidRPr="007937BD">
            <w:rPr>
              <w:i/>
              <w:iCs/>
            </w:rPr>
            <w:t xml:space="preserve"> graduated from Hutchinson High School in June 2021 and worked with Mel for post-secondary planning.  He will begin the next step in his education journey with </w:t>
          </w:r>
          <w:proofErr w:type="spellStart"/>
          <w:r w:rsidRPr="007937BD">
            <w:rPr>
              <w:i/>
              <w:iCs/>
            </w:rPr>
            <w:t>Ridgewater</w:t>
          </w:r>
          <w:proofErr w:type="spellEnd"/>
          <w:r w:rsidRPr="007937BD">
            <w:rPr>
              <w:i/>
              <w:iCs/>
            </w:rPr>
            <w:t xml:space="preserve"> College in Fall 2021 – studying </w:t>
          </w:r>
          <w:r w:rsidRPr="007937BD">
            <w:rPr>
              <w:i/>
              <w:iCs/>
            </w:rPr>
            <w:lastRenderedPageBreak/>
            <w:t xml:space="preserve">Computer Programming.  </w:t>
          </w:r>
          <w:proofErr w:type="spellStart"/>
          <w:r w:rsidRPr="007937BD">
            <w:rPr>
              <w:i/>
              <w:iCs/>
            </w:rPr>
            <w:t>Tomisz</w:t>
          </w:r>
          <w:proofErr w:type="spellEnd"/>
          <w:r w:rsidRPr="007937BD">
            <w:rPr>
              <w:i/>
              <w:iCs/>
            </w:rPr>
            <w:t xml:space="preserve"> has also secured independent employment with </w:t>
          </w:r>
          <w:proofErr w:type="spellStart"/>
          <w:r w:rsidRPr="007937BD">
            <w:rPr>
              <w:i/>
              <w:iCs/>
            </w:rPr>
            <w:t>Millerbernd</w:t>
          </w:r>
          <w:proofErr w:type="spellEnd"/>
          <w:r w:rsidRPr="007937BD">
            <w:rPr>
              <w:i/>
              <w:iCs/>
            </w:rPr>
            <w:t xml:space="preserve"> Manufacturing Company at $13.00 an hour to help him save for education costs!</w:t>
          </w:r>
        </w:p>
        <w:p w14:paraId="4BBE1F71" w14:textId="4D8E98DD" w:rsidR="0004245A" w:rsidRDefault="008A4037" w:rsidP="0004245A">
          <w:pPr>
            <w:pStyle w:val="Heading2"/>
          </w:pPr>
          <w:bookmarkStart w:id="8" w:name="_Toc113524014"/>
          <w:r>
            <w:t>Evaluation of CP3 Project</w:t>
          </w:r>
          <w:bookmarkEnd w:id="8"/>
        </w:p>
        <w:p w14:paraId="5F1CDB8A" w14:textId="19D75DB2" w:rsidR="007C5A00" w:rsidRDefault="007C5A00" w:rsidP="007C5A00">
          <w:r>
            <w:t>One of the primary goals of the CP3 project was to provide supplemental WIOA funding that would allow for increased services to WIOA eligible youth, increase</w:t>
          </w:r>
          <w:r w:rsidR="005454F5">
            <w:t xml:space="preserve"> diverse</w:t>
          </w:r>
          <w:r>
            <w:t xml:space="preserve"> partnerships with local business community, and increased partnerships with tribal governments. These qualitative goals were achieved in various ways by each of the </w:t>
          </w:r>
          <w:r w:rsidR="00D44C86">
            <w:t>four</w:t>
          </w:r>
          <w:r>
            <w:t xml:space="preserve"> LWDBs that received Governor’s Reserve Funds.</w:t>
          </w:r>
          <w:r w:rsidR="008A4037">
            <w:t xml:space="preserve"> The following information provides an evaluation of the Governor’s Reserve Funds project. </w:t>
          </w:r>
        </w:p>
        <w:p w14:paraId="04FD9599" w14:textId="7B94F52A" w:rsidR="007C5A00" w:rsidRDefault="007C5A00" w:rsidP="007C5A00">
          <w:pPr>
            <w:pStyle w:val="Heading3"/>
          </w:pPr>
          <w:bookmarkStart w:id="9" w:name="_Toc113524015"/>
          <w:r>
            <w:t>Increased Services to Youth</w:t>
          </w:r>
          <w:bookmarkEnd w:id="9"/>
        </w:p>
        <w:p w14:paraId="4B963403" w14:textId="45F11913" w:rsidR="007C5A00" w:rsidRDefault="007C5A00" w:rsidP="007C5A00">
          <w:r>
            <w:t>The CP3 funds provided valuable resources that allowed the LWDBs to reach additional youth and co-enroll youth into other state and federally funded programs. Co-enroll</w:t>
          </w:r>
          <w:r w:rsidR="00EC35AD">
            <w:t xml:space="preserve">ing youth creates opportunities for youth to participate in paid work experiences, enhanced skill development, and support services to aid with successful program completion. For youth </w:t>
          </w:r>
          <w:r w:rsidR="00151329">
            <w:t>participating in</w:t>
          </w:r>
          <w:r w:rsidR="00EC35AD">
            <w:t xml:space="preserve"> the CP3 grant opportunity, they </w:t>
          </w:r>
          <w:proofErr w:type="gramStart"/>
          <w:r w:rsidR="00EC35AD">
            <w:t>are able to</w:t>
          </w:r>
          <w:proofErr w:type="gramEnd"/>
          <w:r w:rsidR="00EC35AD">
            <w:t xml:space="preserve"> continue receiving services through WIOA Youth and/or other state funded programs </w:t>
          </w:r>
          <w:r w:rsidR="00151329">
            <w:t>such as th</w:t>
          </w:r>
          <w:r w:rsidR="00EC35AD">
            <w:t xml:space="preserve">e Minnesota Youth Program. </w:t>
          </w:r>
          <w:r w:rsidR="00151329">
            <w:t xml:space="preserve">  CP3</w:t>
          </w:r>
          <w:r w:rsidR="00EC35AD">
            <w:t xml:space="preserve"> focused on increasing services to youth in rural Minnesota. </w:t>
          </w:r>
          <w:r w:rsidR="00D453D1">
            <w:t>Notably,</w:t>
          </w:r>
          <w:r w:rsidR="00EC35AD">
            <w:t xml:space="preserve"> the </w:t>
          </w:r>
          <w:r w:rsidR="00D453D1">
            <w:t>four</w:t>
          </w:r>
          <w:r w:rsidR="00EC35AD">
            <w:t xml:space="preserve"> LWDBs served youth of color </w:t>
          </w:r>
          <w:r w:rsidR="007B2C7C">
            <w:t xml:space="preserve">higher than the incident in population for rural Minnesota. By prioritizing youth of color in rural Minnesota, the CP3 program helps support Minnesota’s goals to reduce racial disparities among young people. This aligns with the WIOA Youth goals described in Minnesota’s WIOA State Plan. In addition to youth of color, women, who are underrepresented in rural Minnesota’s workforce, were prioritized in this project. This is especially critical as the </w:t>
          </w:r>
          <w:r w:rsidR="00D44C86">
            <w:t>four</w:t>
          </w:r>
          <w:r w:rsidR="007B2C7C">
            <w:t xml:space="preserve"> LWDBs focused programming on in demand industries that provide career laddering opportunities. These</w:t>
          </w:r>
          <w:r w:rsidR="00151329">
            <w:t xml:space="preserve"> diverse</w:t>
          </w:r>
          <w:r w:rsidR="007B2C7C">
            <w:t xml:space="preserve"> career laddering opportunities help support young women in Minnesota to earn a wage that allows for economic stability. Lastly, youth with disabilities also received services from the CP3 grant that help</w:t>
          </w:r>
          <w:r w:rsidR="00151329">
            <w:t>ed</w:t>
          </w:r>
          <w:r w:rsidR="007B2C7C">
            <w:t xml:space="preserve"> Minnesota address employment and education gaps for young people with disabilities. As intended, the CP3 grant opportunity allowed LWDBs to increase service to youth who are underrepresented in the workforce due to race, gender and/or disability status. Reaching these communities is critical to creating and maintaining a strong workforce in Minnesota.</w:t>
          </w:r>
          <w:r w:rsidR="00D44C86">
            <w:t xml:space="preserve"> </w:t>
          </w:r>
        </w:p>
        <w:p w14:paraId="25AE957E" w14:textId="173425A7" w:rsidR="007B2C7C" w:rsidRDefault="008A4037" w:rsidP="008A4037">
          <w:pPr>
            <w:pStyle w:val="Heading3"/>
          </w:pPr>
          <w:bookmarkStart w:id="10" w:name="_Toc113524016"/>
          <w:r>
            <w:t>Increase</w:t>
          </w:r>
          <w:r w:rsidR="003C137B">
            <w:t>d</w:t>
          </w:r>
          <w:r>
            <w:t xml:space="preserve"> Business Partnerships</w:t>
          </w:r>
          <w:bookmarkEnd w:id="10"/>
        </w:p>
        <w:p w14:paraId="340644F1" w14:textId="286BE13D" w:rsidR="008A4037" w:rsidRDefault="008A4037" w:rsidP="008A4037">
          <w:r>
            <w:t>Increasing business partnerships became especially critical during</w:t>
          </w:r>
          <w:r w:rsidR="00151329">
            <w:t xml:space="preserve"> the</w:t>
          </w:r>
          <w:r>
            <w:t xml:space="preserve"> COVID-19 pandemic. </w:t>
          </w:r>
          <w:r w:rsidR="00EB7DD2">
            <w:t>In response to</w:t>
          </w:r>
          <w:r>
            <w:t xml:space="preserve"> job placements switching to virtual work</w:t>
          </w:r>
          <w:r w:rsidR="00EB7DD2">
            <w:t>,</w:t>
          </w:r>
          <w:r>
            <w:t xml:space="preserve"> the LWDBs leveraged CP3 funding to expand local business partnerships.</w:t>
          </w:r>
          <w:r w:rsidR="00A269FD">
            <w:t xml:space="preserve"> In the case of Central Minnesota Jobs and Training</w:t>
          </w:r>
          <w:r w:rsidR="00151329">
            <w:t xml:space="preserve"> (CMJTS)</w:t>
          </w:r>
          <w:r w:rsidR="00A269FD">
            <w:t xml:space="preserve">, staff worked with business partners to develop a mentorship program. Mentoring youth at work sites is a critical component for success and provides youth with a mentor who is also an industry expert. Across all </w:t>
          </w:r>
          <w:r w:rsidR="0068167A">
            <w:t>four</w:t>
          </w:r>
          <w:r w:rsidR="00A269FD">
            <w:t xml:space="preserve"> LWDBs, staff worked closely with businesses who shifted employment needs due to the pandemic. For example, many business partners shifted work opportunities to virtual positions. Partnering with businesses to host youth through virtual work experiences was supported by the CP3 grant funds. Virtual training and career exploration tools were also developed in conjunction with local business partners to ensure that industry </w:t>
          </w:r>
          <w:r w:rsidR="00630704">
            <w:t>requirements</w:t>
          </w:r>
          <w:r w:rsidR="00A269FD">
            <w:t xml:space="preserve"> and expectations would be met by youth participants in </w:t>
          </w:r>
          <w:r w:rsidR="00A269FD">
            <w:lastRenderedPageBreak/>
            <w:t>a virtual environment.</w:t>
          </w:r>
          <w:r w:rsidR="00D44C86">
            <w:t xml:space="preserve"> Expanding partnerships will be sustained through WIOA Youth funds in combination with other state and federal grants. This will be especially important moving forward as Minnesota has one of the lowest adult unemployment rates in the country.</w:t>
          </w:r>
        </w:p>
        <w:p w14:paraId="6EB9012E" w14:textId="1E608B8A" w:rsidR="00630704" w:rsidRDefault="00630704" w:rsidP="00630704">
          <w:pPr>
            <w:pStyle w:val="Heading3"/>
          </w:pPr>
          <w:bookmarkStart w:id="11" w:name="_Toc113524017"/>
          <w:r>
            <w:t>Increased Partnerships with Tribal Governments</w:t>
          </w:r>
          <w:bookmarkEnd w:id="11"/>
        </w:p>
        <w:p w14:paraId="443029C5" w14:textId="32636131" w:rsidR="0068167A" w:rsidRPr="0068167A" w:rsidRDefault="0068167A" w:rsidP="0068167A">
          <w:r>
            <w:t>Governor’s Reserve Funds are critical to Minnesota’s workforce development system because</w:t>
          </w:r>
          <w:r w:rsidR="00D44C86">
            <w:t xml:space="preserve"> the</w:t>
          </w:r>
          <w:r>
            <w:t xml:space="preserve"> </w:t>
          </w:r>
          <w:r w:rsidR="00A17AF8">
            <w:t>funds allow for</w:t>
          </w:r>
          <w:r>
            <w:t xml:space="preserve"> increased partnerships with tribal governments</w:t>
          </w:r>
          <w:r w:rsidR="00D44C86">
            <w:t>/agencies</w:t>
          </w:r>
          <w:r>
            <w:t xml:space="preserve">. In the case of Southwest Minnesota Private Industry Council, the </w:t>
          </w:r>
          <w:r w:rsidR="00D44C86">
            <w:t>Governor’s Reserve Funds</w:t>
          </w:r>
          <w:r>
            <w:t xml:space="preserve"> allowed staff and work in collaboration with the Lower Sioux Indian Community. </w:t>
          </w:r>
          <w:r w:rsidR="005030A7">
            <w:t>Expanding partnerships</w:t>
          </w:r>
          <w:r w:rsidR="00551D7A">
            <w:t xml:space="preserve"> supports service delivery to WIOA eligible youth. Co-enrolling and braiding funds </w:t>
          </w:r>
          <w:r w:rsidR="00D44C86">
            <w:t>across</w:t>
          </w:r>
          <w:r w:rsidR="00551D7A">
            <w:t xml:space="preserve"> organizations is an important way to ensure youth receive the </w:t>
          </w:r>
          <w:r w:rsidR="00D44C86">
            <w:t xml:space="preserve">culturally competent </w:t>
          </w:r>
          <w:r w:rsidR="00551D7A">
            <w:t>employment and educational resources they need to successfully transition to the adult labor force. This partnership</w:t>
          </w:r>
          <w:r w:rsidR="00D44C86">
            <w:t xml:space="preserve"> was </w:t>
          </w:r>
          <w:r w:rsidR="00551D7A">
            <w:t>feature</w:t>
          </w:r>
          <w:r w:rsidR="00D44C86">
            <w:t>d</w:t>
          </w:r>
          <w:r w:rsidR="00551D7A">
            <w:t xml:space="preserve"> on Minnesota’s </w:t>
          </w:r>
          <w:r w:rsidR="00551D7A" w:rsidRPr="00551D7A">
            <w:t>Pioneer Public TV</w:t>
          </w:r>
          <w:r w:rsidR="00D44C86">
            <w:t xml:space="preserve"> and</w:t>
          </w:r>
          <w:r w:rsidR="00551D7A" w:rsidRPr="00551D7A">
            <w:t xml:space="preserve"> a video describing the impact of the project</w:t>
          </w:r>
          <w:r w:rsidR="00D44C86">
            <w:t xml:space="preserve"> </w:t>
          </w:r>
          <w:r w:rsidR="00551D7A" w:rsidRPr="00551D7A">
            <w:t xml:space="preserve">can be found </w:t>
          </w:r>
          <w:hyperlink r:id="rId21" w:history="1">
            <w:r w:rsidR="00551D7A" w:rsidRPr="00551D7A">
              <w:rPr>
                <w:rStyle w:val="Hyperlink"/>
              </w:rPr>
              <w:t>here</w:t>
            </w:r>
          </w:hyperlink>
          <w:r w:rsidR="00551D7A">
            <w:t xml:space="preserve">. </w:t>
          </w:r>
          <w:r w:rsidR="00A17AF8">
            <w:t xml:space="preserve">This critical partnership will </w:t>
          </w:r>
          <w:r w:rsidR="00592270">
            <w:t>be sustained</w:t>
          </w:r>
          <w:r w:rsidR="00A17AF8">
            <w:t xml:space="preserve"> beyond the life of the CP3 grant </w:t>
          </w:r>
          <w:r w:rsidR="00592270">
            <w:t>using</w:t>
          </w:r>
          <w:r w:rsidR="00A17AF8">
            <w:t xml:space="preserve"> WIOA Youth funds as well as other state and federal resources. </w:t>
          </w:r>
        </w:p>
        <w:p w14:paraId="162750F1" w14:textId="02C2685A" w:rsidR="00CF78F7" w:rsidRDefault="00647826" w:rsidP="00CF78F7">
          <w:pPr>
            <w:pStyle w:val="Heading2"/>
            <w:rPr>
              <w:rFonts w:ascii="Calibri" w:eastAsia="Times New Roman" w:hAnsi="Calibri" w:cs="Times New Roman"/>
              <w:b w:val="0"/>
              <w:color w:val="auto"/>
              <w:sz w:val="22"/>
              <w:szCs w:val="20"/>
            </w:rPr>
          </w:pPr>
          <w:bookmarkStart w:id="12" w:name="_Toc113524018"/>
          <w:r>
            <w:t>Demographic Summary</w:t>
          </w:r>
        </w:p>
      </w:sdtContent>
    </w:sdt>
    <w:bookmarkEnd w:id="12" w:displacedByCustomXml="pre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1523"/>
        <w:gridCol w:w="1595"/>
      </w:tblGrid>
      <w:tr w:rsidR="00647826" w:rsidRPr="0070451B" w14:paraId="2EBF14DA" w14:textId="77777777" w:rsidTr="004113B9">
        <w:trPr>
          <w:trHeight w:val="432"/>
        </w:trPr>
        <w:tc>
          <w:tcPr>
            <w:tcW w:w="6952" w:type="dxa"/>
            <w:tcBorders>
              <w:bottom w:val="single" w:sz="4" w:space="0" w:color="auto"/>
            </w:tcBorders>
            <w:shd w:val="clear" w:color="auto" w:fill="92D050"/>
            <w:vAlign w:val="center"/>
          </w:tcPr>
          <w:p w14:paraId="62D9399E" w14:textId="67AF4FD7" w:rsidR="00647826" w:rsidRPr="004A28E0" w:rsidRDefault="006169E3" w:rsidP="00274E08">
            <w:pPr>
              <w:jc w:val="center"/>
              <w:rPr>
                <w:b/>
                <w:sz w:val="24"/>
                <w:szCs w:val="24"/>
              </w:rPr>
            </w:pPr>
            <w:bookmarkStart w:id="13" w:name="_Hlk112238918"/>
            <w:r>
              <w:rPr>
                <w:b/>
                <w:sz w:val="24"/>
                <w:szCs w:val="24"/>
              </w:rPr>
              <w:t>CP3 Demographic Information</w:t>
            </w:r>
          </w:p>
        </w:tc>
        <w:tc>
          <w:tcPr>
            <w:tcW w:w="1523" w:type="dxa"/>
            <w:tcBorders>
              <w:bottom w:val="single" w:sz="4" w:space="0" w:color="auto"/>
            </w:tcBorders>
            <w:shd w:val="clear" w:color="auto" w:fill="92D050"/>
            <w:vAlign w:val="center"/>
          </w:tcPr>
          <w:p w14:paraId="42844F92" w14:textId="77777777" w:rsidR="00647826" w:rsidRPr="004A28E0" w:rsidRDefault="00647826" w:rsidP="00274E08">
            <w:pPr>
              <w:jc w:val="center"/>
              <w:rPr>
                <w:b/>
                <w:sz w:val="24"/>
                <w:szCs w:val="24"/>
              </w:rPr>
            </w:pPr>
            <w:r w:rsidRPr="004A28E0">
              <w:rPr>
                <w:b/>
                <w:sz w:val="24"/>
                <w:szCs w:val="24"/>
              </w:rPr>
              <w:t>Total</w:t>
            </w:r>
          </w:p>
        </w:tc>
        <w:tc>
          <w:tcPr>
            <w:tcW w:w="1595" w:type="dxa"/>
            <w:vMerge w:val="restart"/>
            <w:tcBorders>
              <w:bottom w:val="single" w:sz="4" w:space="0" w:color="auto"/>
            </w:tcBorders>
            <w:shd w:val="clear" w:color="auto" w:fill="92D050"/>
          </w:tcPr>
          <w:p w14:paraId="68ED6077" w14:textId="77777777" w:rsidR="00647826" w:rsidRPr="004A28E0" w:rsidRDefault="00647826" w:rsidP="00274E08">
            <w:pPr>
              <w:jc w:val="center"/>
              <w:rPr>
                <w:b/>
                <w:sz w:val="24"/>
                <w:szCs w:val="24"/>
              </w:rPr>
            </w:pPr>
            <w:r w:rsidRPr="004A28E0">
              <w:rPr>
                <w:b/>
                <w:sz w:val="24"/>
                <w:szCs w:val="24"/>
              </w:rPr>
              <w:t>Percent</w:t>
            </w:r>
          </w:p>
          <w:p w14:paraId="759A998E" w14:textId="77777777" w:rsidR="00647826" w:rsidRPr="00B12FAA" w:rsidRDefault="00647826" w:rsidP="00274E08">
            <w:pPr>
              <w:rPr>
                <w:b/>
                <w:bCs/>
              </w:rPr>
            </w:pPr>
          </w:p>
          <w:p w14:paraId="4701E51B" w14:textId="77777777" w:rsidR="00647826" w:rsidRPr="004A28E0" w:rsidRDefault="00647826" w:rsidP="00274E08">
            <w:pPr>
              <w:jc w:val="center"/>
              <w:rPr>
                <w:b/>
                <w:sz w:val="24"/>
                <w:szCs w:val="24"/>
              </w:rPr>
            </w:pPr>
          </w:p>
        </w:tc>
      </w:tr>
      <w:tr w:rsidR="00647826" w:rsidRPr="0070451B" w14:paraId="45214550" w14:textId="77777777" w:rsidTr="004113B9">
        <w:trPr>
          <w:trHeight w:val="458"/>
        </w:trPr>
        <w:tc>
          <w:tcPr>
            <w:tcW w:w="6952" w:type="dxa"/>
            <w:tcBorders>
              <w:top w:val="single" w:sz="4" w:space="0" w:color="auto"/>
              <w:left w:val="single" w:sz="4" w:space="0" w:color="auto"/>
              <w:bottom w:val="single" w:sz="4" w:space="0" w:color="auto"/>
              <w:right w:val="single" w:sz="4" w:space="0" w:color="auto"/>
            </w:tcBorders>
            <w:shd w:val="clear" w:color="auto" w:fill="auto"/>
            <w:vAlign w:val="center"/>
          </w:tcPr>
          <w:p w14:paraId="738FB314" w14:textId="77777777" w:rsidR="00647826" w:rsidRPr="006169E3" w:rsidRDefault="00647826" w:rsidP="00647826">
            <w:pPr>
              <w:pStyle w:val="ListParagraph"/>
              <w:numPr>
                <w:ilvl w:val="0"/>
                <w:numId w:val="31"/>
              </w:numPr>
              <w:rPr>
                <w:b/>
                <w:bCs/>
              </w:rPr>
            </w:pPr>
            <w:r w:rsidRPr="006169E3">
              <w:rPr>
                <w:b/>
                <w:bCs/>
              </w:rPr>
              <w:t xml:space="preserve">Total Individual Participants Served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AD5F5D5" w14:textId="41ACB5D5" w:rsidR="00647826" w:rsidRPr="00B12FAA" w:rsidRDefault="00647826" w:rsidP="00274E08">
            <w:pPr>
              <w:rPr>
                <w:b/>
                <w:bCs/>
              </w:rPr>
            </w:pPr>
            <w:r>
              <w:rPr>
                <w:b/>
                <w:bCs/>
              </w:rPr>
              <w:t>15</w:t>
            </w:r>
            <w:r w:rsidR="001D6EA8">
              <w:rPr>
                <w:b/>
                <w:bCs/>
              </w:rPr>
              <w:t>4</w:t>
            </w:r>
          </w:p>
        </w:tc>
        <w:tc>
          <w:tcPr>
            <w:tcW w:w="1595" w:type="dxa"/>
            <w:vMerge/>
            <w:tcBorders>
              <w:top w:val="single" w:sz="4" w:space="0" w:color="auto"/>
              <w:left w:val="single" w:sz="4" w:space="0" w:color="auto"/>
              <w:bottom w:val="single" w:sz="4" w:space="0" w:color="auto"/>
            </w:tcBorders>
            <w:shd w:val="clear" w:color="auto" w:fill="92D050"/>
          </w:tcPr>
          <w:p w14:paraId="2D44D80D" w14:textId="77777777" w:rsidR="00647826" w:rsidRPr="00B12FAA" w:rsidRDefault="00647826" w:rsidP="00274E08">
            <w:pPr>
              <w:jc w:val="center"/>
              <w:rPr>
                <w:b/>
                <w:bCs/>
              </w:rPr>
            </w:pPr>
          </w:p>
        </w:tc>
      </w:tr>
      <w:tr w:rsidR="00647826" w:rsidRPr="0070451B" w14:paraId="0F5BA21A" w14:textId="77777777" w:rsidTr="004113B9">
        <w:trPr>
          <w:trHeight w:val="432"/>
        </w:trPr>
        <w:tc>
          <w:tcPr>
            <w:tcW w:w="6952" w:type="dxa"/>
            <w:tcBorders>
              <w:top w:val="single" w:sz="4" w:space="0" w:color="auto"/>
            </w:tcBorders>
            <w:shd w:val="clear" w:color="auto" w:fill="auto"/>
            <w:vAlign w:val="center"/>
          </w:tcPr>
          <w:p w14:paraId="286CD8B1" w14:textId="77777777" w:rsidR="00647826" w:rsidRPr="006169E3" w:rsidRDefault="00647826" w:rsidP="00647826">
            <w:pPr>
              <w:pStyle w:val="ListParagraph"/>
              <w:numPr>
                <w:ilvl w:val="0"/>
                <w:numId w:val="31"/>
              </w:numPr>
              <w:rPr>
                <w:b/>
                <w:bCs/>
              </w:rPr>
            </w:pPr>
            <w:r w:rsidRPr="006169E3">
              <w:rPr>
                <w:b/>
                <w:bCs/>
              </w:rPr>
              <w:t>Female</w:t>
            </w:r>
          </w:p>
        </w:tc>
        <w:tc>
          <w:tcPr>
            <w:tcW w:w="1523" w:type="dxa"/>
            <w:tcBorders>
              <w:top w:val="single" w:sz="4" w:space="0" w:color="auto"/>
            </w:tcBorders>
            <w:shd w:val="clear" w:color="auto" w:fill="auto"/>
          </w:tcPr>
          <w:p w14:paraId="72C1D4D7" w14:textId="4D3016D6" w:rsidR="00647826" w:rsidRPr="0070451B" w:rsidRDefault="006521E0" w:rsidP="00274E08">
            <w:r>
              <w:t>90</w:t>
            </w:r>
          </w:p>
        </w:tc>
        <w:tc>
          <w:tcPr>
            <w:tcW w:w="1595" w:type="dxa"/>
            <w:tcBorders>
              <w:top w:val="single" w:sz="4" w:space="0" w:color="auto"/>
            </w:tcBorders>
          </w:tcPr>
          <w:p w14:paraId="110F3472" w14:textId="2FFFAF9E" w:rsidR="00647826" w:rsidRDefault="006B1F89" w:rsidP="00274E08">
            <w:r>
              <w:t>58%</w:t>
            </w:r>
          </w:p>
        </w:tc>
      </w:tr>
      <w:tr w:rsidR="00647826" w:rsidRPr="0070451B" w14:paraId="40C30BB4" w14:textId="77777777" w:rsidTr="00274E08">
        <w:trPr>
          <w:trHeight w:val="432"/>
        </w:trPr>
        <w:tc>
          <w:tcPr>
            <w:tcW w:w="6952" w:type="dxa"/>
            <w:shd w:val="clear" w:color="auto" w:fill="auto"/>
            <w:vAlign w:val="center"/>
          </w:tcPr>
          <w:p w14:paraId="49668B1F" w14:textId="77777777" w:rsidR="00647826" w:rsidRPr="006169E3" w:rsidRDefault="00647826" w:rsidP="00647826">
            <w:pPr>
              <w:pStyle w:val="ListParagraph"/>
              <w:numPr>
                <w:ilvl w:val="0"/>
                <w:numId w:val="31"/>
              </w:numPr>
              <w:rPr>
                <w:b/>
                <w:bCs/>
              </w:rPr>
            </w:pPr>
            <w:r w:rsidRPr="006169E3">
              <w:rPr>
                <w:b/>
                <w:bCs/>
              </w:rPr>
              <w:t>Male</w:t>
            </w:r>
          </w:p>
        </w:tc>
        <w:tc>
          <w:tcPr>
            <w:tcW w:w="1523" w:type="dxa"/>
            <w:shd w:val="clear" w:color="auto" w:fill="auto"/>
          </w:tcPr>
          <w:p w14:paraId="7DF40FA1" w14:textId="520B838A" w:rsidR="006B1F89" w:rsidRPr="0070451B" w:rsidRDefault="006B1F89" w:rsidP="00274E08">
            <w:r>
              <w:t>64</w:t>
            </w:r>
          </w:p>
        </w:tc>
        <w:tc>
          <w:tcPr>
            <w:tcW w:w="1595" w:type="dxa"/>
          </w:tcPr>
          <w:p w14:paraId="17089EDC" w14:textId="46A2ED99" w:rsidR="00647826" w:rsidRDefault="006B1F89" w:rsidP="00274E08">
            <w:r>
              <w:t>42%</w:t>
            </w:r>
          </w:p>
        </w:tc>
      </w:tr>
      <w:tr w:rsidR="00647826" w:rsidRPr="0070451B" w14:paraId="73959CED" w14:textId="77777777" w:rsidTr="00274E08">
        <w:trPr>
          <w:trHeight w:val="432"/>
        </w:trPr>
        <w:tc>
          <w:tcPr>
            <w:tcW w:w="6952" w:type="dxa"/>
            <w:shd w:val="clear" w:color="auto" w:fill="auto"/>
            <w:vAlign w:val="center"/>
          </w:tcPr>
          <w:p w14:paraId="15A4D18F" w14:textId="77777777" w:rsidR="00647826" w:rsidRPr="006169E3" w:rsidRDefault="00647826" w:rsidP="00647826">
            <w:pPr>
              <w:pStyle w:val="ListParagraph"/>
              <w:numPr>
                <w:ilvl w:val="0"/>
                <w:numId w:val="31"/>
              </w:numPr>
              <w:spacing w:before="0" w:after="0" w:line="240" w:lineRule="auto"/>
              <w:rPr>
                <w:b/>
                <w:bCs/>
              </w:rPr>
            </w:pPr>
            <w:r w:rsidRPr="006169E3">
              <w:rPr>
                <w:b/>
                <w:bCs/>
              </w:rPr>
              <w:t>14 – 15</w:t>
            </w:r>
          </w:p>
        </w:tc>
        <w:tc>
          <w:tcPr>
            <w:tcW w:w="1523" w:type="dxa"/>
            <w:shd w:val="clear" w:color="auto" w:fill="auto"/>
          </w:tcPr>
          <w:p w14:paraId="6F081444" w14:textId="1EC236CD" w:rsidR="00647826" w:rsidRPr="0070451B" w:rsidRDefault="006B1F89" w:rsidP="00274E08">
            <w:r>
              <w:t>7</w:t>
            </w:r>
          </w:p>
        </w:tc>
        <w:tc>
          <w:tcPr>
            <w:tcW w:w="1595" w:type="dxa"/>
          </w:tcPr>
          <w:p w14:paraId="23FE732F" w14:textId="05136CF0" w:rsidR="00647826" w:rsidRDefault="006B1F89" w:rsidP="00274E08">
            <w:r>
              <w:t>5%</w:t>
            </w:r>
          </w:p>
        </w:tc>
      </w:tr>
      <w:tr w:rsidR="00647826" w:rsidRPr="0070451B" w14:paraId="46D560B8" w14:textId="77777777" w:rsidTr="00274E08">
        <w:trPr>
          <w:trHeight w:val="432"/>
        </w:trPr>
        <w:tc>
          <w:tcPr>
            <w:tcW w:w="6952" w:type="dxa"/>
            <w:shd w:val="clear" w:color="auto" w:fill="auto"/>
            <w:vAlign w:val="center"/>
          </w:tcPr>
          <w:p w14:paraId="4DB21B8B" w14:textId="77777777" w:rsidR="00647826" w:rsidRPr="006169E3" w:rsidRDefault="00647826" w:rsidP="00647826">
            <w:pPr>
              <w:pStyle w:val="ListParagraph"/>
              <w:numPr>
                <w:ilvl w:val="0"/>
                <w:numId w:val="31"/>
              </w:numPr>
              <w:rPr>
                <w:b/>
                <w:bCs/>
              </w:rPr>
            </w:pPr>
            <w:r w:rsidRPr="006169E3">
              <w:rPr>
                <w:b/>
                <w:bCs/>
              </w:rPr>
              <w:t>16 – 17</w:t>
            </w:r>
          </w:p>
        </w:tc>
        <w:tc>
          <w:tcPr>
            <w:tcW w:w="1523" w:type="dxa"/>
            <w:shd w:val="clear" w:color="auto" w:fill="auto"/>
          </w:tcPr>
          <w:p w14:paraId="44D78F9E" w14:textId="712F1CFB" w:rsidR="00647826" w:rsidRPr="0070451B" w:rsidRDefault="006B1F89" w:rsidP="00274E08">
            <w:r>
              <w:t>4</w:t>
            </w:r>
            <w:r w:rsidR="006521E0">
              <w:t>9</w:t>
            </w:r>
          </w:p>
        </w:tc>
        <w:tc>
          <w:tcPr>
            <w:tcW w:w="1595" w:type="dxa"/>
          </w:tcPr>
          <w:p w14:paraId="1CAD7E5C" w14:textId="4089B14B" w:rsidR="00647826" w:rsidRDefault="006B1F89" w:rsidP="00274E08">
            <w:r>
              <w:t>32%</w:t>
            </w:r>
          </w:p>
        </w:tc>
      </w:tr>
      <w:tr w:rsidR="00647826" w:rsidRPr="0070451B" w14:paraId="70296255" w14:textId="77777777" w:rsidTr="00274E08">
        <w:trPr>
          <w:trHeight w:val="432"/>
        </w:trPr>
        <w:tc>
          <w:tcPr>
            <w:tcW w:w="6952" w:type="dxa"/>
            <w:shd w:val="clear" w:color="auto" w:fill="auto"/>
            <w:vAlign w:val="center"/>
          </w:tcPr>
          <w:p w14:paraId="02EC4FC2" w14:textId="77777777" w:rsidR="00647826" w:rsidRPr="006169E3" w:rsidRDefault="00647826" w:rsidP="00647826">
            <w:pPr>
              <w:pStyle w:val="ListParagraph"/>
              <w:numPr>
                <w:ilvl w:val="0"/>
                <w:numId w:val="31"/>
              </w:numPr>
              <w:rPr>
                <w:b/>
                <w:bCs/>
              </w:rPr>
            </w:pPr>
            <w:r w:rsidRPr="006169E3">
              <w:rPr>
                <w:b/>
                <w:bCs/>
              </w:rPr>
              <w:t>18 - 21</w:t>
            </w:r>
          </w:p>
        </w:tc>
        <w:tc>
          <w:tcPr>
            <w:tcW w:w="1523" w:type="dxa"/>
            <w:shd w:val="clear" w:color="auto" w:fill="auto"/>
          </w:tcPr>
          <w:p w14:paraId="3EBC81F2" w14:textId="07116856" w:rsidR="006B1F89" w:rsidRPr="0070451B" w:rsidRDefault="006B1F89" w:rsidP="00274E08">
            <w:r>
              <w:t>7</w:t>
            </w:r>
            <w:r w:rsidR="006521E0">
              <w:t>4</w:t>
            </w:r>
          </w:p>
        </w:tc>
        <w:tc>
          <w:tcPr>
            <w:tcW w:w="1595" w:type="dxa"/>
          </w:tcPr>
          <w:p w14:paraId="60D1EACB" w14:textId="74C35965" w:rsidR="00647826" w:rsidRDefault="006B1F89" w:rsidP="00274E08">
            <w:r>
              <w:t>48%</w:t>
            </w:r>
          </w:p>
        </w:tc>
      </w:tr>
      <w:tr w:rsidR="00647826" w:rsidRPr="0070451B" w14:paraId="482ABABA" w14:textId="77777777" w:rsidTr="00274E08">
        <w:trPr>
          <w:trHeight w:val="432"/>
        </w:trPr>
        <w:tc>
          <w:tcPr>
            <w:tcW w:w="6952" w:type="dxa"/>
            <w:shd w:val="clear" w:color="auto" w:fill="auto"/>
            <w:vAlign w:val="center"/>
          </w:tcPr>
          <w:p w14:paraId="7EAE48FE" w14:textId="77777777" w:rsidR="00647826" w:rsidRPr="006169E3" w:rsidRDefault="00647826" w:rsidP="00647826">
            <w:pPr>
              <w:pStyle w:val="ListParagraph"/>
              <w:numPr>
                <w:ilvl w:val="0"/>
                <w:numId w:val="31"/>
              </w:numPr>
              <w:rPr>
                <w:b/>
                <w:bCs/>
              </w:rPr>
            </w:pPr>
            <w:r w:rsidRPr="006169E3">
              <w:rPr>
                <w:b/>
                <w:bCs/>
              </w:rPr>
              <w:t>22 – 24</w:t>
            </w:r>
          </w:p>
        </w:tc>
        <w:tc>
          <w:tcPr>
            <w:tcW w:w="1523" w:type="dxa"/>
            <w:shd w:val="clear" w:color="auto" w:fill="auto"/>
          </w:tcPr>
          <w:p w14:paraId="7F332AAF" w14:textId="0B2AFE2A" w:rsidR="00647826" w:rsidRPr="0070451B" w:rsidRDefault="006B1F89" w:rsidP="00274E08">
            <w:r>
              <w:t>24</w:t>
            </w:r>
          </w:p>
        </w:tc>
        <w:tc>
          <w:tcPr>
            <w:tcW w:w="1595" w:type="dxa"/>
          </w:tcPr>
          <w:p w14:paraId="68F989DC" w14:textId="64FF5847" w:rsidR="00647826" w:rsidRDefault="006B1F89" w:rsidP="00274E08">
            <w:r>
              <w:t>16%</w:t>
            </w:r>
          </w:p>
        </w:tc>
      </w:tr>
      <w:tr w:rsidR="00647826" w:rsidRPr="0070451B" w14:paraId="1D35AA04" w14:textId="77777777" w:rsidTr="00274E08">
        <w:trPr>
          <w:trHeight w:val="432"/>
        </w:trPr>
        <w:tc>
          <w:tcPr>
            <w:tcW w:w="6952" w:type="dxa"/>
            <w:shd w:val="clear" w:color="auto" w:fill="auto"/>
            <w:vAlign w:val="center"/>
          </w:tcPr>
          <w:p w14:paraId="2A4A4A70" w14:textId="77777777" w:rsidR="00647826" w:rsidRPr="006169E3" w:rsidRDefault="00647826" w:rsidP="00647826">
            <w:pPr>
              <w:pStyle w:val="ListParagraph"/>
              <w:numPr>
                <w:ilvl w:val="0"/>
                <w:numId w:val="31"/>
              </w:numPr>
              <w:rPr>
                <w:b/>
                <w:bCs/>
              </w:rPr>
            </w:pPr>
            <w:r w:rsidRPr="006169E3">
              <w:rPr>
                <w:b/>
                <w:bCs/>
              </w:rPr>
              <w:t>Hispanic/Latino</w:t>
            </w:r>
          </w:p>
        </w:tc>
        <w:tc>
          <w:tcPr>
            <w:tcW w:w="1523" w:type="dxa"/>
            <w:shd w:val="clear" w:color="auto" w:fill="auto"/>
          </w:tcPr>
          <w:p w14:paraId="7F166E7E" w14:textId="468F1788" w:rsidR="00647826" w:rsidRPr="0070451B" w:rsidRDefault="006B1F89" w:rsidP="00274E08">
            <w:r>
              <w:t>34</w:t>
            </w:r>
          </w:p>
        </w:tc>
        <w:tc>
          <w:tcPr>
            <w:tcW w:w="1595" w:type="dxa"/>
          </w:tcPr>
          <w:p w14:paraId="1A99E6BD" w14:textId="36417056" w:rsidR="00647826" w:rsidRDefault="006B1F89" w:rsidP="00274E08">
            <w:r>
              <w:t>22%</w:t>
            </w:r>
          </w:p>
        </w:tc>
      </w:tr>
      <w:tr w:rsidR="00647826" w:rsidRPr="0070451B" w14:paraId="7501FC04" w14:textId="77777777" w:rsidTr="00274E08">
        <w:trPr>
          <w:trHeight w:val="432"/>
        </w:trPr>
        <w:tc>
          <w:tcPr>
            <w:tcW w:w="6952" w:type="dxa"/>
            <w:shd w:val="clear" w:color="auto" w:fill="auto"/>
            <w:vAlign w:val="center"/>
          </w:tcPr>
          <w:p w14:paraId="2EC82EA0" w14:textId="77777777" w:rsidR="00647826" w:rsidRPr="006169E3" w:rsidRDefault="00647826" w:rsidP="00647826">
            <w:pPr>
              <w:pStyle w:val="ListParagraph"/>
              <w:numPr>
                <w:ilvl w:val="0"/>
                <w:numId w:val="31"/>
              </w:numPr>
              <w:rPr>
                <w:b/>
                <w:bCs/>
              </w:rPr>
            </w:pPr>
            <w:r w:rsidRPr="006169E3">
              <w:rPr>
                <w:b/>
                <w:bCs/>
              </w:rPr>
              <w:lastRenderedPageBreak/>
              <w:t>American Indian or Alaska Native</w:t>
            </w:r>
          </w:p>
        </w:tc>
        <w:tc>
          <w:tcPr>
            <w:tcW w:w="1523" w:type="dxa"/>
            <w:shd w:val="clear" w:color="auto" w:fill="auto"/>
          </w:tcPr>
          <w:p w14:paraId="50B17B6D" w14:textId="15FCFA8E" w:rsidR="00647826" w:rsidRPr="0070451B" w:rsidRDefault="006B1F89" w:rsidP="00274E08">
            <w:r>
              <w:t>10</w:t>
            </w:r>
          </w:p>
        </w:tc>
        <w:tc>
          <w:tcPr>
            <w:tcW w:w="1595" w:type="dxa"/>
          </w:tcPr>
          <w:p w14:paraId="43D8F37E" w14:textId="3FDBC10A" w:rsidR="00647826" w:rsidRDefault="006B1F89" w:rsidP="00274E08">
            <w:r>
              <w:t>7%</w:t>
            </w:r>
          </w:p>
        </w:tc>
      </w:tr>
      <w:tr w:rsidR="00647826" w:rsidRPr="0070451B" w14:paraId="6568672E" w14:textId="77777777" w:rsidTr="00274E08">
        <w:trPr>
          <w:trHeight w:val="432"/>
        </w:trPr>
        <w:tc>
          <w:tcPr>
            <w:tcW w:w="6952" w:type="dxa"/>
            <w:shd w:val="clear" w:color="auto" w:fill="auto"/>
            <w:vAlign w:val="center"/>
          </w:tcPr>
          <w:p w14:paraId="682E1E16" w14:textId="77777777" w:rsidR="00647826" w:rsidRPr="006169E3" w:rsidRDefault="00647826" w:rsidP="00647826">
            <w:pPr>
              <w:pStyle w:val="ListParagraph"/>
              <w:numPr>
                <w:ilvl w:val="0"/>
                <w:numId w:val="31"/>
              </w:numPr>
              <w:rPr>
                <w:b/>
                <w:bCs/>
              </w:rPr>
            </w:pPr>
            <w:r w:rsidRPr="006169E3">
              <w:rPr>
                <w:b/>
                <w:bCs/>
              </w:rPr>
              <w:t>Asian/Pacific Islander</w:t>
            </w:r>
          </w:p>
        </w:tc>
        <w:tc>
          <w:tcPr>
            <w:tcW w:w="1523" w:type="dxa"/>
            <w:shd w:val="clear" w:color="auto" w:fill="auto"/>
          </w:tcPr>
          <w:p w14:paraId="4C451CEA" w14:textId="6B1F1956" w:rsidR="006B1F89" w:rsidRPr="0070451B" w:rsidRDefault="006B1F89" w:rsidP="00274E08">
            <w:r>
              <w:t>5</w:t>
            </w:r>
          </w:p>
        </w:tc>
        <w:tc>
          <w:tcPr>
            <w:tcW w:w="1595" w:type="dxa"/>
          </w:tcPr>
          <w:p w14:paraId="12731E91" w14:textId="6FEF052C" w:rsidR="00647826" w:rsidRDefault="006B1F89" w:rsidP="00274E08">
            <w:r>
              <w:t>3%</w:t>
            </w:r>
          </w:p>
        </w:tc>
      </w:tr>
      <w:tr w:rsidR="00647826" w:rsidRPr="0070451B" w14:paraId="38554335" w14:textId="77777777" w:rsidTr="00274E08">
        <w:trPr>
          <w:trHeight w:val="432"/>
        </w:trPr>
        <w:tc>
          <w:tcPr>
            <w:tcW w:w="6952" w:type="dxa"/>
            <w:shd w:val="clear" w:color="auto" w:fill="auto"/>
            <w:vAlign w:val="center"/>
          </w:tcPr>
          <w:p w14:paraId="714B4CFD" w14:textId="77777777" w:rsidR="00647826" w:rsidRPr="006169E3" w:rsidRDefault="00647826" w:rsidP="00647826">
            <w:pPr>
              <w:pStyle w:val="ListParagraph"/>
              <w:numPr>
                <w:ilvl w:val="0"/>
                <w:numId w:val="31"/>
              </w:numPr>
              <w:rPr>
                <w:b/>
                <w:bCs/>
              </w:rPr>
            </w:pPr>
            <w:r w:rsidRPr="006169E3">
              <w:rPr>
                <w:b/>
                <w:bCs/>
              </w:rPr>
              <w:t>Black or African American</w:t>
            </w:r>
          </w:p>
        </w:tc>
        <w:tc>
          <w:tcPr>
            <w:tcW w:w="1523" w:type="dxa"/>
            <w:shd w:val="clear" w:color="auto" w:fill="auto"/>
          </w:tcPr>
          <w:p w14:paraId="70D57AB9" w14:textId="7EEF6F02" w:rsidR="00647826" w:rsidRPr="0070451B" w:rsidRDefault="006B1F89" w:rsidP="00274E08">
            <w:r>
              <w:t>21</w:t>
            </w:r>
          </w:p>
        </w:tc>
        <w:tc>
          <w:tcPr>
            <w:tcW w:w="1595" w:type="dxa"/>
          </w:tcPr>
          <w:p w14:paraId="48D1EBF0" w14:textId="4B828D15" w:rsidR="00647826" w:rsidRDefault="006B1F89" w:rsidP="00274E08">
            <w:r>
              <w:t>14%</w:t>
            </w:r>
          </w:p>
        </w:tc>
      </w:tr>
      <w:tr w:rsidR="00647826" w:rsidRPr="0070451B" w14:paraId="316AB3E0" w14:textId="77777777" w:rsidTr="00274E08">
        <w:trPr>
          <w:trHeight w:val="432"/>
        </w:trPr>
        <w:tc>
          <w:tcPr>
            <w:tcW w:w="6952" w:type="dxa"/>
            <w:shd w:val="clear" w:color="auto" w:fill="auto"/>
            <w:vAlign w:val="center"/>
          </w:tcPr>
          <w:p w14:paraId="3A002D1C" w14:textId="77777777" w:rsidR="00647826" w:rsidRPr="006169E3" w:rsidRDefault="00647826" w:rsidP="00647826">
            <w:pPr>
              <w:pStyle w:val="ListParagraph"/>
              <w:numPr>
                <w:ilvl w:val="0"/>
                <w:numId w:val="31"/>
              </w:numPr>
              <w:rPr>
                <w:b/>
                <w:bCs/>
              </w:rPr>
            </w:pPr>
            <w:r w:rsidRPr="006169E3">
              <w:rPr>
                <w:b/>
                <w:bCs/>
              </w:rPr>
              <w:t>White</w:t>
            </w:r>
          </w:p>
        </w:tc>
        <w:tc>
          <w:tcPr>
            <w:tcW w:w="1523" w:type="dxa"/>
            <w:shd w:val="clear" w:color="auto" w:fill="auto"/>
          </w:tcPr>
          <w:p w14:paraId="33CF5161" w14:textId="3F809B20" w:rsidR="00647826" w:rsidRPr="0070451B" w:rsidRDefault="006B1F89" w:rsidP="00274E08">
            <w:r>
              <w:t>10</w:t>
            </w:r>
            <w:r w:rsidR="006521E0">
              <w:t>5</w:t>
            </w:r>
          </w:p>
        </w:tc>
        <w:tc>
          <w:tcPr>
            <w:tcW w:w="1595" w:type="dxa"/>
          </w:tcPr>
          <w:p w14:paraId="3371D7A5" w14:textId="37831589" w:rsidR="00647826" w:rsidRDefault="006B1F89" w:rsidP="00274E08">
            <w:r>
              <w:t>68%</w:t>
            </w:r>
          </w:p>
        </w:tc>
      </w:tr>
      <w:tr w:rsidR="00647826" w:rsidRPr="0070451B" w14:paraId="2478AD13" w14:textId="77777777" w:rsidTr="00274E08">
        <w:trPr>
          <w:trHeight w:val="432"/>
        </w:trPr>
        <w:tc>
          <w:tcPr>
            <w:tcW w:w="6952" w:type="dxa"/>
            <w:shd w:val="clear" w:color="auto" w:fill="auto"/>
            <w:vAlign w:val="center"/>
          </w:tcPr>
          <w:p w14:paraId="65837788" w14:textId="77777777" w:rsidR="00647826" w:rsidRPr="006169E3" w:rsidRDefault="00647826" w:rsidP="00647826">
            <w:pPr>
              <w:pStyle w:val="ListParagraph"/>
              <w:numPr>
                <w:ilvl w:val="0"/>
                <w:numId w:val="31"/>
              </w:numPr>
              <w:rPr>
                <w:b/>
                <w:bCs/>
              </w:rPr>
            </w:pPr>
            <w:r w:rsidRPr="006169E3">
              <w:rPr>
                <w:b/>
                <w:bCs/>
              </w:rPr>
              <w:t>Multiracial</w:t>
            </w:r>
          </w:p>
        </w:tc>
        <w:tc>
          <w:tcPr>
            <w:tcW w:w="1523" w:type="dxa"/>
            <w:shd w:val="clear" w:color="auto" w:fill="auto"/>
          </w:tcPr>
          <w:p w14:paraId="7F8D9077" w14:textId="42829CB5" w:rsidR="00647826" w:rsidRPr="0070451B" w:rsidRDefault="006B1F89" w:rsidP="00274E08">
            <w:r>
              <w:t>4</w:t>
            </w:r>
          </w:p>
        </w:tc>
        <w:tc>
          <w:tcPr>
            <w:tcW w:w="1595" w:type="dxa"/>
          </w:tcPr>
          <w:p w14:paraId="74EC334B" w14:textId="2C683C07" w:rsidR="00647826" w:rsidRDefault="006B1F89" w:rsidP="00274E08">
            <w:r>
              <w:t>3%</w:t>
            </w:r>
          </w:p>
        </w:tc>
      </w:tr>
      <w:tr w:rsidR="00647826" w:rsidRPr="0070451B" w14:paraId="7D1CCAA8" w14:textId="77777777" w:rsidTr="00274E08">
        <w:trPr>
          <w:trHeight w:val="432"/>
        </w:trPr>
        <w:tc>
          <w:tcPr>
            <w:tcW w:w="6952" w:type="dxa"/>
            <w:shd w:val="clear" w:color="auto" w:fill="auto"/>
            <w:vAlign w:val="center"/>
          </w:tcPr>
          <w:p w14:paraId="449469E0" w14:textId="77777777" w:rsidR="00647826" w:rsidRPr="006169E3" w:rsidRDefault="00647826" w:rsidP="00647826">
            <w:pPr>
              <w:pStyle w:val="ListParagraph"/>
              <w:numPr>
                <w:ilvl w:val="0"/>
                <w:numId w:val="31"/>
              </w:numPr>
              <w:rPr>
                <w:b/>
                <w:bCs/>
              </w:rPr>
            </w:pPr>
            <w:r w:rsidRPr="006169E3">
              <w:rPr>
                <w:b/>
                <w:bCs/>
              </w:rPr>
              <w:t>Did not disclose</w:t>
            </w:r>
          </w:p>
        </w:tc>
        <w:tc>
          <w:tcPr>
            <w:tcW w:w="1523" w:type="dxa"/>
            <w:shd w:val="clear" w:color="auto" w:fill="auto"/>
          </w:tcPr>
          <w:p w14:paraId="0CAE8427" w14:textId="27C2A4B2" w:rsidR="00647826" w:rsidRPr="0070451B" w:rsidRDefault="006B1F89" w:rsidP="00274E08">
            <w:r>
              <w:t>8</w:t>
            </w:r>
          </w:p>
        </w:tc>
        <w:tc>
          <w:tcPr>
            <w:tcW w:w="1595" w:type="dxa"/>
          </w:tcPr>
          <w:p w14:paraId="1E10947A" w14:textId="14D3F243" w:rsidR="00647826" w:rsidRDefault="006B1F89" w:rsidP="00274E08">
            <w:r>
              <w:t>5%</w:t>
            </w:r>
          </w:p>
        </w:tc>
      </w:tr>
      <w:tr w:rsidR="006B1F89" w:rsidRPr="0070451B" w14:paraId="177354C5" w14:textId="77777777" w:rsidTr="00274E08">
        <w:trPr>
          <w:trHeight w:val="432"/>
        </w:trPr>
        <w:tc>
          <w:tcPr>
            <w:tcW w:w="6952" w:type="dxa"/>
            <w:shd w:val="clear" w:color="auto" w:fill="auto"/>
            <w:vAlign w:val="center"/>
          </w:tcPr>
          <w:p w14:paraId="090DDEB4" w14:textId="32FB7BBF" w:rsidR="006B1F89" w:rsidRPr="006169E3" w:rsidRDefault="006B1F89" w:rsidP="00647826">
            <w:pPr>
              <w:pStyle w:val="ListParagraph"/>
              <w:numPr>
                <w:ilvl w:val="0"/>
                <w:numId w:val="31"/>
              </w:numPr>
              <w:rPr>
                <w:b/>
                <w:bCs/>
              </w:rPr>
            </w:pPr>
            <w:r w:rsidRPr="006169E3">
              <w:rPr>
                <w:b/>
                <w:bCs/>
              </w:rPr>
              <w:t>Youth with Disability</w:t>
            </w:r>
          </w:p>
        </w:tc>
        <w:tc>
          <w:tcPr>
            <w:tcW w:w="1523" w:type="dxa"/>
            <w:shd w:val="clear" w:color="auto" w:fill="auto"/>
          </w:tcPr>
          <w:p w14:paraId="7425575C" w14:textId="13121C47" w:rsidR="006B1F89" w:rsidRDefault="006B1F89" w:rsidP="00274E08">
            <w:r>
              <w:t>92</w:t>
            </w:r>
          </w:p>
        </w:tc>
        <w:tc>
          <w:tcPr>
            <w:tcW w:w="1595" w:type="dxa"/>
          </w:tcPr>
          <w:p w14:paraId="5795588F" w14:textId="0640F0C9" w:rsidR="006B1F89" w:rsidRDefault="006B1F89" w:rsidP="00274E08">
            <w:r>
              <w:t>61%</w:t>
            </w:r>
          </w:p>
        </w:tc>
      </w:tr>
      <w:tr w:rsidR="00647826" w:rsidRPr="0070451B" w14:paraId="04D85EA5" w14:textId="77777777" w:rsidTr="00274E08">
        <w:trPr>
          <w:trHeight w:val="432"/>
        </w:trPr>
        <w:tc>
          <w:tcPr>
            <w:tcW w:w="6952" w:type="dxa"/>
            <w:shd w:val="clear" w:color="auto" w:fill="auto"/>
            <w:vAlign w:val="center"/>
          </w:tcPr>
          <w:p w14:paraId="54979407" w14:textId="77777777" w:rsidR="00647826" w:rsidRPr="006169E3" w:rsidRDefault="00647826" w:rsidP="00647826">
            <w:pPr>
              <w:pStyle w:val="ListParagraph"/>
              <w:numPr>
                <w:ilvl w:val="0"/>
                <w:numId w:val="31"/>
              </w:numPr>
              <w:rPr>
                <w:b/>
                <w:bCs/>
              </w:rPr>
            </w:pPr>
            <w:r w:rsidRPr="006169E3">
              <w:rPr>
                <w:b/>
                <w:bCs/>
              </w:rPr>
              <w:t>8</w:t>
            </w:r>
            <w:r w:rsidRPr="006169E3">
              <w:rPr>
                <w:b/>
                <w:bCs/>
                <w:vertAlign w:val="superscript"/>
              </w:rPr>
              <w:t>th</w:t>
            </w:r>
            <w:r w:rsidRPr="006169E3">
              <w:rPr>
                <w:b/>
                <w:bCs/>
              </w:rPr>
              <w:t xml:space="preserve"> Grade – 12</w:t>
            </w:r>
            <w:r w:rsidRPr="006169E3">
              <w:rPr>
                <w:b/>
                <w:bCs/>
                <w:vertAlign w:val="superscript"/>
              </w:rPr>
              <w:t>th</w:t>
            </w:r>
            <w:r w:rsidRPr="006169E3">
              <w:rPr>
                <w:b/>
                <w:bCs/>
              </w:rPr>
              <w:t xml:space="preserve"> Grade</w:t>
            </w:r>
          </w:p>
        </w:tc>
        <w:tc>
          <w:tcPr>
            <w:tcW w:w="1523" w:type="dxa"/>
            <w:shd w:val="clear" w:color="auto" w:fill="auto"/>
          </w:tcPr>
          <w:p w14:paraId="5616BA44" w14:textId="338B1A99" w:rsidR="00647826" w:rsidRPr="0070451B" w:rsidRDefault="006521E0" w:rsidP="00274E08">
            <w:r>
              <w:t>103</w:t>
            </w:r>
          </w:p>
        </w:tc>
        <w:tc>
          <w:tcPr>
            <w:tcW w:w="1595" w:type="dxa"/>
          </w:tcPr>
          <w:p w14:paraId="40F4A7DB" w14:textId="52B46815" w:rsidR="00647826" w:rsidRDefault="006B1F89" w:rsidP="00274E08">
            <w:r>
              <w:t>6</w:t>
            </w:r>
            <w:r w:rsidR="006521E0">
              <w:t>7</w:t>
            </w:r>
            <w:r>
              <w:t>%</w:t>
            </w:r>
          </w:p>
        </w:tc>
      </w:tr>
      <w:tr w:rsidR="00647826" w:rsidRPr="0070451B" w14:paraId="08954C6F" w14:textId="77777777" w:rsidTr="00274E08">
        <w:trPr>
          <w:trHeight w:val="432"/>
        </w:trPr>
        <w:tc>
          <w:tcPr>
            <w:tcW w:w="6952" w:type="dxa"/>
            <w:shd w:val="clear" w:color="auto" w:fill="auto"/>
            <w:vAlign w:val="center"/>
          </w:tcPr>
          <w:p w14:paraId="7BB38A7F" w14:textId="77777777" w:rsidR="00647826" w:rsidRPr="006169E3" w:rsidRDefault="00647826" w:rsidP="00647826">
            <w:pPr>
              <w:pStyle w:val="ListParagraph"/>
              <w:numPr>
                <w:ilvl w:val="0"/>
                <w:numId w:val="31"/>
              </w:numPr>
              <w:rPr>
                <w:b/>
                <w:bCs/>
              </w:rPr>
            </w:pPr>
            <w:r w:rsidRPr="006169E3">
              <w:rPr>
                <w:b/>
                <w:bCs/>
              </w:rPr>
              <w:t>High School graduate or equivalent</w:t>
            </w:r>
          </w:p>
        </w:tc>
        <w:tc>
          <w:tcPr>
            <w:tcW w:w="1523" w:type="dxa"/>
            <w:shd w:val="clear" w:color="auto" w:fill="auto"/>
          </w:tcPr>
          <w:p w14:paraId="31D530EF" w14:textId="53E6672A" w:rsidR="00647826" w:rsidRPr="0070451B" w:rsidRDefault="006B1F89" w:rsidP="00274E08">
            <w:r>
              <w:t>45</w:t>
            </w:r>
          </w:p>
        </w:tc>
        <w:tc>
          <w:tcPr>
            <w:tcW w:w="1595" w:type="dxa"/>
          </w:tcPr>
          <w:p w14:paraId="5AC311F8" w14:textId="1625B4B4" w:rsidR="00647826" w:rsidRDefault="006B1F89" w:rsidP="00274E08">
            <w:r>
              <w:t>30%</w:t>
            </w:r>
          </w:p>
        </w:tc>
      </w:tr>
      <w:tr w:rsidR="00647826" w:rsidRPr="0070451B" w14:paraId="26C62B51" w14:textId="77777777" w:rsidTr="00274E08">
        <w:trPr>
          <w:trHeight w:val="432"/>
        </w:trPr>
        <w:tc>
          <w:tcPr>
            <w:tcW w:w="6952" w:type="dxa"/>
            <w:shd w:val="clear" w:color="auto" w:fill="auto"/>
            <w:vAlign w:val="center"/>
          </w:tcPr>
          <w:p w14:paraId="62A20308" w14:textId="77777777" w:rsidR="00647826" w:rsidRPr="006169E3" w:rsidRDefault="00647826" w:rsidP="00647826">
            <w:pPr>
              <w:pStyle w:val="ListParagraph"/>
              <w:numPr>
                <w:ilvl w:val="0"/>
                <w:numId w:val="31"/>
              </w:numPr>
              <w:rPr>
                <w:b/>
                <w:bCs/>
              </w:rPr>
            </w:pPr>
            <w:r w:rsidRPr="006169E3">
              <w:rPr>
                <w:b/>
                <w:bCs/>
              </w:rPr>
              <w:t>Post-Secondary Education</w:t>
            </w:r>
          </w:p>
        </w:tc>
        <w:tc>
          <w:tcPr>
            <w:tcW w:w="1523" w:type="dxa"/>
            <w:shd w:val="clear" w:color="auto" w:fill="auto"/>
          </w:tcPr>
          <w:p w14:paraId="7C5B3965" w14:textId="4910A65A" w:rsidR="00647826" w:rsidRPr="0070451B" w:rsidRDefault="006B1F89" w:rsidP="00274E08">
            <w:r>
              <w:t>6</w:t>
            </w:r>
          </w:p>
        </w:tc>
        <w:tc>
          <w:tcPr>
            <w:tcW w:w="1595" w:type="dxa"/>
          </w:tcPr>
          <w:p w14:paraId="52B5E2AF" w14:textId="630AF5E5" w:rsidR="00647826" w:rsidRDefault="006B1F89" w:rsidP="00274E08">
            <w:r>
              <w:t>4%</w:t>
            </w:r>
          </w:p>
        </w:tc>
      </w:tr>
      <w:bookmarkEnd w:id="13"/>
    </w:tbl>
    <w:p w14:paraId="610064BE" w14:textId="64B10FE6" w:rsidR="00CF78F7" w:rsidRDefault="00CF78F7" w:rsidP="00CF78F7"/>
    <w:p w14:paraId="77BBC4C4" w14:textId="2C7B8A79" w:rsidR="00647826" w:rsidRDefault="006169E3" w:rsidP="006169E3">
      <w:pPr>
        <w:pStyle w:val="Heading2"/>
      </w:pPr>
      <w:bookmarkStart w:id="14" w:name="_Toc113524019"/>
      <w:r>
        <w:t xml:space="preserve">Program Activities and </w:t>
      </w:r>
      <w:r w:rsidR="004840B7">
        <w:t>Performance Outcomes</w:t>
      </w:r>
      <w:bookmarkEnd w:id="14"/>
    </w:p>
    <w:tbl>
      <w:tblPr>
        <w:tblW w:w="10075" w:type="dxa"/>
        <w:tblLook w:val="04A0" w:firstRow="1" w:lastRow="0" w:firstColumn="1" w:lastColumn="0" w:noHBand="0" w:noVBand="1"/>
      </w:tblPr>
      <w:tblGrid>
        <w:gridCol w:w="7015"/>
        <w:gridCol w:w="1440"/>
        <w:gridCol w:w="1620"/>
      </w:tblGrid>
      <w:tr w:rsidR="006169E3" w:rsidRPr="004840B7" w14:paraId="5BB64577" w14:textId="77777777" w:rsidTr="006169E3">
        <w:trPr>
          <w:trHeight w:val="590"/>
        </w:trPr>
        <w:tc>
          <w:tcPr>
            <w:tcW w:w="701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A115C9" w14:textId="77777777" w:rsidR="006169E3" w:rsidRPr="004840B7" w:rsidRDefault="006169E3" w:rsidP="006169E3">
            <w:pPr>
              <w:spacing w:before="0" w:after="0" w:line="240" w:lineRule="auto"/>
              <w:jc w:val="center"/>
              <w:rPr>
                <w:rFonts w:cs="Calibri"/>
                <w:b/>
                <w:bCs/>
                <w:color w:val="000000"/>
                <w:lang w:bidi="ar-SA"/>
              </w:rPr>
            </w:pPr>
            <w:r w:rsidRPr="004840B7">
              <w:rPr>
                <w:rFonts w:cs="Calibri"/>
                <w:b/>
                <w:bCs/>
                <w:color w:val="000000"/>
                <w:lang w:bidi="ar-SA"/>
              </w:rPr>
              <w:t>PROGRAM SERVICES, ACTIVITIES, AND OTHER RELATED ASSISTANCE FOR INDIVIDUAL SERVICES</w:t>
            </w:r>
          </w:p>
        </w:tc>
        <w:tc>
          <w:tcPr>
            <w:tcW w:w="1440" w:type="dxa"/>
            <w:tcBorders>
              <w:top w:val="single" w:sz="4" w:space="0" w:color="auto"/>
              <w:left w:val="nil"/>
              <w:bottom w:val="single" w:sz="4" w:space="0" w:color="auto"/>
              <w:right w:val="single" w:sz="4" w:space="0" w:color="auto"/>
            </w:tcBorders>
            <w:shd w:val="clear" w:color="auto" w:fill="92D050"/>
            <w:noWrap/>
            <w:vAlign w:val="center"/>
            <w:hideMark/>
          </w:tcPr>
          <w:p w14:paraId="2FCD93CA" w14:textId="77777777" w:rsidR="006169E3" w:rsidRPr="004840B7" w:rsidRDefault="006169E3" w:rsidP="006169E3">
            <w:pPr>
              <w:spacing w:before="0" w:after="0" w:line="240" w:lineRule="auto"/>
              <w:jc w:val="center"/>
              <w:rPr>
                <w:rFonts w:cs="Calibri"/>
                <w:b/>
                <w:bCs/>
                <w:color w:val="000000"/>
                <w:lang w:bidi="ar-SA"/>
              </w:rPr>
            </w:pPr>
            <w:r w:rsidRPr="004840B7">
              <w:rPr>
                <w:rFonts w:cs="Calibri"/>
                <w:b/>
                <w:bCs/>
                <w:color w:val="000000"/>
                <w:lang w:bidi="ar-SA"/>
              </w:rPr>
              <w:t>Total</w:t>
            </w:r>
          </w:p>
        </w:tc>
        <w:tc>
          <w:tcPr>
            <w:tcW w:w="1620" w:type="dxa"/>
            <w:vMerge w:val="restart"/>
            <w:tcBorders>
              <w:top w:val="single" w:sz="4" w:space="0" w:color="auto"/>
              <w:left w:val="nil"/>
              <w:right w:val="single" w:sz="4" w:space="0" w:color="auto"/>
            </w:tcBorders>
            <w:shd w:val="clear" w:color="auto" w:fill="92D050"/>
            <w:noWrap/>
            <w:vAlign w:val="center"/>
            <w:hideMark/>
          </w:tcPr>
          <w:p w14:paraId="6DDCE9CE" w14:textId="77777777" w:rsidR="006169E3" w:rsidRPr="004840B7" w:rsidRDefault="006169E3" w:rsidP="006169E3">
            <w:pPr>
              <w:spacing w:before="0" w:after="0" w:line="240" w:lineRule="auto"/>
              <w:jc w:val="center"/>
              <w:rPr>
                <w:rFonts w:cs="Calibri"/>
                <w:b/>
                <w:bCs/>
                <w:color w:val="000000"/>
                <w:lang w:bidi="ar-SA"/>
              </w:rPr>
            </w:pPr>
            <w:r w:rsidRPr="004840B7">
              <w:rPr>
                <w:rFonts w:cs="Calibri"/>
                <w:b/>
                <w:bCs/>
                <w:color w:val="000000"/>
                <w:lang w:bidi="ar-SA"/>
              </w:rPr>
              <w:t>Percentage</w:t>
            </w:r>
          </w:p>
          <w:p w14:paraId="7CAB8911" w14:textId="672F2701" w:rsidR="006169E3" w:rsidRPr="004840B7" w:rsidRDefault="006169E3" w:rsidP="006169E3">
            <w:pPr>
              <w:spacing w:before="0" w:after="0" w:line="240" w:lineRule="auto"/>
              <w:jc w:val="center"/>
              <w:rPr>
                <w:rFonts w:cs="Calibri"/>
                <w:b/>
                <w:bCs/>
                <w:color w:val="000000"/>
                <w:lang w:bidi="ar-SA"/>
              </w:rPr>
            </w:pPr>
          </w:p>
        </w:tc>
      </w:tr>
      <w:tr w:rsidR="006169E3" w:rsidRPr="004840B7" w14:paraId="31AAC1F6" w14:textId="77777777" w:rsidTr="00E729FC">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7A93BC78" w14:textId="77777777" w:rsidR="006169E3" w:rsidRPr="004840B7" w:rsidRDefault="006169E3" w:rsidP="004840B7">
            <w:pPr>
              <w:spacing w:before="0" w:after="0" w:line="240" w:lineRule="auto"/>
              <w:rPr>
                <w:rFonts w:cs="Calibri"/>
                <w:b/>
                <w:bCs/>
                <w:color w:val="000000"/>
                <w:lang w:bidi="ar-SA"/>
              </w:rPr>
            </w:pPr>
            <w:r w:rsidRPr="004840B7">
              <w:rPr>
                <w:rFonts w:cs="Calibri"/>
                <w:b/>
                <w:bCs/>
                <w:color w:val="000000"/>
                <w:lang w:bidi="ar-SA"/>
              </w:rPr>
              <w:t>Total Served</w:t>
            </w:r>
          </w:p>
        </w:tc>
        <w:tc>
          <w:tcPr>
            <w:tcW w:w="1440" w:type="dxa"/>
            <w:tcBorders>
              <w:top w:val="nil"/>
              <w:left w:val="nil"/>
              <w:bottom w:val="single" w:sz="4" w:space="0" w:color="auto"/>
              <w:right w:val="single" w:sz="4" w:space="0" w:color="auto"/>
            </w:tcBorders>
            <w:shd w:val="clear" w:color="auto" w:fill="auto"/>
            <w:noWrap/>
            <w:vAlign w:val="bottom"/>
            <w:hideMark/>
          </w:tcPr>
          <w:p w14:paraId="10B24A6C" w14:textId="43730F27" w:rsidR="006169E3" w:rsidRPr="004840B7" w:rsidRDefault="006169E3" w:rsidP="004840B7">
            <w:pPr>
              <w:spacing w:before="0" w:after="0" w:line="240" w:lineRule="auto"/>
              <w:jc w:val="right"/>
              <w:rPr>
                <w:rFonts w:cs="Calibri"/>
                <w:color w:val="000000"/>
                <w:lang w:bidi="ar-SA"/>
              </w:rPr>
            </w:pPr>
            <w:r w:rsidRPr="004840B7">
              <w:rPr>
                <w:rFonts w:cs="Calibri"/>
                <w:color w:val="000000"/>
                <w:lang w:bidi="ar-SA"/>
              </w:rPr>
              <w:t>15</w:t>
            </w:r>
            <w:r w:rsidR="0008210D">
              <w:rPr>
                <w:rFonts w:cs="Calibri"/>
                <w:color w:val="000000"/>
                <w:lang w:bidi="ar-SA"/>
              </w:rPr>
              <w:t>4</w:t>
            </w:r>
          </w:p>
        </w:tc>
        <w:tc>
          <w:tcPr>
            <w:tcW w:w="1620" w:type="dxa"/>
            <w:vMerge/>
            <w:tcBorders>
              <w:left w:val="nil"/>
              <w:bottom w:val="single" w:sz="4" w:space="0" w:color="auto"/>
              <w:right w:val="single" w:sz="4" w:space="0" w:color="auto"/>
            </w:tcBorders>
            <w:shd w:val="clear" w:color="auto" w:fill="auto"/>
            <w:noWrap/>
            <w:vAlign w:val="bottom"/>
            <w:hideMark/>
          </w:tcPr>
          <w:p w14:paraId="22DDCA68" w14:textId="351E7E38" w:rsidR="006169E3" w:rsidRPr="004840B7" w:rsidRDefault="006169E3" w:rsidP="004840B7">
            <w:pPr>
              <w:spacing w:before="0" w:after="0" w:line="240" w:lineRule="auto"/>
              <w:rPr>
                <w:rFonts w:cs="Calibri"/>
                <w:color w:val="000000"/>
                <w:lang w:bidi="ar-SA"/>
              </w:rPr>
            </w:pPr>
          </w:p>
        </w:tc>
      </w:tr>
      <w:tr w:rsidR="004840B7" w:rsidRPr="004840B7" w14:paraId="69309676" w14:textId="77777777" w:rsidTr="004840B7">
        <w:trPr>
          <w:trHeight w:val="145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7EDFCD76"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 xml:space="preserve">A.      Received Education, Employment Preparation, or Work Readiness/Job Training Activities (Includes Training in ABE/Remedial, Basic Skills, Classroom, Labor Market Info, Life Skills, and Occupational Skills) </w:t>
            </w:r>
          </w:p>
        </w:tc>
        <w:tc>
          <w:tcPr>
            <w:tcW w:w="1440" w:type="dxa"/>
            <w:tcBorders>
              <w:top w:val="nil"/>
              <w:left w:val="nil"/>
              <w:bottom w:val="single" w:sz="4" w:space="0" w:color="auto"/>
              <w:right w:val="single" w:sz="4" w:space="0" w:color="auto"/>
            </w:tcBorders>
            <w:shd w:val="clear" w:color="auto" w:fill="auto"/>
            <w:noWrap/>
            <w:vAlign w:val="bottom"/>
            <w:hideMark/>
          </w:tcPr>
          <w:p w14:paraId="6ADA1290" w14:textId="4FBBEEC0"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15</w:t>
            </w:r>
            <w:r w:rsidR="0008210D">
              <w:rPr>
                <w:rFonts w:cs="Calibri"/>
                <w:color w:val="000000"/>
                <w:lang w:bidi="ar-SA"/>
              </w:rPr>
              <w:t>3</w:t>
            </w:r>
          </w:p>
        </w:tc>
        <w:tc>
          <w:tcPr>
            <w:tcW w:w="1620" w:type="dxa"/>
            <w:tcBorders>
              <w:top w:val="nil"/>
              <w:left w:val="nil"/>
              <w:bottom w:val="single" w:sz="4" w:space="0" w:color="auto"/>
              <w:right w:val="single" w:sz="4" w:space="0" w:color="auto"/>
            </w:tcBorders>
            <w:shd w:val="clear" w:color="auto" w:fill="auto"/>
            <w:noWrap/>
            <w:vAlign w:val="bottom"/>
            <w:hideMark/>
          </w:tcPr>
          <w:p w14:paraId="4B071154"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99%</w:t>
            </w:r>
          </w:p>
        </w:tc>
      </w:tr>
      <w:tr w:rsidR="004840B7" w:rsidRPr="004840B7" w14:paraId="0F66FD0C" w14:textId="77777777" w:rsidTr="004840B7">
        <w:trPr>
          <w:trHeight w:val="58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080909A2"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B.      Received Work Experience, Internship, or Apprenticeship Activities</w:t>
            </w:r>
          </w:p>
        </w:tc>
        <w:tc>
          <w:tcPr>
            <w:tcW w:w="1440" w:type="dxa"/>
            <w:tcBorders>
              <w:top w:val="nil"/>
              <w:left w:val="nil"/>
              <w:bottom w:val="single" w:sz="4" w:space="0" w:color="auto"/>
              <w:right w:val="single" w:sz="4" w:space="0" w:color="auto"/>
            </w:tcBorders>
            <w:shd w:val="clear" w:color="auto" w:fill="auto"/>
            <w:noWrap/>
            <w:vAlign w:val="bottom"/>
            <w:hideMark/>
          </w:tcPr>
          <w:p w14:paraId="5DC33A61" w14:textId="14B815A8"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7</w:t>
            </w:r>
            <w:r w:rsidR="0008210D">
              <w:rPr>
                <w:rFonts w:cs="Calibri"/>
                <w:color w:val="000000"/>
                <w:lang w:bidi="ar-SA"/>
              </w:rPr>
              <w:t>3</w:t>
            </w:r>
          </w:p>
        </w:tc>
        <w:tc>
          <w:tcPr>
            <w:tcW w:w="1620" w:type="dxa"/>
            <w:tcBorders>
              <w:top w:val="nil"/>
              <w:left w:val="nil"/>
              <w:bottom w:val="single" w:sz="4" w:space="0" w:color="auto"/>
              <w:right w:val="single" w:sz="4" w:space="0" w:color="auto"/>
            </w:tcBorders>
            <w:shd w:val="clear" w:color="auto" w:fill="auto"/>
            <w:noWrap/>
            <w:vAlign w:val="bottom"/>
            <w:hideMark/>
          </w:tcPr>
          <w:p w14:paraId="25A393BA"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47%</w:t>
            </w:r>
          </w:p>
        </w:tc>
      </w:tr>
      <w:tr w:rsidR="004840B7" w:rsidRPr="004840B7" w14:paraId="12A5CD34" w14:textId="77777777" w:rsidTr="004840B7">
        <w:trPr>
          <w:trHeight w:val="58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7D066ADB"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C.      Received Community Involvement and Leadership Development Activities</w:t>
            </w:r>
          </w:p>
        </w:tc>
        <w:tc>
          <w:tcPr>
            <w:tcW w:w="1440" w:type="dxa"/>
            <w:tcBorders>
              <w:top w:val="nil"/>
              <w:left w:val="nil"/>
              <w:bottom w:val="single" w:sz="4" w:space="0" w:color="auto"/>
              <w:right w:val="single" w:sz="4" w:space="0" w:color="auto"/>
            </w:tcBorders>
            <w:shd w:val="clear" w:color="auto" w:fill="auto"/>
            <w:noWrap/>
            <w:vAlign w:val="bottom"/>
            <w:hideMark/>
          </w:tcPr>
          <w:p w14:paraId="7A3E47EB"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0</w:t>
            </w:r>
          </w:p>
        </w:tc>
        <w:tc>
          <w:tcPr>
            <w:tcW w:w="1620" w:type="dxa"/>
            <w:tcBorders>
              <w:top w:val="nil"/>
              <w:left w:val="nil"/>
              <w:bottom w:val="single" w:sz="4" w:space="0" w:color="auto"/>
              <w:right w:val="single" w:sz="4" w:space="0" w:color="auto"/>
            </w:tcBorders>
            <w:shd w:val="clear" w:color="auto" w:fill="auto"/>
            <w:noWrap/>
            <w:vAlign w:val="bottom"/>
            <w:hideMark/>
          </w:tcPr>
          <w:p w14:paraId="425A0605"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0%</w:t>
            </w:r>
          </w:p>
        </w:tc>
      </w:tr>
      <w:tr w:rsidR="004840B7" w:rsidRPr="004840B7" w14:paraId="0082081C" w14:textId="77777777" w:rsidTr="004840B7">
        <w:trPr>
          <w:trHeight w:val="58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7DBE0021"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lastRenderedPageBreak/>
              <w:t>D.      Received Post-Secondary Exploration, Career Guidance and Planning Activities</w:t>
            </w:r>
          </w:p>
        </w:tc>
        <w:tc>
          <w:tcPr>
            <w:tcW w:w="1440" w:type="dxa"/>
            <w:tcBorders>
              <w:top w:val="nil"/>
              <w:left w:val="nil"/>
              <w:bottom w:val="single" w:sz="4" w:space="0" w:color="auto"/>
              <w:right w:val="single" w:sz="4" w:space="0" w:color="auto"/>
            </w:tcBorders>
            <w:shd w:val="clear" w:color="auto" w:fill="auto"/>
            <w:noWrap/>
            <w:vAlign w:val="bottom"/>
            <w:hideMark/>
          </w:tcPr>
          <w:p w14:paraId="7D17F3B0" w14:textId="6F2EDE42"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12</w:t>
            </w:r>
            <w:r w:rsidR="0008210D">
              <w:rPr>
                <w:rFonts w:cs="Calibri"/>
                <w:color w:val="000000"/>
                <w:lang w:bidi="ar-SA"/>
              </w:rPr>
              <w:t>9</w:t>
            </w:r>
          </w:p>
        </w:tc>
        <w:tc>
          <w:tcPr>
            <w:tcW w:w="1620" w:type="dxa"/>
            <w:tcBorders>
              <w:top w:val="nil"/>
              <w:left w:val="nil"/>
              <w:bottom w:val="single" w:sz="4" w:space="0" w:color="auto"/>
              <w:right w:val="single" w:sz="4" w:space="0" w:color="auto"/>
            </w:tcBorders>
            <w:shd w:val="clear" w:color="auto" w:fill="auto"/>
            <w:noWrap/>
            <w:vAlign w:val="bottom"/>
            <w:hideMark/>
          </w:tcPr>
          <w:p w14:paraId="1AEC90F7"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84%</w:t>
            </w:r>
          </w:p>
        </w:tc>
      </w:tr>
      <w:tr w:rsidR="004840B7" w:rsidRPr="004840B7" w14:paraId="25C5D882" w14:textId="77777777" w:rsidTr="004840B7">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177DCC60"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E.       Received Mentoring Activities</w:t>
            </w:r>
          </w:p>
        </w:tc>
        <w:tc>
          <w:tcPr>
            <w:tcW w:w="1440" w:type="dxa"/>
            <w:tcBorders>
              <w:top w:val="nil"/>
              <w:left w:val="nil"/>
              <w:bottom w:val="single" w:sz="4" w:space="0" w:color="auto"/>
              <w:right w:val="single" w:sz="4" w:space="0" w:color="auto"/>
            </w:tcBorders>
            <w:shd w:val="clear" w:color="auto" w:fill="auto"/>
            <w:noWrap/>
            <w:vAlign w:val="bottom"/>
            <w:hideMark/>
          </w:tcPr>
          <w:p w14:paraId="50164D2D" w14:textId="4CEF21B2" w:rsidR="004840B7" w:rsidRPr="004840B7" w:rsidRDefault="0008210D" w:rsidP="004840B7">
            <w:pPr>
              <w:spacing w:before="0" w:after="0" w:line="240" w:lineRule="auto"/>
              <w:jc w:val="right"/>
              <w:rPr>
                <w:rFonts w:cs="Calibri"/>
                <w:color w:val="000000"/>
                <w:lang w:bidi="ar-SA"/>
              </w:rPr>
            </w:pPr>
            <w:r>
              <w:rPr>
                <w:rFonts w:cs="Calibri"/>
                <w:color w:val="000000"/>
                <w:lang w:bidi="ar-SA"/>
              </w:rPr>
              <w:t>41</w:t>
            </w:r>
          </w:p>
        </w:tc>
        <w:tc>
          <w:tcPr>
            <w:tcW w:w="1620" w:type="dxa"/>
            <w:tcBorders>
              <w:top w:val="nil"/>
              <w:left w:val="nil"/>
              <w:bottom w:val="single" w:sz="4" w:space="0" w:color="auto"/>
              <w:right w:val="single" w:sz="4" w:space="0" w:color="auto"/>
            </w:tcBorders>
            <w:shd w:val="clear" w:color="auto" w:fill="auto"/>
            <w:noWrap/>
            <w:vAlign w:val="bottom"/>
            <w:hideMark/>
          </w:tcPr>
          <w:p w14:paraId="029B9593" w14:textId="3BBC45CA" w:rsidR="004840B7" w:rsidRPr="004840B7" w:rsidRDefault="00932C4C" w:rsidP="004840B7">
            <w:pPr>
              <w:spacing w:before="0" w:after="0" w:line="240" w:lineRule="auto"/>
              <w:jc w:val="right"/>
              <w:rPr>
                <w:rFonts w:cs="Calibri"/>
                <w:color w:val="000000"/>
                <w:lang w:bidi="ar-SA"/>
              </w:rPr>
            </w:pPr>
            <w:r>
              <w:rPr>
                <w:rFonts w:cs="Calibri"/>
                <w:color w:val="000000"/>
                <w:lang w:bidi="ar-SA"/>
              </w:rPr>
              <w:t>27</w:t>
            </w:r>
            <w:r w:rsidR="004840B7" w:rsidRPr="004840B7">
              <w:rPr>
                <w:rFonts w:cs="Calibri"/>
                <w:color w:val="000000"/>
                <w:lang w:bidi="ar-SA"/>
              </w:rPr>
              <w:t>%</w:t>
            </w:r>
          </w:p>
        </w:tc>
      </w:tr>
      <w:tr w:rsidR="004840B7" w:rsidRPr="004840B7" w14:paraId="2B1F7938" w14:textId="77777777" w:rsidTr="004840B7">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320FBE3C"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F.       Received Support Services</w:t>
            </w:r>
          </w:p>
        </w:tc>
        <w:tc>
          <w:tcPr>
            <w:tcW w:w="1440" w:type="dxa"/>
            <w:tcBorders>
              <w:top w:val="nil"/>
              <w:left w:val="nil"/>
              <w:bottom w:val="single" w:sz="4" w:space="0" w:color="auto"/>
              <w:right w:val="single" w:sz="4" w:space="0" w:color="auto"/>
            </w:tcBorders>
            <w:shd w:val="clear" w:color="auto" w:fill="auto"/>
            <w:noWrap/>
            <w:vAlign w:val="bottom"/>
            <w:hideMark/>
          </w:tcPr>
          <w:p w14:paraId="2101C776" w14:textId="6045F045" w:rsidR="004840B7" w:rsidRPr="004840B7" w:rsidRDefault="0008210D" w:rsidP="004840B7">
            <w:pPr>
              <w:spacing w:before="0" w:after="0" w:line="240" w:lineRule="auto"/>
              <w:jc w:val="right"/>
              <w:rPr>
                <w:rFonts w:cs="Calibri"/>
                <w:color w:val="000000"/>
                <w:lang w:bidi="ar-SA"/>
              </w:rPr>
            </w:pPr>
            <w:r>
              <w:rPr>
                <w:rFonts w:cs="Calibri"/>
                <w:color w:val="000000"/>
                <w:lang w:bidi="ar-SA"/>
              </w:rPr>
              <w:t>50</w:t>
            </w:r>
          </w:p>
        </w:tc>
        <w:tc>
          <w:tcPr>
            <w:tcW w:w="1620" w:type="dxa"/>
            <w:tcBorders>
              <w:top w:val="nil"/>
              <w:left w:val="nil"/>
              <w:bottom w:val="single" w:sz="4" w:space="0" w:color="auto"/>
              <w:right w:val="single" w:sz="4" w:space="0" w:color="auto"/>
            </w:tcBorders>
            <w:shd w:val="clear" w:color="auto" w:fill="auto"/>
            <w:noWrap/>
            <w:vAlign w:val="bottom"/>
            <w:hideMark/>
          </w:tcPr>
          <w:p w14:paraId="5C4DAE2A"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32%</w:t>
            </w:r>
          </w:p>
        </w:tc>
      </w:tr>
      <w:tr w:rsidR="004840B7" w:rsidRPr="004840B7" w14:paraId="22C9CF64" w14:textId="77777777" w:rsidTr="004840B7">
        <w:trPr>
          <w:trHeight w:val="30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717A2BC3"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G.      Received Financial Literacy Education</w:t>
            </w:r>
          </w:p>
        </w:tc>
        <w:tc>
          <w:tcPr>
            <w:tcW w:w="1440" w:type="dxa"/>
            <w:tcBorders>
              <w:top w:val="nil"/>
              <w:left w:val="nil"/>
              <w:bottom w:val="single" w:sz="4" w:space="0" w:color="auto"/>
              <w:right w:val="single" w:sz="4" w:space="0" w:color="auto"/>
            </w:tcBorders>
            <w:shd w:val="clear" w:color="auto" w:fill="auto"/>
            <w:noWrap/>
            <w:vAlign w:val="bottom"/>
            <w:hideMark/>
          </w:tcPr>
          <w:p w14:paraId="76EDD08C"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1C667CAE" w14:textId="40CC6701"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6</w:t>
            </w:r>
            <w:r w:rsidR="00932C4C">
              <w:rPr>
                <w:rFonts w:cs="Calibri"/>
                <w:color w:val="000000"/>
                <w:lang w:bidi="ar-SA"/>
              </w:rPr>
              <w:t>5</w:t>
            </w:r>
            <w:r w:rsidRPr="004840B7">
              <w:rPr>
                <w:rFonts w:cs="Calibri"/>
                <w:color w:val="000000"/>
                <w:lang w:bidi="ar-SA"/>
              </w:rPr>
              <w:t>%</w:t>
            </w:r>
          </w:p>
        </w:tc>
      </w:tr>
      <w:tr w:rsidR="006169E3" w:rsidRPr="004840B7" w14:paraId="45391C26" w14:textId="77777777" w:rsidTr="006169E3">
        <w:trPr>
          <w:trHeight w:val="580"/>
        </w:trPr>
        <w:tc>
          <w:tcPr>
            <w:tcW w:w="10075" w:type="dxa"/>
            <w:gridSpan w:val="3"/>
            <w:tcBorders>
              <w:top w:val="nil"/>
              <w:left w:val="single" w:sz="4" w:space="0" w:color="auto"/>
              <w:bottom w:val="single" w:sz="4" w:space="0" w:color="auto"/>
              <w:right w:val="single" w:sz="4" w:space="0" w:color="auto"/>
            </w:tcBorders>
            <w:shd w:val="clear" w:color="auto" w:fill="92D050"/>
            <w:vAlign w:val="center"/>
            <w:hideMark/>
          </w:tcPr>
          <w:p w14:paraId="06AA101F" w14:textId="492445E1" w:rsidR="006169E3" w:rsidRPr="004840B7" w:rsidRDefault="006169E3" w:rsidP="006169E3">
            <w:pPr>
              <w:spacing w:before="0" w:after="0" w:line="240" w:lineRule="auto"/>
              <w:jc w:val="center"/>
              <w:rPr>
                <w:rFonts w:cs="Calibri"/>
                <w:b/>
                <w:bCs/>
                <w:color w:val="000000"/>
                <w:lang w:bidi="ar-SA"/>
              </w:rPr>
            </w:pPr>
            <w:r w:rsidRPr="004840B7">
              <w:rPr>
                <w:rFonts w:cs="Calibri"/>
                <w:b/>
                <w:bCs/>
                <w:lang w:bidi="ar-SA"/>
              </w:rPr>
              <w:t>INDICATORS OF PERFORMANCE</w:t>
            </w:r>
          </w:p>
        </w:tc>
      </w:tr>
      <w:tr w:rsidR="004840B7" w:rsidRPr="004840B7" w14:paraId="77F54601" w14:textId="77777777" w:rsidTr="004840B7">
        <w:trPr>
          <w:trHeight w:val="58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3AF9C20F"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A.      Attained Work Readiness or Education Goals</w:t>
            </w:r>
          </w:p>
        </w:tc>
        <w:tc>
          <w:tcPr>
            <w:tcW w:w="1440" w:type="dxa"/>
            <w:tcBorders>
              <w:top w:val="nil"/>
              <w:left w:val="nil"/>
              <w:bottom w:val="single" w:sz="4" w:space="0" w:color="auto"/>
              <w:right w:val="single" w:sz="4" w:space="0" w:color="auto"/>
            </w:tcBorders>
            <w:shd w:val="clear" w:color="auto" w:fill="auto"/>
            <w:noWrap/>
            <w:vAlign w:val="bottom"/>
            <w:hideMark/>
          </w:tcPr>
          <w:p w14:paraId="1A9694A4" w14:textId="2FF771DF"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7</w:t>
            </w:r>
            <w:r w:rsidR="0008210D">
              <w:rPr>
                <w:rFonts w:cs="Calibri"/>
                <w:color w:val="000000"/>
                <w:lang w:bidi="ar-SA"/>
              </w:rPr>
              <w:t>5</w:t>
            </w:r>
          </w:p>
        </w:tc>
        <w:tc>
          <w:tcPr>
            <w:tcW w:w="1620" w:type="dxa"/>
            <w:tcBorders>
              <w:top w:val="nil"/>
              <w:left w:val="nil"/>
              <w:bottom w:val="single" w:sz="4" w:space="0" w:color="auto"/>
              <w:right w:val="single" w:sz="4" w:space="0" w:color="auto"/>
            </w:tcBorders>
            <w:shd w:val="clear" w:color="auto" w:fill="auto"/>
            <w:noWrap/>
            <w:vAlign w:val="bottom"/>
            <w:hideMark/>
          </w:tcPr>
          <w:p w14:paraId="1DD10D3B" w14:textId="7CF3EB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4</w:t>
            </w:r>
            <w:r w:rsidR="00932C4C">
              <w:rPr>
                <w:rFonts w:cs="Calibri"/>
                <w:color w:val="000000"/>
                <w:lang w:bidi="ar-SA"/>
              </w:rPr>
              <w:t>9</w:t>
            </w:r>
            <w:r w:rsidRPr="004840B7">
              <w:rPr>
                <w:rFonts w:cs="Calibri"/>
                <w:color w:val="000000"/>
                <w:lang w:bidi="ar-SA"/>
              </w:rPr>
              <w:t>%</w:t>
            </w:r>
          </w:p>
        </w:tc>
      </w:tr>
      <w:tr w:rsidR="004840B7" w:rsidRPr="004840B7" w14:paraId="1DA7E109" w14:textId="77777777" w:rsidTr="004840B7">
        <w:trPr>
          <w:trHeight w:val="58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178B8FB3"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B.      Received Academic Credit or Service-Learning Credit</w:t>
            </w:r>
          </w:p>
        </w:tc>
        <w:tc>
          <w:tcPr>
            <w:tcW w:w="1440" w:type="dxa"/>
            <w:tcBorders>
              <w:top w:val="nil"/>
              <w:left w:val="nil"/>
              <w:bottom w:val="single" w:sz="4" w:space="0" w:color="auto"/>
              <w:right w:val="single" w:sz="4" w:space="0" w:color="auto"/>
            </w:tcBorders>
            <w:shd w:val="clear" w:color="auto" w:fill="auto"/>
            <w:noWrap/>
            <w:vAlign w:val="bottom"/>
            <w:hideMark/>
          </w:tcPr>
          <w:p w14:paraId="601478E7" w14:textId="7FE5A892"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w:t>
            </w:r>
            <w:r w:rsidR="0008210D">
              <w:rPr>
                <w:rFonts w:cs="Calibri"/>
                <w:color w:val="000000"/>
                <w:lang w:bidi="ar-SA"/>
              </w:rPr>
              <w:t>3</w:t>
            </w:r>
          </w:p>
        </w:tc>
        <w:tc>
          <w:tcPr>
            <w:tcW w:w="1620" w:type="dxa"/>
            <w:tcBorders>
              <w:top w:val="nil"/>
              <w:left w:val="nil"/>
              <w:bottom w:val="single" w:sz="4" w:space="0" w:color="auto"/>
              <w:right w:val="single" w:sz="4" w:space="0" w:color="auto"/>
            </w:tcBorders>
            <w:shd w:val="clear" w:color="auto" w:fill="auto"/>
            <w:noWrap/>
            <w:vAlign w:val="bottom"/>
            <w:hideMark/>
          </w:tcPr>
          <w:p w14:paraId="0C6F1C93" w14:textId="0F1C4AA0" w:rsidR="004840B7" w:rsidRPr="004840B7" w:rsidRDefault="00932C4C" w:rsidP="004840B7">
            <w:pPr>
              <w:spacing w:before="0" w:after="0" w:line="240" w:lineRule="auto"/>
              <w:jc w:val="right"/>
              <w:rPr>
                <w:rFonts w:cs="Calibri"/>
                <w:color w:val="000000"/>
                <w:lang w:bidi="ar-SA"/>
              </w:rPr>
            </w:pPr>
            <w:r>
              <w:rPr>
                <w:rFonts w:cs="Calibri"/>
                <w:color w:val="000000"/>
                <w:lang w:bidi="ar-SA"/>
              </w:rPr>
              <w:t>8</w:t>
            </w:r>
            <w:r w:rsidR="004840B7" w:rsidRPr="004840B7">
              <w:rPr>
                <w:rFonts w:cs="Calibri"/>
                <w:color w:val="000000"/>
                <w:lang w:bidi="ar-SA"/>
              </w:rPr>
              <w:t>%</w:t>
            </w:r>
          </w:p>
        </w:tc>
      </w:tr>
      <w:tr w:rsidR="004840B7" w:rsidRPr="004840B7" w14:paraId="43EAB49C" w14:textId="77777777" w:rsidTr="004840B7">
        <w:trPr>
          <w:trHeight w:val="87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4C70E17F"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 xml:space="preserve">C.      Obtained High School Diploma, GED, Remained in School, </w:t>
            </w:r>
            <w:proofErr w:type="gramStart"/>
            <w:r w:rsidRPr="004840B7">
              <w:rPr>
                <w:rFonts w:eastAsia="Calibri" w:cs="Calibri"/>
                <w:b/>
                <w:bCs/>
                <w:color w:val="000000"/>
                <w:lang w:bidi="ar-SA"/>
              </w:rPr>
              <w:t>Obtained</w:t>
            </w:r>
            <w:proofErr w:type="gramEnd"/>
            <w:r w:rsidRPr="004840B7">
              <w:rPr>
                <w:rFonts w:eastAsia="Calibri" w:cs="Calibri"/>
                <w:b/>
                <w:bCs/>
                <w:color w:val="000000"/>
                <w:lang w:bidi="ar-SA"/>
              </w:rPr>
              <w:t xml:space="preserve"> a Certificate or Degree, or Dropout - Returned to School</w:t>
            </w:r>
          </w:p>
        </w:tc>
        <w:tc>
          <w:tcPr>
            <w:tcW w:w="1440" w:type="dxa"/>
            <w:tcBorders>
              <w:top w:val="nil"/>
              <w:left w:val="nil"/>
              <w:bottom w:val="single" w:sz="4" w:space="0" w:color="auto"/>
              <w:right w:val="single" w:sz="4" w:space="0" w:color="auto"/>
            </w:tcBorders>
            <w:shd w:val="clear" w:color="auto" w:fill="auto"/>
            <w:noWrap/>
            <w:vAlign w:val="bottom"/>
            <w:hideMark/>
          </w:tcPr>
          <w:p w14:paraId="2187AD10" w14:textId="5A2CDAEE"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w:t>
            </w:r>
            <w:r w:rsidR="0008210D">
              <w:rPr>
                <w:rFonts w:cs="Calibri"/>
                <w:color w:val="000000"/>
                <w:lang w:bidi="ar-SA"/>
              </w:rPr>
              <w:t>28</w:t>
            </w:r>
          </w:p>
        </w:tc>
        <w:tc>
          <w:tcPr>
            <w:tcW w:w="1620" w:type="dxa"/>
            <w:tcBorders>
              <w:top w:val="nil"/>
              <w:left w:val="nil"/>
              <w:bottom w:val="single" w:sz="4" w:space="0" w:color="auto"/>
              <w:right w:val="single" w:sz="4" w:space="0" w:color="auto"/>
            </w:tcBorders>
            <w:shd w:val="clear" w:color="auto" w:fill="auto"/>
            <w:noWrap/>
            <w:vAlign w:val="bottom"/>
            <w:hideMark/>
          </w:tcPr>
          <w:p w14:paraId="6D07162D" w14:textId="48050968" w:rsidR="004840B7" w:rsidRPr="004840B7" w:rsidRDefault="00932C4C" w:rsidP="004840B7">
            <w:pPr>
              <w:spacing w:before="0" w:after="0" w:line="240" w:lineRule="auto"/>
              <w:jc w:val="right"/>
              <w:rPr>
                <w:rFonts w:cs="Calibri"/>
                <w:color w:val="000000"/>
                <w:lang w:bidi="ar-SA"/>
              </w:rPr>
            </w:pPr>
            <w:r>
              <w:rPr>
                <w:rFonts w:cs="Calibri"/>
                <w:color w:val="000000"/>
                <w:lang w:bidi="ar-SA"/>
              </w:rPr>
              <w:t>83</w:t>
            </w:r>
            <w:r w:rsidR="004840B7" w:rsidRPr="004840B7">
              <w:rPr>
                <w:rFonts w:cs="Calibri"/>
                <w:color w:val="000000"/>
                <w:lang w:bidi="ar-SA"/>
              </w:rPr>
              <w:t>%</w:t>
            </w:r>
          </w:p>
        </w:tc>
      </w:tr>
      <w:tr w:rsidR="004840B7" w:rsidRPr="004840B7" w14:paraId="59A81BE6" w14:textId="77777777" w:rsidTr="004840B7">
        <w:trPr>
          <w:trHeight w:val="87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1E1F8CAE"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D.      Entered Post-Secondary Education, Vocational/Occupational Skills Training, Apprenticeship, or Military</w:t>
            </w:r>
          </w:p>
        </w:tc>
        <w:tc>
          <w:tcPr>
            <w:tcW w:w="1440" w:type="dxa"/>
            <w:tcBorders>
              <w:top w:val="nil"/>
              <w:left w:val="nil"/>
              <w:bottom w:val="single" w:sz="4" w:space="0" w:color="auto"/>
              <w:right w:val="single" w:sz="4" w:space="0" w:color="auto"/>
            </w:tcBorders>
            <w:shd w:val="clear" w:color="auto" w:fill="auto"/>
            <w:noWrap/>
            <w:vAlign w:val="bottom"/>
            <w:hideMark/>
          </w:tcPr>
          <w:p w14:paraId="3B64B80B"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17</w:t>
            </w:r>
          </w:p>
        </w:tc>
        <w:tc>
          <w:tcPr>
            <w:tcW w:w="1620" w:type="dxa"/>
            <w:tcBorders>
              <w:top w:val="nil"/>
              <w:left w:val="nil"/>
              <w:bottom w:val="single" w:sz="4" w:space="0" w:color="auto"/>
              <w:right w:val="single" w:sz="4" w:space="0" w:color="auto"/>
            </w:tcBorders>
            <w:shd w:val="clear" w:color="auto" w:fill="auto"/>
            <w:noWrap/>
            <w:vAlign w:val="bottom"/>
            <w:hideMark/>
          </w:tcPr>
          <w:p w14:paraId="21F546C1" w14:textId="77777777"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11%</w:t>
            </w:r>
          </w:p>
        </w:tc>
      </w:tr>
      <w:tr w:rsidR="004840B7" w:rsidRPr="004840B7" w14:paraId="085FD775" w14:textId="77777777" w:rsidTr="004840B7">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214332D4"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E.       Entered employment</w:t>
            </w:r>
          </w:p>
        </w:tc>
        <w:tc>
          <w:tcPr>
            <w:tcW w:w="1440" w:type="dxa"/>
            <w:tcBorders>
              <w:top w:val="nil"/>
              <w:left w:val="nil"/>
              <w:bottom w:val="single" w:sz="4" w:space="0" w:color="auto"/>
              <w:right w:val="single" w:sz="4" w:space="0" w:color="auto"/>
            </w:tcBorders>
            <w:shd w:val="clear" w:color="auto" w:fill="auto"/>
            <w:noWrap/>
            <w:vAlign w:val="bottom"/>
            <w:hideMark/>
          </w:tcPr>
          <w:p w14:paraId="2A01B48D" w14:textId="3FBB96AC"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5</w:t>
            </w:r>
            <w:r w:rsidR="0008210D">
              <w:rPr>
                <w:rFonts w:cs="Calibri"/>
                <w:color w:val="000000"/>
                <w:lang w:bidi="ar-SA"/>
              </w:rPr>
              <w:t>9</w:t>
            </w:r>
          </w:p>
        </w:tc>
        <w:tc>
          <w:tcPr>
            <w:tcW w:w="1620" w:type="dxa"/>
            <w:tcBorders>
              <w:top w:val="nil"/>
              <w:left w:val="nil"/>
              <w:bottom w:val="single" w:sz="4" w:space="0" w:color="auto"/>
              <w:right w:val="single" w:sz="4" w:space="0" w:color="auto"/>
            </w:tcBorders>
            <w:shd w:val="clear" w:color="auto" w:fill="auto"/>
            <w:noWrap/>
            <w:vAlign w:val="bottom"/>
            <w:hideMark/>
          </w:tcPr>
          <w:p w14:paraId="1E784E48" w14:textId="25F6BBAC"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3</w:t>
            </w:r>
            <w:r w:rsidR="00932C4C">
              <w:rPr>
                <w:rFonts w:cs="Calibri"/>
                <w:color w:val="000000"/>
                <w:lang w:bidi="ar-SA"/>
              </w:rPr>
              <w:t>8</w:t>
            </w:r>
            <w:r w:rsidRPr="004840B7">
              <w:rPr>
                <w:rFonts w:cs="Calibri"/>
                <w:color w:val="000000"/>
                <w:lang w:bidi="ar-SA"/>
              </w:rPr>
              <w:t>%</w:t>
            </w:r>
          </w:p>
        </w:tc>
      </w:tr>
      <w:tr w:rsidR="004840B7" w:rsidRPr="004840B7" w14:paraId="4C012BC6" w14:textId="77777777" w:rsidTr="004840B7">
        <w:trPr>
          <w:trHeight w:val="58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5FD958ED"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 xml:space="preserve">F.       Retained employment, increased </w:t>
            </w:r>
            <w:proofErr w:type="gramStart"/>
            <w:r w:rsidRPr="004840B7">
              <w:rPr>
                <w:rFonts w:eastAsia="Calibri" w:cs="Calibri"/>
                <w:b/>
                <w:bCs/>
                <w:color w:val="000000"/>
                <w:lang w:bidi="ar-SA"/>
              </w:rPr>
              <w:t>wages</w:t>
            </w:r>
            <w:proofErr w:type="gramEnd"/>
            <w:r w:rsidRPr="004840B7">
              <w:rPr>
                <w:rFonts w:eastAsia="Calibri" w:cs="Calibri"/>
                <w:b/>
                <w:bCs/>
                <w:color w:val="000000"/>
                <w:lang w:bidi="ar-SA"/>
              </w:rPr>
              <w:t xml:space="preserve"> or advanced career</w:t>
            </w:r>
          </w:p>
        </w:tc>
        <w:tc>
          <w:tcPr>
            <w:tcW w:w="1440" w:type="dxa"/>
            <w:tcBorders>
              <w:top w:val="nil"/>
              <w:left w:val="nil"/>
              <w:bottom w:val="single" w:sz="4" w:space="0" w:color="auto"/>
              <w:right w:val="single" w:sz="4" w:space="0" w:color="auto"/>
            </w:tcBorders>
            <w:shd w:val="clear" w:color="auto" w:fill="auto"/>
            <w:noWrap/>
            <w:vAlign w:val="bottom"/>
            <w:hideMark/>
          </w:tcPr>
          <w:p w14:paraId="3035697F" w14:textId="232227C5"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5</w:t>
            </w:r>
            <w:r w:rsidR="0008210D">
              <w:rPr>
                <w:rFonts w:cs="Calibri"/>
                <w:color w:val="000000"/>
                <w:lang w:bidi="ar-SA"/>
              </w:rPr>
              <w:t>5</w:t>
            </w:r>
          </w:p>
        </w:tc>
        <w:tc>
          <w:tcPr>
            <w:tcW w:w="1620" w:type="dxa"/>
            <w:tcBorders>
              <w:top w:val="nil"/>
              <w:left w:val="nil"/>
              <w:bottom w:val="single" w:sz="4" w:space="0" w:color="auto"/>
              <w:right w:val="single" w:sz="4" w:space="0" w:color="auto"/>
            </w:tcBorders>
            <w:shd w:val="clear" w:color="auto" w:fill="auto"/>
            <w:noWrap/>
            <w:vAlign w:val="bottom"/>
            <w:hideMark/>
          </w:tcPr>
          <w:p w14:paraId="0C1CE81C" w14:textId="2AAFCE1E"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3</w:t>
            </w:r>
            <w:r w:rsidR="00932C4C">
              <w:rPr>
                <w:rFonts w:cs="Calibri"/>
                <w:color w:val="000000"/>
                <w:lang w:bidi="ar-SA"/>
              </w:rPr>
              <w:t>6</w:t>
            </w:r>
            <w:r w:rsidRPr="004840B7">
              <w:rPr>
                <w:rFonts w:cs="Calibri"/>
                <w:color w:val="000000"/>
                <w:lang w:bidi="ar-SA"/>
              </w:rPr>
              <w:t>%</w:t>
            </w:r>
          </w:p>
        </w:tc>
      </w:tr>
      <w:tr w:rsidR="004840B7" w:rsidRPr="004840B7" w14:paraId="18B35500" w14:textId="77777777" w:rsidTr="004840B7">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63F92E35" w14:textId="77777777" w:rsidR="004840B7" w:rsidRPr="004840B7" w:rsidRDefault="004840B7" w:rsidP="004840B7">
            <w:pPr>
              <w:spacing w:before="0" w:after="0" w:line="240" w:lineRule="auto"/>
              <w:rPr>
                <w:rFonts w:cs="Calibri"/>
                <w:b/>
                <w:bCs/>
                <w:color w:val="000000"/>
                <w:lang w:bidi="ar-SA"/>
              </w:rPr>
            </w:pPr>
            <w:r w:rsidRPr="004840B7">
              <w:rPr>
                <w:rFonts w:eastAsia="Calibri" w:cs="Calibri"/>
                <w:b/>
                <w:bCs/>
                <w:color w:val="000000"/>
                <w:lang w:bidi="ar-SA"/>
              </w:rPr>
              <w:t>G.      Completed Program Objective</w:t>
            </w:r>
          </w:p>
        </w:tc>
        <w:tc>
          <w:tcPr>
            <w:tcW w:w="1440" w:type="dxa"/>
            <w:tcBorders>
              <w:top w:val="nil"/>
              <w:left w:val="nil"/>
              <w:bottom w:val="single" w:sz="4" w:space="0" w:color="auto"/>
              <w:right w:val="single" w:sz="4" w:space="0" w:color="auto"/>
            </w:tcBorders>
            <w:shd w:val="clear" w:color="auto" w:fill="auto"/>
            <w:noWrap/>
            <w:vAlign w:val="bottom"/>
            <w:hideMark/>
          </w:tcPr>
          <w:p w14:paraId="696E9AF1" w14:textId="1FCF4DD4"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1</w:t>
            </w:r>
            <w:r w:rsidR="0008210D">
              <w:rPr>
                <w:rFonts w:cs="Calibri"/>
                <w:color w:val="000000"/>
                <w:lang w:bidi="ar-SA"/>
              </w:rPr>
              <w:t>13</w:t>
            </w:r>
          </w:p>
        </w:tc>
        <w:tc>
          <w:tcPr>
            <w:tcW w:w="1620" w:type="dxa"/>
            <w:tcBorders>
              <w:top w:val="nil"/>
              <w:left w:val="nil"/>
              <w:bottom w:val="single" w:sz="4" w:space="0" w:color="auto"/>
              <w:right w:val="single" w:sz="4" w:space="0" w:color="auto"/>
            </w:tcBorders>
            <w:shd w:val="clear" w:color="auto" w:fill="auto"/>
            <w:noWrap/>
            <w:vAlign w:val="bottom"/>
            <w:hideMark/>
          </w:tcPr>
          <w:p w14:paraId="533AFAC6" w14:textId="02351666" w:rsidR="004840B7" w:rsidRPr="004840B7" w:rsidRDefault="004840B7" w:rsidP="004840B7">
            <w:pPr>
              <w:spacing w:before="0" w:after="0" w:line="240" w:lineRule="auto"/>
              <w:jc w:val="right"/>
              <w:rPr>
                <w:rFonts w:cs="Calibri"/>
                <w:color w:val="000000"/>
                <w:lang w:bidi="ar-SA"/>
              </w:rPr>
            </w:pPr>
            <w:r w:rsidRPr="004840B7">
              <w:rPr>
                <w:rFonts w:cs="Calibri"/>
                <w:color w:val="000000"/>
                <w:lang w:bidi="ar-SA"/>
              </w:rPr>
              <w:t>7</w:t>
            </w:r>
            <w:r w:rsidR="00932C4C">
              <w:rPr>
                <w:rFonts w:cs="Calibri"/>
                <w:color w:val="000000"/>
                <w:lang w:bidi="ar-SA"/>
              </w:rPr>
              <w:t>3</w:t>
            </w:r>
            <w:r w:rsidRPr="004840B7">
              <w:rPr>
                <w:rFonts w:cs="Calibri"/>
                <w:color w:val="000000"/>
                <w:lang w:bidi="ar-SA"/>
              </w:rPr>
              <w:t>%</w:t>
            </w:r>
          </w:p>
        </w:tc>
      </w:tr>
    </w:tbl>
    <w:p w14:paraId="0539C1EF" w14:textId="726FF2A2" w:rsidR="004840B7" w:rsidRPr="002B72F8" w:rsidRDefault="002B72F8" w:rsidP="00CF78F7">
      <w:pPr>
        <w:rPr>
          <w:b/>
          <w:bCs/>
        </w:rPr>
      </w:pPr>
      <w:r w:rsidRPr="002B72F8">
        <w:rPr>
          <w:b/>
          <w:bCs/>
        </w:rPr>
        <w:t>*Data is preliminary and will be finalized follow the end of all contracts on June 30, 2022.</w:t>
      </w:r>
    </w:p>
    <w:sectPr w:rsidR="004840B7" w:rsidRPr="002B72F8" w:rsidSect="00EB251D">
      <w:headerReference w:type="first" r:id="rId22"/>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4B82" w14:textId="77777777" w:rsidR="00BE3A8B" w:rsidRDefault="00BE3A8B" w:rsidP="00D247F6">
      <w:r>
        <w:separator/>
      </w:r>
    </w:p>
  </w:endnote>
  <w:endnote w:type="continuationSeparator" w:id="0">
    <w:p w14:paraId="1B4F4727" w14:textId="77777777" w:rsidR="00BE3A8B" w:rsidRDefault="00BE3A8B"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DC2D" w14:textId="1CC04636" w:rsidR="00324E7E" w:rsidRPr="00324E7E" w:rsidRDefault="00B86D6F" w:rsidP="00324E7E">
    <w:pPr>
      <w:pStyle w:val="Footer"/>
      <w:jc w:val="right"/>
    </w:pPr>
    <w:r>
      <w:t>Career Pathways Pilot Project (CP3)</w:t>
    </w:r>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100675">
      <w:rPr>
        <w:noProof/>
      </w:rPr>
      <w:t>4</w:t>
    </w:r>
    <w:r w:rsidR="00324E7E"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D33E" w14:textId="77777777" w:rsidR="00BE3A8B" w:rsidRDefault="00BE3A8B" w:rsidP="00D247F6">
      <w:r>
        <w:separator/>
      </w:r>
    </w:p>
  </w:footnote>
  <w:footnote w:type="continuationSeparator" w:id="0">
    <w:p w14:paraId="05AFFCC9" w14:textId="77777777" w:rsidR="00BE3A8B" w:rsidRDefault="00BE3A8B"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41C8" w14:textId="2E300C03" w:rsidR="00AD57FB" w:rsidRDefault="00AD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C66D" w14:textId="77777777"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3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D7190"/>
    <w:multiLevelType w:val="hybridMultilevel"/>
    <w:tmpl w:val="150CD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30160"/>
    <w:multiLevelType w:val="hybridMultilevel"/>
    <w:tmpl w:val="CE18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F6EAD"/>
    <w:multiLevelType w:val="hybridMultilevel"/>
    <w:tmpl w:val="6854B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A7E22"/>
    <w:multiLevelType w:val="hybridMultilevel"/>
    <w:tmpl w:val="84D09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4"/>
  </w:num>
  <w:num w:numId="4">
    <w:abstractNumId w:val="21"/>
  </w:num>
  <w:num w:numId="5">
    <w:abstractNumId w:val="18"/>
  </w:num>
  <w:num w:numId="6">
    <w:abstractNumId w:val="5"/>
  </w:num>
  <w:num w:numId="7">
    <w:abstractNumId w:val="16"/>
  </w:num>
  <w:num w:numId="8">
    <w:abstractNumId w:val="9"/>
  </w:num>
  <w:num w:numId="9">
    <w:abstractNumId w:val="13"/>
  </w:num>
  <w:num w:numId="10">
    <w:abstractNumId w:val="2"/>
  </w:num>
  <w:num w:numId="11">
    <w:abstractNumId w:val="2"/>
  </w:num>
  <w:num w:numId="12">
    <w:abstractNumId w:val="25"/>
  </w:num>
  <w:num w:numId="13">
    <w:abstractNumId w:val="26"/>
  </w:num>
  <w:num w:numId="14">
    <w:abstractNumId w:val="17"/>
  </w:num>
  <w:num w:numId="15">
    <w:abstractNumId w:val="2"/>
  </w:num>
  <w:num w:numId="16">
    <w:abstractNumId w:val="26"/>
  </w:num>
  <w:num w:numId="17">
    <w:abstractNumId w:val="17"/>
  </w:num>
  <w:num w:numId="18">
    <w:abstractNumId w:val="11"/>
  </w:num>
  <w:num w:numId="19">
    <w:abstractNumId w:val="6"/>
  </w:num>
  <w:num w:numId="20">
    <w:abstractNumId w:val="1"/>
  </w:num>
  <w:num w:numId="21">
    <w:abstractNumId w:val="0"/>
  </w:num>
  <w:num w:numId="22">
    <w:abstractNumId w:val="10"/>
  </w:num>
  <w:num w:numId="23">
    <w:abstractNumId w:val="19"/>
  </w:num>
  <w:num w:numId="24">
    <w:abstractNumId w:val="22"/>
  </w:num>
  <w:num w:numId="25">
    <w:abstractNumId w:val="12"/>
  </w:num>
  <w:num w:numId="26">
    <w:abstractNumId w:val="8"/>
  </w:num>
  <w:num w:numId="27">
    <w:abstractNumId w:val="14"/>
  </w:num>
  <w:num w:numId="28">
    <w:abstractNumId w:val="15"/>
  </w:num>
  <w:num w:numId="29">
    <w:abstractNumId w:val="20"/>
  </w:num>
  <w:num w:numId="30">
    <w:abstractNumId w:val="23"/>
  </w:num>
  <w:num w:numId="31">
    <w:abstractNumId w:val="4"/>
  </w:num>
  <w:num w:numId="32">
    <w:abstractNumId w:val="1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4777"/>
    <w:rsid w:val="000158A7"/>
    <w:rsid w:val="000233BF"/>
    <w:rsid w:val="000261E8"/>
    <w:rsid w:val="0004245A"/>
    <w:rsid w:val="00064B90"/>
    <w:rsid w:val="0007374A"/>
    <w:rsid w:val="00074A30"/>
    <w:rsid w:val="0007512E"/>
    <w:rsid w:val="00080404"/>
    <w:rsid w:val="0008210D"/>
    <w:rsid w:val="00084742"/>
    <w:rsid w:val="000B2E68"/>
    <w:rsid w:val="000C3708"/>
    <w:rsid w:val="000C3761"/>
    <w:rsid w:val="000C7373"/>
    <w:rsid w:val="000E313B"/>
    <w:rsid w:val="000E3E9D"/>
    <w:rsid w:val="000F4BB1"/>
    <w:rsid w:val="00100675"/>
    <w:rsid w:val="00135082"/>
    <w:rsid w:val="00135DC7"/>
    <w:rsid w:val="00147ED1"/>
    <w:rsid w:val="001500D6"/>
    <w:rsid w:val="00151329"/>
    <w:rsid w:val="00157C41"/>
    <w:rsid w:val="0016354C"/>
    <w:rsid w:val="001661D9"/>
    <w:rsid w:val="001708EC"/>
    <w:rsid w:val="00190FAC"/>
    <w:rsid w:val="001925A8"/>
    <w:rsid w:val="001961CB"/>
    <w:rsid w:val="0019673D"/>
    <w:rsid w:val="001A46BB"/>
    <w:rsid w:val="001B20E6"/>
    <w:rsid w:val="001C4B91"/>
    <w:rsid w:val="001C55E0"/>
    <w:rsid w:val="001D6EA8"/>
    <w:rsid w:val="001E160D"/>
    <w:rsid w:val="001E5ECF"/>
    <w:rsid w:val="001F278F"/>
    <w:rsid w:val="001F7AB6"/>
    <w:rsid w:val="00211CA3"/>
    <w:rsid w:val="00222A49"/>
    <w:rsid w:val="0022552E"/>
    <w:rsid w:val="00227D62"/>
    <w:rsid w:val="00261247"/>
    <w:rsid w:val="00264652"/>
    <w:rsid w:val="00274294"/>
    <w:rsid w:val="00277822"/>
    <w:rsid w:val="00282084"/>
    <w:rsid w:val="00291052"/>
    <w:rsid w:val="002B5E79"/>
    <w:rsid w:val="002B72F8"/>
    <w:rsid w:val="002C0859"/>
    <w:rsid w:val="002F1587"/>
    <w:rsid w:val="002F1947"/>
    <w:rsid w:val="00306D94"/>
    <w:rsid w:val="003125DF"/>
    <w:rsid w:val="00324E7E"/>
    <w:rsid w:val="00335736"/>
    <w:rsid w:val="0034554C"/>
    <w:rsid w:val="0034728D"/>
    <w:rsid w:val="003563D2"/>
    <w:rsid w:val="00367E1E"/>
    <w:rsid w:val="00376FA5"/>
    <w:rsid w:val="00387693"/>
    <w:rsid w:val="00392B94"/>
    <w:rsid w:val="003A1479"/>
    <w:rsid w:val="003A1813"/>
    <w:rsid w:val="003B7D82"/>
    <w:rsid w:val="003C137B"/>
    <w:rsid w:val="003C4644"/>
    <w:rsid w:val="003C5BE3"/>
    <w:rsid w:val="003C6315"/>
    <w:rsid w:val="003F61EE"/>
    <w:rsid w:val="004113B9"/>
    <w:rsid w:val="00413A7C"/>
    <w:rsid w:val="004141DD"/>
    <w:rsid w:val="00447199"/>
    <w:rsid w:val="00461804"/>
    <w:rsid w:val="00463AD5"/>
    <w:rsid w:val="00466810"/>
    <w:rsid w:val="004816B5"/>
    <w:rsid w:val="00483DD2"/>
    <w:rsid w:val="004840B7"/>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030A7"/>
    <w:rsid w:val="00514788"/>
    <w:rsid w:val="0054371B"/>
    <w:rsid w:val="005454F5"/>
    <w:rsid w:val="00551D7A"/>
    <w:rsid w:val="00555B93"/>
    <w:rsid w:val="0056615E"/>
    <w:rsid w:val="005666F2"/>
    <w:rsid w:val="00575EFD"/>
    <w:rsid w:val="00584E4A"/>
    <w:rsid w:val="00592270"/>
    <w:rsid w:val="005A5A73"/>
    <w:rsid w:val="005B2DDF"/>
    <w:rsid w:val="005B4AE7"/>
    <w:rsid w:val="005B53B0"/>
    <w:rsid w:val="005C0681"/>
    <w:rsid w:val="005C5FC6"/>
    <w:rsid w:val="005C672C"/>
    <w:rsid w:val="005D4207"/>
    <w:rsid w:val="005D45B3"/>
    <w:rsid w:val="005F6005"/>
    <w:rsid w:val="006064AB"/>
    <w:rsid w:val="006169E3"/>
    <w:rsid w:val="006229CF"/>
    <w:rsid w:val="00622BB5"/>
    <w:rsid w:val="00624CFF"/>
    <w:rsid w:val="00630704"/>
    <w:rsid w:val="00647826"/>
    <w:rsid w:val="006521E0"/>
    <w:rsid w:val="00655345"/>
    <w:rsid w:val="00672536"/>
    <w:rsid w:val="0068167A"/>
    <w:rsid w:val="00681EDC"/>
    <w:rsid w:val="0068649F"/>
    <w:rsid w:val="00687189"/>
    <w:rsid w:val="006943C1"/>
    <w:rsid w:val="00697CCC"/>
    <w:rsid w:val="006B0D98"/>
    <w:rsid w:val="006B13B7"/>
    <w:rsid w:val="006B1F89"/>
    <w:rsid w:val="006B2942"/>
    <w:rsid w:val="006B3994"/>
    <w:rsid w:val="006C0E45"/>
    <w:rsid w:val="006D4829"/>
    <w:rsid w:val="006F3B38"/>
    <w:rsid w:val="007124DA"/>
    <w:rsid w:val="007137A4"/>
    <w:rsid w:val="0071469D"/>
    <w:rsid w:val="007225DF"/>
    <w:rsid w:val="007371AC"/>
    <w:rsid w:val="00745873"/>
    <w:rsid w:val="0074778B"/>
    <w:rsid w:val="00754D16"/>
    <w:rsid w:val="007655C9"/>
    <w:rsid w:val="007658D0"/>
    <w:rsid w:val="0077225E"/>
    <w:rsid w:val="00781701"/>
    <w:rsid w:val="00792D2F"/>
    <w:rsid w:val="00793F48"/>
    <w:rsid w:val="007B038E"/>
    <w:rsid w:val="007B2C7C"/>
    <w:rsid w:val="007B35B2"/>
    <w:rsid w:val="007C5A00"/>
    <w:rsid w:val="007D1FFF"/>
    <w:rsid w:val="007D42A0"/>
    <w:rsid w:val="007E0CAA"/>
    <w:rsid w:val="007E685C"/>
    <w:rsid w:val="007F6108"/>
    <w:rsid w:val="007F7097"/>
    <w:rsid w:val="008067A6"/>
    <w:rsid w:val="00814C62"/>
    <w:rsid w:val="008251B3"/>
    <w:rsid w:val="00844F1D"/>
    <w:rsid w:val="0084749F"/>
    <w:rsid w:val="008533D4"/>
    <w:rsid w:val="00864202"/>
    <w:rsid w:val="008767E5"/>
    <w:rsid w:val="008A4037"/>
    <w:rsid w:val="008B2BFB"/>
    <w:rsid w:val="008B5443"/>
    <w:rsid w:val="008C7EEB"/>
    <w:rsid w:val="008D0DEF"/>
    <w:rsid w:val="008D2256"/>
    <w:rsid w:val="008D5E3D"/>
    <w:rsid w:val="0090737A"/>
    <w:rsid w:val="00930899"/>
    <w:rsid w:val="00932C4C"/>
    <w:rsid w:val="009440E4"/>
    <w:rsid w:val="0096108C"/>
    <w:rsid w:val="00963BA0"/>
    <w:rsid w:val="00967764"/>
    <w:rsid w:val="009810EE"/>
    <w:rsid w:val="00984CC9"/>
    <w:rsid w:val="0099233F"/>
    <w:rsid w:val="009A66AE"/>
    <w:rsid w:val="009B4090"/>
    <w:rsid w:val="009B54A0"/>
    <w:rsid w:val="009C6405"/>
    <w:rsid w:val="00A06A05"/>
    <w:rsid w:val="00A17AF8"/>
    <w:rsid w:val="00A202DC"/>
    <w:rsid w:val="00A21C0E"/>
    <w:rsid w:val="00A25DD4"/>
    <w:rsid w:val="00A269FD"/>
    <w:rsid w:val="00A30799"/>
    <w:rsid w:val="00A509D1"/>
    <w:rsid w:val="00A57FE8"/>
    <w:rsid w:val="00A64ECE"/>
    <w:rsid w:val="00A66185"/>
    <w:rsid w:val="00A71CAD"/>
    <w:rsid w:val="00A731A2"/>
    <w:rsid w:val="00A827C1"/>
    <w:rsid w:val="00A82A78"/>
    <w:rsid w:val="00A93F40"/>
    <w:rsid w:val="00A96F93"/>
    <w:rsid w:val="00A97E48"/>
    <w:rsid w:val="00AD57FB"/>
    <w:rsid w:val="00AE5772"/>
    <w:rsid w:val="00AF22AD"/>
    <w:rsid w:val="00AF5107"/>
    <w:rsid w:val="00B06264"/>
    <w:rsid w:val="00B07C8F"/>
    <w:rsid w:val="00B1342C"/>
    <w:rsid w:val="00B207DA"/>
    <w:rsid w:val="00B275D4"/>
    <w:rsid w:val="00B31F41"/>
    <w:rsid w:val="00B545E5"/>
    <w:rsid w:val="00B61A38"/>
    <w:rsid w:val="00B75051"/>
    <w:rsid w:val="00B859DE"/>
    <w:rsid w:val="00B86D6F"/>
    <w:rsid w:val="00BA23A4"/>
    <w:rsid w:val="00BD0E59"/>
    <w:rsid w:val="00BE30DA"/>
    <w:rsid w:val="00BE3619"/>
    <w:rsid w:val="00BE3A8B"/>
    <w:rsid w:val="00C12D2F"/>
    <w:rsid w:val="00C277A8"/>
    <w:rsid w:val="00C309AE"/>
    <w:rsid w:val="00C356DB"/>
    <w:rsid w:val="00C365CE"/>
    <w:rsid w:val="00C417EB"/>
    <w:rsid w:val="00C528AE"/>
    <w:rsid w:val="00C61688"/>
    <w:rsid w:val="00CD1C0C"/>
    <w:rsid w:val="00CE19AF"/>
    <w:rsid w:val="00CE45B0"/>
    <w:rsid w:val="00CF625F"/>
    <w:rsid w:val="00CF78F7"/>
    <w:rsid w:val="00D0014D"/>
    <w:rsid w:val="00D22819"/>
    <w:rsid w:val="00D22C71"/>
    <w:rsid w:val="00D247F6"/>
    <w:rsid w:val="00D44C86"/>
    <w:rsid w:val="00D453D1"/>
    <w:rsid w:val="00D511F0"/>
    <w:rsid w:val="00D54EE5"/>
    <w:rsid w:val="00D63F82"/>
    <w:rsid w:val="00D640FC"/>
    <w:rsid w:val="00D70F7D"/>
    <w:rsid w:val="00D80D0A"/>
    <w:rsid w:val="00D817C7"/>
    <w:rsid w:val="00D92929"/>
    <w:rsid w:val="00D93C2E"/>
    <w:rsid w:val="00D970A5"/>
    <w:rsid w:val="00DA212A"/>
    <w:rsid w:val="00DB0BE6"/>
    <w:rsid w:val="00DB4967"/>
    <w:rsid w:val="00DE50CB"/>
    <w:rsid w:val="00DF6662"/>
    <w:rsid w:val="00E05639"/>
    <w:rsid w:val="00E206AE"/>
    <w:rsid w:val="00E23397"/>
    <w:rsid w:val="00E32CD7"/>
    <w:rsid w:val="00E41BD2"/>
    <w:rsid w:val="00E44EE1"/>
    <w:rsid w:val="00E5241D"/>
    <w:rsid w:val="00E5680C"/>
    <w:rsid w:val="00E61A16"/>
    <w:rsid w:val="00E76267"/>
    <w:rsid w:val="00EA535B"/>
    <w:rsid w:val="00EB251D"/>
    <w:rsid w:val="00EB2B13"/>
    <w:rsid w:val="00EB7DD2"/>
    <w:rsid w:val="00EC24AF"/>
    <w:rsid w:val="00EC35AD"/>
    <w:rsid w:val="00EC579D"/>
    <w:rsid w:val="00ED5BDC"/>
    <w:rsid w:val="00ED7DAC"/>
    <w:rsid w:val="00EF7D8D"/>
    <w:rsid w:val="00F067A6"/>
    <w:rsid w:val="00F164F6"/>
    <w:rsid w:val="00F20B25"/>
    <w:rsid w:val="00F6052E"/>
    <w:rsid w:val="00F70C03"/>
    <w:rsid w:val="00F9084A"/>
    <w:rsid w:val="00F95D7E"/>
    <w:rsid w:val="00FB6E40"/>
    <w:rsid w:val="00FD1CCB"/>
    <w:rsid w:val="00FD7A7E"/>
    <w:rsid w:val="00FF25F0"/>
    <w:rsid w:val="0515E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4584C60"/>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UnresolvedMention">
    <w:name w:val="Unresolved Mention"/>
    <w:basedOn w:val="DefaultParagraphFont"/>
    <w:uiPriority w:val="99"/>
    <w:semiHidden/>
    <w:unhideWhenUsed/>
    <w:rsid w:val="00B61A38"/>
    <w:rPr>
      <w:color w:val="605E5C"/>
      <w:shd w:val="clear" w:color="auto" w:fill="E1DFDD"/>
    </w:rPr>
  </w:style>
  <w:style w:type="paragraph" w:styleId="TOC1">
    <w:name w:val="toc 1"/>
    <w:basedOn w:val="Normal"/>
    <w:next w:val="Normal"/>
    <w:autoRedefine/>
    <w:uiPriority w:val="39"/>
    <w:unhideWhenUsed/>
    <w:rsid w:val="00B86D6F"/>
    <w:pPr>
      <w:spacing w:after="100"/>
    </w:pPr>
  </w:style>
  <w:style w:type="paragraph" w:styleId="TOC2">
    <w:name w:val="toc 2"/>
    <w:basedOn w:val="Normal"/>
    <w:next w:val="Normal"/>
    <w:autoRedefine/>
    <w:uiPriority w:val="39"/>
    <w:unhideWhenUsed/>
    <w:rsid w:val="00B86D6F"/>
    <w:pPr>
      <w:spacing w:after="100"/>
      <w:ind w:left="220"/>
    </w:pPr>
  </w:style>
  <w:style w:type="paragraph" w:styleId="TOC3">
    <w:name w:val="toc 3"/>
    <w:basedOn w:val="Normal"/>
    <w:next w:val="Normal"/>
    <w:autoRedefine/>
    <w:uiPriority w:val="39"/>
    <w:unhideWhenUsed/>
    <w:rsid w:val="00B86D6F"/>
    <w:pPr>
      <w:spacing w:after="100"/>
      <w:ind w:left="440"/>
    </w:pPr>
  </w:style>
  <w:style w:type="paragraph" w:styleId="NoSpacing">
    <w:name w:val="No Spacing"/>
    <w:basedOn w:val="Normal"/>
    <w:uiPriority w:val="1"/>
    <w:qFormat/>
    <w:rsid w:val="00CF78F7"/>
    <w:pPr>
      <w:spacing w:before="0" w:after="0" w:line="240" w:lineRule="auto"/>
    </w:pPr>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63301793">
      <w:bodyDiv w:val="1"/>
      <w:marLeft w:val="0"/>
      <w:marRight w:val="0"/>
      <w:marTop w:val="0"/>
      <w:marBottom w:val="0"/>
      <w:divBdr>
        <w:top w:val="none" w:sz="0" w:space="0" w:color="auto"/>
        <w:left w:val="none" w:sz="0" w:space="0" w:color="auto"/>
        <w:bottom w:val="none" w:sz="0" w:space="0" w:color="auto"/>
        <w:right w:val="none" w:sz="0" w:space="0" w:color="auto"/>
      </w:divBdr>
    </w:div>
    <w:div w:id="1845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rietmann@wdimn.org" TargetMode="External"/><Relationship Id="rId3" Type="http://schemas.openxmlformats.org/officeDocument/2006/relationships/customXml" Target="../customXml/item3.xml"/><Relationship Id="rId21" Type="http://schemas.openxmlformats.org/officeDocument/2006/relationships/hyperlink" Target="https://www.youtube.com/watch?v=Ifqm2m3Xcv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bendix@swmnpic.org" TargetMode="External"/><Relationship Id="rId2" Type="http://schemas.openxmlformats.org/officeDocument/2006/relationships/customXml" Target="../customXml/item2.xml"/><Relationship Id="rId16" Type="http://schemas.openxmlformats.org/officeDocument/2006/relationships/hyperlink" Target="mailto:hgleason@workforcecouncil.org" TargetMode="External"/><Relationship Id="rId20" Type="http://schemas.openxmlformats.org/officeDocument/2006/relationships/hyperlink" Target="mailto:dristamaki@cmj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n.gov/deed/programs-services/office-youth-development/youth-programs/wioa-youth.j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chaffee@cmj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y.Tracy@state.mn.us"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7" ma:contentTypeDescription="Create a new document." ma:contentTypeScope="" ma:versionID="2fcb50c8c245647bc6e828eb9f9d7b93">
  <xsd:schema xmlns:xsd="http://www.w3.org/2001/XMLSchema" xmlns:xs="http://www.w3.org/2001/XMLSchema" xmlns:p="http://schemas.microsoft.com/office/2006/metadata/properties" xmlns:ns2="11b35ced-cbbd-4bb6-a753-082a779fefc4" targetNamespace="http://schemas.microsoft.com/office/2006/metadata/properties" ma:root="true" ma:fieldsID="f759bb5f49f6aac1260777e919d4ac8f" ns2:_="">
    <xsd:import namespace="11b35ced-cbbd-4bb6-a753-082a779fef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09A6F-DE7F-4687-8687-37E33551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73A2B-B247-48D0-9579-3481F102C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4686A-1AC7-4B2E-B3B6-565E5C88AF43}">
  <ds:schemaRefs>
    <ds:schemaRef ds:uri="http://schemas.openxmlformats.org/officeDocument/2006/bibliography"/>
  </ds:schemaRefs>
</ds:datastoreItem>
</file>

<file path=customXml/itemProps4.xml><?xml version="1.0" encoding="utf-8"?>
<ds:datastoreItem xmlns:ds="http://schemas.openxmlformats.org/officeDocument/2006/customXml" ds:itemID="{C484B8B2-97F6-41AD-A43E-8122C09F1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2555</Words>
  <Characters>16299</Characters>
  <Application>Microsoft Office Word</Application>
  <DocSecurity>4</DocSecurity>
  <Lines>1358</Lines>
  <Paragraphs>1047</Paragraphs>
  <ScaleCrop>false</ScaleCrop>
  <HeadingPairs>
    <vt:vector size="2" baseType="variant">
      <vt:variant>
        <vt:lpstr>Title</vt:lpstr>
      </vt:variant>
      <vt:variant>
        <vt:i4>1</vt:i4>
      </vt:variant>
    </vt:vector>
  </HeadingPairs>
  <TitlesOfParts>
    <vt:vector size="1" baseType="lpstr">
      <vt:lpstr>Legislative Report Template</vt:lpstr>
    </vt:vector>
  </TitlesOfParts>
  <Manager/>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template</dc:subject>
  <dc:creator>Heidi A Johnson</dc:creator>
  <cp:keywords>template, report</cp:keywords>
  <dc:description>Document template version 1.2, Released 4-2017</dc:description>
  <cp:lastModifiedBy>Schmid, Cory (DEED)</cp:lastModifiedBy>
  <cp:revision>2</cp:revision>
  <dcterms:created xsi:type="dcterms:W3CDTF">2022-09-08T15:07:00Z</dcterms:created>
  <dcterms:modified xsi:type="dcterms:W3CDTF">2022-09-08T15:07:00Z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