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20221C1C">
                <wp:simplePos x="0" y="0"/>
                <wp:positionH relativeFrom="column">
                  <wp:posOffset>5722233</wp:posOffset>
                </wp:positionH>
                <wp:positionV relativeFrom="page">
                  <wp:posOffset>173963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7B73BA52" w:rsidR="002619E1" w:rsidRPr="002619E1" w:rsidRDefault="006C285F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  <w:r w:rsidR="00BD2DFA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3.7pt;width:64.5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A92IFD&#10;3wAAAAsBAAAPAAAAAAAAAAAAAAAAAGYEAABkcnMvZG93bnJldi54bWxQSwUGAAAAAAQABADzAAAA&#10;cgUAAAAA&#10;" stroked="f">
                <v:textbox>
                  <w:txbxContent>
                    <w:p w14:paraId="7B53E395" w14:textId="7B73BA52" w:rsidR="002619E1" w:rsidRPr="002619E1" w:rsidRDefault="006C285F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  <w:r w:rsidR="00BD2DFA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  <w:t>2/6/24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4A9B4037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175B89">
                <w:rPr>
                  <w:rFonts w:ascii="Times New Roman" w:hAnsi="Times New Roman" w:cs="Times New Roman"/>
                </w:rPr>
                <w:t>Emerging Issues</w:t>
              </w:r>
            </w:p>
            <w:p w14:paraId="5401D03D" w14:textId="77777777" w:rsidR="008E0ACA" w:rsidRPr="0073601F" w:rsidRDefault="008E0ACA" w:rsidP="008E0ACA">
              <w:pPr>
                <w:pStyle w:val="Heading3"/>
                <w:rPr>
                  <w:rFonts w:ascii="Times New Roman" w:hAnsi="Times New Roman" w:cs="Times New Roman"/>
                </w:rPr>
              </w:pPr>
              <w:bookmarkStart w:id="0" w:name="_Hlk157514404"/>
              <w:r w:rsidRPr="0073601F">
                <w:rPr>
                  <w:rFonts w:ascii="Times New Roman" w:hAnsi="Times New Roman" w:cs="Times New Roman"/>
                </w:rPr>
                <w:t>Background</w:t>
              </w:r>
            </w:p>
            <w:bookmarkEnd w:id="0"/>
            <w:p w14:paraId="36D9A345" w14:textId="02FC5E7E" w:rsidR="0073601F" w:rsidRDefault="00175B89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>Since the approval of the Energy Transition Advisory Plan, new issues h</w:t>
              </w:r>
              <w:r w:rsidR="004F7C84">
                <w:rPr>
                  <w:rStyle w:val="BodyTextChar"/>
                  <w:rFonts w:ascii="Times New Roman" w:hAnsi="Times New Roman"/>
                </w:rPr>
                <w:t xml:space="preserve">ave emerged that were not foreseen at the time of the plan being written.  </w:t>
              </w:r>
              <w:r w:rsidR="002505FF">
                <w:rPr>
                  <w:rStyle w:val="BodyTextChar"/>
                  <w:rFonts w:ascii="Times New Roman" w:hAnsi="Times New Roman"/>
                </w:rPr>
                <w:t xml:space="preserve">Please come to the meeting with any new issues that you have discovered.  </w:t>
              </w:r>
            </w:p>
            <w:p w14:paraId="4DB88466" w14:textId="77777777" w:rsidR="004F7C84" w:rsidRDefault="004F7C84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5AD2F75D" w14:textId="2B75F318" w:rsidR="004F7C84" w:rsidRDefault="004F7C84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Chair Hallock is requesting conversation regarding whether an emerging issues task force/sub-committee </w:t>
              </w:r>
              <w:r w:rsidR="006C285F">
                <w:rPr>
                  <w:rStyle w:val="BodyTextChar"/>
                  <w:rFonts w:ascii="Times New Roman" w:hAnsi="Times New Roman"/>
                </w:rPr>
                <w:t>should be</w:t>
              </w:r>
              <w:r>
                <w:rPr>
                  <w:rStyle w:val="BodyTextChar"/>
                  <w:rFonts w:ascii="Times New Roman" w:hAnsi="Times New Roman"/>
                </w:rPr>
                <w:t xml:space="preserve"> created by ETAC to meet on a more frequent basis (</w:t>
              </w:r>
              <w:proofErr w:type="gramStart"/>
              <w:r>
                <w:rPr>
                  <w:rStyle w:val="BodyTextChar"/>
                  <w:rFonts w:ascii="Times New Roman" w:hAnsi="Times New Roman"/>
                </w:rPr>
                <w:t>similar to</w:t>
              </w:r>
              <w:proofErr w:type="gramEnd"/>
              <w:r>
                <w:rPr>
                  <w:rStyle w:val="BodyTextChar"/>
                  <w:rFonts w:ascii="Times New Roman" w:hAnsi="Times New Roman"/>
                </w:rPr>
                <w:t xml:space="preserve"> the hard work during the ETAC planning work) to stay abreast of issues</w:t>
              </w:r>
              <w:r w:rsidR="002505FF">
                <w:rPr>
                  <w:rStyle w:val="BodyTextChar"/>
                  <w:rFonts w:ascii="Times New Roman" w:hAnsi="Times New Roman"/>
                </w:rPr>
                <w:t xml:space="preserve">, to dig deep into the </w:t>
              </w:r>
              <w:r w:rsidR="006C285F">
                <w:rPr>
                  <w:rStyle w:val="BodyTextChar"/>
                  <w:rFonts w:ascii="Times New Roman" w:hAnsi="Times New Roman"/>
                </w:rPr>
                <w:t>situation</w:t>
              </w:r>
              <w:r>
                <w:rPr>
                  <w:rStyle w:val="BodyTextChar"/>
                  <w:rFonts w:ascii="Times New Roman" w:hAnsi="Times New Roman"/>
                </w:rPr>
                <w:t xml:space="preserve"> and to ensure others (including ETO staff) are informed.  If so, volunteers would be needed, but not more than 9 voting members and 4 non-voting members to ensure that a quorum is not created.   </w:t>
              </w:r>
            </w:p>
            <w:p w14:paraId="33952E18" w14:textId="77777777" w:rsidR="002505FF" w:rsidRDefault="002505FF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5569AFC5" w14:textId="37CE5E17" w:rsidR="002505FF" w:rsidRDefault="002505FF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>(If you think of new issues after the meeting, you are welcome to forward the issues to ETO Director Vita.)</w:t>
              </w:r>
            </w:p>
            <w:p w14:paraId="6963E17D" w14:textId="77777777" w:rsidR="002505FF" w:rsidRPr="0073601F" w:rsidRDefault="002505FF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4075E870" w14:textId="18EAED88" w:rsidR="0073601F" w:rsidRPr="0073601F" w:rsidRDefault="0073601F" w:rsidP="0073601F">
              <w:pPr>
                <w:pStyle w:val="Heading3"/>
                <w:rPr>
                  <w:rFonts w:ascii="Times New Roman" w:hAnsi="Times New Roman" w:cs="Times New Roman"/>
                </w:rPr>
              </w:pPr>
              <w:r w:rsidRPr="0073601F">
                <w:rPr>
                  <w:rFonts w:ascii="Times New Roman" w:hAnsi="Times New Roman" w:cs="Times New Roman"/>
                </w:rPr>
                <w:t>Action Requested</w:t>
              </w:r>
            </w:p>
            <w:p w14:paraId="484F4BEF" w14:textId="7FFCDC3C" w:rsidR="007762BE" w:rsidRPr="002505FF" w:rsidRDefault="004F7C84" w:rsidP="002505FF">
              <w:pPr>
                <w:pStyle w:val="BodyText"/>
                <w:spacing w:before="0" w:after="0" w:line="240" w:lineRule="auto"/>
                <w:rPr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 xml:space="preserve">Possible ETAC task force/sub-committee creation.  </w:t>
              </w:r>
            </w:p>
          </w:sdtContent>
        </w:sdt>
      </w:sdtContent>
    </w:sdt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1D522009" w14:textId="0DD28091" w:rsidR="007762BE" w:rsidRDefault="007762BE" w:rsidP="002619E1">
      <w:pPr>
        <w:pStyle w:val="BodyText"/>
        <w:spacing w:before="0" w:after="0" w:line="240" w:lineRule="auto"/>
      </w:pPr>
    </w:p>
    <w:p w14:paraId="0FA204F9" w14:textId="77777777" w:rsidR="007762BE" w:rsidRDefault="007762BE" w:rsidP="002619E1">
      <w:pPr>
        <w:pStyle w:val="BodyText"/>
        <w:spacing w:before="0" w:after="0" w:line="240" w:lineRule="auto"/>
      </w:pPr>
    </w:p>
    <w:p w14:paraId="462AF230" w14:textId="57AB06AF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75B89"/>
    <w:rsid w:val="001925A8"/>
    <w:rsid w:val="0019673D"/>
    <w:rsid w:val="001A46BB"/>
    <w:rsid w:val="001C55E0"/>
    <w:rsid w:val="001E5ECF"/>
    <w:rsid w:val="00211CA3"/>
    <w:rsid w:val="00222A49"/>
    <w:rsid w:val="0022552E"/>
    <w:rsid w:val="002505FF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4F7C84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C285F"/>
    <w:rsid w:val="006D4829"/>
    <w:rsid w:val="006F3B38"/>
    <w:rsid w:val="007137A4"/>
    <w:rsid w:val="0073601F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D0E59"/>
    <w:rsid w:val="00BD2DFA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20B25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2024-01-30T19:56:00Z</dcterms:created>
  <dcterms:modified xsi:type="dcterms:W3CDTF">2024-01-31T18:51:00Z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