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E2" w:rsidRPr="00FE4B4B" w:rsidRDefault="000813E2" w:rsidP="000813E2">
      <w:pPr>
        <w:contextualSpacing/>
        <w:jc w:val="center"/>
        <w:rPr>
          <w:b/>
        </w:rPr>
      </w:pPr>
      <w:r w:rsidRPr="00FE4B4B">
        <w:rPr>
          <w:b/>
        </w:rPr>
        <w:t>Governor’s Task Force on Broadband</w:t>
      </w:r>
    </w:p>
    <w:p w:rsidR="000813E2" w:rsidRDefault="00F53BC5" w:rsidP="000813E2">
      <w:pPr>
        <w:contextualSpacing/>
        <w:jc w:val="center"/>
        <w:rPr>
          <w:b/>
        </w:rPr>
      </w:pPr>
      <w:r>
        <w:rPr>
          <w:b/>
        </w:rPr>
        <w:t>June 28</w:t>
      </w:r>
      <w:r w:rsidR="000813E2">
        <w:rPr>
          <w:b/>
        </w:rPr>
        <w:t>, 2017</w:t>
      </w:r>
    </w:p>
    <w:p w:rsidR="000813E2" w:rsidRDefault="00F53BC5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Herreid Board Meeting Room – Rock County Courthouse</w:t>
      </w:r>
    </w:p>
    <w:p w:rsidR="00D83AE5" w:rsidRDefault="00F53BC5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204 East Brown Street</w:t>
      </w:r>
    </w:p>
    <w:p w:rsidR="00D83AE5" w:rsidRDefault="00F53BC5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Luverne, MN 56156</w:t>
      </w:r>
    </w:p>
    <w:p w:rsidR="000813E2" w:rsidRPr="000E571C" w:rsidRDefault="00FF621E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</w:t>
      </w:r>
      <w:r w:rsidR="000813E2" w:rsidRPr="000E571C">
        <w:rPr>
          <w:rFonts w:asciiTheme="minorHAnsi" w:hAnsiTheme="minorHAnsi"/>
          <w:b/>
          <w:sz w:val="22"/>
          <w:szCs w:val="22"/>
        </w:rPr>
        <w:t xml:space="preserve"> a.m. – </w:t>
      </w:r>
      <w:r w:rsidR="00F53BC5">
        <w:rPr>
          <w:rFonts w:asciiTheme="minorHAnsi" w:hAnsiTheme="minorHAnsi"/>
          <w:b/>
          <w:sz w:val="22"/>
          <w:szCs w:val="22"/>
        </w:rPr>
        <w:t>3</w:t>
      </w:r>
      <w:r w:rsidR="002B38F9">
        <w:rPr>
          <w:rFonts w:asciiTheme="minorHAnsi" w:hAnsiTheme="minorHAnsi"/>
          <w:b/>
          <w:sz w:val="22"/>
          <w:szCs w:val="22"/>
        </w:rPr>
        <w:t>:00</w:t>
      </w:r>
      <w:r w:rsidR="000813E2" w:rsidRPr="009D7DD0">
        <w:rPr>
          <w:rFonts w:asciiTheme="minorHAnsi" w:hAnsiTheme="minorHAnsi"/>
          <w:b/>
          <w:sz w:val="22"/>
          <w:szCs w:val="22"/>
        </w:rPr>
        <w:t xml:space="preserve"> p.m.</w:t>
      </w:r>
    </w:p>
    <w:p w:rsidR="007D282C" w:rsidRDefault="007D282C" w:rsidP="007D282C">
      <w:r w:rsidRPr="007D282C">
        <w:rPr>
          <w:b/>
        </w:rPr>
        <w:t>Task Force Members present:</w:t>
      </w:r>
      <w:r>
        <w:t xml:space="preserve"> Margaret Anderson Kelliher, </w:t>
      </w:r>
      <w:r w:rsidR="007928E3">
        <w:t xml:space="preserve">Hannah Buckland, </w:t>
      </w:r>
      <w:r w:rsidR="002B38F9">
        <w:t xml:space="preserve">Denise Dittrich, </w:t>
      </w:r>
      <w:r w:rsidR="003B1379">
        <w:t xml:space="preserve">Kevin Hansen, </w:t>
      </w:r>
      <w:r w:rsidR="009F5633">
        <w:t>Maureen Ideker,</w:t>
      </w:r>
      <w:r w:rsidR="00F545BD" w:rsidRPr="00F545BD">
        <w:t xml:space="preserve"> </w:t>
      </w:r>
      <w:r w:rsidR="00F53BC5">
        <w:t>Bernadine Joselyn</w:t>
      </w:r>
      <w:r w:rsidR="00E74D81">
        <w:t xml:space="preserve">, Don Niles, </w:t>
      </w:r>
      <w:r w:rsidR="00F545BD">
        <w:t xml:space="preserve">Jody Reisch, </w:t>
      </w:r>
      <w:r w:rsidR="009F5633">
        <w:t>Dan Richter,</w:t>
      </w:r>
      <w:r w:rsidR="00F53BC5" w:rsidRPr="00F53BC5">
        <w:t xml:space="preserve"> </w:t>
      </w:r>
      <w:r w:rsidR="00F53BC5">
        <w:t xml:space="preserve">and Dick Sjoberg </w:t>
      </w:r>
      <w:r w:rsidR="009F5633">
        <w:t xml:space="preserve"> </w:t>
      </w:r>
    </w:p>
    <w:p w:rsidR="00F53BC5" w:rsidRDefault="00F53BC5" w:rsidP="007D282C"/>
    <w:p w:rsidR="00F53BC5" w:rsidRDefault="00EF2431" w:rsidP="00F53BC5">
      <w:r>
        <w:rPr>
          <w:b/>
        </w:rPr>
        <w:t>Task Force Members</w:t>
      </w:r>
      <w:r w:rsidR="00F53BC5">
        <w:rPr>
          <w:b/>
        </w:rPr>
        <w:t xml:space="preserve"> </w:t>
      </w:r>
      <w:r w:rsidR="00FD4751">
        <w:rPr>
          <w:b/>
        </w:rPr>
        <w:t>Absent:</w:t>
      </w:r>
      <w:r w:rsidR="007D282C">
        <w:t xml:space="preserve"> </w:t>
      </w:r>
      <w:r w:rsidR="00F53BC5">
        <w:t>Shannon Heim,</w:t>
      </w:r>
      <w:r w:rsidR="00F53BC5" w:rsidRPr="00F53BC5">
        <w:t xml:space="preserve"> </w:t>
      </w:r>
      <w:r w:rsidR="00F53BC5">
        <w:t>Steve Lewsader, Neela Mollgaard,</w:t>
      </w:r>
      <w:r w:rsidR="00F53BC5" w:rsidRPr="00F53BC5">
        <w:t xml:space="preserve"> </w:t>
      </w:r>
      <w:r w:rsidR="00F53BC5">
        <w:t xml:space="preserve">Andy Schriner and Paul Weirtz </w:t>
      </w:r>
    </w:p>
    <w:p w:rsidR="001B2D9E" w:rsidRDefault="001B2D9E" w:rsidP="007D282C"/>
    <w:p w:rsidR="00192EB7" w:rsidRDefault="007D282C" w:rsidP="007D282C">
      <w:r>
        <w:rPr>
          <w:b/>
        </w:rPr>
        <w:t>Others in attendance:</w:t>
      </w:r>
      <w:r w:rsidR="008F698C">
        <w:rPr>
          <w:b/>
        </w:rPr>
        <w:t xml:space="preserve"> </w:t>
      </w:r>
      <w:r w:rsidR="00F53BC5">
        <w:t xml:space="preserve">Amy Ahlers, </w:t>
      </w:r>
      <w:r w:rsidR="00984407">
        <w:t xml:space="preserve">Jacki Anderson, </w:t>
      </w:r>
      <w:r w:rsidR="0069138B">
        <w:t xml:space="preserve">Rob Anderson, Vernon Brown, </w:t>
      </w:r>
      <w:r w:rsidR="00254A50">
        <w:t xml:space="preserve">Lee DeKoekkoek, </w:t>
      </w:r>
      <w:r w:rsidR="0069138B">
        <w:t xml:space="preserve">Ryan Dutton, </w:t>
      </w:r>
      <w:r w:rsidR="005208FD">
        <w:t>Kari</w:t>
      </w:r>
      <w:r w:rsidR="0069138B">
        <w:t xml:space="preserve"> Flanagan,</w:t>
      </w:r>
      <w:r w:rsidR="007A304A">
        <w:t xml:space="preserve"> Mavis Fodness,</w:t>
      </w:r>
      <w:r w:rsidR="0069138B">
        <w:t xml:space="preserve"> </w:t>
      </w:r>
      <w:r w:rsidR="007A304A">
        <w:t>Julie Foote, Andy Hul</w:t>
      </w:r>
      <w:r w:rsidR="0069138B">
        <w:t xml:space="preserve">cher, </w:t>
      </w:r>
      <w:r w:rsidR="00FA7D18">
        <w:t xml:space="preserve">Tim Johnson, </w:t>
      </w:r>
      <w:r w:rsidR="00984407">
        <w:t>Jane Leonard</w:t>
      </w:r>
      <w:r w:rsidR="00F545BD">
        <w:t>,</w:t>
      </w:r>
      <w:r w:rsidR="00614835">
        <w:t xml:space="preserve"> Bruce Lombard</w:t>
      </w:r>
      <w:r w:rsidR="0069138B">
        <w:t>, Steve Torkelson,</w:t>
      </w:r>
      <w:r w:rsidR="00F545BD">
        <w:t xml:space="preserve"> </w:t>
      </w:r>
      <w:r>
        <w:t>Ann Tre</w:t>
      </w:r>
      <w:r w:rsidR="00D67BF3">
        <w:t>acy,</w:t>
      </w:r>
      <w:r w:rsidR="009A6D21">
        <w:t xml:space="preserve"> </w:t>
      </w:r>
      <w:r w:rsidR="00984407">
        <w:t xml:space="preserve">Sen. Bill Weber, </w:t>
      </w:r>
      <w:r w:rsidR="00A31539">
        <w:t>Diane Wells</w:t>
      </w:r>
      <w:r w:rsidR="0069138B">
        <w:t>, Stan Williamson</w:t>
      </w:r>
      <w:r w:rsidR="002B38F9">
        <w:t xml:space="preserve"> </w:t>
      </w:r>
    </w:p>
    <w:p w:rsidR="007A304A" w:rsidRDefault="007A304A" w:rsidP="007D282C"/>
    <w:p w:rsidR="007A304A" w:rsidRDefault="007A304A" w:rsidP="007A304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Welcome</w:t>
      </w:r>
    </w:p>
    <w:p w:rsidR="007A304A" w:rsidRDefault="007A304A" w:rsidP="007A304A">
      <w:pPr>
        <w:rPr>
          <w:b/>
        </w:rPr>
      </w:pPr>
    </w:p>
    <w:p w:rsidR="007A304A" w:rsidRPr="007A304A" w:rsidRDefault="00FA798F" w:rsidP="007A304A">
      <w:r>
        <w:t>Members of the Task Force introduce</w:t>
      </w:r>
      <w:r w:rsidR="00781AF3">
        <w:t>d themselves. Stan Williamson, c</w:t>
      </w:r>
      <w:r>
        <w:t xml:space="preserve">hair of the </w:t>
      </w:r>
      <w:r w:rsidR="00781AF3">
        <w:t>c</w:t>
      </w:r>
      <w:r>
        <w:t xml:space="preserve">ounty </w:t>
      </w:r>
      <w:r w:rsidR="00781AF3">
        <w:t>b</w:t>
      </w:r>
      <w:r>
        <w:t xml:space="preserve">oard, </w:t>
      </w:r>
      <w:r w:rsidR="00781AF3">
        <w:t xml:space="preserve">and Sen. Bill Weber, welcomed </w:t>
      </w:r>
      <w:r>
        <w:t>the Task Force to Rock County.</w:t>
      </w:r>
    </w:p>
    <w:p w:rsidR="00C87D83" w:rsidRDefault="00C87D83" w:rsidP="007D282C"/>
    <w:p w:rsidR="00C87D83" w:rsidRDefault="00C87D83" w:rsidP="00C87D8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Introductions</w:t>
      </w:r>
      <w:r w:rsidR="00E74D81">
        <w:rPr>
          <w:b/>
        </w:rPr>
        <w:t>, Approval of Minutes, Public Comments</w:t>
      </w:r>
    </w:p>
    <w:p w:rsidR="00C87D83" w:rsidRDefault="00C87D83" w:rsidP="00C87D83">
      <w:pPr>
        <w:rPr>
          <w:b/>
        </w:rPr>
      </w:pPr>
    </w:p>
    <w:p w:rsidR="00E74D81" w:rsidRPr="00C87D83" w:rsidRDefault="00C87D83" w:rsidP="00E74D81">
      <w:r>
        <w:t xml:space="preserve">Members of the </w:t>
      </w:r>
      <w:r w:rsidR="009E65E4">
        <w:t>public attending the meeting introduced themselves. The minutes of the May 11, 2017 Task Force meeting were approved. Tony Dutton, from SDN Communications, prov</w:t>
      </w:r>
      <w:r w:rsidR="00781AF3">
        <w:t>ided public comments</w:t>
      </w:r>
      <w:r w:rsidR="009E65E4">
        <w:t xml:space="preserve">. </w:t>
      </w:r>
    </w:p>
    <w:p w:rsidR="008F698C" w:rsidRDefault="008F698C" w:rsidP="007D282C"/>
    <w:p w:rsidR="00D5634C" w:rsidRDefault="009E65E4" w:rsidP="00E74D8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Rock County Broadband Alliance Grant Project Overview</w:t>
      </w:r>
    </w:p>
    <w:p w:rsidR="00E74D81" w:rsidRPr="00E74D81" w:rsidRDefault="00E74D81" w:rsidP="00E74D81">
      <w:pPr>
        <w:pStyle w:val="ListParagraph"/>
        <w:ind w:left="1080"/>
        <w:rPr>
          <w:b/>
        </w:rPr>
      </w:pPr>
    </w:p>
    <w:p w:rsidR="002A3BCD" w:rsidRDefault="009E65E4" w:rsidP="002A3BCD">
      <w:r>
        <w:t xml:space="preserve">Alliance Communications, which built the Rock County broadband project, </w:t>
      </w:r>
      <w:r w:rsidR="00781AF3">
        <w:t xml:space="preserve">provided an overview of the project. </w:t>
      </w:r>
      <w:r w:rsidR="000B0015">
        <w:t>A</w:t>
      </w:r>
      <w:r w:rsidR="007363A7">
        <w:t xml:space="preserve"> copy of the Alliance presentation</w:t>
      </w:r>
      <w:r w:rsidR="000B0015">
        <w:t xml:space="preserve"> is available at</w:t>
      </w:r>
      <w:r w:rsidR="00DA7466" w:rsidRPr="00DA7466">
        <w:rPr>
          <w:lang w:val="en"/>
        </w:rPr>
        <w:t xml:space="preserve"> </w:t>
      </w:r>
      <w:hyperlink r:id="rId5" w:tgtFrame="_blank" w:tooltip="rock-county" w:history="1">
        <w:r w:rsidR="00DA7466" w:rsidRPr="00DA7466">
          <w:rPr>
            <w:color w:val="0000FF"/>
            <w:u w:val="single"/>
            <w:lang w:val="en"/>
          </w:rPr>
          <w:t>Alliance Overview of Rock County Project</w:t>
        </w:r>
      </w:hyperlink>
      <w:r w:rsidR="000B0015">
        <w:t>. Representatives from Alliance also responded to questions from Task Force members.</w:t>
      </w:r>
    </w:p>
    <w:p w:rsidR="00254DD2" w:rsidRDefault="00254DD2" w:rsidP="002A3BCD"/>
    <w:p w:rsidR="00F30689" w:rsidRDefault="007363A7" w:rsidP="00E74D8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Project Impact Statements</w:t>
      </w:r>
    </w:p>
    <w:p w:rsidR="00E74D81" w:rsidRPr="00E74D81" w:rsidRDefault="00E74D81" w:rsidP="00E74D81">
      <w:pPr>
        <w:pStyle w:val="ListParagraph"/>
        <w:ind w:left="1080"/>
        <w:rPr>
          <w:b/>
        </w:rPr>
      </w:pPr>
    </w:p>
    <w:p w:rsidR="007363A7" w:rsidRDefault="007363A7" w:rsidP="002A3BCD">
      <w:r>
        <w:t>Scott Drey with C&amp;B Operations, d</w:t>
      </w:r>
      <w:r w:rsidR="00781AF3">
        <w:t>iscussed</w:t>
      </w:r>
      <w:r>
        <w:t xml:space="preserve"> </w:t>
      </w:r>
      <w:r w:rsidR="00781AF3">
        <w:t xml:space="preserve">broadband </w:t>
      </w:r>
      <w:r>
        <w:t xml:space="preserve">applications from John Deere. He responded to questions from Task Force members. </w:t>
      </w:r>
    </w:p>
    <w:p w:rsidR="007363A7" w:rsidRDefault="007363A7" w:rsidP="002A3BCD"/>
    <w:p w:rsidR="00254DD2" w:rsidRDefault="007363A7" w:rsidP="002A3BCD">
      <w:r>
        <w:t xml:space="preserve">Steve Torkelson, with the Lower Sioux tribe, addressed the Task Force on the uses and needs for broadband by that community. He also responded to questions from Task Force members. </w:t>
      </w:r>
    </w:p>
    <w:p w:rsidR="007363A7" w:rsidRDefault="007363A7" w:rsidP="002A3BCD"/>
    <w:p w:rsidR="007363A7" w:rsidRDefault="007363A7" w:rsidP="002A3BCD">
      <w:r>
        <w:t>Three letters were also submitted on behalf of residents of Rock County</w:t>
      </w:r>
      <w:r w:rsidR="00781AF3">
        <w:t>.</w:t>
      </w:r>
      <w:r w:rsidR="00331F77">
        <w:t xml:space="preserve"> The letters can be found at:</w:t>
      </w:r>
      <w:r w:rsidR="00DA7466" w:rsidRPr="00DA7466">
        <w:rPr>
          <w:lang w:val="en"/>
        </w:rPr>
        <w:t xml:space="preserve"> </w:t>
      </w:r>
      <w:hyperlink r:id="rId6" w:tgtFrame="_blank" w:tooltip="rock-county-sanford" w:history="1">
        <w:r w:rsidR="00DA7466" w:rsidRPr="00DA7466">
          <w:rPr>
            <w:color w:val="0000FF"/>
            <w:u w:val="single"/>
            <w:lang w:val="en"/>
          </w:rPr>
          <w:t>Rock County - Sanford Letter</w:t>
        </w:r>
      </w:hyperlink>
      <w:r w:rsidR="00DA7466">
        <w:rPr>
          <w:lang w:val="en"/>
        </w:rPr>
        <w:t>,</w:t>
      </w:r>
      <w:r w:rsidR="00DA7466" w:rsidRPr="00DA7466">
        <w:rPr>
          <w:lang w:val="en"/>
        </w:rPr>
        <w:t xml:space="preserve"> </w:t>
      </w:r>
      <w:hyperlink r:id="rId7" w:tgtFrame="_blank" w:tooltip="rock-county-rolfs" w:history="1">
        <w:r w:rsidR="00DA7466" w:rsidRPr="00DA7466">
          <w:rPr>
            <w:color w:val="0000FF"/>
            <w:u w:val="single"/>
            <w:lang w:val="en"/>
          </w:rPr>
          <w:t>Rock County - Bill Rolfs Letter</w:t>
        </w:r>
      </w:hyperlink>
      <w:r w:rsidR="00DA7466">
        <w:rPr>
          <w:lang w:val="en"/>
        </w:rPr>
        <w:t xml:space="preserve">, </w:t>
      </w:r>
      <w:r w:rsidR="00DA7466">
        <w:t xml:space="preserve">and </w:t>
      </w:r>
      <w:hyperlink r:id="rId8" w:tgtFrame="_blank" w:tooltip="rock-county-bremer" w:history="1">
        <w:r w:rsidR="00DA7466" w:rsidRPr="00DA7466">
          <w:rPr>
            <w:color w:val="0000FF"/>
            <w:u w:val="single"/>
            <w:lang w:val="en"/>
          </w:rPr>
          <w:t>Rock County - Dwight Bremer Letter</w:t>
        </w:r>
      </w:hyperlink>
      <w:r w:rsidR="00DA7466">
        <w:rPr>
          <w:lang w:val="en"/>
        </w:rPr>
        <w:t>.</w:t>
      </w:r>
    </w:p>
    <w:p w:rsidR="00331F77" w:rsidRDefault="00331F77" w:rsidP="002A3BCD"/>
    <w:p w:rsidR="0083758F" w:rsidRDefault="0083758F">
      <w:pPr>
        <w:spacing w:after="200" w:line="276" w:lineRule="auto"/>
      </w:pPr>
      <w:r>
        <w:br w:type="page"/>
      </w:r>
    </w:p>
    <w:p w:rsidR="00476BC2" w:rsidRDefault="00331F77" w:rsidP="00C30CEA">
      <w:pPr>
        <w:pStyle w:val="ListParagraph"/>
        <w:numPr>
          <w:ilvl w:val="0"/>
          <w:numId w:val="4"/>
        </w:numPr>
        <w:rPr>
          <w:b/>
        </w:rPr>
      </w:pPr>
      <w:bookmarkStart w:id="0" w:name="_GoBack"/>
      <w:bookmarkEnd w:id="0"/>
      <w:r>
        <w:rPr>
          <w:b/>
        </w:rPr>
        <w:lastRenderedPageBreak/>
        <w:t>Working Lunch</w:t>
      </w:r>
    </w:p>
    <w:p w:rsidR="00C87D83" w:rsidRDefault="00C87D83" w:rsidP="00C87D83">
      <w:pPr>
        <w:rPr>
          <w:b/>
        </w:rPr>
      </w:pPr>
    </w:p>
    <w:p w:rsidR="00331F77" w:rsidRDefault="00331F77">
      <w:pPr>
        <w:spacing w:after="200" w:line="276" w:lineRule="auto"/>
      </w:pPr>
      <w:r>
        <w:t>During lunch,</w:t>
      </w:r>
      <w:r w:rsidR="00781AF3">
        <w:t xml:space="preserve"> Task Force members discussed content for the annual report. </w:t>
      </w:r>
    </w:p>
    <w:p w:rsidR="00C30CEA" w:rsidRDefault="00331F77" w:rsidP="00C30CE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Bus Tour</w:t>
      </w:r>
    </w:p>
    <w:p w:rsidR="00C30CEA" w:rsidRDefault="00C30CEA" w:rsidP="00C30CEA">
      <w:pPr>
        <w:rPr>
          <w:b/>
        </w:rPr>
      </w:pPr>
    </w:p>
    <w:p w:rsidR="00C87D83" w:rsidRDefault="00331F77" w:rsidP="00C30CEA">
      <w:r>
        <w:t>In the afternoon portion of the meeting, the Task Force and meeting attendees stopped at the following locations to learn how</w:t>
      </w:r>
      <w:r w:rsidR="00781AF3">
        <w:t xml:space="preserve"> fiber</w:t>
      </w:r>
      <w:r>
        <w:t xml:space="preserve"> broadband service was </w:t>
      </w:r>
      <w:r w:rsidR="00781AF3">
        <w:t xml:space="preserve">having an </w:t>
      </w:r>
      <w:r>
        <w:t>impact: KQAD Radio Station</w:t>
      </w:r>
      <w:r w:rsidR="00781AF3">
        <w:t>,</w:t>
      </w:r>
      <w:r>
        <w:t xml:space="preserve"> </w:t>
      </w:r>
      <w:proofErr w:type="spellStart"/>
      <w:r>
        <w:t>Skattum</w:t>
      </w:r>
      <w:proofErr w:type="spellEnd"/>
      <w:r>
        <w:t xml:space="preserve"> Confinement Systems</w:t>
      </w:r>
      <w:r w:rsidR="00781AF3">
        <w:t>,</w:t>
      </w:r>
      <w:r>
        <w:t xml:space="preserve"> Beaver Creek </w:t>
      </w:r>
      <w:r w:rsidR="00781AF3">
        <w:t xml:space="preserve">elementary school, and </w:t>
      </w:r>
      <w:proofErr w:type="spellStart"/>
      <w:r w:rsidR="00781AF3">
        <w:t>Veldkamp</w:t>
      </w:r>
      <w:proofErr w:type="spellEnd"/>
      <w:r w:rsidR="00781AF3">
        <w:t xml:space="preserve"> Farms.</w:t>
      </w:r>
      <w:r>
        <w:t xml:space="preserve"> At all of the stops, the presenters responded to questions from Task Force members.</w:t>
      </w:r>
    </w:p>
    <w:p w:rsidR="00C87D83" w:rsidRDefault="00C87D83" w:rsidP="00C30CEA">
      <w:pPr>
        <w:rPr>
          <w:b/>
        </w:rPr>
      </w:pPr>
    </w:p>
    <w:p w:rsidR="00C30CEA" w:rsidRDefault="00331F77" w:rsidP="00C30CE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Adjourn</w:t>
      </w:r>
      <w:r w:rsidR="00140BE5">
        <w:rPr>
          <w:b/>
        </w:rPr>
        <w:t>ment</w:t>
      </w:r>
    </w:p>
    <w:p w:rsidR="00BA49FE" w:rsidRDefault="00BA49FE" w:rsidP="00BA49FE">
      <w:pPr>
        <w:rPr>
          <w:b/>
        </w:rPr>
      </w:pPr>
    </w:p>
    <w:p w:rsidR="00D173A2" w:rsidRDefault="00140BE5" w:rsidP="00140BE5">
      <w:pPr>
        <w:rPr>
          <w:lang w:val="en"/>
        </w:rPr>
      </w:pPr>
      <w:r>
        <w:rPr>
          <w:lang w:val="en"/>
        </w:rPr>
        <w:t xml:space="preserve">The meeting adjourned at 3:30 p.m. </w:t>
      </w:r>
    </w:p>
    <w:p w:rsidR="00D173A2" w:rsidRDefault="00D173A2" w:rsidP="00D173A2">
      <w:pPr>
        <w:rPr>
          <w:lang w:val="en"/>
        </w:rPr>
      </w:pPr>
    </w:p>
    <w:sectPr w:rsidR="00D1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8DB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5F81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3EA7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FB6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C"/>
    <w:rsid w:val="00000A34"/>
    <w:rsid w:val="00017E1A"/>
    <w:rsid w:val="000232CF"/>
    <w:rsid w:val="00060CC7"/>
    <w:rsid w:val="000813E2"/>
    <w:rsid w:val="000B0015"/>
    <w:rsid w:val="000C03CE"/>
    <w:rsid w:val="000D5EF2"/>
    <w:rsid w:val="00110785"/>
    <w:rsid w:val="00132B96"/>
    <w:rsid w:val="00140BE5"/>
    <w:rsid w:val="00174132"/>
    <w:rsid w:val="00192EB7"/>
    <w:rsid w:val="001B2D9E"/>
    <w:rsid w:val="00254A50"/>
    <w:rsid w:val="00254DD2"/>
    <w:rsid w:val="00264C87"/>
    <w:rsid w:val="00270DEE"/>
    <w:rsid w:val="002A3BCD"/>
    <w:rsid w:val="002B38F9"/>
    <w:rsid w:val="002E229D"/>
    <w:rsid w:val="00331F77"/>
    <w:rsid w:val="00337045"/>
    <w:rsid w:val="003725FF"/>
    <w:rsid w:val="00393B46"/>
    <w:rsid w:val="003B1379"/>
    <w:rsid w:val="00456E35"/>
    <w:rsid w:val="00476BC2"/>
    <w:rsid w:val="004C78E4"/>
    <w:rsid w:val="004C7B6C"/>
    <w:rsid w:val="004E6BF2"/>
    <w:rsid w:val="005208FD"/>
    <w:rsid w:val="00520C9A"/>
    <w:rsid w:val="00530550"/>
    <w:rsid w:val="00564E8D"/>
    <w:rsid w:val="005D1CAC"/>
    <w:rsid w:val="005E71C4"/>
    <w:rsid w:val="005F40CB"/>
    <w:rsid w:val="005F651A"/>
    <w:rsid w:val="006053D0"/>
    <w:rsid w:val="00614835"/>
    <w:rsid w:val="00633CFC"/>
    <w:rsid w:val="0064012F"/>
    <w:rsid w:val="006524BE"/>
    <w:rsid w:val="00673962"/>
    <w:rsid w:val="0069138B"/>
    <w:rsid w:val="006A76DD"/>
    <w:rsid w:val="0071779F"/>
    <w:rsid w:val="007363A7"/>
    <w:rsid w:val="0075335E"/>
    <w:rsid w:val="007626B7"/>
    <w:rsid w:val="00770A7A"/>
    <w:rsid w:val="00770F8A"/>
    <w:rsid w:val="0077419E"/>
    <w:rsid w:val="00781AF3"/>
    <w:rsid w:val="007928E3"/>
    <w:rsid w:val="007A304A"/>
    <w:rsid w:val="007A5F9F"/>
    <w:rsid w:val="007D282C"/>
    <w:rsid w:val="007E01CD"/>
    <w:rsid w:val="0080300A"/>
    <w:rsid w:val="00813C1A"/>
    <w:rsid w:val="0083758F"/>
    <w:rsid w:val="00862F4E"/>
    <w:rsid w:val="00887A24"/>
    <w:rsid w:val="00887B86"/>
    <w:rsid w:val="008941CA"/>
    <w:rsid w:val="008F1114"/>
    <w:rsid w:val="008F698C"/>
    <w:rsid w:val="00951B6C"/>
    <w:rsid w:val="00984407"/>
    <w:rsid w:val="009A6D21"/>
    <w:rsid w:val="009C6263"/>
    <w:rsid w:val="009E65E4"/>
    <w:rsid w:val="009F4BCC"/>
    <w:rsid w:val="009F5633"/>
    <w:rsid w:val="00A057B6"/>
    <w:rsid w:val="00A31539"/>
    <w:rsid w:val="00A36B23"/>
    <w:rsid w:val="00A40745"/>
    <w:rsid w:val="00A5692F"/>
    <w:rsid w:val="00AA330C"/>
    <w:rsid w:val="00AD10CD"/>
    <w:rsid w:val="00AE2D4A"/>
    <w:rsid w:val="00AF38EF"/>
    <w:rsid w:val="00B7240C"/>
    <w:rsid w:val="00BA49FE"/>
    <w:rsid w:val="00C072A0"/>
    <w:rsid w:val="00C11F72"/>
    <w:rsid w:val="00C30CEA"/>
    <w:rsid w:val="00C618B0"/>
    <w:rsid w:val="00C64B18"/>
    <w:rsid w:val="00C6794F"/>
    <w:rsid w:val="00C87D83"/>
    <w:rsid w:val="00CB10A5"/>
    <w:rsid w:val="00CB1B96"/>
    <w:rsid w:val="00CC554C"/>
    <w:rsid w:val="00CD1065"/>
    <w:rsid w:val="00CD7444"/>
    <w:rsid w:val="00CF23ED"/>
    <w:rsid w:val="00D173A2"/>
    <w:rsid w:val="00D40193"/>
    <w:rsid w:val="00D4373E"/>
    <w:rsid w:val="00D5634C"/>
    <w:rsid w:val="00D67BF3"/>
    <w:rsid w:val="00D83AE5"/>
    <w:rsid w:val="00DA7466"/>
    <w:rsid w:val="00DB14DA"/>
    <w:rsid w:val="00DB5279"/>
    <w:rsid w:val="00DC491E"/>
    <w:rsid w:val="00E04174"/>
    <w:rsid w:val="00E350A9"/>
    <w:rsid w:val="00E4255E"/>
    <w:rsid w:val="00E57C36"/>
    <w:rsid w:val="00E703F2"/>
    <w:rsid w:val="00E74D81"/>
    <w:rsid w:val="00E867BD"/>
    <w:rsid w:val="00EA3CD2"/>
    <w:rsid w:val="00ED1A54"/>
    <w:rsid w:val="00ED6025"/>
    <w:rsid w:val="00EF2431"/>
    <w:rsid w:val="00F06335"/>
    <w:rsid w:val="00F27E3F"/>
    <w:rsid w:val="00F30689"/>
    <w:rsid w:val="00F511BF"/>
    <w:rsid w:val="00F53BC5"/>
    <w:rsid w:val="00F545BD"/>
    <w:rsid w:val="00F92001"/>
    <w:rsid w:val="00FA798F"/>
    <w:rsid w:val="00FA7D18"/>
    <w:rsid w:val="00FB7EBA"/>
    <w:rsid w:val="00FD4751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B9D59-57B5-4699-8191-26CF1E7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3CE"/>
    <w:rPr>
      <w:color w:val="243F9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79F"/>
    <w:rPr>
      <w:color w:val="800080" w:themeColor="followedHyperlink"/>
      <w:u w:val="single"/>
    </w:rPr>
  </w:style>
  <w:style w:type="paragraph" w:customStyle="1" w:styleId="gdp">
    <w:name w:val="gd_p"/>
    <w:basedOn w:val="Normal"/>
    <w:rsid w:val="00132B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rock-county-bremer_tcm1045-301891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n.gov/deed/assets/rock-county-rolfs_tcm1045-301890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.gov/deed/assets/rock-county-sanford_tcm1045-301892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mn.gov/deed/assets/rock-county_tcm1045-30188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0CB9A-2743-496D-96F1-FF9E22B6C66E}"/>
</file>

<file path=customXml/itemProps2.xml><?xml version="1.0" encoding="utf-8"?>
<ds:datastoreItem xmlns:ds="http://schemas.openxmlformats.org/officeDocument/2006/customXml" ds:itemID="{B756A8B9-0E2A-4F5A-B637-A273E881880F}"/>
</file>

<file path=customXml/itemProps3.xml><?xml version="1.0" encoding="utf-8"?>
<ds:datastoreItem xmlns:ds="http://schemas.openxmlformats.org/officeDocument/2006/customXml" ds:itemID="{4044A4AB-0F16-43DB-8147-3D5DD63BA7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3</cp:revision>
  <dcterms:created xsi:type="dcterms:W3CDTF">2017-07-06T19:12:00Z</dcterms:created>
  <dcterms:modified xsi:type="dcterms:W3CDTF">2017-07-06T19:12:00Z</dcterms:modified>
</cp:coreProperties>
</file>