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07E36" w14:textId="77777777" w:rsidR="001B1FDB" w:rsidRPr="001B1FDB" w:rsidRDefault="001B1FDB" w:rsidP="001B1FDB">
      <w:pPr>
        <w:pStyle w:val="NoSpacing"/>
        <w:jc w:val="center"/>
        <w:rPr>
          <w:b/>
          <w:sz w:val="28"/>
          <w:szCs w:val="28"/>
        </w:rPr>
      </w:pPr>
      <w:bookmarkStart w:id="0" w:name="_GoBack"/>
      <w:bookmarkEnd w:id="0"/>
      <w:r w:rsidRPr="001B1FDB">
        <w:rPr>
          <w:b/>
          <w:sz w:val="28"/>
          <w:szCs w:val="28"/>
        </w:rPr>
        <w:t>MONITORING REPORT</w:t>
      </w:r>
    </w:p>
    <w:p w14:paraId="0816B776" w14:textId="77777777" w:rsidR="001B1FDB" w:rsidRPr="001B1FDB" w:rsidRDefault="001B1FDB" w:rsidP="001B1FDB">
      <w:pPr>
        <w:pStyle w:val="NoSpacing"/>
        <w:jc w:val="center"/>
        <w:rPr>
          <w:b/>
          <w:sz w:val="28"/>
          <w:szCs w:val="28"/>
        </w:rPr>
      </w:pPr>
      <w:r w:rsidRPr="001B1FDB">
        <w:rPr>
          <w:b/>
          <w:sz w:val="28"/>
          <w:szCs w:val="28"/>
        </w:rPr>
        <w:t>PACER CENTER</w:t>
      </w:r>
    </w:p>
    <w:p w14:paraId="6A88D52C" w14:textId="77777777" w:rsidR="001B1FDB" w:rsidRPr="001B1FDB" w:rsidRDefault="001B1FDB" w:rsidP="001B1FDB">
      <w:pPr>
        <w:pStyle w:val="NoSpacing"/>
        <w:jc w:val="center"/>
        <w:rPr>
          <w:b/>
          <w:sz w:val="28"/>
          <w:szCs w:val="28"/>
        </w:rPr>
      </w:pPr>
      <w:r w:rsidRPr="001B1FDB">
        <w:rPr>
          <w:b/>
          <w:sz w:val="28"/>
          <w:szCs w:val="28"/>
        </w:rPr>
        <w:t>BLOOMINGTON, MN</w:t>
      </w:r>
    </w:p>
    <w:p w14:paraId="1E66F8BD" w14:textId="77777777" w:rsidR="001B1FDB" w:rsidRDefault="001B1FDB" w:rsidP="001B1FDB">
      <w:pPr>
        <w:pStyle w:val="NoSpacing"/>
        <w:jc w:val="center"/>
        <w:rPr>
          <w:b/>
          <w:sz w:val="28"/>
          <w:szCs w:val="28"/>
        </w:rPr>
      </w:pPr>
      <w:r w:rsidRPr="001B1FDB">
        <w:rPr>
          <w:b/>
          <w:sz w:val="28"/>
          <w:szCs w:val="28"/>
        </w:rPr>
        <w:t>OCTOBER 11. 2017</w:t>
      </w:r>
    </w:p>
    <w:p w14:paraId="6F6138E2" w14:textId="77777777" w:rsidR="001B1FDB" w:rsidRDefault="001B1FDB" w:rsidP="001B1FDB">
      <w:pPr>
        <w:pStyle w:val="NoSpacing"/>
        <w:jc w:val="center"/>
        <w:rPr>
          <w:b/>
          <w:sz w:val="28"/>
          <w:szCs w:val="28"/>
        </w:rPr>
      </w:pPr>
    </w:p>
    <w:p w14:paraId="7FD02837" w14:textId="77777777" w:rsidR="001B1FDB" w:rsidRDefault="001B1FDB" w:rsidP="001B1FDB">
      <w:pPr>
        <w:pStyle w:val="NoSpacing"/>
      </w:pPr>
    </w:p>
    <w:p w14:paraId="6FA3B865" w14:textId="77777777" w:rsidR="001B1FDB" w:rsidRDefault="001B1FDB" w:rsidP="001B1FDB">
      <w:pPr>
        <w:pStyle w:val="NoSpacing"/>
      </w:pPr>
    </w:p>
    <w:p w14:paraId="76E5E29D" w14:textId="2A5630D5" w:rsidR="001B1FDB" w:rsidRDefault="001B1FDB" w:rsidP="001B1FDB">
      <w:pPr>
        <w:pStyle w:val="NoSpacing"/>
      </w:pPr>
      <w:r>
        <w:t>Person Interviewed:   Gretchen</w:t>
      </w:r>
      <w:r w:rsidR="00AA25DA">
        <w:t xml:space="preserve"> Godfrey, </w:t>
      </w:r>
      <w:r w:rsidR="00B732A4">
        <w:t xml:space="preserve">Assistant </w:t>
      </w:r>
      <w:r w:rsidR="00AA25DA">
        <w:t xml:space="preserve">Director, </w:t>
      </w:r>
      <w:r w:rsidR="00821C0D">
        <w:t xml:space="preserve">PACER </w:t>
      </w:r>
      <w:r>
        <w:t>Center</w:t>
      </w:r>
    </w:p>
    <w:p w14:paraId="6C339ED6" w14:textId="77777777" w:rsidR="001B1FDB" w:rsidRDefault="001B1FDB" w:rsidP="001B1FDB">
      <w:pPr>
        <w:pStyle w:val="NoSpacing"/>
      </w:pPr>
      <w:r>
        <w:t>Period Reviewed:  October 2016 –October 2017</w:t>
      </w:r>
    </w:p>
    <w:p w14:paraId="1361770C" w14:textId="77777777" w:rsidR="001B1FDB" w:rsidRDefault="001B1FDB" w:rsidP="001B1FDB">
      <w:pPr>
        <w:pStyle w:val="NoSpacing"/>
      </w:pPr>
      <w:r>
        <w:t>Name of Monitor:   Larry Eisenstadt</w:t>
      </w:r>
    </w:p>
    <w:p w14:paraId="1D20D237" w14:textId="77777777" w:rsidR="001B1FDB" w:rsidRDefault="001B1FDB" w:rsidP="001B1FDB">
      <w:pPr>
        <w:pStyle w:val="NoSpacing"/>
      </w:pPr>
    </w:p>
    <w:p w14:paraId="0F2D4D11" w14:textId="77777777" w:rsidR="001B1FDB" w:rsidRDefault="001B1FDB" w:rsidP="001B1FDB">
      <w:pPr>
        <w:pStyle w:val="NoSpacing"/>
        <w:rPr>
          <w:b/>
        </w:rPr>
      </w:pPr>
      <w:r w:rsidRPr="001B1FDB">
        <w:rPr>
          <w:b/>
        </w:rPr>
        <w:t>GENERAL INFORMATION</w:t>
      </w:r>
    </w:p>
    <w:p w14:paraId="57F24AC8" w14:textId="77777777" w:rsidR="001B1FDB" w:rsidRDefault="001B1FDB" w:rsidP="001B1FDB">
      <w:pPr>
        <w:pStyle w:val="NoSpacing"/>
        <w:rPr>
          <w:b/>
        </w:rPr>
      </w:pPr>
    </w:p>
    <w:p w14:paraId="052BD10C" w14:textId="77777777" w:rsidR="001B1FDB" w:rsidRDefault="00BB6B6D" w:rsidP="001B1FDB">
      <w:pPr>
        <w:pStyle w:val="NoSpacing"/>
      </w:pPr>
      <w:r>
        <w:t xml:space="preserve">PACER is a recipient of a grant ($488,000) from DEED as part of the Disability Employment </w:t>
      </w:r>
      <w:r w:rsidR="00557DCC">
        <w:t>Initiative (</w:t>
      </w:r>
      <w:r>
        <w:t>DEI).   PACER is responsible for providing technical assistance and training to local staff in three Workforce Development Areas</w:t>
      </w:r>
      <w:r w:rsidR="00557DCC">
        <w:t xml:space="preserve"> (WDAs)</w:t>
      </w:r>
      <w:r>
        <w:t xml:space="preserve"> who are serving youth with disabilities.   PACER has specialized staff who can assist local providers in working with multi-cultural individuals.</w:t>
      </w:r>
    </w:p>
    <w:p w14:paraId="7CFF6C88" w14:textId="77777777" w:rsidR="00BB6B6D" w:rsidRDefault="00BB6B6D" w:rsidP="001B1FDB">
      <w:pPr>
        <w:pStyle w:val="NoSpacing"/>
      </w:pPr>
    </w:p>
    <w:p w14:paraId="6DF39FEE" w14:textId="77777777" w:rsidR="00BB6B6D" w:rsidRDefault="00A406CC" w:rsidP="001B1FDB">
      <w:pPr>
        <w:pStyle w:val="NoSpacing"/>
      </w:pPr>
      <w:r>
        <w:t>EXPENDITURES (Through September 30, 2017</w:t>
      </w:r>
      <w:r w:rsidR="00BB6B6D">
        <w:t>)</w:t>
      </w:r>
    </w:p>
    <w:p w14:paraId="364B577C" w14:textId="77777777" w:rsidR="00A406CC" w:rsidRDefault="00A406CC" w:rsidP="001B1FDB">
      <w:pPr>
        <w:pStyle w:val="NoSpacing"/>
      </w:pPr>
    </w:p>
    <w:p w14:paraId="03680ACA" w14:textId="77777777" w:rsidR="00A406CC" w:rsidRDefault="00A406CC" w:rsidP="001B1FDB">
      <w:pPr>
        <w:pStyle w:val="NoSpacing"/>
      </w:pPr>
      <w:r>
        <w:t>Budget Amount:   $488,000</w:t>
      </w:r>
    </w:p>
    <w:p w14:paraId="49729996" w14:textId="77777777" w:rsidR="00A406CC" w:rsidRDefault="00A406CC" w:rsidP="001B1FDB">
      <w:pPr>
        <w:pStyle w:val="NoSpacing"/>
      </w:pPr>
      <w:r>
        <w:t>Expended in September 2017:   $11,967</w:t>
      </w:r>
    </w:p>
    <w:p w14:paraId="4C7ADDCB" w14:textId="77777777" w:rsidR="00A406CC" w:rsidRDefault="00A406CC" w:rsidP="001B1FDB">
      <w:pPr>
        <w:pStyle w:val="NoSpacing"/>
      </w:pPr>
      <w:r>
        <w:t>Expended to Date:   $108,914 (22.31%)</w:t>
      </w:r>
    </w:p>
    <w:p w14:paraId="209B8778" w14:textId="77777777" w:rsidR="00A406CC" w:rsidRDefault="00A406CC" w:rsidP="001B1FDB">
      <w:pPr>
        <w:pStyle w:val="NoSpacing"/>
      </w:pPr>
      <w:r>
        <w:t>Balance Available:   $379,086</w:t>
      </w:r>
    </w:p>
    <w:p w14:paraId="09A8CE74" w14:textId="77777777" w:rsidR="00BB6B6D" w:rsidRDefault="00BB6B6D" w:rsidP="001B1FDB">
      <w:pPr>
        <w:pStyle w:val="NoSpacing"/>
      </w:pPr>
    </w:p>
    <w:p w14:paraId="2C04F309" w14:textId="77777777" w:rsidR="001B1FDB" w:rsidRDefault="00BB6B6D" w:rsidP="001B1FDB">
      <w:pPr>
        <w:pStyle w:val="NoSpacing"/>
      </w:pPr>
      <w:r>
        <w:t>TRAININ</w:t>
      </w:r>
      <w:r w:rsidR="00BC76B6">
        <w:t>G PARTICIPANTS (Through September 30, 2017</w:t>
      </w:r>
      <w:r>
        <w:t>)</w:t>
      </w:r>
    </w:p>
    <w:p w14:paraId="54EC7144" w14:textId="77777777" w:rsidR="00BB6B6D" w:rsidRDefault="00BB6B6D" w:rsidP="001B1FDB">
      <w:pPr>
        <w:pStyle w:val="NoSpacing"/>
      </w:pPr>
    </w:p>
    <w:tbl>
      <w:tblPr>
        <w:tblStyle w:val="TableGrid"/>
        <w:tblW w:w="0" w:type="auto"/>
        <w:tblLook w:val="04A0" w:firstRow="1" w:lastRow="0" w:firstColumn="1" w:lastColumn="0" w:noHBand="0" w:noVBand="1"/>
      </w:tblPr>
      <w:tblGrid>
        <w:gridCol w:w="985"/>
        <w:gridCol w:w="1605"/>
        <w:gridCol w:w="1369"/>
        <w:gridCol w:w="1121"/>
        <w:gridCol w:w="1916"/>
        <w:gridCol w:w="1099"/>
        <w:gridCol w:w="1255"/>
      </w:tblGrid>
      <w:tr w:rsidR="00BC76B6" w14:paraId="6483C68F" w14:textId="77777777" w:rsidTr="00BC76B6">
        <w:tc>
          <w:tcPr>
            <w:tcW w:w="985" w:type="dxa"/>
          </w:tcPr>
          <w:p w14:paraId="0DC2251C" w14:textId="77777777" w:rsidR="00BC76B6" w:rsidRDefault="00BC76B6" w:rsidP="001B1FDB">
            <w:pPr>
              <w:pStyle w:val="NoSpacing"/>
            </w:pPr>
            <w:r>
              <w:t>Date</w:t>
            </w:r>
          </w:p>
        </w:tc>
        <w:tc>
          <w:tcPr>
            <w:tcW w:w="1605" w:type="dxa"/>
          </w:tcPr>
          <w:p w14:paraId="6C1649C2" w14:textId="77777777" w:rsidR="00BC76B6" w:rsidRDefault="00BC76B6" w:rsidP="001B1FDB">
            <w:pPr>
              <w:pStyle w:val="NoSpacing"/>
            </w:pPr>
            <w:r>
              <w:t>Name</w:t>
            </w:r>
          </w:p>
        </w:tc>
        <w:tc>
          <w:tcPr>
            <w:tcW w:w="1369" w:type="dxa"/>
          </w:tcPr>
          <w:p w14:paraId="2E188639" w14:textId="77777777" w:rsidR="00BC76B6" w:rsidRDefault="00BC76B6" w:rsidP="001B1FDB">
            <w:pPr>
              <w:pStyle w:val="NoSpacing"/>
            </w:pPr>
            <w:r>
              <w:t>Location</w:t>
            </w:r>
          </w:p>
        </w:tc>
        <w:tc>
          <w:tcPr>
            <w:tcW w:w="1121" w:type="dxa"/>
          </w:tcPr>
          <w:p w14:paraId="7DE1FE29" w14:textId="77777777" w:rsidR="00BC76B6" w:rsidRDefault="00BC76B6" w:rsidP="001B1FDB">
            <w:pPr>
              <w:pStyle w:val="NoSpacing"/>
            </w:pPr>
            <w:r>
              <w:t>Parent Count</w:t>
            </w:r>
          </w:p>
        </w:tc>
        <w:tc>
          <w:tcPr>
            <w:tcW w:w="1916" w:type="dxa"/>
          </w:tcPr>
          <w:p w14:paraId="61E079B5" w14:textId="77777777" w:rsidR="00BC76B6" w:rsidRDefault="00BC76B6" w:rsidP="001B1FDB">
            <w:pPr>
              <w:pStyle w:val="NoSpacing"/>
            </w:pPr>
            <w:r>
              <w:t>Professional/Other</w:t>
            </w:r>
          </w:p>
        </w:tc>
        <w:tc>
          <w:tcPr>
            <w:tcW w:w="1099" w:type="dxa"/>
          </w:tcPr>
          <w:p w14:paraId="7BA9F6AF" w14:textId="77777777" w:rsidR="00BC76B6" w:rsidRDefault="00BC76B6" w:rsidP="001B1FDB">
            <w:pPr>
              <w:pStyle w:val="NoSpacing"/>
            </w:pPr>
            <w:r>
              <w:t>Youth Count</w:t>
            </w:r>
          </w:p>
        </w:tc>
        <w:tc>
          <w:tcPr>
            <w:tcW w:w="1255" w:type="dxa"/>
          </w:tcPr>
          <w:p w14:paraId="426980EC" w14:textId="77777777" w:rsidR="00BC76B6" w:rsidRDefault="00BC76B6" w:rsidP="001B1FDB">
            <w:pPr>
              <w:pStyle w:val="NoSpacing"/>
            </w:pPr>
            <w:r>
              <w:t>Total Attendees</w:t>
            </w:r>
          </w:p>
        </w:tc>
      </w:tr>
      <w:tr w:rsidR="00BC76B6" w14:paraId="72C017A4" w14:textId="77777777" w:rsidTr="00BC76B6">
        <w:tc>
          <w:tcPr>
            <w:tcW w:w="985" w:type="dxa"/>
          </w:tcPr>
          <w:p w14:paraId="2E653A36" w14:textId="77777777" w:rsidR="00BC76B6" w:rsidRDefault="00BC76B6" w:rsidP="001B1FDB">
            <w:pPr>
              <w:pStyle w:val="NoSpacing"/>
            </w:pPr>
            <w:r>
              <w:t>6/8/17</w:t>
            </w:r>
          </w:p>
        </w:tc>
        <w:tc>
          <w:tcPr>
            <w:tcW w:w="1605" w:type="dxa"/>
          </w:tcPr>
          <w:p w14:paraId="7C76F06C" w14:textId="77777777" w:rsidR="00BC76B6" w:rsidRDefault="00BC76B6" w:rsidP="001B1FDB">
            <w:pPr>
              <w:pStyle w:val="NoSpacing"/>
            </w:pPr>
            <w:r>
              <w:t>Supporting Youth on the Pathway to Employment:  How Assistive Technology Can Help</w:t>
            </w:r>
          </w:p>
        </w:tc>
        <w:tc>
          <w:tcPr>
            <w:tcW w:w="1369" w:type="dxa"/>
          </w:tcPr>
          <w:p w14:paraId="79F25205" w14:textId="77777777" w:rsidR="00BC76B6" w:rsidRDefault="00BC76B6" w:rsidP="001B1FDB">
            <w:pPr>
              <w:pStyle w:val="NoSpacing"/>
            </w:pPr>
            <w:r>
              <w:t>Bloomington</w:t>
            </w:r>
          </w:p>
        </w:tc>
        <w:tc>
          <w:tcPr>
            <w:tcW w:w="1121" w:type="dxa"/>
          </w:tcPr>
          <w:p w14:paraId="60419482" w14:textId="77777777" w:rsidR="00BC76B6" w:rsidRDefault="00BC76B6" w:rsidP="001B1FDB">
            <w:pPr>
              <w:pStyle w:val="NoSpacing"/>
            </w:pPr>
            <w:r>
              <w:t>0</w:t>
            </w:r>
          </w:p>
        </w:tc>
        <w:tc>
          <w:tcPr>
            <w:tcW w:w="1916" w:type="dxa"/>
          </w:tcPr>
          <w:p w14:paraId="4EEB2175" w14:textId="77777777" w:rsidR="00BC76B6" w:rsidRDefault="00BC76B6" w:rsidP="001B1FDB">
            <w:pPr>
              <w:pStyle w:val="NoSpacing"/>
            </w:pPr>
            <w:r>
              <w:t>2</w:t>
            </w:r>
          </w:p>
        </w:tc>
        <w:tc>
          <w:tcPr>
            <w:tcW w:w="1099" w:type="dxa"/>
          </w:tcPr>
          <w:p w14:paraId="2D6F645D" w14:textId="77777777" w:rsidR="00BC76B6" w:rsidRDefault="00BC76B6" w:rsidP="001B1FDB">
            <w:pPr>
              <w:pStyle w:val="NoSpacing"/>
            </w:pPr>
            <w:r>
              <w:t>0</w:t>
            </w:r>
          </w:p>
        </w:tc>
        <w:tc>
          <w:tcPr>
            <w:tcW w:w="1255" w:type="dxa"/>
          </w:tcPr>
          <w:p w14:paraId="256A1BFA" w14:textId="77777777" w:rsidR="00BC76B6" w:rsidRDefault="00BC76B6" w:rsidP="001B1FDB">
            <w:pPr>
              <w:pStyle w:val="NoSpacing"/>
            </w:pPr>
            <w:r>
              <w:t>2</w:t>
            </w:r>
          </w:p>
        </w:tc>
      </w:tr>
      <w:tr w:rsidR="00BC76B6" w14:paraId="7896F97E" w14:textId="77777777" w:rsidTr="00BC76B6">
        <w:tc>
          <w:tcPr>
            <w:tcW w:w="985" w:type="dxa"/>
          </w:tcPr>
          <w:p w14:paraId="4E57D5E7" w14:textId="77777777" w:rsidR="00BC76B6" w:rsidRDefault="00BC76B6" w:rsidP="001B1FDB">
            <w:pPr>
              <w:pStyle w:val="NoSpacing"/>
            </w:pPr>
            <w:r>
              <w:t>6/8/17</w:t>
            </w:r>
          </w:p>
        </w:tc>
        <w:tc>
          <w:tcPr>
            <w:tcW w:w="1605" w:type="dxa"/>
          </w:tcPr>
          <w:p w14:paraId="1AB5EB58" w14:textId="77777777" w:rsidR="00BC76B6" w:rsidRDefault="00BC76B6" w:rsidP="001B1FDB">
            <w:pPr>
              <w:pStyle w:val="NoSpacing"/>
            </w:pPr>
            <w:r>
              <w:t>Livestream:  Supporting….</w:t>
            </w:r>
          </w:p>
        </w:tc>
        <w:tc>
          <w:tcPr>
            <w:tcW w:w="1369" w:type="dxa"/>
          </w:tcPr>
          <w:p w14:paraId="50123C13" w14:textId="77777777" w:rsidR="00BC76B6" w:rsidRDefault="00BC76B6" w:rsidP="001B1FDB">
            <w:pPr>
              <w:pStyle w:val="NoSpacing"/>
            </w:pPr>
            <w:r>
              <w:t>Online</w:t>
            </w:r>
          </w:p>
        </w:tc>
        <w:tc>
          <w:tcPr>
            <w:tcW w:w="1121" w:type="dxa"/>
          </w:tcPr>
          <w:p w14:paraId="66978C14" w14:textId="77777777" w:rsidR="00BC76B6" w:rsidRDefault="00BC76B6" w:rsidP="001B1FDB">
            <w:pPr>
              <w:pStyle w:val="NoSpacing"/>
            </w:pPr>
            <w:r>
              <w:t>3</w:t>
            </w:r>
          </w:p>
        </w:tc>
        <w:tc>
          <w:tcPr>
            <w:tcW w:w="1916" w:type="dxa"/>
          </w:tcPr>
          <w:p w14:paraId="5EE5B9AC" w14:textId="77777777" w:rsidR="00BC76B6" w:rsidRDefault="00BC76B6" w:rsidP="001B1FDB">
            <w:pPr>
              <w:pStyle w:val="NoSpacing"/>
            </w:pPr>
            <w:r>
              <w:t>25</w:t>
            </w:r>
          </w:p>
        </w:tc>
        <w:tc>
          <w:tcPr>
            <w:tcW w:w="1099" w:type="dxa"/>
          </w:tcPr>
          <w:p w14:paraId="2E10F698" w14:textId="77777777" w:rsidR="00BC76B6" w:rsidRDefault="00BC76B6" w:rsidP="001B1FDB">
            <w:pPr>
              <w:pStyle w:val="NoSpacing"/>
            </w:pPr>
            <w:r>
              <w:t>0</w:t>
            </w:r>
          </w:p>
        </w:tc>
        <w:tc>
          <w:tcPr>
            <w:tcW w:w="1255" w:type="dxa"/>
          </w:tcPr>
          <w:p w14:paraId="5BD0E967" w14:textId="77777777" w:rsidR="00BC76B6" w:rsidRDefault="00BC76B6" w:rsidP="001B1FDB">
            <w:pPr>
              <w:pStyle w:val="NoSpacing"/>
            </w:pPr>
            <w:r>
              <w:t>28</w:t>
            </w:r>
          </w:p>
        </w:tc>
      </w:tr>
      <w:tr w:rsidR="00BC76B6" w14:paraId="75D5ADC7" w14:textId="77777777" w:rsidTr="00BC76B6">
        <w:tc>
          <w:tcPr>
            <w:tcW w:w="985" w:type="dxa"/>
          </w:tcPr>
          <w:p w14:paraId="52EE5840" w14:textId="77777777" w:rsidR="00BC76B6" w:rsidRDefault="00BC76B6" w:rsidP="001B1FDB">
            <w:pPr>
              <w:pStyle w:val="NoSpacing"/>
            </w:pPr>
            <w:r>
              <w:t>6/13/17</w:t>
            </w:r>
          </w:p>
        </w:tc>
        <w:tc>
          <w:tcPr>
            <w:tcW w:w="1605" w:type="dxa"/>
          </w:tcPr>
          <w:p w14:paraId="1CBC644C" w14:textId="77777777" w:rsidR="00BC76B6" w:rsidRDefault="00BC76B6" w:rsidP="001B1FDB">
            <w:pPr>
              <w:pStyle w:val="NoSpacing"/>
            </w:pPr>
            <w:r>
              <w:t>What Families Need to Know about Career Pathways and Workforce Centers</w:t>
            </w:r>
          </w:p>
        </w:tc>
        <w:tc>
          <w:tcPr>
            <w:tcW w:w="1369" w:type="dxa"/>
          </w:tcPr>
          <w:p w14:paraId="0260714F" w14:textId="77777777" w:rsidR="00BC76B6" w:rsidRDefault="00BC76B6" w:rsidP="001B1FDB">
            <w:pPr>
              <w:pStyle w:val="NoSpacing"/>
            </w:pPr>
            <w:r>
              <w:t>Monticello</w:t>
            </w:r>
          </w:p>
        </w:tc>
        <w:tc>
          <w:tcPr>
            <w:tcW w:w="1121" w:type="dxa"/>
          </w:tcPr>
          <w:p w14:paraId="48E791EE" w14:textId="77777777" w:rsidR="00BC76B6" w:rsidRDefault="00BC76B6" w:rsidP="001B1FDB">
            <w:pPr>
              <w:pStyle w:val="NoSpacing"/>
            </w:pPr>
            <w:r>
              <w:t>17</w:t>
            </w:r>
          </w:p>
        </w:tc>
        <w:tc>
          <w:tcPr>
            <w:tcW w:w="1916" w:type="dxa"/>
          </w:tcPr>
          <w:p w14:paraId="76D63412" w14:textId="77777777" w:rsidR="00BC76B6" w:rsidRDefault="00BC76B6" w:rsidP="001B1FDB">
            <w:pPr>
              <w:pStyle w:val="NoSpacing"/>
            </w:pPr>
            <w:r>
              <w:t>3</w:t>
            </w:r>
          </w:p>
        </w:tc>
        <w:tc>
          <w:tcPr>
            <w:tcW w:w="1099" w:type="dxa"/>
          </w:tcPr>
          <w:p w14:paraId="12989ADE" w14:textId="77777777" w:rsidR="00BC76B6" w:rsidRDefault="00BC76B6" w:rsidP="001B1FDB">
            <w:pPr>
              <w:pStyle w:val="NoSpacing"/>
            </w:pPr>
            <w:r>
              <w:t>5</w:t>
            </w:r>
          </w:p>
        </w:tc>
        <w:tc>
          <w:tcPr>
            <w:tcW w:w="1255" w:type="dxa"/>
          </w:tcPr>
          <w:p w14:paraId="0379E1BC" w14:textId="77777777" w:rsidR="00BC76B6" w:rsidRDefault="00BC76B6" w:rsidP="001B1FDB">
            <w:pPr>
              <w:pStyle w:val="NoSpacing"/>
            </w:pPr>
            <w:r>
              <w:t>25</w:t>
            </w:r>
          </w:p>
        </w:tc>
      </w:tr>
      <w:tr w:rsidR="00BC76B6" w14:paraId="59404169" w14:textId="77777777" w:rsidTr="00BC76B6">
        <w:tc>
          <w:tcPr>
            <w:tcW w:w="985" w:type="dxa"/>
          </w:tcPr>
          <w:p w14:paraId="2178AC3F" w14:textId="77777777" w:rsidR="00BC76B6" w:rsidRDefault="00935590" w:rsidP="001B1FDB">
            <w:pPr>
              <w:pStyle w:val="NoSpacing"/>
            </w:pPr>
            <w:r>
              <w:t>6/14/17</w:t>
            </w:r>
          </w:p>
        </w:tc>
        <w:tc>
          <w:tcPr>
            <w:tcW w:w="1605" w:type="dxa"/>
          </w:tcPr>
          <w:p w14:paraId="2D74B797" w14:textId="77777777" w:rsidR="00BC76B6" w:rsidRDefault="00935590" w:rsidP="001B1FDB">
            <w:pPr>
              <w:pStyle w:val="NoSpacing"/>
            </w:pPr>
            <w:r>
              <w:t>Guideposts for Success</w:t>
            </w:r>
          </w:p>
        </w:tc>
        <w:tc>
          <w:tcPr>
            <w:tcW w:w="1369" w:type="dxa"/>
          </w:tcPr>
          <w:p w14:paraId="71B3F95D" w14:textId="77777777" w:rsidR="00BC76B6" w:rsidRDefault="00935590" w:rsidP="001B1FDB">
            <w:pPr>
              <w:pStyle w:val="NoSpacing"/>
            </w:pPr>
            <w:r>
              <w:t>Monticello</w:t>
            </w:r>
          </w:p>
        </w:tc>
        <w:tc>
          <w:tcPr>
            <w:tcW w:w="1121" w:type="dxa"/>
          </w:tcPr>
          <w:p w14:paraId="20725900" w14:textId="77777777" w:rsidR="00BC76B6" w:rsidRDefault="00935590" w:rsidP="001B1FDB">
            <w:pPr>
              <w:pStyle w:val="NoSpacing"/>
            </w:pPr>
            <w:r>
              <w:t>0</w:t>
            </w:r>
          </w:p>
        </w:tc>
        <w:tc>
          <w:tcPr>
            <w:tcW w:w="1916" w:type="dxa"/>
          </w:tcPr>
          <w:p w14:paraId="5DCD2459" w14:textId="77777777" w:rsidR="00BC76B6" w:rsidRDefault="00935590" w:rsidP="001B1FDB">
            <w:pPr>
              <w:pStyle w:val="NoSpacing"/>
            </w:pPr>
            <w:r>
              <w:t>13</w:t>
            </w:r>
          </w:p>
        </w:tc>
        <w:tc>
          <w:tcPr>
            <w:tcW w:w="1099" w:type="dxa"/>
          </w:tcPr>
          <w:p w14:paraId="21F851E3" w14:textId="77777777" w:rsidR="00BC76B6" w:rsidRDefault="007E3E2D" w:rsidP="001B1FDB">
            <w:pPr>
              <w:pStyle w:val="NoSpacing"/>
            </w:pPr>
            <w:r>
              <w:t>0</w:t>
            </w:r>
          </w:p>
        </w:tc>
        <w:tc>
          <w:tcPr>
            <w:tcW w:w="1255" w:type="dxa"/>
          </w:tcPr>
          <w:p w14:paraId="4E6A25FD" w14:textId="77777777" w:rsidR="00BC76B6" w:rsidRDefault="007E3E2D" w:rsidP="001B1FDB">
            <w:pPr>
              <w:pStyle w:val="NoSpacing"/>
            </w:pPr>
            <w:r>
              <w:t>13</w:t>
            </w:r>
          </w:p>
        </w:tc>
      </w:tr>
      <w:tr w:rsidR="00BC76B6" w14:paraId="6801A501" w14:textId="77777777" w:rsidTr="00BC76B6">
        <w:tc>
          <w:tcPr>
            <w:tcW w:w="985" w:type="dxa"/>
          </w:tcPr>
          <w:p w14:paraId="111A4592" w14:textId="77777777" w:rsidR="00BC76B6" w:rsidRDefault="007E3E2D" w:rsidP="001B1FDB">
            <w:pPr>
              <w:pStyle w:val="NoSpacing"/>
            </w:pPr>
            <w:r>
              <w:lastRenderedPageBreak/>
              <w:t>9/13/17</w:t>
            </w:r>
          </w:p>
        </w:tc>
        <w:tc>
          <w:tcPr>
            <w:tcW w:w="1605" w:type="dxa"/>
          </w:tcPr>
          <w:p w14:paraId="37EB9F26" w14:textId="77777777" w:rsidR="00BC76B6" w:rsidRDefault="007E3E2D" w:rsidP="001B1FDB">
            <w:pPr>
              <w:pStyle w:val="NoSpacing"/>
            </w:pPr>
            <w:r>
              <w:t>What Families Need to Know About Career Pathways and Workforce Centers</w:t>
            </w:r>
          </w:p>
        </w:tc>
        <w:tc>
          <w:tcPr>
            <w:tcW w:w="1369" w:type="dxa"/>
          </w:tcPr>
          <w:p w14:paraId="6545359E" w14:textId="77777777" w:rsidR="00BC76B6" w:rsidRDefault="007E3E2D" w:rsidP="001B1FDB">
            <w:pPr>
              <w:pStyle w:val="NoSpacing"/>
            </w:pPr>
            <w:r>
              <w:t>Marshall</w:t>
            </w:r>
          </w:p>
        </w:tc>
        <w:tc>
          <w:tcPr>
            <w:tcW w:w="1121" w:type="dxa"/>
          </w:tcPr>
          <w:p w14:paraId="2B26CCCF" w14:textId="77777777" w:rsidR="00BC76B6" w:rsidRDefault="007E3E2D" w:rsidP="001B1FDB">
            <w:pPr>
              <w:pStyle w:val="NoSpacing"/>
            </w:pPr>
            <w:r>
              <w:t>15</w:t>
            </w:r>
          </w:p>
        </w:tc>
        <w:tc>
          <w:tcPr>
            <w:tcW w:w="1916" w:type="dxa"/>
          </w:tcPr>
          <w:p w14:paraId="0A8BF5F2" w14:textId="77777777" w:rsidR="00BC76B6" w:rsidRDefault="007E3E2D" w:rsidP="001B1FDB">
            <w:pPr>
              <w:pStyle w:val="NoSpacing"/>
            </w:pPr>
            <w:r>
              <w:t>4</w:t>
            </w:r>
          </w:p>
        </w:tc>
        <w:tc>
          <w:tcPr>
            <w:tcW w:w="1099" w:type="dxa"/>
          </w:tcPr>
          <w:p w14:paraId="3667091A" w14:textId="77777777" w:rsidR="00BC76B6" w:rsidRDefault="007E3E2D" w:rsidP="001B1FDB">
            <w:pPr>
              <w:pStyle w:val="NoSpacing"/>
            </w:pPr>
            <w:r>
              <w:t>2</w:t>
            </w:r>
          </w:p>
        </w:tc>
        <w:tc>
          <w:tcPr>
            <w:tcW w:w="1255" w:type="dxa"/>
          </w:tcPr>
          <w:p w14:paraId="29D4E929" w14:textId="77777777" w:rsidR="00BC76B6" w:rsidRDefault="007E3E2D" w:rsidP="001B1FDB">
            <w:pPr>
              <w:pStyle w:val="NoSpacing"/>
            </w:pPr>
            <w:r>
              <w:t>21</w:t>
            </w:r>
          </w:p>
        </w:tc>
      </w:tr>
      <w:tr w:rsidR="00BC76B6" w14:paraId="07C0A03A" w14:textId="77777777" w:rsidTr="00BC76B6">
        <w:tc>
          <w:tcPr>
            <w:tcW w:w="985" w:type="dxa"/>
          </w:tcPr>
          <w:p w14:paraId="222412C6" w14:textId="77777777" w:rsidR="00BC76B6" w:rsidRDefault="007E3E2D" w:rsidP="001B1FDB">
            <w:pPr>
              <w:pStyle w:val="NoSpacing"/>
            </w:pPr>
            <w:r>
              <w:t>9/13/17</w:t>
            </w:r>
          </w:p>
        </w:tc>
        <w:tc>
          <w:tcPr>
            <w:tcW w:w="1605" w:type="dxa"/>
          </w:tcPr>
          <w:p w14:paraId="5CF0EF9F" w14:textId="77777777" w:rsidR="00BC76B6" w:rsidRDefault="007E3E2D" w:rsidP="001B1FDB">
            <w:pPr>
              <w:pStyle w:val="NoSpacing"/>
            </w:pPr>
            <w:r>
              <w:t>An Introduction to the Guideposts for Success</w:t>
            </w:r>
          </w:p>
        </w:tc>
        <w:tc>
          <w:tcPr>
            <w:tcW w:w="1369" w:type="dxa"/>
          </w:tcPr>
          <w:p w14:paraId="2225A1B9" w14:textId="77777777" w:rsidR="00BC76B6" w:rsidRDefault="007E3E2D" w:rsidP="001B1FDB">
            <w:pPr>
              <w:pStyle w:val="NoSpacing"/>
            </w:pPr>
            <w:r>
              <w:t>Online</w:t>
            </w:r>
          </w:p>
        </w:tc>
        <w:tc>
          <w:tcPr>
            <w:tcW w:w="1121" w:type="dxa"/>
          </w:tcPr>
          <w:p w14:paraId="18B9EC75" w14:textId="77777777" w:rsidR="00BC76B6" w:rsidRDefault="007E3E2D" w:rsidP="001B1FDB">
            <w:pPr>
              <w:pStyle w:val="NoSpacing"/>
            </w:pPr>
            <w:r>
              <w:t>0</w:t>
            </w:r>
          </w:p>
        </w:tc>
        <w:tc>
          <w:tcPr>
            <w:tcW w:w="1916" w:type="dxa"/>
          </w:tcPr>
          <w:p w14:paraId="2FB10B76" w14:textId="77777777" w:rsidR="00BC76B6" w:rsidRDefault="007E3E2D" w:rsidP="001B1FDB">
            <w:pPr>
              <w:pStyle w:val="NoSpacing"/>
            </w:pPr>
            <w:r>
              <w:t>38</w:t>
            </w:r>
          </w:p>
        </w:tc>
        <w:tc>
          <w:tcPr>
            <w:tcW w:w="1099" w:type="dxa"/>
          </w:tcPr>
          <w:p w14:paraId="3611883B" w14:textId="77777777" w:rsidR="00BC76B6" w:rsidRDefault="007E3E2D" w:rsidP="001B1FDB">
            <w:pPr>
              <w:pStyle w:val="NoSpacing"/>
            </w:pPr>
            <w:r>
              <w:t>0</w:t>
            </w:r>
          </w:p>
        </w:tc>
        <w:tc>
          <w:tcPr>
            <w:tcW w:w="1255" w:type="dxa"/>
          </w:tcPr>
          <w:p w14:paraId="59A41B85" w14:textId="77777777" w:rsidR="00BC76B6" w:rsidRDefault="007E3E2D" w:rsidP="001B1FDB">
            <w:pPr>
              <w:pStyle w:val="NoSpacing"/>
            </w:pPr>
            <w:r>
              <w:t>38</w:t>
            </w:r>
          </w:p>
        </w:tc>
      </w:tr>
    </w:tbl>
    <w:p w14:paraId="03CF7B8F" w14:textId="77777777" w:rsidR="003B1EB6" w:rsidRDefault="003B1EB6" w:rsidP="001B1FDB">
      <w:pPr>
        <w:pStyle w:val="NoSpacing"/>
      </w:pPr>
    </w:p>
    <w:p w14:paraId="49C3D00D" w14:textId="77777777" w:rsidR="008053C6" w:rsidRDefault="008053C6" w:rsidP="001B1FDB">
      <w:pPr>
        <w:pStyle w:val="NoSpacing"/>
        <w:rPr>
          <w:b/>
        </w:rPr>
      </w:pPr>
    </w:p>
    <w:p w14:paraId="781157EA" w14:textId="77777777" w:rsidR="003B1EB6" w:rsidRDefault="003B1EB6" w:rsidP="001B1FDB">
      <w:pPr>
        <w:pStyle w:val="NoSpacing"/>
        <w:rPr>
          <w:b/>
        </w:rPr>
      </w:pPr>
      <w:r w:rsidRPr="003B1EB6">
        <w:rPr>
          <w:b/>
        </w:rPr>
        <w:t>TRAINING/TECHNICAL ASSISTANCE ACTIVITIES</w:t>
      </w:r>
    </w:p>
    <w:p w14:paraId="4C669A01" w14:textId="77777777" w:rsidR="003B1EB6" w:rsidRDefault="003B1EB6" w:rsidP="001B1FDB">
      <w:pPr>
        <w:pStyle w:val="NoSpacing"/>
        <w:rPr>
          <w:b/>
        </w:rPr>
      </w:pPr>
    </w:p>
    <w:p w14:paraId="172EE4B8" w14:textId="479C20B0" w:rsidR="003B1EB6" w:rsidRDefault="00821C0D" w:rsidP="001B1FDB">
      <w:pPr>
        <w:pStyle w:val="NoSpacing"/>
      </w:pPr>
      <w:r>
        <w:t xml:space="preserve">PACER </w:t>
      </w:r>
      <w:r w:rsidR="000A56B0">
        <w:t xml:space="preserve">has conducted parent workshops that have been “well received” in Rural Minnesota CEP, Monticello, and Marshall.   The approved workplan calls for PACER to conduct these workshops in these areas twice a year.   </w:t>
      </w:r>
    </w:p>
    <w:p w14:paraId="7D091DD6" w14:textId="77777777" w:rsidR="008053C6" w:rsidRDefault="008053C6" w:rsidP="001B1FDB">
      <w:pPr>
        <w:pStyle w:val="NoSpacing"/>
      </w:pPr>
    </w:p>
    <w:p w14:paraId="61CAA761" w14:textId="77777777" w:rsidR="000A56B0" w:rsidRDefault="008053C6" w:rsidP="001B1FDB">
      <w:pPr>
        <w:pStyle w:val="NoSpacing"/>
      </w:pPr>
      <w:r>
        <w:t>Among the training and technical assistance activities provided by PACER are:</w:t>
      </w:r>
    </w:p>
    <w:p w14:paraId="36843232" w14:textId="77777777" w:rsidR="007D1371" w:rsidRDefault="007D1371" w:rsidP="001B1FDB">
      <w:pPr>
        <w:pStyle w:val="NoSpacing"/>
      </w:pPr>
    </w:p>
    <w:p w14:paraId="0886689B" w14:textId="77777777" w:rsidR="008053C6" w:rsidRDefault="008053C6" w:rsidP="001B1FDB">
      <w:pPr>
        <w:pStyle w:val="NoSpacing"/>
      </w:pPr>
      <w:r>
        <w:t xml:space="preserve">“Supporting Youth on the Pathway to Employment:   How Assistive Technology Can Help” (June </w:t>
      </w:r>
      <w:r w:rsidR="007D1371">
        <w:t>8</w:t>
      </w:r>
      <w:r>
        <w:t>, 2017)</w:t>
      </w:r>
      <w:r w:rsidR="007D1371">
        <w:t>, Bloomington, MN</w:t>
      </w:r>
    </w:p>
    <w:p w14:paraId="2767BDE1" w14:textId="77777777" w:rsidR="007D1371" w:rsidRDefault="007D1371" w:rsidP="001B1FDB">
      <w:pPr>
        <w:pStyle w:val="NoSpacing"/>
      </w:pPr>
    </w:p>
    <w:p w14:paraId="51EC23B9" w14:textId="77777777" w:rsidR="007D1371" w:rsidRDefault="007D1371" w:rsidP="001B1FDB">
      <w:pPr>
        <w:pStyle w:val="NoSpacing"/>
      </w:pPr>
      <w:r>
        <w:t>Live Stream:  “Supporting Youth on the Pathway to Employment:  How Assistive Technology Can Help” (June 8, 2017), Online</w:t>
      </w:r>
    </w:p>
    <w:p w14:paraId="6B2358E1" w14:textId="77777777" w:rsidR="007D1371" w:rsidRDefault="007D1371" w:rsidP="001B1FDB">
      <w:pPr>
        <w:pStyle w:val="NoSpacing"/>
      </w:pPr>
    </w:p>
    <w:p w14:paraId="4615A66D" w14:textId="77777777" w:rsidR="007D1371" w:rsidRDefault="007D1371" w:rsidP="001B1FDB">
      <w:pPr>
        <w:pStyle w:val="NoSpacing"/>
      </w:pPr>
      <w:r>
        <w:t>“What Families Need to Know about Career Pathways and Workforce Centers” (June 13, 2017), Monticello, MN</w:t>
      </w:r>
    </w:p>
    <w:p w14:paraId="479E72A6" w14:textId="77777777" w:rsidR="007D1371" w:rsidRDefault="007D1371" w:rsidP="001B1FDB">
      <w:pPr>
        <w:pStyle w:val="NoSpacing"/>
      </w:pPr>
    </w:p>
    <w:p w14:paraId="24A115FC" w14:textId="77777777" w:rsidR="007D1371" w:rsidRDefault="007D1371" w:rsidP="001B1FDB">
      <w:pPr>
        <w:pStyle w:val="NoSpacing"/>
      </w:pPr>
      <w:r>
        <w:t>“Guideposts for Success” (June 14, 2017), Monticello, MN</w:t>
      </w:r>
    </w:p>
    <w:p w14:paraId="52D5298E" w14:textId="77777777" w:rsidR="007D1371" w:rsidRDefault="007D1371" w:rsidP="001B1FDB">
      <w:pPr>
        <w:pStyle w:val="NoSpacing"/>
      </w:pPr>
    </w:p>
    <w:p w14:paraId="56A81197" w14:textId="77777777" w:rsidR="007D1371" w:rsidRDefault="007D1371" w:rsidP="001B1FDB">
      <w:pPr>
        <w:pStyle w:val="NoSpacing"/>
      </w:pPr>
      <w:r>
        <w:t>“What Families Need to Know about Career Pathways and Workforce Centers (September 13, 2017), Marshall, MN (newspaper article from area newspaper available)</w:t>
      </w:r>
    </w:p>
    <w:p w14:paraId="08B7A201" w14:textId="77777777" w:rsidR="007D1371" w:rsidRDefault="007D1371" w:rsidP="001B1FDB">
      <w:pPr>
        <w:pStyle w:val="NoSpacing"/>
      </w:pPr>
    </w:p>
    <w:p w14:paraId="07CEB32B" w14:textId="77777777" w:rsidR="008053C6" w:rsidRDefault="008053C6" w:rsidP="001B1FDB">
      <w:pPr>
        <w:pStyle w:val="NoSpacing"/>
      </w:pPr>
      <w:r>
        <w:t>“An Introduction to the Guideposts to Success:   A Framework for Serving Youth With and Without Disabilities” (September 13</w:t>
      </w:r>
      <w:r w:rsidR="00B20902">
        <w:t>, 2017</w:t>
      </w:r>
      <w:r>
        <w:t>)</w:t>
      </w:r>
      <w:r w:rsidR="007D1371">
        <w:t>, on line</w:t>
      </w:r>
    </w:p>
    <w:p w14:paraId="1FBC31F2" w14:textId="77777777" w:rsidR="008053C6" w:rsidRDefault="008053C6" w:rsidP="001B1FDB">
      <w:pPr>
        <w:pStyle w:val="NoSpacing"/>
      </w:pPr>
    </w:p>
    <w:p w14:paraId="11D4C2AB" w14:textId="77777777" w:rsidR="008053C6" w:rsidRDefault="008053C6" w:rsidP="001B1FDB">
      <w:pPr>
        <w:pStyle w:val="NoSpacing"/>
      </w:pPr>
      <w:r>
        <w:t>(Note:  Printed slides of the Power Points are available with this report.)</w:t>
      </w:r>
    </w:p>
    <w:p w14:paraId="2A3CE4FA" w14:textId="77777777" w:rsidR="00882EC0" w:rsidRDefault="00882EC0" w:rsidP="001B1FDB">
      <w:pPr>
        <w:pStyle w:val="NoSpacing"/>
      </w:pPr>
    </w:p>
    <w:p w14:paraId="7D290FE7" w14:textId="77777777" w:rsidR="00882EC0" w:rsidRDefault="00882EC0" w:rsidP="001B1FDB">
      <w:pPr>
        <w:pStyle w:val="NoSpacing"/>
      </w:pPr>
    </w:p>
    <w:p w14:paraId="2B53FCE4" w14:textId="77777777" w:rsidR="007E3E2D" w:rsidRDefault="007E3E2D" w:rsidP="001B1FDB">
      <w:pPr>
        <w:pStyle w:val="NoSpacing"/>
        <w:rPr>
          <w:b/>
        </w:rPr>
      </w:pPr>
    </w:p>
    <w:p w14:paraId="501986ED" w14:textId="77777777" w:rsidR="007E3E2D" w:rsidRDefault="007E3E2D" w:rsidP="001B1FDB">
      <w:pPr>
        <w:pStyle w:val="NoSpacing"/>
        <w:rPr>
          <w:b/>
        </w:rPr>
      </w:pPr>
    </w:p>
    <w:p w14:paraId="7E5A129A" w14:textId="77777777" w:rsidR="007E3E2D" w:rsidRDefault="007E3E2D" w:rsidP="001B1FDB">
      <w:pPr>
        <w:pStyle w:val="NoSpacing"/>
        <w:rPr>
          <w:b/>
        </w:rPr>
      </w:pPr>
    </w:p>
    <w:p w14:paraId="60889C59" w14:textId="77777777" w:rsidR="007E3E2D" w:rsidRDefault="007E3E2D" w:rsidP="001B1FDB">
      <w:pPr>
        <w:pStyle w:val="NoSpacing"/>
        <w:rPr>
          <w:b/>
        </w:rPr>
      </w:pPr>
    </w:p>
    <w:p w14:paraId="73E2ECA7" w14:textId="77777777" w:rsidR="007E3E2D" w:rsidRDefault="007E3E2D" w:rsidP="001B1FDB">
      <w:pPr>
        <w:pStyle w:val="NoSpacing"/>
        <w:rPr>
          <w:b/>
        </w:rPr>
      </w:pPr>
    </w:p>
    <w:p w14:paraId="639DB934" w14:textId="77777777" w:rsidR="007E3E2D" w:rsidRDefault="007E3E2D" w:rsidP="001B1FDB">
      <w:pPr>
        <w:pStyle w:val="NoSpacing"/>
        <w:rPr>
          <w:b/>
        </w:rPr>
      </w:pPr>
    </w:p>
    <w:p w14:paraId="34D6E784" w14:textId="77777777" w:rsidR="007E3E2D" w:rsidRDefault="007E3E2D" w:rsidP="001B1FDB">
      <w:pPr>
        <w:pStyle w:val="NoSpacing"/>
        <w:rPr>
          <w:b/>
        </w:rPr>
      </w:pPr>
    </w:p>
    <w:p w14:paraId="337C94D0" w14:textId="77777777" w:rsidR="007E3E2D" w:rsidRDefault="007E3E2D" w:rsidP="001B1FDB">
      <w:pPr>
        <w:pStyle w:val="NoSpacing"/>
        <w:rPr>
          <w:b/>
        </w:rPr>
      </w:pPr>
    </w:p>
    <w:p w14:paraId="4D65AB94" w14:textId="77777777" w:rsidR="00882EC0" w:rsidRPr="00882EC0" w:rsidRDefault="00882EC0" w:rsidP="001B1FDB">
      <w:pPr>
        <w:pStyle w:val="NoSpacing"/>
        <w:rPr>
          <w:b/>
        </w:rPr>
      </w:pPr>
      <w:r w:rsidRPr="00882EC0">
        <w:rPr>
          <w:b/>
        </w:rPr>
        <w:lastRenderedPageBreak/>
        <w:t>NEEDS ASSESSMENT</w:t>
      </w:r>
    </w:p>
    <w:p w14:paraId="50743990" w14:textId="77777777" w:rsidR="00B20902" w:rsidRDefault="00B20902" w:rsidP="001B1FDB">
      <w:pPr>
        <w:pStyle w:val="NoSpacing"/>
      </w:pPr>
    </w:p>
    <w:p w14:paraId="15D11944" w14:textId="77777777" w:rsidR="00B20902" w:rsidRDefault="00B20902" w:rsidP="001B1FDB">
      <w:pPr>
        <w:pStyle w:val="NoSpacing"/>
      </w:pPr>
    </w:p>
    <w:p w14:paraId="11C2F1EA" w14:textId="282F57CD" w:rsidR="00B20902" w:rsidRDefault="00821C0D" w:rsidP="001B1FDB">
      <w:pPr>
        <w:pStyle w:val="NoSpacing"/>
      </w:pPr>
      <w:r>
        <w:t xml:space="preserve">PACER </w:t>
      </w:r>
      <w:r w:rsidR="00AA25DA">
        <w:t>assesses the needs for training and technical assistance through various means:</w:t>
      </w:r>
    </w:p>
    <w:p w14:paraId="7EC757ED" w14:textId="77777777" w:rsidR="00AA25DA" w:rsidRDefault="00AA25DA" w:rsidP="001B1FDB">
      <w:pPr>
        <w:pStyle w:val="NoSpacing"/>
      </w:pPr>
    </w:p>
    <w:p w14:paraId="40850899" w14:textId="77777777" w:rsidR="00AA25DA" w:rsidRDefault="00AA25DA" w:rsidP="00AA25DA">
      <w:pPr>
        <w:pStyle w:val="NoSpacing"/>
        <w:numPr>
          <w:ilvl w:val="0"/>
          <w:numId w:val="1"/>
        </w:numPr>
      </w:pPr>
      <w:r>
        <w:t xml:space="preserve">On-line assessment with the Disability Resource Coordinators </w:t>
      </w:r>
      <w:r w:rsidR="00557DCC">
        <w:t xml:space="preserve">(DRC) </w:t>
      </w:r>
      <w:r>
        <w:t>(assessment tool available);</w:t>
      </w:r>
    </w:p>
    <w:p w14:paraId="4AA7A5D4" w14:textId="77777777" w:rsidR="00AA25DA" w:rsidRDefault="00AA25DA" w:rsidP="00AA25DA">
      <w:pPr>
        <w:pStyle w:val="NoSpacing"/>
        <w:numPr>
          <w:ilvl w:val="0"/>
          <w:numId w:val="1"/>
        </w:numPr>
      </w:pPr>
      <w:r>
        <w:t>Individual conferences with DRCs;</w:t>
      </w:r>
    </w:p>
    <w:p w14:paraId="1C91A476" w14:textId="77777777" w:rsidR="00AA25DA" w:rsidRDefault="00AA25DA" w:rsidP="00AA25DA">
      <w:pPr>
        <w:pStyle w:val="NoSpacing"/>
        <w:numPr>
          <w:ilvl w:val="0"/>
          <w:numId w:val="1"/>
        </w:numPr>
      </w:pPr>
      <w:r>
        <w:t>Parent and youth participant input secured after training sessions</w:t>
      </w:r>
    </w:p>
    <w:p w14:paraId="1A5F12AB" w14:textId="77777777" w:rsidR="00AA25DA" w:rsidRDefault="00AA25DA" w:rsidP="00AA25DA">
      <w:pPr>
        <w:pStyle w:val="NoSpacing"/>
      </w:pPr>
    </w:p>
    <w:p w14:paraId="4C5BEEC1" w14:textId="3B482E23" w:rsidR="00AA25DA" w:rsidRDefault="00821C0D" w:rsidP="00AA25DA">
      <w:pPr>
        <w:pStyle w:val="NoSpacing"/>
      </w:pPr>
      <w:r>
        <w:t xml:space="preserve">PACER </w:t>
      </w:r>
      <w:r w:rsidR="00AA25DA">
        <w:t>gathers the data from each of these inputs and based on resources (e.g. time, staff availability, urgency of need</w:t>
      </w:r>
      <w:r w:rsidR="00557DCC">
        <w:t>, budget</w:t>
      </w:r>
      <w:r w:rsidR="00AA25DA">
        <w:t>) plans training activities.</w:t>
      </w:r>
    </w:p>
    <w:p w14:paraId="7DE34AA3" w14:textId="77777777" w:rsidR="00557DCC" w:rsidRDefault="00557DCC" w:rsidP="00AA25DA">
      <w:pPr>
        <w:pStyle w:val="NoSpacing"/>
      </w:pPr>
    </w:p>
    <w:p w14:paraId="13B337F8" w14:textId="1F341065" w:rsidR="00557DCC" w:rsidRDefault="00557DCC" w:rsidP="00AA25DA">
      <w:pPr>
        <w:pStyle w:val="NoSpacing"/>
      </w:pPr>
      <w:r>
        <w:t xml:space="preserve">In providing training/technical assistance to WDAs, associated parents/youth, and other appropriate individuals, </w:t>
      </w:r>
      <w:r w:rsidR="00821C0D">
        <w:t xml:space="preserve">PACER </w:t>
      </w:r>
      <w:r>
        <w:t xml:space="preserve">reaches out informally to National Disability Institute (NDI) and </w:t>
      </w:r>
      <w:r w:rsidR="001B6F9A">
        <w:t xml:space="preserve">National Collaborative on Workforce and Disability (NCWD) for additional materials and advice.   There is an ongoing informal discussion among </w:t>
      </w:r>
      <w:r w:rsidR="00821C0D">
        <w:t>PACER</w:t>
      </w:r>
      <w:r w:rsidR="001B6F9A">
        <w:t xml:space="preserve">, NDI and NCWD. </w:t>
      </w:r>
      <w:r>
        <w:t xml:space="preserve"> </w:t>
      </w:r>
      <w:r w:rsidR="001B6F9A">
        <w:t xml:space="preserve">However, </w:t>
      </w:r>
      <w:r w:rsidR="00821C0D">
        <w:t xml:space="preserve">PACER </w:t>
      </w:r>
      <w:r w:rsidR="001B6F9A">
        <w:t>uses its own staff to provide needed/requested training and technical assistance.</w:t>
      </w:r>
    </w:p>
    <w:p w14:paraId="5D76D62C" w14:textId="77777777" w:rsidR="001B6F9A" w:rsidRDefault="001B6F9A" w:rsidP="00AA25DA">
      <w:pPr>
        <w:pStyle w:val="NoSpacing"/>
      </w:pPr>
    </w:p>
    <w:p w14:paraId="33032EDA" w14:textId="77777777" w:rsidR="001B6F9A" w:rsidRDefault="001B6F9A" w:rsidP="00AA25DA">
      <w:pPr>
        <w:pStyle w:val="NoSpacing"/>
      </w:pPr>
    </w:p>
    <w:p w14:paraId="1C292502" w14:textId="2B65BE12" w:rsidR="001B6F9A" w:rsidRDefault="00821C0D" w:rsidP="00AA25DA">
      <w:pPr>
        <w:pStyle w:val="NoSpacing"/>
      </w:pPr>
      <w:r>
        <w:t xml:space="preserve">PACER </w:t>
      </w:r>
      <w:r w:rsidR="00913124">
        <w:t xml:space="preserve">conducts an on-going assessment of training and technical assistance needs and, if appropriate, adjusts its resources to accommodate the need.  </w:t>
      </w:r>
    </w:p>
    <w:p w14:paraId="717D7FF6" w14:textId="77777777" w:rsidR="00913124" w:rsidRDefault="00913124" w:rsidP="00AA25DA">
      <w:pPr>
        <w:pStyle w:val="NoSpacing"/>
      </w:pPr>
    </w:p>
    <w:p w14:paraId="76A2F015" w14:textId="77777777" w:rsidR="00913124" w:rsidRDefault="00913124" w:rsidP="00AA25DA">
      <w:pPr>
        <w:pStyle w:val="NoSpacing"/>
        <w:rPr>
          <w:b/>
        </w:rPr>
      </w:pPr>
      <w:r w:rsidRPr="00913124">
        <w:rPr>
          <w:b/>
        </w:rPr>
        <w:t>OUTREACH</w:t>
      </w:r>
    </w:p>
    <w:p w14:paraId="63E14F3C" w14:textId="77777777" w:rsidR="00DB7341" w:rsidRDefault="00DB7341" w:rsidP="00AA25DA">
      <w:pPr>
        <w:pStyle w:val="NoSpacing"/>
        <w:rPr>
          <w:b/>
        </w:rPr>
      </w:pPr>
    </w:p>
    <w:p w14:paraId="55A9A981" w14:textId="4338F822" w:rsidR="00D615C7" w:rsidRDefault="00DB7341" w:rsidP="00AA25DA">
      <w:pPr>
        <w:pStyle w:val="NoSpacing"/>
      </w:pPr>
      <w:r>
        <w:t xml:space="preserve">In recruiting individuals for its training, </w:t>
      </w:r>
      <w:r w:rsidR="00821C0D">
        <w:t xml:space="preserve">PACER </w:t>
      </w:r>
      <w:r>
        <w:t xml:space="preserve">uses its “extensive mailing list” to inform individuals of its coursework.   In addition, </w:t>
      </w:r>
      <w:r w:rsidR="00821C0D">
        <w:t xml:space="preserve">PACER </w:t>
      </w:r>
      <w:r>
        <w:t xml:space="preserve">makes a special effort to involve individuals who would gain from training session attendance.   </w:t>
      </w:r>
      <w:r w:rsidR="00821C0D">
        <w:t xml:space="preserve">PACER </w:t>
      </w:r>
      <w:r>
        <w:t xml:space="preserve">also uses it periodical, “Pacesetter,” to inform its readership of pending training sessions. </w:t>
      </w:r>
      <w:r w:rsidR="00D615C7">
        <w:t xml:space="preserve">  </w:t>
      </w:r>
    </w:p>
    <w:p w14:paraId="68D8AB9A" w14:textId="77777777" w:rsidR="00D615C7" w:rsidRDefault="00D615C7" w:rsidP="00AA25DA">
      <w:pPr>
        <w:pStyle w:val="NoSpacing"/>
      </w:pPr>
    </w:p>
    <w:p w14:paraId="5B3C28CE" w14:textId="7D7316A7" w:rsidR="00DB7341" w:rsidRDefault="00AE6485" w:rsidP="00AA25DA">
      <w:pPr>
        <w:pStyle w:val="NoSpacing"/>
      </w:pPr>
      <w:r>
        <w:t xml:space="preserve">PACER has had more success having parents of school-age youth at their parent trainings. </w:t>
      </w:r>
      <w:r w:rsidR="00B02493">
        <w:t>It is</w:t>
      </w:r>
      <w:r>
        <w:t xml:space="preserve"> more challenging to reach parents who would benefit from the information but have youth who have graduated or are </w:t>
      </w:r>
      <w:r w:rsidR="00B02493">
        <w:t>not in</w:t>
      </w:r>
      <w:r>
        <w:t xml:space="preserve"> school.</w:t>
      </w:r>
      <w:r w:rsidR="00D615C7">
        <w:t xml:space="preserve"> </w:t>
      </w:r>
    </w:p>
    <w:p w14:paraId="2DF65C53" w14:textId="77777777" w:rsidR="00D615C7" w:rsidRDefault="00D615C7" w:rsidP="00AA25DA">
      <w:pPr>
        <w:pStyle w:val="NoSpacing"/>
      </w:pPr>
    </w:p>
    <w:p w14:paraId="5F40AECC" w14:textId="77777777" w:rsidR="00D615C7" w:rsidRDefault="00D615C7" w:rsidP="00AA25DA">
      <w:pPr>
        <w:pStyle w:val="NoSpacing"/>
        <w:rPr>
          <w:b/>
        </w:rPr>
      </w:pPr>
      <w:r w:rsidRPr="00D615C7">
        <w:rPr>
          <w:b/>
        </w:rPr>
        <w:t>TRAINING AND TECHNICAL ASSISTANCE SCHEDULING</w:t>
      </w:r>
    </w:p>
    <w:p w14:paraId="4F7EAF5C" w14:textId="77777777" w:rsidR="00D615C7" w:rsidRDefault="00D615C7" w:rsidP="00AA25DA">
      <w:pPr>
        <w:pStyle w:val="NoSpacing"/>
        <w:rPr>
          <w:b/>
        </w:rPr>
      </w:pPr>
    </w:p>
    <w:p w14:paraId="4A1A41CD" w14:textId="3E478B3B" w:rsidR="00D615C7" w:rsidRDefault="00D615C7" w:rsidP="00AA25DA">
      <w:pPr>
        <w:pStyle w:val="NoSpacing"/>
      </w:pPr>
      <w:r>
        <w:t xml:space="preserve">The scheduling of training and technical assistance activities has been done with the assistance and advice of WDA DRC’s based on availability and need.  A change was made in the original workplan submitted by </w:t>
      </w:r>
      <w:r w:rsidR="00821C0D">
        <w:t xml:space="preserve">PACER </w:t>
      </w:r>
      <w:r>
        <w:t xml:space="preserve">as part of </w:t>
      </w:r>
      <w:proofErr w:type="spellStart"/>
      <w:r>
        <w:t>subgrantee</w:t>
      </w:r>
      <w:proofErr w:type="spellEnd"/>
      <w:r>
        <w:t xml:space="preserve"> agreement with DEED:   the development of a</w:t>
      </w:r>
      <w:r w:rsidR="008C3721">
        <w:t>n</w:t>
      </w:r>
      <w:r>
        <w:t xml:space="preserve"> </w:t>
      </w:r>
      <w:r w:rsidR="000311C7">
        <w:t>individual planning tool for DRCs &amp; IRTs based on Guideposts and career pathways and associated guide</w:t>
      </w:r>
      <w:r>
        <w:t xml:space="preserve"> has been rescheduled to take place in the first quarter </w:t>
      </w:r>
      <w:r w:rsidR="000311C7">
        <w:t xml:space="preserve">of Year 2 (Oct-Dec 2017). </w:t>
      </w:r>
    </w:p>
    <w:p w14:paraId="6C5B2618" w14:textId="77777777" w:rsidR="00D615C7" w:rsidRDefault="00D615C7" w:rsidP="00AA25DA">
      <w:pPr>
        <w:pStyle w:val="NoSpacing"/>
      </w:pPr>
    </w:p>
    <w:p w14:paraId="7FD151A3" w14:textId="3F69AB33" w:rsidR="00D615C7" w:rsidRDefault="00D615C7" w:rsidP="00AA25DA">
      <w:pPr>
        <w:pStyle w:val="NoSpacing"/>
      </w:pPr>
      <w:r>
        <w:t xml:space="preserve">There are no other DEI activities being delivered by </w:t>
      </w:r>
      <w:r w:rsidR="00821C0D">
        <w:t xml:space="preserve">PACER </w:t>
      </w:r>
      <w:r>
        <w:t>that are not described in the revised workplan.</w:t>
      </w:r>
    </w:p>
    <w:p w14:paraId="1C35E236" w14:textId="77777777" w:rsidR="00D615C7" w:rsidRDefault="00D615C7" w:rsidP="00AA25DA">
      <w:pPr>
        <w:pStyle w:val="NoSpacing"/>
      </w:pPr>
    </w:p>
    <w:p w14:paraId="5A33FF2B" w14:textId="77777777" w:rsidR="00D615C7" w:rsidRDefault="00D615C7" w:rsidP="00AA25DA">
      <w:pPr>
        <w:pStyle w:val="NoSpacing"/>
        <w:rPr>
          <w:b/>
        </w:rPr>
      </w:pPr>
      <w:r w:rsidRPr="00D615C7">
        <w:rPr>
          <w:b/>
        </w:rPr>
        <w:t>TRAINING AND TECHNICAL ASSISTANCE EVALUATION</w:t>
      </w:r>
    </w:p>
    <w:p w14:paraId="17D0EE63" w14:textId="77777777" w:rsidR="00D615C7" w:rsidRDefault="00D615C7" w:rsidP="00AA25DA">
      <w:pPr>
        <w:pStyle w:val="NoSpacing"/>
        <w:rPr>
          <w:b/>
        </w:rPr>
      </w:pPr>
    </w:p>
    <w:p w14:paraId="455616AB" w14:textId="53D99652" w:rsidR="00D615C7" w:rsidRDefault="00821C0D" w:rsidP="00AA25DA">
      <w:pPr>
        <w:pStyle w:val="NoSpacing"/>
      </w:pPr>
      <w:r>
        <w:t xml:space="preserve">PACER </w:t>
      </w:r>
      <w:r w:rsidR="00ED6429">
        <w:t>has developed an evaluation form that it uses to measure customer satisfaction with its training and technical assistance.   (The instrument is available).</w:t>
      </w:r>
    </w:p>
    <w:p w14:paraId="12B07BA2" w14:textId="77777777" w:rsidR="00ED6429" w:rsidRDefault="00ED6429" w:rsidP="00AA25DA">
      <w:pPr>
        <w:pStyle w:val="NoSpacing"/>
      </w:pPr>
    </w:p>
    <w:p w14:paraId="1783C3B4" w14:textId="02B44D4F" w:rsidR="007E3E2D" w:rsidRDefault="007E3E2D" w:rsidP="00AA25DA">
      <w:pPr>
        <w:pStyle w:val="NoSpacing"/>
      </w:pPr>
      <w:r>
        <w:t>Previous evaluations have indicated the two parent trainings have</w:t>
      </w:r>
      <w:r w:rsidR="00B02493">
        <w:t xml:space="preserve"> been very positively received</w:t>
      </w:r>
      <w:r>
        <w:t>, with 96 percent reported learning something new, and 100 percent saying the trainings were “good,” “very good,” or “excellent.”   All participants also reported that they would use the information learned to help their young adult work towards reaching their employment goals and to explore additional services.</w:t>
      </w:r>
    </w:p>
    <w:p w14:paraId="34F79FAA" w14:textId="77777777" w:rsidR="007E3E2D" w:rsidRDefault="007E3E2D" w:rsidP="00AA25DA">
      <w:pPr>
        <w:pStyle w:val="NoSpacing"/>
      </w:pPr>
    </w:p>
    <w:p w14:paraId="1AB51D58" w14:textId="70C7501C" w:rsidR="007E3E2D" w:rsidRDefault="007E3E2D" w:rsidP="00AA25DA">
      <w:pPr>
        <w:pStyle w:val="NoSpacing"/>
      </w:pPr>
      <w:r>
        <w:t xml:space="preserve">The professional in-services have also been generally well-received. </w:t>
      </w:r>
      <w:r w:rsidR="000C660A">
        <w:t>At the June 14 training in Monticello,</w:t>
      </w:r>
      <w:r>
        <w:t xml:space="preserve"> </w:t>
      </w:r>
      <w:r w:rsidR="000C660A">
        <w:rPr>
          <w:rStyle w:val="eop"/>
        </w:rPr>
        <w:t xml:space="preserve">100% of participants indicated that the training had “improved [their] capacity to provide services that will help youth with disabilities achieve their education and employment goals.” For the online in-service on September 13, 84% of </w:t>
      </w:r>
      <w:r>
        <w:t xml:space="preserve">evaluation respondents, </w:t>
      </w:r>
      <w:r w:rsidR="000C660A">
        <w:t>indicated</w:t>
      </w:r>
      <w:r>
        <w:t xml:space="preserve"> the </w:t>
      </w:r>
      <w:r w:rsidR="002D3063">
        <w:t>training improved</w:t>
      </w:r>
      <w:r>
        <w:t xml:space="preserve"> their capacity to provide services that will help youth with disabilities.</w:t>
      </w:r>
    </w:p>
    <w:p w14:paraId="3133719E" w14:textId="77777777" w:rsidR="00F16EDA" w:rsidRDefault="00F16EDA" w:rsidP="00AA25DA">
      <w:pPr>
        <w:pStyle w:val="NoSpacing"/>
      </w:pPr>
    </w:p>
    <w:p w14:paraId="1D9A7A2A" w14:textId="0F989959" w:rsidR="00F16EDA" w:rsidRDefault="00F16EDA" w:rsidP="00AA25DA">
      <w:pPr>
        <w:pStyle w:val="NoSpacing"/>
      </w:pPr>
      <w:r>
        <w:t xml:space="preserve">An interview with a training and employment specialist who participated in </w:t>
      </w:r>
      <w:r w:rsidR="00821C0D">
        <w:t xml:space="preserve">PACER’s </w:t>
      </w:r>
      <w:r>
        <w:t xml:space="preserve">training and technical assistance activities indicated that the programs were very useful and relevant in her work.   She indicated that participating parents in her area also found the material being presented very useful in their roles of parenting youth with disabilities.   The specialist stated that she would like to see more </w:t>
      </w:r>
      <w:r w:rsidR="00821C0D">
        <w:t xml:space="preserve">PACER </w:t>
      </w:r>
      <w:r>
        <w:t>led activities in the future in her area.</w:t>
      </w:r>
    </w:p>
    <w:p w14:paraId="4A4D66D6" w14:textId="77777777" w:rsidR="007E3E2D" w:rsidRDefault="007E3E2D" w:rsidP="00AA25DA">
      <w:pPr>
        <w:pStyle w:val="NoSpacing"/>
      </w:pPr>
    </w:p>
    <w:p w14:paraId="166F07D2" w14:textId="77777777" w:rsidR="007E3E2D" w:rsidRDefault="007E3E2D" w:rsidP="00AA25DA">
      <w:pPr>
        <w:pStyle w:val="NoSpacing"/>
      </w:pPr>
    </w:p>
    <w:p w14:paraId="3C8BC23B" w14:textId="77777777" w:rsidR="002A41CF" w:rsidRDefault="002A41CF" w:rsidP="00AA25DA">
      <w:pPr>
        <w:pStyle w:val="NoSpacing"/>
      </w:pPr>
    </w:p>
    <w:p w14:paraId="58A71B16" w14:textId="77777777" w:rsidR="002A41CF" w:rsidRDefault="002A41CF" w:rsidP="00AA25DA">
      <w:pPr>
        <w:pStyle w:val="NoSpacing"/>
        <w:rPr>
          <w:b/>
        </w:rPr>
      </w:pPr>
      <w:r w:rsidRPr="002A41CF">
        <w:rPr>
          <w:b/>
        </w:rPr>
        <w:t>FINANCIAL RECONCILIATION</w:t>
      </w:r>
    </w:p>
    <w:p w14:paraId="1DC70A0A" w14:textId="77777777" w:rsidR="005565A0" w:rsidRDefault="005565A0" w:rsidP="00AA25DA">
      <w:pPr>
        <w:pStyle w:val="NoSpacing"/>
        <w:rPr>
          <w:b/>
        </w:rPr>
      </w:pPr>
    </w:p>
    <w:p w14:paraId="77D8DC73" w14:textId="61A4E6E2" w:rsidR="005565A0" w:rsidRPr="005565A0" w:rsidRDefault="00821C0D" w:rsidP="00AA25DA">
      <w:pPr>
        <w:pStyle w:val="NoSpacing"/>
      </w:pPr>
      <w:r>
        <w:t xml:space="preserve">PACER </w:t>
      </w:r>
      <w:r w:rsidR="005565A0">
        <w:t>expenditures reported on July and August, 2107 Reimbursement Payment Requests ($10,437; $9,998) were examined to determine whether they were supported by the general ledgers, receipts, invoices, etc.   A careful review of the financial documents indicated that such requests were accurate and were supported by the records.</w:t>
      </w:r>
    </w:p>
    <w:p w14:paraId="558E182B" w14:textId="77777777" w:rsidR="00913124" w:rsidRDefault="00913124" w:rsidP="00AA25DA">
      <w:pPr>
        <w:pStyle w:val="NoSpacing"/>
      </w:pPr>
    </w:p>
    <w:p w14:paraId="47421525" w14:textId="77777777" w:rsidR="002A41CF" w:rsidRDefault="002A41CF" w:rsidP="00AA25DA">
      <w:pPr>
        <w:pStyle w:val="NoSpacing"/>
      </w:pPr>
    </w:p>
    <w:p w14:paraId="4D31F905" w14:textId="77777777" w:rsidR="00913124" w:rsidRDefault="00913124" w:rsidP="00AA25DA">
      <w:pPr>
        <w:pStyle w:val="NoSpacing"/>
      </w:pPr>
    </w:p>
    <w:p w14:paraId="112B00B9" w14:textId="77777777" w:rsidR="00B20902" w:rsidRPr="000A56B0" w:rsidRDefault="00B20902" w:rsidP="001B1FDB">
      <w:pPr>
        <w:pStyle w:val="NoSpacing"/>
      </w:pPr>
    </w:p>
    <w:sectPr w:rsidR="00B20902" w:rsidRPr="000A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4795F"/>
    <w:multiLevelType w:val="hybridMultilevel"/>
    <w:tmpl w:val="F4B8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DB"/>
    <w:rsid w:val="000311C7"/>
    <w:rsid w:val="0009001D"/>
    <w:rsid w:val="000A56B0"/>
    <w:rsid w:val="000C660A"/>
    <w:rsid w:val="001B0CF1"/>
    <w:rsid w:val="001B1FDB"/>
    <w:rsid w:val="001B6F9A"/>
    <w:rsid w:val="002A0400"/>
    <w:rsid w:val="002A41CF"/>
    <w:rsid w:val="002D3063"/>
    <w:rsid w:val="003B1EB6"/>
    <w:rsid w:val="00425D5D"/>
    <w:rsid w:val="00457769"/>
    <w:rsid w:val="004D4E01"/>
    <w:rsid w:val="005565A0"/>
    <w:rsid w:val="00557DCC"/>
    <w:rsid w:val="00633BE1"/>
    <w:rsid w:val="007D1371"/>
    <w:rsid w:val="007E3E2D"/>
    <w:rsid w:val="008053C6"/>
    <w:rsid w:val="00821C0D"/>
    <w:rsid w:val="00882EC0"/>
    <w:rsid w:val="008C3721"/>
    <w:rsid w:val="00913124"/>
    <w:rsid w:val="00935590"/>
    <w:rsid w:val="00952AC0"/>
    <w:rsid w:val="009E4539"/>
    <w:rsid w:val="00A406CC"/>
    <w:rsid w:val="00A77E54"/>
    <w:rsid w:val="00AA25DA"/>
    <w:rsid w:val="00AC3565"/>
    <w:rsid w:val="00AE6485"/>
    <w:rsid w:val="00B02493"/>
    <w:rsid w:val="00B20902"/>
    <w:rsid w:val="00B732A4"/>
    <w:rsid w:val="00BB6B6D"/>
    <w:rsid w:val="00BC76B6"/>
    <w:rsid w:val="00D615C7"/>
    <w:rsid w:val="00DB7341"/>
    <w:rsid w:val="00E2488C"/>
    <w:rsid w:val="00ED6429"/>
    <w:rsid w:val="00F16EDA"/>
    <w:rsid w:val="00F3362B"/>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49F0"/>
  <w15:chartTrackingRefBased/>
  <w15:docId w15:val="{7C11968B-7423-4438-B36B-6D6FEEB4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FDB"/>
    <w:pPr>
      <w:spacing w:after="0" w:line="240" w:lineRule="auto"/>
    </w:pPr>
  </w:style>
  <w:style w:type="table" w:styleId="TableGrid">
    <w:name w:val="Table Grid"/>
    <w:basedOn w:val="TableNormal"/>
    <w:uiPriority w:val="39"/>
    <w:rsid w:val="00BB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62B"/>
    <w:rPr>
      <w:rFonts w:ascii="Segoe UI" w:hAnsi="Segoe UI" w:cs="Segoe UI"/>
      <w:sz w:val="18"/>
      <w:szCs w:val="18"/>
    </w:rPr>
  </w:style>
  <w:style w:type="character" w:styleId="CommentReference">
    <w:name w:val="annotation reference"/>
    <w:basedOn w:val="DefaultParagraphFont"/>
    <w:uiPriority w:val="99"/>
    <w:semiHidden/>
    <w:unhideWhenUsed/>
    <w:rsid w:val="000311C7"/>
    <w:rPr>
      <w:sz w:val="16"/>
      <w:szCs w:val="16"/>
    </w:rPr>
  </w:style>
  <w:style w:type="paragraph" w:styleId="CommentText">
    <w:name w:val="annotation text"/>
    <w:basedOn w:val="Normal"/>
    <w:link w:val="CommentTextChar"/>
    <w:uiPriority w:val="99"/>
    <w:semiHidden/>
    <w:unhideWhenUsed/>
    <w:rsid w:val="000311C7"/>
    <w:pPr>
      <w:spacing w:line="240" w:lineRule="auto"/>
    </w:pPr>
    <w:rPr>
      <w:sz w:val="20"/>
      <w:szCs w:val="20"/>
    </w:rPr>
  </w:style>
  <w:style w:type="character" w:customStyle="1" w:styleId="CommentTextChar">
    <w:name w:val="Comment Text Char"/>
    <w:basedOn w:val="DefaultParagraphFont"/>
    <w:link w:val="CommentText"/>
    <w:uiPriority w:val="99"/>
    <w:semiHidden/>
    <w:rsid w:val="000311C7"/>
    <w:rPr>
      <w:sz w:val="20"/>
      <w:szCs w:val="20"/>
    </w:rPr>
  </w:style>
  <w:style w:type="paragraph" w:styleId="CommentSubject">
    <w:name w:val="annotation subject"/>
    <w:basedOn w:val="CommentText"/>
    <w:next w:val="CommentText"/>
    <w:link w:val="CommentSubjectChar"/>
    <w:uiPriority w:val="99"/>
    <w:semiHidden/>
    <w:unhideWhenUsed/>
    <w:rsid w:val="000311C7"/>
    <w:rPr>
      <w:b/>
      <w:bCs/>
    </w:rPr>
  </w:style>
  <w:style w:type="character" w:customStyle="1" w:styleId="CommentSubjectChar">
    <w:name w:val="Comment Subject Char"/>
    <w:basedOn w:val="CommentTextChar"/>
    <w:link w:val="CommentSubject"/>
    <w:uiPriority w:val="99"/>
    <w:semiHidden/>
    <w:rsid w:val="000311C7"/>
    <w:rPr>
      <w:b/>
      <w:bCs/>
      <w:sz w:val="20"/>
      <w:szCs w:val="20"/>
    </w:rPr>
  </w:style>
  <w:style w:type="character" w:customStyle="1" w:styleId="eop">
    <w:name w:val="eop"/>
    <w:basedOn w:val="DefaultParagraphFont"/>
    <w:rsid w:val="000C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CD7E2-4489-43C6-A335-42359349CD84}">
  <ds:schemaRefs>
    <ds:schemaRef ds:uri="http://schemas.openxmlformats.org/officeDocument/2006/bibliography"/>
  </ds:schemaRefs>
</ds:datastoreItem>
</file>

<file path=customXml/itemProps2.xml><?xml version="1.0" encoding="utf-8"?>
<ds:datastoreItem xmlns:ds="http://schemas.openxmlformats.org/officeDocument/2006/customXml" ds:itemID="{433A42C9-C1C1-405F-9F8D-091AE0680530}"/>
</file>

<file path=customXml/itemProps3.xml><?xml version="1.0" encoding="utf-8"?>
<ds:datastoreItem xmlns:ds="http://schemas.openxmlformats.org/officeDocument/2006/customXml" ds:itemID="{2ABE1165-A96D-4944-A9CB-B3275B0C16FF}"/>
</file>

<file path=customXml/itemProps4.xml><?xml version="1.0" encoding="utf-8"?>
<ds:datastoreItem xmlns:ds="http://schemas.openxmlformats.org/officeDocument/2006/customXml" ds:itemID="{AC284AB5-A357-4B42-8F84-4175E1BB34C5}"/>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Eisenstadt</dc:creator>
  <cp:keywords/>
  <dc:description/>
  <cp:lastModifiedBy>Schmid, Cory (DEED)</cp:lastModifiedBy>
  <cp:revision>2</cp:revision>
  <cp:lastPrinted>2017-11-20T17:17:00Z</cp:lastPrinted>
  <dcterms:created xsi:type="dcterms:W3CDTF">2017-11-29T13:21:00Z</dcterms:created>
  <dcterms:modified xsi:type="dcterms:W3CDTF">2017-11-29T13:21:00Z</dcterms:modified>
</cp:coreProperties>
</file>