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F4" w:rsidRDefault="0063421B" w:rsidP="00A445F4">
      <w:pPr>
        <w:spacing w:after="0" w:line="240" w:lineRule="auto"/>
        <w:ind w:left="720" w:right="360" w:hanging="14"/>
        <w:jc w:val="center"/>
        <w:rPr>
          <w:rFonts w:ascii="Arial Black" w:eastAsia="Agency FB" w:hAnsi="Arial Black" w:cs="Agency FB"/>
          <w:b/>
          <w:bCs/>
          <w:color w:val="231F20"/>
          <w:w w:val="114"/>
          <w:sz w:val="56"/>
          <w:szCs w:val="56"/>
        </w:rPr>
      </w:pPr>
      <w:r w:rsidRPr="00A445F4">
        <w:rPr>
          <w:rFonts w:ascii="Arial Black" w:eastAsia="Agency FB" w:hAnsi="Arial Black" w:cs="Agency FB"/>
          <w:b/>
          <w:bCs/>
          <w:color w:val="231F20"/>
          <w:sz w:val="56"/>
          <w:szCs w:val="56"/>
        </w:rPr>
        <w:t>Why</w:t>
      </w:r>
      <w:r w:rsidR="00DB4024" w:rsidRPr="00A445F4">
        <w:rPr>
          <w:rFonts w:ascii="Arial Black" w:eastAsia="Agency FB" w:hAnsi="Arial Black" w:cs="Agency FB"/>
          <w:b/>
          <w:bCs/>
          <w:color w:val="231F20"/>
          <w:spacing w:val="28"/>
          <w:sz w:val="56"/>
          <w:szCs w:val="56"/>
        </w:rPr>
        <w:t xml:space="preserve"> </w:t>
      </w:r>
      <w:r w:rsidR="00DB4024" w:rsidRPr="00A445F4">
        <w:rPr>
          <w:rFonts w:ascii="Arial Black" w:eastAsia="Agency FB" w:hAnsi="Arial Black" w:cs="Agency FB"/>
          <w:b/>
          <w:bCs/>
          <w:color w:val="231F20"/>
          <w:w w:val="114"/>
          <w:sz w:val="56"/>
          <w:szCs w:val="56"/>
        </w:rPr>
        <w:t>State</w:t>
      </w:r>
      <w:r w:rsidR="00DB4024" w:rsidRPr="00A445F4">
        <w:rPr>
          <w:rFonts w:ascii="Arial Black" w:eastAsia="Agency FB" w:hAnsi="Arial Black" w:cs="Agency FB"/>
          <w:b/>
          <w:bCs/>
          <w:color w:val="231F20"/>
          <w:spacing w:val="2"/>
          <w:w w:val="114"/>
          <w:sz w:val="56"/>
          <w:szCs w:val="56"/>
        </w:rPr>
        <w:t xml:space="preserve"> </w:t>
      </w:r>
      <w:r w:rsidR="00DB4024" w:rsidRPr="00A445F4">
        <w:rPr>
          <w:rFonts w:ascii="Arial Black" w:eastAsia="Agency FB" w:hAnsi="Arial Black" w:cs="Agency FB"/>
          <w:b/>
          <w:bCs/>
          <w:color w:val="231F20"/>
          <w:w w:val="114"/>
          <w:sz w:val="56"/>
          <w:szCs w:val="56"/>
        </w:rPr>
        <w:t>Service</w:t>
      </w:r>
      <w:r w:rsidR="00DB4024" w:rsidRPr="00A445F4">
        <w:rPr>
          <w:rFonts w:ascii="Arial Black" w:eastAsia="Agency FB" w:hAnsi="Arial Black" w:cs="Agency FB"/>
          <w:b/>
          <w:bCs/>
          <w:color w:val="231F20"/>
          <w:spacing w:val="1"/>
          <w:w w:val="114"/>
          <w:sz w:val="56"/>
          <w:szCs w:val="56"/>
        </w:rPr>
        <w:t xml:space="preserve"> </w:t>
      </w:r>
      <w:r w:rsidR="00DB4024" w:rsidRPr="00A445F4">
        <w:rPr>
          <w:rFonts w:ascii="Arial Black" w:eastAsia="Agency FB" w:hAnsi="Arial Black" w:cs="Agency FB"/>
          <w:b/>
          <w:bCs/>
          <w:color w:val="231F20"/>
          <w:sz w:val="56"/>
          <w:szCs w:val="56"/>
        </w:rPr>
        <w:t>for</w:t>
      </w:r>
      <w:r w:rsidR="00DB4024" w:rsidRPr="00A445F4">
        <w:rPr>
          <w:rFonts w:ascii="Arial Black" w:eastAsia="Agency FB" w:hAnsi="Arial Black" w:cs="Agency FB"/>
          <w:b/>
          <w:bCs/>
          <w:color w:val="231F20"/>
          <w:spacing w:val="128"/>
          <w:sz w:val="56"/>
          <w:szCs w:val="56"/>
        </w:rPr>
        <w:t xml:space="preserve"> </w:t>
      </w:r>
      <w:r w:rsidR="00DB4024" w:rsidRPr="00A445F4">
        <w:rPr>
          <w:rFonts w:ascii="Arial Black" w:eastAsia="Agency FB" w:hAnsi="Arial Black" w:cs="Agency FB"/>
          <w:b/>
          <w:bCs/>
          <w:color w:val="231F20"/>
          <w:sz w:val="56"/>
          <w:szCs w:val="56"/>
        </w:rPr>
        <w:t>the</w:t>
      </w:r>
      <w:r w:rsidR="00DB4024" w:rsidRPr="00A445F4">
        <w:rPr>
          <w:rFonts w:ascii="Arial Black" w:eastAsia="Agency FB" w:hAnsi="Arial Black" w:cs="Agency FB"/>
          <w:b/>
          <w:bCs/>
          <w:color w:val="231F20"/>
          <w:spacing w:val="131"/>
          <w:sz w:val="56"/>
          <w:szCs w:val="56"/>
        </w:rPr>
        <w:t xml:space="preserve"> </w:t>
      </w:r>
      <w:r w:rsidR="00DB4024" w:rsidRPr="00A445F4">
        <w:rPr>
          <w:rFonts w:ascii="Arial Black" w:eastAsia="Agency FB" w:hAnsi="Arial Black" w:cs="Agency FB"/>
          <w:b/>
          <w:bCs/>
          <w:color w:val="231F20"/>
          <w:w w:val="114"/>
          <w:sz w:val="56"/>
          <w:szCs w:val="56"/>
        </w:rPr>
        <w:t xml:space="preserve">Blind </w:t>
      </w:r>
    </w:p>
    <w:p w:rsidR="00523E66" w:rsidRPr="00A445F4" w:rsidRDefault="00DB4024" w:rsidP="00A445F4">
      <w:pPr>
        <w:spacing w:after="0" w:line="240" w:lineRule="auto"/>
        <w:ind w:left="720" w:right="360" w:hanging="14"/>
        <w:jc w:val="center"/>
        <w:rPr>
          <w:rFonts w:ascii="Arial Black" w:eastAsia="Agency FB" w:hAnsi="Arial Black" w:cs="Agency FB"/>
          <w:sz w:val="56"/>
          <w:szCs w:val="56"/>
        </w:rPr>
      </w:pPr>
      <w:r w:rsidRPr="00A445F4">
        <w:rPr>
          <w:rFonts w:ascii="Arial Black" w:eastAsia="Agency FB" w:hAnsi="Arial Black" w:cs="Agency FB"/>
          <w:b/>
          <w:bCs/>
          <w:color w:val="231F20"/>
          <w:sz w:val="56"/>
          <w:szCs w:val="56"/>
        </w:rPr>
        <w:t>and</w:t>
      </w:r>
      <w:r w:rsidRPr="00A445F4">
        <w:rPr>
          <w:rFonts w:ascii="Arial Black" w:eastAsia="Agency FB" w:hAnsi="Arial Black" w:cs="Agency FB"/>
          <w:b/>
          <w:bCs/>
          <w:color w:val="231F20"/>
          <w:spacing w:val="-17"/>
          <w:sz w:val="56"/>
          <w:szCs w:val="56"/>
        </w:rPr>
        <w:t xml:space="preserve"> </w:t>
      </w:r>
      <w:r w:rsidRPr="00A445F4">
        <w:rPr>
          <w:rFonts w:ascii="Arial Black" w:eastAsia="Agency FB" w:hAnsi="Arial Black" w:cs="Agency FB"/>
          <w:b/>
          <w:bCs/>
          <w:color w:val="231F20"/>
          <w:sz w:val="56"/>
          <w:szCs w:val="56"/>
        </w:rPr>
        <w:t xml:space="preserve">Why </w:t>
      </w:r>
      <w:r w:rsidRPr="00A445F4">
        <w:rPr>
          <w:rFonts w:ascii="Arial Black" w:eastAsia="Agency FB" w:hAnsi="Arial Black" w:cs="Agency FB"/>
          <w:b/>
          <w:bCs/>
          <w:color w:val="231F20"/>
          <w:w w:val="114"/>
          <w:sz w:val="56"/>
          <w:szCs w:val="56"/>
        </w:rPr>
        <w:t>Now?</w:t>
      </w:r>
    </w:p>
    <w:p w:rsidR="00523E66" w:rsidRDefault="00523E66">
      <w:pPr>
        <w:spacing w:after="0" w:line="200" w:lineRule="exact"/>
        <w:rPr>
          <w:sz w:val="20"/>
          <w:szCs w:val="20"/>
        </w:rPr>
      </w:pPr>
    </w:p>
    <w:p w:rsidR="0046083A" w:rsidRPr="0046083A" w:rsidRDefault="00DB4024" w:rsidP="0046083A">
      <w:pPr>
        <w:spacing w:before="2" w:after="0" w:line="528" w:lineRule="exact"/>
        <w:ind w:left="120"/>
        <w:jc w:val="center"/>
        <w:rPr>
          <w:rFonts w:ascii="Tahoma" w:eastAsia="Tahoma" w:hAnsi="Tahoma" w:cs="Tahoma"/>
          <w:color w:val="231F20"/>
          <w:sz w:val="34"/>
          <w:szCs w:val="34"/>
        </w:rPr>
      </w:pPr>
      <w:r w:rsidRPr="0046083A">
        <w:rPr>
          <w:rFonts w:ascii="Tahoma" w:eastAsia="Tahoma" w:hAnsi="Tahoma" w:cs="Tahoma"/>
          <w:color w:val="231F20"/>
          <w:sz w:val="34"/>
          <w:szCs w:val="34"/>
        </w:rPr>
        <w:t>“I thought</w:t>
      </w:r>
      <w:r w:rsidRPr="0046083A">
        <w:rPr>
          <w:rFonts w:ascii="Tahoma" w:eastAsia="Tahoma" w:hAnsi="Tahoma" w:cs="Tahoma"/>
          <w:color w:val="231F20"/>
          <w:spacing w:val="-15"/>
          <w:sz w:val="34"/>
          <w:szCs w:val="34"/>
        </w:rPr>
        <w:t xml:space="preserve"> </w:t>
      </w:r>
      <w:r w:rsidRPr="0046083A">
        <w:rPr>
          <w:rFonts w:ascii="Tahoma" w:eastAsia="Tahoma" w:hAnsi="Tahoma" w:cs="Tahoma"/>
          <w:color w:val="231F20"/>
          <w:sz w:val="34"/>
          <w:szCs w:val="34"/>
        </w:rPr>
        <w:t>about</w:t>
      </w:r>
      <w:r w:rsidRPr="0046083A">
        <w:rPr>
          <w:rFonts w:ascii="Tahoma" w:eastAsia="Tahoma" w:hAnsi="Tahoma" w:cs="Tahoma"/>
          <w:color w:val="231F20"/>
          <w:spacing w:val="-11"/>
          <w:sz w:val="34"/>
          <w:szCs w:val="34"/>
        </w:rPr>
        <w:t xml:space="preserve"> </w:t>
      </w:r>
      <w:r w:rsidRPr="0046083A">
        <w:rPr>
          <w:rFonts w:ascii="Tahoma" w:eastAsia="Tahoma" w:hAnsi="Tahoma" w:cs="Tahoma"/>
          <w:color w:val="231F20"/>
          <w:sz w:val="34"/>
          <w:szCs w:val="34"/>
        </w:rPr>
        <w:t>teaching</w:t>
      </w:r>
      <w:r w:rsidRPr="0046083A">
        <w:rPr>
          <w:rFonts w:ascii="Tahoma" w:eastAsia="Tahoma" w:hAnsi="Tahoma" w:cs="Tahoma"/>
          <w:color w:val="231F20"/>
          <w:spacing w:val="-16"/>
          <w:sz w:val="34"/>
          <w:szCs w:val="34"/>
        </w:rPr>
        <w:t xml:space="preserve"> </w:t>
      </w:r>
      <w:r w:rsidRPr="0046083A">
        <w:rPr>
          <w:rFonts w:ascii="Tahoma" w:eastAsia="Tahoma" w:hAnsi="Tahoma" w:cs="Tahoma"/>
          <w:color w:val="231F20"/>
          <w:sz w:val="34"/>
          <w:szCs w:val="34"/>
        </w:rPr>
        <w:t>music</w:t>
      </w:r>
      <w:r w:rsidRPr="0046083A">
        <w:rPr>
          <w:rFonts w:ascii="Tahoma" w:eastAsia="Tahoma" w:hAnsi="Tahoma" w:cs="Tahoma"/>
          <w:color w:val="231F20"/>
          <w:spacing w:val="-11"/>
          <w:sz w:val="34"/>
          <w:szCs w:val="34"/>
        </w:rPr>
        <w:t xml:space="preserve"> </w:t>
      </w:r>
      <w:r w:rsidRPr="0046083A">
        <w:rPr>
          <w:rFonts w:ascii="Tahoma" w:eastAsia="Tahoma" w:hAnsi="Tahoma" w:cs="Tahoma"/>
          <w:color w:val="231F20"/>
          <w:sz w:val="34"/>
          <w:szCs w:val="34"/>
        </w:rPr>
        <w:t>or teaching</w:t>
      </w:r>
      <w:r w:rsidRPr="0046083A">
        <w:rPr>
          <w:rFonts w:ascii="Tahoma" w:eastAsia="Tahoma" w:hAnsi="Tahoma" w:cs="Tahoma"/>
          <w:color w:val="231F20"/>
          <w:spacing w:val="-16"/>
          <w:sz w:val="34"/>
          <w:szCs w:val="34"/>
        </w:rPr>
        <w:t xml:space="preserve"> </w:t>
      </w:r>
      <w:r w:rsidRPr="0046083A">
        <w:rPr>
          <w:rFonts w:ascii="Tahoma" w:eastAsia="Tahoma" w:hAnsi="Tahoma" w:cs="Tahoma"/>
          <w:color w:val="231F20"/>
          <w:sz w:val="34"/>
          <w:szCs w:val="34"/>
        </w:rPr>
        <w:t>b</w:t>
      </w:r>
      <w:r w:rsidRPr="0046083A">
        <w:rPr>
          <w:rFonts w:ascii="Tahoma" w:eastAsia="Tahoma" w:hAnsi="Tahoma" w:cs="Tahoma"/>
          <w:color w:val="231F20"/>
          <w:spacing w:val="-10"/>
          <w:sz w:val="34"/>
          <w:szCs w:val="34"/>
        </w:rPr>
        <w:t>r</w:t>
      </w:r>
      <w:r w:rsidRPr="0046083A">
        <w:rPr>
          <w:rFonts w:ascii="Tahoma" w:eastAsia="Tahoma" w:hAnsi="Tahoma" w:cs="Tahoma"/>
          <w:color w:val="231F20"/>
          <w:sz w:val="34"/>
          <w:szCs w:val="34"/>
        </w:rPr>
        <w:t>ai</w:t>
      </w:r>
      <w:r w:rsidRPr="0046083A">
        <w:rPr>
          <w:rFonts w:ascii="Tahoma" w:eastAsia="Tahoma" w:hAnsi="Tahoma" w:cs="Tahoma"/>
          <w:color w:val="231F20"/>
          <w:spacing w:val="1"/>
          <w:sz w:val="34"/>
          <w:szCs w:val="34"/>
        </w:rPr>
        <w:t>l</w:t>
      </w:r>
      <w:r w:rsidRPr="0046083A">
        <w:rPr>
          <w:rFonts w:ascii="Tahoma" w:eastAsia="Tahoma" w:hAnsi="Tahoma" w:cs="Tahoma"/>
          <w:color w:val="231F20"/>
          <w:sz w:val="34"/>
          <w:szCs w:val="34"/>
        </w:rPr>
        <w:t>le,</w:t>
      </w:r>
      <w:r w:rsidRPr="0046083A">
        <w:rPr>
          <w:rFonts w:ascii="Tahoma" w:eastAsia="Tahoma" w:hAnsi="Tahoma" w:cs="Tahoma"/>
          <w:color w:val="231F20"/>
          <w:spacing w:val="-9"/>
          <w:sz w:val="34"/>
          <w:szCs w:val="34"/>
        </w:rPr>
        <w:t xml:space="preserve"> </w:t>
      </w:r>
      <w:r w:rsidRPr="0046083A">
        <w:rPr>
          <w:rFonts w:ascii="Tahoma" w:eastAsia="Tahoma" w:hAnsi="Tahoma" w:cs="Tahoma"/>
          <w:color w:val="231F20"/>
          <w:sz w:val="34"/>
          <w:szCs w:val="34"/>
        </w:rPr>
        <w:t>or m</w:t>
      </w:r>
      <w:r w:rsidRPr="0046083A">
        <w:rPr>
          <w:rFonts w:ascii="Tahoma" w:eastAsia="Tahoma" w:hAnsi="Tahoma" w:cs="Tahoma"/>
          <w:color w:val="231F20"/>
          <w:spacing w:val="-3"/>
          <w:sz w:val="34"/>
          <w:szCs w:val="34"/>
        </w:rPr>
        <w:t>a</w:t>
      </w:r>
      <w:r w:rsidRPr="0046083A">
        <w:rPr>
          <w:rFonts w:ascii="Tahoma" w:eastAsia="Tahoma" w:hAnsi="Tahoma" w:cs="Tahoma"/>
          <w:color w:val="231F20"/>
          <w:sz w:val="34"/>
          <w:szCs w:val="34"/>
        </w:rPr>
        <w:t>ybe</w:t>
      </w:r>
      <w:r w:rsidRPr="0046083A">
        <w:rPr>
          <w:rFonts w:ascii="Tahoma" w:eastAsia="Tahoma" w:hAnsi="Tahoma" w:cs="Tahoma"/>
          <w:color w:val="231F20"/>
          <w:spacing w:val="-6"/>
          <w:sz w:val="34"/>
          <w:szCs w:val="34"/>
        </w:rPr>
        <w:t xml:space="preserve"> </w:t>
      </w:r>
      <w:r w:rsidRPr="0046083A">
        <w:rPr>
          <w:rFonts w:ascii="Tahoma" w:eastAsia="Tahoma" w:hAnsi="Tahoma" w:cs="Tahoma"/>
          <w:color w:val="231F20"/>
          <w:sz w:val="34"/>
          <w:szCs w:val="34"/>
        </w:rPr>
        <w:t>I</w:t>
      </w:r>
      <w:r w:rsidRPr="0046083A">
        <w:rPr>
          <w:rFonts w:ascii="Tahoma" w:eastAsia="Tahoma" w:hAnsi="Tahoma" w:cs="Tahoma"/>
          <w:color w:val="231F20"/>
          <w:spacing w:val="9"/>
          <w:sz w:val="34"/>
          <w:szCs w:val="34"/>
        </w:rPr>
        <w:t>’</w:t>
      </w:r>
      <w:r w:rsidRPr="0046083A">
        <w:rPr>
          <w:rFonts w:ascii="Tahoma" w:eastAsia="Tahoma" w:hAnsi="Tahoma" w:cs="Tahoma"/>
          <w:color w:val="231F20"/>
          <w:spacing w:val="1"/>
          <w:sz w:val="34"/>
          <w:szCs w:val="34"/>
        </w:rPr>
        <w:t>l</w:t>
      </w:r>
      <w:r w:rsidRPr="0046083A">
        <w:rPr>
          <w:rFonts w:ascii="Tahoma" w:eastAsia="Tahoma" w:hAnsi="Tahoma" w:cs="Tahoma"/>
          <w:color w:val="231F20"/>
          <w:sz w:val="34"/>
          <w:szCs w:val="34"/>
        </w:rPr>
        <w:t>l</w:t>
      </w:r>
      <w:r w:rsidRPr="0046083A">
        <w:rPr>
          <w:rFonts w:ascii="Tahoma" w:eastAsia="Tahoma" w:hAnsi="Tahoma" w:cs="Tahoma"/>
          <w:color w:val="231F20"/>
          <w:spacing w:val="-5"/>
          <w:sz w:val="34"/>
          <w:szCs w:val="34"/>
        </w:rPr>
        <w:t xml:space="preserve"> </w:t>
      </w:r>
      <w:r w:rsidRPr="0046083A">
        <w:rPr>
          <w:rFonts w:ascii="Tahoma" w:eastAsia="Tahoma" w:hAnsi="Tahoma" w:cs="Tahoma"/>
          <w:color w:val="231F20"/>
          <w:sz w:val="34"/>
          <w:szCs w:val="34"/>
        </w:rPr>
        <w:t>be a scientist - or a</w:t>
      </w:r>
      <w:r w:rsidRPr="0046083A">
        <w:rPr>
          <w:rFonts w:ascii="Tahoma" w:eastAsia="Tahoma" w:hAnsi="Tahoma" w:cs="Tahoma"/>
          <w:color w:val="231F20"/>
          <w:spacing w:val="-2"/>
          <w:sz w:val="34"/>
          <w:szCs w:val="34"/>
        </w:rPr>
        <w:t xml:space="preserve"> </w:t>
      </w:r>
      <w:r w:rsidRPr="0046083A">
        <w:rPr>
          <w:rFonts w:ascii="Tahoma" w:eastAsia="Tahoma" w:hAnsi="Tahoma" w:cs="Tahoma"/>
          <w:color w:val="231F20"/>
          <w:sz w:val="34"/>
          <w:szCs w:val="34"/>
        </w:rPr>
        <w:t>write</w:t>
      </w:r>
      <w:r w:rsidRPr="0046083A">
        <w:rPr>
          <w:rFonts w:ascii="Tahoma" w:eastAsia="Tahoma" w:hAnsi="Tahoma" w:cs="Tahoma"/>
          <w:color w:val="231F20"/>
          <w:spacing w:val="-59"/>
          <w:sz w:val="34"/>
          <w:szCs w:val="34"/>
        </w:rPr>
        <w:t>r</w:t>
      </w:r>
      <w:r w:rsidRPr="0046083A">
        <w:rPr>
          <w:rFonts w:ascii="Tahoma" w:eastAsia="Tahoma" w:hAnsi="Tahoma" w:cs="Tahoma"/>
          <w:color w:val="231F20"/>
          <w:spacing w:val="-43"/>
          <w:sz w:val="34"/>
          <w:szCs w:val="34"/>
        </w:rPr>
        <w:t>.</w:t>
      </w:r>
      <w:r w:rsidRPr="0046083A">
        <w:rPr>
          <w:rFonts w:ascii="Tahoma" w:eastAsia="Tahoma" w:hAnsi="Tahoma" w:cs="Tahoma"/>
          <w:color w:val="231F20"/>
          <w:sz w:val="34"/>
          <w:szCs w:val="34"/>
        </w:rPr>
        <w:t>”</w:t>
      </w:r>
    </w:p>
    <w:p w:rsidR="00523E66" w:rsidRPr="00A445F4" w:rsidRDefault="00DB4024" w:rsidP="00A445F4">
      <w:pPr>
        <w:spacing w:before="2" w:after="0" w:line="528" w:lineRule="exact"/>
        <w:ind w:left="540"/>
        <w:jc w:val="right"/>
        <w:rPr>
          <w:rFonts w:ascii="Tahoma" w:eastAsia="Tahoma" w:hAnsi="Tahoma" w:cs="Tahoma"/>
          <w:sz w:val="28"/>
          <w:szCs w:val="28"/>
        </w:rPr>
      </w:pPr>
      <w:r w:rsidRPr="00A445F4">
        <w:rPr>
          <w:rFonts w:ascii="Tahoma" w:eastAsia="Tahoma" w:hAnsi="Tahoma" w:cs="Tahoma"/>
          <w:color w:val="231F20"/>
          <w:spacing w:val="2"/>
          <w:position w:val="-1"/>
          <w:sz w:val="28"/>
          <w:szCs w:val="28"/>
        </w:rPr>
        <w:t>B</w:t>
      </w:r>
      <w:r w:rsidRPr="00A445F4">
        <w:rPr>
          <w:rFonts w:ascii="Tahoma" w:eastAsia="Tahoma" w:hAnsi="Tahoma" w:cs="Tahoma"/>
          <w:color w:val="231F20"/>
          <w:position w:val="-1"/>
          <w:sz w:val="28"/>
          <w:szCs w:val="28"/>
        </w:rPr>
        <w:t>lind</w:t>
      </w:r>
      <w:r w:rsidRPr="00A445F4">
        <w:rPr>
          <w:rFonts w:ascii="Tahoma" w:eastAsia="Tahoma" w:hAnsi="Tahoma" w:cs="Tahoma"/>
          <w:color w:val="231F20"/>
          <w:spacing w:val="-7"/>
          <w:position w:val="-1"/>
          <w:sz w:val="28"/>
          <w:szCs w:val="28"/>
        </w:rPr>
        <w:t xml:space="preserve"> </w:t>
      </w:r>
      <w:r w:rsidRPr="00A445F4">
        <w:rPr>
          <w:rFonts w:ascii="Tahoma" w:eastAsia="Tahoma" w:hAnsi="Tahoma" w:cs="Tahoma"/>
          <w:color w:val="231F20"/>
          <w:position w:val="-1"/>
          <w:sz w:val="28"/>
          <w:szCs w:val="28"/>
        </w:rPr>
        <w:t>Minnesota</w:t>
      </w:r>
      <w:r w:rsidRPr="00A445F4">
        <w:rPr>
          <w:rFonts w:ascii="Tahoma" w:eastAsia="Tahoma" w:hAnsi="Tahoma" w:cs="Tahoma"/>
          <w:color w:val="231F20"/>
          <w:spacing w:val="-20"/>
          <w:position w:val="-1"/>
          <w:sz w:val="28"/>
          <w:szCs w:val="28"/>
        </w:rPr>
        <w:t xml:space="preserve"> </w:t>
      </w:r>
      <w:r w:rsidRPr="00A445F4">
        <w:rPr>
          <w:rFonts w:ascii="Tahoma" w:eastAsia="Tahoma" w:hAnsi="Tahoma" w:cs="Tahoma"/>
          <w:color w:val="231F20"/>
          <w:position w:val="-1"/>
          <w:sz w:val="28"/>
          <w:szCs w:val="28"/>
        </w:rPr>
        <w:t>High</w:t>
      </w:r>
      <w:r w:rsidRPr="00A445F4">
        <w:rPr>
          <w:rFonts w:ascii="Tahoma" w:eastAsia="Tahoma" w:hAnsi="Tahoma" w:cs="Tahoma"/>
          <w:color w:val="231F20"/>
          <w:spacing w:val="-9"/>
          <w:position w:val="-1"/>
          <w:sz w:val="28"/>
          <w:szCs w:val="28"/>
        </w:rPr>
        <w:t xml:space="preserve"> </w:t>
      </w:r>
      <w:r w:rsidRPr="00A445F4">
        <w:rPr>
          <w:rFonts w:ascii="Tahoma" w:eastAsia="Tahoma" w:hAnsi="Tahoma" w:cs="Tahoma"/>
          <w:color w:val="231F20"/>
          <w:spacing w:val="-1"/>
          <w:position w:val="-1"/>
          <w:sz w:val="28"/>
          <w:szCs w:val="28"/>
        </w:rPr>
        <w:t>S</w:t>
      </w:r>
      <w:r w:rsidRPr="00A445F4">
        <w:rPr>
          <w:rFonts w:ascii="Tahoma" w:eastAsia="Tahoma" w:hAnsi="Tahoma" w:cs="Tahoma"/>
          <w:color w:val="231F20"/>
          <w:position w:val="-1"/>
          <w:sz w:val="28"/>
          <w:szCs w:val="28"/>
        </w:rPr>
        <w:t>chool</w:t>
      </w:r>
      <w:r w:rsidRPr="00A445F4">
        <w:rPr>
          <w:rFonts w:ascii="Tahoma" w:eastAsia="Tahoma" w:hAnsi="Tahoma" w:cs="Tahoma"/>
          <w:color w:val="231F20"/>
          <w:spacing w:val="-10"/>
          <w:position w:val="-1"/>
          <w:sz w:val="28"/>
          <w:szCs w:val="28"/>
        </w:rPr>
        <w:t xml:space="preserve"> </w:t>
      </w:r>
      <w:r w:rsidRPr="00A445F4">
        <w:rPr>
          <w:rFonts w:ascii="Tahoma" w:eastAsia="Tahoma" w:hAnsi="Tahoma" w:cs="Tahoma"/>
          <w:color w:val="231F20"/>
          <w:position w:val="-1"/>
          <w:sz w:val="28"/>
          <w:szCs w:val="28"/>
        </w:rPr>
        <w:t>Student and</w:t>
      </w:r>
      <w:r w:rsidRPr="00A445F4">
        <w:rPr>
          <w:rFonts w:ascii="Tahoma" w:eastAsia="Tahoma" w:hAnsi="Tahoma" w:cs="Tahoma"/>
          <w:color w:val="231F20"/>
          <w:spacing w:val="-7"/>
          <w:position w:val="-1"/>
          <w:sz w:val="28"/>
          <w:szCs w:val="28"/>
        </w:rPr>
        <w:t xml:space="preserve"> </w:t>
      </w:r>
      <w:r w:rsidRPr="00A445F4">
        <w:rPr>
          <w:rFonts w:ascii="Tahoma" w:eastAsia="Tahoma" w:hAnsi="Tahoma" w:cs="Tahoma"/>
          <w:color w:val="231F20"/>
          <w:spacing w:val="-6"/>
          <w:position w:val="-1"/>
          <w:sz w:val="28"/>
          <w:szCs w:val="28"/>
        </w:rPr>
        <w:t>S</w:t>
      </w:r>
      <w:r w:rsidRPr="00A445F4">
        <w:rPr>
          <w:rFonts w:ascii="Tahoma" w:eastAsia="Tahoma" w:hAnsi="Tahoma" w:cs="Tahoma"/>
          <w:color w:val="231F20"/>
          <w:position w:val="-1"/>
          <w:sz w:val="28"/>
          <w:szCs w:val="28"/>
        </w:rPr>
        <w:t>SB Customer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36" w:space="0" w:color="auto"/>
        </w:tblBorders>
        <w:tblLook w:val="04A0" w:firstRow="1" w:lastRow="0" w:firstColumn="1" w:lastColumn="0" w:noHBand="0" w:noVBand="1"/>
      </w:tblPr>
      <w:tblGrid>
        <w:gridCol w:w="7488"/>
        <w:gridCol w:w="7488"/>
      </w:tblGrid>
      <w:tr w:rsidR="00A445F4" w:rsidRPr="00A445F4" w:rsidTr="00A445F4">
        <w:trPr>
          <w:trHeight w:val="760"/>
        </w:trPr>
        <w:tc>
          <w:tcPr>
            <w:tcW w:w="7488" w:type="dxa"/>
            <w:tcBorders>
              <w:right w:val="nil"/>
            </w:tcBorders>
            <w:shd w:val="clear" w:color="auto" w:fill="000000" w:themeFill="text1"/>
            <w:vAlign w:val="bottom"/>
          </w:tcPr>
          <w:p w:rsidR="0046083A" w:rsidRPr="00A445F4" w:rsidRDefault="0046083A" w:rsidP="00A445F4">
            <w:pPr>
              <w:spacing w:before="6"/>
              <w:jc w:val="center"/>
              <w:rPr>
                <w:b/>
                <w:color w:val="FFFFFF" w:themeColor="background1"/>
                <w:sz w:val="52"/>
                <w:szCs w:val="52"/>
              </w:rPr>
            </w:pPr>
            <w:r w:rsidRPr="00A445F4">
              <w:rPr>
                <w:b/>
                <w:color w:val="FFFFFF" w:themeColor="background1"/>
                <w:sz w:val="52"/>
                <w:szCs w:val="52"/>
              </w:rPr>
              <w:t>Reality</w:t>
            </w:r>
          </w:p>
        </w:tc>
        <w:tc>
          <w:tcPr>
            <w:tcW w:w="7488" w:type="dxa"/>
            <w:tcBorders>
              <w:left w:val="nil"/>
            </w:tcBorders>
            <w:shd w:val="clear" w:color="auto" w:fill="000000" w:themeFill="text1"/>
            <w:vAlign w:val="bottom"/>
          </w:tcPr>
          <w:p w:rsidR="0046083A" w:rsidRPr="00A445F4" w:rsidRDefault="0046083A" w:rsidP="00A445F4">
            <w:pPr>
              <w:spacing w:before="6"/>
              <w:jc w:val="center"/>
              <w:rPr>
                <w:b/>
                <w:color w:val="FFFFFF" w:themeColor="background1"/>
                <w:sz w:val="52"/>
                <w:szCs w:val="52"/>
              </w:rPr>
            </w:pPr>
            <w:r w:rsidRPr="00A445F4">
              <w:rPr>
                <w:b/>
                <w:color w:val="FFFFFF" w:themeColor="background1"/>
                <w:sz w:val="52"/>
                <w:szCs w:val="52"/>
              </w:rPr>
              <w:t>Myth</w:t>
            </w:r>
          </w:p>
        </w:tc>
      </w:tr>
      <w:tr w:rsidR="0046083A" w:rsidRPr="0046083A" w:rsidTr="00A445F4">
        <w:trPr>
          <w:trHeight w:val="1326"/>
        </w:trPr>
        <w:tc>
          <w:tcPr>
            <w:tcW w:w="7488" w:type="dxa"/>
            <w:vAlign w:val="center"/>
          </w:tcPr>
          <w:p w:rsidR="0046083A" w:rsidRDefault="0046083A" w:rsidP="0046083A">
            <w:pPr>
              <w:spacing w:before="6"/>
              <w:rPr>
                <w:b/>
                <w:sz w:val="32"/>
                <w:szCs w:val="32"/>
              </w:rPr>
            </w:pPr>
            <w:r w:rsidRPr="0046083A">
              <w:rPr>
                <w:b/>
                <w:sz w:val="32"/>
                <w:szCs w:val="32"/>
              </w:rPr>
              <w:t>1.</w:t>
            </w:r>
            <w:r>
              <w:rPr>
                <w:b/>
                <w:sz w:val="32"/>
                <w:szCs w:val="32"/>
              </w:rPr>
              <w:t xml:space="preserve"> </w:t>
            </w:r>
            <w:r w:rsidRPr="0046083A">
              <w:rPr>
                <w:b/>
                <w:sz w:val="32"/>
                <w:szCs w:val="32"/>
              </w:rPr>
              <w:t>After high school, blind or visually impaired students can go to col</w:t>
            </w:r>
            <w:r>
              <w:rPr>
                <w:b/>
                <w:sz w:val="32"/>
                <w:szCs w:val="32"/>
              </w:rPr>
              <w:t>lege, trade school or get a job.</w:t>
            </w:r>
          </w:p>
          <w:p w:rsidR="0046083A" w:rsidRPr="0046083A" w:rsidRDefault="0046083A" w:rsidP="0046083A">
            <w:pPr>
              <w:spacing w:before="6"/>
              <w:rPr>
                <w:b/>
                <w:sz w:val="32"/>
                <w:szCs w:val="32"/>
              </w:rPr>
            </w:pPr>
          </w:p>
        </w:tc>
        <w:tc>
          <w:tcPr>
            <w:tcW w:w="7488" w:type="dxa"/>
          </w:tcPr>
          <w:p w:rsidR="0046083A" w:rsidRPr="0046083A" w:rsidRDefault="0046083A" w:rsidP="00A445F4">
            <w:pPr>
              <w:spacing w:before="6"/>
              <w:rPr>
                <w:b/>
                <w:sz w:val="32"/>
                <w:szCs w:val="32"/>
              </w:rPr>
            </w:pPr>
            <w:r w:rsidRPr="0046083A">
              <w:rPr>
                <w:b/>
                <w:sz w:val="32"/>
                <w:szCs w:val="32"/>
              </w:rPr>
              <w:t>1. Blind or visually impaired people do not have career choices.</w:t>
            </w:r>
          </w:p>
        </w:tc>
      </w:tr>
      <w:tr w:rsidR="0046083A" w:rsidRPr="0046083A" w:rsidTr="00A445F4">
        <w:trPr>
          <w:trHeight w:val="1326"/>
        </w:trPr>
        <w:tc>
          <w:tcPr>
            <w:tcW w:w="7488" w:type="dxa"/>
            <w:vAlign w:val="center"/>
          </w:tcPr>
          <w:p w:rsidR="0046083A" w:rsidRDefault="0046083A" w:rsidP="0046083A">
            <w:pPr>
              <w:spacing w:before="6"/>
              <w:rPr>
                <w:b/>
                <w:sz w:val="32"/>
                <w:szCs w:val="32"/>
              </w:rPr>
            </w:pPr>
            <w:r w:rsidRPr="0046083A">
              <w:rPr>
                <w:b/>
                <w:sz w:val="32"/>
                <w:szCs w:val="32"/>
              </w:rPr>
              <w:t>2. On or after a student’s 14th birthday students may apply to SSB.</w:t>
            </w:r>
          </w:p>
          <w:p w:rsidR="0046083A" w:rsidRPr="0046083A" w:rsidRDefault="0046083A" w:rsidP="0046083A">
            <w:pPr>
              <w:spacing w:before="6"/>
              <w:rPr>
                <w:b/>
                <w:sz w:val="32"/>
                <w:szCs w:val="32"/>
              </w:rPr>
            </w:pPr>
          </w:p>
        </w:tc>
        <w:tc>
          <w:tcPr>
            <w:tcW w:w="7488" w:type="dxa"/>
          </w:tcPr>
          <w:p w:rsidR="0046083A" w:rsidRPr="0046083A" w:rsidRDefault="0046083A" w:rsidP="00A445F4">
            <w:pPr>
              <w:spacing w:before="6"/>
              <w:rPr>
                <w:b/>
                <w:sz w:val="32"/>
                <w:szCs w:val="32"/>
              </w:rPr>
            </w:pPr>
            <w:r w:rsidRPr="0046083A">
              <w:rPr>
                <w:b/>
                <w:sz w:val="32"/>
                <w:szCs w:val="32"/>
              </w:rPr>
              <w:t>2. All persons who are blind are served automatically.</w:t>
            </w:r>
          </w:p>
        </w:tc>
      </w:tr>
      <w:tr w:rsidR="0046083A" w:rsidRPr="0046083A" w:rsidTr="00A445F4">
        <w:trPr>
          <w:trHeight w:val="1326"/>
        </w:trPr>
        <w:tc>
          <w:tcPr>
            <w:tcW w:w="7488" w:type="dxa"/>
            <w:vAlign w:val="center"/>
          </w:tcPr>
          <w:p w:rsidR="0046083A" w:rsidRDefault="0046083A" w:rsidP="0046083A">
            <w:pPr>
              <w:tabs>
                <w:tab w:val="left" w:pos="1550"/>
              </w:tabs>
              <w:spacing w:before="6"/>
              <w:rPr>
                <w:b/>
                <w:sz w:val="32"/>
                <w:szCs w:val="32"/>
              </w:rPr>
            </w:pPr>
            <w:r w:rsidRPr="0046083A">
              <w:rPr>
                <w:b/>
                <w:sz w:val="32"/>
                <w:szCs w:val="32"/>
              </w:rPr>
              <w:t>3. SSB’s Workforce Development Unit is an eligibility program. Not every applicant will meet federal guidelines for admission to the program.</w:t>
            </w:r>
          </w:p>
          <w:p w:rsidR="0046083A" w:rsidRPr="0046083A" w:rsidRDefault="0046083A" w:rsidP="0046083A">
            <w:pPr>
              <w:tabs>
                <w:tab w:val="left" w:pos="1550"/>
              </w:tabs>
              <w:spacing w:before="6"/>
              <w:rPr>
                <w:b/>
                <w:sz w:val="32"/>
                <w:szCs w:val="32"/>
              </w:rPr>
            </w:pPr>
          </w:p>
        </w:tc>
        <w:tc>
          <w:tcPr>
            <w:tcW w:w="7488" w:type="dxa"/>
          </w:tcPr>
          <w:p w:rsidR="0046083A" w:rsidRPr="0046083A" w:rsidRDefault="0046083A" w:rsidP="00A445F4">
            <w:pPr>
              <w:spacing w:before="6"/>
              <w:rPr>
                <w:b/>
                <w:sz w:val="32"/>
                <w:szCs w:val="32"/>
              </w:rPr>
            </w:pPr>
            <w:r w:rsidRPr="0046083A">
              <w:rPr>
                <w:b/>
                <w:sz w:val="32"/>
                <w:szCs w:val="32"/>
              </w:rPr>
              <w:t>3. Everyone qualifies if they are termed blind, legally blind or low vision.</w:t>
            </w:r>
          </w:p>
        </w:tc>
      </w:tr>
      <w:tr w:rsidR="0046083A" w:rsidRPr="0046083A" w:rsidTr="00A445F4">
        <w:trPr>
          <w:trHeight w:val="1326"/>
        </w:trPr>
        <w:tc>
          <w:tcPr>
            <w:tcW w:w="7488" w:type="dxa"/>
            <w:vAlign w:val="center"/>
          </w:tcPr>
          <w:p w:rsidR="0046083A" w:rsidRDefault="0046083A" w:rsidP="0046083A">
            <w:pPr>
              <w:spacing w:before="6"/>
              <w:rPr>
                <w:b/>
                <w:sz w:val="32"/>
                <w:szCs w:val="32"/>
              </w:rPr>
            </w:pPr>
            <w:r w:rsidRPr="0046083A">
              <w:rPr>
                <w:b/>
                <w:sz w:val="32"/>
                <w:szCs w:val="32"/>
              </w:rPr>
              <w:t>4. SSB is a resource until the student graduates from high school. The student’s school district is the primary sup- port until then.</w:t>
            </w:r>
          </w:p>
          <w:p w:rsidR="0046083A" w:rsidRPr="0046083A" w:rsidRDefault="0046083A" w:rsidP="0046083A">
            <w:pPr>
              <w:spacing w:before="6"/>
              <w:rPr>
                <w:b/>
                <w:sz w:val="32"/>
                <w:szCs w:val="32"/>
              </w:rPr>
            </w:pPr>
          </w:p>
        </w:tc>
        <w:tc>
          <w:tcPr>
            <w:tcW w:w="7488" w:type="dxa"/>
          </w:tcPr>
          <w:p w:rsidR="0046083A" w:rsidRPr="0046083A" w:rsidRDefault="0046083A" w:rsidP="00A445F4">
            <w:pPr>
              <w:spacing w:before="6"/>
              <w:rPr>
                <w:b/>
                <w:sz w:val="32"/>
                <w:szCs w:val="32"/>
              </w:rPr>
            </w:pPr>
            <w:r w:rsidRPr="0046083A">
              <w:rPr>
                <w:b/>
                <w:sz w:val="32"/>
                <w:szCs w:val="32"/>
              </w:rPr>
              <w:t>4. SSB pays for computers, other devices or classes at any time.</w:t>
            </w:r>
          </w:p>
        </w:tc>
      </w:tr>
      <w:tr w:rsidR="0046083A" w:rsidRPr="0046083A" w:rsidTr="00A445F4">
        <w:trPr>
          <w:trHeight w:val="1326"/>
        </w:trPr>
        <w:tc>
          <w:tcPr>
            <w:tcW w:w="7488" w:type="dxa"/>
            <w:vAlign w:val="center"/>
          </w:tcPr>
          <w:p w:rsidR="0046083A" w:rsidRDefault="0046083A" w:rsidP="0046083A">
            <w:pPr>
              <w:spacing w:before="6"/>
              <w:rPr>
                <w:b/>
                <w:sz w:val="32"/>
                <w:szCs w:val="32"/>
              </w:rPr>
            </w:pPr>
            <w:r w:rsidRPr="0046083A">
              <w:rPr>
                <w:b/>
                <w:sz w:val="32"/>
                <w:szCs w:val="32"/>
              </w:rPr>
              <w:t>5. SSB wants to be at IEP meetings to get to know students and become familiar with their interests, talents, abilities, capabilities and priorities.</w:t>
            </w:r>
          </w:p>
          <w:p w:rsidR="0046083A" w:rsidRPr="0046083A" w:rsidRDefault="0046083A" w:rsidP="0046083A">
            <w:pPr>
              <w:spacing w:before="6"/>
              <w:rPr>
                <w:b/>
                <w:sz w:val="32"/>
                <w:szCs w:val="32"/>
              </w:rPr>
            </w:pPr>
          </w:p>
        </w:tc>
        <w:tc>
          <w:tcPr>
            <w:tcW w:w="7488" w:type="dxa"/>
          </w:tcPr>
          <w:p w:rsidR="0046083A" w:rsidRPr="0046083A" w:rsidRDefault="0046083A" w:rsidP="00A445F4">
            <w:pPr>
              <w:spacing w:before="6"/>
              <w:rPr>
                <w:b/>
                <w:sz w:val="32"/>
                <w:szCs w:val="32"/>
              </w:rPr>
            </w:pPr>
            <w:r w:rsidRPr="0046083A">
              <w:rPr>
                <w:b/>
                <w:sz w:val="32"/>
                <w:szCs w:val="32"/>
              </w:rPr>
              <w:t>5. SSB does not need to be at IEP meetings. Families can just “check-in” before graduation.</w:t>
            </w:r>
          </w:p>
        </w:tc>
      </w:tr>
      <w:tr w:rsidR="0046083A" w:rsidRPr="0046083A" w:rsidTr="00A445F4">
        <w:trPr>
          <w:trHeight w:val="1326"/>
        </w:trPr>
        <w:tc>
          <w:tcPr>
            <w:tcW w:w="7488" w:type="dxa"/>
            <w:vAlign w:val="center"/>
          </w:tcPr>
          <w:p w:rsidR="0046083A" w:rsidRDefault="0046083A" w:rsidP="0046083A">
            <w:pPr>
              <w:spacing w:before="6"/>
              <w:rPr>
                <w:b/>
                <w:sz w:val="32"/>
                <w:szCs w:val="32"/>
              </w:rPr>
            </w:pPr>
            <w:r w:rsidRPr="0046083A">
              <w:rPr>
                <w:b/>
                <w:sz w:val="32"/>
                <w:szCs w:val="32"/>
              </w:rPr>
              <w:t>6. The application process is simple. One form, several easy questions. It is accessible and can be sent to families in various formats.</w:t>
            </w:r>
          </w:p>
          <w:p w:rsidR="0046083A" w:rsidRPr="0046083A" w:rsidRDefault="0046083A" w:rsidP="0046083A">
            <w:pPr>
              <w:spacing w:before="6"/>
              <w:rPr>
                <w:b/>
                <w:sz w:val="32"/>
                <w:szCs w:val="32"/>
              </w:rPr>
            </w:pPr>
          </w:p>
        </w:tc>
        <w:tc>
          <w:tcPr>
            <w:tcW w:w="7488" w:type="dxa"/>
          </w:tcPr>
          <w:p w:rsidR="0046083A" w:rsidRPr="0046083A" w:rsidRDefault="0046083A" w:rsidP="00A445F4">
            <w:pPr>
              <w:spacing w:before="6"/>
              <w:rPr>
                <w:b/>
                <w:sz w:val="32"/>
                <w:szCs w:val="32"/>
              </w:rPr>
            </w:pPr>
            <w:r w:rsidRPr="0046083A">
              <w:rPr>
                <w:b/>
                <w:sz w:val="32"/>
                <w:szCs w:val="32"/>
              </w:rPr>
              <w:t>6. It is hard to apply and there is a big packet to complete. It is all in print and is not accessible.</w:t>
            </w:r>
          </w:p>
        </w:tc>
      </w:tr>
      <w:tr w:rsidR="0046083A" w:rsidRPr="0046083A" w:rsidTr="00A445F4">
        <w:trPr>
          <w:trHeight w:val="1326"/>
        </w:trPr>
        <w:tc>
          <w:tcPr>
            <w:tcW w:w="7488" w:type="dxa"/>
            <w:vAlign w:val="center"/>
          </w:tcPr>
          <w:p w:rsidR="0046083A" w:rsidRDefault="0046083A" w:rsidP="0046083A">
            <w:pPr>
              <w:spacing w:before="6"/>
              <w:rPr>
                <w:b/>
                <w:sz w:val="32"/>
                <w:szCs w:val="32"/>
              </w:rPr>
            </w:pPr>
            <w:r w:rsidRPr="0046083A">
              <w:rPr>
                <w:b/>
                <w:sz w:val="32"/>
                <w:szCs w:val="32"/>
              </w:rPr>
              <w:t>7. Teachers of students who are blind or low vision are experts in the classroom. Questions about careers and post-secondary school can be answered by calling 800-652-9000.</w:t>
            </w:r>
          </w:p>
          <w:p w:rsidR="0046083A" w:rsidRPr="0046083A" w:rsidRDefault="0046083A" w:rsidP="0046083A">
            <w:pPr>
              <w:spacing w:before="6"/>
              <w:rPr>
                <w:b/>
                <w:sz w:val="32"/>
                <w:szCs w:val="32"/>
              </w:rPr>
            </w:pPr>
          </w:p>
        </w:tc>
        <w:tc>
          <w:tcPr>
            <w:tcW w:w="7488" w:type="dxa"/>
          </w:tcPr>
          <w:p w:rsidR="0046083A" w:rsidRPr="0046083A" w:rsidRDefault="0046083A" w:rsidP="00A445F4">
            <w:pPr>
              <w:spacing w:before="6"/>
              <w:rPr>
                <w:b/>
                <w:sz w:val="32"/>
                <w:szCs w:val="32"/>
              </w:rPr>
            </w:pPr>
            <w:r w:rsidRPr="0046083A">
              <w:rPr>
                <w:b/>
                <w:sz w:val="32"/>
                <w:szCs w:val="32"/>
              </w:rPr>
              <w:t>7. Teachers will tell SSB what the students need and SSB will obtain it.</w:t>
            </w:r>
          </w:p>
        </w:tc>
      </w:tr>
      <w:tr w:rsidR="0046083A" w:rsidRPr="0046083A" w:rsidTr="00A445F4">
        <w:trPr>
          <w:trHeight w:val="1326"/>
        </w:trPr>
        <w:tc>
          <w:tcPr>
            <w:tcW w:w="7488" w:type="dxa"/>
            <w:vAlign w:val="center"/>
          </w:tcPr>
          <w:p w:rsidR="0046083A" w:rsidRDefault="0046083A" w:rsidP="0046083A">
            <w:pPr>
              <w:spacing w:before="6"/>
              <w:rPr>
                <w:b/>
                <w:sz w:val="32"/>
                <w:szCs w:val="32"/>
              </w:rPr>
            </w:pPr>
            <w:r w:rsidRPr="0046083A">
              <w:rPr>
                <w:b/>
                <w:sz w:val="32"/>
                <w:szCs w:val="32"/>
              </w:rPr>
              <w:t>8. Students can choose their career, job or educational goals that will lead to a job. SSB will offer vocational assessments and other assessments to insure the student is making an informed choice the Federal Rehabilitation Act can support. From the assessments an individual employment plan is developed.</w:t>
            </w:r>
          </w:p>
          <w:p w:rsidR="0046083A" w:rsidRPr="0046083A" w:rsidRDefault="0046083A" w:rsidP="0046083A">
            <w:pPr>
              <w:spacing w:before="6"/>
              <w:rPr>
                <w:b/>
                <w:sz w:val="32"/>
                <w:szCs w:val="32"/>
              </w:rPr>
            </w:pPr>
          </w:p>
        </w:tc>
        <w:tc>
          <w:tcPr>
            <w:tcW w:w="7488" w:type="dxa"/>
          </w:tcPr>
          <w:p w:rsidR="0046083A" w:rsidRPr="0046083A" w:rsidRDefault="0046083A" w:rsidP="00A445F4">
            <w:pPr>
              <w:spacing w:before="6"/>
              <w:rPr>
                <w:b/>
                <w:sz w:val="32"/>
                <w:szCs w:val="32"/>
              </w:rPr>
            </w:pPr>
            <w:r w:rsidRPr="0046083A">
              <w:rPr>
                <w:b/>
                <w:sz w:val="32"/>
                <w:szCs w:val="32"/>
              </w:rPr>
              <w:t>8. Students do not need to decide on a job goal until later.</w:t>
            </w:r>
          </w:p>
        </w:tc>
      </w:tr>
      <w:tr w:rsidR="0046083A" w:rsidRPr="0046083A" w:rsidTr="00A445F4">
        <w:trPr>
          <w:trHeight w:val="1326"/>
        </w:trPr>
        <w:tc>
          <w:tcPr>
            <w:tcW w:w="7488" w:type="dxa"/>
            <w:vAlign w:val="center"/>
          </w:tcPr>
          <w:p w:rsidR="0046083A" w:rsidRDefault="0046083A" w:rsidP="0046083A">
            <w:pPr>
              <w:spacing w:before="6"/>
              <w:rPr>
                <w:b/>
                <w:sz w:val="32"/>
                <w:szCs w:val="32"/>
              </w:rPr>
            </w:pPr>
            <w:r w:rsidRPr="0046083A">
              <w:rPr>
                <w:b/>
                <w:sz w:val="32"/>
                <w:szCs w:val="32"/>
              </w:rPr>
              <w:t>9. There are federal guidelines, policies and procedures that SSB counselors must follow. SSB services are tailored to meet the individual vocational needs/goals. Services must be in the plan.</w:t>
            </w:r>
          </w:p>
          <w:p w:rsidR="0046083A" w:rsidRPr="0046083A" w:rsidRDefault="0046083A" w:rsidP="0046083A">
            <w:pPr>
              <w:spacing w:before="6"/>
              <w:rPr>
                <w:b/>
                <w:sz w:val="32"/>
                <w:szCs w:val="32"/>
              </w:rPr>
            </w:pPr>
          </w:p>
        </w:tc>
        <w:tc>
          <w:tcPr>
            <w:tcW w:w="7488" w:type="dxa"/>
          </w:tcPr>
          <w:p w:rsidR="0046083A" w:rsidRPr="0046083A" w:rsidRDefault="0046083A" w:rsidP="00A445F4">
            <w:pPr>
              <w:spacing w:before="6"/>
              <w:rPr>
                <w:b/>
                <w:sz w:val="32"/>
                <w:szCs w:val="32"/>
              </w:rPr>
            </w:pPr>
            <w:r w:rsidRPr="0046083A">
              <w:rPr>
                <w:b/>
                <w:sz w:val="32"/>
                <w:szCs w:val="32"/>
              </w:rPr>
              <w:t>9. SSB can do whatever is asked by the student and a good counselor will just say, “yes”.</w:t>
            </w:r>
          </w:p>
        </w:tc>
      </w:tr>
      <w:tr w:rsidR="0046083A" w:rsidRPr="0046083A" w:rsidTr="00A445F4">
        <w:trPr>
          <w:trHeight w:val="1326"/>
        </w:trPr>
        <w:tc>
          <w:tcPr>
            <w:tcW w:w="7488" w:type="dxa"/>
            <w:vAlign w:val="center"/>
          </w:tcPr>
          <w:p w:rsidR="0046083A" w:rsidRDefault="0046083A" w:rsidP="0046083A">
            <w:pPr>
              <w:spacing w:before="6"/>
              <w:rPr>
                <w:b/>
                <w:sz w:val="32"/>
                <w:szCs w:val="32"/>
              </w:rPr>
            </w:pPr>
            <w:r w:rsidRPr="0046083A">
              <w:rPr>
                <w:b/>
                <w:sz w:val="32"/>
                <w:szCs w:val="32"/>
              </w:rPr>
              <w:t>10. SSB administers a federal work program designed to help students find employment.</w:t>
            </w:r>
          </w:p>
          <w:p w:rsidR="0046083A" w:rsidRPr="0046083A" w:rsidRDefault="0046083A" w:rsidP="0046083A">
            <w:pPr>
              <w:spacing w:before="6"/>
              <w:rPr>
                <w:b/>
                <w:sz w:val="32"/>
                <w:szCs w:val="32"/>
              </w:rPr>
            </w:pPr>
          </w:p>
        </w:tc>
        <w:tc>
          <w:tcPr>
            <w:tcW w:w="7488" w:type="dxa"/>
          </w:tcPr>
          <w:p w:rsidR="0046083A" w:rsidRPr="0046083A" w:rsidRDefault="0046083A" w:rsidP="00A445F4">
            <w:pPr>
              <w:spacing w:before="6"/>
              <w:rPr>
                <w:b/>
                <w:sz w:val="32"/>
                <w:szCs w:val="32"/>
              </w:rPr>
            </w:pPr>
            <w:r w:rsidRPr="0046083A">
              <w:rPr>
                <w:b/>
                <w:sz w:val="32"/>
                <w:szCs w:val="32"/>
              </w:rPr>
              <w:t>10. SSB can provide housing, clothing, healthcare and other social work services.</w:t>
            </w:r>
          </w:p>
        </w:tc>
      </w:tr>
    </w:tbl>
    <w:p w:rsidR="00523E66" w:rsidRDefault="00523E66">
      <w:pPr>
        <w:spacing w:before="6" w:after="0" w:line="220" w:lineRule="exact"/>
      </w:pPr>
    </w:p>
    <w:p w:rsidR="00523E66" w:rsidRPr="0046083A" w:rsidRDefault="005908FA" w:rsidP="00B22593">
      <w:pPr>
        <w:spacing w:before="9" w:after="0" w:line="246" w:lineRule="auto"/>
        <w:ind w:left="1649" w:right="66" w:hanging="29"/>
        <w:jc w:val="center"/>
        <w:rPr>
          <w:rFonts w:eastAsia="Arial" w:cs="Arial"/>
          <w:sz w:val="36"/>
          <w:szCs w:val="36"/>
        </w:rPr>
      </w:pPr>
      <w:r w:rsidRPr="0046083A">
        <w:rPr>
          <w:noProof/>
        </w:rPr>
        <w:drawing>
          <wp:anchor distT="0" distB="0" distL="114300" distR="114300" simplePos="0" relativeHeight="251659264" behindDoc="1" locked="0" layoutInCell="1" allowOverlap="1" wp14:anchorId="6662322E" wp14:editId="602BFCC7">
            <wp:simplePos x="0" y="0"/>
            <wp:positionH relativeFrom="page">
              <wp:posOffset>647700</wp:posOffset>
            </wp:positionH>
            <wp:positionV relativeFrom="paragraph">
              <wp:posOffset>-45720</wp:posOffset>
            </wp:positionV>
            <wp:extent cx="818515" cy="97599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515" cy="975995"/>
                    </a:xfrm>
                    <a:prstGeom prst="rect">
                      <a:avLst/>
                    </a:prstGeom>
                    <a:noFill/>
                  </pic:spPr>
                </pic:pic>
              </a:graphicData>
            </a:graphic>
            <wp14:sizeRelH relativeFrom="page">
              <wp14:pctWidth>0</wp14:pctWidth>
            </wp14:sizeRelH>
            <wp14:sizeRelV relativeFrom="page">
              <wp14:pctHeight>0</wp14:pctHeight>
            </wp14:sizeRelV>
          </wp:anchor>
        </w:drawing>
      </w:r>
      <w:r w:rsidR="00DB4024" w:rsidRPr="0046083A">
        <w:rPr>
          <w:rFonts w:eastAsia="Script MT Bold" w:cs="Script MT Bold"/>
          <w:b/>
          <w:bCs/>
          <w:color w:val="231F20"/>
          <w:sz w:val="36"/>
          <w:szCs w:val="36"/>
        </w:rPr>
        <w:t>“What</w:t>
      </w:r>
      <w:r w:rsidR="00DB4024" w:rsidRPr="0046083A">
        <w:rPr>
          <w:rFonts w:eastAsia="Script MT Bold" w:cs="Script MT Bold"/>
          <w:b/>
          <w:bCs/>
          <w:color w:val="231F20"/>
          <w:spacing w:val="-43"/>
          <w:sz w:val="36"/>
          <w:szCs w:val="36"/>
        </w:rPr>
        <w:t>’</w:t>
      </w:r>
      <w:r w:rsidR="00DB4024" w:rsidRPr="0046083A">
        <w:rPr>
          <w:rFonts w:eastAsia="Script MT Bold" w:cs="Script MT Bold"/>
          <w:b/>
          <w:bCs/>
          <w:color w:val="231F20"/>
          <w:sz w:val="36"/>
          <w:szCs w:val="36"/>
        </w:rPr>
        <w:t>s</w:t>
      </w:r>
      <w:r w:rsidR="00DB4024" w:rsidRPr="0046083A">
        <w:rPr>
          <w:rFonts w:eastAsia="Script MT Bold" w:cs="Script MT Bold"/>
          <w:b/>
          <w:bCs/>
          <w:color w:val="231F20"/>
          <w:spacing w:val="-11"/>
          <w:sz w:val="36"/>
          <w:szCs w:val="36"/>
        </w:rPr>
        <w:t xml:space="preserve"> </w:t>
      </w:r>
      <w:r w:rsidR="00DB4024" w:rsidRPr="0046083A">
        <w:rPr>
          <w:rFonts w:eastAsia="Script MT Bold" w:cs="Script MT Bold"/>
          <w:b/>
          <w:bCs/>
          <w:color w:val="231F20"/>
          <w:sz w:val="36"/>
          <w:szCs w:val="36"/>
        </w:rPr>
        <w:t>in it</w:t>
      </w:r>
      <w:r w:rsidR="00DB4024" w:rsidRPr="0046083A">
        <w:rPr>
          <w:rFonts w:eastAsia="Script MT Bold" w:cs="Script MT Bold"/>
          <w:b/>
          <w:bCs/>
          <w:color w:val="231F20"/>
          <w:spacing w:val="-2"/>
          <w:sz w:val="36"/>
          <w:szCs w:val="36"/>
        </w:rPr>
        <w:t xml:space="preserve"> </w:t>
      </w:r>
      <w:r w:rsidR="0046083A">
        <w:rPr>
          <w:rFonts w:eastAsia="Script MT Bold" w:cs="Script MT Bold"/>
          <w:b/>
          <w:bCs/>
          <w:color w:val="231F20"/>
          <w:sz w:val="36"/>
          <w:szCs w:val="36"/>
        </w:rPr>
        <w:t>for m</w:t>
      </w:r>
      <w:r w:rsidR="00DB4024" w:rsidRPr="0046083A">
        <w:rPr>
          <w:rFonts w:eastAsia="Script MT Bold" w:cs="Script MT Bold"/>
          <w:b/>
          <w:bCs/>
          <w:color w:val="231F20"/>
          <w:sz w:val="36"/>
          <w:szCs w:val="36"/>
        </w:rPr>
        <w:t xml:space="preserve">e?” -  </w:t>
      </w:r>
      <w:r w:rsidR="00DB4024" w:rsidRPr="0046083A">
        <w:rPr>
          <w:rFonts w:eastAsia="Arial" w:cs="Arial"/>
          <w:color w:val="231F20"/>
          <w:sz w:val="36"/>
          <w:szCs w:val="36"/>
        </w:rPr>
        <w:t>If you are interested in working and gaining financial independence after high school, apply to SSB for services.</w:t>
      </w:r>
      <w:r w:rsidR="00DB4024" w:rsidRPr="0046083A">
        <w:rPr>
          <w:rFonts w:eastAsia="Arial" w:cs="Arial"/>
          <w:color w:val="231F20"/>
          <w:spacing w:val="-6"/>
          <w:sz w:val="36"/>
          <w:szCs w:val="36"/>
        </w:rPr>
        <w:t xml:space="preserve"> </w:t>
      </w:r>
      <w:r w:rsidR="00DB4024" w:rsidRPr="0046083A">
        <w:rPr>
          <w:rFonts w:eastAsia="Arial" w:cs="Arial"/>
          <w:color w:val="231F20"/>
          <w:sz w:val="36"/>
          <w:szCs w:val="36"/>
        </w:rPr>
        <w:t>The sooner the better! Whether you want a job or a career development, SSB is an important resource.</w:t>
      </w:r>
    </w:p>
    <w:sectPr w:rsidR="00523E66" w:rsidRPr="0046083A">
      <w:type w:val="continuous"/>
      <w:pgSz w:w="16840" w:h="23820"/>
      <w:pgMar w:top="1220" w:right="11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1FF2"/>
    <w:multiLevelType w:val="hybridMultilevel"/>
    <w:tmpl w:val="8488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66"/>
    <w:rsid w:val="0046083A"/>
    <w:rsid w:val="00523E66"/>
    <w:rsid w:val="00561BB1"/>
    <w:rsid w:val="005908FA"/>
    <w:rsid w:val="0063421B"/>
    <w:rsid w:val="00A445F4"/>
    <w:rsid w:val="00B22593"/>
    <w:rsid w:val="00DB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McElligott</dc:creator>
  <cp:lastModifiedBy>wfcuser</cp:lastModifiedBy>
  <cp:revision>2</cp:revision>
  <dcterms:created xsi:type="dcterms:W3CDTF">2014-06-03T13:27:00Z</dcterms:created>
  <dcterms:modified xsi:type="dcterms:W3CDTF">2014-06-03T13:27:00Z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2009-02-19T00:00:00Z</vt:filetime>
  </property>
  <property fmtid="{D5CDD505-2E9C-101B-9397-08002B2CF9AE}" pid="3" name="LastSaved">
    <vt:filetime>2013-05-29T00:00:00Z</vt:filetime>
  </property>
</Properties>
</file>