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81" w:type="dxa"/>
        <w:tblLayout w:type="fixed"/>
        <w:tblLook w:val="04A0" w:firstRow="1" w:lastRow="0" w:firstColumn="1" w:lastColumn="0" w:noHBand="0" w:noVBand="1"/>
      </w:tblPr>
      <w:tblGrid>
        <w:gridCol w:w="1584"/>
        <w:gridCol w:w="2186"/>
        <w:gridCol w:w="2075"/>
        <w:gridCol w:w="4680"/>
        <w:gridCol w:w="2756"/>
      </w:tblGrid>
      <w:tr w:rsidR="00BD5D90" w:rsidTr="003C083E">
        <w:trPr>
          <w:trHeight w:val="440"/>
        </w:trPr>
        <w:tc>
          <w:tcPr>
            <w:tcW w:w="1584" w:type="dxa"/>
          </w:tcPr>
          <w:p w:rsidR="00BD5D90" w:rsidRDefault="00BD5D90"/>
        </w:tc>
        <w:tc>
          <w:tcPr>
            <w:tcW w:w="2186" w:type="dxa"/>
          </w:tcPr>
          <w:p w:rsidR="00BD5D90" w:rsidRDefault="00BD5D90">
            <w:r>
              <w:t xml:space="preserve">Title </w:t>
            </w:r>
          </w:p>
        </w:tc>
        <w:tc>
          <w:tcPr>
            <w:tcW w:w="2075" w:type="dxa"/>
          </w:tcPr>
          <w:p w:rsidR="00BD5D90" w:rsidRDefault="0034210F">
            <w:r>
              <w:t>Link</w:t>
            </w:r>
          </w:p>
        </w:tc>
        <w:tc>
          <w:tcPr>
            <w:tcW w:w="4680" w:type="dxa"/>
          </w:tcPr>
          <w:p w:rsidR="00BD5D90" w:rsidRDefault="00BD5D90">
            <w:r>
              <w:t xml:space="preserve">Summary </w:t>
            </w:r>
          </w:p>
        </w:tc>
        <w:tc>
          <w:tcPr>
            <w:tcW w:w="2756" w:type="dxa"/>
          </w:tcPr>
          <w:p w:rsidR="00BD5D90" w:rsidRDefault="00BD5D90">
            <w:r>
              <w:t xml:space="preserve">Webinar Training </w:t>
            </w:r>
          </w:p>
        </w:tc>
      </w:tr>
      <w:tr w:rsidR="003B0038" w:rsidTr="003C083E">
        <w:trPr>
          <w:trHeight w:val="588"/>
        </w:trPr>
        <w:tc>
          <w:tcPr>
            <w:tcW w:w="1584" w:type="dxa"/>
            <w:vMerge w:val="restart"/>
          </w:tcPr>
          <w:p w:rsidR="003B0038" w:rsidRPr="00191C00" w:rsidRDefault="003B0038">
            <w:pPr>
              <w:rPr>
                <w:b/>
              </w:rPr>
            </w:pPr>
            <w:r w:rsidRPr="00191C00">
              <w:rPr>
                <w:b/>
              </w:rPr>
              <w:t xml:space="preserve">Workforce Development </w:t>
            </w:r>
          </w:p>
        </w:tc>
        <w:tc>
          <w:tcPr>
            <w:tcW w:w="2186" w:type="dxa"/>
          </w:tcPr>
          <w:p w:rsidR="003B0038" w:rsidRDefault="003B0038">
            <w:r>
              <w:t>*</w:t>
            </w:r>
            <w:r w:rsidRPr="00E818BD">
              <w:t>Employment</w:t>
            </w:r>
          </w:p>
        </w:tc>
        <w:tc>
          <w:tcPr>
            <w:tcW w:w="2075" w:type="dxa"/>
          </w:tcPr>
          <w:p w:rsidR="003B0038" w:rsidRDefault="0048696B">
            <w:hyperlink r:id="rId8" w:history="1">
              <w:r w:rsidR="003B0038" w:rsidRPr="00BD5D90">
                <w:rPr>
                  <w:rStyle w:val="Hyperlink"/>
                </w:rPr>
                <w:t>http://www.pacer.org/transition/learning-center/employment/</w:t>
              </w:r>
            </w:hyperlink>
          </w:p>
        </w:tc>
        <w:tc>
          <w:tcPr>
            <w:tcW w:w="4680" w:type="dxa"/>
          </w:tcPr>
          <w:p w:rsidR="0048425C" w:rsidRDefault="003B0038">
            <w:r>
              <w:t xml:space="preserve">This webpage is all about employment. On this page, there are a number of different links and categories pertaining to finding a job and keeping a job.  </w:t>
            </w:r>
          </w:p>
        </w:tc>
        <w:tc>
          <w:tcPr>
            <w:tcW w:w="2756" w:type="dxa"/>
          </w:tcPr>
          <w:p w:rsidR="003B0038" w:rsidRDefault="003B0038"/>
        </w:tc>
      </w:tr>
      <w:tr w:rsidR="003B0038" w:rsidTr="003C083E">
        <w:trPr>
          <w:trHeight w:val="555"/>
        </w:trPr>
        <w:tc>
          <w:tcPr>
            <w:tcW w:w="1584" w:type="dxa"/>
            <w:vMerge/>
          </w:tcPr>
          <w:p w:rsidR="003B0038" w:rsidRPr="00191C00" w:rsidRDefault="003B0038">
            <w:pPr>
              <w:rPr>
                <w:b/>
              </w:rPr>
            </w:pPr>
          </w:p>
        </w:tc>
        <w:tc>
          <w:tcPr>
            <w:tcW w:w="2186" w:type="dxa"/>
          </w:tcPr>
          <w:p w:rsidR="003B0038" w:rsidRDefault="003B0038">
            <w:r w:rsidRPr="00E818BD">
              <w:t>Finding Your Career Path</w:t>
            </w:r>
          </w:p>
        </w:tc>
        <w:tc>
          <w:tcPr>
            <w:tcW w:w="2075" w:type="dxa"/>
          </w:tcPr>
          <w:p w:rsidR="003B0038" w:rsidRDefault="0048696B">
            <w:hyperlink r:id="rId9" w:history="1">
              <w:r w:rsidR="003B0038" w:rsidRPr="00E818BD">
                <w:rPr>
                  <w:rStyle w:val="Hyperlink"/>
                </w:rPr>
                <w:t>http://www.pacer.org/transition/learning-center/employment/finding-career-path.asp</w:t>
              </w:r>
            </w:hyperlink>
          </w:p>
        </w:tc>
        <w:tc>
          <w:tcPr>
            <w:tcW w:w="4680" w:type="dxa"/>
          </w:tcPr>
          <w:p w:rsidR="0048425C" w:rsidRDefault="003B0038">
            <w:r>
              <w:t>“</w:t>
            </w:r>
            <w:r w:rsidRPr="00E818BD">
              <w:t>There are thousands different types of jobs a person can do. The key to successful employment is preparation, and the first step is for youth to explore what careers best fit their strengths and interests. This includes understanding what education and skills are required for each job, and researching the types of jobs that will be most available in the future.</w:t>
            </w:r>
            <w:r>
              <w:t>”</w:t>
            </w:r>
          </w:p>
        </w:tc>
        <w:tc>
          <w:tcPr>
            <w:tcW w:w="2756" w:type="dxa"/>
          </w:tcPr>
          <w:p w:rsidR="003B0038" w:rsidRDefault="002E604A" w:rsidP="002E604A">
            <w:pPr>
              <w:rPr>
                <w:rFonts w:ascii="Calibri" w:hAnsi="Calibri"/>
                <w:color w:val="000000"/>
              </w:rPr>
            </w:pPr>
            <w:r>
              <w:t xml:space="preserve">1 </w:t>
            </w:r>
            <w:hyperlink r:id="rId10" w:history="1">
              <w:r>
                <w:rPr>
                  <w:rStyle w:val="Hyperlink"/>
                  <w:rFonts w:ascii="Calibri" w:hAnsi="Calibri"/>
                </w:rPr>
                <w:t xml:space="preserve">Work Early, Work Often: </w:t>
              </w:r>
              <w:r>
                <w:rPr>
                  <w:rFonts w:ascii="Calibri" w:hAnsi="Calibri"/>
                  <w:b/>
                  <w:bCs/>
                  <w:color w:val="373566"/>
                  <w:u w:val="single"/>
                </w:rPr>
                <w:br/>
              </w:r>
              <w:r>
                <w:rPr>
                  <w:rStyle w:val="Hyperlink"/>
                  <w:rFonts w:ascii="Calibri" w:hAnsi="Calibri"/>
                </w:rPr>
                <w:t>Young Adults</w:t>
              </w:r>
            </w:hyperlink>
          </w:p>
          <w:p w:rsidR="002E604A" w:rsidRDefault="002E604A" w:rsidP="002E604A">
            <w:pPr>
              <w:rPr>
                <w:rFonts w:ascii="Calibri" w:hAnsi="Calibri"/>
                <w:color w:val="000000"/>
              </w:rPr>
            </w:pPr>
          </w:p>
          <w:p w:rsidR="002E604A" w:rsidRDefault="002E604A" w:rsidP="002E604A">
            <w:r>
              <w:rPr>
                <w:rFonts w:ascii="Calibri" w:hAnsi="Calibri"/>
                <w:color w:val="000000"/>
              </w:rPr>
              <w:t xml:space="preserve">2 </w:t>
            </w:r>
            <w:hyperlink r:id="rId11" w:history="1">
              <w:r>
                <w:rPr>
                  <w:rStyle w:val="Hyperlink"/>
                  <w:rFonts w:ascii="Calibri" w:hAnsi="Calibri"/>
                </w:rPr>
                <w:t xml:space="preserve">Career Possibilities: </w:t>
              </w:r>
              <w:r>
                <w:rPr>
                  <w:rFonts w:ascii="Calibri" w:hAnsi="Calibri"/>
                  <w:b/>
                  <w:bCs/>
                  <w:color w:val="373566"/>
                  <w:u w:val="single"/>
                </w:rPr>
                <w:br/>
              </w:r>
              <w:r>
                <w:rPr>
                  <w:rStyle w:val="Hyperlink"/>
                  <w:rFonts w:ascii="Calibri" w:hAnsi="Calibri"/>
                </w:rPr>
                <w:t>Discover, Explore, Dream</w:t>
              </w:r>
            </w:hyperlink>
          </w:p>
        </w:tc>
      </w:tr>
      <w:tr w:rsidR="003B0038" w:rsidTr="003C083E">
        <w:trPr>
          <w:trHeight w:val="588"/>
        </w:trPr>
        <w:tc>
          <w:tcPr>
            <w:tcW w:w="1584" w:type="dxa"/>
            <w:vMerge/>
          </w:tcPr>
          <w:p w:rsidR="003B0038" w:rsidRPr="00191C00" w:rsidRDefault="003B0038">
            <w:pPr>
              <w:rPr>
                <w:b/>
              </w:rPr>
            </w:pPr>
          </w:p>
        </w:tc>
        <w:tc>
          <w:tcPr>
            <w:tcW w:w="2186" w:type="dxa"/>
          </w:tcPr>
          <w:p w:rsidR="003B0038" w:rsidRDefault="0034210F">
            <w:r w:rsidRPr="0034210F">
              <w:t>Where Workers with Disabilities Look for Jobs</w:t>
            </w:r>
          </w:p>
        </w:tc>
        <w:tc>
          <w:tcPr>
            <w:tcW w:w="2075" w:type="dxa"/>
          </w:tcPr>
          <w:p w:rsidR="003B0038" w:rsidRDefault="0048696B">
            <w:hyperlink r:id="rId12" w:history="1">
              <w:r w:rsidR="0034210F" w:rsidRPr="0034210F">
                <w:rPr>
                  <w:rStyle w:val="Hyperlink"/>
                </w:rPr>
                <w:t>https://www.pacer.org/publications/possibilities/your-childs-employment/159-where-workers-with-disabilities-look-for-jobs.html</w:t>
              </w:r>
            </w:hyperlink>
          </w:p>
        </w:tc>
        <w:tc>
          <w:tcPr>
            <w:tcW w:w="4680" w:type="dxa"/>
          </w:tcPr>
          <w:p w:rsidR="0048425C" w:rsidRDefault="0034210F">
            <w:r>
              <w:t>“</w:t>
            </w:r>
            <w:r w:rsidRPr="0034210F">
              <w:t>Through the advocacy work of many individuals and organizations, workers with disabilities have growing employment support among corporations and other organizations. Two job search Web sites created expressly for job seekers with disabilities offer a variety of job search tools and support.</w:t>
            </w:r>
            <w:r>
              <w:t>”</w:t>
            </w:r>
            <w:r w:rsidR="003C083E">
              <w:t xml:space="preserve">                                                                                                                                                                                                        </w:t>
            </w:r>
          </w:p>
        </w:tc>
        <w:tc>
          <w:tcPr>
            <w:tcW w:w="2756" w:type="dxa"/>
          </w:tcPr>
          <w:p w:rsidR="003B0038" w:rsidRDefault="003B0038"/>
        </w:tc>
        <w:bookmarkStart w:id="0" w:name="_GoBack"/>
        <w:bookmarkEnd w:id="0"/>
      </w:tr>
      <w:tr w:rsidR="00612F46" w:rsidTr="003C083E">
        <w:trPr>
          <w:trHeight w:val="588"/>
        </w:trPr>
        <w:tc>
          <w:tcPr>
            <w:tcW w:w="1584" w:type="dxa"/>
            <w:vMerge w:val="restart"/>
          </w:tcPr>
          <w:p w:rsidR="00612F46" w:rsidRPr="00191C00" w:rsidRDefault="00612F46">
            <w:pPr>
              <w:rPr>
                <w:b/>
              </w:rPr>
            </w:pPr>
          </w:p>
        </w:tc>
        <w:tc>
          <w:tcPr>
            <w:tcW w:w="2186" w:type="dxa"/>
          </w:tcPr>
          <w:p w:rsidR="00612F46" w:rsidRPr="0034210F" w:rsidRDefault="00612F46">
            <w:r>
              <w:rPr>
                <w:lang w:val="en"/>
              </w:rPr>
              <w:t>*</w:t>
            </w:r>
            <w:r w:rsidRPr="002F2367">
              <w:rPr>
                <w:lang w:val="en"/>
              </w:rPr>
              <w:t>Professional Development</w:t>
            </w:r>
          </w:p>
        </w:tc>
        <w:tc>
          <w:tcPr>
            <w:tcW w:w="2075" w:type="dxa"/>
          </w:tcPr>
          <w:p w:rsidR="00612F46" w:rsidRDefault="0048696B">
            <w:hyperlink r:id="rId13" w:history="1">
              <w:r w:rsidR="00612F46" w:rsidRPr="002F2367">
                <w:rPr>
                  <w:rStyle w:val="Hyperlink"/>
                </w:rPr>
                <w:t>http://www.ncwd-youth.info/professional-development</w:t>
              </w:r>
            </w:hyperlink>
          </w:p>
        </w:tc>
        <w:tc>
          <w:tcPr>
            <w:tcW w:w="4680" w:type="dxa"/>
          </w:tcPr>
          <w:p w:rsidR="00612F46" w:rsidRDefault="00612F46">
            <w:r>
              <w:t>This webpage is about youth professional development and transitioning from school to adult life. On this page, there are a number of different links and resources for y</w:t>
            </w:r>
            <w:r w:rsidRPr="0048425C">
              <w:t>outh service professionals (adults who work directly with youth)</w:t>
            </w:r>
            <w:r>
              <w:t xml:space="preserve">. Working with </w:t>
            </w:r>
            <w:r>
              <w:lastRenderedPageBreak/>
              <w:t>youth</w:t>
            </w:r>
            <w:r w:rsidRPr="0048425C">
              <w:t xml:space="preserve"> require</w:t>
            </w:r>
            <w:r>
              <w:t>s</w:t>
            </w:r>
            <w:r w:rsidRPr="0048425C">
              <w:t xml:space="preserve"> a mix of competencies from the youth development, education, workforce development, and disability fields.</w:t>
            </w:r>
          </w:p>
          <w:p w:rsidR="00612F46" w:rsidRDefault="00612F46"/>
        </w:tc>
        <w:tc>
          <w:tcPr>
            <w:tcW w:w="2756" w:type="dxa"/>
          </w:tcPr>
          <w:p w:rsidR="00612F46" w:rsidRDefault="00612F46"/>
        </w:tc>
      </w:tr>
      <w:tr w:rsidR="00612F46" w:rsidTr="003C083E">
        <w:trPr>
          <w:trHeight w:val="588"/>
        </w:trPr>
        <w:tc>
          <w:tcPr>
            <w:tcW w:w="1584" w:type="dxa"/>
            <w:vMerge/>
          </w:tcPr>
          <w:p w:rsidR="00612F46" w:rsidRPr="00191C00" w:rsidRDefault="00612F46">
            <w:pPr>
              <w:rPr>
                <w:b/>
              </w:rPr>
            </w:pPr>
          </w:p>
        </w:tc>
        <w:tc>
          <w:tcPr>
            <w:tcW w:w="2186" w:type="dxa"/>
          </w:tcPr>
          <w:p w:rsidR="00612F46" w:rsidRPr="0034210F" w:rsidRDefault="00612F46">
            <w:r w:rsidRPr="003C083E">
              <w:rPr>
                <w:lang w:val="en"/>
              </w:rPr>
              <w:t>Dig</w:t>
            </w:r>
            <w:r>
              <w:rPr>
                <w:lang w:val="en"/>
              </w:rPr>
              <w:t>ging Deeper: The 5 Areas of Youth Development/Leadership</w:t>
            </w:r>
          </w:p>
        </w:tc>
        <w:tc>
          <w:tcPr>
            <w:tcW w:w="2075" w:type="dxa"/>
          </w:tcPr>
          <w:p w:rsidR="00612F46" w:rsidRDefault="0048696B">
            <w:hyperlink r:id="rId14" w:anchor="learning" w:history="1">
              <w:r w:rsidR="00612F46" w:rsidRPr="003C083E">
                <w:rPr>
                  <w:rStyle w:val="Hyperlink"/>
                </w:rPr>
                <w:t>http://www.ncwd-youth.info/youth-development/areas/#learning</w:t>
              </w:r>
            </w:hyperlink>
          </w:p>
        </w:tc>
        <w:tc>
          <w:tcPr>
            <w:tcW w:w="4680" w:type="dxa"/>
          </w:tcPr>
          <w:p w:rsidR="00612F46" w:rsidRDefault="00612F46">
            <w:r>
              <w:t>“</w:t>
            </w:r>
            <w:r w:rsidRPr="003C083E">
              <w:t>Youth Development is a process that prepares young people to meet the challenges of adolescence and adulthood through a coordinated, progressive series of activities and experiences which help them gain skills and competencies. Youth Leadership is part of that process. In order to control and direct their own lives based on informed decisions, YD/L need to be included as core components of transition programming for all youth, including youth with disabilities</w:t>
            </w:r>
            <w:r>
              <w:t>”</w:t>
            </w:r>
          </w:p>
        </w:tc>
        <w:tc>
          <w:tcPr>
            <w:tcW w:w="2756" w:type="dxa"/>
          </w:tcPr>
          <w:p w:rsidR="00612F46" w:rsidRDefault="00612F46"/>
        </w:tc>
      </w:tr>
      <w:tr w:rsidR="00612F46" w:rsidTr="003C083E">
        <w:trPr>
          <w:trHeight w:val="588"/>
        </w:trPr>
        <w:tc>
          <w:tcPr>
            <w:tcW w:w="1584" w:type="dxa"/>
            <w:vMerge/>
          </w:tcPr>
          <w:p w:rsidR="00612F46" w:rsidRPr="00191C00" w:rsidRDefault="00612F46">
            <w:pPr>
              <w:rPr>
                <w:b/>
              </w:rPr>
            </w:pPr>
          </w:p>
        </w:tc>
        <w:tc>
          <w:tcPr>
            <w:tcW w:w="2186" w:type="dxa"/>
          </w:tcPr>
          <w:p w:rsidR="00612F46" w:rsidRPr="0034210F" w:rsidRDefault="00612F46">
            <w:r w:rsidRPr="00612F46">
              <w:rPr>
                <w:lang w:val="en"/>
              </w:rPr>
              <w:t>Youth in Action! Becoming a Stronger Self-Advocate</w:t>
            </w:r>
          </w:p>
        </w:tc>
        <w:tc>
          <w:tcPr>
            <w:tcW w:w="2075" w:type="dxa"/>
          </w:tcPr>
          <w:p w:rsidR="00612F46" w:rsidRDefault="0048696B">
            <w:hyperlink r:id="rId15" w:history="1">
              <w:r w:rsidR="00612F46" w:rsidRPr="00AE7460">
                <w:rPr>
                  <w:rStyle w:val="Hyperlink"/>
                </w:rPr>
                <w:t>http://www.ncwd-youth.info/tip-sheet/becoming-a-self-advocate</w:t>
              </w:r>
            </w:hyperlink>
          </w:p>
        </w:tc>
        <w:tc>
          <w:tcPr>
            <w:tcW w:w="4680" w:type="dxa"/>
          </w:tcPr>
          <w:p w:rsidR="00612F46" w:rsidRDefault="00612F46">
            <w:r>
              <w:rPr>
                <w:lang w:val="en"/>
              </w:rPr>
              <w:t>“</w:t>
            </w:r>
            <w:r w:rsidRPr="00612F46">
              <w:rPr>
                <w:lang w:val="en"/>
              </w:rPr>
              <w:t>Until now, adults have made most of the decisions about your life for you. However, now that you are becoming an adult yourself, you should have a say in what you do, in what you want, and in where you are going. Being able to make your own decisions is important because it allows you to:</w:t>
            </w:r>
            <w:r>
              <w:rPr>
                <w:lang w:val="en"/>
              </w:rPr>
              <w:t>”</w:t>
            </w:r>
          </w:p>
        </w:tc>
        <w:tc>
          <w:tcPr>
            <w:tcW w:w="2756" w:type="dxa"/>
          </w:tcPr>
          <w:p w:rsidR="00612F46" w:rsidRDefault="00612F46"/>
        </w:tc>
      </w:tr>
      <w:tr w:rsidR="003B0038" w:rsidTr="003C083E">
        <w:trPr>
          <w:trHeight w:val="588"/>
        </w:trPr>
        <w:tc>
          <w:tcPr>
            <w:tcW w:w="1584" w:type="dxa"/>
            <w:vMerge w:val="restart"/>
          </w:tcPr>
          <w:p w:rsidR="003B0038" w:rsidRPr="00191C00" w:rsidRDefault="003B0038">
            <w:pPr>
              <w:rPr>
                <w:b/>
              </w:rPr>
            </w:pPr>
            <w:r w:rsidRPr="00191C00">
              <w:rPr>
                <w:b/>
              </w:rPr>
              <w:t xml:space="preserve">Post-Secondary Education </w:t>
            </w:r>
          </w:p>
        </w:tc>
        <w:tc>
          <w:tcPr>
            <w:tcW w:w="2186" w:type="dxa"/>
          </w:tcPr>
          <w:p w:rsidR="003B0038" w:rsidRPr="00BD5D90" w:rsidRDefault="003B0038" w:rsidP="00BD5D90">
            <w:pPr>
              <w:rPr>
                <w:bCs/>
                <w:i/>
              </w:rPr>
            </w:pPr>
            <w:r w:rsidRPr="00BD5D90">
              <w:rPr>
                <w:bCs/>
                <w:i/>
              </w:rPr>
              <w:t>Dropout Prevention and Youth with</w:t>
            </w:r>
          </w:p>
          <w:p w:rsidR="003B0038" w:rsidRDefault="003B0038" w:rsidP="00BD5D90">
            <w:r w:rsidRPr="00BD5D90">
              <w:rPr>
                <w:bCs/>
                <w:i/>
              </w:rPr>
              <w:t>Disabilities: The Role of Mentors</w:t>
            </w:r>
          </w:p>
        </w:tc>
        <w:tc>
          <w:tcPr>
            <w:tcW w:w="2075" w:type="dxa"/>
          </w:tcPr>
          <w:p w:rsidR="003B0038" w:rsidRDefault="0048696B">
            <w:hyperlink r:id="rId16" w:history="1">
              <w:r w:rsidR="003B0038" w:rsidRPr="001714DF">
                <w:rPr>
                  <w:rStyle w:val="Hyperlink"/>
                </w:rPr>
                <w:t>http://www.pacer.org/parent/php/PHP-c168.pdf</w:t>
              </w:r>
            </w:hyperlink>
          </w:p>
        </w:tc>
        <w:tc>
          <w:tcPr>
            <w:tcW w:w="4680" w:type="dxa"/>
          </w:tcPr>
          <w:p w:rsidR="003B0038" w:rsidRDefault="002E604A">
            <w:r>
              <w:t>“</w:t>
            </w:r>
            <w:r>
              <w:rPr>
                <w:rFonts w:ascii="Arial" w:hAnsi="Arial" w:cs="Arial"/>
                <w:color w:val="000000"/>
                <w:sz w:val="19"/>
                <w:szCs w:val="19"/>
                <w:lang w:val="en"/>
              </w:rPr>
              <w:t xml:space="preserve">Students who drop out of school often face a difficult future. For students with disabilities, the risks are intensified. Their dropout rate is about 40 percent--more than twice that of their peers without </w:t>
            </w:r>
            <w:r>
              <w:rPr>
                <w:rFonts w:ascii="Arial" w:hAnsi="Arial" w:cs="Arial"/>
                <w:color w:val="000000"/>
                <w:sz w:val="19"/>
                <w:szCs w:val="19"/>
                <w:lang w:val="en"/>
              </w:rPr>
              <w:lastRenderedPageBreak/>
              <w:t>disabilities. However, families can play an important role in making sure their student with or without disabilities graduates. It is critical for parents to stay involved in their teen's life during middle school and high school.”</w:t>
            </w:r>
          </w:p>
        </w:tc>
        <w:tc>
          <w:tcPr>
            <w:tcW w:w="2756" w:type="dxa"/>
          </w:tcPr>
          <w:p w:rsidR="003B0038" w:rsidRDefault="002E604A">
            <w:r>
              <w:lastRenderedPageBreak/>
              <w:t xml:space="preserve">ARTICLE </w:t>
            </w:r>
          </w:p>
        </w:tc>
      </w:tr>
      <w:tr w:rsidR="003B0038" w:rsidTr="003C083E">
        <w:trPr>
          <w:trHeight w:val="555"/>
        </w:trPr>
        <w:tc>
          <w:tcPr>
            <w:tcW w:w="1584" w:type="dxa"/>
            <w:vMerge/>
          </w:tcPr>
          <w:p w:rsidR="003B0038" w:rsidRPr="00191C00" w:rsidRDefault="003B0038">
            <w:pPr>
              <w:rPr>
                <w:b/>
              </w:rPr>
            </w:pPr>
          </w:p>
        </w:tc>
        <w:tc>
          <w:tcPr>
            <w:tcW w:w="2186" w:type="dxa"/>
          </w:tcPr>
          <w:p w:rsidR="003B0038" w:rsidRDefault="003B0038">
            <w:r w:rsidRPr="003B0038">
              <w:t>Preparing for Postsecondary Education</w:t>
            </w:r>
          </w:p>
        </w:tc>
        <w:tc>
          <w:tcPr>
            <w:tcW w:w="2075" w:type="dxa"/>
          </w:tcPr>
          <w:p w:rsidR="003B0038" w:rsidRDefault="0048696B">
            <w:hyperlink r:id="rId17" w:history="1">
              <w:r w:rsidR="003B0038" w:rsidRPr="003B0038">
                <w:rPr>
                  <w:rStyle w:val="Hyperlink"/>
                </w:rPr>
                <w:t>http://www.pacer.org/transition/learning-center/postsecondary/preparing-for-postsecondary.asp</w:t>
              </w:r>
            </w:hyperlink>
          </w:p>
        </w:tc>
        <w:tc>
          <w:tcPr>
            <w:tcW w:w="4680" w:type="dxa"/>
          </w:tcPr>
          <w:p w:rsidR="003B0038" w:rsidRDefault="003B0038">
            <w:r>
              <w:t>“</w:t>
            </w:r>
            <w:r w:rsidRPr="003B0038">
              <w:t>Youth with disabilities are entering postsecondary education in increasing numbers and finding great success. For many, the key to that success is using high school classes, career exploration and campus tours to prepare for what is expected out of a college student.</w:t>
            </w:r>
            <w:r>
              <w:t>”</w:t>
            </w:r>
          </w:p>
        </w:tc>
        <w:tc>
          <w:tcPr>
            <w:tcW w:w="2756" w:type="dxa"/>
          </w:tcPr>
          <w:p w:rsidR="003B0038" w:rsidRDefault="003B0038">
            <w:pPr>
              <w:rPr>
                <w:rFonts w:ascii="Calibri" w:hAnsi="Calibri"/>
                <w:color w:val="000000"/>
              </w:rPr>
            </w:pPr>
            <w:r>
              <w:t>1</w:t>
            </w:r>
            <w:r>
              <w:rPr>
                <w:rFonts w:ascii="Calibri" w:hAnsi="Calibri"/>
                <w:color w:val="000000"/>
              </w:rPr>
              <w:t xml:space="preserve"> </w:t>
            </w:r>
            <w:hyperlink r:id="rId18" w:history="1">
              <w:r>
                <w:rPr>
                  <w:rStyle w:val="Hyperlink"/>
                  <w:rFonts w:ascii="Calibri" w:hAnsi="Calibri"/>
                </w:rPr>
                <w:t>Mapping Your Future: Creating a Personal Transition Plan</w:t>
              </w:r>
            </w:hyperlink>
          </w:p>
          <w:p w:rsidR="003B0038" w:rsidRDefault="003B0038">
            <w:pPr>
              <w:rPr>
                <w:rFonts w:ascii="Calibri" w:hAnsi="Calibri"/>
                <w:color w:val="000000"/>
              </w:rPr>
            </w:pPr>
          </w:p>
          <w:p w:rsidR="003B0038" w:rsidRDefault="003B0038">
            <w:pPr>
              <w:rPr>
                <w:rFonts w:ascii="Calibri" w:hAnsi="Calibri"/>
                <w:color w:val="000000"/>
              </w:rPr>
            </w:pPr>
            <w:r>
              <w:rPr>
                <w:rFonts w:ascii="Calibri" w:hAnsi="Calibri"/>
                <w:color w:val="000000"/>
              </w:rPr>
              <w:t>2</w:t>
            </w:r>
            <w:r w:rsidRPr="003B0038">
              <w:rPr>
                <w:rFonts w:ascii="Calibri" w:hAnsi="Calibri"/>
                <w:color w:val="000000"/>
              </w:rPr>
              <w:t xml:space="preserve"> </w:t>
            </w:r>
            <w:hyperlink r:id="rId19" w:history="1">
              <w:r w:rsidRPr="003B0038">
                <w:rPr>
                  <w:rStyle w:val="Hyperlink"/>
                  <w:rFonts w:ascii="Calibri" w:hAnsi="Calibri"/>
                  <w:b/>
                  <w:bCs/>
                </w:rPr>
                <w:t>I Am Thinking College (Even with My Disability)</w:t>
              </w:r>
            </w:hyperlink>
          </w:p>
          <w:p w:rsidR="003B0038" w:rsidRDefault="003B0038">
            <w:pPr>
              <w:rPr>
                <w:rFonts w:ascii="Calibri" w:hAnsi="Calibri"/>
                <w:color w:val="000000"/>
              </w:rPr>
            </w:pPr>
          </w:p>
          <w:p w:rsidR="003B0038" w:rsidRDefault="003B0038">
            <w:r>
              <w:rPr>
                <w:rFonts w:ascii="Calibri" w:hAnsi="Calibri"/>
                <w:color w:val="000000"/>
              </w:rPr>
              <w:t xml:space="preserve">3 </w:t>
            </w:r>
            <w:hyperlink r:id="rId20" w:history="1">
              <w:r>
                <w:rPr>
                  <w:rStyle w:val="Hyperlink"/>
                  <w:rFonts w:ascii="Calibri" w:hAnsi="Calibri"/>
                </w:rPr>
                <w:t>College Bound with Assistive Technology</w:t>
              </w:r>
            </w:hyperlink>
          </w:p>
        </w:tc>
      </w:tr>
      <w:tr w:rsidR="003B0038" w:rsidTr="003C083E">
        <w:trPr>
          <w:trHeight w:val="588"/>
        </w:trPr>
        <w:tc>
          <w:tcPr>
            <w:tcW w:w="1584" w:type="dxa"/>
            <w:vMerge/>
          </w:tcPr>
          <w:p w:rsidR="003B0038" w:rsidRPr="00191C00" w:rsidRDefault="003B0038">
            <w:pPr>
              <w:rPr>
                <w:b/>
              </w:rPr>
            </w:pPr>
          </w:p>
        </w:tc>
        <w:tc>
          <w:tcPr>
            <w:tcW w:w="2186" w:type="dxa"/>
          </w:tcPr>
          <w:p w:rsidR="003B0038" w:rsidRDefault="004B7BDF">
            <w:r w:rsidRPr="004B7BDF">
              <w:t>Selecting the Right Program</w:t>
            </w:r>
          </w:p>
        </w:tc>
        <w:tc>
          <w:tcPr>
            <w:tcW w:w="2075" w:type="dxa"/>
          </w:tcPr>
          <w:p w:rsidR="003B0038" w:rsidRDefault="0048696B">
            <w:hyperlink r:id="rId21" w:history="1">
              <w:r w:rsidR="004B7BDF" w:rsidRPr="004B7BDF">
                <w:rPr>
                  <w:rStyle w:val="Hyperlink"/>
                </w:rPr>
                <w:t>http://www.pacer.org/transition/learning-center/postsecondary/selecting-right-program.asp</w:t>
              </w:r>
            </w:hyperlink>
          </w:p>
        </w:tc>
        <w:tc>
          <w:tcPr>
            <w:tcW w:w="4680" w:type="dxa"/>
          </w:tcPr>
          <w:p w:rsidR="003B0038" w:rsidRDefault="004B7BDF">
            <w:r>
              <w:rPr>
                <w:rFonts w:ascii="Calibri" w:hAnsi="Calibri"/>
                <w:color w:val="000000"/>
              </w:rPr>
              <w:t>Education or training after high school is a great opportunity for youth to explore programs that meet their interests and that help them build skills for future employment. It is crucial that youth and families inform themselves about the many different types of programs and areas of study that are available, and which ones might be the best fit.</w:t>
            </w:r>
          </w:p>
        </w:tc>
        <w:tc>
          <w:tcPr>
            <w:tcW w:w="2756" w:type="dxa"/>
          </w:tcPr>
          <w:p w:rsidR="003B0038" w:rsidRDefault="004B7BDF">
            <w:pPr>
              <w:rPr>
                <w:rFonts w:ascii="Calibri" w:hAnsi="Calibri"/>
                <w:color w:val="000000"/>
              </w:rPr>
            </w:pPr>
            <w:r>
              <w:t>1</w:t>
            </w:r>
            <w:r>
              <w:rPr>
                <w:rFonts w:ascii="Calibri" w:hAnsi="Calibri"/>
                <w:color w:val="000000"/>
              </w:rPr>
              <w:t xml:space="preserve"> </w:t>
            </w:r>
            <w:hyperlink r:id="rId22" w:history="1">
              <w:r>
                <w:rPr>
                  <w:rStyle w:val="Hyperlink"/>
                  <w:rFonts w:ascii="Calibri" w:hAnsi="Calibri"/>
                </w:rPr>
                <w:t>Passport to Possibilities</w:t>
              </w:r>
            </w:hyperlink>
          </w:p>
          <w:p w:rsidR="004B7BDF" w:rsidRDefault="004B7BDF">
            <w:pPr>
              <w:rPr>
                <w:rFonts w:ascii="Calibri" w:hAnsi="Calibri"/>
                <w:color w:val="000000"/>
              </w:rPr>
            </w:pPr>
          </w:p>
          <w:p w:rsidR="004B7BDF" w:rsidRDefault="004B7BDF">
            <w:pPr>
              <w:rPr>
                <w:rFonts w:ascii="Calibri" w:hAnsi="Calibri"/>
                <w:color w:val="000000"/>
              </w:rPr>
            </w:pPr>
            <w:r>
              <w:rPr>
                <w:rFonts w:ascii="Calibri" w:hAnsi="Calibri"/>
                <w:color w:val="000000"/>
              </w:rPr>
              <w:t xml:space="preserve">2 </w:t>
            </w:r>
            <w:hyperlink r:id="rId23" w:history="1">
              <w:r>
                <w:rPr>
                  <w:rStyle w:val="Hyperlink"/>
                  <w:rFonts w:ascii="Calibri" w:hAnsi="Calibri"/>
                </w:rPr>
                <w:t>Teens Succeeding with Technology - Virtual College Tour</w:t>
              </w:r>
            </w:hyperlink>
          </w:p>
          <w:p w:rsidR="004B7BDF" w:rsidRDefault="004B7BDF">
            <w:pPr>
              <w:rPr>
                <w:rFonts w:ascii="Calibri" w:hAnsi="Calibri"/>
                <w:color w:val="000000"/>
              </w:rPr>
            </w:pPr>
          </w:p>
          <w:p w:rsidR="004B7BDF" w:rsidRDefault="004B7BDF">
            <w:r>
              <w:rPr>
                <w:rFonts w:ascii="Calibri" w:hAnsi="Calibri"/>
                <w:color w:val="000000"/>
              </w:rPr>
              <w:t xml:space="preserve">3 </w:t>
            </w:r>
            <w:hyperlink r:id="rId24" w:history="1">
              <w:r>
                <w:rPr>
                  <w:rStyle w:val="Hyperlink"/>
                  <w:rFonts w:ascii="Calibri" w:hAnsi="Calibri"/>
                </w:rPr>
                <w:t>Why College Matters for People with Disabilities</w:t>
              </w:r>
            </w:hyperlink>
          </w:p>
        </w:tc>
      </w:tr>
      <w:tr w:rsidR="004B7BDF" w:rsidTr="003C083E">
        <w:trPr>
          <w:trHeight w:val="588"/>
        </w:trPr>
        <w:tc>
          <w:tcPr>
            <w:tcW w:w="1584" w:type="dxa"/>
          </w:tcPr>
          <w:p w:rsidR="004B7BDF" w:rsidRPr="00191C00" w:rsidRDefault="004B7BDF">
            <w:pPr>
              <w:rPr>
                <w:b/>
              </w:rPr>
            </w:pPr>
          </w:p>
        </w:tc>
        <w:tc>
          <w:tcPr>
            <w:tcW w:w="2186" w:type="dxa"/>
          </w:tcPr>
          <w:p w:rsidR="004B7BDF" w:rsidRPr="004B7BDF" w:rsidRDefault="004B7BDF">
            <w:pPr>
              <w:rPr>
                <w:i/>
              </w:rPr>
            </w:pPr>
            <w:r w:rsidRPr="004B7BDF">
              <w:rPr>
                <w:i/>
              </w:rPr>
              <w:t>Career and Technical Education’s Role in Postsecondary Transitions</w:t>
            </w:r>
          </w:p>
        </w:tc>
        <w:tc>
          <w:tcPr>
            <w:tcW w:w="2075" w:type="dxa"/>
          </w:tcPr>
          <w:p w:rsidR="004B7BDF" w:rsidRDefault="0048696B">
            <w:hyperlink r:id="rId25" w:history="1">
              <w:r w:rsidR="004B7BDF" w:rsidRPr="004B7BDF">
                <w:rPr>
                  <w:rStyle w:val="Hyperlink"/>
                </w:rPr>
                <w:t>http://www.acteonline.org/uploadedFiles/Assets_and_Documents/Global/files/Publications/Transitions.pdf</w:t>
              </w:r>
            </w:hyperlink>
          </w:p>
        </w:tc>
        <w:tc>
          <w:tcPr>
            <w:tcW w:w="4680" w:type="dxa"/>
          </w:tcPr>
          <w:p w:rsidR="004B7BDF" w:rsidRDefault="004B7BDF" w:rsidP="004B7BDF">
            <w:pPr>
              <w:pStyle w:val="Default"/>
              <w:rPr>
                <w:sz w:val="18"/>
                <w:szCs w:val="18"/>
              </w:rPr>
            </w:pPr>
            <w:r>
              <w:rPr>
                <w:rFonts w:ascii="Calibri" w:hAnsi="Calibri"/>
              </w:rPr>
              <w:t>“</w:t>
            </w:r>
            <w:r>
              <w:rPr>
                <w:sz w:val="18"/>
                <w:szCs w:val="18"/>
              </w:rPr>
              <w:t>This issue brief will explore the significant role that career and technical education programs play in aiding students’ success</w:t>
            </w:r>
            <w:r>
              <w:rPr>
                <w:sz w:val="18"/>
                <w:szCs w:val="18"/>
              </w:rPr>
              <w:softHyphen/>
              <w:t>ful transition from secondary to postsecondary education.”</w:t>
            </w:r>
          </w:p>
          <w:p w:rsidR="0034210F" w:rsidRPr="004B7BDF" w:rsidRDefault="0034210F" w:rsidP="004B7BDF">
            <w:pPr>
              <w:pStyle w:val="Default"/>
            </w:pPr>
          </w:p>
        </w:tc>
        <w:tc>
          <w:tcPr>
            <w:tcW w:w="2756" w:type="dxa"/>
          </w:tcPr>
          <w:p w:rsidR="004B7BDF" w:rsidRDefault="002E604A">
            <w:r>
              <w:t xml:space="preserve">ARTICLE </w:t>
            </w:r>
          </w:p>
        </w:tc>
      </w:tr>
      <w:tr w:rsidR="005943D1" w:rsidTr="003C083E">
        <w:trPr>
          <w:trHeight w:val="555"/>
        </w:trPr>
        <w:tc>
          <w:tcPr>
            <w:tcW w:w="1584" w:type="dxa"/>
            <w:vMerge w:val="restart"/>
          </w:tcPr>
          <w:p w:rsidR="005943D1" w:rsidRPr="00191C00" w:rsidRDefault="005943D1">
            <w:pPr>
              <w:rPr>
                <w:b/>
              </w:rPr>
            </w:pPr>
            <w:r w:rsidRPr="00191C00">
              <w:rPr>
                <w:b/>
              </w:rPr>
              <w:t xml:space="preserve">Disability Benefit </w:t>
            </w:r>
          </w:p>
        </w:tc>
        <w:tc>
          <w:tcPr>
            <w:tcW w:w="2186" w:type="dxa"/>
          </w:tcPr>
          <w:p w:rsidR="005943D1" w:rsidRDefault="005943D1">
            <w:r w:rsidRPr="0034210F">
              <w:t>Your Life &amp; Disability Insurance</w:t>
            </w:r>
          </w:p>
        </w:tc>
        <w:tc>
          <w:tcPr>
            <w:tcW w:w="2075" w:type="dxa"/>
          </w:tcPr>
          <w:p w:rsidR="005943D1" w:rsidRDefault="0048696B">
            <w:hyperlink r:id="rId26" w:history="1">
              <w:r w:rsidR="005943D1" w:rsidRPr="0034210F">
                <w:rPr>
                  <w:rStyle w:val="Hyperlink"/>
                </w:rPr>
                <w:t>https://www.pacer.org/publications/possibilities/life-a-disability-insurance.html</w:t>
              </w:r>
            </w:hyperlink>
          </w:p>
        </w:tc>
        <w:tc>
          <w:tcPr>
            <w:tcW w:w="4680" w:type="dxa"/>
          </w:tcPr>
          <w:p w:rsidR="005943D1" w:rsidRDefault="005943D1">
            <w:r>
              <w:t>“</w:t>
            </w:r>
            <w:r w:rsidRPr="0034210F">
              <w:t xml:space="preserve">Life and disability insurance play important roles for your entire family. It’s hard to think about or plan for, but if you were to </w:t>
            </w:r>
            <w:r w:rsidRPr="0034210F">
              <w:lastRenderedPageBreak/>
              <w:t>experience a fatal or debilitating accident or illness damaging your ability to provide your family with income, life and disability insurance could help maintain your family’s financial well-being.</w:t>
            </w:r>
            <w:r>
              <w:t>”</w:t>
            </w:r>
          </w:p>
        </w:tc>
        <w:tc>
          <w:tcPr>
            <w:tcW w:w="2756" w:type="dxa"/>
          </w:tcPr>
          <w:p w:rsidR="005943D1" w:rsidRDefault="005943D1"/>
        </w:tc>
      </w:tr>
      <w:tr w:rsidR="005943D1" w:rsidTr="003C083E">
        <w:trPr>
          <w:trHeight w:val="555"/>
        </w:trPr>
        <w:tc>
          <w:tcPr>
            <w:tcW w:w="1584" w:type="dxa"/>
            <w:vMerge/>
          </w:tcPr>
          <w:p w:rsidR="005943D1" w:rsidRPr="00191C00" w:rsidRDefault="005943D1">
            <w:pPr>
              <w:rPr>
                <w:b/>
              </w:rPr>
            </w:pPr>
          </w:p>
        </w:tc>
        <w:tc>
          <w:tcPr>
            <w:tcW w:w="2186" w:type="dxa"/>
          </w:tcPr>
          <w:p w:rsidR="005943D1" w:rsidRDefault="005943D1">
            <w:r>
              <w:t xml:space="preserve">Medical Coverage </w:t>
            </w:r>
          </w:p>
        </w:tc>
        <w:tc>
          <w:tcPr>
            <w:tcW w:w="2075" w:type="dxa"/>
          </w:tcPr>
          <w:p w:rsidR="005943D1" w:rsidRDefault="0048696B">
            <w:hyperlink r:id="rId27" w:history="1">
              <w:r w:rsidR="005943D1" w:rsidRPr="0034210F">
                <w:rPr>
                  <w:rStyle w:val="Hyperlink"/>
                </w:rPr>
                <w:t>https://www.pacer.org/publications/possibilities/your-medical-coverage.html</w:t>
              </w:r>
            </w:hyperlink>
          </w:p>
        </w:tc>
        <w:tc>
          <w:tcPr>
            <w:tcW w:w="4680" w:type="dxa"/>
          </w:tcPr>
          <w:p w:rsidR="005943D1" w:rsidRDefault="005943D1">
            <w:r>
              <w:t xml:space="preserve">This link contains sub links and PDFs with information about Medical health coverage. </w:t>
            </w:r>
          </w:p>
        </w:tc>
        <w:tc>
          <w:tcPr>
            <w:tcW w:w="2756" w:type="dxa"/>
          </w:tcPr>
          <w:p w:rsidR="005943D1" w:rsidRDefault="005943D1"/>
        </w:tc>
      </w:tr>
      <w:tr w:rsidR="005943D1" w:rsidTr="003C083E">
        <w:trPr>
          <w:trHeight w:val="555"/>
        </w:trPr>
        <w:tc>
          <w:tcPr>
            <w:tcW w:w="1584" w:type="dxa"/>
            <w:vMerge/>
          </w:tcPr>
          <w:p w:rsidR="005943D1" w:rsidRPr="00191C00" w:rsidRDefault="005943D1">
            <w:pPr>
              <w:rPr>
                <w:b/>
              </w:rPr>
            </w:pPr>
          </w:p>
        </w:tc>
        <w:tc>
          <w:tcPr>
            <w:tcW w:w="2186" w:type="dxa"/>
          </w:tcPr>
          <w:p w:rsidR="005943D1" w:rsidRDefault="005943D1">
            <w:r w:rsidRPr="005943D1">
              <w:rPr>
                <w:lang w:val="en-GB"/>
              </w:rPr>
              <w:t>Government Health Care Assistance Programs</w:t>
            </w:r>
          </w:p>
        </w:tc>
        <w:tc>
          <w:tcPr>
            <w:tcW w:w="2075" w:type="dxa"/>
          </w:tcPr>
          <w:p w:rsidR="005943D1" w:rsidRDefault="0048696B">
            <w:hyperlink r:id="rId28" w:history="1">
              <w:r w:rsidR="005943D1" w:rsidRPr="005943D1">
                <w:rPr>
                  <w:rStyle w:val="Hyperlink"/>
                </w:rPr>
                <w:t>https://www.pacer.org/publications/possibilities/government-health-care-assistance-programs.html</w:t>
              </w:r>
            </w:hyperlink>
          </w:p>
        </w:tc>
        <w:tc>
          <w:tcPr>
            <w:tcW w:w="4680" w:type="dxa"/>
          </w:tcPr>
          <w:p w:rsidR="005943D1" w:rsidRDefault="005943D1" w:rsidP="005943D1">
            <w:pPr>
              <w:rPr>
                <w:lang w:val="en-GB"/>
              </w:rPr>
            </w:pPr>
            <w:r>
              <w:t xml:space="preserve">This link contains sub links and PDFs of information about </w:t>
            </w:r>
            <w:r w:rsidRPr="005943D1">
              <w:rPr>
                <w:lang w:val="en-GB"/>
              </w:rPr>
              <w:t>Government Health Care Assistance Programs</w:t>
            </w:r>
          </w:p>
          <w:p w:rsidR="005943D1" w:rsidRDefault="005943D1" w:rsidP="005943D1">
            <w:pPr>
              <w:rPr>
                <w:lang w:val="en-GB"/>
              </w:rPr>
            </w:pPr>
          </w:p>
          <w:p w:rsidR="005943D1" w:rsidRDefault="005943D1" w:rsidP="005943D1"/>
        </w:tc>
        <w:tc>
          <w:tcPr>
            <w:tcW w:w="2756" w:type="dxa"/>
          </w:tcPr>
          <w:p w:rsidR="005943D1" w:rsidRDefault="005943D1"/>
        </w:tc>
      </w:tr>
      <w:tr w:rsidR="00BD5D90" w:rsidTr="003C083E">
        <w:trPr>
          <w:trHeight w:val="555"/>
        </w:trPr>
        <w:tc>
          <w:tcPr>
            <w:tcW w:w="1584" w:type="dxa"/>
          </w:tcPr>
          <w:p w:rsidR="00BD5D90" w:rsidRPr="00191C00" w:rsidRDefault="00BD5D90">
            <w:pPr>
              <w:rPr>
                <w:b/>
              </w:rPr>
            </w:pPr>
            <w:r w:rsidRPr="00191C00">
              <w:rPr>
                <w:b/>
              </w:rPr>
              <w:t xml:space="preserve">Over all parents guide </w:t>
            </w:r>
          </w:p>
        </w:tc>
        <w:tc>
          <w:tcPr>
            <w:tcW w:w="2186" w:type="dxa"/>
          </w:tcPr>
          <w:p w:rsidR="00BD5D90" w:rsidRDefault="00BD5D90">
            <w:r w:rsidRPr="00BD5D90">
              <w:t>Parent Special Education Information</w:t>
            </w:r>
          </w:p>
        </w:tc>
        <w:tc>
          <w:tcPr>
            <w:tcW w:w="2075" w:type="dxa"/>
          </w:tcPr>
          <w:p w:rsidR="00BD5D90" w:rsidRDefault="0048696B">
            <w:hyperlink r:id="rId29" w:history="1">
              <w:r w:rsidR="00BD5D90" w:rsidRPr="00BD5D90">
                <w:rPr>
                  <w:rStyle w:val="Hyperlink"/>
                </w:rPr>
                <w:t>http://www.pacer.org/parent/</w:t>
              </w:r>
            </w:hyperlink>
          </w:p>
        </w:tc>
        <w:tc>
          <w:tcPr>
            <w:tcW w:w="4680" w:type="dxa"/>
          </w:tcPr>
          <w:p w:rsidR="00BD5D90" w:rsidRDefault="00BD5D90">
            <w:r>
              <w:t>This webpage is pretty much a guide for parents. It contains videos tha</w:t>
            </w:r>
            <w:r w:rsidR="0034210F">
              <w:t>t</w:t>
            </w:r>
            <w:r>
              <w:t xml:space="preserve"> would help educate parents how to be better advocates for their youth with disabilities  </w:t>
            </w:r>
          </w:p>
        </w:tc>
        <w:tc>
          <w:tcPr>
            <w:tcW w:w="2756" w:type="dxa"/>
          </w:tcPr>
          <w:p w:rsidR="00BD5D90" w:rsidRDefault="00BD5D90"/>
        </w:tc>
      </w:tr>
      <w:tr w:rsidR="00191C00" w:rsidTr="003C083E">
        <w:trPr>
          <w:trHeight w:val="555"/>
        </w:trPr>
        <w:tc>
          <w:tcPr>
            <w:tcW w:w="1584" w:type="dxa"/>
          </w:tcPr>
          <w:p w:rsidR="00191C00" w:rsidRPr="00191C00" w:rsidRDefault="00191C00">
            <w:pPr>
              <w:rPr>
                <w:b/>
              </w:rPr>
            </w:pPr>
          </w:p>
        </w:tc>
        <w:tc>
          <w:tcPr>
            <w:tcW w:w="2186" w:type="dxa"/>
          </w:tcPr>
          <w:p w:rsidR="00191C00" w:rsidRPr="00BD5D90" w:rsidRDefault="00191C00">
            <w:r>
              <w:t xml:space="preserve">Parents and Family </w:t>
            </w:r>
          </w:p>
        </w:tc>
        <w:tc>
          <w:tcPr>
            <w:tcW w:w="2075" w:type="dxa"/>
          </w:tcPr>
          <w:p w:rsidR="00191C00" w:rsidRDefault="0048696B">
            <w:hyperlink r:id="rId30" w:history="1">
              <w:r w:rsidR="00191C00" w:rsidRPr="00191C00">
                <w:rPr>
                  <w:rStyle w:val="Hyperlink"/>
                </w:rPr>
                <w:t>http://www.ncwd-youth.info/family</w:t>
              </w:r>
            </w:hyperlink>
          </w:p>
        </w:tc>
        <w:tc>
          <w:tcPr>
            <w:tcW w:w="4680" w:type="dxa"/>
          </w:tcPr>
          <w:p w:rsidR="00191C00" w:rsidRDefault="00191C00" w:rsidP="00191C00">
            <w:r>
              <w:rPr>
                <w:lang w:val="en"/>
              </w:rPr>
              <w:t>“</w:t>
            </w:r>
            <w:r w:rsidRPr="00191C00">
              <w:rPr>
                <w:lang w:val="en"/>
              </w:rPr>
              <w:t>Parents play an especially important role in assisting youth with disabilities to build successful, satisfying careers. Viewed together, parents and their children essentially form a team. The youth is the player in the g</w:t>
            </w:r>
            <w:r>
              <w:rPr>
                <w:lang w:val="en"/>
              </w:rPr>
              <w:t>ame and the parent is the coach</w:t>
            </w:r>
            <w:r w:rsidRPr="00191C00">
              <w:rPr>
                <w:lang w:val="en"/>
              </w:rPr>
              <w:t>.</w:t>
            </w:r>
            <w:r>
              <w:rPr>
                <w:lang w:val="en"/>
              </w:rPr>
              <w:t>”</w:t>
            </w:r>
          </w:p>
        </w:tc>
        <w:tc>
          <w:tcPr>
            <w:tcW w:w="2756" w:type="dxa"/>
          </w:tcPr>
          <w:p w:rsidR="00191C00" w:rsidRDefault="00191C00"/>
        </w:tc>
      </w:tr>
    </w:tbl>
    <w:p w:rsidR="00621EA6" w:rsidRDefault="0048696B"/>
    <w:sectPr w:rsidR="00621EA6" w:rsidSect="001714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B0" w:rsidRDefault="008A04B0" w:rsidP="002E604A">
      <w:pPr>
        <w:spacing w:after="0" w:line="240" w:lineRule="auto"/>
      </w:pPr>
      <w:r>
        <w:separator/>
      </w:r>
    </w:p>
  </w:endnote>
  <w:endnote w:type="continuationSeparator" w:id="0">
    <w:p w:rsidR="008A04B0" w:rsidRDefault="008A04B0" w:rsidP="002E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B0" w:rsidRDefault="008A04B0" w:rsidP="002E604A">
      <w:pPr>
        <w:spacing w:after="0" w:line="240" w:lineRule="auto"/>
      </w:pPr>
      <w:r>
        <w:separator/>
      </w:r>
    </w:p>
  </w:footnote>
  <w:footnote w:type="continuationSeparator" w:id="0">
    <w:p w:rsidR="008A04B0" w:rsidRDefault="008A04B0" w:rsidP="002E6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0963"/>
    <w:multiLevelType w:val="hybridMultilevel"/>
    <w:tmpl w:val="6BE6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DF"/>
    <w:rsid w:val="001714DF"/>
    <w:rsid w:val="00191C00"/>
    <w:rsid w:val="002A616D"/>
    <w:rsid w:val="002E604A"/>
    <w:rsid w:val="002F2367"/>
    <w:rsid w:val="0034210F"/>
    <w:rsid w:val="003B0038"/>
    <w:rsid w:val="003C083E"/>
    <w:rsid w:val="0048425C"/>
    <w:rsid w:val="0048696B"/>
    <w:rsid w:val="004B7BDF"/>
    <w:rsid w:val="00533AAC"/>
    <w:rsid w:val="005943D1"/>
    <w:rsid w:val="00612F46"/>
    <w:rsid w:val="006A5BDD"/>
    <w:rsid w:val="00856B79"/>
    <w:rsid w:val="008A04B0"/>
    <w:rsid w:val="00963E2B"/>
    <w:rsid w:val="00AE7460"/>
    <w:rsid w:val="00BD5D90"/>
    <w:rsid w:val="00E0100D"/>
    <w:rsid w:val="00E8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DCBA-89A0-495F-B3A5-951E2C8E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4DF"/>
    <w:rPr>
      <w:color w:val="0563C1" w:themeColor="hyperlink"/>
      <w:u w:val="single"/>
    </w:rPr>
  </w:style>
  <w:style w:type="character" w:styleId="FollowedHyperlink">
    <w:name w:val="FollowedHyperlink"/>
    <w:basedOn w:val="DefaultParagraphFont"/>
    <w:uiPriority w:val="99"/>
    <w:semiHidden/>
    <w:unhideWhenUsed/>
    <w:rsid w:val="001714DF"/>
    <w:rPr>
      <w:color w:val="954F72" w:themeColor="followedHyperlink"/>
      <w:u w:val="single"/>
    </w:rPr>
  </w:style>
  <w:style w:type="paragraph" w:styleId="ListParagraph">
    <w:name w:val="List Paragraph"/>
    <w:basedOn w:val="Normal"/>
    <w:uiPriority w:val="34"/>
    <w:qFormat/>
    <w:rsid w:val="003B0038"/>
    <w:pPr>
      <w:ind w:left="720"/>
      <w:contextualSpacing/>
    </w:pPr>
  </w:style>
  <w:style w:type="paragraph" w:customStyle="1" w:styleId="Default">
    <w:name w:val="Default"/>
    <w:rsid w:val="004B7BDF"/>
    <w:pPr>
      <w:autoSpaceDE w:val="0"/>
      <w:autoSpaceDN w:val="0"/>
      <w:adjustRightInd w:val="0"/>
      <w:spacing w:after="0" w:line="240" w:lineRule="auto"/>
    </w:pPr>
    <w:rPr>
      <w:rFonts w:ascii="The Mix Semi Light" w:hAnsi="The Mix Semi Light" w:cs="The Mix Semi Light"/>
      <w:color w:val="000000"/>
      <w:sz w:val="24"/>
      <w:szCs w:val="24"/>
    </w:rPr>
  </w:style>
  <w:style w:type="paragraph" w:styleId="Header">
    <w:name w:val="header"/>
    <w:basedOn w:val="Normal"/>
    <w:link w:val="HeaderChar"/>
    <w:uiPriority w:val="99"/>
    <w:unhideWhenUsed/>
    <w:rsid w:val="002E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4A"/>
  </w:style>
  <w:style w:type="paragraph" w:styleId="Footer">
    <w:name w:val="footer"/>
    <w:basedOn w:val="Normal"/>
    <w:link w:val="FooterChar"/>
    <w:uiPriority w:val="99"/>
    <w:unhideWhenUsed/>
    <w:rsid w:val="002E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wd-youth.info/professional-development" TargetMode="External"/><Relationship Id="rId18" Type="http://schemas.openxmlformats.org/officeDocument/2006/relationships/hyperlink" Target="http://www.youtube.com/embed/h9S9L9ro9n4?rel=0&amp;amp;wmode=transparent&amp;amp;autoplay=1" TargetMode="External"/><Relationship Id="rId26" Type="http://schemas.openxmlformats.org/officeDocument/2006/relationships/hyperlink" Target="https://www.pacer.org/publications/possibilities/life-a-disability-insurance.html" TargetMode="External"/><Relationship Id="rId3" Type="http://schemas.openxmlformats.org/officeDocument/2006/relationships/styles" Target="styles.xml"/><Relationship Id="rId21" Type="http://schemas.openxmlformats.org/officeDocument/2006/relationships/hyperlink" Target="http://www.pacer.org/transition/learning-center/postsecondary/selecting-right-program.asp"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pacer.org/publications/possibilities/your-childs-employment/159-where-workers-with-disabilities-look-for-jobs.html" TargetMode="External"/><Relationship Id="rId17" Type="http://schemas.openxmlformats.org/officeDocument/2006/relationships/hyperlink" Target="http://www.pacer.org/transition/learning-center/postsecondary/preparing-for-postsecondary.asp" TargetMode="External"/><Relationship Id="rId25" Type="http://schemas.openxmlformats.org/officeDocument/2006/relationships/hyperlink" Target="http://www.acteonline.org/uploadedFiles/Assets_and_Documents/Global/files/Publications/Transitions.pdf"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pacer.org/parent/php/PHP-c168.pdf" TargetMode="External"/><Relationship Id="rId20" Type="http://schemas.openxmlformats.org/officeDocument/2006/relationships/hyperlink" Target="http://www.youtube.com/embed/xcD_oQ5lM80?rel=0&amp;amp;wmode=transparent&amp;amp;autoplay=1" TargetMode="External"/><Relationship Id="rId29" Type="http://schemas.openxmlformats.org/officeDocument/2006/relationships/hyperlink" Target="http://www.pacer.org/pa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embed/_qEmKVNcC60?rel=0&amp;amp;wmode=transparent&amp;amp;autoplay=1" TargetMode="External"/><Relationship Id="rId24" Type="http://schemas.openxmlformats.org/officeDocument/2006/relationships/hyperlink" Target="http://www.youtube.com/embed/ZRgvCPjCmW0?rel=0&amp;amp;wmode=transparent&amp;amp;autoplay=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wd-youth.info/tip-sheet/becoming-a-self-advocate" TargetMode="External"/><Relationship Id="rId23" Type="http://schemas.openxmlformats.org/officeDocument/2006/relationships/hyperlink" Target="http://www.youtube.com/embed/P6y1_2JVT3Y?rel=0&amp;amp;wmode=transparent&amp;amp;autoplay=1" TargetMode="External"/><Relationship Id="rId28" Type="http://schemas.openxmlformats.org/officeDocument/2006/relationships/hyperlink" Target="https://www.pacer.org/publications/possibilities/government-health-care-assistance-programs.html" TargetMode="External"/><Relationship Id="rId10" Type="http://schemas.openxmlformats.org/officeDocument/2006/relationships/hyperlink" Target="http://www.youtube.com/embed/jqIEBBwtMB0?rel=0&amp;amp;wmode=transparent&amp;amp;autoplay=1" TargetMode="External"/><Relationship Id="rId19" Type="http://schemas.openxmlformats.org/officeDocument/2006/relationships/hyperlink" Target="http://www.youtube.com/embed/9YTUA3lAOrs?rel=0&amp;amp;wmode=transparent&amp;amp;autoplay=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cer.org/transition/learning-center/employment/finding-career-path.asp" TargetMode="External"/><Relationship Id="rId14" Type="http://schemas.openxmlformats.org/officeDocument/2006/relationships/hyperlink" Target="http://www.ncwd-youth.info/youth-development/areas/" TargetMode="External"/><Relationship Id="rId22" Type="http://schemas.openxmlformats.org/officeDocument/2006/relationships/hyperlink" Target="http://www.youtube.com/embed/NEk36iYbDkM?rel=0&amp;amp;wmode=transparent&amp;amp;autoplay=1" TargetMode="External"/><Relationship Id="rId27" Type="http://schemas.openxmlformats.org/officeDocument/2006/relationships/hyperlink" Target="https://www.pacer.org/publications/possibilities/your-medical-coverage.html" TargetMode="External"/><Relationship Id="rId30" Type="http://schemas.openxmlformats.org/officeDocument/2006/relationships/hyperlink" Target="http://www.ncwd-youth.info/family" TargetMode="External"/><Relationship Id="rId35" Type="http://schemas.openxmlformats.org/officeDocument/2006/relationships/customXml" Target="../customXml/item4.xml"/><Relationship Id="rId8" Type="http://schemas.openxmlformats.org/officeDocument/2006/relationships/hyperlink" Target="http://www.pacer.org/transition/learning-center/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4D917-2AFA-430A-863A-37CC4AB60D72}">
  <ds:schemaRefs>
    <ds:schemaRef ds:uri="http://schemas.openxmlformats.org/officeDocument/2006/bibliography"/>
  </ds:schemaRefs>
</ds:datastoreItem>
</file>

<file path=customXml/itemProps2.xml><?xml version="1.0" encoding="utf-8"?>
<ds:datastoreItem xmlns:ds="http://schemas.openxmlformats.org/officeDocument/2006/customXml" ds:itemID="{9E08A1F9-3218-4521-A78B-9666F97A6701}"/>
</file>

<file path=customXml/itemProps3.xml><?xml version="1.0" encoding="utf-8"?>
<ds:datastoreItem xmlns:ds="http://schemas.openxmlformats.org/officeDocument/2006/customXml" ds:itemID="{7841C3C9-339E-4D38-965A-CB83610ECEDF}"/>
</file>

<file path=customXml/itemProps4.xml><?xml version="1.0" encoding="utf-8"?>
<ds:datastoreItem xmlns:ds="http://schemas.openxmlformats.org/officeDocument/2006/customXml" ds:itemID="{2ADCB4EF-92BC-4715-A381-421E6E194BD1}"/>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Shekpeh, Joetta (DEED)</dc:creator>
  <cp:keywords/>
  <dc:description/>
  <cp:lastModifiedBy>Schmid, Cory (DEED)</cp:lastModifiedBy>
  <cp:revision>2</cp:revision>
  <dcterms:created xsi:type="dcterms:W3CDTF">2017-08-14T17:06:00Z</dcterms:created>
  <dcterms:modified xsi:type="dcterms:W3CDTF">2017-08-14T17:06:00Z</dcterms:modified>
</cp:coreProperties>
</file>